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W.A. Marine (Surveys and Certificates of Survey) Regulations 1983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W.A. Marine (Surveys and Certificates of Survey) Regulations 1983</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I — Preliminary</w:t>
      </w:r>
    </w:p>
    <w:p>
      <w:pPr>
        <w:pStyle w:val="TOC4"/>
        <w:rPr>
          <w:noProof/>
          <w:sz w:val="24"/>
          <w:szCs w:val="24"/>
        </w:rPr>
      </w:pPr>
      <w:r>
        <w:rPr>
          <w:noProof/>
          <w:szCs w:val="24"/>
        </w:rPr>
        <w:t>1</w:t>
      </w:r>
      <w:r>
        <w:rPr>
          <w:noProof/>
          <w:snapToGrid w:val="0"/>
          <w:szCs w:val="24"/>
        </w:rPr>
        <w:t>.</w:t>
      </w:r>
      <w:r>
        <w:rPr>
          <w:noProof/>
          <w:sz w:val="24"/>
          <w:szCs w:val="24"/>
        </w:rPr>
        <w:tab/>
      </w:r>
      <w:r>
        <w:rPr>
          <w:noProof/>
          <w:snapToGrid w:val="0"/>
          <w:szCs w:val="24"/>
        </w:rPr>
        <w:t>Citation</w:t>
      </w:r>
      <w:r>
        <w:rPr>
          <w:noProof/>
        </w:rPr>
        <w:tab/>
      </w:r>
      <w:r>
        <w:rPr>
          <w:noProof/>
        </w:rPr>
        <w:fldChar w:fldCharType="begin"/>
      </w:r>
      <w:r>
        <w:rPr>
          <w:noProof/>
        </w:rPr>
        <w:instrText xml:space="preserve"> PAGEREF _Toc107747003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_Toc107747004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_Toc107747005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Application</w:t>
      </w:r>
      <w:r>
        <w:rPr>
          <w:noProof/>
        </w:rPr>
        <w:tab/>
      </w:r>
      <w:r>
        <w:rPr>
          <w:noProof/>
        </w:rPr>
        <w:fldChar w:fldCharType="begin"/>
      </w:r>
      <w:r>
        <w:rPr>
          <w:noProof/>
        </w:rPr>
        <w:instrText xml:space="preserve"> PAGEREF _Toc107747006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4A</w:t>
      </w:r>
      <w:r>
        <w:rPr>
          <w:noProof/>
          <w:snapToGrid w:val="0"/>
          <w:szCs w:val="24"/>
        </w:rPr>
        <w:t>.</w:t>
      </w:r>
      <w:r>
        <w:rPr>
          <w:noProof/>
          <w:sz w:val="24"/>
          <w:szCs w:val="24"/>
        </w:rPr>
        <w:tab/>
      </w:r>
      <w:r>
        <w:rPr>
          <w:noProof/>
          <w:snapToGrid w:val="0"/>
          <w:szCs w:val="24"/>
        </w:rPr>
        <w:t>Fees and charges</w:t>
      </w:r>
      <w:r>
        <w:rPr>
          <w:noProof/>
        </w:rPr>
        <w:tab/>
      </w:r>
      <w:r>
        <w:rPr>
          <w:noProof/>
        </w:rPr>
        <w:fldChar w:fldCharType="begin"/>
      </w:r>
      <w:r>
        <w:rPr>
          <w:noProof/>
        </w:rPr>
        <w:instrText xml:space="preserve"> PAGEREF _Toc107747007 \h </w:instrText>
      </w:r>
      <w:r>
        <w:rPr>
          <w:noProof/>
        </w:rPr>
      </w:r>
      <w:r>
        <w:rPr>
          <w:noProof/>
        </w:rPr>
        <w:fldChar w:fldCharType="separate"/>
      </w:r>
      <w:r>
        <w:rPr>
          <w:noProof/>
        </w:rPr>
        <w:t>2</w:t>
      </w:r>
      <w:r>
        <w:rPr>
          <w:noProof/>
        </w:rPr>
        <w:fldChar w:fldCharType="end"/>
      </w:r>
    </w:p>
    <w:p>
      <w:pPr>
        <w:pStyle w:val="TOC2"/>
        <w:tabs>
          <w:tab w:val="right" w:leader="dot" w:pos="7086"/>
        </w:tabs>
        <w:rPr>
          <w:b w:val="0"/>
          <w:noProof/>
          <w:sz w:val="24"/>
          <w:szCs w:val="24"/>
        </w:rPr>
      </w:pPr>
      <w:r>
        <w:rPr>
          <w:noProof/>
          <w:szCs w:val="30"/>
        </w:rPr>
        <w:t>Part II — Survey requirements</w:t>
      </w:r>
    </w:p>
    <w:p>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Initial survey</w:t>
      </w:r>
      <w:r>
        <w:rPr>
          <w:noProof/>
        </w:rPr>
        <w:tab/>
      </w:r>
      <w:r>
        <w:rPr>
          <w:noProof/>
        </w:rPr>
        <w:fldChar w:fldCharType="begin"/>
      </w:r>
      <w:r>
        <w:rPr>
          <w:noProof/>
        </w:rPr>
        <w:instrText xml:space="preserve"> PAGEREF _Toc107747009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Periodic surveys and inspections</w:t>
      </w:r>
      <w:r>
        <w:rPr>
          <w:noProof/>
        </w:rPr>
        <w:tab/>
      </w:r>
      <w:r>
        <w:rPr>
          <w:noProof/>
        </w:rPr>
        <w:fldChar w:fldCharType="begin"/>
      </w:r>
      <w:r>
        <w:rPr>
          <w:noProof/>
        </w:rPr>
        <w:instrText xml:space="preserve"> PAGEREF _Toc107747010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6A</w:t>
      </w:r>
      <w:r>
        <w:rPr>
          <w:noProof/>
          <w:snapToGrid w:val="0"/>
          <w:szCs w:val="24"/>
        </w:rPr>
        <w:t>.</w:t>
      </w:r>
      <w:r>
        <w:rPr>
          <w:noProof/>
          <w:sz w:val="24"/>
          <w:szCs w:val="24"/>
        </w:rPr>
        <w:tab/>
      </w:r>
      <w:r>
        <w:rPr>
          <w:noProof/>
          <w:snapToGrid w:val="0"/>
          <w:szCs w:val="24"/>
        </w:rPr>
        <w:t>Half of fee payable if vessel already classed</w:t>
      </w:r>
      <w:r>
        <w:rPr>
          <w:noProof/>
        </w:rPr>
        <w:tab/>
      </w:r>
      <w:r>
        <w:rPr>
          <w:noProof/>
        </w:rPr>
        <w:fldChar w:fldCharType="begin"/>
      </w:r>
      <w:r>
        <w:rPr>
          <w:noProof/>
        </w:rPr>
        <w:instrText xml:space="preserve"> PAGEREF _Toc107747011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Random inspections</w:t>
      </w:r>
      <w:r>
        <w:rPr>
          <w:noProof/>
        </w:rPr>
        <w:tab/>
      </w:r>
      <w:r>
        <w:rPr>
          <w:noProof/>
        </w:rPr>
        <w:fldChar w:fldCharType="begin"/>
      </w:r>
      <w:r>
        <w:rPr>
          <w:noProof/>
        </w:rPr>
        <w:instrText xml:space="preserve"> PAGEREF _Toc107747012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Owner to report special factors</w:t>
      </w:r>
      <w:r>
        <w:rPr>
          <w:noProof/>
        </w:rPr>
        <w:tab/>
      </w:r>
      <w:r>
        <w:rPr>
          <w:noProof/>
        </w:rPr>
        <w:fldChar w:fldCharType="begin"/>
      </w:r>
      <w:r>
        <w:rPr>
          <w:noProof/>
        </w:rPr>
        <w:instrText xml:space="preserve"> PAGEREF _Toc107747013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Owner to report accidents, injuries, etc.</w:t>
      </w:r>
      <w:r>
        <w:rPr>
          <w:noProof/>
        </w:rPr>
        <w:tab/>
      </w:r>
      <w:r>
        <w:rPr>
          <w:noProof/>
        </w:rPr>
        <w:fldChar w:fldCharType="begin"/>
      </w:r>
      <w:r>
        <w:rPr>
          <w:noProof/>
        </w:rPr>
        <w:instrText xml:space="preserve"> PAGEREF _Toc107747014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Power to exempt certain vessels</w:t>
      </w:r>
      <w:r>
        <w:rPr>
          <w:noProof/>
        </w:rPr>
        <w:tab/>
      </w:r>
      <w:r>
        <w:rPr>
          <w:noProof/>
        </w:rPr>
        <w:fldChar w:fldCharType="begin"/>
      </w:r>
      <w:r>
        <w:rPr>
          <w:noProof/>
        </w:rPr>
        <w:instrText xml:space="preserve"> PAGEREF _Toc107747015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10A</w:t>
      </w:r>
      <w:r>
        <w:rPr>
          <w:noProof/>
          <w:snapToGrid w:val="0"/>
          <w:szCs w:val="24"/>
        </w:rPr>
        <w:t>.</w:t>
      </w:r>
      <w:r>
        <w:rPr>
          <w:noProof/>
          <w:sz w:val="24"/>
          <w:szCs w:val="24"/>
        </w:rPr>
        <w:tab/>
      </w:r>
      <w:r>
        <w:rPr>
          <w:noProof/>
          <w:snapToGrid w:val="0"/>
          <w:szCs w:val="24"/>
        </w:rPr>
        <w:t>Exemption of certain fishing vessels and non</w:t>
      </w:r>
      <w:r>
        <w:rPr>
          <w:noProof/>
          <w:snapToGrid w:val="0"/>
          <w:szCs w:val="24"/>
        </w:rPr>
        <w:noBreakHyphen/>
        <w:t>passenger vessels</w:t>
      </w:r>
      <w:r>
        <w:rPr>
          <w:noProof/>
        </w:rPr>
        <w:tab/>
      </w:r>
      <w:r>
        <w:rPr>
          <w:noProof/>
        </w:rPr>
        <w:fldChar w:fldCharType="begin"/>
      </w:r>
      <w:r>
        <w:rPr>
          <w:noProof/>
        </w:rPr>
        <w:instrText xml:space="preserve"> PAGEREF _Toc107747016 \h </w:instrText>
      </w:r>
      <w:r>
        <w:rPr>
          <w:noProof/>
        </w:rPr>
      </w:r>
      <w:r>
        <w:rPr>
          <w:noProof/>
        </w:rPr>
        <w:fldChar w:fldCharType="separate"/>
      </w:r>
      <w:r>
        <w:rPr>
          <w:noProof/>
        </w:rPr>
        <w:t>9</w:t>
      </w:r>
      <w:r>
        <w:rPr>
          <w:noProof/>
        </w:rPr>
        <w:fldChar w:fldCharType="end"/>
      </w:r>
    </w:p>
    <w:p>
      <w:pPr>
        <w:pStyle w:val="TOC2"/>
        <w:tabs>
          <w:tab w:val="right" w:leader="dot" w:pos="7086"/>
        </w:tabs>
        <w:rPr>
          <w:b w:val="0"/>
          <w:noProof/>
          <w:sz w:val="24"/>
          <w:szCs w:val="24"/>
        </w:rPr>
      </w:pPr>
      <w:r>
        <w:rPr>
          <w:noProof/>
          <w:szCs w:val="30"/>
        </w:rPr>
        <w:t>Part III — Certificates</w:t>
      </w:r>
    </w:p>
    <w:p>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Issue of Certificate of Survey</w:t>
      </w:r>
      <w:r>
        <w:rPr>
          <w:noProof/>
        </w:rPr>
        <w:tab/>
      </w:r>
      <w:r>
        <w:rPr>
          <w:noProof/>
        </w:rPr>
        <w:fldChar w:fldCharType="begin"/>
      </w:r>
      <w:r>
        <w:rPr>
          <w:noProof/>
        </w:rPr>
        <w:instrText xml:space="preserve"> PAGEREF _Toc107747018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Evidence of compliance with survey requirements</w:t>
      </w:r>
      <w:r>
        <w:rPr>
          <w:noProof/>
        </w:rPr>
        <w:tab/>
      </w:r>
      <w:r>
        <w:rPr>
          <w:noProof/>
        </w:rPr>
        <w:fldChar w:fldCharType="begin"/>
      </w:r>
      <w:r>
        <w:rPr>
          <w:noProof/>
        </w:rPr>
        <w:instrText xml:space="preserve"> PAGEREF _Toc107747019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Revalidation or renewal of certificate of survey</w:t>
      </w:r>
      <w:r>
        <w:rPr>
          <w:noProof/>
        </w:rPr>
        <w:tab/>
      </w:r>
      <w:r>
        <w:rPr>
          <w:noProof/>
        </w:rPr>
        <w:fldChar w:fldCharType="begin"/>
      </w:r>
      <w:r>
        <w:rPr>
          <w:noProof/>
        </w:rPr>
        <w:instrText xml:space="preserve"> PAGEREF _Toc107747020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Extension of certificate of survey</w:t>
      </w:r>
      <w:r>
        <w:rPr>
          <w:noProof/>
        </w:rPr>
        <w:tab/>
      </w:r>
      <w:r>
        <w:rPr>
          <w:noProof/>
        </w:rPr>
        <w:fldChar w:fldCharType="begin"/>
      </w:r>
      <w:r>
        <w:rPr>
          <w:noProof/>
        </w:rPr>
        <w:instrText xml:space="preserve"> PAGEREF _Toc107747021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15</w:t>
      </w:r>
      <w:r>
        <w:rPr>
          <w:noProof/>
          <w:snapToGrid w:val="0"/>
          <w:szCs w:val="24"/>
        </w:rPr>
        <w:t>.</w:t>
      </w:r>
      <w:r>
        <w:rPr>
          <w:noProof/>
          <w:sz w:val="24"/>
          <w:szCs w:val="24"/>
        </w:rPr>
        <w:tab/>
      </w:r>
      <w:r>
        <w:rPr>
          <w:noProof/>
          <w:snapToGrid w:val="0"/>
          <w:szCs w:val="24"/>
        </w:rPr>
        <w:t>Suspension or cancellation of certificate of survey</w:t>
      </w:r>
      <w:r>
        <w:rPr>
          <w:noProof/>
        </w:rPr>
        <w:tab/>
      </w:r>
      <w:r>
        <w:rPr>
          <w:noProof/>
        </w:rPr>
        <w:fldChar w:fldCharType="begin"/>
      </w:r>
      <w:r>
        <w:rPr>
          <w:noProof/>
        </w:rPr>
        <w:instrText xml:space="preserve"> PAGEREF _Toc107747022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16</w:t>
      </w:r>
      <w:r>
        <w:rPr>
          <w:noProof/>
          <w:snapToGrid w:val="0"/>
          <w:szCs w:val="24"/>
        </w:rPr>
        <w:t>.</w:t>
      </w:r>
      <w:r>
        <w:rPr>
          <w:noProof/>
          <w:sz w:val="24"/>
          <w:szCs w:val="24"/>
        </w:rPr>
        <w:tab/>
      </w:r>
      <w:r>
        <w:rPr>
          <w:noProof/>
          <w:snapToGrid w:val="0"/>
          <w:szCs w:val="24"/>
        </w:rPr>
        <w:t>Owners to notify Chief Executive Officer of various occurrences</w:t>
      </w:r>
      <w:r>
        <w:rPr>
          <w:noProof/>
        </w:rPr>
        <w:tab/>
      </w:r>
      <w:r>
        <w:rPr>
          <w:noProof/>
        </w:rPr>
        <w:fldChar w:fldCharType="begin"/>
      </w:r>
      <w:r>
        <w:rPr>
          <w:noProof/>
        </w:rPr>
        <w:instrText xml:space="preserve"> PAGEREF _Toc107747023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lastRenderedPageBreak/>
        <w:t>17</w:t>
      </w:r>
      <w:r>
        <w:rPr>
          <w:noProof/>
          <w:snapToGrid w:val="0"/>
          <w:szCs w:val="24"/>
        </w:rPr>
        <w:t>.</w:t>
      </w:r>
      <w:r>
        <w:rPr>
          <w:noProof/>
          <w:sz w:val="24"/>
          <w:szCs w:val="24"/>
        </w:rPr>
        <w:tab/>
      </w:r>
      <w:r>
        <w:rPr>
          <w:noProof/>
          <w:snapToGrid w:val="0"/>
          <w:szCs w:val="24"/>
        </w:rPr>
        <w:t>Acceptance of other certificates of survey</w:t>
      </w:r>
      <w:r>
        <w:rPr>
          <w:noProof/>
        </w:rPr>
        <w:tab/>
      </w:r>
      <w:r>
        <w:rPr>
          <w:noProof/>
        </w:rPr>
        <w:fldChar w:fldCharType="begin"/>
      </w:r>
      <w:r>
        <w:rPr>
          <w:noProof/>
        </w:rPr>
        <w:instrText xml:space="preserve"> PAGEREF _Toc107747024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18</w:t>
      </w:r>
      <w:r>
        <w:rPr>
          <w:noProof/>
          <w:snapToGrid w:val="0"/>
          <w:szCs w:val="24"/>
        </w:rPr>
        <w:t>.</w:t>
      </w:r>
      <w:r>
        <w:rPr>
          <w:noProof/>
          <w:sz w:val="24"/>
          <w:szCs w:val="24"/>
        </w:rPr>
        <w:tab/>
      </w:r>
      <w:r>
        <w:rPr>
          <w:noProof/>
          <w:snapToGrid w:val="0"/>
          <w:szCs w:val="24"/>
        </w:rPr>
        <w:t>Continuation of approved survey programme</w:t>
      </w:r>
      <w:r>
        <w:rPr>
          <w:noProof/>
        </w:rPr>
        <w:tab/>
      </w:r>
      <w:r>
        <w:rPr>
          <w:noProof/>
        </w:rPr>
        <w:fldChar w:fldCharType="begin"/>
      </w:r>
      <w:r>
        <w:rPr>
          <w:noProof/>
        </w:rPr>
        <w:instrText xml:space="preserve"> PAGEREF _Toc107747025 \h </w:instrText>
      </w:r>
      <w:r>
        <w:rPr>
          <w:noProof/>
        </w:rPr>
      </w:r>
      <w:r>
        <w:rPr>
          <w:noProof/>
        </w:rPr>
        <w:fldChar w:fldCharType="separate"/>
      </w:r>
      <w:r>
        <w:rPr>
          <w:noProof/>
        </w:rPr>
        <w:t>16</w:t>
      </w:r>
      <w:r>
        <w:rPr>
          <w:noProof/>
        </w:rPr>
        <w:fldChar w:fldCharType="end"/>
      </w:r>
    </w:p>
    <w:p>
      <w:pPr>
        <w:pStyle w:val="TOC2"/>
        <w:tabs>
          <w:tab w:val="right" w:leader="dot" w:pos="7086"/>
        </w:tabs>
        <w:rPr>
          <w:b w:val="0"/>
          <w:noProof/>
          <w:sz w:val="24"/>
          <w:szCs w:val="24"/>
        </w:rPr>
      </w:pPr>
      <w:r>
        <w:rPr>
          <w:noProof/>
          <w:szCs w:val="30"/>
        </w:rPr>
        <w:t>Part IV — Single voyage towage permits</w:t>
      </w:r>
    </w:p>
    <w:p>
      <w:pPr>
        <w:pStyle w:val="TOC4"/>
        <w:rPr>
          <w:noProof/>
          <w:sz w:val="24"/>
          <w:szCs w:val="24"/>
        </w:rPr>
      </w:pPr>
      <w:r>
        <w:rPr>
          <w:noProof/>
          <w:szCs w:val="24"/>
        </w:rPr>
        <w:t>19</w:t>
      </w:r>
      <w:r>
        <w:rPr>
          <w:noProof/>
          <w:snapToGrid w:val="0"/>
          <w:szCs w:val="24"/>
        </w:rPr>
        <w:t>.</w:t>
      </w:r>
      <w:r>
        <w:rPr>
          <w:noProof/>
          <w:sz w:val="24"/>
          <w:szCs w:val="24"/>
        </w:rPr>
        <w:tab/>
      </w:r>
      <w:r>
        <w:rPr>
          <w:noProof/>
          <w:snapToGrid w:val="0"/>
          <w:szCs w:val="24"/>
        </w:rPr>
        <w:t>Application of Part IV</w:t>
      </w:r>
      <w:r>
        <w:rPr>
          <w:noProof/>
        </w:rPr>
        <w:tab/>
      </w:r>
      <w:r>
        <w:rPr>
          <w:noProof/>
        </w:rPr>
        <w:fldChar w:fldCharType="begin"/>
      </w:r>
      <w:r>
        <w:rPr>
          <w:noProof/>
        </w:rPr>
        <w:instrText xml:space="preserve"> PAGEREF _Toc107747027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20</w:t>
      </w:r>
      <w:r>
        <w:rPr>
          <w:noProof/>
          <w:snapToGrid w:val="0"/>
          <w:szCs w:val="24"/>
        </w:rPr>
        <w:t>.</w:t>
      </w:r>
      <w:r>
        <w:rPr>
          <w:noProof/>
          <w:sz w:val="24"/>
          <w:szCs w:val="24"/>
        </w:rPr>
        <w:tab/>
      </w:r>
      <w:r>
        <w:rPr>
          <w:noProof/>
          <w:snapToGrid w:val="0"/>
          <w:szCs w:val="24"/>
        </w:rPr>
        <w:t>Application for towage permit</w:t>
      </w:r>
      <w:r>
        <w:rPr>
          <w:noProof/>
        </w:rPr>
        <w:tab/>
      </w:r>
      <w:r>
        <w:rPr>
          <w:noProof/>
        </w:rPr>
        <w:fldChar w:fldCharType="begin"/>
      </w:r>
      <w:r>
        <w:rPr>
          <w:noProof/>
        </w:rPr>
        <w:instrText xml:space="preserve"> PAGEREF _Toc107747028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21</w:t>
      </w:r>
      <w:r>
        <w:rPr>
          <w:noProof/>
          <w:snapToGrid w:val="0"/>
          <w:szCs w:val="24"/>
        </w:rPr>
        <w:t>.</w:t>
      </w:r>
      <w:r>
        <w:rPr>
          <w:noProof/>
          <w:sz w:val="24"/>
          <w:szCs w:val="24"/>
        </w:rPr>
        <w:tab/>
      </w:r>
      <w:r>
        <w:rPr>
          <w:noProof/>
          <w:snapToGrid w:val="0"/>
          <w:szCs w:val="24"/>
        </w:rPr>
        <w:t>Issue of towage permit</w:t>
      </w:r>
      <w:r>
        <w:rPr>
          <w:noProof/>
        </w:rPr>
        <w:tab/>
      </w:r>
      <w:r>
        <w:rPr>
          <w:noProof/>
        </w:rPr>
        <w:fldChar w:fldCharType="begin"/>
      </w:r>
      <w:r>
        <w:rPr>
          <w:noProof/>
        </w:rPr>
        <w:instrText xml:space="preserve"> PAGEREF _Toc107747029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22</w:t>
      </w:r>
      <w:r>
        <w:rPr>
          <w:noProof/>
          <w:snapToGrid w:val="0"/>
          <w:szCs w:val="24"/>
        </w:rPr>
        <w:t>.</w:t>
      </w:r>
      <w:r>
        <w:rPr>
          <w:noProof/>
          <w:sz w:val="24"/>
          <w:szCs w:val="24"/>
        </w:rPr>
        <w:tab/>
      </w:r>
      <w:r>
        <w:rPr>
          <w:noProof/>
          <w:snapToGrid w:val="0"/>
          <w:szCs w:val="24"/>
        </w:rPr>
        <w:t>Offence for vessel to be towed without towage permit</w:t>
      </w:r>
      <w:r>
        <w:rPr>
          <w:noProof/>
        </w:rPr>
        <w:tab/>
      </w:r>
      <w:r>
        <w:rPr>
          <w:noProof/>
        </w:rPr>
        <w:fldChar w:fldCharType="begin"/>
      </w:r>
      <w:r>
        <w:rPr>
          <w:noProof/>
        </w:rPr>
        <w:instrText xml:space="preserve"> PAGEREF _Toc107747030 \h </w:instrText>
      </w:r>
      <w:r>
        <w:rPr>
          <w:noProof/>
        </w:rPr>
      </w:r>
      <w:r>
        <w:rPr>
          <w:noProof/>
        </w:rPr>
        <w:fldChar w:fldCharType="separate"/>
      </w:r>
      <w:r>
        <w:rPr>
          <w:noProof/>
        </w:rPr>
        <w:t>19</w:t>
      </w:r>
      <w:r>
        <w:rPr>
          <w:noProof/>
        </w:rPr>
        <w:fldChar w:fldCharType="end"/>
      </w:r>
    </w:p>
    <w:p>
      <w:pPr>
        <w:pStyle w:val="TOC5"/>
        <w:rPr>
          <w:b w:val="0"/>
          <w:noProof/>
          <w:sz w:val="24"/>
          <w:szCs w:val="24"/>
        </w:rPr>
      </w:pPr>
      <w:r>
        <w:rPr>
          <w:noProof/>
          <w:szCs w:val="28"/>
        </w:rPr>
        <w:t>Schedule 1 — Fees</w:t>
      </w:r>
      <w:r>
        <w:rPr>
          <w:noProof/>
        </w:rPr>
        <w:tab/>
      </w:r>
      <w:r>
        <w:rPr>
          <w:b w:val="0"/>
          <w:noProof/>
          <w:sz w:val="22"/>
        </w:rPr>
        <w:fldChar w:fldCharType="begin"/>
      </w:r>
      <w:r>
        <w:rPr>
          <w:b w:val="0"/>
          <w:noProof/>
          <w:sz w:val="22"/>
        </w:rPr>
        <w:instrText xml:space="preserve"> PAGEREF _Toc107747031 \h </w:instrText>
      </w:r>
      <w:r>
        <w:rPr>
          <w:b w:val="0"/>
          <w:noProof/>
          <w:sz w:val="22"/>
        </w:rPr>
      </w:r>
      <w:r>
        <w:rPr>
          <w:b w:val="0"/>
          <w:noProof/>
          <w:sz w:val="22"/>
        </w:rPr>
        <w:fldChar w:fldCharType="separate"/>
      </w:r>
      <w:r>
        <w:rPr>
          <w:b w:val="0"/>
          <w:noProof/>
          <w:sz w:val="22"/>
        </w:rPr>
        <w:t>20</w:t>
      </w:r>
      <w:r>
        <w:rPr>
          <w:b w:val="0"/>
          <w:noProof/>
          <w:sz w:val="22"/>
        </w:rPr>
        <w:fldChar w:fldCharType="end"/>
      </w:r>
    </w:p>
    <w:p>
      <w:pPr>
        <w:pStyle w:val="TOC4"/>
        <w:rPr>
          <w:noProof/>
          <w:sz w:val="24"/>
          <w:szCs w:val="24"/>
        </w:rPr>
      </w:pPr>
      <w:r>
        <w:rPr>
          <w:noProof/>
          <w:szCs w:val="22"/>
        </w:rPr>
        <w:t>1.</w:t>
      </w:r>
      <w:r>
        <w:rPr>
          <w:noProof/>
          <w:sz w:val="24"/>
          <w:szCs w:val="24"/>
        </w:rPr>
        <w:tab/>
      </w:r>
      <w:r>
        <w:rPr>
          <w:noProof/>
          <w:szCs w:val="22"/>
        </w:rPr>
        <w:t>Survey Fees</w:t>
      </w:r>
      <w:r>
        <w:rPr>
          <w:noProof/>
        </w:rPr>
        <w:tab/>
      </w:r>
      <w:r>
        <w:rPr>
          <w:noProof/>
        </w:rPr>
        <w:fldChar w:fldCharType="begin"/>
      </w:r>
      <w:r>
        <w:rPr>
          <w:noProof/>
        </w:rPr>
        <w:instrText xml:space="preserve"> PAGEREF _Toc107747032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2"/>
        </w:rPr>
        <w:t>2.</w:t>
      </w:r>
      <w:r>
        <w:rPr>
          <w:noProof/>
          <w:sz w:val="24"/>
          <w:szCs w:val="24"/>
        </w:rPr>
        <w:tab/>
      </w:r>
      <w:r>
        <w:rPr>
          <w:noProof/>
          <w:szCs w:val="22"/>
        </w:rPr>
        <w:t>Other Fees and Charges</w:t>
      </w:r>
      <w:r>
        <w:rPr>
          <w:noProof/>
        </w:rPr>
        <w:tab/>
      </w:r>
      <w:r>
        <w:rPr>
          <w:noProof/>
        </w:rPr>
        <w:fldChar w:fldCharType="begin"/>
      </w:r>
      <w:r>
        <w:rPr>
          <w:noProof/>
        </w:rPr>
        <w:instrText xml:space="preserve"> PAGEREF _Toc107747036 \h </w:instrText>
      </w:r>
      <w:r>
        <w:rPr>
          <w:noProof/>
        </w:rPr>
      </w:r>
      <w:r>
        <w:rPr>
          <w:noProof/>
        </w:rPr>
        <w:fldChar w:fldCharType="separate"/>
      </w:r>
      <w:r>
        <w:rPr>
          <w:noProof/>
        </w:rPr>
        <w:t>30</w:t>
      </w:r>
      <w:r>
        <w:rPr>
          <w:noProof/>
        </w:rPr>
        <w:fldChar w:fldCharType="end"/>
      </w:r>
    </w:p>
    <w:p>
      <w:pPr>
        <w:pStyle w:val="TOC4"/>
        <w:rPr>
          <w:noProof/>
          <w:sz w:val="24"/>
          <w:szCs w:val="24"/>
        </w:rPr>
      </w:pPr>
      <w:r>
        <w:rPr>
          <w:noProof/>
          <w:szCs w:val="22"/>
        </w:rPr>
        <w:t>3.</w:t>
      </w:r>
      <w:r>
        <w:rPr>
          <w:noProof/>
          <w:sz w:val="24"/>
          <w:szCs w:val="24"/>
        </w:rPr>
        <w:tab/>
      </w:r>
      <w:r>
        <w:rPr>
          <w:noProof/>
          <w:szCs w:val="22"/>
        </w:rPr>
        <w:t>Fees for Hire and Drive Vessels</w:t>
      </w:r>
      <w:r>
        <w:rPr>
          <w:noProof/>
        </w:rPr>
        <w:tab/>
      </w:r>
      <w:r>
        <w:rPr>
          <w:noProof/>
        </w:rPr>
        <w:fldChar w:fldCharType="begin"/>
      </w:r>
      <w:r>
        <w:rPr>
          <w:noProof/>
        </w:rPr>
        <w:instrText xml:space="preserve"> PAGEREF _Toc107747037 \h </w:instrText>
      </w:r>
      <w:r>
        <w:rPr>
          <w:noProof/>
        </w:rPr>
      </w:r>
      <w:r>
        <w:rPr>
          <w:noProof/>
        </w:rPr>
        <w:fldChar w:fldCharType="separate"/>
      </w:r>
      <w:r>
        <w:rPr>
          <w:noProof/>
        </w:rPr>
        <w:t>34</w:t>
      </w:r>
      <w:r>
        <w:rPr>
          <w:noProof/>
        </w:rPr>
        <w:fldChar w:fldCharType="end"/>
      </w:r>
    </w:p>
    <w:p>
      <w:pPr>
        <w:pStyle w:val="TOC4"/>
        <w:rPr>
          <w:noProof/>
          <w:sz w:val="24"/>
          <w:szCs w:val="24"/>
        </w:rPr>
      </w:pPr>
      <w:r>
        <w:rPr>
          <w:noProof/>
          <w:szCs w:val="22"/>
        </w:rPr>
        <w:t>4.</w:t>
      </w:r>
      <w:r>
        <w:rPr>
          <w:noProof/>
          <w:sz w:val="24"/>
          <w:szCs w:val="24"/>
        </w:rPr>
        <w:tab/>
      </w:r>
      <w:r>
        <w:rPr>
          <w:noProof/>
          <w:szCs w:val="22"/>
        </w:rPr>
        <w:t>Annual exemption fee</w:t>
      </w:r>
      <w:r>
        <w:rPr>
          <w:noProof/>
        </w:rPr>
        <w:tab/>
      </w:r>
      <w:r>
        <w:rPr>
          <w:noProof/>
        </w:rPr>
        <w:fldChar w:fldCharType="begin"/>
      </w:r>
      <w:r>
        <w:rPr>
          <w:noProof/>
        </w:rPr>
        <w:instrText xml:space="preserve"> PAGEREF _Toc107747038 \h </w:instrText>
      </w:r>
      <w:r>
        <w:rPr>
          <w:noProof/>
        </w:rPr>
      </w:r>
      <w:r>
        <w:rPr>
          <w:noProof/>
        </w:rPr>
        <w:fldChar w:fldCharType="separate"/>
      </w:r>
      <w:r>
        <w:rPr>
          <w:noProof/>
        </w:rPr>
        <w:t>34</w:t>
      </w:r>
      <w:r>
        <w:rPr>
          <w:noProof/>
        </w:rPr>
        <w:fldChar w:fldCharType="end"/>
      </w:r>
    </w:p>
    <w:p>
      <w:pPr>
        <w:pStyle w:val="TOC5"/>
        <w:rPr>
          <w:b w:val="0"/>
          <w:noProof/>
          <w:sz w:val="24"/>
          <w:szCs w:val="24"/>
        </w:rPr>
      </w:pPr>
      <w:r>
        <w:rPr>
          <w:noProof/>
          <w:szCs w:val="28"/>
        </w:rPr>
        <w:t>Schedule 2</w:t>
      </w:r>
      <w:r>
        <w:rPr>
          <w:noProof/>
        </w:rPr>
        <w:tab/>
      </w:r>
      <w:r>
        <w:rPr>
          <w:b w:val="0"/>
          <w:noProof/>
          <w:sz w:val="22"/>
        </w:rPr>
        <w:fldChar w:fldCharType="begin"/>
      </w:r>
      <w:r>
        <w:rPr>
          <w:b w:val="0"/>
          <w:noProof/>
          <w:sz w:val="22"/>
        </w:rPr>
        <w:instrText xml:space="preserve"> PAGEREF _Toc107747039 \h </w:instrText>
      </w:r>
      <w:r>
        <w:rPr>
          <w:b w:val="0"/>
          <w:noProof/>
          <w:sz w:val="22"/>
        </w:rPr>
      </w:r>
      <w:r>
        <w:rPr>
          <w:b w:val="0"/>
          <w:noProof/>
          <w:sz w:val="22"/>
        </w:rPr>
        <w:fldChar w:fldCharType="separate"/>
      </w:r>
      <w:r>
        <w:rPr>
          <w:b w:val="0"/>
          <w:noProof/>
          <w:sz w:val="22"/>
        </w:rPr>
        <w:t>36</w:t>
      </w:r>
      <w:r>
        <w:rPr>
          <w:b w:val="0"/>
          <w:noProof/>
          <w:sz w:val="22"/>
        </w:rPr>
        <w:fldChar w:fldCharType="end"/>
      </w:r>
    </w:p>
    <w:p>
      <w:pPr>
        <w:pStyle w:val="TOC7"/>
        <w:rPr>
          <w:noProof/>
          <w:sz w:val="24"/>
          <w:szCs w:val="24"/>
        </w:rPr>
      </w:pPr>
      <w:r>
        <w:rPr>
          <w:noProof/>
          <w:szCs w:val="28"/>
        </w:rPr>
        <w:t>Survey requirements and intervals</w:t>
      </w:r>
      <w:r>
        <w:rPr>
          <w:noProof/>
        </w:rPr>
        <w:tab/>
      </w:r>
      <w:r>
        <w:rPr>
          <w:noProof/>
        </w:rPr>
        <w:fldChar w:fldCharType="begin"/>
      </w:r>
      <w:r>
        <w:rPr>
          <w:noProof/>
        </w:rPr>
        <w:instrText xml:space="preserve"> PAGEREF _Toc107747040 \h </w:instrText>
      </w:r>
      <w:r>
        <w:rPr>
          <w:noProof/>
        </w:rPr>
      </w:r>
      <w:r>
        <w:rPr>
          <w:noProof/>
        </w:rPr>
        <w:fldChar w:fldCharType="separate"/>
      </w:r>
      <w:r>
        <w:rPr>
          <w:noProof/>
        </w:rPr>
        <w:t>36</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zCs w:val="24"/>
        </w:rPr>
        <w:tab/>
        <w:t>Compilation table</w:t>
      </w:r>
      <w:r>
        <w:rPr>
          <w:noProof/>
        </w:rPr>
        <w:tab/>
      </w:r>
      <w:r>
        <w:rPr>
          <w:noProof/>
        </w:rPr>
        <w:fldChar w:fldCharType="begin"/>
      </w:r>
      <w:r>
        <w:rPr>
          <w:noProof/>
        </w:rPr>
        <w:instrText xml:space="preserve"> PAGEREF _Toc107747042 \h </w:instrText>
      </w:r>
      <w:r>
        <w:rPr>
          <w:noProof/>
        </w:rPr>
      </w:r>
      <w:r>
        <w:rPr>
          <w:noProof/>
        </w:rPr>
        <w:fldChar w:fldCharType="separate"/>
      </w:r>
      <w:r>
        <w:rPr>
          <w:noProof/>
        </w:rPr>
        <w:t>42</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Western Australian Marine Act 1982</w:t>
      </w:r>
    </w:p>
    <w:p>
      <w:pPr>
        <w:pStyle w:val="NameofActReg"/>
      </w:pPr>
      <w:r>
        <w:t>W.A. Marine (Surveys and Certificates of Survey) Regulations 1983</w:t>
      </w:r>
    </w:p>
    <w:p>
      <w:pPr>
        <w:pStyle w:val="Heading2"/>
        <w:pageBreakBefore w:val="0"/>
      </w:pPr>
      <w:bookmarkStart w:id="1" w:name="_Toc107747002"/>
      <w:r>
        <w:rPr>
          <w:rStyle w:val="CharPartNo"/>
        </w:rPr>
        <w:t>Part I</w:t>
      </w:r>
      <w:r>
        <w:rPr>
          <w:rStyle w:val="CharDivNo"/>
        </w:rPr>
        <w:t> </w:t>
      </w:r>
      <w:r>
        <w:t>—</w:t>
      </w:r>
      <w:r>
        <w:rPr>
          <w:rStyle w:val="CharDivText"/>
        </w:rPr>
        <w:t> </w:t>
      </w:r>
      <w:r>
        <w:rPr>
          <w:rStyle w:val="CharPartText"/>
        </w:rPr>
        <w:t>Preliminary</w:t>
      </w:r>
      <w:bookmarkEnd w:id="1"/>
      <w:r>
        <w:rPr>
          <w:rStyle w:val="CharPartText"/>
        </w:rPr>
        <w:t xml:space="preserve"> </w:t>
      </w:r>
    </w:p>
    <w:p>
      <w:pPr>
        <w:pStyle w:val="Heading5"/>
        <w:rPr>
          <w:snapToGrid w:val="0"/>
        </w:rPr>
      </w:pPr>
      <w:bookmarkStart w:id="2" w:name="_Toc6384641"/>
      <w:bookmarkStart w:id="3" w:name="_Toc13031660"/>
      <w:bookmarkStart w:id="4" w:name="_Toc14593287"/>
      <w:bookmarkStart w:id="5" w:name="_Toc18137682"/>
      <w:bookmarkStart w:id="6" w:name="_Toc107747003"/>
      <w:r>
        <w:rPr>
          <w:rStyle w:val="CharSectno"/>
        </w:rPr>
        <w:t>1</w:t>
      </w:r>
      <w:r>
        <w:rPr>
          <w:snapToGrid w:val="0"/>
        </w:rPr>
        <w:t>.</w:t>
      </w:r>
      <w:r>
        <w:rPr>
          <w:snapToGrid w:val="0"/>
        </w:rPr>
        <w:tab/>
        <w:t>Citation</w:t>
      </w:r>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W.A. Marine (Surveys and Certificates of Survey) Regulations 1983</w:t>
      </w:r>
      <w:r>
        <w:rPr>
          <w:i/>
          <w:snapToGrid w:val="0"/>
          <w:vertAlign w:val="superscript"/>
        </w:rPr>
        <w:t xml:space="preserve"> </w:t>
      </w:r>
      <w:r>
        <w:rPr>
          <w:snapToGrid w:val="0"/>
          <w:vertAlign w:val="superscript"/>
        </w:rPr>
        <w:t>1</w:t>
      </w:r>
      <w:r>
        <w:rPr>
          <w:snapToGrid w:val="0"/>
        </w:rPr>
        <w:t>.</w:t>
      </w:r>
    </w:p>
    <w:p>
      <w:pPr>
        <w:pStyle w:val="Heading5"/>
        <w:rPr>
          <w:snapToGrid w:val="0"/>
        </w:rPr>
      </w:pPr>
      <w:bookmarkStart w:id="7" w:name="_Toc6384642"/>
      <w:bookmarkStart w:id="8" w:name="_Toc13031661"/>
      <w:bookmarkStart w:id="9" w:name="_Toc14593288"/>
      <w:bookmarkStart w:id="10" w:name="_Toc18137683"/>
      <w:bookmarkStart w:id="11" w:name="_Toc107747004"/>
      <w:r>
        <w:rPr>
          <w:rStyle w:val="CharSectno"/>
        </w:rPr>
        <w:t>2</w:t>
      </w:r>
      <w:r>
        <w:rPr>
          <w:snapToGrid w:val="0"/>
        </w:rPr>
        <w:t>.</w:t>
      </w:r>
      <w:r>
        <w:rPr>
          <w:snapToGrid w:val="0"/>
        </w:rPr>
        <w:tab/>
        <w:t>Commencement</w:t>
      </w:r>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These regulations shall come into operation on 1 July 1983.</w:t>
      </w:r>
    </w:p>
    <w:p>
      <w:pPr>
        <w:pStyle w:val="Heading5"/>
        <w:rPr>
          <w:snapToGrid w:val="0"/>
        </w:rPr>
      </w:pPr>
      <w:bookmarkStart w:id="12" w:name="_Toc6384643"/>
      <w:bookmarkStart w:id="13" w:name="_Toc13031662"/>
      <w:bookmarkStart w:id="14" w:name="_Toc14593289"/>
      <w:bookmarkStart w:id="15" w:name="_Toc18137684"/>
      <w:bookmarkStart w:id="16" w:name="_Toc107747005"/>
      <w:r>
        <w:rPr>
          <w:rStyle w:val="CharSectno"/>
        </w:rPr>
        <w:t>3</w:t>
      </w:r>
      <w:r>
        <w:rPr>
          <w:snapToGrid w:val="0"/>
        </w:rPr>
        <w:t>.</w:t>
      </w:r>
      <w:r>
        <w:rPr>
          <w:snapToGrid w:val="0"/>
        </w:rPr>
        <w:tab/>
        <w:t>Interpretation</w:t>
      </w:r>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Code</w:t>
      </w:r>
      <w:r>
        <w:rPr>
          <w:b/>
        </w:rPr>
        <w:t>”</w:t>
      </w:r>
      <w:r>
        <w:t xml:space="preserve"> means the </w:t>
      </w:r>
      <w:r>
        <w:rPr>
          <w:i/>
        </w:rPr>
        <w:t>Uniform Shipping Laws Code</w:t>
      </w:r>
      <w:r>
        <w:t xml:space="preserve"> adopted by the Marine and Ports Council of Australia and published in the </w:t>
      </w:r>
      <w:r>
        <w:rPr>
          <w:i/>
        </w:rPr>
        <w:t>Commonwealth of Australia Gazette</w:t>
      </w:r>
      <w:r>
        <w:t xml:space="preserve"> on 11 May 1981;</w:t>
      </w:r>
    </w:p>
    <w:p>
      <w:pPr>
        <w:pStyle w:val="Defstart"/>
      </w:pPr>
      <w:r>
        <w:rPr>
          <w:b/>
        </w:rPr>
        <w:tab/>
        <w:t>“</w:t>
      </w:r>
      <w:r>
        <w:rPr>
          <w:rStyle w:val="CharDefText"/>
        </w:rPr>
        <w:t>inspection</w:t>
      </w:r>
      <w:r>
        <w:rPr>
          <w:b/>
        </w:rPr>
        <w:t>”</w:t>
      </w:r>
      <w:r>
        <w:t xml:space="preserve"> means a visual inspection performed by a person approved for the purpose by the Chief Executive Officer;</w:t>
      </w:r>
    </w:p>
    <w:p>
      <w:pPr>
        <w:pStyle w:val="Defstart"/>
      </w:pPr>
      <w:r>
        <w:rPr>
          <w:b/>
        </w:rPr>
        <w:tab/>
        <w:t>“</w:t>
      </w:r>
      <w:r>
        <w:rPr>
          <w:rStyle w:val="CharDefText"/>
        </w:rPr>
        <w:t>marine authority</w:t>
      </w:r>
      <w:r>
        <w:rPr>
          <w:b/>
        </w:rPr>
        <w:t>”</w:t>
      </w:r>
      <w:r>
        <w:t xml:space="preserve"> means the statutory marine authority of the Commonwealth or of a State or Territory of the Commonwealth;</w:t>
      </w:r>
    </w:p>
    <w:p>
      <w:pPr>
        <w:pStyle w:val="Defstart"/>
      </w:pPr>
      <w:r>
        <w:rPr>
          <w:b/>
        </w:rPr>
        <w:tab/>
        <w:t>“</w:t>
      </w:r>
      <w:r>
        <w:rPr>
          <w:rStyle w:val="CharDefText"/>
        </w:rPr>
        <w:t>regulation</w:t>
      </w:r>
      <w:r>
        <w:rPr>
          <w:b/>
        </w:rPr>
        <w:t>”</w:t>
      </w:r>
      <w:r>
        <w:t xml:space="preserve"> means a regulation of these regulations;</w:t>
      </w:r>
    </w:p>
    <w:p>
      <w:pPr>
        <w:pStyle w:val="Defstart"/>
      </w:pPr>
      <w:r>
        <w:rPr>
          <w:b/>
        </w:rPr>
        <w:tab/>
        <w:t>“</w:t>
      </w:r>
      <w:r>
        <w:rPr>
          <w:rStyle w:val="CharDefText"/>
        </w:rPr>
        <w:t>schedule</w:t>
      </w:r>
      <w:r>
        <w:rPr>
          <w:b/>
        </w:rPr>
        <w:t>”</w:t>
      </w:r>
      <w:r>
        <w:t xml:space="preserve"> means schedule to these regulations;</w:t>
      </w:r>
    </w:p>
    <w:p>
      <w:pPr>
        <w:pStyle w:val="Defstart"/>
      </w:pPr>
      <w:r>
        <w:rPr>
          <w:b/>
        </w:rPr>
        <w:tab/>
        <w:t>“</w:t>
      </w:r>
      <w:r>
        <w:rPr>
          <w:rStyle w:val="CharDefText"/>
        </w:rPr>
        <w:t>specified form</w:t>
      </w:r>
      <w:r>
        <w:rPr>
          <w:b/>
        </w:rPr>
        <w:t>”</w:t>
      </w:r>
      <w:r>
        <w:t xml:space="preserve"> means a form specified for the purpose by the Minister;</w:t>
      </w:r>
    </w:p>
    <w:p>
      <w:pPr>
        <w:pStyle w:val="Defstart"/>
      </w:pPr>
      <w:r>
        <w:rPr>
          <w:b/>
        </w:rPr>
        <w:lastRenderedPageBreak/>
        <w:tab/>
        <w:t>“</w:t>
      </w:r>
      <w:r>
        <w:rPr>
          <w:rStyle w:val="CharDefText"/>
        </w:rPr>
        <w:t>subregulation</w:t>
      </w:r>
      <w:r>
        <w:rPr>
          <w:b/>
        </w:rPr>
        <w:t>”</w:t>
      </w:r>
      <w:r>
        <w:t xml:space="preserve"> means a subregulation of the regulation in which the term is used;</w:t>
      </w:r>
    </w:p>
    <w:p>
      <w:pPr>
        <w:pStyle w:val="Defstart"/>
      </w:pPr>
      <w:r>
        <w:rPr>
          <w:b/>
        </w:rPr>
        <w:tab/>
        <w:t>“</w:t>
      </w:r>
      <w:r>
        <w:rPr>
          <w:rStyle w:val="CharDefText"/>
        </w:rPr>
        <w:t>survey</w:t>
      </w:r>
      <w:r>
        <w:rPr>
          <w:b/>
        </w:rPr>
        <w:t>”</w:t>
      </w:r>
      <w:r>
        <w:t xml:space="preserve"> means a thorough examination performed by or in the presence of a surveyor or survey authority;</w:t>
      </w:r>
    </w:p>
    <w:p>
      <w:pPr>
        <w:pStyle w:val="Defstart"/>
      </w:pPr>
      <w:r>
        <w:rPr>
          <w:b/>
        </w:rPr>
        <w:tab/>
        <w:t>“</w:t>
      </w:r>
      <w:r>
        <w:rPr>
          <w:rStyle w:val="CharDefText"/>
        </w:rPr>
        <w:t>survey authority</w:t>
      </w:r>
      <w:r>
        <w:rPr>
          <w:b/>
        </w:rPr>
        <w:t>”</w:t>
      </w:r>
      <w:r>
        <w:t xml:space="preserve"> means an authority appointed by the Governor under section 24 of the Act.</w:t>
      </w:r>
    </w:p>
    <w:p>
      <w:pPr>
        <w:pStyle w:val="Footnotesection"/>
      </w:pPr>
      <w:r>
        <w:tab/>
        <w:t xml:space="preserve">[Regulation 3 amended in Gazette 11 Aug 1992 p. 3980.] </w:t>
      </w:r>
    </w:p>
    <w:p>
      <w:pPr>
        <w:pStyle w:val="Heading5"/>
        <w:rPr>
          <w:snapToGrid w:val="0"/>
        </w:rPr>
      </w:pPr>
      <w:bookmarkStart w:id="17" w:name="_Toc6384644"/>
      <w:bookmarkStart w:id="18" w:name="_Toc13031663"/>
      <w:bookmarkStart w:id="19" w:name="_Toc14593290"/>
      <w:bookmarkStart w:id="20" w:name="_Toc18137685"/>
      <w:bookmarkStart w:id="21" w:name="_Toc107747006"/>
      <w:r>
        <w:rPr>
          <w:rStyle w:val="CharSectno"/>
        </w:rPr>
        <w:t>4</w:t>
      </w:r>
      <w:r>
        <w:rPr>
          <w:snapToGrid w:val="0"/>
        </w:rPr>
        <w:t>.</w:t>
      </w:r>
      <w:r>
        <w:rPr>
          <w:snapToGrid w:val="0"/>
        </w:rPr>
        <w:tab/>
        <w:t>Application</w:t>
      </w:r>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These regulations apply to all commercial vessels to which the Act applies.</w:t>
      </w:r>
    </w:p>
    <w:p>
      <w:pPr>
        <w:pStyle w:val="Heading5"/>
        <w:rPr>
          <w:snapToGrid w:val="0"/>
        </w:rPr>
      </w:pPr>
      <w:bookmarkStart w:id="22" w:name="_Toc6384645"/>
      <w:bookmarkStart w:id="23" w:name="_Toc13031664"/>
      <w:bookmarkStart w:id="24" w:name="_Toc14593291"/>
      <w:bookmarkStart w:id="25" w:name="_Toc18137686"/>
      <w:bookmarkStart w:id="26" w:name="_Toc107747007"/>
      <w:r>
        <w:rPr>
          <w:rStyle w:val="CharSectno"/>
        </w:rPr>
        <w:t>4A</w:t>
      </w:r>
      <w:r>
        <w:rPr>
          <w:snapToGrid w:val="0"/>
        </w:rPr>
        <w:t>.</w:t>
      </w:r>
      <w:r>
        <w:rPr>
          <w:snapToGrid w:val="0"/>
        </w:rPr>
        <w:tab/>
        <w:t>Fees and charges</w:t>
      </w:r>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Unless otherwise set out in these regulations, the fees and charges in Schedule 1 are payable in relation to the matters associated with the fee or charge in that Schedule.</w:t>
      </w:r>
    </w:p>
    <w:p>
      <w:pPr>
        <w:pStyle w:val="Footnotesection"/>
      </w:pPr>
      <w:r>
        <w:tab/>
        <w:t xml:space="preserve">[Regulation 4A inserted in Gazette 11 Jul 1995 p. 2948.] </w:t>
      </w:r>
    </w:p>
    <w:p>
      <w:pPr>
        <w:pStyle w:val="Heading2"/>
      </w:pPr>
      <w:bookmarkStart w:id="27" w:name="_Toc107747008"/>
      <w:r>
        <w:rPr>
          <w:rStyle w:val="CharPartNo"/>
        </w:rPr>
        <w:lastRenderedPageBreak/>
        <w:t>Part II</w:t>
      </w:r>
      <w:r>
        <w:rPr>
          <w:rStyle w:val="CharDivNo"/>
        </w:rPr>
        <w:t> </w:t>
      </w:r>
      <w:r>
        <w:t>—</w:t>
      </w:r>
      <w:r>
        <w:rPr>
          <w:rStyle w:val="CharDivText"/>
        </w:rPr>
        <w:t> </w:t>
      </w:r>
      <w:r>
        <w:rPr>
          <w:rStyle w:val="CharPartText"/>
        </w:rPr>
        <w:t>Survey requirements</w:t>
      </w:r>
      <w:bookmarkEnd w:id="27"/>
      <w:r>
        <w:rPr>
          <w:rStyle w:val="CharPartText"/>
        </w:rPr>
        <w:t xml:space="preserve"> </w:t>
      </w:r>
    </w:p>
    <w:p>
      <w:pPr>
        <w:pStyle w:val="Heading5"/>
        <w:rPr>
          <w:snapToGrid w:val="0"/>
        </w:rPr>
      </w:pPr>
      <w:bookmarkStart w:id="28" w:name="_Toc6384646"/>
      <w:bookmarkStart w:id="29" w:name="_Toc13031665"/>
      <w:bookmarkStart w:id="30" w:name="_Toc14593292"/>
      <w:bookmarkStart w:id="31" w:name="_Toc18137687"/>
      <w:bookmarkStart w:id="32" w:name="_Toc107747009"/>
      <w:r>
        <w:rPr>
          <w:rStyle w:val="CharSectno"/>
        </w:rPr>
        <w:t>5</w:t>
      </w:r>
      <w:r>
        <w:rPr>
          <w:snapToGrid w:val="0"/>
        </w:rPr>
        <w:t>.</w:t>
      </w:r>
      <w:r>
        <w:rPr>
          <w:snapToGrid w:val="0"/>
        </w:rPr>
        <w:tab/>
        <w:t>Initial survey</w:t>
      </w:r>
      <w:bookmarkEnd w:id="28"/>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Every new vessel constructed under the jurisdiction of the State and every existing vessel being brought under survey for the first time is required to undergo an initial survey for the purpose of satisfying the Chief Executive Officer that the vessel complies with the laws of the State.</w:t>
      </w:r>
    </w:p>
    <w:p>
      <w:pPr>
        <w:pStyle w:val="Subsection"/>
        <w:rPr>
          <w:snapToGrid w:val="0"/>
          <w:spacing w:val="-4"/>
        </w:rPr>
      </w:pPr>
      <w:r>
        <w:rPr>
          <w:snapToGrid w:val="0"/>
          <w:spacing w:val="-4"/>
        </w:rPr>
        <w:tab/>
        <w:t>(2)</w:t>
      </w:r>
      <w:r>
        <w:rPr>
          <w:snapToGrid w:val="0"/>
          <w:spacing w:val="-4"/>
        </w:rPr>
        <w:tab/>
        <w:t>An application for initial survey shall be made to the Chief Executive Officer in the specified form and shall be accompanied by the appropriate survey fee set out in Schedule 1.</w:t>
      </w:r>
    </w:p>
    <w:p>
      <w:pPr>
        <w:pStyle w:val="Subsection"/>
        <w:rPr>
          <w:snapToGrid w:val="0"/>
        </w:rPr>
      </w:pPr>
      <w:r>
        <w:rPr>
          <w:snapToGrid w:val="0"/>
        </w:rPr>
        <w:tab/>
        <w:t>(3)</w:t>
      </w:r>
      <w:r>
        <w:rPr>
          <w:snapToGrid w:val="0"/>
        </w:rPr>
        <w:tab/>
        <w:t>An application for initial survey shall be accompanied by the following information — </w:t>
      </w:r>
    </w:p>
    <w:p>
      <w:pPr>
        <w:pStyle w:val="Indenta"/>
        <w:rPr>
          <w:snapToGrid w:val="0"/>
        </w:rPr>
      </w:pPr>
      <w:r>
        <w:rPr>
          <w:snapToGrid w:val="0"/>
        </w:rPr>
        <w:tab/>
        <w:t>(a)</w:t>
      </w:r>
      <w:r>
        <w:rPr>
          <w:snapToGrid w:val="0"/>
        </w:rPr>
        <w:tab/>
        <w:t>type and purpose of vessel;</w:t>
      </w:r>
    </w:p>
    <w:p>
      <w:pPr>
        <w:pStyle w:val="Indenta"/>
        <w:rPr>
          <w:snapToGrid w:val="0"/>
        </w:rPr>
      </w:pPr>
      <w:r>
        <w:rPr>
          <w:snapToGrid w:val="0"/>
        </w:rPr>
        <w:tab/>
        <w:t>(b)</w:t>
      </w:r>
      <w:r>
        <w:rPr>
          <w:snapToGrid w:val="0"/>
        </w:rPr>
        <w:tab/>
        <w:t>intended area of operations;</w:t>
      </w:r>
    </w:p>
    <w:p>
      <w:pPr>
        <w:pStyle w:val="Indenta"/>
        <w:rPr>
          <w:snapToGrid w:val="0"/>
        </w:rPr>
      </w:pPr>
      <w:r>
        <w:rPr>
          <w:snapToGrid w:val="0"/>
        </w:rPr>
        <w:tab/>
        <w:t>(c)</w:t>
      </w:r>
      <w:r>
        <w:rPr>
          <w:snapToGrid w:val="0"/>
        </w:rPr>
        <w:tab/>
        <w:t>whether vessel is to be classed and if so, name of the Classification Society (for existing vessel the details of any Classification);</w:t>
      </w:r>
    </w:p>
    <w:p>
      <w:pPr>
        <w:pStyle w:val="Indenta"/>
        <w:rPr>
          <w:snapToGrid w:val="0"/>
        </w:rPr>
      </w:pPr>
      <w:r>
        <w:rPr>
          <w:snapToGrid w:val="0"/>
        </w:rPr>
        <w:tab/>
        <w:t>(d)</w:t>
      </w:r>
      <w:r>
        <w:rPr>
          <w:snapToGrid w:val="0"/>
        </w:rPr>
        <w:tab/>
        <w:t>plans and details of hull, boilers and machinery, and equipment;</w:t>
      </w:r>
    </w:p>
    <w:p>
      <w:pPr>
        <w:pStyle w:val="Indenta"/>
        <w:rPr>
          <w:snapToGrid w:val="0"/>
        </w:rPr>
      </w:pPr>
      <w:r>
        <w:rPr>
          <w:snapToGrid w:val="0"/>
        </w:rPr>
        <w:tab/>
        <w:t>(e)</w:t>
      </w:r>
      <w:r>
        <w:rPr>
          <w:snapToGrid w:val="0"/>
        </w:rPr>
        <w:tab/>
        <w:t>such other information as the Chief Executive Officer may require; and</w:t>
      </w:r>
    </w:p>
    <w:p>
      <w:pPr>
        <w:pStyle w:val="Indenta"/>
        <w:rPr>
          <w:snapToGrid w:val="0"/>
        </w:rPr>
      </w:pPr>
      <w:r>
        <w:rPr>
          <w:snapToGrid w:val="0"/>
        </w:rPr>
        <w:tab/>
        <w:t>(f)</w:t>
      </w:r>
      <w:r>
        <w:rPr>
          <w:snapToGrid w:val="0"/>
        </w:rPr>
        <w:tab/>
        <w:t>where a vessel is, or is to be, classed, the owner shall forward to the Chief Executive Officer only such plans and details as are relevant to the Chief Executive Officer’s own survey and the other plans and details shall be forwarded to the Classification Society.</w:t>
      </w:r>
    </w:p>
    <w:p>
      <w:pPr>
        <w:pStyle w:val="Subsection"/>
        <w:rPr>
          <w:snapToGrid w:val="0"/>
        </w:rPr>
      </w:pPr>
      <w:r>
        <w:rPr>
          <w:snapToGrid w:val="0"/>
        </w:rPr>
        <w:tab/>
        <w:t>(4)</w:t>
      </w:r>
      <w:r>
        <w:rPr>
          <w:snapToGrid w:val="0"/>
        </w:rPr>
        <w:tab/>
        <w:t>The information required to be provided to the Authority under subregulation (3) shall be submitted — </w:t>
      </w:r>
    </w:p>
    <w:p>
      <w:pPr>
        <w:pStyle w:val="Indenta"/>
        <w:rPr>
          <w:snapToGrid w:val="0"/>
        </w:rPr>
      </w:pPr>
      <w:r>
        <w:rPr>
          <w:snapToGrid w:val="0"/>
        </w:rPr>
        <w:tab/>
        <w:t>(a)</w:t>
      </w:r>
      <w:r>
        <w:rPr>
          <w:snapToGrid w:val="0"/>
        </w:rPr>
        <w:tab/>
        <w:t>in the case of a new vessel, prior to the commencement of construction (and construction shall not begin until the Chief Executive Officer has given his approval); and</w:t>
      </w:r>
    </w:p>
    <w:p>
      <w:pPr>
        <w:pStyle w:val="Indenta"/>
        <w:rPr>
          <w:snapToGrid w:val="0"/>
        </w:rPr>
      </w:pPr>
      <w:r>
        <w:rPr>
          <w:snapToGrid w:val="0"/>
        </w:rPr>
        <w:lastRenderedPageBreak/>
        <w:tab/>
        <w:t>(b)</w:t>
      </w:r>
      <w:r>
        <w:rPr>
          <w:snapToGrid w:val="0"/>
        </w:rPr>
        <w:tab/>
        <w:t>in the case of an existing vessel, in such time as is provided by regulation 6(7) with respect to applications for periodic survey.</w:t>
      </w:r>
    </w:p>
    <w:p>
      <w:pPr>
        <w:pStyle w:val="Subsection"/>
        <w:rPr>
          <w:snapToGrid w:val="0"/>
        </w:rPr>
      </w:pPr>
      <w:r>
        <w:rPr>
          <w:snapToGrid w:val="0"/>
        </w:rPr>
        <w:tab/>
        <w:t>(5)</w:t>
      </w:r>
      <w:r>
        <w:rPr>
          <w:snapToGrid w:val="0"/>
        </w:rPr>
        <w:tab/>
        <w:t>Subject to subregulation (6), an initial survey shall be carried out in full by the Department’s surveyors who shall forward to the Chief Executive Officer in writing, and in a form approved by the Chief Executive Officer, a report of the condition of the hull and the boilers and machinery and equipment of the vessel.</w:t>
      </w:r>
    </w:p>
    <w:p>
      <w:pPr>
        <w:pStyle w:val="Subsection"/>
        <w:rPr>
          <w:snapToGrid w:val="0"/>
        </w:rPr>
      </w:pPr>
      <w:r>
        <w:rPr>
          <w:snapToGrid w:val="0"/>
        </w:rPr>
        <w:tab/>
        <w:t>(6)</w:t>
      </w:r>
      <w:r>
        <w:rPr>
          <w:snapToGrid w:val="0"/>
        </w:rPr>
        <w:tab/>
        <w:t>The Chief Executive Officer may accept the performance of all or part of an initial survey by a survey authority.</w:t>
      </w:r>
    </w:p>
    <w:p>
      <w:pPr>
        <w:pStyle w:val="Footnotesection"/>
      </w:pPr>
      <w:r>
        <w:tab/>
        <w:t xml:space="preserve">[Regulation 5 amended in Gazette 11 Aug 1992 p. 3980.] </w:t>
      </w:r>
    </w:p>
    <w:p>
      <w:pPr>
        <w:pStyle w:val="Heading5"/>
        <w:rPr>
          <w:snapToGrid w:val="0"/>
        </w:rPr>
      </w:pPr>
      <w:bookmarkStart w:id="33" w:name="_Toc6384647"/>
      <w:bookmarkStart w:id="34" w:name="_Toc13031666"/>
      <w:bookmarkStart w:id="35" w:name="_Toc14593293"/>
      <w:bookmarkStart w:id="36" w:name="_Toc18137688"/>
      <w:bookmarkStart w:id="37" w:name="_Toc107747010"/>
      <w:r>
        <w:rPr>
          <w:rStyle w:val="CharSectno"/>
        </w:rPr>
        <w:t>6</w:t>
      </w:r>
      <w:r>
        <w:rPr>
          <w:snapToGrid w:val="0"/>
        </w:rPr>
        <w:t>.</w:t>
      </w:r>
      <w:r>
        <w:rPr>
          <w:snapToGrid w:val="0"/>
        </w:rPr>
        <w:tab/>
        <w:t>Periodic surveys and inspections</w:t>
      </w:r>
      <w:bookmarkEnd w:id="33"/>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Subsequent to the initial survey, every vessel is required to undergo periodic surveys and inspections for the purpose of satisfying the Chief Executive Officer that the vessel continues to comply with the laws of the State.</w:t>
      </w:r>
    </w:p>
    <w:p>
      <w:pPr>
        <w:pStyle w:val="Subsection"/>
        <w:rPr>
          <w:snapToGrid w:val="0"/>
        </w:rPr>
      </w:pPr>
      <w:r>
        <w:rPr>
          <w:snapToGrid w:val="0"/>
        </w:rPr>
        <w:tab/>
        <w:t>(2)</w:t>
      </w:r>
      <w:r>
        <w:rPr>
          <w:snapToGrid w:val="0"/>
        </w:rPr>
        <w:tab/>
        <w:t>The Chief Executive Officer may accept the performance of all or part of a periodic survey or inspection by a survey authority.</w:t>
      </w:r>
    </w:p>
    <w:p>
      <w:pPr>
        <w:pStyle w:val="Subsection"/>
        <w:rPr>
          <w:snapToGrid w:val="0"/>
        </w:rPr>
      </w:pPr>
      <w:r>
        <w:rPr>
          <w:snapToGrid w:val="0"/>
        </w:rPr>
        <w:tab/>
        <w:t>(3)</w:t>
      </w:r>
      <w:r>
        <w:rPr>
          <w:snapToGrid w:val="0"/>
        </w:rPr>
        <w:tab/>
        <w:t>Subject to subregulation (3a), the intervals between surveys shall be as follows — </w:t>
      </w:r>
    </w:p>
    <w:p>
      <w:pPr>
        <w:pStyle w:val="Indenta"/>
        <w:rPr>
          <w:snapToGrid w:val="0"/>
        </w:rPr>
      </w:pPr>
      <w:r>
        <w:rPr>
          <w:snapToGrid w:val="0"/>
        </w:rPr>
        <w:tab/>
        <w:t>(a)</w:t>
      </w:r>
      <w:r>
        <w:rPr>
          <w:snapToGrid w:val="0"/>
        </w:rPr>
        <w:tab/>
        <w:t>a vessel’s equipment shall be surveyed at intervals not exceeding 1 year;</w:t>
      </w:r>
    </w:p>
    <w:p>
      <w:pPr>
        <w:pStyle w:val="Indenta"/>
        <w:rPr>
          <w:snapToGrid w:val="0"/>
        </w:rPr>
      </w:pPr>
      <w:r>
        <w:rPr>
          <w:snapToGrid w:val="0"/>
        </w:rPr>
        <w:tab/>
        <w:t>(b)</w:t>
      </w:r>
      <w:r>
        <w:rPr>
          <w:snapToGrid w:val="0"/>
        </w:rPr>
        <w:tab/>
        <w:t>a vessel’s hull, structure, boilers and machinery, and fittings shall be surveyed at the intervals specified in a survey programme approved by the Chief Executive Officer or alternatively in accordance with the requirements of Schedule 2, except that the Chief Executive Officer may in a particular case require lesser intervals than those in Schedule 2 if considered desirable because of — </w:t>
      </w:r>
    </w:p>
    <w:p>
      <w:pPr>
        <w:pStyle w:val="Indenti"/>
        <w:rPr>
          <w:snapToGrid w:val="0"/>
        </w:rPr>
      </w:pPr>
      <w:r>
        <w:rPr>
          <w:snapToGrid w:val="0"/>
        </w:rPr>
        <w:tab/>
        <w:t>(i)</w:t>
      </w:r>
      <w:r>
        <w:rPr>
          <w:snapToGrid w:val="0"/>
        </w:rPr>
        <w:tab/>
        <w:t>the age of the vessel;</w:t>
      </w:r>
    </w:p>
    <w:p>
      <w:pPr>
        <w:pStyle w:val="Indenti"/>
        <w:rPr>
          <w:snapToGrid w:val="0"/>
        </w:rPr>
      </w:pPr>
      <w:r>
        <w:rPr>
          <w:snapToGrid w:val="0"/>
        </w:rPr>
        <w:lastRenderedPageBreak/>
        <w:tab/>
        <w:t>(ii)</w:t>
      </w:r>
      <w:r>
        <w:rPr>
          <w:snapToGrid w:val="0"/>
        </w:rPr>
        <w:tab/>
        <w:t>the service of the vessel (passenger, cargo or fishing);</w:t>
      </w:r>
    </w:p>
    <w:p>
      <w:pPr>
        <w:pStyle w:val="Indenti"/>
        <w:rPr>
          <w:snapToGrid w:val="0"/>
        </w:rPr>
      </w:pPr>
      <w:r>
        <w:rPr>
          <w:snapToGrid w:val="0"/>
        </w:rPr>
        <w:tab/>
        <w:t>(iii)</w:t>
      </w:r>
      <w:r>
        <w:rPr>
          <w:snapToGrid w:val="0"/>
        </w:rPr>
        <w:tab/>
        <w:t>the area or proposed area of operation of the vessel;</w:t>
      </w:r>
    </w:p>
    <w:p>
      <w:pPr>
        <w:pStyle w:val="Indenti"/>
        <w:rPr>
          <w:snapToGrid w:val="0"/>
        </w:rPr>
      </w:pPr>
      <w:r>
        <w:rPr>
          <w:snapToGrid w:val="0"/>
        </w:rPr>
        <w:tab/>
        <w:t>(iv)</w:t>
      </w:r>
      <w:r>
        <w:rPr>
          <w:snapToGrid w:val="0"/>
        </w:rPr>
        <w:tab/>
        <w:t>the materials used in and the method of construction of the vessel;</w:t>
      </w:r>
    </w:p>
    <w:p>
      <w:pPr>
        <w:pStyle w:val="Indenti"/>
        <w:rPr>
          <w:snapToGrid w:val="0"/>
        </w:rPr>
      </w:pPr>
      <w:r>
        <w:rPr>
          <w:snapToGrid w:val="0"/>
        </w:rPr>
        <w:tab/>
        <w:t>(v)</w:t>
      </w:r>
      <w:r>
        <w:rPr>
          <w:snapToGrid w:val="0"/>
        </w:rPr>
        <w:tab/>
        <w:t>the type of underwater fittings of the vessel;</w:t>
      </w:r>
    </w:p>
    <w:p>
      <w:pPr>
        <w:pStyle w:val="Indenti"/>
        <w:rPr>
          <w:snapToGrid w:val="0"/>
        </w:rPr>
      </w:pPr>
      <w:r>
        <w:rPr>
          <w:snapToGrid w:val="0"/>
        </w:rPr>
        <w:tab/>
        <w:t>(vi)</w:t>
      </w:r>
      <w:r>
        <w:rPr>
          <w:snapToGrid w:val="0"/>
        </w:rPr>
        <w:tab/>
        <w:t>the size of the vessel; or</w:t>
      </w:r>
    </w:p>
    <w:p>
      <w:pPr>
        <w:pStyle w:val="Indenti"/>
        <w:rPr>
          <w:snapToGrid w:val="0"/>
        </w:rPr>
      </w:pPr>
      <w:r>
        <w:rPr>
          <w:snapToGrid w:val="0"/>
        </w:rPr>
        <w:tab/>
        <w:t>(vii)</w:t>
      </w:r>
      <w:r>
        <w:rPr>
          <w:snapToGrid w:val="0"/>
        </w:rPr>
        <w:tab/>
        <w:t>any other reason.</w:t>
      </w:r>
    </w:p>
    <w:p>
      <w:pPr>
        <w:pStyle w:val="Subsection"/>
        <w:rPr>
          <w:snapToGrid w:val="0"/>
        </w:rPr>
      </w:pPr>
      <w:r>
        <w:rPr>
          <w:snapToGrid w:val="0"/>
        </w:rPr>
        <w:tab/>
        <w:t>(3a)</w:t>
      </w:r>
      <w:r>
        <w:rPr>
          <w:snapToGrid w:val="0"/>
        </w:rPr>
        <w:tab/>
        <w:t>Where a fishing vessel has been launched for less than 10 years — </w:t>
      </w:r>
    </w:p>
    <w:p>
      <w:pPr>
        <w:pStyle w:val="Indenta"/>
        <w:rPr>
          <w:snapToGrid w:val="0"/>
        </w:rPr>
      </w:pPr>
      <w:r>
        <w:rPr>
          <w:snapToGrid w:val="0"/>
        </w:rPr>
        <w:tab/>
        <w:t>(a)</w:t>
      </w:r>
      <w:r>
        <w:rPr>
          <w:snapToGrid w:val="0"/>
        </w:rPr>
        <w:tab/>
        <w:t>the intervals between surveys shall not exceed 2 years; and</w:t>
      </w:r>
    </w:p>
    <w:p>
      <w:pPr>
        <w:pStyle w:val="Indenta"/>
        <w:rPr>
          <w:snapToGrid w:val="0"/>
        </w:rPr>
      </w:pPr>
      <w:r>
        <w:rPr>
          <w:snapToGrid w:val="0"/>
        </w:rPr>
        <w:tab/>
        <w:t>(b)</w:t>
      </w:r>
      <w:r>
        <w:rPr>
          <w:snapToGrid w:val="0"/>
        </w:rPr>
        <w:tab/>
        <w:t>the survey intervals specified in Schedule 2 as “Annual” shall be read as “2</w:t>
      </w:r>
      <w:r>
        <w:rPr>
          <w:snapToGrid w:val="0"/>
        </w:rPr>
        <w:noBreakHyphen/>
        <w:t>Yearly” for the purposes of this subregulation.</w:t>
      </w:r>
    </w:p>
    <w:p>
      <w:pPr>
        <w:pStyle w:val="Subsection"/>
        <w:rPr>
          <w:snapToGrid w:val="0"/>
        </w:rPr>
      </w:pPr>
      <w:r>
        <w:rPr>
          <w:snapToGrid w:val="0"/>
        </w:rPr>
        <w:tab/>
        <w:t>(4)</w:t>
      </w:r>
      <w:r>
        <w:rPr>
          <w:snapToGrid w:val="0"/>
        </w:rPr>
        <w:tab/>
        <w:t>The owner may submit a survey programme for a vessel to the Chief Executive Officer for his approval. In drawing up such a programme, consideration shall be given to — </w:t>
      </w:r>
    </w:p>
    <w:p>
      <w:pPr>
        <w:pStyle w:val="Indenta"/>
        <w:rPr>
          <w:snapToGrid w:val="0"/>
        </w:rPr>
      </w:pPr>
      <w:r>
        <w:rPr>
          <w:snapToGrid w:val="0"/>
        </w:rPr>
        <w:tab/>
        <w:t>(a)</w:t>
      </w:r>
      <w:r>
        <w:rPr>
          <w:snapToGrid w:val="0"/>
        </w:rPr>
        <w:tab/>
        <w:t>the survey requirements and intervals in Schedule 2; and</w:t>
      </w:r>
    </w:p>
    <w:p>
      <w:pPr>
        <w:pStyle w:val="Indenta"/>
        <w:rPr>
          <w:snapToGrid w:val="0"/>
        </w:rPr>
      </w:pPr>
      <w:r>
        <w:rPr>
          <w:snapToGrid w:val="0"/>
        </w:rPr>
        <w:tab/>
        <w:t>(b)</w:t>
      </w:r>
      <w:r>
        <w:rPr>
          <w:snapToGrid w:val="0"/>
        </w:rPr>
        <w:tab/>
        <w:t>the specific requirements of the Chief Executive Officer.</w:t>
      </w:r>
    </w:p>
    <w:p>
      <w:pPr>
        <w:pStyle w:val="Subsection"/>
        <w:rPr>
          <w:snapToGrid w:val="0"/>
        </w:rPr>
      </w:pPr>
      <w:r>
        <w:rPr>
          <w:snapToGrid w:val="0"/>
        </w:rPr>
        <w:tab/>
        <w:t>(5)</w:t>
      </w:r>
      <w:r>
        <w:rPr>
          <w:snapToGrid w:val="0"/>
        </w:rPr>
        <w:tab/>
        <w:t>Where a survey programme has been approved by the Chief Executive Officer under this regulation, the survey of particular items shall be carried out in accordance with that programme, except where the Chief Executive Officer directs otherwise or agrees to modify, defer, or cancel the programme.</w:t>
      </w:r>
    </w:p>
    <w:p>
      <w:pPr>
        <w:pStyle w:val="Subsection"/>
        <w:rPr>
          <w:snapToGrid w:val="0"/>
        </w:rPr>
      </w:pPr>
      <w:r>
        <w:rPr>
          <w:snapToGrid w:val="0"/>
        </w:rPr>
        <w:tab/>
        <w:t>(6)</w:t>
      </w:r>
      <w:r>
        <w:rPr>
          <w:snapToGrid w:val="0"/>
        </w:rPr>
        <w:tab/>
        <w:t>An application for periodic survey shall be made to the Chief Executive Officer in the specified form and shall be accompanied by the appropriate survey fee set out in Schedule 1.</w:t>
      </w:r>
    </w:p>
    <w:p>
      <w:pPr>
        <w:pStyle w:val="Subsection"/>
        <w:rPr>
          <w:snapToGrid w:val="0"/>
        </w:rPr>
      </w:pPr>
      <w:r>
        <w:rPr>
          <w:snapToGrid w:val="0"/>
        </w:rPr>
        <w:tab/>
        <w:t>(7)</w:t>
      </w:r>
      <w:r>
        <w:rPr>
          <w:snapToGrid w:val="0"/>
        </w:rPr>
        <w:tab/>
        <w:t>An application for survey shall be made by the owner of a vessel — </w:t>
      </w:r>
    </w:p>
    <w:p>
      <w:pPr>
        <w:pStyle w:val="Indenta"/>
        <w:rPr>
          <w:snapToGrid w:val="0"/>
        </w:rPr>
      </w:pPr>
      <w:r>
        <w:rPr>
          <w:snapToGrid w:val="0"/>
        </w:rPr>
        <w:tab/>
        <w:t>(a)</w:t>
      </w:r>
      <w:r>
        <w:rPr>
          <w:snapToGrid w:val="0"/>
        </w:rPr>
        <w:tab/>
        <w:t>in the case of the survey of a vessel out of the water, not less than 7 days before the date on which the survey is to be performed;</w:t>
      </w:r>
    </w:p>
    <w:p>
      <w:pPr>
        <w:pStyle w:val="Indenta"/>
        <w:rPr>
          <w:snapToGrid w:val="0"/>
        </w:rPr>
      </w:pPr>
      <w:r>
        <w:rPr>
          <w:snapToGrid w:val="0"/>
        </w:rPr>
        <w:tab/>
        <w:t>(b)</w:t>
      </w:r>
      <w:r>
        <w:rPr>
          <w:snapToGrid w:val="0"/>
        </w:rPr>
        <w:tab/>
        <w:t>in respect of a survey of boilers and machinery or equipment or both — </w:t>
      </w:r>
    </w:p>
    <w:p>
      <w:pPr>
        <w:pStyle w:val="Indenti"/>
        <w:rPr>
          <w:snapToGrid w:val="0"/>
        </w:rPr>
      </w:pPr>
      <w:r>
        <w:rPr>
          <w:snapToGrid w:val="0"/>
        </w:rPr>
        <w:tab/>
        <w:t>(i)</w:t>
      </w:r>
      <w:r>
        <w:rPr>
          <w:snapToGrid w:val="0"/>
        </w:rPr>
        <w:tab/>
        <w:t>where the survey is to be made within the metropolitan area of Perth or at Geraldton, not less than 14 days before the date on which the survey is to be performed;</w:t>
      </w:r>
    </w:p>
    <w:p>
      <w:pPr>
        <w:pStyle w:val="Indenti"/>
        <w:rPr>
          <w:snapToGrid w:val="0"/>
        </w:rPr>
      </w:pPr>
      <w:r>
        <w:rPr>
          <w:snapToGrid w:val="0"/>
        </w:rPr>
        <w:tab/>
        <w:t>(ii)</w:t>
      </w:r>
      <w:r>
        <w:rPr>
          <w:snapToGrid w:val="0"/>
        </w:rPr>
        <w:tab/>
        <w:t>where the survey is to be made elsewhere than in the metropolitan area of Perth or at Geraldton, not less than 14 days before the date specified for surveys in that port or place in a programme of surveys issued by the Department and available at offices of the Department from 30 January in each year,</w:t>
      </w:r>
    </w:p>
    <w:p>
      <w:pPr>
        <w:pStyle w:val="Subsection"/>
        <w:rPr>
          <w:snapToGrid w:val="0"/>
        </w:rPr>
      </w:pPr>
      <w:r>
        <w:rPr>
          <w:snapToGrid w:val="0"/>
        </w:rPr>
        <w:tab/>
      </w:r>
      <w:r>
        <w:rPr>
          <w:snapToGrid w:val="0"/>
        </w:rPr>
        <w:tab/>
        <w:t>and the owner shall cause the vessel to be presented for survey at the port or place stated in the application at the time and date notified to him by the Department.</w:t>
      </w:r>
    </w:p>
    <w:p>
      <w:pPr>
        <w:pStyle w:val="Subsection"/>
        <w:rPr>
          <w:snapToGrid w:val="0"/>
        </w:rPr>
      </w:pPr>
      <w:r>
        <w:rPr>
          <w:snapToGrid w:val="0"/>
        </w:rPr>
        <w:tab/>
        <w:t>(8)</w:t>
      </w:r>
      <w:r>
        <w:rPr>
          <w:snapToGrid w:val="0"/>
        </w:rPr>
        <w:tab/>
        <w:t>Where a survey or inspection of a vessel’s hull is to be carried out, the owner shall cause the vessel to be withdrawn from the water and placed in a satisfactory manner to enable the surveyor to make an external examination of the hull, underwater fittings, shafting, propeller, rudder and any other appurtenances. Prior to such examination the hull shall have been washed and cleaned, but shall not have been painted.</w:t>
      </w:r>
    </w:p>
    <w:p>
      <w:pPr>
        <w:pStyle w:val="Subsection"/>
        <w:rPr>
          <w:snapToGrid w:val="0"/>
        </w:rPr>
      </w:pPr>
      <w:r>
        <w:rPr>
          <w:snapToGrid w:val="0"/>
        </w:rPr>
        <w:tab/>
        <w:t>(9)</w:t>
      </w:r>
      <w:r>
        <w:rPr>
          <w:snapToGrid w:val="0"/>
        </w:rPr>
        <w:tab/>
        <w:t>During the course of a survey or inspection the surveyor shall have discretion to require the opening up for examination of any other part or parts of the vessel including removal of linings and permanent ballast where applicable.</w:t>
      </w:r>
    </w:p>
    <w:p>
      <w:pPr>
        <w:pStyle w:val="Subsection"/>
        <w:rPr>
          <w:snapToGrid w:val="0"/>
        </w:rPr>
      </w:pPr>
      <w:r>
        <w:rPr>
          <w:snapToGrid w:val="0"/>
        </w:rPr>
        <w:tab/>
        <w:t>(10)</w:t>
      </w:r>
      <w:r>
        <w:rPr>
          <w:snapToGrid w:val="0"/>
        </w:rPr>
        <w:tab/>
        <w:t>After a survey or inspection the surveyor shall make in the manner or form required by the Chief Executive Officer a duplicate List of Repairs and Deficiencies which shall be counter signed by the owner who shall retain one copy. The survey will not be completed until such repairs and deficiencies have been made good to the satisfaction of the surveyor.</w:t>
      </w:r>
    </w:p>
    <w:p>
      <w:pPr>
        <w:pStyle w:val="Subsection"/>
        <w:rPr>
          <w:snapToGrid w:val="0"/>
        </w:rPr>
      </w:pPr>
      <w:r>
        <w:rPr>
          <w:snapToGrid w:val="0"/>
        </w:rPr>
        <w:tab/>
        <w:t>(11)</w:t>
      </w:r>
      <w:r>
        <w:rPr>
          <w:snapToGrid w:val="0"/>
        </w:rPr>
        <w:tab/>
        <w:t>On completion of a survey or inspection, the surveyor shall make his report to the Chief Executive Officer in writing and in a form approved by the Chief Executive Officer.</w:t>
      </w:r>
    </w:p>
    <w:p>
      <w:pPr>
        <w:pStyle w:val="Subsection"/>
        <w:rPr>
          <w:snapToGrid w:val="0"/>
        </w:rPr>
      </w:pPr>
      <w:r>
        <w:rPr>
          <w:snapToGrid w:val="0"/>
        </w:rPr>
        <w:tab/>
        <w:t>(12)</w:t>
      </w:r>
      <w:r>
        <w:rPr>
          <w:snapToGrid w:val="0"/>
        </w:rPr>
        <w:tab/>
        <w:t>On completion of an item or stage of an approved survey programme, the surveyor shall sign the owner’s copy, the vessel’s copy and the Chief Executive Officer’s copy of the programme documents and shall also make a report to the Chief Executive Officer concerning the item or stage surveyed.</w:t>
      </w:r>
    </w:p>
    <w:p>
      <w:pPr>
        <w:pStyle w:val="Subsection"/>
        <w:rPr>
          <w:snapToGrid w:val="0"/>
        </w:rPr>
      </w:pPr>
      <w:r>
        <w:rPr>
          <w:snapToGrid w:val="0"/>
        </w:rPr>
        <w:tab/>
        <w:t>(13)</w:t>
      </w:r>
      <w:r>
        <w:rPr>
          <w:snapToGrid w:val="0"/>
        </w:rPr>
        <w:tab/>
        <w:t>When making a survey or inspection of a vessel, a surveyor shall be accompanied by the owner.</w:t>
      </w:r>
    </w:p>
    <w:p>
      <w:pPr>
        <w:pStyle w:val="Footnotesection"/>
      </w:pPr>
      <w:r>
        <w:tab/>
        <w:t>[Regulation 6 amended in Gazette 3 Nov 1989 p. 3964</w:t>
      </w:r>
      <w:r>
        <w:noBreakHyphen/>
        <w:t xml:space="preserve">5; 11 Aug 1992 p. 3980.] </w:t>
      </w:r>
    </w:p>
    <w:p>
      <w:pPr>
        <w:pStyle w:val="Heading5"/>
        <w:rPr>
          <w:snapToGrid w:val="0"/>
        </w:rPr>
      </w:pPr>
      <w:bookmarkStart w:id="38" w:name="_Toc6384648"/>
      <w:bookmarkStart w:id="39" w:name="_Toc13031667"/>
      <w:bookmarkStart w:id="40" w:name="_Toc14593294"/>
      <w:bookmarkStart w:id="41" w:name="_Toc18137689"/>
      <w:bookmarkStart w:id="42" w:name="_Toc107747011"/>
      <w:r>
        <w:rPr>
          <w:rStyle w:val="CharSectno"/>
        </w:rPr>
        <w:t>6A</w:t>
      </w:r>
      <w:r>
        <w:rPr>
          <w:snapToGrid w:val="0"/>
        </w:rPr>
        <w:t>.</w:t>
      </w:r>
      <w:r>
        <w:rPr>
          <w:snapToGrid w:val="0"/>
        </w:rPr>
        <w:tab/>
        <w:t>Half of fee payable if vessel already classed</w:t>
      </w:r>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Notwithstanding regulations 5(2) and 6(b), an application for survey shall be accompanied by only one</w:t>
      </w:r>
      <w:r>
        <w:rPr>
          <w:snapToGrid w:val="0"/>
        </w:rPr>
        <w:noBreakHyphen/>
        <w:t>half of the appropriate survey fee set out in Schedule 1 where the vessel to be surveyed has been classed by a classification society appointed as an authority for the survey of vessels under section 24 of the Act.</w:t>
      </w:r>
    </w:p>
    <w:p>
      <w:pPr>
        <w:pStyle w:val="Footnotesection"/>
      </w:pPr>
      <w:r>
        <w:tab/>
        <w:t xml:space="preserve">[Regulation 6A inserted in Gazette 30 Jun 1988 p. 1924.] </w:t>
      </w:r>
    </w:p>
    <w:p>
      <w:pPr>
        <w:pStyle w:val="Heading5"/>
        <w:rPr>
          <w:snapToGrid w:val="0"/>
        </w:rPr>
      </w:pPr>
      <w:bookmarkStart w:id="43" w:name="_Toc6384649"/>
      <w:bookmarkStart w:id="44" w:name="_Toc13031668"/>
      <w:bookmarkStart w:id="45" w:name="_Toc14593295"/>
      <w:bookmarkStart w:id="46" w:name="_Toc18137690"/>
      <w:bookmarkStart w:id="47" w:name="_Toc107747012"/>
      <w:r>
        <w:rPr>
          <w:rStyle w:val="CharSectno"/>
        </w:rPr>
        <w:t>7</w:t>
      </w:r>
      <w:r>
        <w:rPr>
          <w:snapToGrid w:val="0"/>
        </w:rPr>
        <w:t>.</w:t>
      </w:r>
      <w:r>
        <w:rPr>
          <w:snapToGrid w:val="0"/>
        </w:rPr>
        <w:tab/>
        <w:t>Random inspections</w:t>
      </w:r>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A surveyor or an authorised officer may, in the execution of his duty, board a vessel at any reasonable time to make an occasional or random inspection.</w:t>
      </w:r>
    </w:p>
    <w:p>
      <w:pPr>
        <w:pStyle w:val="Heading5"/>
        <w:rPr>
          <w:snapToGrid w:val="0"/>
        </w:rPr>
      </w:pPr>
      <w:bookmarkStart w:id="48" w:name="_Toc6384650"/>
      <w:bookmarkStart w:id="49" w:name="_Toc13031669"/>
      <w:bookmarkStart w:id="50" w:name="_Toc14593296"/>
      <w:bookmarkStart w:id="51" w:name="_Toc18137691"/>
      <w:bookmarkStart w:id="52" w:name="_Toc107747013"/>
      <w:r>
        <w:rPr>
          <w:rStyle w:val="CharSectno"/>
        </w:rPr>
        <w:t>8</w:t>
      </w:r>
      <w:r>
        <w:rPr>
          <w:snapToGrid w:val="0"/>
        </w:rPr>
        <w:t>.</w:t>
      </w:r>
      <w:r>
        <w:rPr>
          <w:snapToGrid w:val="0"/>
        </w:rPr>
        <w:tab/>
        <w:t>Owner to report special factors</w:t>
      </w:r>
      <w:bookmarkEnd w:id="48"/>
      <w:bookmarkEnd w:id="49"/>
      <w:bookmarkEnd w:id="50"/>
      <w:bookmarkEnd w:id="51"/>
      <w:bookmarkEnd w:id="52"/>
      <w:r>
        <w:rPr>
          <w:snapToGrid w:val="0"/>
        </w:rPr>
        <w:t xml:space="preserve"> </w:t>
      </w:r>
    </w:p>
    <w:p>
      <w:pPr>
        <w:pStyle w:val="Subsection"/>
        <w:rPr>
          <w:snapToGrid w:val="0"/>
        </w:rPr>
      </w:pPr>
      <w:r>
        <w:rPr>
          <w:snapToGrid w:val="0"/>
        </w:rPr>
        <w:tab/>
      </w:r>
      <w:r>
        <w:rPr>
          <w:snapToGrid w:val="0"/>
        </w:rPr>
        <w:tab/>
        <w:t>The owner of a vessel shall report to the Chief Executive Officer any special factors that may influence the Chief Executive Officer’s survey requirements for the vessel, including any change of trade, operations, alteration to structure or machinery that have occurred since the previous survey.</w:t>
      </w:r>
    </w:p>
    <w:p>
      <w:pPr>
        <w:pStyle w:val="Footnotesection"/>
      </w:pPr>
      <w:r>
        <w:tab/>
        <w:t xml:space="preserve">[Regulation 8 amended in Gazette 11 Aug 1992 p. 3980.] </w:t>
      </w:r>
    </w:p>
    <w:p>
      <w:pPr>
        <w:pStyle w:val="Heading5"/>
        <w:rPr>
          <w:snapToGrid w:val="0"/>
        </w:rPr>
      </w:pPr>
      <w:bookmarkStart w:id="53" w:name="_Toc6384651"/>
      <w:bookmarkStart w:id="54" w:name="_Toc13031670"/>
      <w:bookmarkStart w:id="55" w:name="_Toc14593297"/>
      <w:bookmarkStart w:id="56" w:name="_Toc18137692"/>
      <w:bookmarkStart w:id="57" w:name="_Toc107747014"/>
      <w:r>
        <w:rPr>
          <w:rStyle w:val="CharSectno"/>
        </w:rPr>
        <w:t>9</w:t>
      </w:r>
      <w:r>
        <w:rPr>
          <w:snapToGrid w:val="0"/>
        </w:rPr>
        <w:t>.</w:t>
      </w:r>
      <w:r>
        <w:rPr>
          <w:snapToGrid w:val="0"/>
        </w:rPr>
        <w:tab/>
        <w:t>Owner to report accidents, injuries, etc.</w:t>
      </w:r>
      <w:bookmarkEnd w:id="53"/>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The owner of a vessel shall in the specified form make a report to the Chief Executive Officer concerning any accident or damage to the vessel or any death or injury to a person occurring on the vessel.</w:t>
      </w:r>
    </w:p>
    <w:p>
      <w:pPr>
        <w:pStyle w:val="Subsection"/>
        <w:rPr>
          <w:snapToGrid w:val="0"/>
        </w:rPr>
      </w:pPr>
      <w:r>
        <w:rPr>
          <w:snapToGrid w:val="0"/>
        </w:rPr>
        <w:tab/>
        <w:t>(2)</w:t>
      </w:r>
      <w:r>
        <w:rPr>
          <w:snapToGrid w:val="0"/>
        </w:rPr>
        <w:tab/>
        <w:t>A report under subregulation (1) shall be forwarded to the Chief Executive Officer — </w:t>
      </w:r>
    </w:p>
    <w:p>
      <w:pPr>
        <w:pStyle w:val="Indenta"/>
        <w:rPr>
          <w:snapToGrid w:val="0"/>
        </w:rPr>
      </w:pPr>
      <w:r>
        <w:rPr>
          <w:snapToGrid w:val="0"/>
        </w:rPr>
        <w:tab/>
        <w:t>(a)</w:t>
      </w:r>
      <w:r>
        <w:rPr>
          <w:snapToGrid w:val="0"/>
        </w:rPr>
        <w:tab/>
        <w:t>in the case of a vessel in port, within 48 hours of the occurrence; and</w:t>
      </w:r>
    </w:p>
    <w:p>
      <w:pPr>
        <w:pStyle w:val="Indenta"/>
        <w:rPr>
          <w:snapToGrid w:val="0"/>
        </w:rPr>
      </w:pPr>
      <w:r>
        <w:rPr>
          <w:snapToGrid w:val="0"/>
        </w:rPr>
        <w:tab/>
        <w:t>(b)</w:t>
      </w:r>
      <w:r>
        <w:rPr>
          <w:snapToGrid w:val="0"/>
        </w:rPr>
        <w:tab/>
        <w:t>in the case of a vessel at sea, within 48 hours of the first arrival of the vessel at a port.</w:t>
      </w:r>
    </w:p>
    <w:p>
      <w:pPr>
        <w:pStyle w:val="Subsection"/>
        <w:rPr>
          <w:snapToGrid w:val="0"/>
        </w:rPr>
      </w:pPr>
      <w:r>
        <w:rPr>
          <w:snapToGrid w:val="0"/>
        </w:rPr>
        <w:tab/>
        <w:t>(3)</w:t>
      </w:r>
      <w:r>
        <w:rPr>
          <w:snapToGrid w:val="0"/>
        </w:rPr>
        <w:tab/>
        <w:t>Where any part of a vessel’s hull, structure, machinery, fittings or equipment is open for routine maintenance or substantial repair, the owner shall inform the Chief Executive Officer so that a survey may take place.</w:t>
      </w:r>
    </w:p>
    <w:p>
      <w:pPr>
        <w:pStyle w:val="Footnotesection"/>
      </w:pPr>
      <w:r>
        <w:tab/>
        <w:t xml:space="preserve">[Regulation 9 amended in Gazette 11 Aug 1992 p. 3980.] </w:t>
      </w:r>
    </w:p>
    <w:p>
      <w:pPr>
        <w:pStyle w:val="Heading5"/>
        <w:rPr>
          <w:snapToGrid w:val="0"/>
        </w:rPr>
      </w:pPr>
      <w:bookmarkStart w:id="58" w:name="_Toc6384652"/>
      <w:bookmarkStart w:id="59" w:name="_Toc13031671"/>
      <w:bookmarkStart w:id="60" w:name="_Toc14593298"/>
      <w:bookmarkStart w:id="61" w:name="_Toc18137693"/>
      <w:bookmarkStart w:id="62" w:name="_Toc107747015"/>
      <w:r>
        <w:rPr>
          <w:rStyle w:val="CharSectno"/>
        </w:rPr>
        <w:t>10</w:t>
      </w:r>
      <w:r>
        <w:rPr>
          <w:snapToGrid w:val="0"/>
        </w:rPr>
        <w:t>.</w:t>
      </w:r>
      <w:r>
        <w:rPr>
          <w:snapToGrid w:val="0"/>
        </w:rPr>
        <w:tab/>
        <w:t>Power to exempt certain vessels</w:t>
      </w:r>
      <w:bookmarkEnd w:id="58"/>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Upon application made to the Chief Executive Officer in the specified form, the Chief Executive Officer may exempt a vessel of Class 2E or Class 3E from the survey requirements of these regulations.</w:t>
      </w:r>
    </w:p>
    <w:p>
      <w:pPr>
        <w:pStyle w:val="Subsection"/>
        <w:rPr>
          <w:snapToGrid w:val="0"/>
        </w:rPr>
      </w:pPr>
      <w:r>
        <w:rPr>
          <w:snapToGrid w:val="0"/>
        </w:rPr>
        <w:tab/>
        <w:t>(2)</w:t>
      </w:r>
      <w:r>
        <w:rPr>
          <w:snapToGrid w:val="0"/>
        </w:rPr>
        <w:tab/>
        <w:t>An exemption granted under subregulation (1) shall be effective during such time as the following conditions are complied with — </w:t>
      </w:r>
    </w:p>
    <w:p>
      <w:pPr>
        <w:pStyle w:val="Indenta"/>
        <w:rPr>
          <w:snapToGrid w:val="0"/>
        </w:rPr>
      </w:pPr>
      <w:r>
        <w:rPr>
          <w:snapToGrid w:val="0"/>
        </w:rPr>
        <w:tab/>
        <w:t>(a)</w:t>
      </w:r>
      <w:r>
        <w:rPr>
          <w:snapToGrid w:val="0"/>
        </w:rPr>
        <w:tab/>
        <w:t>payment of the annual exemption fee set out in Schedule 1;</w:t>
      </w:r>
    </w:p>
    <w:p>
      <w:pPr>
        <w:pStyle w:val="Indenta"/>
        <w:rPr>
          <w:snapToGrid w:val="0"/>
        </w:rPr>
      </w:pPr>
      <w:r>
        <w:rPr>
          <w:snapToGrid w:val="0"/>
        </w:rPr>
        <w:tab/>
        <w:t>(b)</w:t>
      </w:r>
      <w:r>
        <w:rPr>
          <w:snapToGrid w:val="0"/>
        </w:rPr>
        <w:tab/>
        <w:t>the vessel shall be equipped with a fire extinguisher that bears the stamp of the Standards Association of Australia</w:t>
      </w:r>
      <w:r>
        <w:rPr>
          <w:snapToGrid w:val="0"/>
          <w:vertAlign w:val="superscript"/>
        </w:rPr>
        <w:t> 2</w:t>
      </w:r>
      <w:r>
        <w:rPr>
          <w:snapToGrid w:val="0"/>
        </w:rPr>
        <w:t xml:space="preserve"> and conforms to one of the following standards issued by that body — </w:t>
      </w:r>
    </w:p>
    <w:p>
      <w:pPr>
        <w:pStyle w:val="Indenti"/>
        <w:rPr>
          <w:snapToGrid w:val="0"/>
        </w:rPr>
      </w:pPr>
      <w:r>
        <w:rPr>
          <w:snapToGrid w:val="0"/>
        </w:rPr>
        <w:tab/>
        <w:t>(i)</w:t>
      </w:r>
      <w:r>
        <w:rPr>
          <w:snapToGrid w:val="0"/>
        </w:rPr>
        <w:tab/>
        <w:t>AS A 32, AS 1843, AS 1844 or AS 1845 (foam);</w:t>
      </w:r>
    </w:p>
    <w:p>
      <w:pPr>
        <w:pStyle w:val="Indenti"/>
        <w:rPr>
          <w:snapToGrid w:val="0"/>
        </w:rPr>
      </w:pPr>
      <w:r>
        <w:rPr>
          <w:snapToGrid w:val="0"/>
        </w:rPr>
        <w:tab/>
        <w:t>(ii)</w:t>
      </w:r>
      <w:r>
        <w:rPr>
          <w:snapToGrid w:val="0"/>
        </w:rPr>
        <w:tab/>
        <w:t>AS A 137, or AS 1846 (dry chemical);</w:t>
      </w:r>
    </w:p>
    <w:p>
      <w:pPr>
        <w:pStyle w:val="Indenti"/>
        <w:rPr>
          <w:snapToGrid w:val="0"/>
        </w:rPr>
      </w:pPr>
      <w:r>
        <w:rPr>
          <w:snapToGrid w:val="0"/>
        </w:rPr>
        <w:tab/>
        <w:t>(iii)</w:t>
      </w:r>
      <w:r>
        <w:rPr>
          <w:snapToGrid w:val="0"/>
        </w:rPr>
        <w:tab/>
        <w:t>AS A 138 or AS 1847 (carbon dioxide);</w:t>
      </w:r>
    </w:p>
    <w:p>
      <w:pPr>
        <w:pStyle w:val="Indenti"/>
        <w:rPr>
          <w:snapToGrid w:val="0"/>
        </w:rPr>
      </w:pPr>
      <w:r>
        <w:rPr>
          <w:snapToGrid w:val="0"/>
        </w:rPr>
        <w:tab/>
        <w:t>(iv)</w:t>
      </w:r>
      <w:r>
        <w:rPr>
          <w:snapToGrid w:val="0"/>
        </w:rPr>
        <w:tab/>
        <w:t>AS A 163 or AS 1848 (halogenated hydrocarbon);</w:t>
      </w:r>
    </w:p>
    <w:p>
      <w:pPr>
        <w:pStyle w:val="Indenta"/>
        <w:rPr>
          <w:snapToGrid w:val="0"/>
        </w:rPr>
      </w:pPr>
      <w:r>
        <w:rPr>
          <w:snapToGrid w:val="0"/>
        </w:rPr>
        <w:tab/>
        <w:t>(c)</w:t>
      </w:r>
      <w:r>
        <w:rPr>
          <w:snapToGrid w:val="0"/>
        </w:rPr>
        <w:tab/>
        <w:t>the following conditions apply to the storage and use of fuel — </w:t>
      </w:r>
    </w:p>
    <w:p>
      <w:pPr>
        <w:pStyle w:val="Indenti"/>
        <w:rPr>
          <w:snapToGrid w:val="0"/>
        </w:rPr>
      </w:pPr>
      <w:r>
        <w:rPr>
          <w:snapToGrid w:val="0"/>
        </w:rPr>
        <w:tab/>
        <w:t>(i)</w:t>
      </w:r>
      <w:r>
        <w:rPr>
          <w:snapToGrid w:val="0"/>
        </w:rPr>
        <w:tab/>
        <w:t>fuel shall be carried in containers soundly constructed of metal or any other approved materials and shall not, in any event, be carried in plastic containers;</w:t>
      </w:r>
    </w:p>
    <w:p>
      <w:pPr>
        <w:pStyle w:val="Indenti"/>
        <w:rPr>
          <w:snapToGrid w:val="0"/>
        </w:rPr>
      </w:pPr>
      <w:r>
        <w:rPr>
          <w:snapToGrid w:val="0"/>
        </w:rPr>
        <w:tab/>
        <w:t>(ii)</w:t>
      </w:r>
      <w:r>
        <w:rPr>
          <w:snapToGrid w:val="0"/>
        </w:rPr>
        <w:tab/>
        <w:t>subject to subparagraph (iii), the pipes leading from the fuel tank to the engine shall be of steel or copper, having all joints brazed and union faces ground and made of metal;</w:t>
      </w:r>
    </w:p>
    <w:p>
      <w:pPr>
        <w:pStyle w:val="Indenti"/>
        <w:rPr>
          <w:snapToGrid w:val="0"/>
        </w:rPr>
      </w:pPr>
      <w:r>
        <w:rPr>
          <w:snapToGrid w:val="0"/>
        </w:rPr>
        <w:tab/>
        <w:t>(iii)</w:t>
      </w:r>
      <w:r>
        <w:rPr>
          <w:snapToGrid w:val="0"/>
        </w:rPr>
        <w:tab/>
        <w:t>a short length of flexible piping of some other material may be used with the approval of the department; and</w:t>
      </w:r>
    </w:p>
    <w:p>
      <w:pPr>
        <w:pStyle w:val="Indenti"/>
        <w:rPr>
          <w:snapToGrid w:val="0"/>
        </w:rPr>
      </w:pPr>
      <w:r>
        <w:rPr>
          <w:snapToGrid w:val="0"/>
        </w:rPr>
        <w:tab/>
        <w:t>(iv)</w:t>
      </w:r>
      <w:r>
        <w:rPr>
          <w:snapToGrid w:val="0"/>
        </w:rPr>
        <w:tab/>
        <w:t>an efficient valve shall be fitted against the fuel tank outlet;</w:t>
      </w:r>
    </w:p>
    <w:p>
      <w:pPr>
        <w:pStyle w:val="Indenta"/>
        <w:rPr>
          <w:snapToGrid w:val="0"/>
        </w:rPr>
      </w:pPr>
      <w:r>
        <w:rPr>
          <w:snapToGrid w:val="0"/>
        </w:rPr>
        <w:tab/>
        <w:t>(d)</w:t>
      </w:r>
      <w:r>
        <w:rPr>
          <w:snapToGrid w:val="0"/>
        </w:rPr>
        <w:tab/>
        <w:t>the engine compartment of a motor vessel shall be adequately ventilated.</w:t>
      </w:r>
    </w:p>
    <w:p>
      <w:pPr>
        <w:pStyle w:val="Footnotesection"/>
      </w:pPr>
      <w:r>
        <w:tab/>
        <w:t xml:space="preserve">[Regulation 10 amended in Gazette 11 Aug 1992 p. 3980.] </w:t>
      </w:r>
    </w:p>
    <w:p>
      <w:pPr>
        <w:pStyle w:val="Heading5"/>
        <w:rPr>
          <w:snapToGrid w:val="0"/>
        </w:rPr>
      </w:pPr>
      <w:bookmarkStart w:id="63" w:name="_Toc6384653"/>
      <w:bookmarkStart w:id="64" w:name="_Toc13031672"/>
      <w:bookmarkStart w:id="65" w:name="_Toc14593299"/>
      <w:bookmarkStart w:id="66" w:name="_Toc18137694"/>
      <w:bookmarkStart w:id="67" w:name="_Toc107747016"/>
      <w:r>
        <w:rPr>
          <w:rStyle w:val="CharSectno"/>
        </w:rPr>
        <w:t>10A</w:t>
      </w:r>
      <w:r>
        <w:rPr>
          <w:snapToGrid w:val="0"/>
        </w:rPr>
        <w:t>.</w:t>
      </w:r>
      <w:r>
        <w:rPr>
          <w:snapToGrid w:val="0"/>
        </w:rPr>
        <w:tab/>
        <w:t>Exemption of certain fishing vessels and non</w:t>
      </w:r>
      <w:r>
        <w:rPr>
          <w:snapToGrid w:val="0"/>
        </w:rPr>
        <w:noBreakHyphen/>
        <w:t>passenger vessels</w:t>
      </w:r>
      <w:bookmarkEnd w:id="63"/>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Notwithstanding anything in these regulations — </w:t>
      </w:r>
    </w:p>
    <w:p>
      <w:pPr>
        <w:pStyle w:val="Indenta"/>
        <w:rPr>
          <w:snapToGrid w:val="0"/>
        </w:rPr>
      </w:pPr>
      <w:r>
        <w:rPr>
          <w:snapToGrid w:val="0"/>
        </w:rPr>
        <w:tab/>
        <w:t>(a)</w:t>
      </w:r>
      <w:r>
        <w:rPr>
          <w:snapToGrid w:val="0"/>
        </w:rPr>
        <w:tab/>
        <w:t>a fishing vessel — </w:t>
      </w:r>
    </w:p>
    <w:p>
      <w:pPr>
        <w:pStyle w:val="Indenti"/>
        <w:rPr>
          <w:snapToGrid w:val="0"/>
        </w:rPr>
      </w:pPr>
      <w:r>
        <w:rPr>
          <w:snapToGrid w:val="0"/>
        </w:rPr>
        <w:tab/>
        <w:t>(i)</w:t>
      </w:r>
      <w:r>
        <w:rPr>
          <w:snapToGrid w:val="0"/>
        </w:rPr>
        <w:tab/>
        <w:t>having a measured length not exceeding 8 metres; and</w:t>
      </w:r>
    </w:p>
    <w:p>
      <w:pPr>
        <w:pStyle w:val="Indenti"/>
        <w:rPr>
          <w:snapToGrid w:val="0"/>
        </w:rPr>
      </w:pPr>
      <w:r>
        <w:rPr>
          <w:snapToGrid w:val="0"/>
        </w:rPr>
        <w:tab/>
        <w:t>(ii)</w:t>
      </w:r>
      <w:r>
        <w:rPr>
          <w:snapToGrid w:val="0"/>
        </w:rPr>
        <w:tab/>
        <w:t>that is intended to be operated within 5 nautical miles</w:t>
      </w:r>
      <w:r>
        <w:t xml:space="preserve"> off the mainland of the State</w:t>
      </w:r>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class 2 vessel — </w:t>
      </w:r>
    </w:p>
    <w:p>
      <w:pPr>
        <w:pStyle w:val="Indenti"/>
        <w:rPr>
          <w:snapToGrid w:val="0"/>
        </w:rPr>
      </w:pPr>
      <w:r>
        <w:rPr>
          <w:snapToGrid w:val="0"/>
        </w:rPr>
        <w:tab/>
        <w:t>(i)</w:t>
      </w:r>
      <w:r>
        <w:rPr>
          <w:snapToGrid w:val="0"/>
        </w:rPr>
        <w:tab/>
        <w:t>having a measured length not exceeding 8 metres;</w:t>
      </w:r>
    </w:p>
    <w:p>
      <w:pPr>
        <w:pStyle w:val="Indenti"/>
        <w:rPr>
          <w:snapToGrid w:val="0"/>
        </w:rPr>
      </w:pPr>
      <w:r>
        <w:rPr>
          <w:snapToGrid w:val="0"/>
        </w:rPr>
        <w:tab/>
        <w:t>(ii)</w:t>
      </w:r>
      <w:r>
        <w:rPr>
          <w:snapToGrid w:val="0"/>
        </w:rPr>
        <w:tab/>
        <w:t>that is not intended to carry passengers; and</w:t>
      </w:r>
    </w:p>
    <w:p>
      <w:pPr>
        <w:pStyle w:val="Indenti"/>
        <w:rPr>
          <w:snapToGrid w:val="0"/>
        </w:rPr>
      </w:pPr>
      <w:r>
        <w:rPr>
          <w:snapToGrid w:val="0"/>
        </w:rPr>
        <w:tab/>
        <w:t>(iii)</w:t>
      </w:r>
      <w:r>
        <w:rPr>
          <w:snapToGrid w:val="0"/>
        </w:rPr>
        <w:tab/>
        <w:t>that is intended to be operated within 5 nautical miles</w:t>
      </w:r>
      <w:r>
        <w:t xml:space="preserve"> off the mainland of the State</w:t>
      </w:r>
      <w:r>
        <w:rPr>
          <w:snapToGrid w:val="0"/>
        </w:rPr>
        <w:t>,</w:t>
      </w:r>
    </w:p>
    <w:p>
      <w:pPr>
        <w:pStyle w:val="Subsection"/>
        <w:rPr>
          <w:snapToGrid w:val="0"/>
        </w:rPr>
      </w:pPr>
      <w:r>
        <w:rPr>
          <w:snapToGrid w:val="0"/>
        </w:rPr>
        <w:tab/>
      </w:r>
      <w:r>
        <w:rPr>
          <w:snapToGrid w:val="0"/>
        </w:rPr>
        <w:tab/>
        <w:t>is exempted from regulations 5 and 6 subject to the following conditions, namely — </w:t>
      </w:r>
    </w:p>
    <w:p>
      <w:pPr>
        <w:pStyle w:val="Indenta"/>
        <w:rPr>
          <w:snapToGrid w:val="0"/>
        </w:rPr>
      </w:pPr>
      <w:r>
        <w:rPr>
          <w:snapToGrid w:val="0"/>
        </w:rPr>
        <w:tab/>
        <w:t>(c)</w:t>
      </w:r>
      <w:r>
        <w:rPr>
          <w:snapToGrid w:val="0"/>
        </w:rPr>
        <w:tab/>
        <w:t>the owner shall apply for and obtain from the Department on the form approved by the Chief Executive Officer a registration certificate and an identification plate in respect of the vessel;</w:t>
      </w:r>
    </w:p>
    <w:p>
      <w:pPr>
        <w:pStyle w:val="Indenta"/>
        <w:rPr>
          <w:snapToGrid w:val="0"/>
        </w:rPr>
      </w:pPr>
      <w:r>
        <w:rPr>
          <w:snapToGrid w:val="0"/>
        </w:rPr>
        <w:tab/>
        <w:t>(d)</w:t>
      </w:r>
      <w:r>
        <w:rPr>
          <w:snapToGrid w:val="0"/>
        </w:rPr>
        <w:tab/>
        <w:t>the registration of the vessel under this regulation is renewed before each anniversary of the registration of the vessel;</w:t>
      </w:r>
    </w:p>
    <w:p>
      <w:pPr>
        <w:pStyle w:val="Indenta"/>
        <w:rPr>
          <w:snapToGrid w:val="0"/>
        </w:rPr>
      </w:pPr>
      <w:r>
        <w:rPr>
          <w:snapToGrid w:val="0"/>
        </w:rPr>
        <w:tab/>
        <w:t>(e)</w:t>
      </w:r>
      <w:r>
        <w:rPr>
          <w:snapToGrid w:val="0"/>
        </w:rPr>
        <w:tab/>
        <w:t>the vessel shall not be operated outside 5 nautical miles</w:t>
      </w:r>
      <w:r>
        <w:t xml:space="preserve"> off the mainland of the State</w:t>
      </w:r>
      <w:r>
        <w:rPr>
          <w:snapToGrid w:val="0"/>
        </w:rPr>
        <w:t>;</w:t>
      </w:r>
    </w:p>
    <w:p>
      <w:pPr>
        <w:pStyle w:val="Indenta"/>
        <w:rPr>
          <w:snapToGrid w:val="0"/>
        </w:rPr>
      </w:pPr>
      <w:r>
        <w:rPr>
          <w:snapToGrid w:val="0"/>
        </w:rPr>
        <w:tab/>
        <w:t>(f)</w:t>
      </w:r>
      <w:r>
        <w:rPr>
          <w:snapToGrid w:val="0"/>
        </w:rPr>
        <w:tab/>
        <w:t>the vessel shall not be operated unless the registration number allotted to the vessel — </w:t>
      </w:r>
    </w:p>
    <w:p>
      <w:pPr>
        <w:pStyle w:val="Indenti"/>
        <w:rPr>
          <w:snapToGrid w:val="0"/>
        </w:rPr>
      </w:pPr>
      <w:r>
        <w:rPr>
          <w:snapToGrid w:val="0"/>
        </w:rPr>
        <w:tab/>
        <w:t>(i)</w:t>
      </w:r>
      <w:r>
        <w:rPr>
          <w:snapToGrid w:val="0"/>
        </w:rPr>
        <w:tab/>
        <w:t>is legibly marked on each side of the hull;</w:t>
      </w:r>
    </w:p>
    <w:p>
      <w:pPr>
        <w:pStyle w:val="Indenti"/>
        <w:rPr>
          <w:snapToGrid w:val="0"/>
        </w:rPr>
      </w:pPr>
      <w:r>
        <w:rPr>
          <w:snapToGrid w:val="0"/>
        </w:rPr>
        <w:tab/>
        <w:t>(ii)</w:t>
      </w:r>
      <w:r>
        <w:rPr>
          <w:snapToGrid w:val="0"/>
        </w:rPr>
        <w:tab/>
        <w:t>is positioned immediately forward of the transom;</w:t>
      </w:r>
    </w:p>
    <w:p>
      <w:pPr>
        <w:pStyle w:val="Indenti"/>
        <w:rPr>
          <w:snapToGrid w:val="0"/>
        </w:rPr>
      </w:pPr>
      <w:r>
        <w:rPr>
          <w:snapToGrid w:val="0"/>
        </w:rPr>
        <w:tab/>
        <w:t>(iii)</w:t>
      </w:r>
      <w:r>
        <w:rPr>
          <w:snapToGrid w:val="0"/>
        </w:rPr>
        <w:tab/>
        <w:t>is not less than 150 millimetres in height and 25 millimetres in width;</w:t>
      </w:r>
    </w:p>
    <w:p>
      <w:pPr>
        <w:pStyle w:val="Indenti"/>
        <w:rPr>
          <w:snapToGrid w:val="0"/>
        </w:rPr>
      </w:pPr>
      <w:r>
        <w:rPr>
          <w:snapToGrid w:val="0"/>
        </w:rPr>
        <w:tab/>
        <w:t>(iv)</w:t>
      </w:r>
      <w:r>
        <w:rPr>
          <w:snapToGrid w:val="0"/>
        </w:rPr>
        <w:tab/>
        <w:t>is positioned so that the highest part of each numeral commences at a point that is not lower than 75 millimetres below the gunwale;</w:t>
      </w:r>
    </w:p>
    <w:p>
      <w:pPr>
        <w:pStyle w:val="Indenti"/>
        <w:rPr>
          <w:snapToGrid w:val="0"/>
        </w:rPr>
      </w:pPr>
      <w:r>
        <w:rPr>
          <w:snapToGrid w:val="0"/>
        </w:rPr>
        <w:tab/>
        <w:t>(v)</w:t>
      </w:r>
      <w:r>
        <w:rPr>
          <w:snapToGrid w:val="0"/>
        </w:rPr>
        <w:tab/>
        <w:t>is displayed on the vessel in plain block design in vertical and not slanting numerals;</w:t>
      </w:r>
    </w:p>
    <w:p>
      <w:pPr>
        <w:pStyle w:val="Indenta"/>
        <w:rPr>
          <w:snapToGrid w:val="0"/>
        </w:rPr>
      </w:pPr>
      <w:r>
        <w:rPr>
          <w:snapToGrid w:val="0"/>
        </w:rPr>
        <w:tab/>
        <w:t>(g)</w:t>
      </w:r>
      <w:r>
        <w:rPr>
          <w:snapToGrid w:val="0"/>
        </w:rPr>
        <w:tab/>
        <w:t>the vessel shall not carry any passengers;</w:t>
      </w:r>
    </w:p>
    <w:p>
      <w:pPr>
        <w:pStyle w:val="Indenta"/>
        <w:rPr>
          <w:snapToGrid w:val="0"/>
        </w:rPr>
      </w:pPr>
      <w:r>
        <w:rPr>
          <w:snapToGrid w:val="0"/>
        </w:rPr>
        <w:tab/>
        <w:t>(h)</w:t>
      </w:r>
      <w:r>
        <w:rPr>
          <w:snapToGrid w:val="0"/>
        </w:rPr>
        <w:tab/>
        <w:t xml:space="preserve">the vessel is furnished with such safety equipment as is required under the </w:t>
      </w:r>
      <w:r>
        <w:rPr>
          <w:i/>
          <w:snapToGrid w:val="0"/>
        </w:rPr>
        <w:t>W.A. Marine (Life Saving Appliances, Fire Appliances and Miscellaneous Equipment) Regulations 1983</w:t>
      </w:r>
      <w:r>
        <w:rPr>
          <w:snapToGrid w:val="0"/>
        </w:rPr>
        <w:t xml:space="preserve"> in relation to a vessel of that kind;</w:t>
      </w:r>
    </w:p>
    <w:p>
      <w:pPr>
        <w:pStyle w:val="Indenta"/>
        <w:rPr>
          <w:snapToGrid w:val="0"/>
        </w:rPr>
      </w:pPr>
      <w:r>
        <w:rPr>
          <w:snapToGrid w:val="0"/>
        </w:rPr>
        <w:tab/>
        <w:t>(i)</w:t>
      </w:r>
      <w:r>
        <w:rPr>
          <w:snapToGrid w:val="0"/>
        </w:rPr>
        <w:tab/>
        <w:t>any change of the address of the owner is notified to the Chief Executive Officer; and</w:t>
      </w:r>
    </w:p>
    <w:p>
      <w:pPr>
        <w:pStyle w:val="Indenta"/>
        <w:rPr>
          <w:snapToGrid w:val="0"/>
        </w:rPr>
      </w:pPr>
      <w:r>
        <w:rPr>
          <w:snapToGrid w:val="0"/>
        </w:rPr>
        <w:tab/>
        <w:t>(j)</w:t>
      </w:r>
      <w:r>
        <w:rPr>
          <w:snapToGrid w:val="0"/>
        </w:rPr>
        <w:tab/>
        <w:t>if the vessel is transferred — </w:t>
      </w:r>
    </w:p>
    <w:p>
      <w:pPr>
        <w:pStyle w:val="Indenti"/>
        <w:rPr>
          <w:snapToGrid w:val="0"/>
        </w:rPr>
      </w:pPr>
      <w:r>
        <w:rPr>
          <w:snapToGrid w:val="0"/>
        </w:rPr>
        <w:tab/>
        <w:t>(i)</w:t>
      </w:r>
      <w:r>
        <w:rPr>
          <w:snapToGrid w:val="0"/>
        </w:rPr>
        <w:tab/>
        <w:t>the owner shall furnish to the person to whom the vessel is sold the certificate of registration and the identification plates issued in relation to the vessel;</w:t>
      </w:r>
    </w:p>
    <w:p>
      <w:pPr>
        <w:pStyle w:val="Indenti"/>
        <w:rPr>
          <w:snapToGrid w:val="0"/>
        </w:rPr>
      </w:pPr>
      <w:r>
        <w:rPr>
          <w:snapToGrid w:val="0"/>
        </w:rPr>
        <w:tab/>
        <w:t>(ii)</w:t>
      </w:r>
      <w:r>
        <w:rPr>
          <w:snapToGrid w:val="0"/>
        </w:rPr>
        <w:tab/>
        <w:t>notify the department within 7 days of the fact of the transfer and the name and address of the person to whom the vessel is transferred;</w:t>
      </w:r>
    </w:p>
    <w:p>
      <w:pPr>
        <w:pStyle w:val="Indenti"/>
        <w:rPr>
          <w:snapToGrid w:val="0"/>
        </w:rPr>
      </w:pPr>
      <w:r>
        <w:rPr>
          <w:snapToGrid w:val="0"/>
        </w:rPr>
        <w:tab/>
        <w:t>(iii)</w:t>
      </w:r>
      <w:r>
        <w:rPr>
          <w:snapToGrid w:val="0"/>
        </w:rPr>
        <w:tab/>
        <w:t>the transferee shall apply to the department for the transfer of the vessel and forward with the application the prescribed fee; and</w:t>
      </w:r>
    </w:p>
    <w:p>
      <w:pPr>
        <w:pStyle w:val="Indenti"/>
        <w:rPr>
          <w:snapToGrid w:val="0"/>
        </w:rPr>
      </w:pPr>
      <w:r>
        <w:rPr>
          <w:snapToGrid w:val="0"/>
        </w:rPr>
        <w:tab/>
        <w:t>(iv)</w:t>
      </w:r>
      <w:r>
        <w:rPr>
          <w:snapToGrid w:val="0"/>
        </w:rPr>
        <w:tab/>
        <w:t>the transferee shall produce to the department the previous certificate issued by the department in respect of the vessel.</w:t>
      </w:r>
    </w:p>
    <w:p>
      <w:pPr>
        <w:pStyle w:val="Ednotesubsection"/>
      </w:pPr>
      <w:r>
        <w:tab/>
        <w:t>[(2)</w:t>
      </w:r>
      <w:r>
        <w:tab/>
        <w:t xml:space="preserve">repealed] </w:t>
      </w:r>
    </w:p>
    <w:p>
      <w:pPr>
        <w:pStyle w:val="Footnotesection"/>
      </w:pPr>
      <w:r>
        <w:tab/>
        <w:t>[Regulation 10A inserted in Gazette 23 Jun 1989 p. 1812</w:t>
      </w:r>
      <w:r>
        <w:noBreakHyphen/>
        <w:t>13; amended in Gazette 1 Aug 1990 p. 3645; 13 Dec 1991 p. 6235; 30 Jun 1992 p. 2907; 11 Aug 1992 p. 3980; 22 Mar 2002</w:t>
      </w:r>
      <w:r>
        <w:rPr>
          <w:i w:val="0"/>
          <w:vertAlign w:val="superscript"/>
        </w:rPr>
        <w:t> 3</w:t>
      </w:r>
      <w:r>
        <w:t xml:space="preserve"> p. 1656.] </w:t>
      </w:r>
    </w:p>
    <w:p>
      <w:pPr>
        <w:pStyle w:val="Heading2"/>
      </w:pPr>
      <w:bookmarkStart w:id="68" w:name="_Toc107747017"/>
      <w:r>
        <w:rPr>
          <w:rStyle w:val="CharPartNo"/>
        </w:rPr>
        <w:t>Part III</w:t>
      </w:r>
      <w:r>
        <w:rPr>
          <w:rStyle w:val="CharDivNo"/>
        </w:rPr>
        <w:t> </w:t>
      </w:r>
      <w:r>
        <w:t>—</w:t>
      </w:r>
      <w:r>
        <w:rPr>
          <w:rStyle w:val="CharDivText"/>
        </w:rPr>
        <w:t> </w:t>
      </w:r>
      <w:r>
        <w:rPr>
          <w:rStyle w:val="CharPartText"/>
        </w:rPr>
        <w:t>Certificates</w:t>
      </w:r>
      <w:bookmarkEnd w:id="68"/>
      <w:r>
        <w:rPr>
          <w:rStyle w:val="CharPartText"/>
        </w:rPr>
        <w:t xml:space="preserve"> </w:t>
      </w:r>
    </w:p>
    <w:p>
      <w:pPr>
        <w:pStyle w:val="Heading5"/>
        <w:rPr>
          <w:snapToGrid w:val="0"/>
        </w:rPr>
      </w:pPr>
      <w:bookmarkStart w:id="69" w:name="_Toc6384654"/>
      <w:bookmarkStart w:id="70" w:name="_Toc13031673"/>
      <w:bookmarkStart w:id="71" w:name="_Toc14593300"/>
      <w:bookmarkStart w:id="72" w:name="_Toc18137695"/>
      <w:bookmarkStart w:id="73" w:name="_Toc107747018"/>
      <w:r>
        <w:rPr>
          <w:rStyle w:val="CharSectno"/>
        </w:rPr>
        <w:t>11</w:t>
      </w:r>
      <w:r>
        <w:rPr>
          <w:snapToGrid w:val="0"/>
        </w:rPr>
        <w:t>.</w:t>
      </w:r>
      <w:r>
        <w:rPr>
          <w:snapToGrid w:val="0"/>
        </w:rPr>
        <w:tab/>
        <w:t>Issue of Certificate of Survey</w:t>
      </w:r>
      <w:bookmarkEnd w:id="69"/>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Upon receiving a satisfactory report from each surveyor performing the initial survey of a vessel, the Chief Executive Officer shall prepare a Certificate of Survey in the specified form and a Record of Survey describing the hull, boilers and machinery, and equipment of the vessel.</w:t>
      </w:r>
    </w:p>
    <w:p>
      <w:pPr>
        <w:pStyle w:val="Subsection"/>
        <w:rPr>
          <w:snapToGrid w:val="0"/>
        </w:rPr>
      </w:pPr>
      <w:r>
        <w:rPr>
          <w:snapToGrid w:val="0"/>
        </w:rPr>
        <w:tab/>
        <w:t>(2)</w:t>
      </w:r>
      <w:r>
        <w:rPr>
          <w:snapToGrid w:val="0"/>
        </w:rPr>
        <w:tab/>
        <w:t>The Certificate of Survey shall contain the following items — </w:t>
      </w:r>
    </w:p>
    <w:p>
      <w:pPr>
        <w:pStyle w:val="Indenta"/>
        <w:rPr>
          <w:snapToGrid w:val="0"/>
        </w:rPr>
      </w:pPr>
      <w:r>
        <w:rPr>
          <w:snapToGrid w:val="0"/>
        </w:rPr>
        <w:tab/>
      </w:r>
      <w:r>
        <w:rPr>
          <w:snapToGrid w:val="0"/>
        </w:rPr>
        <w:tab/>
        <w:t>Name of Vessel;</w:t>
      </w:r>
    </w:p>
    <w:p>
      <w:pPr>
        <w:pStyle w:val="Indenta"/>
        <w:rPr>
          <w:snapToGrid w:val="0"/>
        </w:rPr>
      </w:pPr>
      <w:r>
        <w:rPr>
          <w:snapToGrid w:val="0"/>
        </w:rPr>
        <w:tab/>
      </w:r>
      <w:r>
        <w:rPr>
          <w:snapToGrid w:val="0"/>
        </w:rPr>
        <w:tab/>
        <w:t>Identifying Number of Vessel;</w:t>
      </w:r>
    </w:p>
    <w:p>
      <w:pPr>
        <w:pStyle w:val="Indenta"/>
        <w:rPr>
          <w:snapToGrid w:val="0"/>
        </w:rPr>
      </w:pPr>
      <w:r>
        <w:rPr>
          <w:snapToGrid w:val="0"/>
        </w:rPr>
        <w:tab/>
      </w:r>
      <w:r>
        <w:rPr>
          <w:snapToGrid w:val="0"/>
        </w:rPr>
        <w:tab/>
        <w:t>Official Number (if registered vessel);</w:t>
      </w:r>
    </w:p>
    <w:p>
      <w:pPr>
        <w:pStyle w:val="Indenta"/>
        <w:rPr>
          <w:snapToGrid w:val="0"/>
        </w:rPr>
      </w:pPr>
      <w:r>
        <w:rPr>
          <w:snapToGrid w:val="0"/>
        </w:rPr>
        <w:tab/>
      </w:r>
      <w:r>
        <w:rPr>
          <w:snapToGrid w:val="0"/>
        </w:rPr>
        <w:tab/>
        <w:t>Number of Passengers;</w:t>
      </w:r>
    </w:p>
    <w:p>
      <w:pPr>
        <w:pStyle w:val="Indenta"/>
        <w:rPr>
          <w:snapToGrid w:val="0"/>
        </w:rPr>
      </w:pPr>
      <w:r>
        <w:rPr>
          <w:snapToGrid w:val="0"/>
        </w:rPr>
        <w:tab/>
      </w:r>
      <w:r>
        <w:rPr>
          <w:snapToGrid w:val="0"/>
        </w:rPr>
        <w:tab/>
        <w:t>Number of Crew;</w:t>
      </w:r>
    </w:p>
    <w:p>
      <w:pPr>
        <w:pStyle w:val="Indenta"/>
        <w:rPr>
          <w:snapToGrid w:val="0"/>
        </w:rPr>
      </w:pPr>
      <w:r>
        <w:rPr>
          <w:snapToGrid w:val="0"/>
        </w:rPr>
        <w:tab/>
      </w:r>
      <w:r>
        <w:rPr>
          <w:snapToGrid w:val="0"/>
        </w:rPr>
        <w:tab/>
        <w:t>Class of Vessel;</w:t>
      </w:r>
    </w:p>
    <w:p>
      <w:pPr>
        <w:pStyle w:val="Indenta"/>
        <w:rPr>
          <w:snapToGrid w:val="0"/>
        </w:rPr>
      </w:pPr>
      <w:r>
        <w:rPr>
          <w:snapToGrid w:val="0"/>
        </w:rPr>
        <w:tab/>
      </w:r>
      <w:r>
        <w:rPr>
          <w:snapToGrid w:val="0"/>
        </w:rPr>
        <w:tab/>
        <w:t>Limits of Operation(s);</w:t>
      </w:r>
    </w:p>
    <w:p>
      <w:pPr>
        <w:pStyle w:val="Indenta"/>
        <w:rPr>
          <w:snapToGrid w:val="0"/>
        </w:rPr>
      </w:pPr>
      <w:r>
        <w:rPr>
          <w:snapToGrid w:val="0"/>
        </w:rPr>
        <w:tab/>
      </w:r>
      <w:r>
        <w:rPr>
          <w:snapToGrid w:val="0"/>
        </w:rPr>
        <w:tab/>
        <w:t>Measured Length and/or Gross Tonnage;</w:t>
      </w:r>
    </w:p>
    <w:p>
      <w:pPr>
        <w:pStyle w:val="Indenta"/>
        <w:rPr>
          <w:snapToGrid w:val="0"/>
        </w:rPr>
      </w:pPr>
      <w:r>
        <w:rPr>
          <w:snapToGrid w:val="0"/>
        </w:rPr>
        <w:tab/>
      </w:r>
      <w:r>
        <w:rPr>
          <w:snapToGrid w:val="0"/>
        </w:rPr>
        <w:tab/>
        <w:t>Title of Issuing Authority;</w:t>
      </w:r>
    </w:p>
    <w:p>
      <w:pPr>
        <w:pStyle w:val="Indenta"/>
        <w:rPr>
          <w:snapToGrid w:val="0"/>
        </w:rPr>
      </w:pPr>
      <w:r>
        <w:rPr>
          <w:snapToGrid w:val="0"/>
        </w:rPr>
        <w:tab/>
      </w:r>
      <w:r>
        <w:rPr>
          <w:snapToGrid w:val="0"/>
        </w:rPr>
        <w:tab/>
        <w:t>Signature of authorised officer(s);</w:t>
      </w:r>
    </w:p>
    <w:p>
      <w:pPr>
        <w:pStyle w:val="Indenta"/>
        <w:rPr>
          <w:snapToGrid w:val="0"/>
        </w:rPr>
      </w:pPr>
      <w:r>
        <w:rPr>
          <w:snapToGrid w:val="0"/>
        </w:rPr>
        <w:tab/>
      </w:r>
      <w:r>
        <w:rPr>
          <w:snapToGrid w:val="0"/>
        </w:rPr>
        <w:tab/>
        <w:t>Period of validity from ...................... to ......................;</w:t>
      </w:r>
    </w:p>
    <w:p>
      <w:pPr>
        <w:pStyle w:val="Indenta"/>
        <w:rPr>
          <w:snapToGrid w:val="0"/>
        </w:rPr>
      </w:pPr>
      <w:r>
        <w:rPr>
          <w:snapToGrid w:val="0"/>
        </w:rPr>
        <w:tab/>
      </w:r>
      <w:r>
        <w:rPr>
          <w:snapToGrid w:val="0"/>
        </w:rPr>
        <w:tab/>
        <w:t>Statement that vessel complies with the survey requirements of the                                   Authority.</w:t>
      </w:r>
    </w:p>
    <w:p>
      <w:pPr>
        <w:pStyle w:val="Subsection"/>
        <w:rPr>
          <w:snapToGrid w:val="0"/>
        </w:rPr>
      </w:pPr>
      <w:r>
        <w:rPr>
          <w:snapToGrid w:val="0"/>
        </w:rPr>
        <w:tab/>
        <w:t>(3)</w:t>
      </w:r>
      <w:r>
        <w:rPr>
          <w:snapToGrid w:val="0"/>
        </w:rPr>
        <w:tab/>
        <w:t>The original of the Certificate of Survey shall be issued to the owner or his agent.</w:t>
      </w:r>
    </w:p>
    <w:p>
      <w:pPr>
        <w:pStyle w:val="Footnotesection"/>
      </w:pPr>
      <w:r>
        <w:tab/>
        <w:t xml:space="preserve">[Regulation 11 amended in Gazette 11 Aug 1992 p. 3980.] </w:t>
      </w:r>
    </w:p>
    <w:p>
      <w:pPr>
        <w:pStyle w:val="Heading5"/>
        <w:rPr>
          <w:snapToGrid w:val="0"/>
        </w:rPr>
      </w:pPr>
      <w:bookmarkStart w:id="74" w:name="_Toc6384655"/>
      <w:bookmarkStart w:id="75" w:name="_Toc13031674"/>
      <w:bookmarkStart w:id="76" w:name="_Toc14593301"/>
      <w:bookmarkStart w:id="77" w:name="_Toc18137696"/>
      <w:bookmarkStart w:id="78" w:name="_Toc107747019"/>
      <w:r>
        <w:rPr>
          <w:rStyle w:val="CharSectno"/>
        </w:rPr>
        <w:t>12</w:t>
      </w:r>
      <w:r>
        <w:rPr>
          <w:snapToGrid w:val="0"/>
        </w:rPr>
        <w:t>.</w:t>
      </w:r>
      <w:r>
        <w:rPr>
          <w:snapToGrid w:val="0"/>
        </w:rPr>
        <w:tab/>
        <w:t>Evidence of compliance with survey requirements</w:t>
      </w:r>
      <w:bookmarkEnd w:id="74"/>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Evidence of compliance with the appropriate survey requirements shall consist of the display of the original, or a copy of the Certificate of Survey, or a plasticised document or a sticker or a metal plate referring to the Certificate of Survey, as may be approved by the Chief Executive Officer.</w:t>
      </w:r>
    </w:p>
    <w:p>
      <w:pPr>
        <w:pStyle w:val="Subsection"/>
        <w:rPr>
          <w:snapToGrid w:val="0"/>
        </w:rPr>
      </w:pPr>
      <w:r>
        <w:rPr>
          <w:snapToGrid w:val="0"/>
        </w:rPr>
        <w:tab/>
        <w:t>(2)</w:t>
      </w:r>
      <w:r>
        <w:rPr>
          <w:snapToGrid w:val="0"/>
        </w:rPr>
        <w:tab/>
        <w:t>The evidence of compliance, if not the original or a copy of the Certificate of Survey, shall contain the following details — </w:t>
      </w:r>
    </w:p>
    <w:p>
      <w:pPr>
        <w:pStyle w:val="Indenta"/>
        <w:rPr>
          <w:snapToGrid w:val="0"/>
        </w:rPr>
      </w:pPr>
      <w:r>
        <w:rPr>
          <w:snapToGrid w:val="0"/>
        </w:rPr>
        <w:tab/>
      </w:r>
      <w:r>
        <w:rPr>
          <w:snapToGrid w:val="0"/>
        </w:rPr>
        <w:tab/>
        <w:t>Name of vessel;</w:t>
      </w:r>
    </w:p>
    <w:p>
      <w:pPr>
        <w:pStyle w:val="Indenta"/>
        <w:rPr>
          <w:snapToGrid w:val="0"/>
        </w:rPr>
      </w:pPr>
      <w:r>
        <w:rPr>
          <w:snapToGrid w:val="0"/>
        </w:rPr>
        <w:tab/>
      </w:r>
      <w:r>
        <w:rPr>
          <w:snapToGrid w:val="0"/>
        </w:rPr>
        <w:tab/>
        <w:t>Identifying number of vessel;</w:t>
      </w:r>
    </w:p>
    <w:p>
      <w:pPr>
        <w:pStyle w:val="Indenta"/>
        <w:rPr>
          <w:snapToGrid w:val="0"/>
        </w:rPr>
      </w:pPr>
      <w:r>
        <w:rPr>
          <w:snapToGrid w:val="0"/>
        </w:rPr>
        <w:tab/>
      </w:r>
      <w:r>
        <w:rPr>
          <w:snapToGrid w:val="0"/>
        </w:rPr>
        <w:tab/>
        <w:t>Class of vessel;</w:t>
      </w:r>
    </w:p>
    <w:p>
      <w:pPr>
        <w:pStyle w:val="Indenta"/>
        <w:rPr>
          <w:snapToGrid w:val="0"/>
        </w:rPr>
      </w:pPr>
      <w:r>
        <w:rPr>
          <w:snapToGrid w:val="0"/>
        </w:rPr>
        <w:tab/>
      </w:r>
      <w:r>
        <w:rPr>
          <w:snapToGrid w:val="0"/>
        </w:rPr>
        <w:tab/>
        <w:t>Measured length and/or gross tonnage;</w:t>
      </w:r>
    </w:p>
    <w:p>
      <w:pPr>
        <w:pStyle w:val="Indenta"/>
        <w:rPr>
          <w:snapToGrid w:val="0"/>
        </w:rPr>
      </w:pPr>
      <w:r>
        <w:rPr>
          <w:snapToGrid w:val="0"/>
        </w:rPr>
        <w:tab/>
      </w:r>
      <w:r>
        <w:rPr>
          <w:snapToGrid w:val="0"/>
        </w:rPr>
        <w:tab/>
        <w:t>Maximum number of persons carried;</w:t>
      </w:r>
    </w:p>
    <w:p>
      <w:pPr>
        <w:pStyle w:val="Indenta"/>
        <w:rPr>
          <w:snapToGrid w:val="0"/>
        </w:rPr>
      </w:pPr>
      <w:r>
        <w:rPr>
          <w:snapToGrid w:val="0"/>
        </w:rPr>
        <w:tab/>
      </w:r>
      <w:r>
        <w:rPr>
          <w:snapToGrid w:val="0"/>
        </w:rPr>
        <w:tab/>
        <w:t>Limits of operation;</w:t>
      </w:r>
    </w:p>
    <w:p>
      <w:pPr>
        <w:pStyle w:val="Indenta"/>
        <w:rPr>
          <w:snapToGrid w:val="0"/>
        </w:rPr>
      </w:pPr>
      <w:r>
        <w:rPr>
          <w:snapToGrid w:val="0"/>
        </w:rPr>
        <w:tab/>
      </w:r>
      <w:r>
        <w:rPr>
          <w:snapToGrid w:val="0"/>
        </w:rPr>
        <w:tab/>
        <w:t>Issuing authority and signature of issuing officer;</w:t>
      </w:r>
    </w:p>
    <w:p>
      <w:pPr>
        <w:pStyle w:val="Indenta"/>
        <w:rPr>
          <w:snapToGrid w:val="0"/>
        </w:rPr>
      </w:pPr>
      <w:r>
        <w:rPr>
          <w:snapToGrid w:val="0"/>
        </w:rPr>
        <w:tab/>
      </w:r>
      <w:r>
        <w:rPr>
          <w:snapToGrid w:val="0"/>
        </w:rPr>
        <w:tab/>
        <w:t>Date of expiry.</w:t>
      </w:r>
    </w:p>
    <w:p>
      <w:pPr>
        <w:pStyle w:val="Subsection"/>
        <w:rPr>
          <w:snapToGrid w:val="0"/>
        </w:rPr>
      </w:pPr>
      <w:r>
        <w:rPr>
          <w:snapToGrid w:val="0"/>
        </w:rPr>
        <w:tab/>
        <w:t>(3)</w:t>
      </w:r>
      <w:r>
        <w:rPr>
          <w:snapToGrid w:val="0"/>
        </w:rPr>
        <w:tab/>
        <w:t>Subject to subregulation (4), evidence of compliance shall be displayed near the steering position of the vessel, except that in the case of passenger vessels, the evidence shall be displayed in such a position that it is readily visible to passengers.</w:t>
      </w:r>
    </w:p>
    <w:p>
      <w:pPr>
        <w:pStyle w:val="Subsection"/>
        <w:rPr>
          <w:snapToGrid w:val="0"/>
        </w:rPr>
      </w:pPr>
      <w:r>
        <w:rPr>
          <w:snapToGrid w:val="0"/>
        </w:rPr>
        <w:tab/>
        <w:t>(4)</w:t>
      </w:r>
      <w:r>
        <w:rPr>
          <w:snapToGrid w:val="0"/>
        </w:rPr>
        <w:tab/>
        <w:t>If the Chief Executive Officer so directs, the evidence of compliance carried on board a vessel shall be placed in such a position on board the vessel that it is visible from outside the vessel.</w:t>
      </w:r>
    </w:p>
    <w:p>
      <w:pPr>
        <w:pStyle w:val="Footnotesection"/>
      </w:pPr>
      <w:r>
        <w:tab/>
        <w:t xml:space="preserve">[Regulation 12 amended in Gazette 11 Aug 1992 p. 3980.] </w:t>
      </w:r>
    </w:p>
    <w:p>
      <w:pPr>
        <w:pStyle w:val="Heading5"/>
        <w:rPr>
          <w:snapToGrid w:val="0"/>
        </w:rPr>
      </w:pPr>
      <w:bookmarkStart w:id="79" w:name="_Toc6384656"/>
      <w:bookmarkStart w:id="80" w:name="_Toc13031675"/>
      <w:bookmarkStart w:id="81" w:name="_Toc14593302"/>
      <w:bookmarkStart w:id="82" w:name="_Toc18137697"/>
      <w:bookmarkStart w:id="83" w:name="_Toc107747020"/>
      <w:r>
        <w:rPr>
          <w:rStyle w:val="CharSectno"/>
        </w:rPr>
        <w:t>13</w:t>
      </w:r>
      <w:r>
        <w:rPr>
          <w:snapToGrid w:val="0"/>
        </w:rPr>
        <w:t>.</w:t>
      </w:r>
      <w:r>
        <w:rPr>
          <w:snapToGrid w:val="0"/>
        </w:rPr>
        <w:tab/>
        <w:t>Revalidation or renewal of certificate of survey</w:t>
      </w:r>
      <w:bookmarkEnd w:id="79"/>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Upon the satisfactory completion of any subsequent survey of a vessel and the receipt of the Report of each surveyor, the Chief Executive Officer may then issue for display on the vessel either — </w:t>
      </w:r>
    </w:p>
    <w:p>
      <w:pPr>
        <w:pStyle w:val="Indenta"/>
        <w:rPr>
          <w:snapToGrid w:val="0"/>
        </w:rPr>
      </w:pPr>
      <w:r>
        <w:rPr>
          <w:snapToGrid w:val="0"/>
        </w:rPr>
        <w:tab/>
        <w:t>(a)</w:t>
      </w:r>
      <w:r>
        <w:rPr>
          <w:snapToGrid w:val="0"/>
        </w:rPr>
        <w:tab/>
        <w:t>a new copy of the evidence required to be carried on board under section 27 of the Act; or</w:t>
      </w:r>
    </w:p>
    <w:p>
      <w:pPr>
        <w:pStyle w:val="Indenta"/>
        <w:rPr>
          <w:snapToGrid w:val="0"/>
        </w:rPr>
      </w:pPr>
      <w:r>
        <w:rPr>
          <w:snapToGrid w:val="0"/>
        </w:rPr>
        <w:tab/>
        <w:t>(b)</w:t>
      </w:r>
      <w:r>
        <w:rPr>
          <w:snapToGrid w:val="0"/>
        </w:rPr>
        <w:tab/>
        <w:t>a statement of revalidation, in a suitable form, that the evidence carried on the vessel under section 27 of the Act shall remain valid until the new expiry date indicated (which date shall usually be the due date of the next survey).</w:t>
      </w:r>
    </w:p>
    <w:p>
      <w:pPr>
        <w:pStyle w:val="Subsection"/>
        <w:rPr>
          <w:snapToGrid w:val="0"/>
        </w:rPr>
      </w:pPr>
      <w:r>
        <w:rPr>
          <w:snapToGrid w:val="0"/>
        </w:rPr>
        <w:tab/>
        <w:t>(2)</w:t>
      </w:r>
      <w:r>
        <w:rPr>
          <w:snapToGrid w:val="0"/>
        </w:rPr>
        <w:tab/>
        <w:t>The Chief Executive Officer, on satisfactory completion of a subsequent survey, may then issue to the owner the copies referred to in subregulation (1).</w:t>
      </w:r>
    </w:p>
    <w:p>
      <w:pPr>
        <w:pStyle w:val="Subsection"/>
        <w:rPr>
          <w:snapToGrid w:val="0"/>
        </w:rPr>
      </w:pPr>
      <w:r>
        <w:rPr>
          <w:snapToGrid w:val="0"/>
        </w:rPr>
        <w:tab/>
        <w:t>(3)</w:t>
      </w:r>
      <w:r>
        <w:rPr>
          <w:snapToGrid w:val="0"/>
        </w:rPr>
        <w:tab/>
        <w:t>If the Chief Executive Officer so requires upon the satisfactory completion of a cycle of an approved survey programme for a vessel and the receipt of the Report of each surveyor, the Chief Executive Officer may then issue for display on the vessel either — </w:t>
      </w:r>
    </w:p>
    <w:p>
      <w:pPr>
        <w:pStyle w:val="Indenta"/>
        <w:rPr>
          <w:snapToGrid w:val="0"/>
        </w:rPr>
      </w:pPr>
      <w:r>
        <w:rPr>
          <w:snapToGrid w:val="0"/>
        </w:rPr>
        <w:tab/>
        <w:t>(a)</w:t>
      </w:r>
      <w:r>
        <w:rPr>
          <w:snapToGrid w:val="0"/>
        </w:rPr>
        <w:tab/>
        <w:t>a new copy of the evidence required to be carried on board under section 27 of the Act; or</w:t>
      </w:r>
    </w:p>
    <w:p>
      <w:pPr>
        <w:pStyle w:val="Indenta"/>
        <w:rPr>
          <w:snapToGrid w:val="0"/>
        </w:rPr>
      </w:pPr>
      <w:r>
        <w:rPr>
          <w:snapToGrid w:val="0"/>
        </w:rPr>
        <w:tab/>
        <w:t>(b)</w:t>
      </w:r>
      <w:r>
        <w:rPr>
          <w:snapToGrid w:val="0"/>
        </w:rPr>
        <w:tab/>
        <w:t>a statement of revalidation in a suitable form, that the evidence carried on the vessel under section 27 of the Act shall remain valid until the new expiry date indicated (which date shall usually be the due date of the completion of the following cycle of the approved survey programme).</w:t>
      </w:r>
    </w:p>
    <w:p>
      <w:pPr>
        <w:pStyle w:val="Subsection"/>
        <w:rPr>
          <w:snapToGrid w:val="0"/>
        </w:rPr>
      </w:pPr>
      <w:r>
        <w:rPr>
          <w:snapToGrid w:val="0"/>
        </w:rPr>
        <w:tab/>
        <w:t>(4)</w:t>
      </w:r>
      <w:r>
        <w:rPr>
          <w:snapToGrid w:val="0"/>
        </w:rPr>
        <w:tab/>
        <w:t>The Chief Executive Officer on satisfactory completion of a cycle of a survey programme may then issue to the owner the copies referred to in subregulation (3).</w:t>
      </w:r>
    </w:p>
    <w:p>
      <w:pPr>
        <w:pStyle w:val="Footnotesection"/>
      </w:pPr>
      <w:r>
        <w:tab/>
        <w:t xml:space="preserve">[Regulation 13 amended in Gazette 11 Aug 1992 p. 3980.] </w:t>
      </w:r>
    </w:p>
    <w:p>
      <w:pPr>
        <w:pStyle w:val="Heading5"/>
        <w:rPr>
          <w:snapToGrid w:val="0"/>
        </w:rPr>
      </w:pPr>
      <w:bookmarkStart w:id="84" w:name="_Toc6384657"/>
      <w:bookmarkStart w:id="85" w:name="_Toc13031676"/>
      <w:bookmarkStart w:id="86" w:name="_Toc14593303"/>
      <w:bookmarkStart w:id="87" w:name="_Toc18137698"/>
      <w:bookmarkStart w:id="88" w:name="_Toc107747021"/>
      <w:r>
        <w:rPr>
          <w:rStyle w:val="CharSectno"/>
        </w:rPr>
        <w:t>14</w:t>
      </w:r>
      <w:r>
        <w:rPr>
          <w:snapToGrid w:val="0"/>
        </w:rPr>
        <w:t>.</w:t>
      </w:r>
      <w:r>
        <w:rPr>
          <w:snapToGrid w:val="0"/>
        </w:rPr>
        <w:tab/>
        <w:t>Extension of certificate of survey</w:t>
      </w:r>
      <w:bookmarkEnd w:id="84"/>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The owner of a vessel to which these regulations apply may apply in writing to the Chief Executive Officer for an extension of the certificate of survey issued to the vessel under these regulations.</w:t>
      </w:r>
    </w:p>
    <w:p>
      <w:pPr>
        <w:pStyle w:val="Subsection"/>
        <w:rPr>
          <w:snapToGrid w:val="0"/>
        </w:rPr>
      </w:pPr>
      <w:r>
        <w:rPr>
          <w:snapToGrid w:val="0"/>
        </w:rPr>
        <w:tab/>
        <w:t>(2)</w:t>
      </w:r>
      <w:r>
        <w:rPr>
          <w:snapToGrid w:val="0"/>
        </w:rPr>
        <w:tab/>
        <w:t>An application under subregulation (1) shall be accompanied by the appropriate fee set out in Schedule 1.</w:t>
      </w:r>
    </w:p>
    <w:p>
      <w:pPr>
        <w:pStyle w:val="Subsection"/>
        <w:rPr>
          <w:snapToGrid w:val="0"/>
          <w:spacing w:val="-4"/>
        </w:rPr>
      </w:pPr>
      <w:r>
        <w:rPr>
          <w:snapToGrid w:val="0"/>
          <w:spacing w:val="-4"/>
        </w:rPr>
        <w:tab/>
        <w:t>(3)</w:t>
      </w:r>
      <w:r>
        <w:rPr>
          <w:snapToGrid w:val="0"/>
          <w:spacing w:val="-4"/>
        </w:rPr>
        <w:tab/>
        <w:t>In any case in which the Chief Executive Officer is satisfied that the immediate survey of a vessel is impracticable or would occasion unreasonable or unnecessary expense or inconvenience, the Chief Executive Officer may extend the time for re</w:t>
      </w:r>
      <w:r>
        <w:rPr>
          <w:snapToGrid w:val="0"/>
          <w:spacing w:val="-4"/>
        </w:rPr>
        <w:noBreakHyphen/>
        <w:t>survey for any period not exceeding 3 months. An extension may be granted notwithstanding that the certificate of survey has expired.</w:t>
      </w:r>
    </w:p>
    <w:p>
      <w:pPr>
        <w:pStyle w:val="Subsection"/>
        <w:rPr>
          <w:snapToGrid w:val="0"/>
        </w:rPr>
      </w:pPr>
      <w:r>
        <w:rPr>
          <w:snapToGrid w:val="0"/>
        </w:rPr>
        <w:tab/>
        <w:t>(4)</w:t>
      </w:r>
      <w:r>
        <w:rPr>
          <w:snapToGrid w:val="0"/>
        </w:rPr>
        <w:tab/>
        <w:t>The Chief Executive Officer may require an inspection and report on the condition of a vessel to be made before granting the extension of a certificate of survey.</w:t>
      </w:r>
    </w:p>
    <w:p>
      <w:pPr>
        <w:pStyle w:val="Subsection"/>
        <w:rPr>
          <w:snapToGrid w:val="0"/>
        </w:rPr>
      </w:pPr>
      <w:r>
        <w:rPr>
          <w:snapToGrid w:val="0"/>
        </w:rPr>
        <w:tab/>
        <w:t>(5)</w:t>
      </w:r>
      <w:r>
        <w:rPr>
          <w:snapToGrid w:val="0"/>
        </w:rPr>
        <w:tab/>
        <w:t>Where the Chief Executive Officer grants an extension of a certificate of survey he shall issue to the owner of the vessel a notice of extension.</w:t>
      </w:r>
    </w:p>
    <w:p>
      <w:pPr>
        <w:pStyle w:val="Footnotesection"/>
      </w:pPr>
      <w:r>
        <w:tab/>
        <w:t xml:space="preserve">[Regulation 14 amended in Gazette 11 Aug 1992 p. 3980.] </w:t>
      </w:r>
    </w:p>
    <w:p>
      <w:pPr>
        <w:pStyle w:val="Heading5"/>
        <w:rPr>
          <w:snapToGrid w:val="0"/>
        </w:rPr>
      </w:pPr>
      <w:bookmarkStart w:id="89" w:name="_Toc6384658"/>
      <w:bookmarkStart w:id="90" w:name="_Toc13031677"/>
      <w:bookmarkStart w:id="91" w:name="_Toc14593304"/>
      <w:bookmarkStart w:id="92" w:name="_Toc18137699"/>
      <w:bookmarkStart w:id="93" w:name="_Toc107747022"/>
      <w:r>
        <w:rPr>
          <w:rStyle w:val="CharSectno"/>
        </w:rPr>
        <w:t>15</w:t>
      </w:r>
      <w:r>
        <w:rPr>
          <w:snapToGrid w:val="0"/>
        </w:rPr>
        <w:t>.</w:t>
      </w:r>
      <w:r>
        <w:rPr>
          <w:snapToGrid w:val="0"/>
        </w:rPr>
        <w:tab/>
        <w:t>Suspension or cancellation of certificate of survey</w:t>
      </w:r>
      <w:bookmarkEnd w:id="89"/>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Where the Chief Executive Officer is satisfied, by reason of a report, that a vessel under his survey fails to comply, for any reason, with the appropriate survey requirements, the Chief Executive Officer may suspend or cancel the certificate of survey and the owner shall be advised accordingly.</w:t>
      </w:r>
    </w:p>
    <w:p>
      <w:pPr>
        <w:pStyle w:val="Subsection"/>
        <w:rPr>
          <w:snapToGrid w:val="0"/>
        </w:rPr>
      </w:pPr>
      <w:r>
        <w:rPr>
          <w:snapToGrid w:val="0"/>
        </w:rPr>
        <w:tab/>
        <w:t>(2)</w:t>
      </w:r>
      <w:r>
        <w:rPr>
          <w:snapToGrid w:val="0"/>
        </w:rPr>
        <w:tab/>
        <w:t>Where the certificate of survey has been suspended or cancelled under subregulation (1) the Chief Executive Officer may require it and the evidence of survey to be delivered up as directed.</w:t>
      </w:r>
    </w:p>
    <w:p>
      <w:pPr>
        <w:pStyle w:val="Footnotesection"/>
      </w:pPr>
      <w:r>
        <w:tab/>
        <w:t xml:space="preserve">[Regulation 15 amended in Gazette 11 Aug 1992 p. 3980.] </w:t>
      </w:r>
    </w:p>
    <w:p>
      <w:pPr>
        <w:pStyle w:val="Heading5"/>
        <w:rPr>
          <w:snapToGrid w:val="0"/>
        </w:rPr>
      </w:pPr>
      <w:bookmarkStart w:id="94" w:name="_Toc6384659"/>
      <w:bookmarkStart w:id="95" w:name="_Toc13031678"/>
      <w:bookmarkStart w:id="96" w:name="_Toc14593305"/>
      <w:bookmarkStart w:id="97" w:name="_Toc18137700"/>
      <w:bookmarkStart w:id="98" w:name="_Toc107747023"/>
      <w:r>
        <w:rPr>
          <w:rStyle w:val="CharSectno"/>
        </w:rPr>
        <w:t>16</w:t>
      </w:r>
      <w:r>
        <w:rPr>
          <w:snapToGrid w:val="0"/>
        </w:rPr>
        <w:t>.</w:t>
      </w:r>
      <w:r>
        <w:rPr>
          <w:snapToGrid w:val="0"/>
        </w:rPr>
        <w:tab/>
        <w:t>Owners to notify Chief Executive Officer of various occurrences</w:t>
      </w:r>
      <w:bookmarkEnd w:id="94"/>
      <w:bookmarkEnd w:id="95"/>
      <w:bookmarkEnd w:id="96"/>
      <w:bookmarkEnd w:id="97"/>
      <w:bookmarkEnd w:id="98"/>
      <w:r>
        <w:rPr>
          <w:snapToGrid w:val="0"/>
        </w:rPr>
        <w:t xml:space="preserve"> </w:t>
      </w:r>
    </w:p>
    <w:p>
      <w:pPr>
        <w:pStyle w:val="Subsection"/>
        <w:rPr>
          <w:snapToGrid w:val="0"/>
        </w:rPr>
      </w:pPr>
      <w:r>
        <w:rPr>
          <w:snapToGrid w:val="0"/>
        </w:rPr>
        <w:tab/>
      </w:r>
      <w:r>
        <w:rPr>
          <w:snapToGrid w:val="0"/>
        </w:rPr>
        <w:tab/>
        <w:t>The owner of a vessel in respect of which a certificate of survey has been issued and is in force under these regulations shall, not later than 14 days after the relevant occurrence, inform the Chief Executive Officer in writing of — </w:t>
      </w:r>
    </w:p>
    <w:p>
      <w:pPr>
        <w:pStyle w:val="Indenta"/>
        <w:rPr>
          <w:snapToGrid w:val="0"/>
        </w:rPr>
      </w:pPr>
      <w:r>
        <w:rPr>
          <w:snapToGrid w:val="0"/>
        </w:rPr>
        <w:tab/>
        <w:t>(a)</w:t>
      </w:r>
      <w:r>
        <w:rPr>
          <w:snapToGrid w:val="0"/>
        </w:rPr>
        <w:tab/>
        <w:t>the sale of the vessel and the name and address of the new owner;</w:t>
      </w:r>
    </w:p>
    <w:p>
      <w:pPr>
        <w:pStyle w:val="Indenta"/>
        <w:rPr>
          <w:snapToGrid w:val="0"/>
        </w:rPr>
      </w:pPr>
      <w:r>
        <w:rPr>
          <w:snapToGrid w:val="0"/>
        </w:rPr>
        <w:tab/>
        <w:t>(b)</w:t>
      </w:r>
      <w:r>
        <w:rPr>
          <w:snapToGrid w:val="0"/>
        </w:rPr>
        <w:tab/>
        <w:t>a decision to withdraw the vessel from commercial operations;</w:t>
      </w:r>
    </w:p>
    <w:p>
      <w:pPr>
        <w:pStyle w:val="Indenta"/>
        <w:rPr>
          <w:snapToGrid w:val="0"/>
        </w:rPr>
      </w:pPr>
      <w:r>
        <w:rPr>
          <w:snapToGrid w:val="0"/>
        </w:rPr>
        <w:tab/>
        <w:t>(c)</w:t>
      </w:r>
      <w:r>
        <w:rPr>
          <w:snapToGrid w:val="0"/>
        </w:rPr>
        <w:tab/>
        <w:t>the transfer of the vessel into the jurisdiction of another marine authority for an extended period; or</w:t>
      </w:r>
    </w:p>
    <w:p>
      <w:pPr>
        <w:pStyle w:val="Indenta"/>
        <w:rPr>
          <w:snapToGrid w:val="0"/>
        </w:rPr>
      </w:pPr>
      <w:r>
        <w:rPr>
          <w:snapToGrid w:val="0"/>
        </w:rPr>
        <w:tab/>
        <w:t>(d)</w:t>
      </w:r>
      <w:r>
        <w:rPr>
          <w:snapToGrid w:val="0"/>
        </w:rPr>
        <w:tab/>
        <w:t>any significant alteration of the vessel or its manner of operation.</w:t>
      </w:r>
    </w:p>
    <w:p>
      <w:pPr>
        <w:pStyle w:val="Penstart"/>
        <w:rPr>
          <w:snapToGrid w:val="0"/>
        </w:rPr>
      </w:pPr>
      <w:r>
        <w:rPr>
          <w:snapToGrid w:val="0"/>
        </w:rPr>
        <w:tab/>
        <w:t>Penalty: $250.</w:t>
      </w:r>
    </w:p>
    <w:p>
      <w:pPr>
        <w:pStyle w:val="Footnotesection"/>
      </w:pPr>
      <w:r>
        <w:tab/>
        <w:t xml:space="preserve">[Regulation 16 amended in Gazette 11 Aug 1992 p. 3980.] </w:t>
      </w:r>
    </w:p>
    <w:p>
      <w:pPr>
        <w:pStyle w:val="Heading5"/>
        <w:rPr>
          <w:snapToGrid w:val="0"/>
        </w:rPr>
      </w:pPr>
      <w:bookmarkStart w:id="99" w:name="_Toc6384660"/>
      <w:bookmarkStart w:id="100" w:name="_Toc13031679"/>
      <w:bookmarkStart w:id="101" w:name="_Toc14593306"/>
      <w:bookmarkStart w:id="102" w:name="_Toc18137701"/>
      <w:bookmarkStart w:id="103" w:name="_Toc107747024"/>
      <w:r>
        <w:rPr>
          <w:rStyle w:val="CharSectno"/>
        </w:rPr>
        <w:t>17</w:t>
      </w:r>
      <w:r>
        <w:rPr>
          <w:snapToGrid w:val="0"/>
        </w:rPr>
        <w:t>.</w:t>
      </w:r>
      <w:r>
        <w:rPr>
          <w:snapToGrid w:val="0"/>
        </w:rPr>
        <w:tab/>
        <w:t>Acceptance of other certificates of survey</w:t>
      </w:r>
      <w:bookmarkEnd w:id="99"/>
      <w:bookmarkEnd w:id="100"/>
      <w:bookmarkEnd w:id="101"/>
      <w:bookmarkEnd w:id="102"/>
      <w:bookmarkEnd w:id="103"/>
      <w:r>
        <w:rPr>
          <w:snapToGrid w:val="0"/>
        </w:rPr>
        <w:t xml:space="preserve"> </w:t>
      </w:r>
    </w:p>
    <w:p>
      <w:pPr>
        <w:pStyle w:val="Subsection"/>
        <w:rPr>
          <w:snapToGrid w:val="0"/>
        </w:rPr>
      </w:pPr>
      <w:r>
        <w:rPr>
          <w:snapToGrid w:val="0"/>
        </w:rPr>
        <w:tab/>
      </w:r>
      <w:r>
        <w:rPr>
          <w:snapToGrid w:val="0"/>
        </w:rPr>
        <w:tab/>
        <w:t>The Chief Executive Officer may accept a certificate of survey issued by another marine authority and dispense with the survey of that vessel during the validity of that certificate.</w:t>
      </w:r>
    </w:p>
    <w:p>
      <w:pPr>
        <w:pStyle w:val="Footnotesection"/>
      </w:pPr>
      <w:r>
        <w:tab/>
        <w:t xml:space="preserve">[Regulation 17 amended in Gazette 11 Aug 1992 p. 3980.] </w:t>
      </w:r>
    </w:p>
    <w:p>
      <w:pPr>
        <w:pStyle w:val="Heading5"/>
        <w:rPr>
          <w:snapToGrid w:val="0"/>
        </w:rPr>
      </w:pPr>
      <w:bookmarkStart w:id="104" w:name="_Toc6384661"/>
      <w:bookmarkStart w:id="105" w:name="_Toc13031680"/>
      <w:bookmarkStart w:id="106" w:name="_Toc14593307"/>
      <w:bookmarkStart w:id="107" w:name="_Toc18137702"/>
      <w:bookmarkStart w:id="108" w:name="_Toc107747025"/>
      <w:r>
        <w:rPr>
          <w:rStyle w:val="CharSectno"/>
        </w:rPr>
        <w:t>18</w:t>
      </w:r>
      <w:r>
        <w:rPr>
          <w:snapToGrid w:val="0"/>
        </w:rPr>
        <w:t>.</w:t>
      </w:r>
      <w:r>
        <w:rPr>
          <w:snapToGrid w:val="0"/>
        </w:rPr>
        <w:tab/>
        <w:t>Continuation of approved survey programme</w:t>
      </w:r>
      <w:bookmarkEnd w:id="104"/>
      <w:bookmarkEnd w:id="105"/>
      <w:bookmarkEnd w:id="106"/>
      <w:bookmarkEnd w:id="107"/>
      <w:bookmarkEnd w:id="108"/>
      <w:r>
        <w:rPr>
          <w:snapToGrid w:val="0"/>
        </w:rPr>
        <w:t xml:space="preserve"> </w:t>
      </w:r>
    </w:p>
    <w:p>
      <w:pPr>
        <w:pStyle w:val="Subsection"/>
        <w:rPr>
          <w:snapToGrid w:val="0"/>
        </w:rPr>
      </w:pPr>
      <w:r>
        <w:rPr>
          <w:snapToGrid w:val="0"/>
        </w:rPr>
        <w:tab/>
      </w:r>
      <w:r>
        <w:rPr>
          <w:snapToGrid w:val="0"/>
        </w:rPr>
        <w:tab/>
        <w:t>Where a vessel which is carrying out a survey programme approved by another marine authority proceeds to the jurisdiction of the State, that survey programme may be continued in the State subject to the approval of the Chief Executive Officer.</w:t>
      </w:r>
    </w:p>
    <w:p>
      <w:pPr>
        <w:pStyle w:val="Footnotesection"/>
      </w:pPr>
      <w:r>
        <w:tab/>
        <w:t xml:space="preserve">[Regulation 18 amended in Gazette 11 Aug 1992 p. 3980.] </w:t>
      </w:r>
    </w:p>
    <w:p>
      <w:pPr>
        <w:pStyle w:val="Heading2"/>
      </w:pPr>
      <w:bookmarkStart w:id="109" w:name="_Toc107747026"/>
      <w:r>
        <w:rPr>
          <w:rStyle w:val="CharPartNo"/>
        </w:rPr>
        <w:t>Part IV</w:t>
      </w:r>
      <w:r>
        <w:rPr>
          <w:rStyle w:val="CharDivNo"/>
        </w:rPr>
        <w:t> </w:t>
      </w:r>
      <w:r>
        <w:t>—</w:t>
      </w:r>
      <w:r>
        <w:rPr>
          <w:rStyle w:val="CharDivText"/>
        </w:rPr>
        <w:t> </w:t>
      </w:r>
      <w:r>
        <w:rPr>
          <w:rStyle w:val="CharPartText"/>
        </w:rPr>
        <w:t>Single voyage towage permits</w:t>
      </w:r>
      <w:bookmarkEnd w:id="109"/>
      <w:r>
        <w:rPr>
          <w:rStyle w:val="CharPartText"/>
        </w:rPr>
        <w:t xml:space="preserve"> </w:t>
      </w:r>
    </w:p>
    <w:p>
      <w:pPr>
        <w:pStyle w:val="Heading5"/>
        <w:rPr>
          <w:snapToGrid w:val="0"/>
        </w:rPr>
      </w:pPr>
      <w:bookmarkStart w:id="110" w:name="_Toc6384662"/>
      <w:bookmarkStart w:id="111" w:name="_Toc13031681"/>
      <w:bookmarkStart w:id="112" w:name="_Toc14593308"/>
      <w:bookmarkStart w:id="113" w:name="_Toc18137703"/>
      <w:bookmarkStart w:id="114" w:name="_Toc107747027"/>
      <w:r>
        <w:rPr>
          <w:rStyle w:val="CharSectno"/>
        </w:rPr>
        <w:t>19</w:t>
      </w:r>
      <w:r>
        <w:rPr>
          <w:snapToGrid w:val="0"/>
        </w:rPr>
        <w:t>.</w:t>
      </w:r>
      <w:r>
        <w:rPr>
          <w:snapToGrid w:val="0"/>
        </w:rPr>
        <w:tab/>
        <w:t>Application of Part IV</w:t>
      </w:r>
      <w:bookmarkEnd w:id="110"/>
      <w:bookmarkEnd w:id="111"/>
      <w:bookmarkEnd w:id="112"/>
      <w:bookmarkEnd w:id="113"/>
      <w:bookmarkEnd w:id="114"/>
      <w:r>
        <w:rPr>
          <w:snapToGrid w:val="0"/>
        </w:rPr>
        <w:t xml:space="preserve"> </w:t>
      </w:r>
    </w:p>
    <w:p>
      <w:pPr>
        <w:pStyle w:val="Subsection"/>
        <w:rPr>
          <w:snapToGrid w:val="0"/>
        </w:rPr>
      </w:pPr>
      <w:r>
        <w:rPr>
          <w:snapToGrid w:val="0"/>
        </w:rPr>
        <w:tab/>
      </w:r>
      <w:r>
        <w:rPr>
          <w:snapToGrid w:val="0"/>
        </w:rPr>
        <w:tab/>
        <w:t>This Part of these regulations applies to all vessels that are engaged in towing or being towed on a seagoing voyage, but this Part does not apply to — </w:t>
      </w:r>
    </w:p>
    <w:p>
      <w:pPr>
        <w:pStyle w:val="Indenta"/>
        <w:rPr>
          <w:snapToGrid w:val="0"/>
        </w:rPr>
      </w:pPr>
      <w:r>
        <w:rPr>
          <w:snapToGrid w:val="0"/>
        </w:rPr>
        <w:tab/>
        <w:t>(a)</w:t>
      </w:r>
      <w:r>
        <w:rPr>
          <w:snapToGrid w:val="0"/>
        </w:rPr>
        <w:tab/>
        <w:t>regular towage of cargo on a commercial basis;</w:t>
      </w:r>
    </w:p>
    <w:p>
      <w:pPr>
        <w:pStyle w:val="Indenta"/>
        <w:rPr>
          <w:snapToGrid w:val="0"/>
        </w:rPr>
      </w:pPr>
      <w:r>
        <w:rPr>
          <w:snapToGrid w:val="0"/>
        </w:rPr>
        <w:tab/>
        <w:t>(b)</w:t>
      </w:r>
      <w:r>
        <w:rPr>
          <w:snapToGrid w:val="0"/>
        </w:rPr>
        <w:tab/>
        <w:t>the harbour towage of vessels;</w:t>
      </w:r>
    </w:p>
    <w:p>
      <w:pPr>
        <w:pStyle w:val="Indenta"/>
        <w:rPr>
          <w:snapToGrid w:val="0"/>
        </w:rPr>
      </w:pPr>
      <w:r>
        <w:rPr>
          <w:snapToGrid w:val="0"/>
        </w:rPr>
        <w:tab/>
        <w:t>(c)</w:t>
      </w:r>
      <w:r>
        <w:rPr>
          <w:snapToGrid w:val="0"/>
        </w:rPr>
        <w:tab/>
        <w:t>the towage or assistance of oil</w:t>
      </w:r>
      <w:r>
        <w:rPr>
          <w:snapToGrid w:val="0"/>
        </w:rPr>
        <w:noBreakHyphen/>
        <w:t>exploration structures, semi</w:t>
      </w:r>
      <w:r>
        <w:rPr>
          <w:snapToGrid w:val="0"/>
        </w:rPr>
        <w:noBreakHyphen/>
        <w:t>submersible oil platforms, and the like, which are self</w:t>
      </w:r>
      <w:r>
        <w:rPr>
          <w:snapToGrid w:val="0"/>
        </w:rPr>
        <w:noBreakHyphen/>
        <w:t>propelled; and</w:t>
      </w:r>
    </w:p>
    <w:p>
      <w:pPr>
        <w:pStyle w:val="Indenta"/>
        <w:rPr>
          <w:snapToGrid w:val="0"/>
        </w:rPr>
      </w:pPr>
      <w:r>
        <w:rPr>
          <w:snapToGrid w:val="0"/>
        </w:rPr>
        <w:tab/>
        <w:t>(d)</w:t>
      </w:r>
      <w:r>
        <w:rPr>
          <w:snapToGrid w:val="0"/>
        </w:rPr>
        <w:tab/>
        <w:t>a vessel in distress at sea or stranded in a position where immediate action by the towing vessel is vital to the saving of life or property.</w:t>
      </w:r>
    </w:p>
    <w:p>
      <w:pPr>
        <w:pStyle w:val="Heading5"/>
        <w:rPr>
          <w:snapToGrid w:val="0"/>
        </w:rPr>
      </w:pPr>
      <w:bookmarkStart w:id="115" w:name="_Toc6384663"/>
      <w:bookmarkStart w:id="116" w:name="_Toc13031682"/>
      <w:bookmarkStart w:id="117" w:name="_Toc14593309"/>
      <w:bookmarkStart w:id="118" w:name="_Toc18137704"/>
      <w:bookmarkStart w:id="119" w:name="_Toc107747028"/>
      <w:r>
        <w:rPr>
          <w:rStyle w:val="CharSectno"/>
        </w:rPr>
        <w:t>20</w:t>
      </w:r>
      <w:r>
        <w:rPr>
          <w:snapToGrid w:val="0"/>
        </w:rPr>
        <w:t>.</w:t>
      </w:r>
      <w:r>
        <w:rPr>
          <w:snapToGrid w:val="0"/>
        </w:rPr>
        <w:tab/>
        <w:t>Application for towage permit</w:t>
      </w:r>
      <w:bookmarkEnd w:id="115"/>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The owner of a vessel intended to be towed shall forward to the Chief Executive Officer an application in the specified form for a towage permit together with the appropriate fee for the inspection of the vessel intended to be towed and for the permit set out in Schedule 1.</w:t>
      </w:r>
    </w:p>
    <w:p>
      <w:pPr>
        <w:pStyle w:val="Subsection"/>
        <w:rPr>
          <w:snapToGrid w:val="0"/>
        </w:rPr>
      </w:pPr>
      <w:r>
        <w:rPr>
          <w:snapToGrid w:val="0"/>
        </w:rPr>
        <w:tab/>
        <w:t>(2)</w:t>
      </w:r>
      <w:r>
        <w:rPr>
          <w:snapToGrid w:val="0"/>
        </w:rPr>
        <w:tab/>
        <w:t>An “Application for Towage Permit” shall be accompanied by the following information regarding the vessel to be towed — </w:t>
      </w:r>
    </w:p>
    <w:p>
      <w:pPr>
        <w:pStyle w:val="Indenta"/>
        <w:rPr>
          <w:snapToGrid w:val="0"/>
          <w:spacing w:val="-4"/>
        </w:rPr>
      </w:pPr>
      <w:r>
        <w:rPr>
          <w:snapToGrid w:val="0"/>
          <w:spacing w:val="-4"/>
        </w:rPr>
        <w:tab/>
        <w:t>(a)</w:t>
      </w:r>
      <w:r>
        <w:rPr>
          <w:snapToGrid w:val="0"/>
          <w:spacing w:val="-4"/>
        </w:rPr>
        <w:tab/>
        <w:t>nature of tow (e.g. ferry, cargo ship, unloaded barge, etc.);</w:t>
      </w:r>
    </w:p>
    <w:p>
      <w:pPr>
        <w:pStyle w:val="Indenta"/>
        <w:rPr>
          <w:snapToGrid w:val="0"/>
        </w:rPr>
      </w:pPr>
      <w:r>
        <w:rPr>
          <w:snapToGrid w:val="0"/>
        </w:rPr>
        <w:tab/>
        <w:t>(b)</w:t>
      </w:r>
      <w:r>
        <w:rPr>
          <w:snapToGrid w:val="0"/>
        </w:rPr>
        <w:tab/>
        <w:t>name, official number and port of registry;</w:t>
      </w:r>
    </w:p>
    <w:p>
      <w:pPr>
        <w:pStyle w:val="Indenta"/>
        <w:rPr>
          <w:snapToGrid w:val="0"/>
        </w:rPr>
      </w:pPr>
      <w:r>
        <w:rPr>
          <w:snapToGrid w:val="0"/>
        </w:rPr>
        <w:tab/>
        <w:t>(c)</w:t>
      </w:r>
      <w:r>
        <w:rPr>
          <w:snapToGrid w:val="0"/>
        </w:rPr>
        <w:tab/>
        <w:t>details of any current certificates relating to the tow;</w:t>
      </w:r>
    </w:p>
    <w:p>
      <w:pPr>
        <w:pStyle w:val="Indenta"/>
        <w:rPr>
          <w:snapToGrid w:val="0"/>
        </w:rPr>
      </w:pPr>
      <w:r>
        <w:rPr>
          <w:snapToGrid w:val="0"/>
        </w:rPr>
        <w:tab/>
        <w:t>(d)</w:t>
      </w:r>
      <w:r>
        <w:rPr>
          <w:snapToGrid w:val="0"/>
        </w:rPr>
        <w:tab/>
        <w:t>point of departure and destination of tow;</w:t>
      </w:r>
    </w:p>
    <w:p>
      <w:pPr>
        <w:pStyle w:val="Indenta"/>
        <w:rPr>
          <w:snapToGrid w:val="0"/>
        </w:rPr>
      </w:pPr>
      <w:r>
        <w:rPr>
          <w:snapToGrid w:val="0"/>
        </w:rPr>
        <w:tab/>
        <w:t>(e)</w:t>
      </w:r>
      <w:r>
        <w:rPr>
          <w:snapToGrid w:val="0"/>
        </w:rPr>
        <w:tab/>
        <w:t>details of towing operation i.e. manning (if any) estimated departure date, estimated towing speed, duration of operation, estimated arrival date,</w:t>
      </w:r>
    </w:p>
    <w:p>
      <w:pPr>
        <w:pStyle w:val="Subsection"/>
        <w:rPr>
          <w:snapToGrid w:val="0"/>
        </w:rPr>
      </w:pPr>
      <w:r>
        <w:rPr>
          <w:snapToGrid w:val="0"/>
        </w:rPr>
        <w:tab/>
      </w:r>
      <w:r>
        <w:rPr>
          <w:snapToGrid w:val="0"/>
        </w:rPr>
        <w:tab/>
        <w:t>and such other information as the Chief Executive Officer may require.</w:t>
      </w:r>
    </w:p>
    <w:p>
      <w:pPr>
        <w:pStyle w:val="Subsection"/>
        <w:rPr>
          <w:snapToGrid w:val="0"/>
        </w:rPr>
      </w:pPr>
      <w:r>
        <w:rPr>
          <w:snapToGrid w:val="0"/>
        </w:rPr>
        <w:tab/>
        <w:t>(3)</w:t>
      </w:r>
      <w:r>
        <w:rPr>
          <w:snapToGrid w:val="0"/>
        </w:rPr>
        <w:tab/>
        <w:t>The owner of the vessel to be towed, or the owner, master or agent of the towing vessel shall be required to forward the following information to the Chief Executive Officer regarding the towing vessel — </w:t>
      </w:r>
    </w:p>
    <w:p>
      <w:pPr>
        <w:pStyle w:val="Indenta"/>
        <w:rPr>
          <w:snapToGrid w:val="0"/>
        </w:rPr>
      </w:pPr>
      <w:r>
        <w:rPr>
          <w:snapToGrid w:val="0"/>
        </w:rPr>
        <w:tab/>
        <w:t>(a)</w:t>
      </w:r>
      <w:r>
        <w:rPr>
          <w:snapToGrid w:val="0"/>
        </w:rPr>
        <w:tab/>
        <w:t>name, official number and port of registry;</w:t>
      </w:r>
    </w:p>
    <w:p>
      <w:pPr>
        <w:pStyle w:val="Indenta"/>
        <w:rPr>
          <w:snapToGrid w:val="0"/>
        </w:rPr>
      </w:pPr>
      <w:r>
        <w:rPr>
          <w:snapToGrid w:val="0"/>
        </w:rPr>
        <w:tab/>
        <w:t>(b)</w:t>
      </w:r>
      <w:r>
        <w:rPr>
          <w:snapToGrid w:val="0"/>
        </w:rPr>
        <w:tab/>
        <w:t>type of vessel;</w:t>
      </w:r>
    </w:p>
    <w:p>
      <w:pPr>
        <w:pStyle w:val="Indenta"/>
        <w:rPr>
          <w:snapToGrid w:val="0"/>
        </w:rPr>
      </w:pPr>
      <w:r>
        <w:rPr>
          <w:snapToGrid w:val="0"/>
        </w:rPr>
        <w:tab/>
        <w:t>(c)</w:t>
      </w:r>
      <w:r>
        <w:rPr>
          <w:snapToGrid w:val="0"/>
        </w:rPr>
        <w:tab/>
        <w:t>details of any current certificates relating to the towing vessel;</w:t>
      </w:r>
    </w:p>
    <w:p>
      <w:pPr>
        <w:pStyle w:val="Indenta"/>
        <w:rPr>
          <w:snapToGrid w:val="0"/>
        </w:rPr>
      </w:pPr>
      <w:r>
        <w:rPr>
          <w:snapToGrid w:val="0"/>
        </w:rPr>
        <w:tab/>
        <w:t>(d)</w:t>
      </w:r>
      <w:r>
        <w:rPr>
          <w:snapToGrid w:val="0"/>
        </w:rPr>
        <w:tab/>
        <w:t>propulsion power and or bollard pull; and</w:t>
      </w:r>
    </w:p>
    <w:p>
      <w:pPr>
        <w:pStyle w:val="Indenta"/>
        <w:rPr>
          <w:snapToGrid w:val="0"/>
        </w:rPr>
      </w:pPr>
      <w:r>
        <w:rPr>
          <w:snapToGrid w:val="0"/>
        </w:rPr>
        <w:tab/>
        <w:t>(e)</w:t>
      </w:r>
      <w:r>
        <w:rPr>
          <w:snapToGrid w:val="0"/>
        </w:rPr>
        <w:tab/>
        <w:t>any such other information as the Chief Executive Officer may require.</w:t>
      </w:r>
    </w:p>
    <w:p>
      <w:pPr>
        <w:pStyle w:val="Footnotesection"/>
      </w:pPr>
      <w:r>
        <w:tab/>
        <w:t xml:space="preserve">[Regulation 20 amended in Gazette 30 Jun 1989 p. 1924; 11 Aug 1992 p. 3980.] </w:t>
      </w:r>
    </w:p>
    <w:p>
      <w:pPr>
        <w:pStyle w:val="Heading5"/>
        <w:rPr>
          <w:snapToGrid w:val="0"/>
        </w:rPr>
      </w:pPr>
      <w:bookmarkStart w:id="120" w:name="_Toc6384664"/>
      <w:bookmarkStart w:id="121" w:name="_Toc13031683"/>
      <w:bookmarkStart w:id="122" w:name="_Toc14593310"/>
      <w:bookmarkStart w:id="123" w:name="_Toc18137705"/>
      <w:bookmarkStart w:id="124" w:name="_Toc107747029"/>
      <w:r>
        <w:rPr>
          <w:rStyle w:val="CharSectno"/>
        </w:rPr>
        <w:t>21</w:t>
      </w:r>
      <w:r>
        <w:rPr>
          <w:snapToGrid w:val="0"/>
        </w:rPr>
        <w:t>.</w:t>
      </w:r>
      <w:r>
        <w:rPr>
          <w:snapToGrid w:val="0"/>
        </w:rPr>
        <w:tab/>
        <w:t>Issue of towage permit</w:t>
      </w:r>
      <w:bookmarkEnd w:id="120"/>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Upon receiving an application for a towage permit, the Chief Executive Officer shall arrange for the vessel that is intended to be towed to be inspected to determine whether it is fit to be towed on the proposed voyage.</w:t>
      </w:r>
    </w:p>
    <w:p>
      <w:pPr>
        <w:pStyle w:val="Subsection"/>
        <w:rPr>
          <w:snapToGrid w:val="0"/>
        </w:rPr>
      </w:pPr>
      <w:r>
        <w:rPr>
          <w:snapToGrid w:val="0"/>
        </w:rPr>
        <w:tab/>
        <w:t>(2)</w:t>
      </w:r>
      <w:r>
        <w:rPr>
          <w:snapToGrid w:val="0"/>
        </w:rPr>
        <w:tab/>
        <w:t>The inspection of a vessel under subregulation (1) shall have regard to — </w:t>
      </w:r>
    </w:p>
    <w:p>
      <w:pPr>
        <w:pStyle w:val="Indenta"/>
        <w:rPr>
          <w:snapToGrid w:val="0"/>
        </w:rPr>
      </w:pPr>
      <w:r>
        <w:rPr>
          <w:snapToGrid w:val="0"/>
        </w:rPr>
        <w:tab/>
        <w:t>(a)</w:t>
      </w:r>
      <w:r>
        <w:rPr>
          <w:snapToGrid w:val="0"/>
        </w:rPr>
        <w:tab/>
        <w:t>the structural condition of the hull, taking into account the intended voyage;</w:t>
      </w:r>
    </w:p>
    <w:p>
      <w:pPr>
        <w:pStyle w:val="Indenta"/>
        <w:rPr>
          <w:snapToGrid w:val="0"/>
        </w:rPr>
      </w:pPr>
      <w:r>
        <w:rPr>
          <w:snapToGrid w:val="0"/>
        </w:rPr>
        <w:tab/>
        <w:t>(b)</w:t>
      </w:r>
      <w:r>
        <w:rPr>
          <w:snapToGrid w:val="0"/>
        </w:rPr>
        <w:tab/>
        <w:t>the prevention of water entering the hull by the provision of adequate means of closing all openings;</w:t>
      </w:r>
    </w:p>
    <w:p>
      <w:pPr>
        <w:pStyle w:val="Indenta"/>
        <w:rPr>
          <w:snapToGrid w:val="0"/>
        </w:rPr>
      </w:pPr>
      <w:r>
        <w:rPr>
          <w:snapToGrid w:val="0"/>
        </w:rPr>
        <w:tab/>
        <w:t>(c)</w:t>
      </w:r>
      <w:r>
        <w:rPr>
          <w:snapToGrid w:val="0"/>
        </w:rPr>
        <w:tab/>
        <w:t>the stability of the vessel in the towed condition;</w:t>
      </w:r>
    </w:p>
    <w:p>
      <w:pPr>
        <w:pStyle w:val="Indenta"/>
        <w:rPr>
          <w:snapToGrid w:val="0"/>
        </w:rPr>
      </w:pPr>
      <w:r>
        <w:rPr>
          <w:snapToGrid w:val="0"/>
        </w:rPr>
        <w:tab/>
        <w:t>(d)</w:t>
      </w:r>
      <w:r>
        <w:rPr>
          <w:snapToGrid w:val="0"/>
        </w:rPr>
        <w:tab/>
        <w:t>the proposed towing arrangements; and</w:t>
      </w:r>
    </w:p>
    <w:p>
      <w:pPr>
        <w:pStyle w:val="Indenta"/>
        <w:rPr>
          <w:snapToGrid w:val="0"/>
        </w:rPr>
      </w:pPr>
      <w:r>
        <w:rPr>
          <w:snapToGrid w:val="0"/>
        </w:rPr>
        <w:tab/>
        <w:t>(e)</w:t>
      </w:r>
      <w:r>
        <w:rPr>
          <w:snapToGrid w:val="0"/>
        </w:rPr>
        <w:tab/>
        <w:t>the necessity to ensure compliance with the regulations as to collisions.</w:t>
      </w:r>
    </w:p>
    <w:p>
      <w:pPr>
        <w:pStyle w:val="Subsection"/>
        <w:rPr>
          <w:snapToGrid w:val="0"/>
        </w:rPr>
      </w:pPr>
      <w:r>
        <w:rPr>
          <w:snapToGrid w:val="0"/>
        </w:rPr>
        <w:tab/>
        <w:t>(3)</w:t>
      </w:r>
      <w:r>
        <w:rPr>
          <w:snapToGrid w:val="0"/>
        </w:rPr>
        <w:tab/>
        <w:t>Subject to a satisfactory inspection under this regulation, the Chief Executive Officer may issue a towage permit in the specified form and a towage permit may be issued subject to such conditions as are set out in the permit.</w:t>
      </w:r>
    </w:p>
    <w:p>
      <w:pPr>
        <w:pStyle w:val="Footnotesection"/>
      </w:pPr>
      <w:r>
        <w:tab/>
        <w:t xml:space="preserve">[Regulation 21 amended in Gazette 11 Aug 1992 p. 3980.] </w:t>
      </w:r>
    </w:p>
    <w:p>
      <w:pPr>
        <w:pStyle w:val="Heading5"/>
        <w:rPr>
          <w:snapToGrid w:val="0"/>
        </w:rPr>
      </w:pPr>
      <w:bookmarkStart w:id="125" w:name="_Toc6384665"/>
      <w:bookmarkStart w:id="126" w:name="_Toc13031684"/>
      <w:bookmarkStart w:id="127" w:name="_Toc14593311"/>
      <w:bookmarkStart w:id="128" w:name="_Toc18137706"/>
      <w:bookmarkStart w:id="129" w:name="_Toc107747030"/>
      <w:r>
        <w:rPr>
          <w:rStyle w:val="CharSectno"/>
        </w:rPr>
        <w:t>22</w:t>
      </w:r>
      <w:r>
        <w:rPr>
          <w:snapToGrid w:val="0"/>
        </w:rPr>
        <w:t>.</w:t>
      </w:r>
      <w:r>
        <w:rPr>
          <w:snapToGrid w:val="0"/>
        </w:rPr>
        <w:tab/>
        <w:t>Offence for vessel to be towed without towage permit</w:t>
      </w:r>
      <w:bookmarkEnd w:id="125"/>
      <w:bookmarkEnd w:id="126"/>
      <w:bookmarkEnd w:id="127"/>
      <w:bookmarkEnd w:id="128"/>
      <w:bookmarkEnd w:id="129"/>
      <w:r>
        <w:rPr>
          <w:snapToGrid w:val="0"/>
        </w:rPr>
        <w:t xml:space="preserve"> </w:t>
      </w:r>
    </w:p>
    <w:p>
      <w:pPr>
        <w:pStyle w:val="Subsection"/>
        <w:rPr>
          <w:snapToGrid w:val="0"/>
        </w:rPr>
      </w:pPr>
      <w:r>
        <w:rPr>
          <w:snapToGrid w:val="0"/>
        </w:rPr>
        <w:tab/>
        <w:t>(1)</w:t>
      </w:r>
      <w:r>
        <w:rPr>
          <w:snapToGrid w:val="0"/>
        </w:rPr>
        <w:tab/>
        <w:t>Subject to regulation 19, no vessel to which this Part applies shall be towed on a seagoing voyage unless a valid towage permit, appropriate to the circumstances, has been issued under regulation 21 and is in force in respect of the vessel on that voyage.</w:t>
      </w:r>
    </w:p>
    <w:p>
      <w:pPr>
        <w:pStyle w:val="Subsection"/>
        <w:rPr>
          <w:snapToGrid w:val="0"/>
        </w:rPr>
      </w:pPr>
      <w:r>
        <w:rPr>
          <w:snapToGrid w:val="0"/>
        </w:rPr>
        <w:tab/>
        <w:t>(2)</w:t>
      </w:r>
      <w:r>
        <w:rPr>
          <w:snapToGrid w:val="0"/>
        </w:rPr>
        <w:tab/>
        <w:t>If a vessel is being towed on a seagoing voyage contrary to this regulation or contrary to the terms of a towage permit issued under regulation 21, the owner and the master of the towing vessel and the owner of the vessel being towed shall each be guilty of an offence.</w:t>
      </w:r>
    </w:p>
    <w:p>
      <w:pPr>
        <w:pStyle w:val="Penstart"/>
        <w:rPr>
          <w:snapToGrid w:val="0"/>
        </w:rPr>
      </w:pPr>
      <w:r>
        <w:rPr>
          <w:snapToGrid w:val="0"/>
        </w:rPr>
        <w:tab/>
        <w:t>Penalty: $500.</w:t>
      </w:r>
    </w:p>
    <w:p>
      <w:pPr>
        <w:pStyle w:val="Subsection"/>
        <w:rPr>
          <w:snapToGrid w:val="0"/>
        </w:rPr>
      </w:pPr>
      <w:r>
        <w:rPr>
          <w:snapToGrid w:val="0"/>
        </w:rPr>
        <w:tab/>
        <w:t>(3)</w:t>
      </w:r>
      <w:r>
        <w:rPr>
          <w:snapToGrid w:val="0"/>
        </w:rPr>
        <w:tab/>
        <w:t>It shall not be a defence to a prosecution under this regulation to show want of knowledge on the part of the person prosecuted.</w:t>
      </w:r>
    </w:p>
    <w:p>
      <w:pPr>
        <w:pStyle w:val="Ednotesection"/>
      </w:pPr>
      <w:bookmarkStart w:id="130" w:name="_Toc6384666"/>
      <w:bookmarkStart w:id="131" w:name="_Toc13031685"/>
      <w:bookmarkStart w:id="132" w:name="_Toc14593312"/>
      <w:r>
        <w:rPr>
          <w:rStyle w:val="CharSectno"/>
        </w:rPr>
        <w:t>[</w:t>
      </w:r>
      <w:r>
        <w:rPr>
          <w:rStyle w:val="CharSectno"/>
          <w:b/>
        </w:rPr>
        <w:t>23</w:t>
      </w:r>
      <w:r>
        <w:rPr>
          <w:b/>
        </w:rPr>
        <w:t>.</w:t>
      </w:r>
      <w:r>
        <w:tab/>
      </w:r>
      <w:bookmarkEnd w:id="130"/>
      <w:bookmarkEnd w:id="131"/>
      <w:bookmarkEnd w:id="132"/>
      <w:r>
        <w:t>Omitted under the Reprints Act 1984 s. 7(4)(f).]</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133" w:name="_Toc13031686"/>
      <w:bookmarkStart w:id="134" w:name="_Toc17685236"/>
      <w:bookmarkStart w:id="135" w:name="_Toc18137707"/>
    </w:p>
    <w:p>
      <w:pPr>
        <w:pStyle w:val="yScheduleHeading"/>
      </w:pPr>
      <w:bookmarkStart w:id="136" w:name="_Toc107747031"/>
      <w:bookmarkStart w:id="137" w:name="_Toc17685241"/>
      <w:bookmarkStart w:id="138" w:name="_Toc18137712"/>
      <w:bookmarkEnd w:id="133"/>
      <w:bookmarkEnd w:id="134"/>
      <w:bookmarkEnd w:id="135"/>
      <w:r>
        <w:rPr>
          <w:rStyle w:val="CharSchNo"/>
        </w:rPr>
        <w:t>Schedule 1 </w:t>
      </w:r>
      <w:r>
        <w:t>—</w:t>
      </w:r>
      <w:r>
        <w:rPr>
          <w:rStyle w:val="CharSchNo"/>
        </w:rPr>
        <w:t> </w:t>
      </w:r>
      <w:r>
        <w:rPr>
          <w:rStyle w:val="CharSchText"/>
        </w:rPr>
        <w:t>Fees</w:t>
      </w:r>
      <w:bookmarkEnd w:id="136"/>
    </w:p>
    <w:p>
      <w:pPr>
        <w:pStyle w:val="yShoulderClause"/>
      </w:pPr>
      <w:r>
        <w:t>[r. 4A]</w:t>
      </w:r>
    </w:p>
    <w:p>
      <w:pPr>
        <w:pStyle w:val="yHeading5"/>
      </w:pPr>
      <w:bookmarkStart w:id="139" w:name="_Toc107747032"/>
      <w:r>
        <w:rPr>
          <w:rStyle w:val="CharSClsNo"/>
        </w:rPr>
        <w:t>1</w:t>
      </w:r>
      <w:r>
        <w:t>.</w:t>
      </w:r>
      <w:r>
        <w:tab/>
        <w:t>Survey Fees</w:t>
      </w:r>
      <w:bookmarkEnd w:id="139"/>
    </w:p>
    <w:p>
      <w:pPr>
        <w:pStyle w:val="ySubsection"/>
      </w:pPr>
      <w:r>
        <w:tab/>
        <w:t>(a)</w:t>
      </w:r>
      <w:r>
        <w:tab/>
        <w:t>Subject to paragraph (b), the standard fees for examination of plans of a vessel, initial surveys and subsequent surveys are set out in the Table to this paragraph.</w:t>
      </w:r>
    </w:p>
    <w:p>
      <w:pPr>
        <w:pStyle w:val="yTable"/>
        <w:jc w:val="center"/>
        <w:rPr>
          <w:b/>
          <w:bCs/>
        </w:rPr>
      </w:pPr>
      <w:r>
        <w:rPr>
          <w:b/>
          <w:bCs/>
        </w:rPr>
        <w:t>Table</w:t>
      </w:r>
    </w:p>
    <w:tbl>
      <w:tblPr>
        <w:tblW w:w="5811" w:type="dxa"/>
        <w:tblInd w:w="1001" w:type="dxa"/>
        <w:tblLayout w:type="fixed"/>
        <w:tblCellMar>
          <w:left w:w="0" w:type="dxa"/>
          <w:right w:w="0" w:type="dxa"/>
        </w:tblCellMar>
        <w:tblLook w:val="0000" w:firstRow="0" w:lastRow="0" w:firstColumn="0" w:lastColumn="0" w:noHBand="0" w:noVBand="0"/>
      </w:tblPr>
      <w:tblGrid>
        <w:gridCol w:w="2268"/>
        <w:gridCol w:w="1181"/>
        <w:gridCol w:w="1181"/>
        <w:gridCol w:w="1181"/>
      </w:tblGrid>
      <w:tr>
        <w:trPr>
          <w:tblHeader/>
        </w:trPr>
        <w:tc>
          <w:tcPr>
            <w:tcW w:w="2268" w:type="dxa"/>
            <w:tcBorders>
              <w:top w:val="single" w:sz="4" w:space="0" w:color="auto"/>
              <w:bottom w:val="single" w:sz="4" w:space="0" w:color="auto"/>
            </w:tcBorders>
          </w:tcPr>
          <w:p>
            <w:pPr>
              <w:pStyle w:val="yTable"/>
              <w:rPr>
                <w:b/>
                <w:sz w:val="20"/>
              </w:rPr>
            </w:pPr>
            <w:r>
              <w:rPr>
                <w:b/>
                <w:sz w:val="20"/>
              </w:rPr>
              <w:t xml:space="preserve">Length of vessel </w:t>
            </w:r>
            <w:r>
              <w:rPr>
                <w:b/>
                <w:sz w:val="20"/>
              </w:rPr>
              <w:br/>
              <w:t>(metres)</w:t>
            </w:r>
          </w:p>
        </w:tc>
        <w:tc>
          <w:tcPr>
            <w:tcW w:w="1181" w:type="dxa"/>
            <w:tcBorders>
              <w:top w:val="single" w:sz="4" w:space="0" w:color="auto"/>
              <w:bottom w:val="single" w:sz="4" w:space="0" w:color="auto"/>
            </w:tcBorders>
          </w:tcPr>
          <w:p>
            <w:pPr>
              <w:pStyle w:val="yTable"/>
              <w:rPr>
                <w:b/>
                <w:sz w:val="20"/>
              </w:rPr>
            </w:pPr>
            <w:r>
              <w:rPr>
                <w:b/>
                <w:sz w:val="20"/>
              </w:rPr>
              <w:t>Examination of plans ($)</w:t>
            </w:r>
          </w:p>
        </w:tc>
        <w:tc>
          <w:tcPr>
            <w:tcW w:w="1181" w:type="dxa"/>
            <w:tcBorders>
              <w:top w:val="single" w:sz="4" w:space="0" w:color="auto"/>
              <w:bottom w:val="single" w:sz="4" w:space="0" w:color="auto"/>
            </w:tcBorders>
          </w:tcPr>
          <w:p>
            <w:pPr>
              <w:pStyle w:val="yTable"/>
              <w:rPr>
                <w:b/>
                <w:sz w:val="20"/>
              </w:rPr>
            </w:pPr>
            <w:r>
              <w:rPr>
                <w:b/>
                <w:sz w:val="20"/>
              </w:rPr>
              <w:t xml:space="preserve">Initial </w:t>
            </w:r>
            <w:r>
              <w:rPr>
                <w:b/>
                <w:sz w:val="20"/>
              </w:rPr>
              <w:br/>
              <w:t>survey ($)</w:t>
            </w:r>
          </w:p>
        </w:tc>
        <w:tc>
          <w:tcPr>
            <w:tcW w:w="1181" w:type="dxa"/>
            <w:tcBorders>
              <w:top w:val="single" w:sz="4" w:space="0" w:color="auto"/>
              <w:bottom w:val="single" w:sz="4" w:space="0" w:color="auto"/>
            </w:tcBorders>
          </w:tcPr>
          <w:p>
            <w:pPr>
              <w:pStyle w:val="yTable"/>
              <w:rPr>
                <w:b/>
                <w:sz w:val="20"/>
              </w:rPr>
            </w:pPr>
            <w:r>
              <w:rPr>
                <w:b/>
                <w:sz w:val="20"/>
              </w:rPr>
              <w:t>Subsequent surveys ($)</w:t>
            </w:r>
          </w:p>
        </w:tc>
      </w:tr>
      <w:tr>
        <w:tc>
          <w:tcPr>
            <w:tcW w:w="2268" w:type="dxa"/>
          </w:tcPr>
          <w:p>
            <w:pPr>
              <w:pStyle w:val="yTable"/>
              <w:rPr>
                <w:sz w:val="20"/>
              </w:rPr>
            </w:pPr>
            <w:r>
              <w:rPr>
                <w:sz w:val="20"/>
              </w:rPr>
              <w:t>Not over 5</w:t>
            </w:r>
          </w:p>
        </w:tc>
        <w:tc>
          <w:tcPr>
            <w:tcW w:w="1181" w:type="dxa"/>
          </w:tcPr>
          <w:p>
            <w:pPr>
              <w:pStyle w:val="yTable"/>
              <w:rPr>
                <w:sz w:val="20"/>
              </w:rPr>
            </w:pPr>
            <w:r>
              <w:rPr>
                <w:sz w:val="20"/>
              </w:rPr>
              <w:t>361</w:t>
            </w:r>
          </w:p>
        </w:tc>
        <w:tc>
          <w:tcPr>
            <w:tcW w:w="1181" w:type="dxa"/>
          </w:tcPr>
          <w:p>
            <w:pPr>
              <w:pStyle w:val="yTable"/>
              <w:rPr>
                <w:sz w:val="20"/>
              </w:rPr>
            </w:pPr>
            <w:r>
              <w:rPr>
                <w:sz w:val="20"/>
              </w:rPr>
              <w:t>507</w:t>
            </w:r>
          </w:p>
        </w:tc>
        <w:tc>
          <w:tcPr>
            <w:tcW w:w="1181" w:type="dxa"/>
          </w:tcPr>
          <w:p>
            <w:pPr>
              <w:pStyle w:val="yTable"/>
              <w:rPr>
                <w:sz w:val="20"/>
              </w:rPr>
            </w:pPr>
            <w:r>
              <w:rPr>
                <w:sz w:val="20"/>
              </w:rPr>
              <w:t>149</w:t>
            </w:r>
          </w:p>
        </w:tc>
      </w:tr>
      <w:tr>
        <w:tc>
          <w:tcPr>
            <w:tcW w:w="2268" w:type="dxa"/>
          </w:tcPr>
          <w:p>
            <w:pPr>
              <w:pStyle w:val="yTable"/>
              <w:rPr>
                <w:sz w:val="20"/>
              </w:rPr>
            </w:pPr>
            <w:r>
              <w:rPr>
                <w:sz w:val="20"/>
              </w:rPr>
              <w:t>Over 5 but not over 6</w:t>
            </w:r>
          </w:p>
        </w:tc>
        <w:tc>
          <w:tcPr>
            <w:tcW w:w="1181" w:type="dxa"/>
          </w:tcPr>
          <w:p>
            <w:pPr>
              <w:pStyle w:val="yTable"/>
              <w:rPr>
                <w:sz w:val="20"/>
              </w:rPr>
            </w:pPr>
            <w:r>
              <w:rPr>
                <w:sz w:val="20"/>
              </w:rPr>
              <w:t>418</w:t>
            </w:r>
          </w:p>
        </w:tc>
        <w:tc>
          <w:tcPr>
            <w:tcW w:w="1181" w:type="dxa"/>
          </w:tcPr>
          <w:p>
            <w:pPr>
              <w:pStyle w:val="yTable"/>
              <w:rPr>
                <w:sz w:val="20"/>
              </w:rPr>
            </w:pPr>
            <w:r>
              <w:rPr>
                <w:sz w:val="20"/>
              </w:rPr>
              <w:t>698</w:t>
            </w:r>
          </w:p>
        </w:tc>
        <w:tc>
          <w:tcPr>
            <w:tcW w:w="1181" w:type="dxa"/>
          </w:tcPr>
          <w:p>
            <w:pPr>
              <w:pStyle w:val="yTable"/>
              <w:rPr>
                <w:sz w:val="20"/>
              </w:rPr>
            </w:pPr>
            <w:r>
              <w:rPr>
                <w:sz w:val="20"/>
              </w:rPr>
              <w:t>178</w:t>
            </w:r>
          </w:p>
        </w:tc>
      </w:tr>
      <w:tr>
        <w:tc>
          <w:tcPr>
            <w:tcW w:w="2268" w:type="dxa"/>
          </w:tcPr>
          <w:p>
            <w:pPr>
              <w:pStyle w:val="yTable"/>
              <w:rPr>
                <w:sz w:val="20"/>
              </w:rPr>
            </w:pPr>
            <w:r>
              <w:rPr>
                <w:sz w:val="20"/>
              </w:rPr>
              <w:t>Over 6 but not over 7</w:t>
            </w:r>
          </w:p>
        </w:tc>
        <w:tc>
          <w:tcPr>
            <w:tcW w:w="1181" w:type="dxa"/>
          </w:tcPr>
          <w:p>
            <w:pPr>
              <w:pStyle w:val="yTable"/>
              <w:rPr>
                <w:sz w:val="20"/>
              </w:rPr>
            </w:pPr>
            <w:r>
              <w:rPr>
                <w:sz w:val="20"/>
              </w:rPr>
              <w:t>455</w:t>
            </w:r>
          </w:p>
        </w:tc>
        <w:tc>
          <w:tcPr>
            <w:tcW w:w="1181" w:type="dxa"/>
          </w:tcPr>
          <w:p>
            <w:pPr>
              <w:pStyle w:val="yTable"/>
              <w:rPr>
                <w:sz w:val="20"/>
              </w:rPr>
            </w:pPr>
            <w:r>
              <w:rPr>
                <w:sz w:val="20"/>
              </w:rPr>
              <w:t>984</w:t>
            </w:r>
          </w:p>
        </w:tc>
        <w:tc>
          <w:tcPr>
            <w:tcW w:w="1181" w:type="dxa"/>
          </w:tcPr>
          <w:p>
            <w:pPr>
              <w:pStyle w:val="yTable"/>
              <w:rPr>
                <w:sz w:val="20"/>
              </w:rPr>
            </w:pPr>
            <w:r>
              <w:rPr>
                <w:sz w:val="20"/>
              </w:rPr>
              <w:t>217</w:t>
            </w:r>
          </w:p>
        </w:tc>
      </w:tr>
      <w:tr>
        <w:tc>
          <w:tcPr>
            <w:tcW w:w="2268" w:type="dxa"/>
          </w:tcPr>
          <w:p>
            <w:pPr>
              <w:pStyle w:val="yTable"/>
              <w:rPr>
                <w:sz w:val="20"/>
              </w:rPr>
            </w:pPr>
            <w:r>
              <w:rPr>
                <w:sz w:val="20"/>
              </w:rPr>
              <w:t>Over 7 but not over 8</w:t>
            </w:r>
          </w:p>
        </w:tc>
        <w:tc>
          <w:tcPr>
            <w:tcW w:w="1181" w:type="dxa"/>
          </w:tcPr>
          <w:p>
            <w:pPr>
              <w:pStyle w:val="yTable"/>
              <w:rPr>
                <w:sz w:val="20"/>
              </w:rPr>
            </w:pPr>
            <w:r>
              <w:rPr>
                <w:sz w:val="20"/>
              </w:rPr>
              <w:t>587</w:t>
            </w:r>
          </w:p>
        </w:tc>
        <w:tc>
          <w:tcPr>
            <w:tcW w:w="1181" w:type="dxa"/>
          </w:tcPr>
          <w:p>
            <w:pPr>
              <w:pStyle w:val="yTable"/>
              <w:rPr>
                <w:sz w:val="20"/>
              </w:rPr>
            </w:pPr>
            <w:r>
              <w:rPr>
                <w:sz w:val="20"/>
              </w:rPr>
              <w:t>1 306</w:t>
            </w:r>
          </w:p>
        </w:tc>
        <w:tc>
          <w:tcPr>
            <w:tcW w:w="1181" w:type="dxa"/>
          </w:tcPr>
          <w:p>
            <w:pPr>
              <w:pStyle w:val="yTable"/>
              <w:rPr>
                <w:sz w:val="20"/>
              </w:rPr>
            </w:pPr>
            <w:r>
              <w:rPr>
                <w:sz w:val="20"/>
              </w:rPr>
              <w:t>234</w:t>
            </w:r>
          </w:p>
        </w:tc>
      </w:tr>
      <w:tr>
        <w:tc>
          <w:tcPr>
            <w:tcW w:w="2268" w:type="dxa"/>
          </w:tcPr>
          <w:p>
            <w:pPr>
              <w:pStyle w:val="yTable"/>
              <w:rPr>
                <w:sz w:val="20"/>
              </w:rPr>
            </w:pPr>
            <w:r>
              <w:rPr>
                <w:sz w:val="20"/>
              </w:rPr>
              <w:t>Over 8 but not over 9</w:t>
            </w:r>
          </w:p>
        </w:tc>
        <w:tc>
          <w:tcPr>
            <w:tcW w:w="1181" w:type="dxa"/>
          </w:tcPr>
          <w:p>
            <w:pPr>
              <w:pStyle w:val="yTable"/>
              <w:rPr>
                <w:sz w:val="20"/>
              </w:rPr>
            </w:pPr>
            <w:r>
              <w:rPr>
                <w:sz w:val="20"/>
              </w:rPr>
              <w:t>724</w:t>
            </w:r>
          </w:p>
        </w:tc>
        <w:tc>
          <w:tcPr>
            <w:tcW w:w="1181" w:type="dxa"/>
          </w:tcPr>
          <w:p>
            <w:pPr>
              <w:pStyle w:val="yTable"/>
              <w:rPr>
                <w:sz w:val="20"/>
              </w:rPr>
            </w:pPr>
            <w:r>
              <w:rPr>
                <w:sz w:val="20"/>
              </w:rPr>
              <w:t>1 702</w:t>
            </w:r>
          </w:p>
        </w:tc>
        <w:tc>
          <w:tcPr>
            <w:tcW w:w="1181" w:type="dxa"/>
          </w:tcPr>
          <w:p>
            <w:pPr>
              <w:pStyle w:val="yTable"/>
              <w:rPr>
                <w:sz w:val="20"/>
              </w:rPr>
            </w:pPr>
            <w:r>
              <w:rPr>
                <w:sz w:val="20"/>
              </w:rPr>
              <w:t>252</w:t>
            </w:r>
          </w:p>
        </w:tc>
      </w:tr>
      <w:tr>
        <w:tc>
          <w:tcPr>
            <w:tcW w:w="2268" w:type="dxa"/>
          </w:tcPr>
          <w:p>
            <w:pPr>
              <w:pStyle w:val="yTable"/>
              <w:rPr>
                <w:sz w:val="20"/>
              </w:rPr>
            </w:pPr>
            <w:r>
              <w:rPr>
                <w:sz w:val="20"/>
              </w:rPr>
              <w:t>Over 9 but not over 10</w:t>
            </w:r>
          </w:p>
        </w:tc>
        <w:tc>
          <w:tcPr>
            <w:tcW w:w="1181" w:type="dxa"/>
          </w:tcPr>
          <w:p>
            <w:pPr>
              <w:pStyle w:val="yTable"/>
              <w:rPr>
                <w:sz w:val="20"/>
              </w:rPr>
            </w:pPr>
            <w:r>
              <w:rPr>
                <w:sz w:val="20"/>
              </w:rPr>
              <w:t>849</w:t>
            </w:r>
          </w:p>
        </w:tc>
        <w:tc>
          <w:tcPr>
            <w:tcW w:w="1181" w:type="dxa"/>
          </w:tcPr>
          <w:p>
            <w:pPr>
              <w:pStyle w:val="yTable"/>
              <w:rPr>
                <w:sz w:val="20"/>
              </w:rPr>
            </w:pPr>
            <w:r>
              <w:rPr>
                <w:sz w:val="20"/>
              </w:rPr>
              <w:t>2 092</w:t>
            </w:r>
          </w:p>
        </w:tc>
        <w:tc>
          <w:tcPr>
            <w:tcW w:w="1181" w:type="dxa"/>
          </w:tcPr>
          <w:p>
            <w:pPr>
              <w:pStyle w:val="yTable"/>
              <w:rPr>
                <w:sz w:val="20"/>
              </w:rPr>
            </w:pPr>
            <w:r>
              <w:rPr>
                <w:sz w:val="20"/>
              </w:rPr>
              <w:t>266</w:t>
            </w:r>
          </w:p>
        </w:tc>
      </w:tr>
      <w:tr>
        <w:tc>
          <w:tcPr>
            <w:tcW w:w="2268" w:type="dxa"/>
          </w:tcPr>
          <w:p>
            <w:pPr>
              <w:pStyle w:val="yTable"/>
              <w:rPr>
                <w:sz w:val="20"/>
              </w:rPr>
            </w:pPr>
            <w:r>
              <w:rPr>
                <w:sz w:val="20"/>
              </w:rPr>
              <w:t>Over 10 but not over 11</w:t>
            </w:r>
          </w:p>
        </w:tc>
        <w:tc>
          <w:tcPr>
            <w:tcW w:w="1181" w:type="dxa"/>
          </w:tcPr>
          <w:p>
            <w:pPr>
              <w:pStyle w:val="yTable"/>
              <w:rPr>
                <w:sz w:val="20"/>
              </w:rPr>
            </w:pPr>
            <w:r>
              <w:rPr>
                <w:sz w:val="20"/>
              </w:rPr>
              <w:t>1 046</w:t>
            </w:r>
          </w:p>
        </w:tc>
        <w:tc>
          <w:tcPr>
            <w:tcW w:w="1181" w:type="dxa"/>
          </w:tcPr>
          <w:p>
            <w:pPr>
              <w:pStyle w:val="yTable"/>
              <w:rPr>
                <w:sz w:val="20"/>
              </w:rPr>
            </w:pPr>
            <w:r>
              <w:rPr>
                <w:sz w:val="20"/>
              </w:rPr>
              <w:t>2 515</w:t>
            </w:r>
          </w:p>
        </w:tc>
        <w:tc>
          <w:tcPr>
            <w:tcW w:w="1181" w:type="dxa"/>
          </w:tcPr>
          <w:p>
            <w:pPr>
              <w:pStyle w:val="yTable"/>
              <w:rPr>
                <w:sz w:val="20"/>
              </w:rPr>
            </w:pPr>
            <w:r>
              <w:rPr>
                <w:sz w:val="20"/>
              </w:rPr>
              <w:t>293</w:t>
            </w:r>
          </w:p>
        </w:tc>
      </w:tr>
      <w:tr>
        <w:tc>
          <w:tcPr>
            <w:tcW w:w="2268" w:type="dxa"/>
          </w:tcPr>
          <w:p>
            <w:pPr>
              <w:pStyle w:val="yTable"/>
              <w:rPr>
                <w:sz w:val="20"/>
              </w:rPr>
            </w:pPr>
            <w:r>
              <w:rPr>
                <w:sz w:val="20"/>
              </w:rPr>
              <w:t>Over 11 but not over 12</w:t>
            </w:r>
          </w:p>
        </w:tc>
        <w:tc>
          <w:tcPr>
            <w:tcW w:w="1181" w:type="dxa"/>
          </w:tcPr>
          <w:p>
            <w:pPr>
              <w:pStyle w:val="yTable"/>
              <w:rPr>
                <w:sz w:val="20"/>
              </w:rPr>
            </w:pPr>
            <w:r>
              <w:rPr>
                <w:sz w:val="20"/>
              </w:rPr>
              <w:t>1 242</w:t>
            </w:r>
          </w:p>
        </w:tc>
        <w:tc>
          <w:tcPr>
            <w:tcW w:w="1181" w:type="dxa"/>
          </w:tcPr>
          <w:p>
            <w:pPr>
              <w:pStyle w:val="yTable"/>
              <w:rPr>
                <w:sz w:val="20"/>
              </w:rPr>
            </w:pPr>
            <w:r>
              <w:rPr>
                <w:sz w:val="20"/>
              </w:rPr>
              <w:t>2 944</w:t>
            </w:r>
          </w:p>
        </w:tc>
        <w:tc>
          <w:tcPr>
            <w:tcW w:w="1181" w:type="dxa"/>
          </w:tcPr>
          <w:p>
            <w:pPr>
              <w:pStyle w:val="yTable"/>
              <w:rPr>
                <w:sz w:val="20"/>
              </w:rPr>
            </w:pPr>
            <w:r>
              <w:rPr>
                <w:sz w:val="20"/>
              </w:rPr>
              <w:t>322</w:t>
            </w:r>
          </w:p>
        </w:tc>
      </w:tr>
      <w:tr>
        <w:tc>
          <w:tcPr>
            <w:tcW w:w="2268" w:type="dxa"/>
          </w:tcPr>
          <w:p>
            <w:pPr>
              <w:pStyle w:val="yTable"/>
              <w:rPr>
                <w:sz w:val="20"/>
              </w:rPr>
            </w:pPr>
            <w:r>
              <w:rPr>
                <w:sz w:val="20"/>
              </w:rPr>
              <w:t>Over 12 but not over 13</w:t>
            </w:r>
          </w:p>
        </w:tc>
        <w:tc>
          <w:tcPr>
            <w:tcW w:w="1181" w:type="dxa"/>
          </w:tcPr>
          <w:p>
            <w:pPr>
              <w:pStyle w:val="yTable"/>
              <w:rPr>
                <w:sz w:val="20"/>
              </w:rPr>
            </w:pPr>
            <w:r>
              <w:rPr>
                <w:sz w:val="20"/>
              </w:rPr>
              <w:t>1435</w:t>
            </w:r>
          </w:p>
        </w:tc>
        <w:tc>
          <w:tcPr>
            <w:tcW w:w="1181" w:type="dxa"/>
          </w:tcPr>
          <w:p>
            <w:pPr>
              <w:pStyle w:val="yTable"/>
              <w:rPr>
                <w:sz w:val="20"/>
              </w:rPr>
            </w:pPr>
            <w:r>
              <w:rPr>
                <w:sz w:val="20"/>
              </w:rPr>
              <w:t>3 369</w:t>
            </w:r>
          </w:p>
        </w:tc>
        <w:tc>
          <w:tcPr>
            <w:tcW w:w="1181" w:type="dxa"/>
          </w:tcPr>
          <w:p>
            <w:pPr>
              <w:pStyle w:val="yTable"/>
              <w:rPr>
                <w:sz w:val="20"/>
              </w:rPr>
            </w:pPr>
            <w:r>
              <w:rPr>
                <w:sz w:val="20"/>
              </w:rPr>
              <w:t>352</w:t>
            </w:r>
          </w:p>
        </w:tc>
      </w:tr>
      <w:tr>
        <w:tc>
          <w:tcPr>
            <w:tcW w:w="2268" w:type="dxa"/>
          </w:tcPr>
          <w:p>
            <w:pPr>
              <w:pStyle w:val="yTable"/>
              <w:rPr>
                <w:sz w:val="20"/>
              </w:rPr>
            </w:pPr>
            <w:r>
              <w:rPr>
                <w:sz w:val="20"/>
              </w:rPr>
              <w:t>Over 13 but not over 14</w:t>
            </w:r>
          </w:p>
        </w:tc>
        <w:tc>
          <w:tcPr>
            <w:tcW w:w="1181" w:type="dxa"/>
          </w:tcPr>
          <w:p>
            <w:pPr>
              <w:pStyle w:val="yTable"/>
              <w:rPr>
                <w:sz w:val="20"/>
              </w:rPr>
            </w:pPr>
            <w:r>
              <w:rPr>
                <w:sz w:val="20"/>
              </w:rPr>
              <w:t>1 638</w:t>
            </w:r>
          </w:p>
        </w:tc>
        <w:tc>
          <w:tcPr>
            <w:tcW w:w="1181" w:type="dxa"/>
          </w:tcPr>
          <w:p>
            <w:pPr>
              <w:pStyle w:val="yTable"/>
              <w:rPr>
                <w:sz w:val="20"/>
              </w:rPr>
            </w:pPr>
            <w:r>
              <w:rPr>
                <w:sz w:val="20"/>
              </w:rPr>
              <w:t>3 792</w:t>
            </w:r>
          </w:p>
        </w:tc>
        <w:tc>
          <w:tcPr>
            <w:tcW w:w="1181" w:type="dxa"/>
          </w:tcPr>
          <w:p>
            <w:pPr>
              <w:pStyle w:val="yTable"/>
              <w:rPr>
                <w:sz w:val="20"/>
              </w:rPr>
            </w:pPr>
            <w:r>
              <w:rPr>
                <w:sz w:val="20"/>
              </w:rPr>
              <w:t>379</w:t>
            </w:r>
          </w:p>
        </w:tc>
      </w:tr>
      <w:tr>
        <w:tc>
          <w:tcPr>
            <w:tcW w:w="2268" w:type="dxa"/>
          </w:tcPr>
          <w:p>
            <w:pPr>
              <w:pStyle w:val="yTable"/>
              <w:rPr>
                <w:sz w:val="20"/>
              </w:rPr>
            </w:pPr>
            <w:r>
              <w:rPr>
                <w:sz w:val="20"/>
              </w:rPr>
              <w:t>Over 14 but not over 15</w:t>
            </w:r>
          </w:p>
        </w:tc>
        <w:tc>
          <w:tcPr>
            <w:tcW w:w="1181" w:type="dxa"/>
          </w:tcPr>
          <w:p>
            <w:pPr>
              <w:pStyle w:val="yTable"/>
              <w:rPr>
                <w:sz w:val="20"/>
              </w:rPr>
            </w:pPr>
            <w:r>
              <w:rPr>
                <w:sz w:val="20"/>
              </w:rPr>
              <w:t>1 835</w:t>
            </w:r>
          </w:p>
        </w:tc>
        <w:tc>
          <w:tcPr>
            <w:tcW w:w="1181" w:type="dxa"/>
          </w:tcPr>
          <w:p>
            <w:pPr>
              <w:pStyle w:val="yTable"/>
              <w:rPr>
                <w:sz w:val="20"/>
              </w:rPr>
            </w:pPr>
            <w:r>
              <w:rPr>
                <w:sz w:val="20"/>
              </w:rPr>
              <w:t>4 217</w:t>
            </w:r>
          </w:p>
        </w:tc>
        <w:tc>
          <w:tcPr>
            <w:tcW w:w="1181" w:type="dxa"/>
          </w:tcPr>
          <w:p>
            <w:pPr>
              <w:pStyle w:val="yTable"/>
              <w:rPr>
                <w:sz w:val="20"/>
              </w:rPr>
            </w:pPr>
            <w:r>
              <w:rPr>
                <w:sz w:val="20"/>
              </w:rPr>
              <w:t>408</w:t>
            </w:r>
          </w:p>
        </w:tc>
      </w:tr>
      <w:tr>
        <w:tc>
          <w:tcPr>
            <w:tcW w:w="2268" w:type="dxa"/>
          </w:tcPr>
          <w:p>
            <w:pPr>
              <w:pStyle w:val="yTable"/>
              <w:rPr>
                <w:sz w:val="20"/>
              </w:rPr>
            </w:pPr>
            <w:r>
              <w:rPr>
                <w:sz w:val="20"/>
              </w:rPr>
              <w:t>Over 15 but not over 16</w:t>
            </w:r>
          </w:p>
        </w:tc>
        <w:tc>
          <w:tcPr>
            <w:tcW w:w="1181" w:type="dxa"/>
          </w:tcPr>
          <w:p>
            <w:pPr>
              <w:pStyle w:val="yTable"/>
              <w:rPr>
                <w:sz w:val="20"/>
              </w:rPr>
            </w:pPr>
            <w:r>
              <w:rPr>
                <w:sz w:val="20"/>
              </w:rPr>
              <w:t>2 024</w:t>
            </w:r>
          </w:p>
        </w:tc>
        <w:tc>
          <w:tcPr>
            <w:tcW w:w="1181" w:type="dxa"/>
          </w:tcPr>
          <w:p>
            <w:pPr>
              <w:pStyle w:val="yTable"/>
              <w:rPr>
                <w:sz w:val="20"/>
              </w:rPr>
            </w:pPr>
            <w:r>
              <w:rPr>
                <w:sz w:val="20"/>
              </w:rPr>
              <w:t>4 644</w:t>
            </w:r>
          </w:p>
        </w:tc>
        <w:tc>
          <w:tcPr>
            <w:tcW w:w="1181" w:type="dxa"/>
          </w:tcPr>
          <w:p>
            <w:pPr>
              <w:pStyle w:val="yTable"/>
              <w:rPr>
                <w:sz w:val="20"/>
              </w:rPr>
            </w:pPr>
            <w:r>
              <w:rPr>
                <w:sz w:val="20"/>
              </w:rPr>
              <w:t>434</w:t>
            </w:r>
          </w:p>
        </w:tc>
      </w:tr>
      <w:tr>
        <w:tc>
          <w:tcPr>
            <w:tcW w:w="2268" w:type="dxa"/>
          </w:tcPr>
          <w:p>
            <w:pPr>
              <w:pStyle w:val="yTable"/>
              <w:rPr>
                <w:sz w:val="20"/>
              </w:rPr>
            </w:pPr>
            <w:r>
              <w:rPr>
                <w:sz w:val="20"/>
              </w:rPr>
              <w:t>Over 16 but not over 17</w:t>
            </w:r>
          </w:p>
        </w:tc>
        <w:tc>
          <w:tcPr>
            <w:tcW w:w="1181" w:type="dxa"/>
          </w:tcPr>
          <w:p>
            <w:pPr>
              <w:pStyle w:val="yTable"/>
              <w:rPr>
                <w:sz w:val="20"/>
              </w:rPr>
            </w:pPr>
            <w:r>
              <w:rPr>
                <w:sz w:val="20"/>
              </w:rPr>
              <w:t>2 220</w:t>
            </w:r>
          </w:p>
        </w:tc>
        <w:tc>
          <w:tcPr>
            <w:tcW w:w="1181" w:type="dxa"/>
          </w:tcPr>
          <w:p>
            <w:pPr>
              <w:pStyle w:val="yTable"/>
              <w:rPr>
                <w:sz w:val="20"/>
              </w:rPr>
            </w:pPr>
            <w:r>
              <w:rPr>
                <w:sz w:val="20"/>
              </w:rPr>
              <w:t>5 069</w:t>
            </w:r>
          </w:p>
        </w:tc>
        <w:tc>
          <w:tcPr>
            <w:tcW w:w="1181" w:type="dxa"/>
          </w:tcPr>
          <w:p>
            <w:pPr>
              <w:pStyle w:val="yTable"/>
              <w:rPr>
                <w:sz w:val="20"/>
              </w:rPr>
            </w:pPr>
            <w:r>
              <w:rPr>
                <w:sz w:val="20"/>
              </w:rPr>
              <w:t>464</w:t>
            </w:r>
          </w:p>
        </w:tc>
      </w:tr>
      <w:tr>
        <w:tc>
          <w:tcPr>
            <w:tcW w:w="2268" w:type="dxa"/>
          </w:tcPr>
          <w:p>
            <w:pPr>
              <w:pStyle w:val="yTable"/>
              <w:rPr>
                <w:sz w:val="20"/>
              </w:rPr>
            </w:pPr>
            <w:r>
              <w:rPr>
                <w:sz w:val="20"/>
              </w:rPr>
              <w:t>Over 17 but not over 18</w:t>
            </w:r>
          </w:p>
        </w:tc>
        <w:tc>
          <w:tcPr>
            <w:tcW w:w="1181" w:type="dxa"/>
          </w:tcPr>
          <w:p>
            <w:pPr>
              <w:pStyle w:val="yTable"/>
              <w:rPr>
                <w:sz w:val="20"/>
              </w:rPr>
            </w:pPr>
            <w:r>
              <w:rPr>
                <w:sz w:val="20"/>
              </w:rPr>
              <w:t>2 423</w:t>
            </w:r>
          </w:p>
        </w:tc>
        <w:tc>
          <w:tcPr>
            <w:tcW w:w="1181" w:type="dxa"/>
          </w:tcPr>
          <w:p>
            <w:pPr>
              <w:pStyle w:val="yTable"/>
              <w:rPr>
                <w:sz w:val="20"/>
              </w:rPr>
            </w:pPr>
            <w:r>
              <w:rPr>
                <w:sz w:val="20"/>
              </w:rPr>
              <w:t>5 494</w:t>
            </w:r>
          </w:p>
        </w:tc>
        <w:tc>
          <w:tcPr>
            <w:tcW w:w="1181" w:type="dxa"/>
          </w:tcPr>
          <w:p>
            <w:pPr>
              <w:pStyle w:val="yTable"/>
              <w:rPr>
                <w:sz w:val="20"/>
              </w:rPr>
            </w:pPr>
            <w:r>
              <w:rPr>
                <w:sz w:val="20"/>
              </w:rPr>
              <w:t>493</w:t>
            </w:r>
          </w:p>
        </w:tc>
      </w:tr>
      <w:tr>
        <w:tc>
          <w:tcPr>
            <w:tcW w:w="2268" w:type="dxa"/>
          </w:tcPr>
          <w:p>
            <w:pPr>
              <w:pStyle w:val="yTable"/>
              <w:rPr>
                <w:sz w:val="20"/>
              </w:rPr>
            </w:pPr>
            <w:r>
              <w:rPr>
                <w:sz w:val="20"/>
              </w:rPr>
              <w:t>Over 18 but not over 19</w:t>
            </w:r>
          </w:p>
        </w:tc>
        <w:tc>
          <w:tcPr>
            <w:tcW w:w="1181" w:type="dxa"/>
          </w:tcPr>
          <w:p>
            <w:pPr>
              <w:pStyle w:val="yTable"/>
              <w:rPr>
                <w:sz w:val="20"/>
              </w:rPr>
            </w:pPr>
            <w:r>
              <w:rPr>
                <w:sz w:val="20"/>
              </w:rPr>
              <w:t>2 611</w:t>
            </w:r>
          </w:p>
        </w:tc>
        <w:tc>
          <w:tcPr>
            <w:tcW w:w="1181" w:type="dxa"/>
          </w:tcPr>
          <w:p>
            <w:pPr>
              <w:pStyle w:val="yTable"/>
              <w:rPr>
                <w:sz w:val="20"/>
              </w:rPr>
            </w:pPr>
            <w:r>
              <w:rPr>
                <w:sz w:val="20"/>
              </w:rPr>
              <w:t>5 918</w:t>
            </w:r>
          </w:p>
        </w:tc>
        <w:tc>
          <w:tcPr>
            <w:tcW w:w="1181" w:type="dxa"/>
          </w:tcPr>
          <w:p>
            <w:pPr>
              <w:pStyle w:val="yTable"/>
              <w:rPr>
                <w:sz w:val="20"/>
              </w:rPr>
            </w:pPr>
            <w:r>
              <w:rPr>
                <w:sz w:val="20"/>
              </w:rPr>
              <w:t>520</w:t>
            </w:r>
          </w:p>
        </w:tc>
      </w:tr>
      <w:tr>
        <w:tc>
          <w:tcPr>
            <w:tcW w:w="2268" w:type="dxa"/>
          </w:tcPr>
          <w:p>
            <w:pPr>
              <w:pStyle w:val="yTable"/>
              <w:rPr>
                <w:sz w:val="20"/>
              </w:rPr>
            </w:pPr>
            <w:r>
              <w:rPr>
                <w:sz w:val="20"/>
              </w:rPr>
              <w:t>Over 19 but not over 20</w:t>
            </w:r>
          </w:p>
        </w:tc>
        <w:tc>
          <w:tcPr>
            <w:tcW w:w="1181" w:type="dxa"/>
          </w:tcPr>
          <w:p>
            <w:pPr>
              <w:pStyle w:val="yTable"/>
              <w:rPr>
                <w:sz w:val="20"/>
              </w:rPr>
            </w:pPr>
            <w:r>
              <w:rPr>
                <w:sz w:val="20"/>
              </w:rPr>
              <w:t>2 809</w:t>
            </w:r>
          </w:p>
        </w:tc>
        <w:tc>
          <w:tcPr>
            <w:tcW w:w="1181" w:type="dxa"/>
          </w:tcPr>
          <w:p>
            <w:pPr>
              <w:pStyle w:val="yTable"/>
              <w:rPr>
                <w:sz w:val="20"/>
              </w:rPr>
            </w:pPr>
            <w:r>
              <w:rPr>
                <w:sz w:val="20"/>
              </w:rPr>
              <w:t>6 345</w:t>
            </w:r>
          </w:p>
        </w:tc>
        <w:tc>
          <w:tcPr>
            <w:tcW w:w="1181" w:type="dxa"/>
          </w:tcPr>
          <w:p>
            <w:pPr>
              <w:pStyle w:val="yTable"/>
              <w:rPr>
                <w:sz w:val="20"/>
              </w:rPr>
            </w:pPr>
            <w:r>
              <w:rPr>
                <w:sz w:val="20"/>
              </w:rPr>
              <w:t>551</w:t>
            </w:r>
          </w:p>
        </w:tc>
      </w:tr>
      <w:tr>
        <w:tc>
          <w:tcPr>
            <w:tcW w:w="2268" w:type="dxa"/>
          </w:tcPr>
          <w:p>
            <w:pPr>
              <w:pStyle w:val="yTable"/>
              <w:rPr>
                <w:sz w:val="20"/>
              </w:rPr>
            </w:pPr>
            <w:r>
              <w:rPr>
                <w:sz w:val="20"/>
              </w:rPr>
              <w:t>Over 20 but not over 21</w:t>
            </w:r>
          </w:p>
        </w:tc>
        <w:tc>
          <w:tcPr>
            <w:tcW w:w="1181" w:type="dxa"/>
          </w:tcPr>
          <w:p>
            <w:pPr>
              <w:pStyle w:val="yTable"/>
              <w:rPr>
                <w:sz w:val="20"/>
              </w:rPr>
            </w:pPr>
            <w:r>
              <w:rPr>
                <w:sz w:val="20"/>
              </w:rPr>
              <w:t>3 036</w:t>
            </w:r>
          </w:p>
        </w:tc>
        <w:tc>
          <w:tcPr>
            <w:tcW w:w="1181" w:type="dxa"/>
          </w:tcPr>
          <w:p>
            <w:pPr>
              <w:pStyle w:val="yTable"/>
              <w:rPr>
                <w:sz w:val="20"/>
              </w:rPr>
            </w:pPr>
            <w:r>
              <w:rPr>
                <w:sz w:val="20"/>
              </w:rPr>
              <w:t>6 801</w:t>
            </w:r>
          </w:p>
        </w:tc>
        <w:tc>
          <w:tcPr>
            <w:tcW w:w="1181" w:type="dxa"/>
          </w:tcPr>
          <w:p>
            <w:pPr>
              <w:pStyle w:val="yTable"/>
              <w:rPr>
                <w:sz w:val="20"/>
              </w:rPr>
            </w:pPr>
            <w:r>
              <w:rPr>
                <w:sz w:val="20"/>
              </w:rPr>
              <w:t>592</w:t>
            </w:r>
          </w:p>
        </w:tc>
      </w:tr>
      <w:tr>
        <w:tc>
          <w:tcPr>
            <w:tcW w:w="2268" w:type="dxa"/>
          </w:tcPr>
          <w:p>
            <w:pPr>
              <w:pStyle w:val="yTable"/>
              <w:rPr>
                <w:sz w:val="20"/>
              </w:rPr>
            </w:pPr>
            <w:r>
              <w:rPr>
                <w:sz w:val="20"/>
              </w:rPr>
              <w:t>Over 21 but not over 22</w:t>
            </w:r>
          </w:p>
        </w:tc>
        <w:tc>
          <w:tcPr>
            <w:tcW w:w="1181" w:type="dxa"/>
          </w:tcPr>
          <w:p>
            <w:pPr>
              <w:pStyle w:val="yTable"/>
              <w:rPr>
                <w:sz w:val="20"/>
              </w:rPr>
            </w:pPr>
            <w:r>
              <w:rPr>
                <w:sz w:val="20"/>
              </w:rPr>
              <w:t>3 265</w:t>
            </w:r>
          </w:p>
        </w:tc>
        <w:tc>
          <w:tcPr>
            <w:tcW w:w="1181" w:type="dxa"/>
          </w:tcPr>
          <w:p>
            <w:pPr>
              <w:pStyle w:val="yTable"/>
              <w:rPr>
                <w:sz w:val="20"/>
              </w:rPr>
            </w:pPr>
            <w:r>
              <w:rPr>
                <w:sz w:val="20"/>
              </w:rPr>
              <w:t>7 257</w:t>
            </w:r>
          </w:p>
        </w:tc>
        <w:tc>
          <w:tcPr>
            <w:tcW w:w="1181" w:type="dxa"/>
          </w:tcPr>
          <w:p>
            <w:pPr>
              <w:pStyle w:val="yTable"/>
              <w:rPr>
                <w:sz w:val="20"/>
              </w:rPr>
            </w:pPr>
            <w:r>
              <w:rPr>
                <w:sz w:val="20"/>
              </w:rPr>
              <w:t>639</w:t>
            </w:r>
          </w:p>
        </w:tc>
      </w:tr>
      <w:tr>
        <w:tc>
          <w:tcPr>
            <w:tcW w:w="2268" w:type="dxa"/>
          </w:tcPr>
          <w:p>
            <w:pPr>
              <w:pStyle w:val="yTable"/>
              <w:rPr>
                <w:sz w:val="20"/>
              </w:rPr>
            </w:pPr>
            <w:r>
              <w:rPr>
                <w:sz w:val="20"/>
              </w:rPr>
              <w:t>Over 22 but not over 23</w:t>
            </w:r>
          </w:p>
        </w:tc>
        <w:tc>
          <w:tcPr>
            <w:tcW w:w="1181" w:type="dxa"/>
          </w:tcPr>
          <w:p>
            <w:pPr>
              <w:pStyle w:val="yTable"/>
              <w:rPr>
                <w:sz w:val="20"/>
              </w:rPr>
            </w:pPr>
            <w:r>
              <w:rPr>
                <w:sz w:val="20"/>
              </w:rPr>
              <w:t>3 493</w:t>
            </w:r>
          </w:p>
        </w:tc>
        <w:tc>
          <w:tcPr>
            <w:tcW w:w="1181" w:type="dxa"/>
          </w:tcPr>
          <w:p>
            <w:pPr>
              <w:pStyle w:val="yTable"/>
              <w:rPr>
                <w:sz w:val="20"/>
              </w:rPr>
            </w:pPr>
            <w:r>
              <w:rPr>
                <w:sz w:val="20"/>
              </w:rPr>
              <w:t>7 713</w:t>
            </w:r>
          </w:p>
        </w:tc>
        <w:tc>
          <w:tcPr>
            <w:tcW w:w="1181" w:type="dxa"/>
          </w:tcPr>
          <w:p>
            <w:pPr>
              <w:pStyle w:val="yTable"/>
              <w:rPr>
                <w:sz w:val="20"/>
              </w:rPr>
            </w:pPr>
            <w:r>
              <w:rPr>
                <w:sz w:val="20"/>
              </w:rPr>
              <w:t>683</w:t>
            </w:r>
          </w:p>
        </w:tc>
      </w:tr>
      <w:tr>
        <w:tc>
          <w:tcPr>
            <w:tcW w:w="2268" w:type="dxa"/>
          </w:tcPr>
          <w:p>
            <w:pPr>
              <w:pStyle w:val="yTable"/>
              <w:rPr>
                <w:sz w:val="20"/>
              </w:rPr>
            </w:pPr>
            <w:r>
              <w:rPr>
                <w:sz w:val="20"/>
              </w:rPr>
              <w:t>Over 23 but not over 24</w:t>
            </w:r>
          </w:p>
        </w:tc>
        <w:tc>
          <w:tcPr>
            <w:tcW w:w="1181" w:type="dxa"/>
          </w:tcPr>
          <w:p>
            <w:pPr>
              <w:pStyle w:val="yTable"/>
              <w:rPr>
                <w:sz w:val="20"/>
              </w:rPr>
            </w:pPr>
            <w:r>
              <w:rPr>
                <w:sz w:val="20"/>
              </w:rPr>
              <w:t>3 727</w:t>
            </w:r>
          </w:p>
        </w:tc>
        <w:tc>
          <w:tcPr>
            <w:tcW w:w="1181" w:type="dxa"/>
          </w:tcPr>
          <w:p>
            <w:pPr>
              <w:pStyle w:val="yTable"/>
              <w:rPr>
                <w:sz w:val="20"/>
              </w:rPr>
            </w:pPr>
            <w:r>
              <w:rPr>
                <w:sz w:val="20"/>
              </w:rPr>
              <w:t>8 177</w:t>
            </w:r>
          </w:p>
        </w:tc>
        <w:tc>
          <w:tcPr>
            <w:tcW w:w="1181" w:type="dxa"/>
          </w:tcPr>
          <w:p>
            <w:pPr>
              <w:pStyle w:val="yTable"/>
              <w:rPr>
                <w:sz w:val="20"/>
              </w:rPr>
            </w:pPr>
            <w:r>
              <w:rPr>
                <w:sz w:val="20"/>
              </w:rPr>
              <w:t>724</w:t>
            </w:r>
          </w:p>
        </w:tc>
      </w:tr>
      <w:tr>
        <w:tc>
          <w:tcPr>
            <w:tcW w:w="2268" w:type="dxa"/>
          </w:tcPr>
          <w:p>
            <w:pPr>
              <w:pStyle w:val="yTable"/>
              <w:rPr>
                <w:sz w:val="20"/>
              </w:rPr>
            </w:pPr>
            <w:r>
              <w:rPr>
                <w:sz w:val="20"/>
              </w:rPr>
              <w:t>Over 24 but not over 25</w:t>
            </w:r>
          </w:p>
        </w:tc>
        <w:tc>
          <w:tcPr>
            <w:tcW w:w="1181" w:type="dxa"/>
          </w:tcPr>
          <w:p>
            <w:pPr>
              <w:pStyle w:val="yTable"/>
              <w:rPr>
                <w:sz w:val="20"/>
              </w:rPr>
            </w:pPr>
            <w:r>
              <w:rPr>
                <w:sz w:val="20"/>
              </w:rPr>
              <w:t>3 951</w:t>
            </w:r>
          </w:p>
        </w:tc>
        <w:tc>
          <w:tcPr>
            <w:tcW w:w="1181" w:type="dxa"/>
          </w:tcPr>
          <w:p>
            <w:pPr>
              <w:pStyle w:val="yTable"/>
              <w:rPr>
                <w:sz w:val="20"/>
              </w:rPr>
            </w:pPr>
            <w:r>
              <w:rPr>
                <w:sz w:val="20"/>
              </w:rPr>
              <w:t>8 629</w:t>
            </w:r>
          </w:p>
        </w:tc>
        <w:tc>
          <w:tcPr>
            <w:tcW w:w="1181" w:type="dxa"/>
          </w:tcPr>
          <w:p>
            <w:pPr>
              <w:pStyle w:val="yTable"/>
              <w:rPr>
                <w:sz w:val="20"/>
              </w:rPr>
            </w:pPr>
            <w:r>
              <w:rPr>
                <w:sz w:val="20"/>
              </w:rPr>
              <w:t>765</w:t>
            </w:r>
          </w:p>
        </w:tc>
      </w:tr>
      <w:tr>
        <w:tc>
          <w:tcPr>
            <w:tcW w:w="2268" w:type="dxa"/>
          </w:tcPr>
          <w:p>
            <w:pPr>
              <w:pStyle w:val="yTable"/>
              <w:rPr>
                <w:sz w:val="20"/>
              </w:rPr>
            </w:pPr>
            <w:r>
              <w:rPr>
                <w:sz w:val="20"/>
              </w:rPr>
              <w:t>Over 25 but not over 26</w:t>
            </w:r>
          </w:p>
        </w:tc>
        <w:tc>
          <w:tcPr>
            <w:tcW w:w="1181" w:type="dxa"/>
          </w:tcPr>
          <w:p>
            <w:pPr>
              <w:pStyle w:val="yTable"/>
              <w:rPr>
                <w:sz w:val="20"/>
              </w:rPr>
            </w:pPr>
            <w:r>
              <w:rPr>
                <w:sz w:val="20"/>
              </w:rPr>
              <w:t>4 187</w:t>
            </w:r>
          </w:p>
        </w:tc>
        <w:tc>
          <w:tcPr>
            <w:tcW w:w="1181" w:type="dxa"/>
          </w:tcPr>
          <w:p>
            <w:pPr>
              <w:pStyle w:val="yTable"/>
              <w:rPr>
                <w:sz w:val="20"/>
              </w:rPr>
            </w:pPr>
            <w:r>
              <w:rPr>
                <w:sz w:val="20"/>
              </w:rPr>
              <w:t>9 084</w:t>
            </w:r>
          </w:p>
        </w:tc>
        <w:tc>
          <w:tcPr>
            <w:tcW w:w="1181" w:type="dxa"/>
          </w:tcPr>
          <w:p>
            <w:pPr>
              <w:pStyle w:val="yTable"/>
              <w:rPr>
                <w:sz w:val="20"/>
              </w:rPr>
            </w:pPr>
            <w:r>
              <w:rPr>
                <w:sz w:val="20"/>
              </w:rPr>
              <w:t>807</w:t>
            </w:r>
          </w:p>
        </w:tc>
      </w:tr>
      <w:tr>
        <w:tc>
          <w:tcPr>
            <w:tcW w:w="2268" w:type="dxa"/>
          </w:tcPr>
          <w:p>
            <w:pPr>
              <w:pStyle w:val="yTable"/>
              <w:rPr>
                <w:sz w:val="20"/>
              </w:rPr>
            </w:pPr>
            <w:r>
              <w:rPr>
                <w:sz w:val="20"/>
              </w:rPr>
              <w:t>Over 26 but not over 27</w:t>
            </w:r>
          </w:p>
        </w:tc>
        <w:tc>
          <w:tcPr>
            <w:tcW w:w="1181" w:type="dxa"/>
          </w:tcPr>
          <w:p>
            <w:pPr>
              <w:pStyle w:val="yTable"/>
              <w:rPr>
                <w:sz w:val="20"/>
              </w:rPr>
            </w:pPr>
            <w:r>
              <w:rPr>
                <w:sz w:val="20"/>
              </w:rPr>
              <w:t>4 409</w:t>
            </w:r>
          </w:p>
        </w:tc>
        <w:tc>
          <w:tcPr>
            <w:tcW w:w="1181" w:type="dxa"/>
          </w:tcPr>
          <w:p>
            <w:pPr>
              <w:pStyle w:val="yTable"/>
              <w:rPr>
                <w:sz w:val="20"/>
              </w:rPr>
            </w:pPr>
            <w:r>
              <w:rPr>
                <w:sz w:val="20"/>
              </w:rPr>
              <w:t>9 541</w:t>
            </w:r>
          </w:p>
        </w:tc>
        <w:tc>
          <w:tcPr>
            <w:tcW w:w="1181" w:type="dxa"/>
          </w:tcPr>
          <w:p>
            <w:pPr>
              <w:pStyle w:val="yTable"/>
              <w:rPr>
                <w:sz w:val="20"/>
              </w:rPr>
            </w:pPr>
            <w:r>
              <w:rPr>
                <w:sz w:val="20"/>
              </w:rPr>
              <w:t>849</w:t>
            </w:r>
          </w:p>
        </w:tc>
      </w:tr>
      <w:tr>
        <w:tc>
          <w:tcPr>
            <w:tcW w:w="2268" w:type="dxa"/>
          </w:tcPr>
          <w:p>
            <w:pPr>
              <w:pStyle w:val="yTable"/>
              <w:rPr>
                <w:sz w:val="20"/>
              </w:rPr>
            </w:pPr>
            <w:r>
              <w:rPr>
                <w:sz w:val="20"/>
              </w:rPr>
              <w:t>Over 27 but not over 28</w:t>
            </w:r>
          </w:p>
        </w:tc>
        <w:tc>
          <w:tcPr>
            <w:tcW w:w="1181" w:type="dxa"/>
          </w:tcPr>
          <w:p>
            <w:pPr>
              <w:pStyle w:val="yTable"/>
              <w:rPr>
                <w:sz w:val="20"/>
              </w:rPr>
            </w:pPr>
            <w:r>
              <w:rPr>
                <w:sz w:val="20"/>
              </w:rPr>
              <w:t>4644</w:t>
            </w:r>
          </w:p>
        </w:tc>
        <w:tc>
          <w:tcPr>
            <w:tcW w:w="1181" w:type="dxa"/>
          </w:tcPr>
          <w:p>
            <w:pPr>
              <w:pStyle w:val="yTable"/>
              <w:rPr>
                <w:sz w:val="20"/>
              </w:rPr>
            </w:pPr>
            <w:r>
              <w:rPr>
                <w:sz w:val="20"/>
              </w:rPr>
              <w:t>10 006</w:t>
            </w:r>
          </w:p>
        </w:tc>
        <w:tc>
          <w:tcPr>
            <w:tcW w:w="1181" w:type="dxa"/>
          </w:tcPr>
          <w:p>
            <w:pPr>
              <w:pStyle w:val="yTable"/>
              <w:rPr>
                <w:sz w:val="20"/>
              </w:rPr>
            </w:pPr>
            <w:r>
              <w:rPr>
                <w:sz w:val="20"/>
              </w:rPr>
              <w:t>896</w:t>
            </w:r>
          </w:p>
        </w:tc>
      </w:tr>
      <w:tr>
        <w:tc>
          <w:tcPr>
            <w:tcW w:w="2268" w:type="dxa"/>
          </w:tcPr>
          <w:p>
            <w:pPr>
              <w:pStyle w:val="yTable"/>
              <w:rPr>
                <w:sz w:val="20"/>
              </w:rPr>
            </w:pPr>
            <w:r>
              <w:rPr>
                <w:sz w:val="20"/>
              </w:rPr>
              <w:t>Over 28 but not over 29</w:t>
            </w:r>
          </w:p>
        </w:tc>
        <w:tc>
          <w:tcPr>
            <w:tcW w:w="1181" w:type="dxa"/>
          </w:tcPr>
          <w:p>
            <w:pPr>
              <w:pStyle w:val="yTable"/>
              <w:rPr>
                <w:sz w:val="20"/>
              </w:rPr>
            </w:pPr>
            <w:r>
              <w:rPr>
                <w:sz w:val="20"/>
              </w:rPr>
              <w:t>4 868</w:t>
            </w:r>
          </w:p>
        </w:tc>
        <w:tc>
          <w:tcPr>
            <w:tcW w:w="1181" w:type="dxa"/>
          </w:tcPr>
          <w:p>
            <w:pPr>
              <w:pStyle w:val="yTable"/>
              <w:rPr>
                <w:sz w:val="20"/>
              </w:rPr>
            </w:pPr>
            <w:r>
              <w:rPr>
                <w:sz w:val="20"/>
              </w:rPr>
              <w:t>10 462</w:t>
            </w:r>
          </w:p>
        </w:tc>
        <w:tc>
          <w:tcPr>
            <w:tcW w:w="1181" w:type="dxa"/>
          </w:tcPr>
          <w:p>
            <w:pPr>
              <w:pStyle w:val="yTable"/>
              <w:rPr>
                <w:sz w:val="20"/>
              </w:rPr>
            </w:pPr>
            <w:r>
              <w:rPr>
                <w:sz w:val="20"/>
              </w:rPr>
              <w:t>937</w:t>
            </w:r>
          </w:p>
        </w:tc>
      </w:tr>
      <w:tr>
        <w:tc>
          <w:tcPr>
            <w:tcW w:w="2268" w:type="dxa"/>
          </w:tcPr>
          <w:p>
            <w:pPr>
              <w:pStyle w:val="yTable"/>
              <w:rPr>
                <w:sz w:val="20"/>
              </w:rPr>
            </w:pPr>
            <w:r>
              <w:rPr>
                <w:sz w:val="20"/>
              </w:rPr>
              <w:t>Over 29 but not over 30</w:t>
            </w:r>
          </w:p>
        </w:tc>
        <w:tc>
          <w:tcPr>
            <w:tcW w:w="1181" w:type="dxa"/>
          </w:tcPr>
          <w:p>
            <w:pPr>
              <w:pStyle w:val="yTable"/>
              <w:rPr>
                <w:sz w:val="20"/>
              </w:rPr>
            </w:pPr>
            <w:r>
              <w:rPr>
                <w:sz w:val="20"/>
              </w:rPr>
              <w:t>5 097</w:t>
            </w:r>
          </w:p>
        </w:tc>
        <w:tc>
          <w:tcPr>
            <w:tcW w:w="1181" w:type="dxa"/>
          </w:tcPr>
          <w:p>
            <w:pPr>
              <w:pStyle w:val="yTable"/>
              <w:rPr>
                <w:sz w:val="20"/>
              </w:rPr>
            </w:pPr>
            <w:r>
              <w:rPr>
                <w:sz w:val="20"/>
              </w:rPr>
              <w:t>10 915</w:t>
            </w:r>
          </w:p>
        </w:tc>
        <w:tc>
          <w:tcPr>
            <w:tcW w:w="1181" w:type="dxa"/>
          </w:tcPr>
          <w:p>
            <w:pPr>
              <w:pStyle w:val="yTable"/>
              <w:rPr>
                <w:sz w:val="20"/>
              </w:rPr>
            </w:pPr>
            <w:r>
              <w:rPr>
                <w:sz w:val="20"/>
              </w:rPr>
              <w:t>980</w:t>
            </w:r>
          </w:p>
        </w:tc>
      </w:tr>
      <w:tr>
        <w:tc>
          <w:tcPr>
            <w:tcW w:w="2268" w:type="dxa"/>
          </w:tcPr>
          <w:p>
            <w:pPr>
              <w:pStyle w:val="yTable"/>
              <w:rPr>
                <w:sz w:val="20"/>
              </w:rPr>
            </w:pPr>
            <w:r>
              <w:rPr>
                <w:sz w:val="20"/>
              </w:rPr>
              <w:t>Over 30 but not over 31</w:t>
            </w:r>
          </w:p>
        </w:tc>
        <w:tc>
          <w:tcPr>
            <w:tcW w:w="1181" w:type="dxa"/>
          </w:tcPr>
          <w:p>
            <w:pPr>
              <w:pStyle w:val="yTable"/>
              <w:rPr>
                <w:sz w:val="20"/>
              </w:rPr>
            </w:pPr>
            <w:r>
              <w:rPr>
                <w:sz w:val="20"/>
              </w:rPr>
              <w:t>5 357</w:t>
            </w:r>
          </w:p>
        </w:tc>
        <w:tc>
          <w:tcPr>
            <w:tcW w:w="1181" w:type="dxa"/>
          </w:tcPr>
          <w:p>
            <w:pPr>
              <w:pStyle w:val="yTable"/>
              <w:rPr>
                <w:sz w:val="20"/>
              </w:rPr>
            </w:pPr>
            <w:r>
              <w:rPr>
                <w:sz w:val="20"/>
              </w:rPr>
              <w:t>11 406</w:t>
            </w:r>
          </w:p>
        </w:tc>
        <w:tc>
          <w:tcPr>
            <w:tcW w:w="1181" w:type="dxa"/>
          </w:tcPr>
          <w:p>
            <w:pPr>
              <w:pStyle w:val="yTable"/>
              <w:rPr>
                <w:sz w:val="20"/>
              </w:rPr>
            </w:pPr>
            <w:r>
              <w:rPr>
                <w:sz w:val="20"/>
              </w:rPr>
              <w:t>1 038</w:t>
            </w:r>
          </w:p>
        </w:tc>
      </w:tr>
      <w:tr>
        <w:tc>
          <w:tcPr>
            <w:tcW w:w="2268" w:type="dxa"/>
          </w:tcPr>
          <w:p>
            <w:pPr>
              <w:pStyle w:val="yTable"/>
              <w:rPr>
                <w:sz w:val="20"/>
              </w:rPr>
            </w:pPr>
            <w:r>
              <w:rPr>
                <w:sz w:val="20"/>
              </w:rPr>
              <w:t>Over 31 but not over 32</w:t>
            </w:r>
          </w:p>
        </w:tc>
        <w:tc>
          <w:tcPr>
            <w:tcW w:w="1181" w:type="dxa"/>
          </w:tcPr>
          <w:p>
            <w:pPr>
              <w:pStyle w:val="yTable"/>
              <w:rPr>
                <w:sz w:val="20"/>
              </w:rPr>
            </w:pPr>
            <w:r>
              <w:rPr>
                <w:sz w:val="20"/>
              </w:rPr>
              <w:t>5 622</w:t>
            </w:r>
          </w:p>
        </w:tc>
        <w:tc>
          <w:tcPr>
            <w:tcW w:w="1181" w:type="dxa"/>
          </w:tcPr>
          <w:p>
            <w:pPr>
              <w:pStyle w:val="yTable"/>
              <w:rPr>
                <w:sz w:val="20"/>
              </w:rPr>
            </w:pPr>
            <w:r>
              <w:rPr>
                <w:sz w:val="20"/>
              </w:rPr>
              <w:t>11 903</w:t>
            </w:r>
          </w:p>
        </w:tc>
        <w:tc>
          <w:tcPr>
            <w:tcW w:w="1181" w:type="dxa"/>
          </w:tcPr>
          <w:p>
            <w:pPr>
              <w:pStyle w:val="yTable"/>
              <w:rPr>
                <w:sz w:val="20"/>
              </w:rPr>
            </w:pPr>
            <w:r>
              <w:rPr>
                <w:sz w:val="20"/>
              </w:rPr>
              <w:t>1 097</w:t>
            </w:r>
          </w:p>
        </w:tc>
      </w:tr>
      <w:tr>
        <w:tc>
          <w:tcPr>
            <w:tcW w:w="2268" w:type="dxa"/>
          </w:tcPr>
          <w:p>
            <w:pPr>
              <w:pStyle w:val="yTable"/>
              <w:rPr>
                <w:sz w:val="20"/>
              </w:rPr>
            </w:pPr>
            <w:r>
              <w:rPr>
                <w:sz w:val="20"/>
              </w:rPr>
              <w:t>Over 32 but not over 33</w:t>
            </w:r>
          </w:p>
        </w:tc>
        <w:tc>
          <w:tcPr>
            <w:tcW w:w="1181" w:type="dxa"/>
          </w:tcPr>
          <w:p>
            <w:pPr>
              <w:pStyle w:val="yTable"/>
              <w:rPr>
                <w:sz w:val="20"/>
              </w:rPr>
            </w:pPr>
            <w:r>
              <w:rPr>
                <w:sz w:val="20"/>
              </w:rPr>
              <w:t>5 877</w:t>
            </w:r>
          </w:p>
        </w:tc>
        <w:tc>
          <w:tcPr>
            <w:tcW w:w="1181" w:type="dxa"/>
          </w:tcPr>
          <w:p>
            <w:pPr>
              <w:pStyle w:val="yTable"/>
              <w:rPr>
                <w:sz w:val="20"/>
              </w:rPr>
            </w:pPr>
            <w:r>
              <w:rPr>
                <w:sz w:val="20"/>
              </w:rPr>
              <w:t>12 389</w:t>
            </w:r>
          </w:p>
        </w:tc>
        <w:tc>
          <w:tcPr>
            <w:tcW w:w="1181" w:type="dxa"/>
          </w:tcPr>
          <w:p>
            <w:pPr>
              <w:pStyle w:val="yTable"/>
              <w:rPr>
                <w:sz w:val="20"/>
              </w:rPr>
            </w:pPr>
            <w:r>
              <w:rPr>
                <w:sz w:val="20"/>
              </w:rPr>
              <w:t>1 152</w:t>
            </w:r>
          </w:p>
        </w:tc>
      </w:tr>
      <w:tr>
        <w:tc>
          <w:tcPr>
            <w:tcW w:w="2268" w:type="dxa"/>
          </w:tcPr>
          <w:p>
            <w:pPr>
              <w:pStyle w:val="yTable"/>
              <w:rPr>
                <w:sz w:val="20"/>
              </w:rPr>
            </w:pPr>
            <w:r>
              <w:rPr>
                <w:sz w:val="20"/>
              </w:rPr>
              <w:t>Over 33 but not over 34</w:t>
            </w:r>
          </w:p>
        </w:tc>
        <w:tc>
          <w:tcPr>
            <w:tcW w:w="1181" w:type="dxa"/>
          </w:tcPr>
          <w:p>
            <w:pPr>
              <w:pStyle w:val="yTable"/>
              <w:rPr>
                <w:sz w:val="20"/>
              </w:rPr>
            </w:pPr>
            <w:r>
              <w:rPr>
                <w:sz w:val="20"/>
              </w:rPr>
              <w:t>6 143</w:t>
            </w:r>
          </w:p>
        </w:tc>
        <w:tc>
          <w:tcPr>
            <w:tcW w:w="1181" w:type="dxa"/>
          </w:tcPr>
          <w:p>
            <w:pPr>
              <w:pStyle w:val="yTable"/>
              <w:rPr>
                <w:sz w:val="20"/>
              </w:rPr>
            </w:pPr>
            <w:r>
              <w:rPr>
                <w:sz w:val="20"/>
              </w:rPr>
              <w:t>12 882</w:t>
            </w:r>
          </w:p>
        </w:tc>
        <w:tc>
          <w:tcPr>
            <w:tcW w:w="1181" w:type="dxa"/>
          </w:tcPr>
          <w:p>
            <w:pPr>
              <w:pStyle w:val="yTable"/>
              <w:rPr>
                <w:sz w:val="20"/>
              </w:rPr>
            </w:pPr>
            <w:r>
              <w:rPr>
                <w:sz w:val="20"/>
              </w:rPr>
              <w:t>1 211</w:t>
            </w:r>
          </w:p>
        </w:tc>
      </w:tr>
      <w:tr>
        <w:tc>
          <w:tcPr>
            <w:tcW w:w="2268" w:type="dxa"/>
          </w:tcPr>
          <w:p>
            <w:pPr>
              <w:pStyle w:val="yTable"/>
              <w:rPr>
                <w:sz w:val="20"/>
              </w:rPr>
            </w:pPr>
            <w:r>
              <w:rPr>
                <w:sz w:val="20"/>
              </w:rPr>
              <w:t>Over 34 but not over 35</w:t>
            </w:r>
          </w:p>
        </w:tc>
        <w:tc>
          <w:tcPr>
            <w:tcW w:w="1181" w:type="dxa"/>
          </w:tcPr>
          <w:p>
            <w:pPr>
              <w:pStyle w:val="yTable"/>
              <w:rPr>
                <w:sz w:val="20"/>
              </w:rPr>
            </w:pPr>
            <w:r>
              <w:rPr>
                <w:sz w:val="20"/>
              </w:rPr>
              <w:t>6 403</w:t>
            </w:r>
          </w:p>
        </w:tc>
        <w:tc>
          <w:tcPr>
            <w:tcW w:w="1181" w:type="dxa"/>
          </w:tcPr>
          <w:p>
            <w:pPr>
              <w:pStyle w:val="yTable"/>
              <w:rPr>
                <w:sz w:val="20"/>
              </w:rPr>
            </w:pPr>
            <w:r>
              <w:rPr>
                <w:sz w:val="20"/>
              </w:rPr>
              <w:t>13 370</w:t>
            </w:r>
          </w:p>
        </w:tc>
        <w:tc>
          <w:tcPr>
            <w:tcW w:w="1181" w:type="dxa"/>
          </w:tcPr>
          <w:p>
            <w:pPr>
              <w:pStyle w:val="yTable"/>
              <w:rPr>
                <w:sz w:val="20"/>
              </w:rPr>
            </w:pPr>
            <w:r>
              <w:rPr>
                <w:sz w:val="20"/>
              </w:rPr>
              <w:t>1 268</w:t>
            </w:r>
          </w:p>
        </w:tc>
      </w:tr>
      <w:tr>
        <w:tc>
          <w:tcPr>
            <w:tcW w:w="2268" w:type="dxa"/>
          </w:tcPr>
          <w:p>
            <w:pPr>
              <w:pStyle w:val="yTable"/>
              <w:rPr>
                <w:sz w:val="20"/>
              </w:rPr>
            </w:pPr>
            <w:r>
              <w:rPr>
                <w:sz w:val="20"/>
              </w:rPr>
              <w:t>Over 35 but not over 36</w:t>
            </w:r>
          </w:p>
        </w:tc>
        <w:tc>
          <w:tcPr>
            <w:tcW w:w="1181" w:type="dxa"/>
          </w:tcPr>
          <w:p>
            <w:pPr>
              <w:pStyle w:val="yTable"/>
              <w:rPr>
                <w:sz w:val="20"/>
              </w:rPr>
            </w:pPr>
            <w:r>
              <w:rPr>
                <w:sz w:val="20"/>
              </w:rPr>
              <w:t>6 668</w:t>
            </w:r>
          </w:p>
        </w:tc>
        <w:tc>
          <w:tcPr>
            <w:tcW w:w="1181" w:type="dxa"/>
          </w:tcPr>
          <w:p>
            <w:pPr>
              <w:pStyle w:val="yTable"/>
              <w:rPr>
                <w:sz w:val="20"/>
              </w:rPr>
            </w:pPr>
            <w:r>
              <w:rPr>
                <w:sz w:val="20"/>
              </w:rPr>
              <w:t>13 859</w:t>
            </w:r>
          </w:p>
        </w:tc>
        <w:tc>
          <w:tcPr>
            <w:tcW w:w="1181" w:type="dxa"/>
          </w:tcPr>
          <w:p>
            <w:pPr>
              <w:pStyle w:val="yTable"/>
              <w:rPr>
                <w:sz w:val="20"/>
              </w:rPr>
            </w:pPr>
            <w:r>
              <w:rPr>
                <w:sz w:val="20"/>
              </w:rPr>
              <w:t>1 325</w:t>
            </w:r>
          </w:p>
        </w:tc>
      </w:tr>
      <w:tr>
        <w:tc>
          <w:tcPr>
            <w:tcW w:w="2268" w:type="dxa"/>
          </w:tcPr>
          <w:p>
            <w:pPr>
              <w:pStyle w:val="yTable"/>
              <w:rPr>
                <w:sz w:val="20"/>
              </w:rPr>
            </w:pPr>
            <w:r>
              <w:rPr>
                <w:sz w:val="20"/>
              </w:rPr>
              <w:t>Over 36 but not over 37</w:t>
            </w:r>
          </w:p>
        </w:tc>
        <w:tc>
          <w:tcPr>
            <w:tcW w:w="1181" w:type="dxa"/>
          </w:tcPr>
          <w:p>
            <w:pPr>
              <w:pStyle w:val="yTable"/>
              <w:rPr>
                <w:sz w:val="20"/>
              </w:rPr>
            </w:pPr>
            <w:r>
              <w:rPr>
                <w:sz w:val="20"/>
              </w:rPr>
              <w:t>6 935</w:t>
            </w:r>
          </w:p>
        </w:tc>
        <w:tc>
          <w:tcPr>
            <w:tcW w:w="1181" w:type="dxa"/>
          </w:tcPr>
          <w:p>
            <w:pPr>
              <w:pStyle w:val="yTable"/>
              <w:rPr>
                <w:sz w:val="20"/>
              </w:rPr>
            </w:pPr>
            <w:r>
              <w:rPr>
                <w:sz w:val="20"/>
              </w:rPr>
              <w:t>14 348</w:t>
            </w:r>
          </w:p>
        </w:tc>
        <w:tc>
          <w:tcPr>
            <w:tcW w:w="1181" w:type="dxa"/>
          </w:tcPr>
          <w:p>
            <w:pPr>
              <w:pStyle w:val="yTable"/>
              <w:rPr>
                <w:sz w:val="20"/>
              </w:rPr>
            </w:pPr>
            <w:r>
              <w:rPr>
                <w:sz w:val="20"/>
              </w:rPr>
              <w:t>1 385</w:t>
            </w:r>
          </w:p>
        </w:tc>
      </w:tr>
      <w:tr>
        <w:tc>
          <w:tcPr>
            <w:tcW w:w="2268" w:type="dxa"/>
          </w:tcPr>
          <w:p>
            <w:pPr>
              <w:pStyle w:val="yTable"/>
              <w:rPr>
                <w:sz w:val="20"/>
              </w:rPr>
            </w:pPr>
            <w:r>
              <w:rPr>
                <w:sz w:val="20"/>
              </w:rPr>
              <w:t>Over 37 but not over 38</w:t>
            </w:r>
          </w:p>
        </w:tc>
        <w:tc>
          <w:tcPr>
            <w:tcW w:w="1181" w:type="dxa"/>
          </w:tcPr>
          <w:p>
            <w:pPr>
              <w:pStyle w:val="yTable"/>
              <w:rPr>
                <w:sz w:val="20"/>
              </w:rPr>
            </w:pPr>
            <w:r>
              <w:rPr>
                <w:sz w:val="20"/>
              </w:rPr>
              <w:t>7 188</w:t>
            </w:r>
          </w:p>
        </w:tc>
        <w:tc>
          <w:tcPr>
            <w:tcW w:w="1181" w:type="dxa"/>
          </w:tcPr>
          <w:p>
            <w:pPr>
              <w:pStyle w:val="yTable"/>
              <w:rPr>
                <w:sz w:val="20"/>
              </w:rPr>
            </w:pPr>
            <w:r>
              <w:rPr>
                <w:sz w:val="20"/>
              </w:rPr>
              <w:t>14 846</w:t>
            </w:r>
          </w:p>
        </w:tc>
        <w:tc>
          <w:tcPr>
            <w:tcW w:w="1181" w:type="dxa"/>
          </w:tcPr>
          <w:p>
            <w:pPr>
              <w:pStyle w:val="yTable"/>
              <w:rPr>
                <w:sz w:val="20"/>
              </w:rPr>
            </w:pPr>
            <w:r>
              <w:rPr>
                <w:sz w:val="20"/>
              </w:rPr>
              <w:t>1 436</w:t>
            </w:r>
          </w:p>
        </w:tc>
      </w:tr>
      <w:tr>
        <w:tc>
          <w:tcPr>
            <w:tcW w:w="2268" w:type="dxa"/>
          </w:tcPr>
          <w:p>
            <w:pPr>
              <w:pStyle w:val="yTable"/>
              <w:rPr>
                <w:sz w:val="20"/>
              </w:rPr>
            </w:pPr>
            <w:r>
              <w:rPr>
                <w:sz w:val="20"/>
              </w:rPr>
              <w:t>Over 38 but not over 39</w:t>
            </w:r>
          </w:p>
        </w:tc>
        <w:tc>
          <w:tcPr>
            <w:tcW w:w="1181" w:type="dxa"/>
          </w:tcPr>
          <w:p>
            <w:pPr>
              <w:pStyle w:val="yTable"/>
              <w:rPr>
                <w:sz w:val="20"/>
              </w:rPr>
            </w:pPr>
            <w:r>
              <w:rPr>
                <w:sz w:val="20"/>
              </w:rPr>
              <w:t>7 452</w:t>
            </w:r>
          </w:p>
        </w:tc>
        <w:tc>
          <w:tcPr>
            <w:tcW w:w="1181" w:type="dxa"/>
          </w:tcPr>
          <w:p>
            <w:pPr>
              <w:pStyle w:val="yTable"/>
              <w:rPr>
                <w:sz w:val="20"/>
              </w:rPr>
            </w:pPr>
            <w:r>
              <w:rPr>
                <w:sz w:val="20"/>
              </w:rPr>
              <w:t>15 332</w:t>
            </w:r>
          </w:p>
        </w:tc>
        <w:tc>
          <w:tcPr>
            <w:tcW w:w="1181" w:type="dxa"/>
          </w:tcPr>
          <w:p>
            <w:pPr>
              <w:pStyle w:val="yTable"/>
              <w:rPr>
                <w:sz w:val="20"/>
              </w:rPr>
            </w:pPr>
            <w:r>
              <w:rPr>
                <w:sz w:val="20"/>
              </w:rPr>
              <w:t>1 494</w:t>
            </w:r>
          </w:p>
        </w:tc>
      </w:tr>
      <w:tr>
        <w:tc>
          <w:tcPr>
            <w:tcW w:w="2268" w:type="dxa"/>
          </w:tcPr>
          <w:p>
            <w:pPr>
              <w:pStyle w:val="yTable"/>
              <w:rPr>
                <w:sz w:val="20"/>
              </w:rPr>
            </w:pPr>
            <w:r>
              <w:rPr>
                <w:sz w:val="20"/>
              </w:rPr>
              <w:t>Over 39 but not over 40</w:t>
            </w:r>
          </w:p>
        </w:tc>
        <w:tc>
          <w:tcPr>
            <w:tcW w:w="1181" w:type="dxa"/>
          </w:tcPr>
          <w:p>
            <w:pPr>
              <w:pStyle w:val="yTable"/>
              <w:rPr>
                <w:sz w:val="20"/>
              </w:rPr>
            </w:pPr>
            <w:r>
              <w:rPr>
                <w:sz w:val="20"/>
              </w:rPr>
              <w:t>7 713</w:t>
            </w:r>
          </w:p>
        </w:tc>
        <w:tc>
          <w:tcPr>
            <w:tcW w:w="1181" w:type="dxa"/>
          </w:tcPr>
          <w:p>
            <w:pPr>
              <w:pStyle w:val="yTable"/>
              <w:rPr>
                <w:sz w:val="20"/>
              </w:rPr>
            </w:pPr>
            <w:r>
              <w:rPr>
                <w:sz w:val="20"/>
              </w:rPr>
              <w:t>15 822</w:t>
            </w:r>
          </w:p>
        </w:tc>
        <w:tc>
          <w:tcPr>
            <w:tcW w:w="1181" w:type="dxa"/>
          </w:tcPr>
          <w:p>
            <w:pPr>
              <w:pStyle w:val="yTable"/>
              <w:rPr>
                <w:sz w:val="20"/>
              </w:rPr>
            </w:pPr>
            <w:r>
              <w:rPr>
                <w:sz w:val="20"/>
              </w:rPr>
              <w:t>1 552</w:t>
            </w:r>
          </w:p>
        </w:tc>
      </w:tr>
      <w:tr>
        <w:tc>
          <w:tcPr>
            <w:tcW w:w="2268" w:type="dxa"/>
          </w:tcPr>
          <w:p>
            <w:pPr>
              <w:pStyle w:val="yTable"/>
              <w:rPr>
                <w:sz w:val="20"/>
              </w:rPr>
            </w:pPr>
            <w:r>
              <w:rPr>
                <w:sz w:val="20"/>
              </w:rPr>
              <w:t>Over 40 but not over 41</w:t>
            </w:r>
          </w:p>
        </w:tc>
        <w:tc>
          <w:tcPr>
            <w:tcW w:w="1181" w:type="dxa"/>
          </w:tcPr>
          <w:p>
            <w:pPr>
              <w:pStyle w:val="yTable"/>
              <w:rPr>
                <w:sz w:val="20"/>
              </w:rPr>
            </w:pPr>
            <w:r>
              <w:rPr>
                <w:sz w:val="20"/>
              </w:rPr>
              <w:t>8 011</w:t>
            </w:r>
          </w:p>
        </w:tc>
        <w:tc>
          <w:tcPr>
            <w:tcW w:w="1181" w:type="dxa"/>
          </w:tcPr>
          <w:p>
            <w:pPr>
              <w:pStyle w:val="yTable"/>
              <w:rPr>
                <w:sz w:val="20"/>
              </w:rPr>
            </w:pPr>
            <w:r>
              <w:rPr>
                <w:sz w:val="20"/>
              </w:rPr>
              <w:t>16 341</w:t>
            </w:r>
          </w:p>
        </w:tc>
        <w:tc>
          <w:tcPr>
            <w:tcW w:w="1181" w:type="dxa"/>
          </w:tcPr>
          <w:p>
            <w:pPr>
              <w:pStyle w:val="yTable"/>
              <w:rPr>
                <w:sz w:val="20"/>
              </w:rPr>
            </w:pPr>
            <w:r>
              <w:rPr>
                <w:sz w:val="20"/>
              </w:rPr>
              <w:t>1 628</w:t>
            </w:r>
          </w:p>
        </w:tc>
      </w:tr>
      <w:tr>
        <w:tc>
          <w:tcPr>
            <w:tcW w:w="2268" w:type="dxa"/>
          </w:tcPr>
          <w:p>
            <w:pPr>
              <w:pStyle w:val="yTable"/>
              <w:rPr>
                <w:sz w:val="20"/>
              </w:rPr>
            </w:pPr>
            <w:r>
              <w:rPr>
                <w:sz w:val="20"/>
              </w:rPr>
              <w:t>Over 41 but not over 42</w:t>
            </w:r>
          </w:p>
        </w:tc>
        <w:tc>
          <w:tcPr>
            <w:tcW w:w="1181" w:type="dxa"/>
          </w:tcPr>
          <w:p>
            <w:pPr>
              <w:pStyle w:val="yTable"/>
              <w:rPr>
                <w:sz w:val="20"/>
              </w:rPr>
            </w:pPr>
            <w:r>
              <w:rPr>
                <w:sz w:val="20"/>
              </w:rPr>
              <w:t>8 302</w:t>
            </w:r>
          </w:p>
        </w:tc>
        <w:tc>
          <w:tcPr>
            <w:tcW w:w="1181" w:type="dxa"/>
          </w:tcPr>
          <w:p>
            <w:pPr>
              <w:pStyle w:val="yTable"/>
              <w:rPr>
                <w:sz w:val="20"/>
              </w:rPr>
            </w:pPr>
            <w:r>
              <w:rPr>
                <w:sz w:val="20"/>
              </w:rPr>
              <w:t>16 867</w:t>
            </w:r>
          </w:p>
        </w:tc>
        <w:tc>
          <w:tcPr>
            <w:tcW w:w="1181" w:type="dxa"/>
          </w:tcPr>
          <w:p>
            <w:pPr>
              <w:pStyle w:val="yTable"/>
              <w:rPr>
                <w:sz w:val="20"/>
              </w:rPr>
            </w:pPr>
            <w:r>
              <w:rPr>
                <w:sz w:val="20"/>
              </w:rPr>
              <w:t>1 699</w:t>
            </w:r>
          </w:p>
        </w:tc>
      </w:tr>
      <w:tr>
        <w:tc>
          <w:tcPr>
            <w:tcW w:w="2268" w:type="dxa"/>
          </w:tcPr>
          <w:p>
            <w:pPr>
              <w:pStyle w:val="yTable"/>
              <w:rPr>
                <w:sz w:val="20"/>
              </w:rPr>
            </w:pPr>
            <w:r>
              <w:rPr>
                <w:sz w:val="20"/>
              </w:rPr>
              <w:t>Over 42 but not over 43</w:t>
            </w:r>
          </w:p>
        </w:tc>
        <w:tc>
          <w:tcPr>
            <w:tcW w:w="1181" w:type="dxa"/>
          </w:tcPr>
          <w:p>
            <w:pPr>
              <w:pStyle w:val="yTable"/>
              <w:rPr>
                <w:sz w:val="20"/>
              </w:rPr>
            </w:pPr>
            <w:r>
              <w:rPr>
                <w:sz w:val="20"/>
              </w:rPr>
              <w:t>8 595</w:t>
            </w:r>
          </w:p>
        </w:tc>
        <w:tc>
          <w:tcPr>
            <w:tcW w:w="1181" w:type="dxa"/>
          </w:tcPr>
          <w:p>
            <w:pPr>
              <w:pStyle w:val="yTable"/>
              <w:rPr>
                <w:sz w:val="20"/>
              </w:rPr>
            </w:pPr>
            <w:r>
              <w:rPr>
                <w:sz w:val="20"/>
              </w:rPr>
              <w:t>17 396</w:t>
            </w:r>
          </w:p>
        </w:tc>
        <w:tc>
          <w:tcPr>
            <w:tcW w:w="1181" w:type="dxa"/>
          </w:tcPr>
          <w:p>
            <w:pPr>
              <w:pStyle w:val="yTable"/>
              <w:rPr>
                <w:sz w:val="20"/>
              </w:rPr>
            </w:pPr>
            <w:r>
              <w:rPr>
                <w:sz w:val="20"/>
              </w:rPr>
              <w:t>1 768</w:t>
            </w:r>
          </w:p>
        </w:tc>
      </w:tr>
      <w:tr>
        <w:tc>
          <w:tcPr>
            <w:tcW w:w="2268" w:type="dxa"/>
          </w:tcPr>
          <w:p>
            <w:pPr>
              <w:pStyle w:val="yTable"/>
              <w:rPr>
                <w:sz w:val="20"/>
              </w:rPr>
            </w:pPr>
            <w:r>
              <w:rPr>
                <w:sz w:val="20"/>
              </w:rPr>
              <w:t>Over 43 but not over 44</w:t>
            </w:r>
          </w:p>
        </w:tc>
        <w:tc>
          <w:tcPr>
            <w:tcW w:w="1181" w:type="dxa"/>
          </w:tcPr>
          <w:p>
            <w:pPr>
              <w:pStyle w:val="yTable"/>
              <w:rPr>
                <w:sz w:val="20"/>
              </w:rPr>
            </w:pPr>
            <w:r>
              <w:rPr>
                <w:sz w:val="20"/>
              </w:rPr>
              <w:t>8 891</w:t>
            </w:r>
          </w:p>
        </w:tc>
        <w:tc>
          <w:tcPr>
            <w:tcW w:w="1181" w:type="dxa"/>
          </w:tcPr>
          <w:p>
            <w:pPr>
              <w:pStyle w:val="yTable"/>
              <w:rPr>
                <w:sz w:val="20"/>
              </w:rPr>
            </w:pPr>
            <w:r>
              <w:rPr>
                <w:sz w:val="20"/>
              </w:rPr>
              <w:t>17 909</w:t>
            </w:r>
          </w:p>
        </w:tc>
        <w:tc>
          <w:tcPr>
            <w:tcW w:w="1181" w:type="dxa"/>
          </w:tcPr>
          <w:p>
            <w:pPr>
              <w:pStyle w:val="yTable"/>
              <w:rPr>
                <w:sz w:val="20"/>
              </w:rPr>
            </w:pPr>
            <w:r>
              <w:rPr>
                <w:sz w:val="20"/>
              </w:rPr>
              <w:t>1 842</w:t>
            </w:r>
          </w:p>
        </w:tc>
      </w:tr>
      <w:tr>
        <w:tc>
          <w:tcPr>
            <w:tcW w:w="2268" w:type="dxa"/>
          </w:tcPr>
          <w:p>
            <w:pPr>
              <w:pStyle w:val="yTable"/>
              <w:rPr>
                <w:sz w:val="20"/>
              </w:rPr>
            </w:pPr>
            <w:r>
              <w:rPr>
                <w:sz w:val="20"/>
              </w:rPr>
              <w:t>Over 44 but not over 45</w:t>
            </w:r>
          </w:p>
        </w:tc>
        <w:tc>
          <w:tcPr>
            <w:tcW w:w="1181" w:type="dxa"/>
          </w:tcPr>
          <w:p>
            <w:pPr>
              <w:pStyle w:val="yTable"/>
              <w:rPr>
                <w:sz w:val="20"/>
              </w:rPr>
            </w:pPr>
            <w:r>
              <w:rPr>
                <w:sz w:val="20"/>
              </w:rPr>
              <w:t>9 184</w:t>
            </w:r>
          </w:p>
        </w:tc>
        <w:tc>
          <w:tcPr>
            <w:tcW w:w="1181" w:type="dxa"/>
          </w:tcPr>
          <w:p>
            <w:pPr>
              <w:pStyle w:val="yTable"/>
              <w:rPr>
                <w:sz w:val="20"/>
              </w:rPr>
            </w:pPr>
            <w:r>
              <w:rPr>
                <w:sz w:val="20"/>
              </w:rPr>
              <w:t>18 443</w:t>
            </w:r>
          </w:p>
        </w:tc>
        <w:tc>
          <w:tcPr>
            <w:tcW w:w="1181" w:type="dxa"/>
          </w:tcPr>
          <w:p>
            <w:pPr>
              <w:pStyle w:val="yTable"/>
              <w:rPr>
                <w:sz w:val="20"/>
              </w:rPr>
            </w:pPr>
            <w:r>
              <w:rPr>
                <w:sz w:val="20"/>
              </w:rPr>
              <w:t>1 913</w:t>
            </w:r>
          </w:p>
        </w:tc>
      </w:tr>
      <w:tr>
        <w:tc>
          <w:tcPr>
            <w:tcW w:w="2268" w:type="dxa"/>
          </w:tcPr>
          <w:p>
            <w:pPr>
              <w:pStyle w:val="yTable"/>
              <w:rPr>
                <w:sz w:val="20"/>
              </w:rPr>
            </w:pPr>
            <w:r>
              <w:rPr>
                <w:sz w:val="20"/>
              </w:rPr>
              <w:t>Over 45 but not over 46</w:t>
            </w:r>
          </w:p>
        </w:tc>
        <w:tc>
          <w:tcPr>
            <w:tcW w:w="1181" w:type="dxa"/>
          </w:tcPr>
          <w:p>
            <w:pPr>
              <w:pStyle w:val="yTable"/>
              <w:rPr>
                <w:sz w:val="20"/>
              </w:rPr>
            </w:pPr>
            <w:r>
              <w:rPr>
                <w:sz w:val="20"/>
              </w:rPr>
              <w:t>9 478</w:t>
            </w:r>
          </w:p>
        </w:tc>
        <w:tc>
          <w:tcPr>
            <w:tcW w:w="1181" w:type="dxa"/>
          </w:tcPr>
          <w:p>
            <w:pPr>
              <w:pStyle w:val="yTable"/>
              <w:rPr>
                <w:sz w:val="20"/>
              </w:rPr>
            </w:pPr>
            <w:r>
              <w:rPr>
                <w:sz w:val="20"/>
              </w:rPr>
              <w:t>18 957</w:t>
            </w:r>
          </w:p>
        </w:tc>
        <w:tc>
          <w:tcPr>
            <w:tcW w:w="1181" w:type="dxa"/>
          </w:tcPr>
          <w:p>
            <w:pPr>
              <w:pStyle w:val="yTable"/>
              <w:rPr>
                <w:sz w:val="20"/>
              </w:rPr>
            </w:pPr>
            <w:r>
              <w:rPr>
                <w:sz w:val="20"/>
              </w:rPr>
              <w:t>1 981</w:t>
            </w:r>
          </w:p>
        </w:tc>
      </w:tr>
      <w:tr>
        <w:tc>
          <w:tcPr>
            <w:tcW w:w="2268" w:type="dxa"/>
          </w:tcPr>
          <w:p>
            <w:pPr>
              <w:pStyle w:val="yTable"/>
              <w:rPr>
                <w:sz w:val="20"/>
              </w:rPr>
            </w:pPr>
            <w:r>
              <w:rPr>
                <w:sz w:val="20"/>
              </w:rPr>
              <w:t>Over 46 but not over 47</w:t>
            </w:r>
          </w:p>
        </w:tc>
        <w:tc>
          <w:tcPr>
            <w:tcW w:w="1181" w:type="dxa"/>
          </w:tcPr>
          <w:p>
            <w:pPr>
              <w:pStyle w:val="yTable"/>
              <w:rPr>
                <w:sz w:val="20"/>
              </w:rPr>
            </w:pPr>
            <w:r>
              <w:rPr>
                <w:sz w:val="20"/>
              </w:rPr>
              <w:t>9 773</w:t>
            </w:r>
          </w:p>
        </w:tc>
        <w:tc>
          <w:tcPr>
            <w:tcW w:w="1181" w:type="dxa"/>
          </w:tcPr>
          <w:p>
            <w:pPr>
              <w:pStyle w:val="yTable"/>
              <w:rPr>
                <w:sz w:val="20"/>
              </w:rPr>
            </w:pPr>
            <w:r>
              <w:rPr>
                <w:sz w:val="20"/>
              </w:rPr>
              <w:t>19 479</w:t>
            </w:r>
          </w:p>
        </w:tc>
        <w:tc>
          <w:tcPr>
            <w:tcW w:w="1181" w:type="dxa"/>
          </w:tcPr>
          <w:p>
            <w:pPr>
              <w:pStyle w:val="yTable"/>
              <w:rPr>
                <w:sz w:val="20"/>
              </w:rPr>
            </w:pPr>
            <w:r>
              <w:rPr>
                <w:sz w:val="20"/>
              </w:rPr>
              <w:t>2 054</w:t>
            </w:r>
          </w:p>
        </w:tc>
      </w:tr>
      <w:tr>
        <w:tc>
          <w:tcPr>
            <w:tcW w:w="2268" w:type="dxa"/>
          </w:tcPr>
          <w:p>
            <w:pPr>
              <w:pStyle w:val="yTable"/>
              <w:rPr>
                <w:sz w:val="20"/>
              </w:rPr>
            </w:pPr>
            <w:r>
              <w:rPr>
                <w:sz w:val="20"/>
              </w:rPr>
              <w:t>Over 47 but not over 48</w:t>
            </w:r>
          </w:p>
        </w:tc>
        <w:tc>
          <w:tcPr>
            <w:tcW w:w="1181" w:type="dxa"/>
          </w:tcPr>
          <w:p>
            <w:pPr>
              <w:pStyle w:val="yTable"/>
              <w:rPr>
                <w:sz w:val="20"/>
              </w:rPr>
            </w:pPr>
            <w:r>
              <w:rPr>
                <w:sz w:val="20"/>
              </w:rPr>
              <w:t>10 065</w:t>
            </w:r>
          </w:p>
        </w:tc>
        <w:tc>
          <w:tcPr>
            <w:tcW w:w="1181" w:type="dxa"/>
          </w:tcPr>
          <w:p>
            <w:pPr>
              <w:pStyle w:val="yTable"/>
              <w:rPr>
                <w:sz w:val="20"/>
              </w:rPr>
            </w:pPr>
            <w:r>
              <w:rPr>
                <w:sz w:val="20"/>
              </w:rPr>
              <w:t>20 007</w:t>
            </w:r>
          </w:p>
        </w:tc>
        <w:tc>
          <w:tcPr>
            <w:tcW w:w="1181" w:type="dxa"/>
          </w:tcPr>
          <w:p>
            <w:pPr>
              <w:pStyle w:val="yTable"/>
              <w:rPr>
                <w:sz w:val="20"/>
              </w:rPr>
            </w:pPr>
            <w:r>
              <w:rPr>
                <w:sz w:val="20"/>
              </w:rPr>
              <w:t>2 125</w:t>
            </w:r>
          </w:p>
        </w:tc>
      </w:tr>
      <w:tr>
        <w:tc>
          <w:tcPr>
            <w:tcW w:w="2268" w:type="dxa"/>
          </w:tcPr>
          <w:p>
            <w:pPr>
              <w:pStyle w:val="yTable"/>
              <w:rPr>
                <w:sz w:val="20"/>
              </w:rPr>
            </w:pPr>
            <w:r>
              <w:rPr>
                <w:sz w:val="20"/>
              </w:rPr>
              <w:t>Over 48 but not over 49</w:t>
            </w:r>
          </w:p>
        </w:tc>
        <w:tc>
          <w:tcPr>
            <w:tcW w:w="1181" w:type="dxa"/>
          </w:tcPr>
          <w:p>
            <w:pPr>
              <w:pStyle w:val="yTable"/>
              <w:rPr>
                <w:sz w:val="20"/>
              </w:rPr>
            </w:pPr>
            <w:r>
              <w:rPr>
                <w:sz w:val="20"/>
              </w:rPr>
              <w:t>10 365</w:t>
            </w:r>
          </w:p>
        </w:tc>
        <w:tc>
          <w:tcPr>
            <w:tcW w:w="1181" w:type="dxa"/>
          </w:tcPr>
          <w:p>
            <w:pPr>
              <w:pStyle w:val="yTable"/>
              <w:rPr>
                <w:sz w:val="20"/>
              </w:rPr>
            </w:pPr>
            <w:r>
              <w:rPr>
                <w:sz w:val="20"/>
              </w:rPr>
              <w:t>20 527</w:t>
            </w:r>
          </w:p>
        </w:tc>
        <w:tc>
          <w:tcPr>
            <w:tcW w:w="1181" w:type="dxa"/>
          </w:tcPr>
          <w:p>
            <w:pPr>
              <w:pStyle w:val="yTable"/>
              <w:rPr>
                <w:sz w:val="20"/>
              </w:rPr>
            </w:pPr>
            <w:r>
              <w:rPr>
                <w:sz w:val="20"/>
              </w:rPr>
              <w:t>2 195</w:t>
            </w:r>
          </w:p>
        </w:tc>
      </w:tr>
      <w:tr>
        <w:tc>
          <w:tcPr>
            <w:tcW w:w="2268" w:type="dxa"/>
          </w:tcPr>
          <w:p>
            <w:pPr>
              <w:pStyle w:val="yTable"/>
              <w:rPr>
                <w:sz w:val="20"/>
              </w:rPr>
            </w:pPr>
            <w:r>
              <w:rPr>
                <w:sz w:val="20"/>
              </w:rPr>
              <w:t>Over 49 but not over 50</w:t>
            </w:r>
          </w:p>
        </w:tc>
        <w:tc>
          <w:tcPr>
            <w:tcW w:w="1181" w:type="dxa"/>
          </w:tcPr>
          <w:p>
            <w:pPr>
              <w:pStyle w:val="yTable"/>
              <w:rPr>
                <w:sz w:val="20"/>
              </w:rPr>
            </w:pPr>
            <w:r>
              <w:rPr>
                <w:sz w:val="20"/>
              </w:rPr>
              <w:t>10 655</w:t>
            </w:r>
          </w:p>
        </w:tc>
        <w:tc>
          <w:tcPr>
            <w:tcW w:w="1181" w:type="dxa"/>
          </w:tcPr>
          <w:p>
            <w:pPr>
              <w:pStyle w:val="yTable"/>
              <w:rPr>
                <w:sz w:val="20"/>
              </w:rPr>
            </w:pPr>
            <w:r>
              <w:rPr>
                <w:sz w:val="20"/>
              </w:rPr>
              <w:t>21 048</w:t>
            </w:r>
          </w:p>
        </w:tc>
        <w:tc>
          <w:tcPr>
            <w:tcW w:w="1181" w:type="dxa"/>
          </w:tcPr>
          <w:p>
            <w:pPr>
              <w:pStyle w:val="yTable"/>
              <w:rPr>
                <w:sz w:val="20"/>
              </w:rPr>
            </w:pPr>
            <w:r>
              <w:rPr>
                <w:sz w:val="20"/>
              </w:rPr>
              <w:t>2 270</w:t>
            </w:r>
          </w:p>
        </w:tc>
      </w:tr>
      <w:tr>
        <w:tc>
          <w:tcPr>
            <w:tcW w:w="2268" w:type="dxa"/>
          </w:tcPr>
          <w:p>
            <w:pPr>
              <w:pStyle w:val="yTable"/>
              <w:rPr>
                <w:sz w:val="20"/>
              </w:rPr>
            </w:pPr>
            <w:r>
              <w:rPr>
                <w:sz w:val="20"/>
              </w:rPr>
              <w:t>Over 50</w:t>
            </w:r>
          </w:p>
        </w:tc>
        <w:tc>
          <w:tcPr>
            <w:tcW w:w="1181" w:type="dxa"/>
          </w:tcPr>
          <w:p>
            <w:pPr>
              <w:pStyle w:val="yTable"/>
              <w:rPr>
                <w:sz w:val="20"/>
              </w:rPr>
            </w:pPr>
            <w:r>
              <w:rPr>
                <w:sz w:val="20"/>
              </w:rPr>
              <w:t>10 946</w:t>
            </w:r>
          </w:p>
        </w:tc>
        <w:tc>
          <w:tcPr>
            <w:tcW w:w="1181" w:type="dxa"/>
          </w:tcPr>
          <w:p>
            <w:pPr>
              <w:pStyle w:val="yTable"/>
              <w:rPr>
                <w:sz w:val="20"/>
              </w:rPr>
            </w:pPr>
            <w:r>
              <w:rPr>
                <w:sz w:val="20"/>
              </w:rPr>
              <w:t>21 572</w:t>
            </w:r>
          </w:p>
        </w:tc>
        <w:tc>
          <w:tcPr>
            <w:tcW w:w="1181" w:type="dxa"/>
          </w:tcPr>
          <w:p>
            <w:pPr>
              <w:pStyle w:val="yTable"/>
              <w:rPr>
                <w:sz w:val="20"/>
              </w:rPr>
            </w:pPr>
            <w:r>
              <w:rPr>
                <w:sz w:val="20"/>
              </w:rPr>
              <w:t>2 339</w:t>
            </w:r>
          </w:p>
        </w:tc>
      </w:tr>
    </w:tbl>
    <w:p>
      <w:pPr>
        <w:pStyle w:val="ySubsection"/>
      </w:pPr>
      <w:r>
        <w:tab/>
        <w:t>(b)</w:t>
      </w:r>
      <w:r>
        <w:tab/>
        <w:t>The fees set out in paragraph (a) are subject to the following variations —</w:t>
      </w:r>
    </w:p>
    <w:p>
      <w:pPr>
        <w:pStyle w:val="yIndenta"/>
      </w:pPr>
      <w:r>
        <w:tab/>
        <w:t>(i)</w:t>
      </w:r>
      <w:r>
        <w:tab/>
        <w:t>for vessels under construction —</w:t>
      </w:r>
    </w:p>
    <w:tbl>
      <w:tblPr>
        <w:tblW w:w="0" w:type="auto"/>
        <w:tblInd w:w="1673" w:type="dxa"/>
        <w:tblLayout w:type="fixed"/>
        <w:tblCellMar>
          <w:left w:w="113" w:type="dxa"/>
          <w:right w:w="113" w:type="dxa"/>
        </w:tblCellMar>
        <w:tblLook w:val="0000" w:firstRow="0" w:lastRow="0" w:firstColumn="0" w:lastColumn="0" w:noHBand="0" w:noVBand="0"/>
      </w:tblPr>
      <w:tblGrid>
        <w:gridCol w:w="708"/>
        <w:gridCol w:w="2127"/>
        <w:gridCol w:w="1842"/>
      </w:tblGrid>
      <w:tr>
        <w:trPr>
          <w:cantSplit/>
        </w:trPr>
        <w:tc>
          <w:tcPr>
            <w:tcW w:w="708" w:type="dxa"/>
          </w:tcPr>
          <w:p>
            <w:pPr>
              <w:pStyle w:val="yTable"/>
            </w:pPr>
            <w:r>
              <w:t>(A)</w:t>
            </w:r>
          </w:p>
        </w:tc>
        <w:tc>
          <w:tcPr>
            <w:tcW w:w="2127" w:type="dxa"/>
          </w:tcPr>
          <w:p>
            <w:pPr>
              <w:pStyle w:val="yTable"/>
            </w:pPr>
            <w:r>
              <w:t xml:space="preserve">The fee for examination of plans provides for the examination of the initial plans and one amendment.  Fee for a second and each further amendment to plans: </w:t>
            </w:r>
          </w:p>
        </w:tc>
        <w:tc>
          <w:tcPr>
            <w:tcW w:w="1842" w:type="dxa"/>
          </w:tcPr>
          <w:p>
            <w:pPr>
              <w:pStyle w:val="yTable"/>
              <w:ind w:left="-113" w:right="170"/>
              <w:jc w:val="right"/>
            </w:pPr>
            <w:r>
              <w:br/>
            </w:r>
            <w:r>
              <w:br/>
            </w:r>
            <w:r>
              <w:br/>
            </w:r>
            <w:r>
              <w:br/>
            </w:r>
            <w:r>
              <w:br/>
            </w:r>
            <w:r>
              <w:br/>
            </w:r>
            <w:r>
              <w:br/>
            </w:r>
            <w:r>
              <w:br/>
            </w:r>
            <w:r>
              <w:rPr>
                <w:rFonts w:ascii="Times" w:hAnsi="Times"/>
              </w:rPr>
              <w:t>$112.10/hour</w:t>
            </w:r>
            <w:r>
              <w:t xml:space="preserve"> </w:t>
            </w:r>
          </w:p>
        </w:tc>
      </w:tr>
      <w:tr>
        <w:trPr>
          <w:cantSplit/>
        </w:trPr>
        <w:tc>
          <w:tcPr>
            <w:tcW w:w="708" w:type="dxa"/>
          </w:tcPr>
          <w:p>
            <w:pPr>
              <w:pStyle w:val="yTable"/>
            </w:pPr>
            <w:r>
              <w:t>(B)</w:t>
            </w:r>
          </w:p>
        </w:tc>
        <w:tc>
          <w:tcPr>
            <w:tcW w:w="2127" w:type="dxa"/>
          </w:tcPr>
          <w:p>
            <w:pPr>
              <w:pStyle w:val="yTable"/>
            </w:pPr>
            <w:r>
              <w:t>If vessel is to be issued with an additional class or plans are changed to change class of the vessel or to add a class, fee for examination of plans:</w:t>
            </w:r>
          </w:p>
        </w:tc>
        <w:tc>
          <w:tcPr>
            <w:tcW w:w="1842" w:type="dxa"/>
          </w:tcPr>
          <w:p>
            <w:pPr>
              <w:pStyle w:val="yTable"/>
              <w:tabs>
                <w:tab w:val="left" w:pos="312"/>
              </w:tabs>
              <w:ind w:left="312" w:hanging="425"/>
              <w:rPr>
                <w:shd w:val="clear" w:color="auto" w:fill="FFFF00"/>
              </w:rPr>
            </w:pPr>
            <w:r>
              <w:t>(a)</w:t>
            </w:r>
            <w:r>
              <w:tab/>
            </w:r>
            <w:r>
              <w:rPr>
                <w:rFonts w:ascii="Times" w:hAnsi="Times"/>
              </w:rPr>
              <w:t>$112.10/hour</w:t>
            </w:r>
            <w:r>
              <w:t>; or</w:t>
            </w:r>
          </w:p>
          <w:p>
            <w:pPr>
              <w:pStyle w:val="yTable"/>
              <w:tabs>
                <w:tab w:val="left" w:pos="312"/>
              </w:tabs>
              <w:ind w:left="312" w:hanging="425"/>
              <w:rPr>
                <w:spacing w:val="-4"/>
              </w:rPr>
            </w:pPr>
            <w:r>
              <w:t>(b)</w:t>
            </w:r>
            <w:r>
              <w:tab/>
            </w:r>
            <w:r>
              <w:rPr>
                <w:spacing w:val="-4"/>
              </w:rPr>
              <w:t xml:space="preserve">the sum of the amounts set out in item </w:t>
            </w:r>
            <w:r>
              <w:rPr>
                <w:spacing w:val="-4"/>
                <w:sz w:val="20"/>
              </w:rPr>
              <w:t>1(b)(ii)(H)(I) and (II),</w:t>
            </w:r>
          </w:p>
          <w:p>
            <w:pPr>
              <w:pStyle w:val="yTable"/>
              <w:tabs>
                <w:tab w:val="left" w:pos="454"/>
              </w:tabs>
              <w:ind w:left="-113"/>
            </w:pPr>
            <w:r>
              <w:rPr>
                <w:spacing w:val="-4"/>
              </w:rPr>
              <w:t>whichever is greater</w:t>
            </w:r>
          </w:p>
        </w:tc>
      </w:tr>
      <w:tr>
        <w:trPr>
          <w:cantSplit/>
        </w:trPr>
        <w:tc>
          <w:tcPr>
            <w:tcW w:w="708" w:type="dxa"/>
          </w:tcPr>
          <w:p>
            <w:pPr>
              <w:pStyle w:val="yTable"/>
            </w:pPr>
            <w:r>
              <w:t>(C)</w:t>
            </w:r>
          </w:p>
        </w:tc>
        <w:tc>
          <w:tcPr>
            <w:tcW w:w="2127" w:type="dxa"/>
          </w:tcPr>
          <w:p>
            <w:pPr>
              <w:pStyle w:val="yTable"/>
            </w:pPr>
            <w:r>
              <w:t xml:space="preserve">If vessel is to be issued with a Classification Certificate in respect of its hull and machinery by a recognised Classification Society —  </w:t>
            </w:r>
          </w:p>
        </w:tc>
        <w:tc>
          <w:tcPr>
            <w:tcW w:w="1842" w:type="dxa"/>
          </w:tcPr>
          <w:p>
            <w:pPr>
              <w:pStyle w:val="yTable"/>
              <w:ind w:left="-113"/>
            </w:pPr>
          </w:p>
        </w:tc>
      </w:tr>
      <w:tr>
        <w:trPr>
          <w:cantSplit/>
        </w:trPr>
        <w:tc>
          <w:tcPr>
            <w:tcW w:w="708" w:type="dxa"/>
          </w:tcPr>
          <w:p>
            <w:pPr>
              <w:pStyle w:val="yTable"/>
            </w:pPr>
          </w:p>
        </w:tc>
        <w:tc>
          <w:tcPr>
            <w:tcW w:w="2127" w:type="dxa"/>
          </w:tcPr>
          <w:p>
            <w:pPr>
              <w:pStyle w:val="yTable"/>
              <w:ind w:left="454" w:hanging="454"/>
            </w:pPr>
            <w:r>
              <w:t>(I)</w:t>
            </w:r>
            <w:r>
              <w:tab/>
              <w:t>fee for examination of plans:</w:t>
            </w:r>
          </w:p>
        </w:tc>
        <w:tc>
          <w:tcPr>
            <w:tcW w:w="1842" w:type="dxa"/>
          </w:tcPr>
          <w:p>
            <w:pPr>
              <w:pStyle w:val="yTable"/>
              <w:ind w:left="-113"/>
            </w:pPr>
            <w:r>
              <w:t>50% of fee for examination of plans set out in item 1(a)</w:t>
            </w:r>
          </w:p>
        </w:tc>
      </w:tr>
      <w:tr>
        <w:trPr>
          <w:cantSplit/>
        </w:trPr>
        <w:tc>
          <w:tcPr>
            <w:tcW w:w="708" w:type="dxa"/>
          </w:tcPr>
          <w:p>
            <w:pPr>
              <w:pStyle w:val="yTable"/>
            </w:pPr>
          </w:p>
        </w:tc>
        <w:tc>
          <w:tcPr>
            <w:tcW w:w="2127" w:type="dxa"/>
          </w:tcPr>
          <w:p>
            <w:pPr>
              <w:pStyle w:val="yTable"/>
              <w:ind w:left="454" w:hanging="454"/>
            </w:pPr>
            <w:r>
              <w:t>(II)</w:t>
            </w:r>
            <w:r>
              <w:tab/>
              <w:t>fee for initial survey:</w:t>
            </w:r>
          </w:p>
        </w:tc>
        <w:tc>
          <w:tcPr>
            <w:tcW w:w="1842" w:type="dxa"/>
          </w:tcPr>
          <w:p>
            <w:pPr>
              <w:pStyle w:val="yTable"/>
              <w:ind w:left="-113"/>
            </w:pPr>
            <w:r>
              <w:t>50% of fee for initial survey set out in item 1(a)</w:t>
            </w:r>
          </w:p>
        </w:tc>
      </w:tr>
      <w:tr>
        <w:trPr>
          <w:cantSplit/>
        </w:trPr>
        <w:tc>
          <w:tcPr>
            <w:tcW w:w="708" w:type="dxa"/>
          </w:tcPr>
          <w:p>
            <w:pPr>
              <w:pStyle w:val="yTable"/>
            </w:pPr>
            <w:r>
              <w:t>(D)</w:t>
            </w:r>
          </w:p>
        </w:tc>
        <w:tc>
          <w:tcPr>
            <w:tcW w:w="2127" w:type="dxa"/>
          </w:tcPr>
          <w:p>
            <w:pPr>
              <w:pStyle w:val="yTable"/>
            </w:pPr>
            <w:r>
              <w:t>If vessel is to be issued with a Classification Certificate in respect of its hull only, or machinery only, by a recognised Classification Society — </w:t>
            </w:r>
          </w:p>
        </w:tc>
        <w:tc>
          <w:tcPr>
            <w:tcW w:w="1842" w:type="dxa"/>
          </w:tcPr>
          <w:p>
            <w:pPr>
              <w:pStyle w:val="yTable"/>
              <w:ind w:left="-113"/>
            </w:pPr>
          </w:p>
        </w:tc>
      </w:tr>
      <w:tr>
        <w:trPr>
          <w:cantSplit/>
        </w:trPr>
        <w:tc>
          <w:tcPr>
            <w:tcW w:w="708" w:type="dxa"/>
          </w:tcPr>
          <w:p>
            <w:pPr>
              <w:pStyle w:val="yTable"/>
            </w:pPr>
          </w:p>
        </w:tc>
        <w:tc>
          <w:tcPr>
            <w:tcW w:w="2127" w:type="dxa"/>
          </w:tcPr>
          <w:p>
            <w:pPr>
              <w:pStyle w:val="yTable"/>
              <w:ind w:left="454" w:hanging="454"/>
            </w:pPr>
            <w:r>
              <w:t>(I)</w:t>
            </w:r>
            <w:r>
              <w:tab/>
              <w:t>fee for examination of plans:</w:t>
            </w:r>
          </w:p>
        </w:tc>
        <w:tc>
          <w:tcPr>
            <w:tcW w:w="1842" w:type="dxa"/>
          </w:tcPr>
          <w:p>
            <w:pPr>
              <w:pStyle w:val="yTable"/>
              <w:ind w:left="-113"/>
            </w:pPr>
            <w:r>
              <w:t>75% of fee for examination of plans set out in item 1(a)</w:t>
            </w:r>
          </w:p>
        </w:tc>
      </w:tr>
      <w:tr>
        <w:trPr>
          <w:cantSplit/>
        </w:trPr>
        <w:tc>
          <w:tcPr>
            <w:tcW w:w="708" w:type="dxa"/>
          </w:tcPr>
          <w:p>
            <w:pPr>
              <w:pStyle w:val="yTable"/>
            </w:pPr>
          </w:p>
        </w:tc>
        <w:tc>
          <w:tcPr>
            <w:tcW w:w="2127" w:type="dxa"/>
          </w:tcPr>
          <w:p>
            <w:pPr>
              <w:pStyle w:val="yTable"/>
              <w:ind w:left="454" w:hanging="454"/>
            </w:pPr>
            <w:r>
              <w:t>(II)</w:t>
            </w:r>
            <w:r>
              <w:tab/>
              <w:t>fee for initial survey:</w:t>
            </w:r>
          </w:p>
        </w:tc>
        <w:tc>
          <w:tcPr>
            <w:tcW w:w="1842" w:type="dxa"/>
          </w:tcPr>
          <w:p>
            <w:pPr>
              <w:pStyle w:val="yTable"/>
              <w:ind w:left="-113"/>
            </w:pPr>
            <w:r>
              <w:t>75% of fee for initial survey set out in item 1(a)</w:t>
            </w:r>
          </w:p>
        </w:tc>
      </w:tr>
      <w:tr>
        <w:trPr>
          <w:cantSplit/>
        </w:trPr>
        <w:tc>
          <w:tcPr>
            <w:tcW w:w="708" w:type="dxa"/>
          </w:tcPr>
          <w:p>
            <w:pPr>
              <w:pStyle w:val="yTable"/>
            </w:pPr>
            <w:r>
              <w:t>(E)</w:t>
            </w:r>
          </w:p>
        </w:tc>
        <w:tc>
          <w:tcPr>
            <w:tcW w:w="2127" w:type="dxa"/>
          </w:tcPr>
          <w:p>
            <w:pPr>
              <w:pStyle w:val="yTable"/>
            </w:pPr>
            <w:r>
              <w:t>Where a vessel is to be built and surveyed during construction to the Uniform Shipping Laws (USL) code, for hull structure only, the fee to be paid is —</w:t>
            </w:r>
          </w:p>
        </w:tc>
        <w:tc>
          <w:tcPr>
            <w:tcW w:w="1842" w:type="dxa"/>
          </w:tcPr>
          <w:p>
            <w:pPr>
              <w:pStyle w:val="yTable"/>
            </w:pPr>
          </w:p>
        </w:tc>
      </w:tr>
      <w:tr>
        <w:trPr>
          <w:cantSplit/>
        </w:trPr>
        <w:tc>
          <w:tcPr>
            <w:tcW w:w="708" w:type="dxa"/>
          </w:tcPr>
          <w:p>
            <w:pPr>
              <w:pStyle w:val="yTable"/>
            </w:pPr>
          </w:p>
        </w:tc>
        <w:tc>
          <w:tcPr>
            <w:tcW w:w="2127" w:type="dxa"/>
          </w:tcPr>
          <w:p>
            <w:pPr>
              <w:pStyle w:val="yTable"/>
              <w:ind w:left="454" w:hanging="454"/>
            </w:pPr>
            <w:r>
              <w:t>(I)</w:t>
            </w:r>
            <w:r>
              <w:tab/>
              <w:t>fee for examination of plans:</w:t>
            </w:r>
          </w:p>
        </w:tc>
        <w:tc>
          <w:tcPr>
            <w:tcW w:w="1842" w:type="dxa"/>
          </w:tcPr>
          <w:p>
            <w:pPr>
              <w:pStyle w:val="yTable"/>
              <w:ind w:left="-113"/>
            </w:pPr>
            <w:r>
              <w:t>50% of fee for examination of plans set out in item 1(a)</w:t>
            </w:r>
          </w:p>
        </w:tc>
      </w:tr>
      <w:tr>
        <w:trPr>
          <w:cantSplit/>
        </w:trPr>
        <w:tc>
          <w:tcPr>
            <w:tcW w:w="708" w:type="dxa"/>
          </w:tcPr>
          <w:p>
            <w:pPr>
              <w:pStyle w:val="yTable"/>
            </w:pPr>
          </w:p>
        </w:tc>
        <w:tc>
          <w:tcPr>
            <w:tcW w:w="2127" w:type="dxa"/>
          </w:tcPr>
          <w:p>
            <w:pPr>
              <w:pStyle w:val="yTable"/>
              <w:ind w:left="454" w:hanging="454"/>
            </w:pPr>
            <w:r>
              <w:t>(II)</w:t>
            </w:r>
            <w:r>
              <w:tab/>
              <w:t>fee for initial survey:</w:t>
            </w:r>
          </w:p>
        </w:tc>
        <w:tc>
          <w:tcPr>
            <w:tcW w:w="1842" w:type="dxa"/>
          </w:tcPr>
          <w:p>
            <w:pPr>
              <w:pStyle w:val="yTable"/>
              <w:ind w:left="-113"/>
            </w:pPr>
            <w:r>
              <w:t>50% of fee for initial survey set out in item 1(a)</w:t>
            </w:r>
          </w:p>
        </w:tc>
      </w:tr>
      <w:tr>
        <w:trPr>
          <w:cantSplit/>
        </w:trPr>
        <w:tc>
          <w:tcPr>
            <w:tcW w:w="708" w:type="dxa"/>
          </w:tcPr>
          <w:p>
            <w:pPr>
              <w:pStyle w:val="yTable"/>
              <w:ind w:left="-113" w:right="-113" w:firstLine="113"/>
            </w:pPr>
            <w:r>
              <w:t>(F)</w:t>
            </w:r>
          </w:p>
        </w:tc>
        <w:tc>
          <w:tcPr>
            <w:tcW w:w="2127" w:type="dxa"/>
          </w:tcPr>
          <w:p>
            <w:pPr>
              <w:pStyle w:val="yTable"/>
            </w:pPr>
            <w:r>
              <w:t>Where a vessel is to be built and surveyed during construction to the Uniform Shipping Laws (USL) code, for hull structure and machinery only, the fee to be paid is —</w:t>
            </w:r>
          </w:p>
        </w:tc>
        <w:tc>
          <w:tcPr>
            <w:tcW w:w="1842" w:type="dxa"/>
          </w:tcPr>
          <w:p>
            <w:pPr>
              <w:pStyle w:val="yTable"/>
            </w:pPr>
          </w:p>
        </w:tc>
      </w:tr>
      <w:tr>
        <w:trPr>
          <w:cantSplit/>
        </w:trPr>
        <w:tc>
          <w:tcPr>
            <w:tcW w:w="708" w:type="dxa"/>
          </w:tcPr>
          <w:p>
            <w:pPr>
              <w:pStyle w:val="yTable"/>
            </w:pPr>
          </w:p>
        </w:tc>
        <w:tc>
          <w:tcPr>
            <w:tcW w:w="2127" w:type="dxa"/>
          </w:tcPr>
          <w:p>
            <w:pPr>
              <w:pStyle w:val="yTable"/>
              <w:ind w:left="454" w:hanging="454"/>
            </w:pPr>
            <w:r>
              <w:t>(I)</w:t>
            </w:r>
            <w:r>
              <w:tab/>
              <w:t>fee for examination of plans:</w:t>
            </w:r>
          </w:p>
        </w:tc>
        <w:tc>
          <w:tcPr>
            <w:tcW w:w="1842" w:type="dxa"/>
          </w:tcPr>
          <w:p>
            <w:pPr>
              <w:pStyle w:val="yTable"/>
              <w:ind w:left="-113"/>
            </w:pPr>
            <w:r>
              <w:t>75% of fee for examination of plans set out in item 1(a)</w:t>
            </w:r>
          </w:p>
        </w:tc>
      </w:tr>
      <w:tr>
        <w:trPr>
          <w:cantSplit/>
        </w:trPr>
        <w:tc>
          <w:tcPr>
            <w:tcW w:w="708" w:type="dxa"/>
          </w:tcPr>
          <w:p>
            <w:pPr>
              <w:pStyle w:val="yTable"/>
            </w:pPr>
          </w:p>
        </w:tc>
        <w:tc>
          <w:tcPr>
            <w:tcW w:w="2127" w:type="dxa"/>
          </w:tcPr>
          <w:p>
            <w:pPr>
              <w:pStyle w:val="yTable"/>
              <w:ind w:left="454" w:hanging="454"/>
            </w:pPr>
            <w:r>
              <w:t>(II)</w:t>
            </w:r>
            <w:r>
              <w:tab/>
              <w:t>fee for initial survey:</w:t>
            </w:r>
          </w:p>
        </w:tc>
        <w:tc>
          <w:tcPr>
            <w:tcW w:w="1842" w:type="dxa"/>
          </w:tcPr>
          <w:p>
            <w:pPr>
              <w:pStyle w:val="yTable"/>
              <w:ind w:left="-113"/>
            </w:pPr>
            <w:r>
              <w:t>75% of fee for initial survey set out in item 1(a)</w:t>
            </w:r>
          </w:p>
        </w:tc>
      </w:tr>
      <w:tr>
        <w:trPr>
          <w:cantSplit/>
        </w:trPr>
        <w:tc>
          <w:tcPr>
            <w:tcW w:w="708" w:type="dxa"/>
          </w:tcPr>
          <w:p>
            <w:pPr>
              <w:pStyle w:val="yTable"/>
              <w:ind w:left="-113" w:right="-113" w:firstLine="113"/>
            </w:pPr>
            <w:r>
              <w:t>(G)</w:t>
            </w:r>
          </w:p>
        </w:tc>
        <w:tc>
          <w:tcPr>
            <w:tcW w:w="2127" w:type="dxa"/>
            <w:tcBorders>
              <w:bottom w:val="nil"/>
            </w:tcBorders>
          </w:tcPr>
          <w:p>
            <w:pPr>
              <w:pStyle w:val="yTable"/>
            </w:pPr>
            <w:r>
              <w:t>Where a vessel that has been built and surveyed during construction to the Uniform Shipping Laws (USL) code, for hull structure and machinery only, and is now surveyed for fire, safety and miscellaneous equipment, the fee to be paid is —</w:t>
            </w:r>
          </w:p>
        </w:tc>
        <w:tc>
          <w:tcPr>
            <w:tcW w:w="1842" w:type="dxa"/>
          </w:tcPr>
          <w:p>
            <w:pPr>
              <w:pStyle w:val="yTable"/>
            </w:pPr>
          </w:p>
        </w:tc>
      </w:tr>
      <w:tr>
        <w:trPr>
          <w:cantSplit/>
        </w:trPr>
        <w:tc>
          <w:tcPr>
            <w:tcW w:w="708" w:type="dxa"/>
          </w:tcPr>
          <w:p>
            <w:pPr>
              <w:pStyle w:val="yTable"/>
              <w:ind w:left="-113" w:right="-113" w:firstLine="113"/>
            </w:pPr>
          </w:p>
        </w:tc>
        <w:tc>
          <w:tcPr>
            <w:tcW w:w="2127" w:type="dxa"/>
          </w:tcPr>
          <w:p>
            <w:pPr>
              <w:pStyle w:val="yTable"/>
              <w:ind w:left="454" w:hanging="454"/>
            </w:pPr>
            <w:r>
              <w:t>(I)</w:t>
            </w:r>
            <w:r>
              <w:tab/>
              <w:t>fee for examination of plans:</w:t>
            </w:r>
          </w:p>
        </w:tc>
        <w:tc>
          <w:tcPr>
            <w:tcW w:w="1842" w:type="dxa"/>
          </w:tcPr>
          <w:p>
            <w:pPr>
              <w:pStyle w:val="yTable"/>
              <w:ind w:left="-113"/>
            </w:pPr>
            <w:r>
              <w:t>25% of fee for examination of plans set out in item 1(a)</w:t>
            </w:r>
          </w:p>
        </w:tc>
      </w:tr>
      <w:tr>
        <w:trPr>
          <w:cantSplit/>
        </w:trPr>
        <w:tc>
          <w:tcPr>
            <w:tcW w:w="708" w:type="dxa"/>
          </w:tcPr>
          <w:p>
            <w:pPr>
              <w:pStyle w:val="yTable"/>
              <w:ind w:left="-113" w:right="-113" w:firstLine="113"/>
            </w:pPr>
          </w:p>
        </w:tc>
        <w:tc>
          <w:tcPr>
            <w:tcW w:w="2127" w:type="dxa"/>
          </w:tcPr>
          <w:p>
            <w:pPr>
              <w:pStyle w:val="yTable"/>
              <w:ind w:left="454" w:hanging="454"/>
            </w:pPr>
            <w:r>
              <w:t>(II)</w:t>
            </w:r>
            <w:r>
              <w:tab/>
              <w:t>fee for initial survey:</w:t>
            </w:r>
          </w:p>
        </w:tc>
        <w:tc>
          <w:tcPr>
            <w:tcW w:w="1842" w:type="dxa"/>
          </w:tcPr>
          <w:p>
            <w:pPr>
              <w:pStyle w:val="yTable"/>
              <w:ind w:left="-113"/>
            </w:pPr>
            <w:r>
              <w:t>25% of fee for initial survey set out in item 1(a)</w:t>
            </w:r>
          </w:p>
        </w:tc>
      </w:tr>
      <w:tr>
        <w:trPr>
          <w:cantSplit/>
        </w:trPr>
        <w:tc>
          <w:tcPr>
            <w:tcW w:w="708" w:type="dxa"/>
          </w:tcPr>
          <w:p>
            <w:pPr>
              <w:pStyle w:val="yTable"/>
              <w:ind w:left="-113" w:right="-113" w:firstLine="113"/>
            </w:pPr>
            <w:r>
              <w:t>(H)</w:t>
            </w:r>
          </w:p>
        </w:tc>
        <w:tc>
          <w:tcPr>
            <w:tcW w:w="2127" w:type="dxa"/>
          </w:tcPr>
          <w:p>
            <w:pPr>
              <w:pStyle w:val="yTable"/>
            </w:pPr>
            <w:r>
              <w:t xml:space="preserve">If vessel is a commercial ski boat — </w:t>
            </w:r>
          </w:p>
        </w:tc>
        <w:tc>
          <w:tcPr>
            <w:tcW w:w="1842" w:type="dxa"/>
          </w:tcPr>
          <w:p>
            <w:pPr>
              <w:pStyle w:val="yTable"/>
            </w:pPr>
          </w:p>
        </w:tc>
      </w:tr>
      <w:tr>
        <w:trPr>
          <w:cantSplit/>
        </w:trPr>
        <w:tc>
          <w:tcPr>
            <w:tcW w:w="708" w:type="dxa"/>
          </w:tcPr>
          <w:p>
            <w:pPr>
              <w:pStyle w:val="yTable"/>
            </w:pPr>
          </w:p>
        </w:tc>
        <w:tc>
          <w:tcPr>
            <w:tcW w:w="2127" w:type="dxa"/>
          </w:tcPr>
          <w:p>
            <w:pPr>
              <w:pStyle w:val="yTable"/>
              <w:ind w:left="454" w:hanging="454"/>
            </w:pPr>
            <w:r>
              <w:t>(I)</w:t>
            </w:r>
            <w:r>
              <w:tab/>
              <w:t>fee for examination of plans:</w:t>
            </w:r>
          </w:p>
        </w:tc>
        <w:tc>
          <w:tcPr>
            <w:tcW w:w="1842" w:type="dxa"/>
          </w:tcPr>
          <w:p>
            <w:pPr>
              <w:pStyle w:val="yTable"/>
              <w:ind w:left="-113"/>
            </w:pPr>
            <w:r>
              <w:t>50% of fee for examination of plans set out in item 1(a)</w:t>
            </w:r>
          </w:p>
        </w:tc>
      </w:tr>
      <w:tr>
        <w:trPr>
          <w:cantSplit/>
        </w:trPr>
        <w:tc>
          <w:tcPr>
            <w:tcW w:w="708" w:type="dxa"/>
          </w:tcPr>
          <w:p>
            <w:pPr>
              <w:pStyle w:val="yTable"/>
            </w:pPr>
          </w:p>
        </w:tc>
        <w:tc>
          <w:tcPr>
            <w:tcW w:w="2127" w:type="dxa"/>
          </w:tcPr>
          <w:p>
            <w:pPr>
              <w:pStyle w:val="yTable"/>
              <w:ind w:left="454" w:hanging="454"/>
            </w:pPr>
            <w:r>
              <w:t>(II)</w:t>
            </w:r>
            <w:r>
              <w:tab/>
              <w:t>fee for initial survey:</w:t>
            </w:r>
          </w:p>
        </w:tc>
        <w:tc>
          <w:tcPr>
            <w:tcW w:w="1842" w:type="dxa"/>
          </w:tcPr>
          <w:p>
            <w:pPr>
              <w:pStyle w:val="yTable"/>
              <w:ind w:left="-113"/>
            </w:pPr>
            <w:r>
              <w:t>100% of fee for subsequent survey set out in item 1(a)</w:t>
            </w:r>
          </w:p>
        </w:tc>
      </w:tr>
      <w:tr>
        <w:trPr>
          <w:cantSplit/>
        </w:trPr>
        <w:tc>
          <w:tcPr>
            <w:tcW w:w="708" w:type="dxa"/>
          </w:tcPr>
          <w:p>
            <w:pPr>
              <w:pStyle w:val="yTable"/>
              <w:ind w:left="-113" w:right="-113" w:firstLine="113"/>
            </w:pPr>
            <w:r>
              <w:t>(I)</w:t>
            </w:r>
          </w:p>
        </w:tc>
        <w:tc>
          <w:tcPr>
            <w:tcW w:w="2127" w:type="dxa"/>
          </w:tcPr>
          <w:p>
            <w:pPr>
              <w:pStyle w:val="yTable"/>
              <w:rPr>
                <w:spacing w:val="-4"/>
              </w:rPr>
            </w:pPr>
            <w:r>
              <w:rPr>
                <w:spacing w:val="-4"/>
              </w:rPr>
              <w:t xml:space="preserve">If an application for a new vessel claims that it is to be built in accordance with plans, or in accordance with the structure or machinery plans, of an existing vessel, or one under construction, the examination of plans fee is as follows — </w:t>
            </w:r>
          </w:p>
        </w:tc>
        <w:tc>
          <w:tcPr>
            <w:tcW w:w="1842" w:type="dxa"/>
          </w:tcPr>
          <w:p>
            <w:pPr>
              <w:pStyle w:val="yTable"/>
            </w:pPr>
          </w:p>
        </w:tc>
      </w:tr>
      <w:tr>
        <w:trPr>
          <w:cantSplit/>
        </w:trPr>
        <w:tc>
          <w:tcPr>
            <w:tcW w:w="708" w:type="dxa"/>
          </w:tcPr>
          <w:p>
            <w:pPr>
              <w:pStyle w:val="yTable"/>
            </w:pPr>
          </w:p>
        </w:tc>
        <w:tc>
          <w:tcPr>
            <w:tcW w:w="2127" w:type="dxa"/>
          </w:tcPr>
          <w:p>
            <w:pPr>
              <w:pStyle w:val="yTable"/>
              <w:ind w:left="454" w:hanging="454"/>
            </w:pPr>
            <w:r>
              <w:t>(I)</w:t>
            </w:r>
            <w:r>
              <w:tab/>
              <w:t>where there are common structure plans:</w:t>
            </w:r>
          </w:p>
        </w:tc>
        <w:tc>
          <w:tcPr>
            <w:tcW w:w="1842" w:type="dxa"/>
          </w:tcPr>
          <w:p>
            <w:pPr>
              <w:pStyle w:val="yTable"/>
              <w:ind w:left="-113"/>
            </w:pPr>
            <w:r>
              <w:t>75% of fee for examination of plans set out in item 1(a)</w:t>
            </w:r>
          </w:p>
        </w:tc>
      </w:tr>
      <w:tr>
        <w:trPr>
          <w:cantSplit/>
        </w:trPr>
        <w:tc>
          <w:tcPr>
            <w:tcW w:w="708" w:type="dxa"/>
          </w:tcPr>
          <w:p>
            <w:pPr>
              <w:pStyle w:val="yTable"/>
            </w:pPr>
          </w:p>
        </w:tc>
        <w:tc>
          <w:tcPr>
            <w:tcW w:w="2127" w:type="dxa"/>
          </w:tcPr>
          <w:p>
            <w:pPr>
              <w:pStyle w:val="yTable"/>
              <w:ind w:left="454" w:hanging="454"/>
            </w:pPr>
            <w:r>
              <w:t>(II)</w:t>
            </w:r>
            <w:r>
              <w:tab/>
              <w:t>where there are common structure and machinery plans:</w:t>
            </w:r>
          </w:p>
        </w:tc>
        <w:tc>
          <w:tcPr>
            <w:tcW w:w="1842" w:type="dxa"/>
          </w:tcPr>
          <w:p>
            <w:pPr>
              <w:pStyle w:val="yTable"/>
              <w:ind w:left="-113"/>
            </w:pPr>
            <w:r>
              <w:t>50% of fee for subsequent survey set out in item 1(a)</w:t>
            </w:r>
          </w:p>
        </w:tc>
      </w:tr>
      <w:tr>
        <w:trPr>
          <w:cantSplit/>
        </w:trPr>
        <w:tc>
          <w:tcPr>
            <w:tcW w:w="708" w:type="dxa"/>
          </w:tcPr>
          <w:p>
            <w:pPr>
              <w:pStyle w:val="yTable"/>
            </w:pPr>
          </w:p>
        </w:tc>
        <w:tc>
          <w:tcPr>
            <w:tcW w:w="2127" w:type="dxa"/>
          </w:tcPr>
          <w:p>
            <w:pPr>
              <w:pStyle w:val="yTable"/>
              <w:ind w:left="454" w:hanging="454"/>
            </w:pPr>
            <w:r>
              <w:t>(III)</w:t>
            </w:r>
            <w:r>
              <w:tab/>
              <w:t>where there are fully common plans:</w:t>
            </w:r>
          </w:p>
        </w:tc>
        <w:tc>
          <w:tcPr>
            <w:tcW w:w="1842" w:type="dxa"/>
          </w:tcPr>
          <w:p>
            <w:pPr>
              <w:pStyle w:val="yTable"/>
              <w:ind w:left="-113"/>
            </w:pPr>
            <w:r>
              <w:t>no plan approval fee is payable</w:t>
            </w:r>
          </w:p>
        </w:tc>
      </w:tr>
    </w:tbl>
    <w:p>
      <w:pPr>
        <w:pStyle w:val="yIndenta"/>
      </w:pPr>
      <w:r>
        <w:tab/>
        <w:t>(ii)</w:t>
      </w:r>
      <w:r>
        <w:tab/>
        <w:t>for existing vessels —</w:t>
      </w:r>
    </w:p>
    <w:tbl>
      <w:tblPr>
        <w:tblW w:w="0" w:type="auto"/>
        <w:tblInd w:w="1673" w:type="dxa"/>
        <w:tblLayout w:type="fixed"/>
        <w:tblCellMar>
          <w:left w:w="113" w:type="dxa"/>
          <w:right w:w="113" w:type="dxa"/>
        </w:tblCellMar>
        <w:tblLook w:val="0000" w:firstRow="0" w:lastRow="0" w:firstColumn="0" w:lastColumn="0" w:noHBand="0" w:noVBand="0"/>
      </w:tblPr>
      <w:tblGrid>
        <w:gridCol w:w="708"/>
        <w:gridCol w:w="2127"/>
        <w:gridCol w:w="1842"/>
      </w:tblGrid>
      <w:tr>
        <w:trPr>
          <w:cantSplit/>
        </w:trPr>
        <w:tc>
          <w:tcPr>
            <w:tcW w:w="708" w:type="dxa"/>
          </w:tcPr>
          <w:p>
            <w:pPr>
              <w:pStyle w:val="yTable"/>
            </w:pPr>
            <w:r>
              <w:t>(A)</w:t>
            </w:r>
          </w:p>
        </w:tc>
        <w:tc>
          <w:tcPr>
            <w:tcW w:w="2127" w:type="dxa"/>
          </w:tcPr>
          <w:p>
            <w:pPr>
              <w:pStyle w:val="yTable"/>
              <w:rPr>
                <w:spacing w:val="-4"/>
              </w:rPr>
            </w:pPr>
            <w:r>
              <w:rPr>
                <w:spacing w:val="-4"/>
              </w:rPr>
              <w:t>The fee for annual or subsequent survey provides for the initial survey and one further inspection to clear a deficiency notice. Fee for a second and each further inspection to complete a survey:</w:t>
            </w:r>
          </w:p>
        </w:tc>
        <w:tc>
          <w:tcPr>
            <w:tcW w:w="1842" w:type="dxa"/>
          </w:tcPr>
          <w:p>
            <w:pPr>
              <w:pStyle w:val="yTable"/>
              <w:ind w:left="-113"/>
            </w:pPr>
            <w:r>
              <w:rPr>
                <w:spacing w:val="-4"/>
              </w:rPr>
              <w:br/>
            </w:r>
            <w:r>
              <w:rPr>
                <w:spacing w:val="-4"/>
              </w:rPr>
              <w:br/>
            </w:r>
            <w:r>
              <w:rPr>
                <w:spacing w:val="-4"/>
              </w:rPr>
              <w:br/>
            </w:r>
            <w:r>
              <w:rPr>
                <w:spacing w:val="-4"/>
              </w:rPr>
              <w:br/>
            </w:r>
            <w:r>
              <w:rPr>
                <w:spacing w:val="-4"/>
              </w:rPr>
              <w:br/>
            </w:r>
            <w:r>
              <w:rPr>
                <w:spacing w:val="-4"/>
              </w:rPr>
              <w:br/>
            </w:r>
            <w:r>
              <w:rPr>
                <w:spacing w:val="-4"/>
              </w:rPr>
              <w:br/>
            </w:r>
            <w:r>
              <w:rPr>
                <w:rFonts w:ascii="Times" w:hAnsi="Times"/>
              </w:rPr>
              <w:t>$112.10/hour</w:t>
            </w:r>
            <w:r>
              <w:t xml:space="preserve"> plus travel</w:t>
            </w:r>
            <w:r>
              <w:rPr>
                <w:spacing w:val="-4"/>
              </w:rPr>
              <w:t xml:space="preserve"> expens</w:t>
            </w:r>
            <w:r>
              <w:t>es</w:t>
            </w:r>
          </w:p>
        </w:tc>
      </w:tr>
      <w:tr>
        <w:trPr>
          <w:cantSplit/>
        </w:trPr>
        <w:tc>
          <w:tcPr>
            <w:tcW w:w="708" w:type="dxa"/>
          </w:tcPr>
          <w:p>
            <w:pPr>
              <w:pStyle w:val="yTable"/>
              <w:rPr>
                <w:sz w:val="18"/>
              </w:rPr>
            </w:pPr>
            <w:r>
              <w:t>(B)</w:t>
            </w:r>
          </w:p>
        </w:tc>
        <w:tc>
          <w:tcPr>
            <w:tcW w:w="2127" w:type="dxa"/>
          </w:tcPr>
          <w:p>
            <w:pPr>
              <w:pStyle w:val="yTable"/>
            </w:pPr>
            <w:r>
              <w:t>If vessel is in more than one class, fee for subsequent surveys:</w:t>
            </w:r>
          </w:p>
        </w:tc>
        <w:tc>
          <w:tcPr>
            <w:tcW w:w="1842" w:type="dxa"/>
          </w:tcPr>
          <w:p>
            <w:pPr>
              <w:pStyle w:val="yTable"/>
              <w:ind w:left="-113"/>
            </w:pPr>
            <w:r>
              <w:t>Fee for subsequent surveys set out in item 1(a) plus 50% of that fee for each additional class</w:t>
            </w:r>
          </w:p>
        </w:tc>
      </w:tr>
      <w:tr>
        <w:trPr>
          <w:cantSplit/>
        </w:trPr>
        <w:tc>
          <w:tcPr>
            <w:tcW w:w="708" w:type="dxa"/>
          </w:tcPr>
          <w:p>
            <w:pPr>
              <w:pStyle w:val="yTable"/>
              <w:rPr>
                <w:sz w:val="18"/>
              </w:rPr>
            </w:pPr>
            <w:r>
              <w:t>(C)</w:t>
            </w:r>
          </w:p>
        </w:tc>
        <w:tc>
          <w:tcPr>
            <w:tcW w:w="2127" w:type="dxa"/>
          </w:tcPr>
          <w:p>
            <w:pPr>
              <w:pStyle w:val="yTable"/>
            </w:pPr>
            <w:r>
              <w:t>If class of vessel to be changed or a class is to be added — </w:t>
            </w:r>
          </w:p>
        </w:tc>
        <w:tc>
          <w:tcPr>
            <w:tcW w:w="1842" w:type="dxa"/>
          </w:tcPr>
          <w:p>
            <w:pPr>
              <w:pStyle w:val="yTable"/>
              <w:ind w:left="-113"/>
            </w:pPr>
          </w:p>
        </w:tc>
      </w:tr>
      <w:tr>
        <w:trPr>
          <w:cantSplit/>
        </w:trPr>
        <w:tc>
          <w:tcPr>
            <w:tcW w:w="708" w:type="dxa"/>
          </w:tcPr>
          <w:p>
            <w:pPr>
              <w:pStyle w:val="yTable"/>
              <w:rPr>
                <w:sz w:val="18"/>
              </w:rPr>
            </w:pPr>
          </w:p>
        </w:tc>
        <w:tc>
          <w:tcPr>
            <w:tcW w:w="2127" w:type="dxa"/>
          </w:tcPr>
          <w:p>
            <w:pPr>
              <w:pStyle w:val="yTable"/>
              <w:ind w:left="454" w:hanging="454"/>
            </w:pPr>
            <w:r>
              <w:t>(I)</w:t>
            </w:r>
            <w:r>
              <w:tab/>
              <w:t>examination of plans:</w:t>
            </w:r>
          </w:p>
        </w:tc>
        <w:tc>
          <w:tcPr>
            <w:tcW w:w="1842" w:type="dxa"/>
          </w:tcPr>
          <w:p>
            <w:pPr>
              <w:pStyle w:val="yTable"/>
              <w:tabs>
                <w:tab w:val="left" w:pos="312"/>
              </w:tabs>
              <w:ind w:left="312" w:hanging="425"/>
            </w:pPr>
            <w:r>
              <w:rPr>
                <w:spacing w:val="-4"/>
              </w:rPr>
              <w:t>(a)</w:t>
            </w:r>
            <w:r>
              <w:rPr>
                <w:spacing w:val="-4"/>
              </w:rPr>
              <w:tab/>
            </w:r>
            <w:r>
              <w:rPr>
                <w:rFonts w:ascii="Times" w:hAnsi="Times"/>
              </w:rPr>
              <w:t>$112.10/hour</w:t>
            </w:r>
            <w:r>
              <w:rPr>
                <w:spacing w:val="-4"/>
              </w:rPr>
              <w:t xml:space="preserve"> plus fee for issue of new certificate of survey; or</w:t>
            </w:r>
          </w:p>
        </w:tc>
      </w:tr>
      <w:tr>
        <w:trPr>
          <w:cantSplit/>
        </w:trPr>
        <w:tc>
          <w:tcPr>
            <w:tcW w:w="708" w:type="dxa"/>
          </w:tcPr>
          <w:p>
            <w:pPr>
              <w:pStyle w:val="yTable"/>
              <w:rPr>
                <w:sz w:val="18"/>
              </w:rPr>
            </w:pPr>
          </w:p>
        </w:tc>
        <w:tc>
          <w:tcPr>
            <w:tcW w:w="2127" w:type="dxa"/>
          </w:tcPr>
          <w:p>
            <w:pPr>
              <w:pStyle w:val="yTable"/>
              <w:ind w:left="454" w:hanging="454"/>
            </w:pPr>
          </w:p>
        </w:tc>
        <w:tc>
          <w:tcPr>
            <w:tcW w:w="1842" w:type="dxa"/>
          </w:tcPr>
          <w:p>
            <w:pPr>
              <w:pStyle w:val="yTable"/>
              <w:tabs>
                <w:tab w:val="left" w:pos="312"/>
              </w:tabs>
              <w:ind w:left="312" w:hanging="425"/>
              <w:rPr>
                <w:spacing w:val="-4"/>
              </w:rPr>
            </w:pPr>
            <w:r>
              <w:rPr>
                <w:spacing w:val="-4"/>
              </w:rPr>
              <w:t>(b)</w:t>
            </w:r>
            <w:r>
              <w:rPr>
                <w:spacing w:val="-4"/>
              </w:rPr>
              <w:tab/>
              <w:t>the sum of the amounts set out in item 1(b)(ii)(H)</w:t>
            </w:r>
            <w:r>
              <w:rPr>
                <w:spacing w:val="-4"/>
              </w:rPr>
              <w:br/>
              <w:t>(I) and (II),</w:t>
            </w:r>
          </w:p>
          <w:p>
            <w:pPr>
              <w:pStyle w:val="yTable"/>
              <w:tabs>
                <w:tab w:val="left" w:pos="312"/>
              </w:tabs>
              <w:ind w:left="312" w:hanging="425"/>
              <w:rPr>
                <w:spacing w:val="-4"/>
              </w:rPr>
            </w:pPr>
            <w:r>
              <w:rPr>
                <w:spacing w:val="-4"/>
              </w:rPr>
              <w:t>whichever is greater</w:t>
            </w:r>
          </w:p>
        </w:tc>
      </w:tr>
      <w:tr>
        <w:trPr>
          <w:cantSplit/>
        </w:trPr>
        <w:tc>
          <w:tcPr>
            <w:tcW w:w="708" w:type="dxa"/>
          </w:tcPr>
          <w:p>
            <w:pPr>
              <w:pStyle w:val="yTable"/>
              <w:rPr>
                <w:sz w:val="18"/>
              </w:rPr>
            </w:pPr>
          </w:p>
        </w:tc>
        <w:tc>
          <w:tcPr>
            <w:tcW w:w="2127" w:type="dxa"/>
          </w:tcPr>
          <w:p>
            <w:pPr>
              <w:pStyle w:val="yTable"/>
              <w:tabs>
                <w:tab w:val="left" w:pos="454"/>
              </w:tabs>
            </w:pPr>
            <w:r>
              <w:t>(II)</w:t>
            </w:r>
            <w:r>
              <w:tab/>
              <w:t>conducting survey:</w:t>
            </w:r>
          </w:p>
        </w:tc>
        <w:tc>
          <w:tcPr>
            <w:tcW w:w="1842" w:type="dxa"/>
          </w:tcPr>
          <w:p>
            <w:pPr>
              <w:pStyle w:val="yTable"/>
              <w:tabs>
                <w:tab w:val="left" w:pos="312"/>
              </w:tabs>
              <w:ind w:left="312" w:hanging="425"/>
              <w:rPr>
                <w:spacing w:val="-4"/>
                <w:shd w:val="clear" w:color="auto" w:fill="FFFF00"/>
              </w:rPr>
            </w:pPr>
            <w:r>
              <w:rPr>
                <w:spacing w:val="-4"/>
              </w:rPr>
              <w:t>(a)</w:t>
            </w:r>
            <w:r>
              <w:rPr>
                <w:spacing w:val="-4"/>
              </w:rPr>
              <w:tab/>
            </w:r>
            <w:r>
              <w:rPr>
                <w:rFonts w:ascii="Times" w:hAnsi="Times"/>
              </w:rPr>
              <w:t>$112.10/hour</w:t>
            </w:r>
            <w:r>
              <w:rPr>
                <w:spacing w:val="-4"/>
              </w:rPr>
              <w:t>; or</w:t>
            </w:r>
          </w:p>
          <w:p>
            <w:pPr>
              <w:pStyle w:val="yTable"/>
              <w:tabs>
                <w:tab w:val="left" w:pos="312"/>
              </w:tabs>
              <w:ind w:left="312" w:hanging="425"/>
              <w:rPr>
                <w:spacing w:val="-4"/>
              </w:rPr>
            </w:pPr>
            <w:r>
              <w:rPr>
                <w:spacing w:val="-4"/>
              </w:rPr>
              <w:t>(b)</w:t>
            </w:r>
            <w:r>
              <w:rPr>
                <w:spacing w:val="-4"/>
              </w:rPr>
              <w:tab/>
              <w:t>the sum of the amounts set out in item 1(b)(ii)(H)</w:t>
            </w:r>
            <w:r>
              <w:rPr>
                <w:spacing w:val="-4"/>
              </w:rPr>
              <w:br/>
              <w:t>(I) and (II),</w:t>
            </w:r>
          </w:p>
          <w:p>
            <w:pPr>
              <w:pStyle w:val="yTable"/>
              <w:tabs>
                <w:tab w:val="left" w:pos="454"/>
              </w:tabs>
              <w:ind w:left="-113"/>
            </w:pPr>
            <w:r>
              <w:rPr>
                <w:spacing w:val="-4"/>
              </w:rPr>
              <w:t>whichever is greater</w:t>
            </w:r>
          </w:p>
        </w:tc>
      </w:tr>
      <w:tr>
        <w:trPr>
          <w:cantSplit/>
        </w:trPr>
        <w:tc>
          <w:tcPr>
            <w:tcW w:w="708" w:type="dxa"/>
          </w:tcPr>
          <w:p>
            <w:pPr>
              <w:pStyle w:val="yTable"/>
              <w:rPr>
                <w:sz w:val="18"/>
              </w:rPr>
            </w:pPr>
            <w:r>
              <w:t>(D)</w:t>
            </w:r>
          </w:p>
        </w:tc>
        <w:tc>
          <w:tcPr>
            <w:tcW w:w="2127" w:type="dxa"/>
          </w:tcPr>
          <w:p>
            <w:pPr>
              <w:pStyle w:val="yTable"/>
            </w:pPr>
            <w:r>
              <w:t xml:space="preserve">If vessel is to be surveyed for the first time in WA and has a current Classification Certificate in respect of its hull and machinery issued by a recognised Classification Society —  </w:t>
            </w:r>
          </w:p>
        </w:tc>
        <w:tc>
          <w:tcPr>
            <w:tcW w:w="1842" w:type="dxa"/>
          </w:tcPr>
          <w:p>
            <w:pPr>
              <w:pStyle w:val="yTable"/>
            </w:pPr>
          </w:p>
        </w:tc>
      </w:tr>
      <w:tr>
        <w:trPr>
          <w:cantSplit/>
        </w:trPr>
        <w:tc>
          <w:tcPr>
            <w:tcW w:w="708" w:type="dxa"/>
          </w:tcPr>
          <w:p>
            <w:pPr>
              <w:pStyle w:val="yTable"/>
              <w:rPr>
                <w:sz w:val="18"/>
              </w:rPr>
            </w:pPr>
          </w:p>
        </w:tc>
        <w:tc>
          <w:tcPr>
            <w:tcW w:w="2127" w:type="dxa"/>
          </w:tcPr>
          <w:p>
            <w:pPr>
              <w:pStyle w:val="yTable"/>
              <w:tabs>
                <w:tab w:val="left" w:pos="454"/>
              </w:tabs>
              <w:ind w:left="454" w:hanging="454"/>
            </w:pPr>
            <w:r>
              <w:t>(I)</w:t>
            </w:r>
            <w:r>
              <w:tab/>
              <w:t>fee for examination of plans:</w:t>
            </w:r>
          </w:p>
        </w:tc>
        <w:tc>
          <w:tcPr>
            <w:tcW w:w="1842" w:type="dxa"/>
          </w:tcPr>
          <w:p>
            <w:pPr>
              <w:pStyle w:val="yTable"/>
            </w:pPr>
            <w:r>
              <w:t>50% of fee for examination of plans set out in item 1(a)</w:t>
            </w:r>
          </w:p>
        </w:tc>
      </w:tr>
      <w:tr>
        <w:trPr>
          <w:cantSplit/>
        </w:trPr>
        <w:tc>
          <w:tcPr>
            <w:tcW w:w="708" w:type="dxa"/>
          </w:tcPr>
          <w:p>
            <w:pPr>
              <w:pStyle w:val="yTable"/>
              <w:rPr>
                <w:sz w:val="18"/>
              </w:rPr>
            </w:pPr>
          </w:p>
        </w:tc>
        <w:tc>
          <w:tcPr>
            <w:tcW w:w="2127" w:type="dxa"/>
          </w:tcPr>
          <w:p>
            <w:pPr>
              <w:pStyle w:val="yTable"/>
              <w:tabs>
                <w:tab w:val="left" w:pos="454"/>
              </w:tabs>
              <w:ind w:left="454" w:hanging="454"/>
            </w:pPr>
            <w:r>
              <w:t>(II)</w:t>
            </w:r>
            <w:r>
              <w:tab/>
              <w:t>fee for initial survey:</w:t>
            </w:r>
          </w:p>
        </w:tc>
        <w:tc>
          <w:tcPr>
            <w:tcW w:w="1842" w:type="dxa"/>
          </w:tcPr>
          <w:p>
            <w:pPr>
              <w:pStyle w:val="yTable"/>
            </w:pPr>
            <w:r>
              <w:t>50% of fee for initial survey set out in item 1(a)</w:t>
            </w:r>
          </w:p>
        </w:tc>
      </w:tr>
      <w:tr>
        <w:trPr>
          <w:cantSplit/>
        </w:trPr>
        <w:tc>
          <w:tcPr>
            <w:tcW w:w="708" w:type="dxa"/>
          </w:tcPr>
          <w:p>
            <w:pPr>
              <w:pStyle w:val="yTable"/>
            </w:pPr>
            <w:r>
              <w:t>(E)</w:t>
            </w:r>
          </w:p>
        </w:tc>
        <w:tc>
          <w:tcPr>
            <w:tcW w:w="2127" w:type="dxa"/>
          </w:tcPr>
          <w:p>
            <w:pPr>
              <w:pStyle w:val="yTable"/>
            </w:pPr>
            <w:r>
              <w:t xml:space="preserve">If vessel is to be surveyed for the first time in WA and has a current Classification Certificate in respect of its hull only, or machinery only, issued by a recognised Classification Society —  </w:t>
            </w:r>
          </w:p>
        </w:tc>
        <w:tc>
          <w:tcPr>
            <w:tcW w:w="1842" w:type="dxa"/>
          </w:tcPr>
          <w:p>
            <w:pPr>
              <w:pStyle w:val="yTable"/>
            </w:pPr>
          </w:p>
        </w:tc>
      </w:tr>
      <w:tr>
        <w:trPr>
          <w:cantSplit/>
        </w:trPr>
        <w:tc>
          <w:tcPr>
            <w:tcW w:w="708" w:type="dxa"/>
          </w:tcPr>
          <w:p>
            <w:pPr>
              <w:pStyle w:val="yTable"/>
              <w:rPr>
                <w:sz w:val="18"/>
              </w:rPr>
            </w:pPr>
          </w:p>
        </w:tc>
        <w:tc>
          <w:tcPr>
            <w:tcW w:w="2127" w:type="dxa"/>
          </w:tcPr>
          <w:p>
            <w:pPr>
              <w:pStyle w:val="yTable"/>
              <w:tabs>
                <w:tab w:val="left" w:pos="454"/>
              </w:tabs>
              <w:ind w:left="454" w:hanging="454"/>
            </w:pPr>
            <w:r>
              <w:t>(I)</w:t>
            </w:r>
            <w:r>
              <w:tab/>
              <w:t>fee for examination of plans:</w:t>
            </w:r>
          </w:p>
        </w:tc>
        <w:tc>
          <w:tcPr>
            <w:tcW w:w="1842" w:type="dxa"/>
          </w:tcPr>
          <w:p>
            <w:pPr>
              <w:pStyle w:val="yTable"/>
            </w:pPr>
            <w:r>
              <w:t>75% of fee for examination of plans set out in item 1(a)</w:t>
            </w:r>
          </w:p>
        </w:tc>
      </w:tr>
      <w:tr>
        <w:trPr>
          <w:cantSplit/>
        </w:trPr>
        <w:tc>
          <w:tcPr>
            <w:tcW w:w="708" w:type="dxa"/>
          </w:tcPr>
          <w:p>
            <w:pPr>
              <w:pStyle w:val="yTable"/>
              <w:rPr>
                <w:sz w:val="18"/>
              </w:rPr>
            </w:pPr>
          </w:p>
        </w:tc>
        <w:tc>
          <w:tcPr>
            <w:tcW w:w="2127" w:type="dxa"/>
          </w:tcPr>
          <w:p>
            <w:pPr>
              <w:pStyle w:val="yTable"/>
              <w:tabs>
                <w:tab w:val="left" w:pos="454"/>
              </w:tabs>
            </w:pPr>
            <w:r>
              <w:t>(II)</w:t>
            </w:r>
            <w:r>
              <w:tab/>
              <w:t>fee for initial survey:</w:t>
            </w:r>
          </w:p>
        </w:tc>
        <w:tc>
          <w:tcPr>
            <w:tcW w:w="1842" w:type="dxa"/>
          </w:tcPr>
          <w:p>
            <w:pPr>
              <w:pStyle w:val="yTable"/>
            </w:pPr>
            <w:r>
              <w:t>75% of fee for initial survey set out in item 1(a)</w:t>
            </w:r>
          </w:p>
        </w:tc>
      </w:tr>
      <w:tr>
        <w:trPr>
          <w:cantSplit/>
        </w:trPr>
        <w:tc>
          <w:tcPr>
            <w:tcW w:w="708" w:type="dxa"/>
          </w:tcPr>
          <w:p>
            <w:pPr>
              <w:pStyle w:val="yTable"/>
              <w:rPr>
                <w:sz w:val="18"/>
              </w:rPr>
            </w:pPr>
            <w:r>
              <w:t>(F</w:t>
            </w:r>
            <w:r>
              <w:rPr>
                <w:sz w:val="18"/>
              </w:rPr>
              <w:t>)</w:t>
            </w:r>
          </w:p>
        </w:tc>
        <w:tc>
          <w:tcPr>
            <w:tcW w:w="2127" w:type="dxa"/>
          </w:tcPr>
          <w:p>
            <w:pPr>
              <w:pStyle w:val="yTable"/>
              <w:tabs>
                <w:tab w:val="left" w:pos="454"/>
              </w:tabs>
            </w:pPr>
            <w:r>
              <w:t>If vessel has a current Classification Certificate in respect of its hull and machinery issued by a recognised Classification Society, fee for subsequent surveys:</w:t>
            </w:r>
          </w:p>
        </w:tc>
        <w:tc>
          <w:tcPr>
            <w:tcW w:w="1842" w:type="dxa"/>
          </w:tcPr>
          <w:p>
            <w:pPr>
              <w:pStyle w:val="yTable"/>
            </w:pPr>
            <w:r>
              <w:br/>
            </w:r>
            <w:r>
              <w:br/>
            </w:r>
            <w:r>
              <w:br/>
            </w:r>
            <w:r>
              <w:br/>
            </w:r>
            <w:r>
              <w:br/>
            </w:r>
            <w:r>
              <w:br/>
              <w:t>50% of fee for subsequent surveys set out in item 1(a)</w:t>
            </w:r>
          </w:p>
        </w:tc>
      </w:tr>
      <w:tr>
        <w:trPr>
          <w:cantSplit/>
        </w:trPr>
        <w:tc>
          <w:tcPr>
            <w:tcW w:w="708" w:type="dxa"/>
          </w:tcPr>
          <w:p>
            <w:pPr>
              <w:pStyle w:val="yTable"/>
            </w:pPr>
            <w:r>
              <w:t>(G)</w:t>
            </w:r>
          </w:p>
        </w:tc>
        <w:tc>
          <w:tcPr>
            <w:tcW w:w="2127" w:type="dxa"/>
          </w:tcPr>
          <w:p>
            <w:pPr>
              <w:pStyle w:val="yTable"/>
              <w:tabs>
                <w:tab w:val="left" w:pos="454"/>
              </w:tabs>
            </w:pPr>
            <w:r>
              <w:t>If vessel has a current Classification Certificate in respect of its hull only, or machinery only, issued by a recognised Classification Society, fee for subsequent surveys:</w:t>
            </w:r>
          </w:p>
        </w:tc>
        <w:tc>
          <w:tcPr>
            <w:tcW w:w="1842" w:type="dxa"/>
          </w:tcPr>
          <w:p>
            <w:pPr>
              <w:pStyle w:val="yTable"/>
            </w:pPr>
            <w:r>
              <w:br/>
            </w:r>
            <w:r>
              <w:br/>
            </w:r>
            <w:r>
              <w:br/>
            </w:r>
            <w:r>
              <w:br/>
            </w:r>
            <w:r>
              <w:br/>
            </w:r>
            <w:r>
              <w:br/>
            </w:r>
            <w:r>
              <w:br/>
              <w:t>75% of fee for subsequent surveys set out in item 1(a)</w:t>
            </w:r>
          </w:p>
        </w:tc>
      </w:tr>
      <w:tr>
        <w:trPr>
          <w:cantSplit/>
        </w:trPr>
        <w:tc>
          <w:tcPr>
            <w:tcW w:w="708" w:type="dxa"/>
          </w:tcPr>
          <w:p>
            <w:pPr>
              <w:pStyle w:val="yTable"/>
              <w:rPr>
                <w:sz w:val="18"/>
              </w:rPr>
            </w:pPr>
            <w:r>
              <w:t>(H)</w:t>
            </w:r>
          </w:p>
        </w:tc>
        <w:tc>
          <w:tcPr>
            <w:tcW w:w="2127" w:type="dxa"/>
          </w:tcPr>
          <w:p>
            <w:pPr>
              <w:pStyle w:val="yTable"/>
              <w:keepNext/>
              <w:tabs>
                <w:tab w:val="left" w:pos="454"/>
              </w:tabs>
            </w:pPr>
            <w:r>
              <w:t>If significant alterations are to be made to vessel —</w:t>
            </w:r>
          </w:p>
        </w:tc>
        <w:tc>
          <w:tcPr>
            <w:tcW w:w="1842" w:type="dxa"/>
          </w:tcPr>
          <w:p>
            <w:pPr>
              <w:pStyle w:val="yTable"/>
            </w:pPr>
          </w:p>
        </w:tc>
      </w:tr>
      <w:tr>
        <w:trPr>
          <w:cantSplit/>
        </w:trPr>
        <w:tc>
          <w:tcPr>
            <w:tcW w:w="708" w:type="dxa"/>
          </w:tcPr>
          <w:p>
            <w:pPr>
              <w:pStyle w:val="yTable"/>
            </w:pPr>
          </w:p>
        </w:tc>
        <w:tc>
          <w:tcPr>
            <w:tcW w:w="2127" w:type="dxa"/>
          </w:tcPr>
          <w:p>
            <w:pPr>
              <w:pStyle w:val="yTable"/>
              <w:widowControl w:val="0"/>
              <w:tabs>
                <w:tab w:val="left" w:pos="454"/>
              </w:tabs>
              <w:ind w:left="454" w:hanging="454"/>
              <w:rPr>
                <w:spacing w:val="-4"/>
              </w:rPr>
            </w:pPr>
            <w:r>
              <w:rPr>
                <w:spacing w:val="-4"/>
              </w:rPr>
              <w:t>(I)</w:t>
            </w:r>
            <w:r>
              <w:rPr>
                <w:spacing w:val="-4"/>
              </w:rPr>
              <w:tab/>
              <w:t>fee for examination of plans:</w:t>
            </w:r>
          </w:p>
        </w:tc>
        <w:tc>
          <w:tcPr>
            <w:tcW w:w="1842" w:type="dxa"/>
          </w:tcPr>
          <w:p>
            <w:pPr>
              <w:pStyle w:val="yTable"/>
              <w:tabs>
                <w:tab w:val="left" w:pos="313"/>
              </w:tabs>
              <w:rPr>
                <w:spacing w:val="-4"/>
              </w:rPr>
            </w:pPr>
            <w:r>
              <w:rPr>
                <w:spacing w:val="-4"/>
              </w:rPr>
              <w:t>10% of fee for examination of plans set out in item 1(a) if structure requires assessment plus a further 10% of that fee for each of the following that require reassessment —</w:t>
            </w:r>
          </w:p>
        </w:tc>
      </w:tr>
      <w:tr>
        <w:trPr>
          <w:cantSplit/>
        </w:trPr>
        <w:tc>
          <w:tcPr>
            <w:tcW w:w="708" w:type="dxa"/>
          </w:tcPr>
          <w:p>
            <w:pPr>
              <w:pStyle w:val="yTable"/>
            </w:pPr>
          </w:p>
        </w:tc>
        <w:tc>
          <w:tcPr>
            <w:tcW w:w="2127" w:type="dxa"/>
          </w:tcPr>
          <w:p>
            <w:pPr>
              <w:pStyle w:val="yTable"/>
              <w:widowControl w:val="0"/>
              <w:tabs>
                <w:tab w:val="left" w:pos="454"/>
              </w:tabs>
              <w:ind w:left="454" w:hanging="454"/>
            </w:pPr>
          </w:p>
        </w:tc>
        <w:tc>
          <w:tcPr>
            <w:tcW w:w="1842" w:type="dxa"/>
          </w:tcPr>
          <w:p>
            <w:pPr>
              <w:pStyle w:val="yTable"/>
              <w:tabs>
                <w:tab w:val="left" w:pos="313"/>
              </w:tabs>
              <w:rPr>
                <w:spacing w:val="-4"/>
              </w:rPr>
            </w:pPr>
            <w:r>
              <w:rPr>
                <w:spacing w:val="-4"/>
              </w:rPr>
              <w:sym w:font="Symbol" w:char="F0B7"/>
            </w:r>
            <w:r>
              <w:rPr>
                <w:spacing w:val="-4"/>
              </w:rPr>
              <w:t xml:space="preserve"> machinery</w:t>
            </w:r>
          </w:p>
          <w:p>
            <w:pPr>
              <w:pStyle w:val="yTable"/>
              <w:tabs>
                <w:tab w:val="left" w:pos="313"/>
              </w:tabs>
              <w:ind w:left="170" w:hanging="170"/>
              <w:rPr>
                <w:spacing w:val="-4"/>
              </w:rPr>
            </w:pPr>
            <w:r>
              <w:rPr>
                <w:spacing w:val="-4"/>
              </w:rPr>
              <w:sym w:font="Symbol" w:char="F0B7"/>
            </w:r>
            <w:r>
              <w:rPr>
                <w:spacing w:val="-4"/>
              </w:rPr>
              <w:t xml:space="preserve"> accommodation, water tight arrangements, or structural fire protection;</w:t>
            </w:r>
          </w:p>
          <w:p>
            <w:pPr>
              <w:pStyle w:val="yTable"/>
              <w:tabs>
                <w:tab w:val="left" w:pos="313"/>
              </w:tabs>
            </w:pPr>
            <w:r>
              <w:rPr>
                <w:spacing w:val="-4"/>
              </w:rPr>
              <w:sym w:font="Symbol" w:char="F0B7"/>
            </w:r>
            <w:r>
              <w:rPr>
                <w:spacing w:val="-4"/>
              </w:rPr>
              <w:t xml:space="preserve"> equipment</w:t>
            </w:r>
          </w:p>
        </w:tc>
      </w:tr>
      <w:tr>
        <w:trPr>
          <w:cantSplit/>
        </w:trPr>
        <w:tc>
          <w:tcPr>
            <w:tcW w:w="708" w:type="dxa"/>
            <w:tcBorders>
              <w:bottom w:val="nil"/>
            </w:tcBorders>
          </w:tcPr>
          <w:p>
            <w:pPr>
              <w:pStyle w:val="yTable"/>
            </w:pPr>
          </w:p>
        </w:tc>
        <w:tc>
          <w:tcPr>
            <w:tcW w:w="2127" w:type="dxa"/>
          </w:tcPr>
          <w:p>
            <w:pPr>
              <w:pStyle w:val="yTable"/>
              <w:widowControl w:val="0"/>
              <w:tabs>
                <w:tab w:val="left" w:pos="454"/>
              </w:tabs>
              <w:ind w:left="454" w:hanging="454"/>
              <w:rPr>
                <w:spacing w:val="-4"/>
              </w:rPr>
            </w:pPr>
            <w:r>
              <w:rPr>
                <w:spacing w:val="-4"/>
              </w:rPr>
              <w:t>(II)</w:t>
            </w:r>
            <w:r>
              <w:rPr>
                <w:spacing w:val="-4"/>
              </w:rPr>
              <w:tab/>
              <w:t>fee for initial survey:</w:t>
            </w:r>
          </w:p>
        </w:tc>
        <w:tc>
          <w:tcPr>
            <w:tcW w:w="1842" w:type="dxa"/>
          </w:tcPr>
          <w:p>
            <w:pPr>
              <w:pStyle w:val="yTable"/>
              <w:tabs>
                <w:tab w:val="left" w:pos="313"/>
              </w:tabs>
              <w:rPr>
                <w:spacing w:val="-4"/>
              </w:rPr>
            </w:pPr>
            <w:r>
              <w:rPr>
                <w:spacing w:val="-4"/>
              </w:rPr>
              <w:t>10% of fee for initial survey set out in item 1(a) if structure requires assessment plus a further 10% of that fee for each of the following that require reassessment —</w:t>
            </w:r>
          </w:p>
        </w:tc>
      </w:tr>
      <w:tr>
        <w:trPr>
          <w:cantSplit/>
        </w:trPr>
        <w:tc>
          <w:tcPr>
            <w:tcW w:w="708" w:type="dxa"/>
          </w:tcPr>
          <w:p>
            <w:pPr>
              <w:pStyle w:val="yTable"/>
              <w:rPr>
                <w:sz w:val="18"/>
              </w:rPr>
            </w:pPr>
          </w:p>
        </w:tc>
        <w:tc>
          <w:tcPr>
            <w:tcW w:w="2127" w:type="dxa"/>
            <w:vMerge w:val="restart"/>
          </w:tcPr>
          <w:p>
            <w:pPr>
              <w:pStyle w:val="yTable"/>
              <w:tabs>
                <w:tab w:val="left" w:pos="454"/>
              </w:tabs>
            </w:pPr>
          </w:p>
        </w:tc>
        <w:tc>
          <w:tcPr>
            <w:tcW w:w="1842" w:type="dxa"/>
            <w:vMerge w:val="restart"/>
          </w:tcPr>
          <w:p>
            <w:pPr>
              <w:pStyle w:val="yTable"/>
            </w:pPr>
            <w:r>
              <w:sym w:font="Symbol" w:char="F0B7"/>
            </w:r>
            <w:r>
              <w:t xml:space="preserve"> machinery</w:t>
            </w:r>
          </w:p>
          <w:p>
            <w:pPr>
              <w:pStyle w:val="yTable"/>
              <w:tabs>
                <w:tab w:val="left" w:pos="313"/>
              </w:tabs>
              <w:ind w:left="170" w:hanging="170"/>
            </w:pPr>
            <w:r>
              <w:sym w:font="Symbol" w:char="F0B7"/>
            </w:r>
            <w:r>
              <w:t xml:space="preserve"> accommodation, </w:t>
            </w:r>
            <w:r>
              <w:rPr>
                <w:spacing w:val="-4"/>
              </w:rPr>
              <w:t>water</w:t>
            </w:r>
            <w:r>
              <w:t xml:space="preserve"> tight arrangements, or structural fire protection;</w:t>
            </w:r>
          </w:p>
          <w:p>
            <w:pPr>
              <w:pStyle w:val="yTable"/>
              <w:tabs>
                <w:tab w:val="left" w:pos="313"/>
              </w:tabs>
            </w:pPr>
            <w:r>
              <w:sym w:font="Symbol" w:char="F0B7"/>
            </w:r>
            <w:r>
              <w:t xml:space="preserve"> equipment</w:t>
            </w:r>
          </w:p>
        </w:tc>
      </w:tr>
      <w:tr>
        <w:trPr>
          <w:cantSplit/>
        </w:trPr>
        <w:tc>
          <w:tcPr>
            <w:tcW w:w="708" w:type="dxa"/>
          </w:tcPr>
          <w:p>
            <w:pPr>
              <w:pStyle w:val="yTable"/>
              <w:rPr>
                <w:sz w:val="18"/>
              </w:rPr>
            </w:pPr>
          </w:p>
        </w:tc>
        <w:tc>
          <w:tcPr>
            <w:tcW w:w="2127" w:type="dxa"/>
            <w:vMerge/>
          </w:tcPr>
          <w:p>
            <w:pPr>
              <w:pStyle w:val="yTable"/>
              <w:tabs>
                <w:tab w:val="left" w:pos="454"/>
              </w:tabs>
            </w:pPr>
          </w:p>
        </w:tc>
        <w:tc>
          <w:tcPr>
            <w:tcW w:w="1842" w:type="dxa"/>
            <w:vMerge/>
          </w:tcPr>
          <w:p>
            <w:pPr>
              <w:pStyle w:val="yTable"/>
              <w:tabs>
                <w:tab w:val="left" w:pos="313"/>
              </w:tabs>
            </w:pPr>
          </w:p>
        </w:tc>
      </w:tr>
      <w:tr>
        <w:trPr>
          <w:cantSplit/>
        </w:trPr>
        <w:tc>
          <w:tcPr>
            <w:tcW w:w="708" w:type="dxa"/>
          </w:tcPr>
          <w:p>
            <w:pPr>
              <w:pStyle w:val="yTable"/>
            </w:pPr>
            <w:r>
              <w:t>(I)</w:t>
            </w:r>
          </w:p>
        </w:tc>
        <w:tc>
          <w:tcPr>
            <w:tcW w:w="2127" w:type="dxa"/>
          </w:tcPr>
          <w:p>
            <w:pPr>
              <w:pStyle w:val="yTable"/>
              <w:tabs>
                <w:tab w:val="left" w:pos="454"/>
              </w:tabs>
            </w:pPr>
            <w:r>
              <w:t>If Certificate of Survey previously issued in respect of vessel but not currently valid for the purposes of the Australian Marine Authority, the fee for reissue is —</w:t>
            </w:r>
          </w:p>
        </w:tc>
        <w:tc>
          <w:tcPr>
            <w:tcW w:w="1842" w:type="dxa"/>
          </w:tcPr>
          <w:p>
            <w:pPr>
              <w:pStyle w:val="yTable"/>
              <w:tabs>
                <w:tab w:val="left" w:pos="454"/>
              </w:tabs>
            </w:pPr>
          </w:p>
        </w:tc>
      </w:tr>
      <w:tr>
        <w:trPr>
          <w:cantSplit/>
        </w:trPr>
        <w:tc>
          <w:tcPr>
            <w:tcW w:w="708" w:type="dxa"/>
          </w:tcPr>
          <w:p>
            <w:pPr>
              <w:pStyle w:val="yTable"/>
              <w:tabs>
                <w:tab w:val="left" w:pos="454"/>
              </w:tabs>
            </w:pPr>
          </w:p>
        </w:tc>
        <w:tc>
          <w:tcPr>
            <w:tcW w:w="2127" w:type="dxa"/>
          </w:tcPr>
          <w:p>
            <w:pPr>
              <w:pStyle w:val="yTable"/>
              <w:tabs>
                <w:tab w:val="left" w:pos="454"/>
              </w:tabs>
              <w:ind w:left="454" w:hanging="454"/>
            </w:pPr>
            <w:r>
              <w:t>(I)</w:t>
            </w:r>
            <w:r>
              <w:tab/>
              <w:t>fee for examination of plans:</w:t>
            </w:r>
          </w:p>
        </w:tc>
        <w:tc>
          <w:tcPr>
            <w:tcW w:w="1842" w:type="dxa"/>
          </w:tcPr>
          <w:p>
            <w:pPr>
              <w:pStyle w:val="yTable"/>
            </w:pPr>
            <w:r>
              <w:t>50% of fee for examination of plans set out in item 1(a)</w:t>
            </w:r>
          </w:p>
        </w:tc>
      </w:tr>
      <w:tr>
        <w:trPr>
          <w:cantSplit/>
        </w:trPr>
        <w:tc>
          <w:tcPr>
            <w:tcW w:w="708" w:type="dxa"/>
          </w:tcPr>
          <w:p>
            <w:pPr>
              <w:pStyle w:val="yTable"/>
              <w:tabs>
                <w:tab w:val="left" w:pos="454"/>
              </w:tabs>
            </w:pPr>
          </w:p>
        </w:tc>
        <w:tc>
          <w:tcPr>
            <w:tcW w:w="2127" w:type="dxa"/>
          </w:tcPr>
          <w:p>
            <w:pPr>
              <w:pStyle w:val="yTable"/>
              <w:tabs>
                <w:tab w:val="left" w:pos="454"/>
              </w:tabs>
              <w:ind w:left="454" w:hanging="454"/>
            </w:pPr>
            <w:r>
              <w:t>(II)</w:t>
            </w:r>
            <w:r>
              <w:tab/>
              <w:t>fee for initial survey:</w:t>
            </w:r>
          </w:p>
        </w:tc>
        <w:tc>
          <w:tcPr>
            <w:tcW w:w="1842" w:type="dxa"/>
          </w:tcPr>
          <w:p>
            <w:pPr>
              <w:pStyle w:val="yTable"/>
            </w:pPr>
            <w:r>
              <w:t>150% of fee for subsequent survey set out in item 1(a)</w:t>
            </w:r>
          </w:p>
        </w:tc>
      </w:tr>
      <w:tr>
        <w:trPr>
          <w:cantSplit/>
        </w:trPr>
        <w:tc>
          <w:tcPr>
            <w:tcW w:w="708" w:type="dxa"/>
          </w:tcPr>
          <w:p>
            <w:pPr>
              <w:pStyle w:val="yTable"/>
            </w:pPr>
            <w:r>
              <w:t>(J)</w:t>
            </w:r>
          </w:p>
        </w:tc>
        <w:tc>
          <w:tcPr>
            <w:tcW w:w="2127" w:type="dxa"/>
          </w:tcPr>
          <w:p>
            <w:pPr>
              <w:pStyle w:val="yTable"/>
              <w:tabs>
                <w:tab w:val="left" w:pos="454"/>
              </w:tabs>
            </w:pPr>
            <w:r>
              <w:t>If vessel not fitted with deck structure or machinery:</w:t>
            </w:r>
          </w:p>
        </w:tc>
        <w:tc>
          <w:tcPr>
            <w:tcW w:w="1842" w:type="dxa"/>
          </w:tcPr>
          <w:p>
            <w:pPr>
              <w:pStyle w:val="yTable"/>
            </w:pPr>
            <w:r>
              <w:t>50% of fees set out in item 1(a) may apply</w:t>
            </w:r>
          </w:p>
        </w:tc>
      </w:tr>
    </w:tbl>
    <w:p>
      <w:pPr>
        <w:pStyle w:val="yTable"/>
        <w:rPr>
          <w:sz w:val="18"/>
        </w:rPr>
      </w:pPr>
      <w:r>
        <w:rPr>
          <w:sz w:val="18"/>
        </w:rPr>
        <w:t>Note:   Hourly fees are charged per hour or part thereof.</w:t>
      </w:r>
    </w:p>
    <w:p>
      <w:pPr>
        <w:pStyle w:val="yFootnotesection"/>
      </w:pPr>
      <w:r>
        <w:tab/>
        <w:t>[Clause 1 amended in Gazette 24 Jun 2005 p. 2785-6.]</w:t>
      </w:r>
    </w:p>
    <w:p>
      <w:pPr>
        <w:pStyle w:val="yHeading5"/>
      </w:pPr>
      <w:bookmarkStart w:id="140" w:name="_Toc107747036"/>
      <w:r>
        <w:rPr>
          <w:rStyle w:val="CharSClsNo"/>
        </w:rPr>
        <w:t>2</w:t>
      </w:r>
      <w:r>
        <w:t>.</w:t>
      </w:r>
      <w:r>
        <w:tab/>
        <w:t>Other Fees and Charges</w:t>
      </w:r>
      <w:bookmarkEnd w:id="140"/>
    </w:p>
    <w:p>
      <w:pPr>
        <w:pStyle w:val="ySubsection"/>
      </w:pPr>
      <w:r>
        <w:tab/>
      </w:r>
      <w:r>
        <w:tab/>
        <w:t>The following fees are payable in relation to the matters set out in this item —</w:t>
      </w:r>
    </w:p>
    <w:tbl>
      <w:tblPr>
        <w:tblW w:w="0" w:type="auto"/>
        <w:tblInd w:w="1464" w:type="dxa"/>
        <w:tblLayout w:type="fixed"/>
        <w:tblCellMar>
          <w:left w:w="0" w:type="dxa"/>
          <w:right w:w="0" w:type="dxa"/>
        </w:tblCellMar>
        <w:tblLook w:val="0000" w:firstRow="0" w:lastRow="0" w:firstColumn="0" w:lastColumn="0" w:noHBand="0" w:noVBand="0"/>
      </w:tblPr>
      <w:tblGrid>
        <w:gridCol w:w="3080"/>
        <w:gridCol w:w="56"/>
        <w:gridCol w:w="1504"/>
      </w:tblGrid>
      <w:tr>
        <w:trPr>
          <w:cantSplit/>
        </w:trPr>
        <w:tc>
          <w:tcPr>
            <w:tcW w:w="3136" w:type="dxa"/>
            <w:gridSpan w:val="2"/>
          </w:tcPr>
          <w:p>
            <w:pPr>
              <w:pStyle w:val="yTable"/>
              <w:spacing w:before="40" w:after="40"/>
              <w:ind w:left="556" w:right="283" w:hanging="523"/>
            </w:pPr>
            <w:r>
              <w:t>(a)</w:t>
            </w:r>
            <w:r>
              <w:tab/>
              <w:t>issue of certificate of survey where the Department accepts a certificate of survey issued by another marine authority</w:t>
            </w:r>
          </w:p>
        </w:tc>
        <w:tc>
          <w:tcPr>
            <w:tcW w:w="1504" w:type="dxa"/>
          </w:tcPr>
          <w:p>
            <w:pPr>
              <w:pStyle w:val="yTable"/>
              <w:spacing w:before="40" w:after="40"/>
              <w:ind w:right="284"/>
            </w:pPr>
            <w:r>
              <w:br/>
            </w:r>
            <w:r>
              <w:br/>
            </w:r>
            <w:r>
              <w:br/>
            </w:r>
            <w:r>
              <w:br/>
            </w:r>
            <w:r>
              <w:br/>
              <w:t>$81.90</w:t>
            </w:r>
          </w:p>
        </w:tc>
      </w:tr>
      <w:tr>
        <w:trPr>
          <w:cantSplit/>
        </w:trPr>
        <w:tc>
          <w:tcPr>
            <w:tcW w:w="3136" w:type="dxa"/>
            <w:gridSpan w:val="2"/>
          </w:tcPr>
          <w:p>
            <w:pPr>
              <w:pStyle w:val="yTable"/>
              <w:spacing w:before="40" w:after="40"/>
              <w:ind w:left="556" w:right="283" w:hanging="523"/>
            </w:pPr>
            <w:r>
              <w:t>(b)</w:t>
            </w:r>
            <w:r>
              <w:tab/>
              <w:t>extension of period of validity of certificate of survey</w:t>
            </w:r>
          </w:p>
        </w:tc>
        <w:tc>
          <w:tcPr>
            <w:tcW w:w="1504" w:type="dxa"/>
          </w:tcPr>
          <w:p>
            <w:pPr>
              <w:pStyle w:val="yTable"/>
              <w:spacing w:before="40" w:after="40"/>
              <w:ind w:right="284"/>
            </w:pPr>
            <w:r>
              <w:br/>
            </w:r>
            <w:r>
              <w:br/>
              <w:t>$81.90</w:t>
            </w:r>
          </w:p>
        </w:tc>
      </w:tr>
      <w:tr>
        <w:trPr>
          <w:cantSplit/>
        </w:trPr>
        <w:tc>
          <w:tcPr>
            <w:tcW w:w="3136" w:type="dxa"/>
            <w:gridSpan w:val="2"/>
          </w:tcPr>
          <w:p>
            <w:pPr>
              <w:pStyle w:val="yTable"/>
              <w:spacing w:before="40" w:after="40"/>
              <w:ind w:left="556" w:right="284" w:hanging="522"/>
            </w:pPr>
            <w:r>
              <w:t>(c)</w:t>
            </w:r>
            <w:r>
              <w:tab/>
              <w:t>issue of replacement or copy of certificate of survey</w:t>
            </w:r>
          </w:p>
        </w:tc>
        <w:tc>
          <w:tcPr>
            <w:tcW w:w="1504" w:type="dxa"/>
          </w:tcPr>
          <w:p>
            <w:pPr>
              <w:pStyle w:val="yTable"/>
              <w:spacing w:before="40" w:after="40"/>
              <w:ind w:right="284"/>
            </w:pPr>
            <w:r>
              <w:br/>
            </w:r>
            <w:r>
              <w:br/>
              <w:t>$81.90</w:t>
            </w:r>
          </w:p>
        </w:tc>
      </w:tr>
      <w:tr>
        <w:trPr>
          <w:cantSplit/>
        </w:trPr>
        <w:tc>
          <w:tcPr>
            <w:tcW w:w="3136" w:type="dxa"/>
            <w:gridSpan w:val="2"/>
          </w:tcPr>
          <w:p>
            <w:pPr>
              <w:pStyle w:val="yTable"/>
              <w:spacing w:before="40" w:after="40"/>
              <w:ind w:left="556" w:right="283" w:hanging="523"/>
            </w:pPr>
            <w:r>
              <w:t>(d)</w:t>
            </w:r>
            <w:r>
              <w:tab/>
              <w:t>pressure vessel — </w:t>
            </w:r>
          </w:p>
        </w:tc>
        <w:tc>
          <w:tcPr>
            <w:tcW w:w="1504" w:type="dxa"/>
          </w:tcPr>
          <w:p>
            <w:pPr>
              <w:pStyle w:val="yTable"/>
              <w:spacing w:before="40" w:after="40"/>
              <w:ind w:right="284"/>
            </w:pPr>
          </w:p>
        </w:tc>
      </w:tr>
      <w:tr>
        <w:trPr>
          <w:cantSplit/>
        </w:trPr>
        <w:tc>
          <w:tcPr>
            <w:tcW w:w="3136" w:type="dxa"/>
            <w:gridSpan w:val="2"/>
          </w:tcPr>
          <w:p>
            <w:pPr>
              <w:pStyle w:val="yTable"/>
              <w:tabs>
                <w:tab w:val="left" w:pos="756"/>
              </w:tabs>
              <w:spacing w:before="40" w:after="40"/>
              <w:ind w:left="1260" w:right="623" w:hanging="1260"/>
            </w:pPr>
            <w:r>
              <w:tab/>
              <w:t>(i)</w:t>
            </w:r>
            <w:r>
              <w:tab/>
              <w:t xml:space="preserve">examination of the plans </w:t>
            </w:r>
            <w:r>
              <w:rPr>
                <w:sz w:val="18"/>
              </w:rPr>
              <w:t>(*see note 1)</w:t>
            </w:r>
          </w:p>
        </w:tc>
        <w:tc>
          <w:tcPr>
            <w:tcW w:w="1504" w:type="dxa"/>
          </w:tcPr>
          <w:p>
            <w:pPr>
              <w:pStyle w:val="yTable"/>
              <w:spacing w:before="40" w:after="40"/>
              <w:ind w:right="284"/>
            </w:pPr>
            <w:r>
              <w:br/>
            </w:r>
            <w:r>
              <w:br/>
              <w:t>$112.10/hour</w:t>
            </w:r>
          </w:p>
        </w:tc>
      </w:tr>
      <w:tr>
        <w:trPr>
          <w:cantSplit/>
        </w:trPr>
        <w:tc>
          <w:tcPr>
            <w:tcW w:w="3136" w:type="dxa"/>
            <w:gridSpan w:val="2"/>
          </w:tcPr>
          <w:p>
            <w:pPr>
              <w:pStyle w:val="yTable"/>
              <w:tabs>
                <w:tab w:val="left" w:pos="756"/>
              </w:tabs>
              <w:spacing w:before="40" w:after="40"/>
              <w:ind w:left="1260" w:right="283" w:hanging="1260"/>
            </w:pPr>
            <w:r>
              <w:tab/>
              <w:t>(ii)</w:t>
            </w:r>
            <w:r>
              <w:tab/>
              <w:t>initial survey and test</w:t>
            </w:r>
          </w:p>
        </w:tc>
        <w:tc>
          <w:tcPr>
            <w:tcW w:w="1504" w:type="dxa"/>
          </w:tcPr>
          <w:p>
            <w:pPr>
              <w:pStyle w:val="yTable"/>
              <w:spacing w:before="40" w:after="40"/>
              <w:ind w:right="284"/>
            </w:pPr>
            <w:r>
              <w:br/>
              <w:t>$112.10/hour</w:t>
            </w:r>
          </w:p>
        </w:tc>
      </w:tr>
      <w:tr>
        <w:trPr>
          <w:cantSplit/>
        </w:trPr>
        <w:tc>
          <w:tcPr>
            <w:tcW w:w="3136" w:type="dxa"/>
            <w:gridSpan w:val="2"/>
          </w:tcPr>
          <w:p>
            <w:pPr>
              <w:pStyle w:val="yTable"/>
              <w:tabs>
                <w:tab w:val="left" w:pos="600"/>
              </w:tabs>
              <w:spacing w:before="40" w:after="40"/>
              <w:ind w:left="556" w:right="283" w:hanging="523"/>
            </w:pPr>
            <w:r>
              <w:t>(e)</w:t>
            </w:r>
            <w:r>
              <w:tab/>
              <w:t>crane installation on a vessel —</w:t>
            </w:r>
          </w:p>
        </w:tc>
        <w:tc>
          <w:tcPr>
            <w:tcW w:w="1504" w:type="dxa"/>
          </w:tcPr>
          <w:p>
            <w:pPr>
              <w:pStyle w:val="yTable"/>
              <w:spacing w:before="40" w:after="40"/>
              <w:ind w:right="284"/>
            </w:pPr>
          </w:p>
        </w:tc>
      </w:tr>
      <w:tr>
        <w:trPr>
          <w:cantSplit/>
        </w:trPr>
        <w:tc>
          <w:tcPr>
            <w:tcW w:w="3136" w:type="dxa"/>
            <w:gridSpan w:val="2"/>
          </w:tcPr>
          <w:p>
            <w:pPr>
              <w:pStyle w:val="yTable"/>
              <w:tabs>
                <w:tab w:val="left" w:pos="756"/>
              </w:tabs>
              <w:spacing w:before="40" w:after="40"/>
              <w:ind w:left="1260" w:right="481" w:hanging="1260"/>
            </w:pPr>
            <w:r>
              <w:tab/>
              <w:t>(i)</w:t>
            </w:r>
            <w:r>
              <w:tab/>
              <w:t xml:space="preserve">examination of the plans </w:t>
            </w:r>
            <w:r>
              <w:rPr>
                <w:sz w:val="18"/>
              </w:rPr>
              <w:t>(*see note 1)</w:t>
            </w:r>
          </w:p>
        </w:tc>
        <w:tc>
          <w:tcPr>
            <w:tcW w:w="1504" w:type="dxa"/>
          </w:tcPr>
          <w:p>
            <w:pPr>
              <w:pStyle w:val="yTable"/>
              <w:spacing w:before="40" w:after="40"/>
              <w:ind w:right="284"/>
            </w:pPr>
            <w:r>
              <w:br/>
            </w:r>
            <w:r>
              <w:br/>
              <w:t>$112.10/hour</w:t>
            </w:r>
          </w:p>
        </w:tc>
      </w:tr>
      <w:tr>
        <w:trPr>
          <w:cantSplit/>
        </w:trPr>
        <w:tc>
          <w:tcPr>
            <w:tcW w:w="3136" w:type="dxa"/>
            <w:gridSpan w:val="2"/>
          </w:tcPr>
          <w:p>
            <w:pPr>
              <w:pStyle w:val="yTable"/>
              <w:tabs>
                <w:tab w:val="left" w:pos="756"/>
              </w:tabs>
              <w:spacing w:before="40" w:after="40"/>
              <w:ind w:left="1260" w:right="283" w:hanging="1260"/>
            </w:pPr>
            <w:r>
              <w:tab/>
              <w:t>(ii)</w:t>
            </w:r>
            <w:r>
              <w:tab/>
              <w:t>survey and test</w:t>
            </w:r>
          </w:p>
        </w:tc>
        <w:tc>
          <w:tcPr>
            <w:tcW w:w="1504" w:type="dxa"/>
          </w:tcPr>
          <w:p>
            <w:pPr>
              <w:pStyle w:val="yTable"/>
              <w:spacing w:before="40" w:after="40"/>
              <w:ind w:right="284"/>
            </w:pPr>
            <w:r>
              <w:t>$112.10/hour</w:t>
            </w:r>
          </w:p>
        </w:tc>
      </w:tr>
      <w:tr>
        <w:trPr>
          <w:cantSplit/>
        </w:trPr>
        <w:tc>
          <w:tcPr>
            <w:tcW w:w="3136" w:type="dxa"/>
            <w:gridSpan w:val="2"/>
          </w:tcPr>
          <w:p>
            <w:pPr>
              <w:pStyle w:val="yTable"/>
              <w:spacing w:before="40" w:after="40"/>
              <w:ind w:left="556" w:right="283" w:hanging="523"/>
            </w:pPr>
            <w:r>
              <w:t>(f)</w:t>
            </w:r>
            <w:r>
              <w:tab/>
              <w:t>towage permit — </w:t>
            </w:r>
          </w:p>
        </w:tc>
        <w:tc>
          <w:tcPr>
            <w:tcW w:w="1504" w:type="dxa"/>
          </w:tcPr>
          <w:p>
            <w:pPr>
              <w:pStyle w:val="yTable"/>
              <w:spacing w:before="40" w:after="40"/>
              <w:ind w:right="284"/>
            </w:pPr>
          </w:p>
        </w:tc>
      </w:tr>
      <w:tr>
        <w:trPr>
          <w:cantSplit/>
        </w:trPr>
        <w:tc>
          <w:tcPr>
            <w:tcW w:w="3136" w:type="dxa"/>
            <w:gridSpan w:val="2"/>
          </w:tcPr>
          <w:p>
            <w:pPr>
              <w:pStyle w:val="yTable"/>
              <w:tabs>
                <w:tab w:val="left" w:pos="756"/>
              </w:tabs>
              <w:spacing w:before="40" w:after="40"/>
              <w:ind w:left="1260" w:right="283" w:hanging="1260"/>
            </w:pPr>
            <w:r>
              <w:tab/>
              <w:t>(i)</w:t>
            </w:r>
            <w:r>
              <w:tab/>
              <w:t xml:space="preserve">inspection of towage arrangement before the issue of permit </w:t>
            </w:r>
          </w:p>
        </w:tc>
        <w:tc>
          <w:tcPr>
            <w:tcW w:w="1504" w:type="dxa"/>
          </w:tcPr>
          <w:p>
            <w:pPr>
              <w:pStyle w:val="yTable"/>
              <w:spacing w:before="40" w:after="40"/>
              <w:ind w:right="284"/>
            </w:pPr>
            <w:r>
              <w:br/>
            </w:r>
            <w:r>
              <w:br/>
              <w:t>$112.10/hour plus travel expenses</w:t>
            </w:r>
          </w:p>
        </w:tc>
      </w:tr>
      <w:tr>
        <w:trPr>
          <w:cantSplit/>
        </w:trPr>
        <w:tc>
          <w:tcPr>
            <w:tcW w:w="3136" w:type="dxa"/>
            <w:gridSpan w:val="2"/>
          </w:tcPr>
          <w:p>
            <w:pPr>
              <w:pStyle w:val="yTable"/>
              <w:tabs>
                <w:tab w:val="left" w:pos="756"/>
              </w:tabs>
              <w:spacing w:before="40" w:after="40"/>
              <w:ind w:left="1260" w:right="283" w:hanging="1260"/>
            </w:pPr>
            <w:r>
              <w:tab/>
              <w:t>(ii)</w:t>
            </w:r>
            <w:r>
              <w:tab/>
              <w:t>issue of permit</w:t>
            </w:r>
          </w:p>
        </w:tc>
        <w:tc>
          <w:tcPr>
            <w:tcW w:w="1504" w:type="dxa"/>
          </w:tcPr>
          <w:p>
            <w:pPr>
              <w:pStyle w:val="yTable"/>
              <w:spacing w:before="40" w:after="40"/>
              <w:ind w:right="284"/>
            </w:pPr>
            <w:r>
              <w:t>$81.90</w:t>
            </w:r>
          </w:p>
        </w:tc>
      </w:tr>
      <w:tr>
        <w:trPr>
          <w:cantSplit/>
        </w:trPr>
        <w:tc>
          <w:tcPr>
            <w:tcW w:w="3136" w:type="dxa"/>
            <w:gridSpan w:val="2"/>
          </w:tcPr>
          <w:p>
            <w:pPr>
              <w:pStyle w:val="yTable"/>
              <w:tabs>
                <w:tab w:val="left" w:pos="600"/>
              </w:tabs>
              <w:spacing w:before="40" w:after="40"/>
              <w:ind w:left="556" w:right="283" w:hanging="523"/>
            </w:pPr>
            <w:r>
              <w:t>(g)</w:t>
            </w:r>
            <w:r>
              <w:tab/>
              <w:t>permit to operate — </w:t>
            </w:r>
          </w:p>
        </w:tc>
        <w:tc>
          <w:tcPr>
            <w:tcW w:w="1504" w:type="dxa"/>
          </w:tcPr>
          <w:p>
            <w:pPr>
              <w:pStyle w:val="yTable"/>
              <w:spacing w:before="40" w:after="40"/>
              <w:ind w:right="284"/>
            </w:pPr>
          </w:p>
        </w:tc>
      </w:tr>
      <w:tr>
        <w:trPr>
          <w:cantSplit/>
        </w:trPr>
        <w:tc>
          <w:tcPr>
            <w:tcW w:w="3136" w:type="dxa"/>
            <w:gridSpan w:val="2"/>
          </w:tcPr>
          <w:p>
            <w:pPr>
              <w:pStyle w:val="yTable"/>
              <w:tabs>
                <w:tab w:val="left" w:pos="756"/>
              </w:tabs>
              <w:spacing w:before="40" w:after="40"/>
              <w:ind w:left="1260" w:right="283" w:hanging="1260"/>
            </w:pPr>
            <w:r>
              <w:tab/>
              <w:t>(i)</w:t>
            </w:r>
            <w:r>
              <w:tab/>
              <w:t>inspection before the issue of a permit</w:t>
            </w:r>
          </w:p>
        </w:tc>
        <w:tc>
          <w:tcPr>
            <w:tcW w:w="1504" w:type="dxa"/>
          </w:tcPr>
          <w:p>
            <w:pPr>
              <w:pStyle w:val="yTable"/>
              <w:spacing w:before="40" w:after="40"/>
              <w:ind w:right="284"/>
            </w:pPr>
            <w:r>
              <w:t>$112.10/hour plus travel expenses</w:t>
            </w:r>
          </w:p>
        </w:tc>
      </w:tr>
      <w:tr>
        <w:trPr>
          <w:cantSplit/>
        </w:trPr>
        <w:tc>
          <w:tcPr>
            <w:tcW w:w="3136" w:type="dxa"/>
            <w:gridSpan w:val="2"/>
          </w:tcPr>
          <w:p>
            <w:pPr>
              <w:pStyle w:val="yTable"/>
              <w:tabs>
                <w:tab w:val="left" w:pos="756"/>
              </w:tabs>
              <w:spacing w:before="40" w:after="40"/>
              <w:ind w:left="1260" w:right="283" w:hanging="1260"/>
            </w:pPr>
            <w:r>
              <w:tab/>
              <w:t>(ii)</w:t>
            </w:r>
            <w:r>
              <w:tab/>
              <w:t>issue of permit</w:t>
            </w:r>
          </w:p>
        </w:tc>
        <w:tc>
          <w:tcPr>
            <w:tcW w:w="1504" w:type="dxa"/>
          </w:tcPr>
          <w:p>
            <w:pPr>
              <w:pStyle w:val="yTable"/>
              <w:spacing w:before="40" w:after="40"/>
              <w:ind w:right="284"/>
            </w:pPr>
            <w:r>
              <w:t>$81.90</w:t>
            </w:r>
          </w:p>
        </w:tc>
      </w:tr>
      <w:tr>
        <w:trPr>
          <w:cantSplit/>
        </w:trPr>
        <w:tc>
          <w:tcPr>
            <w:tcW w:w="3136" w:type="dxa"/>
            <w:gridSpan w:val="2"/>
          </w:tcPr>
          <w:p>
            <w:pPr>
              <w:pStyle w:val="yTable"/>
              <w:tabs>
                <w:tab w:val="left" w:pos="600"/>
              </w:tabs>
              <w:spacing w:before="40" w:after="40"/>
              <w:ind w:left="556" w:right="283" w:hanging="523"/>
            </w:pPr>
            <w:r>
              <w:t>(h)</w:t>
            </w:r>
            <w:r>
              <w:tab/>
              <w:t>permit to trial — </w:t>
            </w:r>
          </w:p>
        </w:tc>
        <w:tc>
          <w:tcPr>
            <w:tcW w:w="1504" w:type="dxa"/>
          </w:tcPr>
          <w:p>
            <w:pPr>
              <w:pStyle w:val="yTable"/>
              <w:spacing w:before="40" w:after="40"/>
              <w:ind w:right="284"/>
            </w:pPr>
          </w:p>
        </w:tc>
      </w:tr>
      <w:tr>
        <w:trPr>
          <w:cantSplit/>
        </w:trPr>
        <w:tc>
          <w:tcPr>
            <w:tcW w:w="3136" w:type="dxa"/>
            <w:gridSpan w:val="2"/>
          </w:tcPr>
          <w:p>
            <w:pPr>
              <w:pStyle w:val="yTable"/>
              <w:tabs>
                <w:tab w:val="left" w:pos="756"/>
              </w:tabs>
              <w:spacing w:before="40" w:after="40"/>
              <w:ind w:left="1260" w:right="283" w:hanging="1260"/>
            </w:pPr>
            <w:r>
              <w:tab/>
              <w:t>(i)</w:t>
            </w:r>
            <w:r>
              <w:tab/>
              <w:t>inspection before the issue of permit</w:t>
            </w:r>
          </w:p>
        </w:tc>
        <w:tc>
          <w:tcPr>
            <w:tcW w:w="1504" w:type="dxa"/>
          </w:tcPr>
          <w:p>
            <w:pPr>
              <w:pStyle w:val="yTable"/>
              <w:spacing w:before="40" w:after="40"/>
              <w:ind w:right="284"/>
            </w:pPr>
            <w:r>
              <w:t>$112.10/hour plus travel expenses</w:t>
            </w:r>
          </w:p>
        </w:tc>
      </w:tr>
      <w:tr>
        <w:trPr>
          <w:cantSplit/>
        </w:trPr>
        <w:tc>
          <w:tcPr>
            <w:tcW w:w="3136" w:type="dxa"/>
            <w:gridSpan w:val="2"/>
          </w:tcPr>
          <w:p>
            <w:pPr>
              <w:pStyle w:val="yTable"/>
              <w:tabs>
                <w:tab w:val="left" w:pos="756"/>
              </w:tabs>
              <w:spacing w:before="40" w:after="40"/>
              <w:ind w:left="1260" w:right="283" w:hanging="1260"/>
            </w:pPr>
            <w:r>
              <w:tab/>
              <w:t>(ii)</w:t>
            </w:r>
            <w:r>
              <w:tab/>
              <w:t>issue of permit</w:t>
            </w:r>
          </w:p>
        </w:tc>
        <w:tc>
          <w:tcPr>
            <w:tcW w:w="1504" w:type="dxa"/>
          </w:tcPr>
          <w:p>
            <w:pPr>
              <w:pStyle w:val="yTable"/>
              <w:spacing w:before="40" w:after="40"/>
              <w:ind w:right="284"/>
            </w:pPr>
            <w:r>
              <w:t>$81.90</w:t>
            </w:r>
          </w:p>
        </w:tc>
      </w:tr>
      <w:tr>
        <w:trPr>
          <w:cantSplit/>
        </w:trPr>
        <w:tc>
          <w:tcPr>
            <w:tcW w:w="3136" w:type="dxa"/>
            <w:gridSpan w:val="2"/>
          </w:tcPr>
          <w:p>
            <w:pPr>
              <w:pStyle w:val="yTable"/>
              <w:keepNext/>
              <w:tabs>
                <w:tab w:val="left" w:pos="600"/>
              </w:tabs>
              <w:spacing w:before="40" w:after="40"/>
              <w:ind w:left="556" w:right="283" w:hanging="523"/>
            </w:pPr>
            <w:r>
              <w:t>(i)</w:t>
            </w:r>
            <w:r>
              <w:tab/>
              <w:t xml:space="preserve">data checking — </w:t>
            </w:r>
          </w:p>
        </w:tc>
        <w:tc>
          <w:tcPr>
            <w:tcW w:w="1504" w:type="dxa"/>
          </w:tcPr>
          <w:p>
            <w:pPr>
              <w:pStyle w:val="yTable"/>
              <w:keepNext/>
              <w:spacing w:before="40" w:after="40"/>
              <w:ind w:left="-108" w:right="284"/>
            </w:pPr>
          </w:p>
        </w:tc>
      </w:tr>
      <w:tr>
        <w:tblPrEx>
          <w:tblCellMar>
            <w:left w:w="108" w:type="dxa"/>
            <w:right w:w="108" w:type="dxa"/>
          </w:tblCellMar>
        </w:tblPrEx>
        <w:trPr>
          <w:cantSplit/>
        </w:trPr>
        <w:tc>
          <w:tcPr>
            <w:tcW w:w="3136" w:type="dxa"/>
            <w:gridSpan w:val="2"/>
            <w:shd w:val="clear" w:color="808080" w:fill="auto"/>
          </w:tcPr>
          <w:p>
            <w:pPr>
              <w:pStyle w:val="yTable"/>
              <w:tabs>
                <w:tab w:val="left" w:pos="756"/>
              </w:tabs>
              <w:spacing w:before="40" w:after="40"/>
              <w:ind w:left="1260" w:right="283" w:hanging="1260"/>
            </w:pPr>
            <w:r>
              <w:tab/>
              <w:t>(i)</w:t>
            </w:r>
            <w:r>
              <w:tab/>
              <w:t xml:space="preserve">Check of Vessel Stability Data categories S, T, C.4, M, C.11, C.12.7.1, C.14.1 </w:t>
            </w:r>
            <w:r>
              <w:rPr>
                <w:sz w:val="18"/>
              </w:rPr>
              <w:t>(*see note 1)</w:t>
            </w:r>
            <w:r>
              <w:t> —</w:t>
            </w:r>
          </w:p>
        </w:tc>
        <w:tc>
          <w:tcPr>
            <w:tcW w:w="1504" w:type="dxa"/>
            <w:shd w:val="clear" w:color="808080" w:fill="auto"/>
          </w:tcPr>
          <w:p>
            <w:pPr>
              <w:pStyle w:val="yTable"/>
              <w:tabs>
                <w:tab w:val="left" w:pos="283"/>
              </w:tabs>
              <w:spacing w:before="40" w:after="40"/>
              <w:ind w:left="-108" w:right="284"/>
            </w:pPr>
          </w:p>
        </w:tc>
      </w:tr>
      <w:tr>
        <w:tblPrEx>
          <w:tblCellMar>
            <w:left w:w="108" w:type="dxa"/>
            <w:right w:w="108" w:type="dxa"/>
          </w:tblCellMar>
        </w:tblPrEx>
        <w:trPr>
          <w:cantSplit/>
        </w:trPr>
        <w:tc>
          <w:tcPr>
            <w:tcW w:w="3136" w:type="dxa"/>
            <w:gridSpan w:val="2"/>
            <w:shd w:val="clear" w:color="808080" w:fill="auto"/>
          </w:tcPr>
          <w:p>
            <w:pPr>
              <w:pStyle w:val="yTable"/>
              <w:tabs>
                <w:tab w:val="left" w:pos="1593"/>
              </w:tabs>
              <w:spacing w:before="40" w:after="40"/>
              <w:ind w:left="1622" w:right="283" w:hanging="425"/>
            </w:pPr>
            <w:r>
              <w:t>(I)</w:t>
            </w:r>
            <w:r>
              <w:tab/>
              <w:t>cost for first category or class</w:t>
            </w:r>
          </w:p>
        </w:tc>
        <w:tc>
          <w:tcPr>
            <w:tcW w:w="1504" w:type="dxa"/>
            <w:shd w:val="clear" w:color="808080" w:fill="auto"/>
          </w:tcPr>
          <w:p>
            <w:pPr>
              <w:pStyle w:val="yTable"/>
              <w:spacing w:before="40" w:after="40"/>
              <w:ind w:right="284"/>
            </w:pPr>
            <w:r>
              <w:br/>
            </w:r>
            <w:r>
              <w:br/>
            </w:r>
            <w:r>
              <w:br/>
              <w:t>$559.40</w:t>
            </w:r>
          </w:p>
        </w:tc>
      </w:tr>
      <w:tr>
        <w:tblPrEx>
          <w:tblCellMar>
            <w:left w:w="108" w:type="dxa"/>
            <w:right w:w="108" w:type="dxa"/>
          </w:tblCellMar>
        </w:tblPrEx>
        <w:trPr>
          <w:cantSplit/>
        </w:trPr>
        <w:tc>
          <w:tcPr>
            <w:tcW w:w="3136" w:type="dxa"/>
            <w:gridSpan w:val="2"/>
            <w:shd w:val="clear" w:color="808080" w:fill="auto"/>
          </w:tcPr>
          <w:p>
            <w:pPr>
              <w:pStyle w:val="yTable"/>
              <w:tabs>
                <w:tab w:val="left" w:pos="1593"/>
                <w:tab w:val="left" w:pos="1622"/>
              </w:tabs>
              <w:spacing w:before="40" w:after="40"/>
              <w:ind w:left="1622" w:right="283" w:hanging="425"/>
            </w:pPr>
            <w:r>
              <w:t>(II)</w:t>
            </w:r>
            <w:r>
              <w:tab/>
              <w:t>cost for each additional category or class</w:t>
            </w:r>
          </w:p>
        </w:tc>
        <w:tc>
          <w:tcPr>
            <w:tcW w:w="1504" w:type="dxa"/>
            <w:shd w:val="clear" w:color="808080" w:fill="auto"/>
          </w:tcPr>
          <w:p>
            <w:pPr>
              <w:pStyle w:val="yTable"/>
              <w:spacing w:before="40" w:after="40"/>
              <w:ind w:right="284"/>
            </w:pPr>
            <w:r>
              <w:br/>
            </w:r>
            <w:r>
              <w:br/>
            </w:r>
            <w:r>
              <w:br/>
            </w:r>
            <w:r>
              <w:br/>
              <w:t>$280.20</w:t>
            </w:r>
          </w:p>
        </w:tc>
      </w:tr>
      <w:tr>
        <w:tblPrEx>
          <w:tblCellMar>
            <w:left w:w="108" w:type="dxa"/>
            <w:right w:w="108" w:type="dxa"/>
          </w:tblCellMar>
        </w:tblPrEx>
        <w:trPr>
          <w:cantSplit/>
        </w:trPr>
        <w:tc>
          <w:tcPr>
            <w:tcW w:w="3136" w:type="dxa"/>
            <w:gridSpan w:val="2"/>
            <w:shd w:val="clear" w:color="808080" w:fill="auto"/>
          </w:tcPr>
          <w:p>
            <w:pPr>
              <w:pStyle w:val="yTable"/>
              <w:tabs>
                <w:tab w:val="left" w:pos="756"/>
              </w:tabs>
              <w:spacing w:before="40" w:after="40"/>
              <w:ind w:left="1260" w:right="373" w:hanging="1260"/>
            </w:pPr>
            <w:r>
              <w:tab/>
              <w:t>(ii)</w:t>
            </w:r>
            <w:r>
              <w:tab/>
              <w:t xml:space="preserve">Check of Vessel Stability for remaining categories </w:t>
            </w:r>
            <w:r>
              <w:rPr>
                <w:sz w:val="18"/>
              </w:rPr>
              <w:t>(*see note 1)</w:t>
            </w:r>
            <w:r>
              <w:t> —</w:t>
            </w:r>
          </w:p>
        </w:tc>
        <w:tc>
          <w:tcPr>
            <w:tcW w:w="1504" w:type="dxa"/>
            <w:shd w:val="clear" w:color="808080" w:fill="auto"/>
          </w:tcPr>
          <w:p>
            <w:pPr>
              <w:pStyle w:val="yTable"/>
              <w:spacing w:before="40" w:after="40"/>
              <w:ind w:left="-108" w:right="284"/>
            </w:pPr>
          </w:p>
        </w:tc>
      </w:tr>
      <w:tr>
        <w:tblPrEx>
          <w:tblCellMar>
            <w:left w:w="108" w:type="dxa"/>
            <w:right w:w="108" w:type="dxa"/>
          </w:tblCellMar>
        </w:tblPrEx>
        <w:trPr>
          <w:cantSplit/>
        </w:trPr>
        <w:tc>
          <w:tcPr>
            <w:tcW w:w="3136" w:type="dxa"/>
            <w:gridSpan w:val="2"/>
            <w:shd w:val="clear" w:color="808080" w:fill="auto"/>
          </w:tcPr>
          <w:p>
            <w:pPr>
              <w:pStyle w:val="yTable"/>
              <w:tabs>
                <w:tab w:val="left" w:pos="1593"/>
                <w:tab w:val="left" w:pos="1622"/>
              </w:tabs>
              <w:spacing w:before="40" w:after="40"/>
              <w:ind w:left="1622" w:hanging="425"/>
            </w:pPr>
            <w:r>
              <w:t>(I)</w:t>
            </w:r>
            <w:r>
              <w:tab/>
              <w:t xml:space="preserve">cost for first category or class </w:t>
            </w:r>
            <w:r>
              <w:rPr>
                <w:b/>
              </w:rPr>
              <w:t>†</w:t>
            </w:r>
          </w:p>
        </w:tc>
        <w:tc>
          <w:tcPr>
            <w:tcW w:w="1504" w:type="dxa"/>
            <w:shd w:val="clear" w:color="808080" w:fill="auto"/>
          </w:tcPr>
          <w:p>
            <w:pPr>
              <w:pStyle w:val="yTable"/>
              <w:spacing w:before="40" w:after="40"/>
              <w:ind w:right="284"/>
            </w:pPr>
            <w:r>
              <w:br/>
            </w:r>
            <w:r>
              <w:br/>
              <w:t>$1679.30</w:t>
            </w:r>
          </w:p>
        </w:tc>
      </w:tr>
      <w:tr>
        <w:tblPrEx>
          <w:tblCellMar>
            <w:left w:w="108" w:type="dxa"/>
            <w:right w:w="108" w:type="dxa"/>
          </w:tblCellMar>
        </w:tblPrEx>
        <w:trPr>
          <w:cantSplit/>
        </w:trPr>
        <w:tc>
          <w:tcPr>
            <w:tcW w:w="3136" w:type="dxa"/>
            <w:gridSpan w:val="2"/>
            <w:shd w:val="clear" w:color="808080" w:fill="auto"/>
          </w:tcPr>
          <w:p>
            <w:pPr>
              <w:pStyle w:val="yTable"/>
              <w:tabs>
                <w:tab w:val="left" w:pos="1168"/>
                <w:tab w:val="left" w:pos="1593"/>
                <w:tab w:val="left" w:pos="1622"/>
              </w:tabs>
              <w:spacing w:before="40" w:after="40"/>
              <w:ind w:left="1622" w:right="283" w:hanging="425"/>
            </w:pPr>
            <w:r>
              <w:t>(II)</w:t>
            </w:r>
            <w:r>
              <w:tab/>
              <w:t>cost for each additional category or class </w:t>
            </w:r>
            <w:r>
              <w:rPr>
                <w:b/>
              </w:rPr>
              <w:t>†</w:t>
            </w:r>
          </w:p>
        </w:tc>
        <w:tc>
          <w:tcPr>
            <w:tcW w:w="1504" w:type="dxa"/>
            <w:shd w:val="clear" w:color="808080" w:fill="auto"/>
          </w:tcPr>
          <w:p>
            <w:pPr>
              <w:pStyle w:val="yTable"/>
              <w:spacing w:before="40" w:after="40"/>
              <w:ind w:right="284"/>
            </w:pPr>
            <w:r>
              <w:br/>
            </w:r>
            <w:r>
              <w:br/>
            </w:r>
            <w:r>
              <w:br/>
            </w:r>
            <w:r>
              <w:br/>
              <w:t>$559.40</w:t>
            </w:r>
          </w:p>
        </w:tc>
      </w:tr>
      <w:tr>
        <w:tblPrEx>
          <w:tblCellMar>
            <w:left w:w="108" w:type="dxa"/>
            <w:right w:w="108" w:type="dxa"/>
          </w:tblCellMar>
        </w:tblPrEx>
        <w:trPr>
          <w:cantSplit/>
        </w:trPr>
        <w:tc>
          <w:tcPr>
            <w:tcW w:w="3136" w:type="dxa"/>
            <w:gridSpan w:val="2"/>
            <w:shd w:val="clear" w:color="808080" w:fill="auto"/>
          </w:tcPr>
          <w:p>
            <w:pPr>
              <w:pStyle w:val="yTable"/>
              <w:tabs>
                <w:tab w:val="left" w:pos="1168"/>
                <w:tab w:val="left" w:pos="1593"/>
                <w:tab w:val="left" w:pos="1622"/>
              </w:tabs>
              <w:spacing w:before="40" w:after="40"/>
              <w:ind w:left="1622" w:right="283" w:hanging="425"/>
            </w:pPr>
            <w:r>
              <w:t>(III)</w:t>
            </w:r>
            <w:r>
              <w:tab/>
            </w:r>
            <w:r>
              <w:tab/>
              <w:t>cost for each additional category S, T, C.4, M, C.11, C.12.7.1, C.14.1</w:t>
            </w:r>
          </w:p>
        </w:tc>
        <w:tc>
          <w:tcPr>
            <w:tcW w:w="1504" w:type="dxa"/>
            <w:shd w:val="clear" w:color="808080" w:fill="auto"/>
          </w:tcPr>
          <w:p>
            <w:pPr>
              <w:pStyle w:val="yTable"/>
              <w:spacing w:before="40" w:after="40"/>
              <w:ind w:right="284"/>
            </w:pPr>
            <w:r>
              <w:br/>
            </w:r>
            <w:r>
              <w:br/>
            </w:r>
            <w:r>
              <w:br/>
            </w:r>
            <w:r>
              <w:br/>
            </w:r>
            <w:r>
              <w:br/>
            </w:r>
            <w:r>
              <w:br/>
            </w:r>
            <w:r>
              <w:br/>
              <w:t>$280.20</w:t>
            </w:r>
          </w:p>
        </w:tc>
      </w:tr>
      <w:tr>
        <w:tblPrEx>
          <w:tblCellMar>
            <w:left w:w="108" w:type="dxa"/>
            <w:right w:w="108" w:type="dxa"/>
          </w:tblCellMar>
        </w:tblPrEx>
        <w:trPr>
          <w:cantSplit/>
        </w:trPr>
        <w:tc>
          <w:tcPr>
            <w:tcW w:w="4640" w:type="dxa"/>
            <w:gridSpan w:val="3"/>
            <w:shd w:val="clear" w:color="808080" w:fill="auto"/>
          </w:tcPr>
          <w:p>
            <w:pPr>
              <w:pStyle w:val="yTable"/>
              <w:tabs>
                <w:tab w:val="left" w:pos="283"/>
              </w:tabs>
              <w:spacing w:before="40" w:after="40"/>
              <w:ind w:left="600" w:right="284" w:hanging="141"/>
              <w:rPr>
                <w:i/>
                <w:sz w:val="18"/>
              </w:rPr>
            </w:pPr>
            <w:r>
              <w:rPr>
                <w:b/>
              </w:rPr>
              <w:t>†</w:t>
            </w:r>
            <w:r>
              <w:rPr>
                <w:i/>
                <w:sz w:val="18"/>
              </w:rPr>
              <w:t xml:space="preserve"> The fees for these remaining categories will be subject to a 50% reduction if complete technical information is supplied in an electronic form compatible with the software held at the Department.  (Software submission format: HYDROMAX, WOLFSON, MAST.)</w:t>
            </w:r>
          </w:p>
        </w:tc>
      </w:tr>
      <w:tr>
        <w:tblPrEx>
          <w:tblCellMar>
            <w:left w:w="108" w:type="dxa"/>
            <w:right w:w="108" w:type="dxa"/>
          </w:tblCellMar>
        </w:tblPrEx>
        <w:trPr>
          <w:cantSplit/>
        </w:trPr>
        <w:tc>
          <w:tcPr>
            <w:tcW w:w="3080" w:type="dxa"/>
            <w:shd w:val="clear" w:color="808080" w:fill="auto"/>
          </w:tcPr>
          <w:p>
            <w:pPr>
              <w:pStyle w:val="yTable"/>
              <w:tabs>
                <w:tab w:val="left" w:pos="756"/>
              </w:tabs>
              <w:spacing w:before="40" w:after="40"/>
              <w:ind w:left="1260" w:right="283" w:hanging="1260"/>
            </w:pPr>
            <w:r>
              <w:tab/>
              <w:t>(iii)</w:t>
            </w:r>
            <w:r>
              <w:tab/>
              <w:t>Checking of lightship data</w:t>
            </w:r>
          </w:p>
        </w:tc>
        <w:tc>
          <w:tcPr>
            <w:tcW w:w="1560" w:type="dxa"/>
            <w:gridSpan w:val="2"/>
            <w:shd w:val="clear" w:color="808080" w:fill="auto"/>
          </w:tcPr>
          <w:p>
            <w:pPr>
              <w:pStyle w:val="yTable"/>
              <w:spacing w:before="40" w:after="40"/>
              <w:ind w:right="284"/>
            </w:pPr>
            <w:r>
              <w:br/>
              <w:t>$559.40</w:t>
            </w:r>
          </w:p>
        </w:tc>
      </w:tr>
      <w:tr>
        <w:trPr>
          <w:cantSplit/>
        </w:trPr>
        <w:tc>
          <w:tcPr>
            <w:tcW w:w="3080" w:type="dxa"/>
          </w:tcPr>
          <w:p>
            <w:pPr>
              <w:pStyle w:val="yTable"/>
              <w:tabs>
                <w:tab w:val="left" w:pos="600"/>
              </w:tabs>
              <w:spacing w:before="40" w:after="40"/>
              <w:ind w:left="556" w:right="283" w:hanging="523"/>
            </w:pPr>
            <w:r>
              <w:t>(j)</w:t>
            </w:r>
            <w:r>
              <w:tab/>
              <w:t>attendance at inclining experiment, roll period test, authorised practical stability test or lightship test</w:t>
            </w:r>
          </w:p>
        </w:tc>
        <w:tc>
          <w:tcPr>
            <w:tcW w:w="1560" w:type="dxa"/>
            <w:gridSpan w:val="2"/>
          </w:tcPr>
          <w:p>
            <w:pPr>
              <w:pStyle w:val="yTable"/>
              <w:spacing w:before="40" w:after="40"/>
              <w:ind w:right="284"/>
            </w:pPr>
            <w:r>
              <w:br/>
            </w:r>
            <w:r>
              <w:br/>
            </w:r>
            <w:r>
              <w:br/>
            </w:r>
            <w:r>
              <w:br/>
              <w:t>$559.40</w:t>
            </w:r>
          </w:p>
        </w:tc>
      </w:tr>
      <w:tr>
        <w:trPr>
          <w:cantSplit/>
        </w:trPr>
        <w:tc>
          <w:tcPr>
            <w:tcW w:w="3080" w:type="dxa"/>
          </w:tcPr>
          <w:p>
            <w:pPr>
              <w:pStyle w:val="yTable"/>
              <w:tabs>
                <w:tab w:val="left" w:pos="600"/>
              </w:tabs>
              <w:spacing w:before="40" w:after="40"/>
              <w:ind w:left="556" w:right="283" w:hanging="523"/>
            </w:pPr>
            <w:r>
              <w:t>(k)</w:t>
            </w:r>
            <w:r>
              <w:tab/>
              <w:t>issue of Load Line Certificate</w:t>
            </w:r>
          </w:p>
        </w:tc>
        <w:tc>
          <w:tcPr>
            <w:tcW w:w="1560" w:type="dxa"/>
            <w:gridSpan w:val="2"/>
          </w:tcPr>
          <w:p>
            <w:pPr>
              <w:pStyle w:val="yTable"/>
              <w:spacing w:before="40" w:after="40"/>
              <w:ind w:right="284"/>
            </w:pPr>
            <w:r>
              <w:t>$56.10/m x length of vessel</w:t>
            </w:r>
          </w:p>
        </w:tc>
      </w:tr>
      <w:tr>
        <w:trPr>
          <w:cantSplit/>
        </w:trPr>
        <w:tc>
          <w:tcPr>
            <w:tcW w:w="3080" w:type="dxa"/>
          </w:tcPr>
          <w:p>
            <w:pPr>
              <w:pStyle w:val="yTable"/>
              <w:tabs>
                <w:tab w:val="left" w:pos="600"/>
              </w:tabs>
              <w:spacing w:before="40" w:after="40"/>
              <w:ind w:left="556" w:right="283" w:hanging="523"/>
            </w:pPr>
            <w:r>
              <w:t>(l)</w:t>
            </w:r>
            <w:r>
              <w:tab/>
              <w:t>surveyor required to attend a vessel, site or meeting</w:t>
            </w:r>
          </w:p>
        </w:tc>
        <w:tc>
          <w:tcPr>
            <w:tcW w:w="1560" w:type="dxa"/>
            <w:gridSpan w:val="2"/>
          </w:tcPr>
          <w:p>
            <w:pPr>
              <w:pStyle w:val="yTable"/>
              <w:spacing w:before="40" w:after="40"/>
              <w:ind w:right="284"/>
            </w:pPr>
            <w:r>
              <w:t>$112.10/hour plus travel expenses</w:t>
            </w:r>
          </w:p>
        </w:tc>
      </w:tr>
      <w:tr>
        <w:trPr>
          <w:cantSplit/>
        </w:trPr>
        <w:tc>
          <w:tcPr>
            <w:tcW w:w="3080" w:type="dxa"/>
          </w:tcPr>
          <w:p>
            <w:pPr>
              <w:pStyle w:val="yTable"/>
              <w:tabs>
                <w:tab w:val="left" w:pos="600"/>
              </w:tabs>
              <w:spacing w:before="40" w:after="40"/>
              <w:ind w:left="556" w:right="283" w:hanging="523"/>
            </w:pPr>
            <w:r>
              <w:t>(m)</w:t>
            </w:r>
            <w:r>
              <w:tab/>
              <w:t>performance of survey or service during overtime hours, weekends or public holidays (in addition to other applicable fees, and in lieu of other hourly fees applicable if performance is during normal working hours)</w:t>
            </w:r>
          </w:p>
        </w:tc>
        <w:tc>
          <w:tcPr>
            <w:tcW w:w="1560" w:type="dxa"/>
            <w:gridSpan w:val="2"/>
          </w:tcPr>
          <w:p>
            <w:pPr>
              <w:pStyle w:val="yTable"/>
              <w:spacing w:before="40" w:after="40"/>
              <w:ind w:right="284"/>
            </w:pPr>
            <w:r>
              <w:br/>
            </w:r>
            <w:r>
              <w:br/>
            </w:r>
            <w:r>
              <w:br/>
            </w:r>
            <w:r>
              <w:br/>
            </w:r>
            <w:r>
              <w:br/>
            </w:r>
            <w:r>
              <w:br/>
            </w:r>
            <w:r>
              <w:br/>
            </w:r>
            <w:r>
              <w:br/>
            </w:r>
            <w:r>
              <w:br/>
              <w:t xml:space="preserve">133.60/hour </w:t>
            </w:r>
          </w:p>
        </w:tc>
      </w:tr>
      <w:tr>
        <w:trPr>
          <w:cantSplit/>
        </w:trPr>
        <w:tc>
          <w:tcPr>
            <w:tcW w:w="3080" w:type="dxa"/>
          </w:tcPr>
          <w:p>
            <w:pPr>
              <w:pStyle w:val="yTable"/>
              <w:keepNext/>
              <w:tabs>
                <w:tab w:val="left" w:pos="600"/>
              </w:tabs>
              <w:spacing w:before="40" w:after="40"/>
              <w:ind w:left="556" w:right="283" w:hanging="523"/>
            </w:pPr>
            <w:r>
              <w:t>(n)</w:t>
            </w:r>
            <w:r>
              <w:tab/>
              <w:t>request for information requiring search of — </w:t>
            </w:r>
          </w:p>
        </w:tc>
        <w:tc>
          <w:tcPr>
            <w:tcW w:w="1560" w:type="dxa"/>
            <w:gridSpan w:val="2"/>
          </w:tcPr>
          <w:p>
            <w:pPr>
              <w:pStyle w:val="yTable"/>
              <w:keepNext/>
              <w:tabs>
                <w:tab w:val="left" w:pos="283"/>
              </w:tabs>
              <w:spacing w:before="40" w:after="40"/>
              <w:ind w:right="284"/>
            </w:pPr>
          </w:p>
        </w:tc>
      </w:tr>
      <w:tr>
        <w:trPr>
          <w:cantSplit/>
        </w:trPr>
        <w:tc>
          <w:tcPr>
            <w:tcW w:w="3080" w:type="dxa"/>
          </w:tcPr>
          <w:p>
            <w:pPr>
              <w:pStyle w:val="yTable"/>
              <w:tabs>
                <w:tab w:val="left" w:pos="756"/>
              </w:tabs>
              <w:spacing w:before="40" w:after="40"/>
              <w:ind w:left="1260" w:right="283" w:hanging="1260"/>
            </w:pPr>
            <w:r>
              <w:tab/>
              <w:t>(i)</w:t>
            </w:r>
            <w:r>
              <w:tab/>
              <w:t>printed records</w:t>
            </w:r>
          </w:p>
        </w:tc>
        <w:tc>
          <w:tcPr>
            <w:tcW w:w="1560" w:type="dxa"/>
            <w:gridSpan w:val="2"/>
          </w:tcPr>
          <w:p>
            <w:pPr>
              <w:pStyle w:val="yTable"/>
              <w:tabs>
                <w:tab w:val="left" w:pos="283"/>
              </w:tabs>
              <w:spacing w:before="40" w:after="40"/>
              <w:ind w:right="284"/>
            </w:pPr>
            <w:r>
              <w:t>$111.50/hour, minimum charge $111.50</w:t>
            </w:r>
          </w:p>
        </w:tc>
      </w:tr>
      <w:tr>
        <w:trPr>
          <w:cantSplit/>
        </w:trPr>
        <w:tc>
          <w:tcPr>
            <w:tcW w:w="3080" w:type="dxa"/>
          </w:tcPr>
          <w:p>
            <w:pPr>
              <w:pStyle w:val="yTable"/>
              <w:tabs>
                <w:tab w:val="left" w:pos="756"/>
              </w:tabs>
              <w:spacing w:before="40" w:after="40"/>
              <w:ind w:left="1260" w:right="283" w:hanging="1260"/>
            </w:pPr>
            <w:r>
              <w:tab/>
              <w:t>(ii)</w:t>
            </w:r>
            <w:r>
              <w:tab/>
              <w:t>computer records</w:t>
            </w:r>
          </w:p>
        </w:tc>
        <w:tc>
          <w:tcPr>
            <w:tcW w:w="1560" w:type="dxa"/>
            <w:gridSpan w:val="2"/>
          </w:tcPr>
          <w:p>
            <w:pPr>
              <w:pStyle w:val="yTable"/>
              <w:tabs>
                <w:tab w:val="left" w:pos="283"/>
              </w:tabs>
              <w:spacing w:before="40" w:after="40"/>
              <w:ind w:right="284"/>
            </w:pPr>
            <w:r>
              <w:t>$123.20/hour, minimum charge $123.20</w:t>
            </w:r>
          </w:p>
        </w:tc>
      </w:tr>
      <w:tr>
        <w:trPr>
          <w:cantSplit/>
        </w:trPr>
        <w:tc>
          <w:tcPr>
            <w:tcW w:w="3080" w:type="dxa"/>
          </w:tcPr>
          <w:p>
            <w:pPr>
              <w:pStyle w:val="yTable"/>
              <w:tabs>
                <w:tab w:val="left" w:pos="600"/>
              </w:tabs>
              <w:spacing w:before="40" w:after="40"/>
              <w:ind w:left="556" w:right="283" w:hanging="523"/>
            </w:pPr>
            <w:r>
              <w:t>(o)</w:t>
            </w:r>
            <w:r>
              <w:tab/>
              <w:t>photocopying</w:t>
            </w:r>
          </w:p>
        </w:tc>
        <w:tc>
          <w:tcPr>
            <w:tcW w:w="1560" w:type="dxa"/>
            <w:gridSpan w:val="2"/>
          </w:tcPr>
          <w:p>
            <w:pPr>
              <w:pStyle w:val="yTable"/>
              <w:spacing w:before="40" w:after="40"/>
              <w:ind w:right="284"/>
            </w:pPr>
            <w:r>
              <w:t>90c/page</w:t>
            </w:r>
          </w:p>
        </w:tc>
      </w:tr>
      <w:tr>
        <w:trPr>
          <w:cantSplit/>
        </w:trPr>
        <w:tc>
          <w:tcPr>
            <w:tcW w:w="3080" w:type="dxa"/>
          </w:tcPr>
          <w:p>
            <w:pPr>
              <w:pStyle w:val="yTable"/>
              <w:tabs>
                <w:tab w:val="left" w:pos="600"/>
              </w:tabs>
              <w:spacing w:before="40" w:after="40"/>
              <w:ind w:left="556" w:right="283" w:hanging="523"/>
            </w:pPr>
            <w:r>
              <w:t>(p)</w:t>
            </w:r>
            <w:r>
              <w:tab/>
              <w:t>for a surveyor to attend a vessel, site, meeting or other survey or service outside the metropolitan area, on the request of the owner</w:t>
            </w:r>
          </w:p>
        </w:tc>
        <w:tc>
          <w:tcPr>
            <w:tcW w:w="1560" w:type="dxa"/>
            <w:gridSpan w:val="2"/>
          </w:tcPr>
          <w:p>
            <w:pPr>
              <w:pStyle w:val="yTable"/>
              <w:tabs>
                <w:tab w:val="left" w:pos="283"/>
              </w:tabs>
              <w:spacing w:before="40" w:after="40"/>
              <w:ind w:right="284"/>
            </w:pPr>
            <w:r>
              <w:br/>
              <w:t>80c/km travelled outside the metropolitan area by car</w:t>
            </w:r>
          </w:p>
        </w:tc>
      </w:tr>
      <w:tr>
        <w:trPr>
          <w:cantSplit/>
        </w:trPr>
        <w:tc>
          <w:tcPr>
            <w:tcW w:w="4640" w:type="dxa"/>
            <w:gridSpan w:val="3"/>
          </w:tcPr>
          <w:p>
            <w:pPr>
              <w:pStyle w:val="yTable"/>
              <w:tabs>
                <w:tab w:val="left" w:pos="671"/>
              </w:tabs>
              <w:ind w:left="1096" w:hanging="1096"/>
              <w:rPr>
                <w:sz w:val="18"/>
              </w:rPr>
            </w:pPr>
            <w:r>
              <w:rPr>
                <w:sz w:val="18"/>
              </w:rPr>
              <w:t>Notes:</w:t>
            </w:r>
            <w:r>
              <w:rPr>
                <w:sz w:val="18"/>
              </w:rPr>
              <w:tab/>
              <w:t>1.</w:t>
            </w:r>
            <w:r>
              <w:rPr>
                <w:sz w:val="18"/>
              </w:rPr>
              <w:tab/>
              <w:t xml:space="preserve">The fees for examination of plans and for checking stability data [items marked (*)] allow for returning plans/data to the applicant for one amendment. If further amendment or checking is required, the fee for the surveyor’s time for checking, examining and approving plans or data is </w:t>
            </w:r>
            <w:r>
              <w:rPr>
                <w:sz w:val="18"/>
                <w:shd w:val="clear" w:color="808080" w:fill="auto"/>
              </w:rPr>
              <w:t>$112.10/hour.</w:t>
            </w:r>
          </w:p>
        </w:tc>
      </w:tr>
      <w:tr>
        <w:trPr>
          <w:cantSplit/>
        </w:trPr>
        <w:tc>
          <w:tcPr>
            <w:tcW w:w="4640" w:type="dxa"/>
            <w:gridSpan w:val="3"/>
          </w:tcPr>
          <w:p>
            <w:pPr>
              <w:pStyle w:val="yTable"/>
              <w:tabs>
                <w:tab w:val="left" w:pos="671"/>
              </w:tabs>
              <w:ind w:left="1096" w:hanging="1096"/>
              <w:rPr>
                <w:sz w:val="18"/>
              </w:rPr>
            </w:pPr>
            <w:r>
              <w:rPr>
                <w:sz w:val="18"/>
              </w:rPr>
              <w:tab/>
              <w:t>2.</w:t>
            </w:r>
            <w:r>
              <w:rPr>
                <w:sz w:val="18"/>
              </w:rPr>
              <w:tab/>
              <w:t>Hourly fees are charged per hour or part of an hour.</w:t>
            </w:r>
          </w:p>
        </w:tc>
      </w:tr>
      <w:tr>
        <w:trPr>
          <w:cantSplit/>
        </w:trPr>
        <w:tc>
          <w:tcPr>
            <w:tcW w:w="4640" w:type="dxa"/>
            <w:gridSpan w:val="3"/>
          </w:tcPr>
          <w:p>
            <w:pPr>
              <w:pStyle w:val="yTable"/>
              <w:tabs>
                <w:tab w:val="left" w:pos="671"/>
              </w:tabs>
              <w:ind w:left="1096" w:hanging="1096"/>
              <w:rPr>
                <w:sz w:val="18"/>
              </w:rPr>
            </w:pPr>
            <w:r>
              <w:rPr>
                <w:sz w:val="18"/>
              </w:rPr>
              <w:tab/>
              <w:t>3.</w:t>
            </w:r>
            <w:r>
              <w:rPr>
                <w:sz w:val="18"/>
              </w:rPr>
              <w:tab/>
              <w:t>Fees provided for in this item may be waived if, in the opinion of the chief executive officer —</w:t>
            </w:r>
          </w:p>
          <w:p>
            <w:pPr>
              <w:pStyle w:val="yTable"/>
              <w:tabs>
                <w:tab w:val="left" w:pos="1176"/>
              </w:tabs>
              <w:ind w:left="1663" w:hanging="1663"/>
              <w:rPr>
                <w:sz w:val="18"/>
              </w:rPr>
            </w:pPr>
            <w:r>
              <w:rPr>
                <w:sz w:val="18"/>
              </w:rPr>
              <w:tab/>
              <w:t>(a)</w:t>
            </w:r>
            <w:r>
              <w:rPr>
                <w:sz w:val="18"/>
              </w:rPr>
              <w:tab/>
              <w:t>the service is delivered in the interest of the Commercial Safety section (e.g. extension of survey where surveyor unavailable); or</w:t>
            </w:r>
          </w:p>
          <w:p>
            <w:pPr>
              <w:pStyle w:val="yTable"/>
              <w:tabs>
                <w:tab w:val="left" w:pos="1176"/>
              </w:tabs>
              <w:ind w:left="1663" w:hanging="1663"/>
            </w:pPr>
            <w:r>
              <w:rPr>
                <w:sz w:val="18"/>
              </w:rPr>
              <w:tab/>
              <w:t>(b)</w:t>
            </w:r>
            <w:r>
              <w:rPr>
                <w:sz w:val="18"/>
              </w:rPr>
              <w:tab/>
              <w:t>the service is a remedy to an oversight or delay for which the regulations have not allowed (e.g. permit to operate issued if Certificate of Survey is authorised, but cannot be printed).</w:t>
            </w:r>
          </w:p>
        </w:tc>
      </w:tr>
    </w:tbl>
    <w:p>
      <w:pPr>
        <w:pStyle w:val="yFootnotesection"/>
      </w:pPr>
      <w:r>
        <w:tab/>
        <w:t>[Clause 2 inserted in Gazette 24 Jun 2005 p. 2786-9.]</w:t>
      </w:r>
    </w:p>
    <w:p>
      <w:pPr>
        <w:pStyle w:val="yHeading5"/>
      </w:pPr>
      <w:bookmarkStart w:id="141" w:name="_Toc107747037"/>
      <w:r>
        <w:rPr>
          <w:rStyle w:val="CharSClsNo"/>
        </w:rPr>
        <w:t>3</w:t>
      </w:r>
      <w:r>
        <w:t>.</w:t>
      </w:r>
      <w:r>
        <w:tab/>
        <w:t>Fees for Hire and Drive Vessels</w:t>
      </w:r>
      <w:bookmarkEnd w:id="141"/>
    </w:p>
    <w:p>
      <w:pPr>
        <w:pStyle w:val="ySubsection"/>
      </w:pPr>
      <w:r>
        <w:tab/>
      </w:r>
      <w:r>
        <w:tab/>
        <w:t xml:space="preserve">The survey fees for vessels licensed under the </w:t>
      </w:r>
      <w:r>
        <w:rPr>
          <w:i/>
          <w:iCs/>
        </w:rPr>
        <w:t>W.A. Marine (Hire and Drive Vessels) Regulations 1983</w:t>
      </w:r>
      <w:r>
        <w:t xml:space="preserve"> are as follows —</w:t>
      </w:r>
    </w:p>
    <w:tbl>
      <w:tblPr>
        <w:tblW w:w="0" w:type="auto"/>
        <w:tblInd w:w="1450" w:type="dxa"/>
        <w:tblLayout w:type="fixed"/>
        <w:tblCellMar>
          <w:left w:w="0" w:type="dxa"/>
          <w:right w:w="0" w:type="dxa"/>
        </w:tblCellMar>
        <w:tblLook w:val="0000" w:firstRow="0" w:lastRow="0" w:firstColumn="0" w:lastColumn="0" w:noHBand="0" w:noVBand="0"/>
      </w:tblPr>
      <w:tblGrid>
        <w:gridCol w:w="3378"/>
        <w:gridCol w:w="1276"/>
      </w:tblGrid>
      <w:tr>
        <w:tc>
          <w:tcPr>
            <w:tcW w:w="3378" w:type="dxa"/>
          </w:tcPr>
          <w:p>
            <w:pPr>
              <w:pStyle w:val="yTable"/>
              <w:tabs>
                <w:tab w:val="left" w:pos="567"/>
              </w:tabs>
              <w:spacing w:before="40" w:after="40"/>
              <w:ind w:left="567" w:right="283" w:hanging="567"/>
            </w:pPr>
            <w:r>
              <w:t>(a)</w:t>
            </w:r>
            <w:r>
              <w:tab/>
              <w:t>power boats not exceeding 5 m in length</w:t>
            </w:r>
          </w:p>
        </w:tc>
        <w:tc>
          <w:tcPr>
            <w:tcW w:w="1276" w:type="dxa"/>
          </w:tcPr>
          <w:p>
            <w:pPr>
              <w:pStyle w:val="yTable"/>
              <w:spacing w:before="40" w:after="40"/>
              <w:ind w:right="141"/>
            </w:pPr>
            <w:r>
              <w:br/>
              <w:t>$73.20</w:t>
            </w:r>
          </w:p>
        </w:tc>
      </w:tr>
      <w:tr>
        <w:tc>
          <w:tcPr>
            <w:tcW w:w="3378" w:type="dxa"/>
          </w:tcPr>
          <w:p>
            <w:pPr>
              <w:pStyle w:val="yTable"/>
              <w:tabs>
                <w:tab w:val="left" w:pos="567"/>
              </w:tabs>
              <w:spacing w:before="40" w:after="40"/>
              <w:ind w:left="567" w:right="283" w:hanging="567"/>
            </w:pPr>
            <w:r>
              <w:t>(b)</w:t>
            </w:r>
            <w:r>
              <w:tab/>
              <w:t>sailing boats other than sailboards</w:t>
            </w:r>
          </w:p>
        </w:tc>
        <w:tc>
          <w:tcPr>
            <w:tcW w:w="1276" w:type="dxa"/>
          </w:tcPr>
          <w:p>
            <w:pPr>
              <w:pStyle w:val="yTable"/>
              <w:spacing w:before="40" w:after="40"/>
              <w:ind w:right="141"/>
            </w:pPr>
            <w:r>
              <w:br/>
              <w:t>$73.20</w:t>
            </w:r>
          </w:p>
        </w:tc>
      </w:tr>
      <w:tr>
        <w:tc>
          <w:tcPr>
            <w:tcW w:w="3378" w:type="dxa"/>
          </w:tcPr>
          <w:p>
            <w:pPr>
              <w:pStyle w:val="yTable"/>
              <w:tabs>
                <w:tab w:val="left" w:pos="567"/>
              </w:tabs>
              <w:spacing w:before="40" w:after="40"/>
              <w:ind w:left="567" w:right="283" w:hanging="567"/>
            </w:pPr>
            <w:r>
              <w:t>(c)</w:t>
            </w:r>
            <w:r>
              <w:tab/>
              <w:t>boats propelled exclusively by oars or paddles, and sailboards</w:t>
            </w:r>
          </w:p>
        </w:tc>
        <w:tc>
          <w:tcPr>
            <w:tcW w:w="1276" w:type="dxa"/>
          </w:tcPr>
          <w:p>
            <w:pPr>
              <w:pStyle w:val="yTable"/>
              <w:spacing w:before="40" w:after="40"/>
              <w:ind w:right="141"/>
            </w:pPr>
            <w:r>
              <w:br/>
            </w:r>
            <w:r>
              <w:br/>
              <w:t>$45.20</w:t>
            </w:r>
          </w:p>
        </w:tc>
      </w:tr>
      <w:tr>
        <w:tc>
          <w:tcPr>
            <w:tcW w:w="3378" w:type="dxa"/>
          </w:tcPr>
          <w:p>
            <w:pPr>
              <w:pStyle w:val="yTable"/>
              <w:tabs>
                <w:tab w:val="left" w:pos="567"/>
              </w:tabs>
              <w:spacing w:before="40" w:after="40"/>
              <w:ind w:left="567" w:right="283" w:hanging="567"/>
            </w:pPr>
            <w:r>
              <w:t>(d)</w:t>
            </w:r>
            <w:r>
              <w:tab/>
              <w:t>all other boats exceeding 5 m in length (including houseboats)</w:t>
            </w:r>
          </w:p>
        </w:tc>
        <w:tc>
          <w:tcPr>
            <w:tcW w:w="1276" w:type="dxa"/>
          </w:tcPr>
          <w:p>
            <w:pPr>
              <w:pStyle w:val="yTable"/>
              <w:spacing w:before="40" w:after="40"/>
              <w:ind w:right="141"/>
            </w:pPr>
            <w:r>
              <w:br/>
              <w:t>fees set out in item 1</w:t>
            </w:r>
          </w:p>
        </w:tc>
      </w:tr>
    </w:tbl>
    <w:p>
      <w:pPr>
        <w:pStyle w:val="yFootnotesection"/>
      </w:pPr>
      <w:r>
        <w:tab/>
        <w:t>[Clause3 inserted in Gazette 24 Jun 2005 p. 2789.]</w:t>
      </w:r>
    </w:p>
    <w:p>
      <w:pPr>
        <w:pStyle w:val="yHeading5"/>
      </w:pPr>
      <w:bookmarkStart w:id="142" w:name="_Toc107747038"/>
      <w:r>
        <w:rPr>
          <w:rStyle w:val="CharSClsNo"/>
        </w:rPr>
        <w:t>4</w:t>
      </w:r>
      <w:r>
        <w:t>.</w:t>
      </w:r>
      <w:r>
        <w:tab/>
        <w:t>Annual exemption fee</w:t>
      </w:r>
      <w:bookmarkEnd w:id="142"/>
    </w:p>
    <w:p>
      <w:pPr>
        <w:pStyle w:val="ySubsection"/>
      </w:pPr>
      <w:r>
        <w:tab/>
        <w:t>(1)</w:t>
      </w:r>
      <w:r>
        <w:tab/>
        <w:t>The annual exemption fee where the length of the vessel —</w:t>
      </w:r>
    </w:p>
    <w:tbl>
      <w:tblPr>
        <w:tblW w:w="0" w:type="auto"/>
        <w:tblInd w:w="1436" w:type="dxa"/>
        <w:tblLayout w:type="fixed"/>
        <w:tblCellMar>
          <w:left w:w="0" w:type="dxa"/>
          <w:right w:w="0" w:type="dxa"/>
        </w:tblCellMar>
        <w:tblLook w:val="0000" w:firstRow="0" w:lastRow="0" w:firstColumn="0" w:lastColumn="0" w:noHBand="0" w:noVBand="0"/>
      </w:tblPr>
      <w:tblGrid>
        <w:gridCol w:w="3392"/>
        <w:gridCol w:w="1276"/>
      </w:tblGrid>
      <w:tr>
        <w:tc>
          <w:tcPr>
            <w:tcW w:w="3392" w:type="dxa"/>
          </w:tcPr>
          <w:p>
            <w:pPr>
              <w:pStyle w:val="yTable"/>
              <w:tabs>
                <w:tab w:val="left" w:pos="567"/>
              </w:tabs>
              <w:spacing w:before="40" w:after="40"/>
              <w:ind w:left="567" w:hanging="567"/>
            </w:pPr>
            <w:r>
              <w:t>(a)</w:t>
            </w:r>
            <w:r>
              <w:tab/>
              <w:t>does not exceed 5 m</w:t>
            </w:r>
          </w:p>
        </w:tc>
        <w:tc>
          <w:tcPr>
            <w:tcW w:w="1276" w:type="dxa"/>
          </w:tcPr>
          <w:p>
            <w:pPr>
              <w:pStyle w:val="yTable"/>
              <w:spacing w:before="40" w:after="40"/>
              <w:ind w:right="141"/>
            </w:pPr>
            <w:r>
              <w:t>$60.40</w:t>
            </w:r>
          </w:p>
        </w:tc>
      </w:tr>
      <w:tr>
        <w:tc>
          <w:tcPr>
            <w:tcW w:w="3392" w:type="dxa"/>
          </w:tcPr>
          <w:p>
            <w:pPr>
              <w:pStyle w:val="yTable"/>
              <w:tabs>
                <w:tab w:val="left" w:pos="567"/>
              </w:tabs>
              <w:spacing w:before="40" w:after="40"/>
              <w:ind w:left="567" w:hanging="567"/>
            </w:pPr>
            <w:r>
              <w:t>(b)</w:t>
            </w:r>
            <w:r>
              <w:tab/>
              <w:t>exceeds 5 m but does not exceed 10 m</w:t>
            </w:r>
          </w:p>
        </w:tc>
        <w:tc>
          <w:tcPr>
            <w:tcW w:w="1276" w:type="dxa"/>
          </w:tcPr>
          <w:p>
            <w:pPr>
              <w:pStyle w:val="yTable"/>
              <w:spacing w:before="40" w:after="40"/>
              <w:ind w:right="141"/>
            </w:pPr>
            <w:r>
              <w:br/>
              <w:t>$120.80</w:t>
            </w:r>
          </w:p>
        </w:tc>
      </w:tr>
      <w:tr>
        <w:tc>
          <w:tcPr>
            <w:tcW w:w="3392" w:type="dxa"/>
          </w:tcPr>
          <w:p>
            <w:pPr>
              <w:pStyle w:val="yTable"/>
              <w:tabs>
                <w:tab w:val="left" w:pos="567"/>
              </w:tabs>
              <w:spacing w:before="40" w:after="40"/>
              <w:ind w:left="567" w:hanging="567"/>
            </w:pPr>
            <w:r>
              <w:t>(c)</w:t>
            </w:r>
            <w:r>
              <w:tab/>
              <w:t>exceeds 10 m but does not exceed 20 m</w:t>
            </w:r>
          </w:p>
        </w:tc>
        <w:tc>
          <w:tcPr>
            <w:tcW w:w="1276" w:type="dxa"/>
          </w:tcPr>
          <w:p>
            <w:pPr>
              <w:pStyle w:val="yTable"/>
              <w:spacing w:before="40" w:after="40"/>
              <w:ind w:right="141"/>
            </w:pPr>
            <w:r>
              <w:br/>
              <w:t>$223.10</w:t>
            </w:r>
          </w:p>
        </w:tc>
      </w:tr>
      <w:tr>
        <w:tc>
          <w:tcPr>
            <w:tcW w:w="3392" w:type="dxa"/>
          </w:tcPr>
          <w:p>
            <w:pPr>
              <w:pStyle w:val="yTable"/>
              <w:tabs>
                <w:tab w:val="left" w:pos="567"/>
              </w:tabs>
              <w:spacing w:before="40" w:after="40"/>
              <w:ind w:left="567" w:hanging="567"/>
            </w:pPr>
            <w:r>
              <w:t>(d)</w:t>
            </w:r>
            <w:r>
              <w:tab/>
              <w:t>exceeds 20 m but does not exceed 30 m</w:t>
            </w:r>
          </w:p>
        </w:tc>
        <w:tc>
          <w:tcPr>
            <w:tcW w:w="1276" w:type="dxa"/>
          </w:tcPr>
          <w:p>
            <w:pPr>
              <w:pStyle w:val="yTable"/>
              <w:spacing w:before="40" w:after="40"/>
              <w:ind w:right="141"/>
            </w:pPr>
            <w:r>
              <w:br/>
              <w:t>$304.00</w:t>
            </w:r>
          </w:p>
        </w:tc>
      </w:tr>
    </w:tbl>
    <w:p>
      <w:pPr>
        <w:pStyle w:val="ySubsection"/>
      </w:pPr>
      <w:r>
        <w:tab/>
        <w:t>(2)</w:t>
      </w:r>
      <w:r>
        <w:tab/>
        <w:t>Recording of transfer of vessel</w:t>
      </w:r>
      <w:r>
        <w:tab/>
        <w:t>$30.10</w:t>
      </w:r>
    </w:p>
    <w:p>
      <w:pPr>
        <w:pStyle w:val="yFootnotesection"/>
      </w:pPr>
      <w:r>
        <w:tab/>
        <w:t>[Clause 4 inserted in Gazette 24 Jun 2005 p. 2789.]</w:t>
      </w:r>
    </w:p>
    <w:p>
      <w:pPr>
        <w:pStyle w:val="yFootnotesection"/>
      </w:pPr>
      <w:r>
        <w:tab/>
        <w:t>[Schedule 1 inserted in Gazette 25 Jun 2004 p. 2251</w:t>
      </w:r>
      <w:r>
        <w:noBreakHyphen/>
        <w:t>60; amended in Gazette 24 Jun 2005 p. 2785-9.]</w:t>
      </w:r>
    </w:p>
    <w:p>
      <w:pPr>
        <w:pStyle w:val="yScheduleHeading"/>
      </w:pPr>
      <w:bookmarkStart w:id="143" w:name="_Toc107747039"/>
      <w:r>
        <w:rPr>
          <w:rStyle w:val="CharSchNo"/>
        </w:rPr>
        <w:t>Schedule 2</w:t>
      </w:r>
      <w:bookmarkEnd w:id="137"/>
      <w:bookmarkEnd w:id="138"/>
      <w:bookmarkEnd w:id="143"/>
    </w:p>
    <w:p>
      <w:pPr>
        <w:pStyle w:val="yHeading2"/>
      </w:pPr>
      <w:bookmarkStart w:id="144" w:name="_Toc18137713"/>
      <w:bookmarkStart w:id="145" w:name="_Toc107747040"/>
      <w:r>
        <w:rPr>
          <w:rStyle w:val="CharSchText"/>
        </w:rPr>
        <w:t>Survey requirements and intervals</w:t>
      </w:r>
      <w:bookmarkEnd w:id="144"/>
      <w:bookmarkEnd w:id="145"/>
    </w:p>
    <w:p>
      <w:pPr>
        <w:pStyle w:val="yTable"/>
        <w:jc w:val="right"/>
      </w:pPr>
      <w:r>
        <w:t xml:space="preserve"> [r.6]</w:t>
      </w:r>
    </w:p>
    <w:p>
      <w:pPr>
        <w:pStyle w:val="yTable"/>
        <w:jc w:val="center"/>
        <w:rPr>
          <w:b/>
        </w:rPr>
      </w:pPr>
      <w:r>
        <w:rPr>
          <w:b/>
        </w:rPr>
        <w:t>Appendix II</w:t>
      </w:r>
    </w:p>
    <w:p>
      <w:pPr>
        <w:pStyle w:val="yTable"/>
        <w:spacing w:before="240"/>
      </w:pPr>
      <w:r>
        <w:t>In this Appendix items listed shall be subjected to a survey unless otherwise indicated.</w:t>
      </w:r>
    </w:p>
    <w:p>
      <w:pPr>
        <w:pStyle w:val="yTable"/>
        <w:spacing w:before="160"/>
        <w:jc w:val="center"/>
        <w:rPr>
          <w:b/>
        </w:rPr>
      </w:pPr>
      <w:r>
        <w:rPr>
          <w:b/>
        </w:rPr>
        <w:t>Part I — Vessels less than 35 metres in length</w:t>
      </w:r>
    </w:p>
    <w:p>
      <w:pPr>
        <w:pStyle w:val="yTable"/>
        <w:spacing w:before="120"/>
      </w:pPr>
      <w:r>
        <w:rPr>
          <w:b/>
        </w:rPr>
        <w:t>Annual Surveys</w:t>
      </w:r>
    </w:p>
    <w:p>
      <w:pPr>
        <w:pStyle w:val="yTable"/>
        <w:tabs>
          <w:tab w:val="left" w:pos="567"/>
        </w:tabs>
        <w:ind w:left="567" w:hanging="567"/>
      </w:pPr>
      <w:r>
        <w:t>1.</w:t>
      </w:r>
      <w:r>
        <w:tab/>
        <w:t>Equipment.</w:t>
      </w:r>
    </w:p>
    <w:p>
      <w:pPr>
        <w:pStyle w:val="yTable"/>
        <w:tabs>
          <w:tab w:val="left" w:pos="567"/>
        </w:tabs>
        <w:ind w:left="567" w:hanging="567"/>
      </w:pPr>
      <w:r>
        <w:t>2.</w:t>
      </w:r>
      <w:r>
        <w:tab/>
        <w:t>Running trial of each main engine and associated gear box.</w:t>
      </w:r>
    </w:p>
    <w:p>
      <w:pPr>
        <w:pStyle w:val="yTable"/>
        <w:tabs>
          <w:tab w:val="left" w:pos="567"/>
        </w:tabs>
        <w:ind w:left="567" w:hanging="567"/>
      </w:pPr>
      <w:r>
        <w:t>3.</w:t>
      </w:r>
      <w:r>
        <w:tab/>
        <w:t>Operational test of bilge pumps, bilge alarms and bilge valves.</w:t>
      </w:r>
    </w:p>
    <w:p>
      <w:pPr>
        <w:pStyle w:val="yTable"/>
        <w:tabs>
          <w:tab w:val="left" w:pos="567"/>
        </w:tabs>
        <w:ind w:left="567" w:hanging="567"/>
      </w:pPr>
      <w:r>
        <w:t>4.</w:t>
      </w:r>
      <w:r>
        <w:tab/>
        <w:t>Operational test of all valves in the fire main systems.</w:t>
      </w:r>
    </w:p>
    <w:p>
      <w:pPr>
        <w:pStyle w:val="yTable"/>
        <w:tabs>
          <w:tab w:val="left" w:pos="567"/>
        </w:tabs>
        <w:ind w:left="567" w:hanging="567"/>
      </w:pPr>
      <w:r>
        <w:t>5.</w:t>
      </w:r>
      <w:r>
        <w:tab/>
        <w:t>Operational test of all sea injections and overboard discharge valves and cocks.</w:t>
      </w:r>
    </w:p>
    <w:p>
      <w:pPr>
        <w:pStyle w:val="yTable"/>
        <w:tabs>
          <w:tab w:val="left" w:pos="567"/>
        </w:tabs>
        <w:ind w:left="567" w:hanging="567"/>
      </w:pPr>
      <w:r>
        <w:t>6.</w:t>
      </w:r>
      <w:r>
        <w:tab/>
        <w:t>Operational test of main and emergency means of steering.</w:t>
      </w:r>
    </w:p>
    <w:p>
      <w:pPr>
        <w:pStyle w:val="yTable"/>
        <w:tabs>
          <w:tab w:val="left" w:pos="567"/>
        </w:tabs>
        <w:ind w:left="567" w:hanging="567"/>
      </w:pPr>
      <w:r>
        <w:t>7.</w:t>
      </w:r>
      <w:r>
        <w:tab/>
        <w:t>Running trial of all machinery essential to the safe operation of the vessel.</w:t>
      </w:r>
    </w:p>
    <w:p>
      <w:pPr>
        <w:pStyle w:val="yTable"/>
        <w:tabs>
          <w:tab w:val="left" w:pos="567"/>
        </w:tabs>
        <w:ind w:left="567" w:hanging="567"/>
      </w:pPr>
      <w:r>
        <w:t>8.</w:t>
      </w:r>
      <w:r>
        <w:tab/>
        <w:t>Inspection of all pipe arrangements.</w:t>
      </w:r>
    </w:p>
    <w:p>
      <w:pPr>
        <w:pStyle w:val="yTable"/>
        <w:tabs>
          <w:tab w:val="left" w:pos="567"/>
        </w:tabs>
        <w:ind w:left="567" w:hanging="567"/>
      </w:pPr>
      <w:r>
        <w:t>9.</w:t>
      </w:r>
      <w:r>
        <w:tab/>
        <w:t>General examination of machinery installation and electrical installation.</w:t>
      </w:r>
    </w:p>
    <w:p>
      <w:pPr>
        <w:pStyle w:val="yTable"/>
        <w:tabs>
          <w:tab w:val="left" w:pos="567"/>
        </w:tabs>
        <w:ind w:left="567" w:hanging="567"/>
      </w:pPr>
      <w:r>
        <w:t>10.</w:t>
      </w:r>
      <w:r>
        <w:tab/>
        <w:t>All safety and relief valves associated with the safe operation of the vessel to be set at the required working pressure.</w:t>
      </w:r>
    </w:p>
    <w:p>
      <w:pPr>
        <w:pStyle w:val="yTable"/>
        <w:tabs>
          <w:tab w:val="left" w:pos="567"/>
        </w:tabs>
        <w:ind w:left="567" w:hanging="567"/>
      </w:pPr>
      <w:r>
        <w:t>11.</w:t>
      </w:r>
      <w:r>
        <w:tab/>
        <w:t>Pressure vessels, and associated mountings used for the generation of steam under pressure or the heating of water to a temperature exceeding 99</w:t>
      </w:r>
      <w:r>
        <w:rPr>
          <w:vertAlign w:val="superscript"/>
        </w:rPr>
        <w:t>o</w:t>
      </w:r>
      <w:r>
        <w:t>C.</w:t>
      </w:r>
    </w:p>
    <w:p>
      <w:pPr>
        <w:pStyle w:val="yTable"/>
        <w:tabs>
          <w:tab w:val="left" w:pos="567"/>
        </w:tabs>
        <w:ind w:left="567" w:hanging="567"/>
      </w:pPr>
      <w:r>
        <w:t>12.</w:t>
      </w:r>
      <w:r>
        <w:tab/>
        <w:t>Inspection of the liquefied petroleum gas installation.</w:t>
      </w:r>
    </w:p>
    <w:p>
      <w:pPr>
        <w:pStyle w:val="yTable"/>
        <w:tabs>
          <w:tab w:val="left" w:pos="567"/>
        </w:tabs>
        <w:ind w:left="567" w:hanging="567"/>
      </w:pPr>
      <w:r>
        <w:t>13.</w:t>
      </w:r>
      <w:r>
        <w:tab/>
        <w:t>Inspection of cargo handling, fishing and trawling gear.</w:t>
      </w:r>
    </w:p>
    <w:p>
      <w:pPr>
        <w:pStyle w:val="yTable"/>
        <w:tabs>
          <w:tab w:val="left" w:pos="567"/>
        </w:tabs>
        <w:ind w:left="567" w:hanging="567"/>
      </w:pPr>
      <w:r>
        <w:t>14.</w:t>
      </w:r>
      <w:r>
        <w:tab/>
        <w:t>Inspection of escapes from engine room and accommodation spaces.</w:t>
      </w:r>
    </w:p>
    <w:p>
      <w:pPr>
        <w:pStyle w:val="yTable"/>
        <w:tabs>
          <w:tab w:val="left" w:pos="567"/>
        </w:tabs>
        <w:ind w:left="567" w:hanging="567"/>
      </w:pPr>
      <w:r>
        <w:t>15.</w:t>
      </w:r>
      <w:r>
        <w:tab/>
        <w:t>Inspection of personnel protection arrangements in machinery spaces.</w:t>
      </w:r>
    </w:p>
    <w:p>
      <w:pPr>
        <w:pStyle w:val="yTable"/>
        <w:tabs>
          <w:tab w:val="left" w:pos="567"/>
        </w:tabs>
        <w:ind w:left="567" w:hanging="567"/>
      </w:pPr>
      <w:r>
        <w:t>16.</w:t>
      </w:r>
      <w:r>
        <w:tab/>
        <w:t>Inspection of casings, superstructures, skylights, hatchways, companionways, bulwarks and guard rails, ventilators and air pipes, together with all closing devices.</w:t>
      </w:r>
    </w:p>
    <w:p>
      <w:pPr>
        <w:pStyle w:val="yTable"/>
        <w:tabs>
          <w:tab w:val="left" w:pos="567"/>
        </w:tabs>
        <w:ind w:left="567" w:hanging="567"/>
      </w:pPr>
      <w:r>
        <w:t>17.</w:t>
      </w:r>
      <w:r>
        <w:tab/>
        <w:t>Inspection of ground tackle.</w:t>
      </w:r>
    </w:p>
    <w:p>
      <w:pPr>
        <w:pStyle w:val="yTable"/>
        <w:tabs>
          <w:tab w:val="left" w:pos="567"/>
        </w:tabs>
        <w:spacing w:before="160"/>
        <w:ind w:left="567" w:hanging="567"/>
      </w:pPr>
      <w:r>
        <w:rPr>
          <w:b/>
        </w:rPr>
        <w:t>2</w:t>
      </w:r>
      <w:r>
        <w:rPr>
          <w:b/>
        </w:rPr>
        <w:noBreakHyphen/>
        <w:t>Yearly Surveys</w:t>
      </w:r>
    </w:p>
    <w:p>
      <w:pPr>
        <w:pStyle w:val="yTable"/>
        <w:tabs>
          <w:tab w:val="left" w:pos="567"/>
        </w:tabs>
        <w:ind w:left="567" w:hanging="567"/>
      </w:pPr>
      <w:r>
        <w:t>18.</w:t>
      </w:r>
      <w:r>
        <w:tab/>
        <w:t>Hull externally and internally except in way of tanks forming part of the structure.</w:t>
      </w:r>
    </w:p>
    <w:p>
      <w:pPr>
        <w:pStyle w:val="yTable"/>
        <w:tabs>
          <w:tab w:val="left" w:pos="567"/>
        </w:tabs>
        <w:ind w:left="567" w:hanging="567"/>
      </w:pPr>
      <w:r>
        <w:t>19.</w:t>
      </w:r>
      <w:r>
        <w:tab/>
        <w:t>Sea injection and overboard discharge valves and cocks.</w:t>
      </w:r>
    </w:p>
    <w:p>
      <w:pPr>
        <w:pStyle w:val="yTable"/>
        <w:tabs>
          <w:tab w:val="left" w:pos="567"/>
        </w:tabs>
        <w:ind w:left="567" w:hanging="567"/>
      </w:pPr>
      <w:r>
        <w:t>20.</w:t>
      </w:r>
      <w:r>
        <w:tab/>
        <w:t>Inspection of propellers, rudders and underwater fittings.</w:t>
      </w:r>
    </w:p>
    <w:p>
      <w:pPr>
        <w:pStyle w:val="yTable"/>
        <w:tabs>
          <w:tab w:val="left" w:pos="567"/>
        </w:tabs>
        <w:ind w:left="567" w:hanging="567"/>
      </w:pPr>
      <w:r>
        <w:t>21.</w:t>
      </w:r>
      <w:r>
        <w:tab/>
        <w:t>Pressure vessel and associated mountings, of an air pressure/salt water system having a working pressure of more than 275 kPa.</w:t>
      </w:r>
    </w:p>
    <w:p>
      <w:pPr>
        <w:pStyle w:val="yTable"/>
        <w:tabs>
          <w:tab w:val="left" w:pos="567"/>
        </w:tabs>
        <w:spacing w:before="160"/>
        <w:ind w:left="567" w:hanging="567"/>
      </w:pPr>
      <w:r>
        <w:rPr>
          <w:b/>
        </w:rPr>
        <w:t>4</w:t>
      </w:r>
      <w:r>
        <w:rPr>
          <w:b/>
        </w:rPr>
        <w:noBreakHyphen/>
        <w:t>Yearly Surveys</w:t>
      </w:r>
    </w:p>
    <w:p>
      <w:pPr>
        <w:pStyle w:val="yTable"/>
        <w:tabs>
          <w:tab w:val="left" w:pos="567"/>
        </w:tabs>
        <w:ind w:left="567" w:hanging="567"/>
      </w:pPr>
      <w:r>
        <w:t>22.</w:t>
      </w:r>
      <w:r>
        <w:tab/>
        <w:t>Each screw and tube shaft.</w:t>
      </w:r>
    </w:p>
    <w:p>
      <w:pPr>
        <w:pStyle w:val="yTable"/>
        <w:tabs>
          <w:tab w:val="left" w:pos="567"/>
        </w:tabs>
        <w:ind w:left="567" w:hanging="567"/>
      </w:pPr>
      <w:r>
        <w:t>23.</w:t>
      </w:r>
      <w:r>
        <w:tab/>
        <w:t>Anchors and cables to range.</w:t>
      </w:r>
    </w:p>
    <w:p>
      <w:pPr>
        <w:pStyle w:val="yTable"/>
        <w:tabs>
          <w:tab w:val="left" w:pos="567"/>
        </w:tabs>
        <w:ind w:left="567" w:hanging="567"/>
      </w:pPr>
      <w:r>
        <w:t>24.</w:t>
      </w:r>
      <w:r>
        <w:tab/>
        <w:t>Chain locker internally.</w:t>
      </w:r>
    </w:p>
    <w:p>
      <w:pPr>
        <w:pStyle w:val="yTable"/>
        <w:tabs>
          <w:tab w:val="left" w:pos="567"/>
        </w:tabs>
        <w:ind w:left="567" w:hanging="567"/>
      </w:pPr>
      <w:r>
        <w:t>25.</w:t>
      </w:r>
      <w:r>
        <w:tab/>
        <w:t>Tanks forming part of the hull, other than oil tanks, internally.</w:t>
      </w:r>
    </w:p>
    <w:p>
      <w:pPr>
        <w:pStyle w:val="yTable"/>
        <w:tabs>
          <w:tab w:val="left" w:pos="567"/>
        </w:tabs>
        <w:ind w:left="567" w:hanging="567"/>
      </w:pPr>
      <w:r>
        <w:t>26.</w:t>
      </w:r>
      <w:r>
        <w:tab/>
        <w:t>Void spaces internally.</w:t>
      </w:r>
    </w:p>
    <w:p>
      <w:pPr>
        <w:pStyle w:val="yTable"/>
        <w:tabs>
          <w:tab w:val="left" w:pos="567"/>
        </w:tabs>
        <w:ind w:left="567" w:hanging="567"/>
      </w:pPr>
      <w:r>
        <w:t>27.</w:t>
      </w:r>
      <w:r>
        <w:tab/>
        <w:t>Compressed air pressure vessels having a working pressure of more than 275 kPa and associated mountings.</w:t>
      </w:r>
    </w:p>
    <w:p>
      <w:pPr>
        <w:pStyle w:val="yTable"/>
        <w:tabs>
          <w:tab w:val="left" w:pos="567"/>
        </w:tabs>
        <w:ind w:left="567" w:hanging="567"/>
      </w:pPr>
      <w:r>
        <w:t>28.</w:t>
      </w:r>
      <w:r>
        <w:tab/>
        <w:t>Pressure vessel and associated mountings of an air pressure/fresh water system having a working pressure of more than 275 kPa.</w:t>
      </w:r>
    </w:p>
    <w:p>
      <w:pPr>
        <w:pStyle w:val="yTable"/>
        <w:tabs>
          <w:tab w:val="left" w:pos="567"/>
        </w:tabs>
        <w:ind w:left="567" w:hanging="567"/>
      </w:pPr>
      <w:r>
        <w:t>29.</w:t>
      </w:r>
      <w:r>
        <w:tab/>
        <w:t>Cargo handling, fishing and trawling gear.</w:t>
      </w:r>
    </w:p>
    <w:p>
      <w:pPr>
        <w:pStyle w:val="yTable"/>
        <w:tabs>
          <w:tab w:val="left" w:pos="567"/>
        </w:tabs>
        <w:ind w:left="567" w:hanging="567"/>
      </w:pPr>
      <w:r>
        <w:t>30.</w:t>
      </w:r>
      <w:r>
        <w:tab/>
        <w:t>Insulation tests of all electrical installations above 32V A.C. or D.C.</w:t>
      </w:r>
    </w:p>
    <w:p>
      <w:pPr>
        <w:pStyle w:val="yTable"/>
        <w:tabs>
          <w:tab w:val="left" w:pos="567"/>
        </w:tabs>
        <w:spacing w:before="160"/>
        <w:ind w:left="567" w:hanging="567"/>
      </w:pPr>
      <w:r>
        <w:rPr>
          <w:b/>
        </w:rPr>
        <w:t>8</w:t>
      </w:r>
      <w:r>
        <w:rPr>
          <w:b/>
        </w:rPr>
        <w:noBreakHyphen/>
        <w:t>Yearly Surveys</w:t>
      </w:r>
    </w:p>
    <w:p>
      <w:pPr>
        <w:pStyle w:val="yTable"/>
        <w:tabs>
          <w:tab w:val="left" w:pos="567"/>
        </w:tabs>
        <w:ind w:left="567" w:hanging="567"/>
      </w:pPr>
      <w:r>
        <w:t>31.</w:t>
      </w:r>
      <w:r>
        <w:tab/>
        <w:t>Each rudder stock and rudder stock bearing.</w:t>
      </w:r>
    </w:p>
    <w:p>
      <w:pPr>
        <w:pStyle w:val="yTable"/>
        <w:tabs>
          <w:tab w:val="left" w:pos="567"/>
        </w:tabs>
        <w:ind w:left="567" w:hanging="567"/>
      </w:pPr>
      <w:r>
        <w:t>32.</w:t>
      </w:r>
      <w:r>
        <w:tab/>
        <w:t>Steering gear.</w:t>
      </w:r>
    </w:p>
    <w:p>
      <w:pPr>
        <w:pStyle w:val="yTable"/>
        <w:tabs>
          <w:tab w:val="left" w:pos="567"/>
        </w:tabs>
        <w:ind w:left="567" w:hanging="567"/>
      </w:pPr>
      <w:r>
        <w:t>33.</w:t>
      </w:r>
      <w:r>
        <w:tab/>
        <w:t>Hull in way of removable ballast.</w:t>
      </w:r>
    </w:p>
    <w:p>
      <w:pPr>
        <w:pStyle w:val="yTable"/>
        <w:tabs>
          <w:tab w:val="left" w:pos="567"/>
        </w:tabs>
        <w:ind w:left="567" w:hanging="567"/>
      </w:pPr>
      <w:r>
        <w:t>34.</w:t>
      </w:r>
      <w:r>
        <w:tab/>
        <w:t>Selected sections of internal structure in way of refrigerated space.</w:t>
      </w:r>
    </w:p>
    <w:p>
      <w:pPr>
        <w:pStyle w:val="yTable"/>
        <w:tabs>
          <w:tab w:val="left" w:pos="567"/>
        </w:tabs>
        <w:spacing w:before="160"/>
        <w:ind w:left="567" w:hanging="567"/>
      </w:pPr>
      <w:r>
        <w:rPr>
          <w:b/>
        </w:rPr>
        <w:t>12</w:t>
      </w:r>
      <w:r>
        <w:rPr>
          <w:b/>
        </w:rPr>
        <w:noBreakHyphen/>
        <w:t>Yearly Surveys</w:t>
      </w:r>
    </w:p>
    <w:p>
      <w:pPr>
        <w:pStyle w:val="yTable"/>
        <w:tabs>
          <w:tab w:val="left" w:pos="567"/>
        </w:tabs>
        <w:ind w:left="567" w:hanging="567"/>
      </w:pPr>
      <w:r>
        <w:t>35.</w:t>
      </w:r>
      <w:r>
        <w:tab/>
        <w:t>Fuel oil tanks internally.</w:t>
      </w:r>
    </w:p>
    <w:p>
      <w:pPr>
        <w:pStyle w:val="yTable"/>
        <w:tabs>
          <w:tab w:val="left" w:pos="567"/>
        </w:tabs>
        <w:spacing w:before="160"/>
        <w:ind w:left="567" w:hanging="567"/>
      </w:pPr>
      <w:r>
        <w:rPr>
          <w:b/>
        </w:rPr>
        <w:t>Other Survey Periods</w:t>
      </w:r>
    </w:p>
    <w:p>
      <w:pPr>
        <w:pStyle w:val="yTable"/>
        <w:tabs>
          <w:tab w:val="left" w:pos="567"/>
        </w:tabs>
        <w:ind w:left="567" w:hanging="567"/>
      </w:pPr>
      <w:r>
        <w:t>36.</w:t>
      </w:r>
      <w:r>
        <w:tab/>
        <w:t>The survey period for an item not specified in this Part shall be that period determined by the Authority.</w:t>
      </w:r>
    </w:p>
    <w:p>
      <w:pPr>
        <w:pStyle w:val="yTable"/>
        <w:spacing w:before="160"/>
        <w:jc w:val="center"/>
        <w:rPr>
          <w:b/>
        </w:rPr>
      </w:pPr>
      <w:r>
        <w:rPr>
          <w:b/>
        </w:rPr>
        <w:t>Part II — Vessels of 35 metres in length and over</w:t>
      </w:r>
    </w:p>
    <w:p>
      <w:pPr>
        <w:pStyle w:val="yTable"/>
        <w:keepNext/>
        <w:tabs>
          <w:tab w:val="left" w:pos="567"/>
        </w:tabs>
        <w:spacing w:before="120"/>
        <w:ind w:left="567" w:hanging="567"/>
      </w:pPr>
      <w:r>
        <w:rPr>
          <w:b/>
        </w:rPr>
        <w:t>Annual Surveys</w:t>
      </w:r>
    </w:p>
    <w:p>
      <w:pPr>
        <w:pStyle w:val="yTable"/>
        <w:tabs>
          <w:tab w:val="left" w:pos="567"/>
        </w:tabs>
        <w:ind w:left="567" w:hanging="567"/>
      </w:pPr>
      <w:r>
        <w:t>1.</w:t>
      </w:r>
      <w:r>
        <w:tab/>
        <w:t>Equipment.</w:t>
      </w:r>
    </w:p>
    <w:p>
      <w:pPr>
        <w:pStyle w:val="yTable"/>
        <w:tabs>
          <w:tab w:val="left" w:pos="567"/>
        </w:tabs>
        <w:ind w:left="567" w:hanging="567"/>
      </w:pPr>
      <w:r>
        <w:t>2.</w:t>
      </w:r>
      <w:r>
        <w:tab/>
        <w:t>Running trial of each main engine and associated gear box.</w:t>
      </w:r>
    </w:p>
    <w:p>
      <w:pPr>
        <w:pStyle w:val="yTable"/>
        <w:tabs>
          <w:tab w:val="left" w:pos="567"/>
        </w:tabs>
        <w:ind w:left="567" w:hanging="567"/>
      </w:pPr>
      <w:r>
        <w:t>3.</w:t>
      </w:r>
      <w:r>
        <w:tab/>
        <w:t>Operation test of all valves in the fire main system.</w:t>
      </w:r>
    </w:p>
    <w:p>
      <w:pPr>
        <w:pStyle w:val="yTable"/>
        <w:tabs>
          <w:tab w:val="left" w:pos="567"/>
        </w:tabs>
        <w:ind w:left="567" w:hanging="567"/>
      </w:pPr>
      <w:r>
        <w:t>4.</w:t>
      </w:r>
      <w:r>
        <w:tab/>
        <w:t>Operational test of all sea injection and overboard discharge valves and cocks.</w:t>
      </w:r>
    </w:p>
    <w:p>
      <w:pPr>
        <w:pStyle w:val="yTable"/>
        <w:tabs>
          <w:tab w:val="left" w:pos="567"/>
        </w:tabs>
        <w:ind w:left="567" w:hanging="567"/>
      </w:pPr>
      <w:r>
        <w:t>5.</w:t>
      </w:r>
      <w:r>
        <w:tab/>
        <w:t>Operational test of main and emergency means of steering.</w:t>
      </w:r>
    </w:p>
    <w:p>
      <w:pPr>
        <w:pStyle w:val="yTable"/>
        <w:tabs>
          <w:tab w:val="left" w:pos="567"/>
        </w:tabs>
        <w:ind w:left="567" w:hanging="567"/>
      </w:pPr>
      <w:r>
        <w:t>6.</w:t>
      </w:r>
      <w:r>
        <w:tab/>
        <w:t>Running trial of all machinery essential to the safe operation of the vessel.</w:t>
      </w:r>
    </w:p>
    <w:p>
      <w:pPr>
        <w:pStyle w:val="yTable"/>
        <w:tabs>
          <w:tab w:val="left" w:pos="567"/>
        </w:tabs>
        <w:ind w:left="567" w:hanging="567"/>
      </w:pPr>
      <w:r>
        <w:t>7.</w:t>
      </w:r>
      <w:r>
        <w:tab/>
        <w:t>Inspection of all pipe arrangements.</w:t>
      </w:r>
    </w:p>
    <w:p>
      <w:pPr>
        <w:pStyle w:val="yTable"/>
        <w:tabs>
          <w:tab w:val="left" w:pos="567"/>
        </w:tabs>
        <w:ind w:left="567" w:hanging="567"/>
      </w:pPr>
      <w:r>
        <w:t>8.</w:t>
      </w:r>
      <w:r>
        <w:tab/>
        <w:t>General inspection of machinery installation and electrical installation.</w:t>
      </w:r>
    </w:p>
    <w:p>
      <w:pPr>
        <w:pStyle w:val="yTable"/>
        <w:tabs>
          <w:tab w:val="left" w:pos="567"/>
        </w:tabs>
        <w:ind w:left="567" w:hanging="567"/>
      </w:pPr>
      <w:r>
        <w:t>9.</w:t>
      </w:r>
      <w:r>
        <w:tab/>
        <w:t>All safety and relief valves associated with the safe operation of the vessel to be set at the required working pressure.</w:t>
      </w:r>
    </w:p>
    <w:p>
      <w:pPr>
        <w:pStyle w:val="yTable"/>
        <w:tabs>
          <w:tab w:val="left" w:pos="567"/>
        </w:tabs>
        <w:ind w:left="567" w:hanging="567"/>
      </w:pPr>
      <w:r>
        <w:t>10.</w:t>
      </w:r>
      <w:r>
        <w:tab/>
        <w:t>Pressure vessels used for the generation of steam at a pressure not exceeding 345 kPa or for heating water to a temperature exceeding 99</w:t>
      </w:r>
      <w:r>
        <w:rPr>
          <w:vertAlign w:val="superscript"/>
        </w:rPr>
        <w:t>o</w:t>
      </w:r>
      <w:r>
        <w:t>C together with their associated mountings (not being a boiler referred to in items 16 and 23).</w:t>
      </w:r>
    </w:p>
    <w:p>
      <w:pPr>
        <w:pStyle w:val="yTable"/>
        <w:tabs>
          <w:tab w:val="left" w:pos="567"/>
        </w:tabs>
        <w:ind w:left="567" w:hanging="567"/>
      </w:pPr>
      <w:r>
        <w:t>11.</w:t>
      </w:r>
      <w:r>
        <w:tab/>
        <w:t>Inspection of the liquefied petroleum gas installation.</w:t>
      </w:r>
    </w:p>
    <w:p>
      <w:pPr>
        <w:pStyle w:val="yTable"/>
        <w:tabs>
          <w:tab w:val="left" w:pos="567"/>
        </w:tabs>
        <w:ind w:left="567" w:hanging="567"/>
      </w:pPr>
      <w:r>
        <w:t>12.</w:t>
      </w:r>
      <w:r>
        <w:tab/>
        <w:t>Inspection of cargo handling, fishing and trawling gear.</w:t>
      </w:r>
    </w:p>
    <w:p>
      <w:pPr>
        <w:pStyle w:val="yTable"/>
        <w:tabs>
          <w:tab w:val="left" w:pos="567"/>
        </w:tabs>
        <w:ind w:left="567" w:hanging="567"/>
      </w:pPr>
      <w:r>
        <w:t>13.</w:t>
      </w:r>
      <w:r>
        <w:tab/>
        <w:t>Inspection of escapes from engine room and accommodation spaces.</w:t>
      </w:r>
    </w:p>
    <w:p>
      <w:pPr>
        <w:pStyle w:val="yTable"/>
        <w:tabs>
          <w:tab w:val="left" w:pos="567"/>
        </w:tabs>
        <w:ind w:left="567" w:hanging="567"/>
      </w:pPr>
      <w:r>
        <w:t>14.</w:t>
      </w:r>
      <w:r>
        <w:tab/>
        <w:t>Inspection of personnel protection arrangements in machinery spaces.</w:t>
      </w:r>
    </w:p>
    <w:p>
      <w:pPr>
        <w:pStyle w:val="yTable"/>
        <w:tabs>
          <w:tab w:val="left" w:pos="567"/>
        </w:tabs>
        <w:ind w:left="567" w:hanging="567"/>
      </w:pPr>
      <w:r>
        <w:t>15.</w:t>
      </w:r>
      <w:r>
        <w:tab/>
        <w:t>Inspection of casings, superstructures, skylights, hatchways, companionways, bulwarks and guard rails, ventilators and air pipes, together with all closing devices.</w:t>
      </w:r>
    </w:p>
    <w:p>
      <w:pPr>
        <w:pStyle w:val="yTable"/>
        <w:tabs>
          <w:tab w:val="left" w:pos="567"/>
        </w:tabs>
        <w:ind w:left="567" w:hanging="567"/>
      </w:pPr>
      <w:r>
        <w:t>16.</w:t>
      </w:r>
      <w:r>
        <w:tab/>
        <w:t>A boiler and its mountings where the boiler has been in service for more than 8 years (not being a pressure vessel referred to in item 10).</w:t>
      </w:r>
    </w:p>
    <w:p>
      <w:pPr>
        <w:pStyle w:val="yTable"/>
        <w:tabs>
          <w:tab w:val="left" w:pos="567"/>
        </w:tabs>
        <w:ind w:left="567" w:hanging="567"/>
      </w:pPr>
      <w:r>
        <w:t>17.</w:t>
      </w:r>
      <w:r>
        <w:tab/>
        <w:t>An evaporator and its mountings which has been in service for more than 8 years, and in which the operating pressure is above atmospheric.</w:t>
      </w:r>
    </w:p>
    <w:p>
      <w:pPr>
        <w:pStyle w:val="yTable"/>
        <w:tabs>
          <w:tab w:val="left" w:pos="567"/>
        </w:tabs>
        <w:spacing w:before="160"/>
        <w:ind w:left="567" w:hanging="567"/>
      </w:pPr>
      <w:r>
        <w:rPr>
          <w:b/>
        </w:rPr>
        <w:t>2</w:t>
      </w:r>
      <w:r>
        <w:rPr>
          <w:b/>
        </w:rPr>
        <w:noBreakHyphen/>
        <w:t>Yearly Surveys</w:t>
      </w:r>
    </w:p>
    <w:p>
      <w:pPr>
        <w:pStyle w:val="yTable"/>
        <w:tabs>
          <w:tab w:val="left" w:pos="567"/>
        </w:tabs>
        <w:ind w:left="567" w:hanging="567"/>
      </w:pPr>
      <w:r>
        <w:t>18.</w:t>
      </w:r>
      <w:r>
        <w:tab/>
        <w:t>Hull externally and internally except in way of tanks forming part of the structure.</w:t>
      </w:r>
    </w:p>
    <w:p>
      <w:pPr>
        <w:pStyle w:val="yTable"/>
        <w:tabs>
          <w:tab w:val="left" w:pos="567"/>
        </w:tabs>
        <w:ind w:left="567" w:hanging="567"/>
      </w:pPr>
      <w:r>
        <w:t>19.</w:t>
      </w:r>
      <w:r>
        <w:tab/>
        <w:t>Sea cocks and valves, bilge injection valves and overboard discharge valves, of ferrous construction.</w:t>
      </w:r>
    </w:p>
    <w:p>
      <w:pPr>
        <w:pStyle w:val="yTable"/>
        <w:tabs>
          <w:tab w:val="left" w:pos="567"/>
        </w:tabs>
        <w:ind w:left="567" w:hanging="567"/>
      </w:pPr>
      <w:r>
        <w:t>20.</w:t>
      </w:r>
      <w:r>
        <w:tab/>
        <w:t>Inspection of propellers, rudders, and under water fittings.</w:t>
      </w:r>
    </w:p>
    <w:p>
      <w:pPr>
        <w:pStyle w:val="yTable"/>
        <w:tabs>
          <w:tab w:val="left" w:pos="567"/>
        </w:tabs>
        <w:ind w:left="567" w:hanging="567"/>
      </w:pPr>
      <w:r>
        <w:t>21.</w:t>
      </w:r>
      <w:r>
        <w:tab/>
        <w:t>Operational test of bilge pumps, bilge valves and bilge alarms.</w:t>
      </w:r>
    </w:p>
    <w:p>
      <w:pPr>
        <w:pStyle w:val="yTable"/>
        <w:tabs>
          <w:tab w:val="left" w:pos="567"/>
        </w:tabs>
        <w:ind w:left="567" w:hanging="567"/>
      </w:pPr>
      <w:r>
        <w:t>22.</w:t>
      </w:r>
      <w:r>
        <w:tab/>
        <w:t>Pressure vessel and associate mountings of an air pressure/salt system having a working pressure of more than 275 kPa.</w:t>
      </w:r>
    </w:p>
    <w:p>
      <w:pPr>
        <w:pStyle w:val="yTable"/>
        <w:tabs>
          <w:tab w:val="left" w:pos="567"/>
        </w:tabs>
        <w:ind w:left="567" w:hanging="567"/>
      </w:pPr>
      <w:r>
        <w:t>23.</w:t>
      </w:r>
      <w:r>
        <w:tab/>
        <w:t>A boiler and its mountings where the boiler has been in service for less than 8 years (not being a pressure vessel referred to in item 10).</w:t>
      </w:r>
    </w:p>
    <w:p>
      <w:pPr>
        <w:pStyle w:val="yTable"/>
        <w:tabs>
          <w:tab w:val="left" w:pos="567"/>
        </w:tabs>
        <w:ind w:left="567" w:hanging="567"/>
      </w:pPr>
      <w:r>
        <w:t>24.</w:t>
      </w:r>
      <w:r>
        <w:tab/>
        <w:t>An evaporator and its mountings, which has been in service for less than 8 years, and in which the operating pressure is above atmospheric.</w:t>
      </w:r>
    </w:p>
    <w:p>
      <w:pPr>
        <w:pStyle w:val="yTable"/>
        <w:tabs>
          <w:tab w:val="left" w:pos="567"/>
        </w:tabs>
        <w:spacing w:before="160"/>
        <w:ind w:left="567" w:hanging="567"/>
        <w:rPr>
          <w:b/>
        </w:rPr>
      </w:pPr>
      <w:r>
        <w:rPr>
          <w:b/>
        </w:rPr>
        <w:t>4</w:t>
      </w:r>
      <w:r>
        <w:rPr>
          <w:b/>
        </w:rPr>
        <w:noBreakHyphen/>
        <w:t>Yearly Surveys</w:t>
      </w:r>
    </w:p>
    <w:p>
      <w:pPr>
        <w:pStyle w:val="yTable"/>
        <w:tabs>
          <w:tab w:val="left" w:pos="567"/>
        </w:tabs>
        <w:ind w:left="567" w:hanging="567"/>
      </w:pPr>
      <w:r>
        <w:t>25.</w:t>
      </w:r>
      <w:r>
        <w:tab/>
        <w:t>Sea cocks and valves, bilge injection valves and overboard discharge valves, of non</w:t>
      </w:r>
      <w:r>
        <w:noBreakHyphen/>
        <w:t>ferrous construction.</w:t>
      </w:r>
    </w:p>
    <w:p>
      <w:pPr>
        <w:pStyle w:val="yTable"/>
        <w:tabs>
          <w:tab w:val="left" w:pos="567"/>
        </w:tabs>
        <w:ind w:left="567" w:hanging="567"/>
      </w:pPr>
      <w:r>
        <w:t>26.</w:t>
      </w:r>
      <w:r>
        <w:tab/>
        <w:t>Bilge pumps.</w:t>
      </w:r>
    </w:p>
    <w:p>
      <w:pPr>
        <w:pStyle w:val="yTable"/>
        <w:tabs>
          <w:tab w:val="left" w:pos="567"/>
        </w:tabs>
        <w:ind w:left="567" w:hanging="567"/>
      </w:pPr>
      <w:r>
        <w:t>27.</w:t>
      </w:r>
      <w:r>
        <w:tab/>
        <w:t>Independent pumps used for pumping sea water, fresh water, fuel oil, condensate and boiler feed.</w:t>
      </w:r>
    </w:p>
    <w:p>
      <w:pPr>
        <w:pStyle w:val="yTable"/>
        <w:tabs>
          <w:tab w:val="left" w:pos="567"/>
        </w:tabs>
        <w:ind w:left="567" w:hanging="567"/>
      </w:pPr>
      <w:r>
        <w:t>28.</w:t>
      </w:r>
      <w:r>
        <w:tab/>
        <w:t>Air receivers and mountings, selected sections of air piping and explosion protection devices.</w:t>
      </w:r>
    </w:p>
    <w:p>
      <w:pPr>
        <w:pStyle w:val="yTable"/>
        <w:tabs>
          <w:tab w:val="left" w:pos="567"/>
        </w:tabs>
        <w:ind w:left="567" w:hanging="567"/>
      </w:pPr>
      <w:r>
        <w:t>29.</w:t>
      </w:r>
      <w:r>
        <w:tab/>
        <w:t>Main propulsion intermediate shafting.</w:t>
      </w:r>
    </w:p>
    <w:p>
      <w:pPr>
        <w:pStyle w:val="yTable"/>
        <w:tabs>
          <w:tab w:val="left" w:pos="567"/>
        </w:tabs>
        <w:ind w:left="567" w:hanging="567"/>
      </w:pPr>
      <w:r>
        <w:t>30.</w:t>
      </w:r>
      <w:r>
        <w:tab/>
        <w:t>Evaporators and mountings in which the operating pressure is at or below atmospheric pressure.</w:t>
      </w:r>
    </w:p>
    <w:p>
      <w:pPr>
        <w:pStyle w:val="yTable"/>
        <w:tabs>
          <w:tab w:val="left" w:pos="567"/>
        </w:tabs>
        <w:ind w:left="567" w:hanging="567"/>
      </w:pPr>
      <w:r>
        <w:t>31.</w:t>
      </w:r>
      <w:r>
        <w:tab/>
        <w:t>Anchors and cables and all links and joining shackles.</w:t>
      </w:r>
    </w:p>
    <w:p>
      <w:pPr>
        <w:pStyle w:val="yTable"/>
        <w:tabs>
          <w:tab w:val="left" w:pos="567"/>
        </w:tabs>
        <w:ind w:left="567" w:hanging="567"/>
      </w:pPr>
      <w:r>
        <w:t>32.</w:t>
      </w:r>
      <w:r>
        <w:tab/>
        <w:t>Windlass.</w:t>
      </w:r>
    </w:p>
    <w:p>
      <w:pPr>
        <w:pStyle w:val="yTable"/>
        <w:tabs>
          <w:tab w:val="left" w:pos="567"/>
        </w:tabs>
        <w:ind w:left="567" w:hanging="567"/>
      </w:pPr>
      <w:r>
        <w:t>33.</w:t>
      </w:r>
      <w:r>
        <w:tab/>
        <w:t>Condensers, lubricating oil coolers, jacket water coolers, drain coolers, distillers and air ejectors.</w:t>
      </w:r>
    </w:p>
    <w:p>
      <w:pPr>
        <w:pStyle w:val="yTable"/>
        <w:tabs>
          <w:tab w:val="left" w:pos="567"/>
        </w:tabs>
        <w:ind w:left="567" w:hanging="567"/>
      </w:pPr>
      <w:r>
        <w:t>34.</w:t>
      </w:r>
      <w:r>
        <w:tab/>
        <w:t>Boiler feed water heaters.</w:t>
      </w:r>
    </w:p>
    <w:p>
      <w:pPr>
        <w:pStyle w:val="yTable"/>
        <w:tabs>
          <w:tab w:val="left" w:pos="567"/>
        </w:tabs>
        <w:ind w:left="567" w:hanging="567"/>
      </w:pPr>
      <w:r>
        <w:t>35.</w:t>
      </w:r>
      <w:r>
        <w:tab/>
        <w:t>Oil fuel heaters.</w:t>
      </w:r>
    </w:p>
    <w:p>
      <w:pPr>
        <w:pStyle w:val="yTable"/>
        <w:tabs>
          <w:tab w:val="left" w:pos="567"/>
        </w:tabs>
        <w:ind w:left="567" w:hanging="567"/>
      </w:pPr>
      <w:r>
        <w:t>36.</w:t>
      </w:r>
      <w:r>
        <w:tab/>
        <w:t>Gear boxes to such extent necessary to ensure satisfactory condition.</w:t>
      </w:r>
    </w:p>
    <w:p>
      <w:pPr>
        <w:pStyle w:val="yTable"/>
        <w:tabs>
          <w:tab w:val="left" w:pos="567"/>
        </w:tabs>
        <w:ind w:left="567" w:hanging="567"/>
      </w:pPr>
      <w:r>
        <w:t>37.</w:t>
      </w:r>
      <w:r>
        <w:tab/>
        <w:t>Screw and tube shafts.</w:t>
      </w:r>
    </w:p>
    <w:p>
      <w:pPr>
        <w:pStyle w:val="yTable"/>
        <w:tabs>
          <w:tab w:val="left" w:pos="567"/>
        </w:tabs>
        <w:ind w:left="567" w:hanging="567"/>
      </w:pPr>
      <w:r>
        <w:t>38.</w:t>
      </w:r>
      <w:r>
        <w:tab/>
        <w:t>Internal combustion engined auxiliary generators other than emergency generators.</w:t>
      </w:r>
    </w:p>
    <w:p>
      <w:pPr>
        <w:pStyle w:val="yTable"/>
        <w:tabs>
          <w:tab w:val="left" w:pos="567"/>
        </w:tabs>
        <w:ind w:left="567" w:hanging="567"/>
      </w:pPr>
      <w:r>
        <w:t>39.</w:t>
      </w:r>
      <w:r>
        <w:tab/>
        <w:t>Turbo</w:t>
      </w:r>
      <w:r>
        <w:noBreakHyphen/>
        <w:t>generators.</w:t>
      </w:r>
    </w:p>
    <w:p>
      <w:pPr>
        <w:pStyle w:val="yTable"/>
        <w:tabs>
          <w:tab w:val="left" w:pos="567"/>
        </w:tabs>
        <w:ind w:left="567" w:hanging="567"/>
      </w:pPr>
      <w:r>
        <w:t>40.</w:t>
      </w:r>
      <w:r>
        <w:tab/>
        <w:t>Main engine, steam turbines.</w:t>
      </w:r>
    </w:p>
    <w:p>
      <w:pPr>
        <w:pStyle w:val="yTable"/>
        <w:tabs>
          <w:tab w:val="left" w:pos="567"/>
        </w:tabs>
        <w:ind w:left="567" w:hanging="567"/>
      </w:pPr>
      <w:r>
        <w:t>41.</w:t>
      </w:r>
      <w:r>
        <w:tab/>
        <w:t>Main engine, internal combustion engines.</w:t>
      </w:r>
    </w:p>
    <w:p>
      <w:pPr>
        <w:pStyle w:val="yTable"/>
        <w:tabs>
          <w:tab w:val="left" w:pos="567"/>
        </w:tabs>
        <w:ind w:left="567" w:hanging="567"/>
      </w:pPr>
      <w:r>
        <w:t>42.</w:t>
      </w:r>
      <w:r>
        <w:tab/>
        <w:t>Selected lengths of steel steam pipes having bolted joints and carrying steam at a temperature exceeding 455</w:t>
      </w:r>
      <w:r>
        <w:rPr>
          <w:vertAlign w:val="superscript"/>
        </w:rPr>
        <w:t>o</w:t>
      </w:r>
      <w:r>
        <w:t>C.  Also hydraulic test of those lengths.</w:t>
      </w:r>
    </w:p>
    <w:p>
      <w:pPr>
        <w:pStyle w:val="yTable"/>
        <w:tabs>
          <w:tab w:val="left" w:pos="567"/>
        </w:tabs>
        <w:ind w:left="567" w:hanging="567"/>
      </w:pPr>
      <w:r>
        <w:t>43.</w:t>
      </w:r>
      <w:r>
        <w:tab/>
        <w:t>Steel pipes having welded joints carrying steam at a temperature exceeding 455</w:t>
      </w:r>
      <w:r>
        <w:rPr>
          <w:vertAlign w:val="superscript"/>
        </w:rPr>
        <w:t>o</w:t>
      </w:r>
      <w:r>
        <w:t>C.  Also hydraulic test of those lengths.</w:t>
      </w:r>
    </w:p>
    <w:p>
      <w:pPr>
        <w:pStyle w:val="yTable"/>
        <w:tabs>
          <w:tab w:val="left" w:pos="567"/>
        </w:tabs>
        <w:ind w:left="567" w:hanging="567"/>
      </w:pPr>
      <w:r>
        <w:t>44.</w:t>
      </w:r>
      <w:r>
        <w:tab/>
        <w:t>Pressure vessel and associated mountings of an air pressure/fresh water system having a working pressure of more than 275 kPa.</w:t>
      </w:r>
    </w:p>
    <w:p>
      <w:pPr>
        <w:pStyle w:val="yTable"/>
        <w:tabs>
          <w:tab w:val="left" w:pos="567"/>
        </w:tabs>
        <w:ind w:left="567" w:hanging="567"/>
      </w:pPr>
      <w:r>
        <w:t>45.</w:t>
      </w:r>
      <w:r>
        <w:tab/>
        <w:t>After the twelfth year in service all solid drawn copper steam pipes having an internal diameter exceeding 75 mm are to be annealed and hydraulically tested.</w:t>
      </w:r>
    </w:p>
    <w:p>
      <w:pPr>
        <w:pStyle w:val="yTable"/>
        <w:tabs>
          <w:tab w:val="left" w:pos="567"/>
        </w:tabs>
        <w:ind w:left="567" w:hanging="567"/>
      </w:pPr>
      <w:r>
        <w:t>46.</w:t>
      </w:r>
      <w:r>
        <w:tab/>
        <w:t>After the twelfth year in service selected lengths of steel steam pipes having an internal diameter exceeding 75 mm and carrying steam not exceeding 455</w:t>
      </w:r>
      <w:r>
        <w:rPr>
          <w:vertAlign w:val="superscript"/>
        </w:rPr>
        <w:t>o</w:t>
      </w:r>
      <w:r>
        <w:t>C are to be hydraulically tested.</w:t>
      </w:r>
    </w:p>
    <w:p>
      <w:pPr>
        <w:pStyle w:val="yTable"/>
        <w:tabs>
          <w:tab w:val="left" w:pos="567"/>
        </w:tabs>
        <w:spacing w:before="160"/>
        <w:ind w:left="567" w:hanging="567"/>
      </w:pPr>
      <w:r>
        <w:rPr>
          <w:b/>
        </w:rPr>
        <w:t>5</w:t>
      </w:r>
      <w:r>
        <w:rPr>
          <w:b/>
        </w:rPr>
        <w:noBreakHyphen/>
        <w:t>Yearly Surveys</w:t>
      </w:r>
    </w:p>
    <w:p>
      <w:pPr>
        <w:pStyle w:val="yTable"/>
        <w:tabs>
          <w:tab w:val="left" w:pos="567"/>
        </w:tabs>
        <w:ind w:left="567" w:hanging="567"/>
      </w:pPr>
      <w:r>
        <w:t>47.</w:t>
      </w:r>
      <w:r>
        <w:tab/>
        <w:t>Peak tanks internally.  Peak tanks are to be tested to a head sufficient to give the maximum pressure than can be experienced in service.</w:t>
      </w:r>
    </w:p>
    <w:p>
      <w:pPr>
        <w:pStyle w:val="yTable"/>
        <w:tabs>
          <w:tab w:val="left" w:pos="567"/>
        </w:tabs>
        <w:ind w:left="567" w:hanging="567"/>
      </w:pPr>
      <w:r>
        <w:t>48.</w:t>
      </w:r>
      <w:r>
        <w:tab/>
        <w:t>Deep tanks (except those tanks used exclusively for oil fuel) internally.  All deep tanks are to be tested to a head sufficient to give the maximum pressure that can be experienced in service.  Deep tanks used exclusively for oil fuel need not be examined internally subject to satisfactory external survey and hydraulic test.</w:t>
      </w:r>
    </w:p>
    <w:p>
      <w:pPr>
        <w:pStyle w:val="yTable"/>
        <w:tabs>
          <w:tab w:val="left" w:pos="567"/>
        </w:tabs>
        <w:ind w:left="567" w:hanging="567"/>
      </w:pPr>
      <w:r>
        <w:t>49.</w:t>
      </w:r>
      <w:r>
        <w:tab/>
        <w:t>Double bottom tanks (except those tanks used exclusively for oil fuel) internally.  All double bottom tanks are to be tested to a head sufficient to give the maximum pressure that can be experienced in service.  Double bottom tanks used exclusively for oil fuel need not be examined internally subject to satisfactory external survey and hydraulic test.</w:t>
      </w:r>
    </w:p>
    <w:p>
      <w:pPr>
        <w:pStyle w:val="yTable"/>
        <w:tabs>
          <w:tab w:val="left" w:pos="567"/>
        </w:tabs>
        <w:ind w:left="567" w:hanging="567"/>
      </w:pPr>
      <w:r>
        <w:t>50.</w:t>
      </w:r>
      <w:r>
        <w:tab/>
        <w:t>Ballast tanks and tanks forming part of the ship’s main structure internally.  Ballast tanks and tanks forming part of the ship’s structure are to be hydraulically tested to a head sufficient to give the maximum pressure that can be experienced in service.</w:t>
      </w:r>
    </w:p>
    <w:p>
      <w:pPr>
        <w:pStyle w:val="yTable"/>
        <w:tabs>
          <w:tab w:val="left" w:pos="567"/>
        </w:tabs>
        <w:spacing w:before="160"/>
        <w:ind w:left="567" w:hanging="567"/>
        <w:rPr>
          <w:b/>
        </w:rPr>
      </w:pPr>
      <w:r>
        <w:rPr>
          <w:b/>
        </w:rPr>
        <w:t>6</w:t>
      </w:r>
      <w:r>
        <w:rPr>
          <w:b/>
        </w:rPr>
        <w:noBreakHyphen/>
        <w:t>Yearly Survey</w:t>
      </w:r>
    </w:p>
    <w:p>
      <w:pPr>
        <w:pStyle w:val="yTable"/>
        <w:tabs>
          <w:tab w:val="left" w:pos="567"/>
        </w:tabs>
        <w:ind w:left="567" w:hanging="567"/>
      </w:pPr>
      <w:r>
        <w:t>51.</w:t>
      </w:r>
      <w:r>
        <w:tab/>
        <w:t>Independent pumps used solely for pumping lubricating oil (except those pumps used for the supply of oil under pressure to hydraulically operated machinery).</w:t>
      </w:r>
    </w:p>
    <w:p>
      <w:pPr>
        <w:pStyle w:val="yTable"/>
        <w:keepNext/>
        <w:tabs>
          <w:tab w:val="left" w:pos="567"/>
        </w:tabs>
        <w:spacing w:before="160"/>
        <w:ind w:left="567" w:hanging="567"/>
      </w:pPr>
      <w:r>
        <w:rPr>
          <w:b/>
        </w:rPr>
        <w:t>8</w:t>
      </w:r>
      <w:r>
        <w:rPr>
          <w:b/>
        </w:rPr>
        <w:noBreakHyphen/>
        <w:t>Yearly Surveys</w:t>
      </w:r>
    </w:p>
    <w:p>
      <w:pPr>
        <w:pStyle w:val="yTable"/>
        <w:tabs>
          <w:tab w:val="left" w:pos="567"/>
        </w:tabs>
        <w:ind w:left="567" w:hanging="567"/>
      </w:pPr>
      <w:r>
        <w:t>52.</w:t>
      </w:r>
      <w:r>
        <w:tab/>
        <w:t>Independent pumps used for the supply of lubricating oil under pressure to  hydraulically operated machinery.</w:t>
      </w:r>
    </w:p>
    <w:p>
      <w:pPr>
        <w:pStyle w:val="yTable"/>
        <w:tabs>
          <w:tab w:val="left" w:pos="567"/>
        </w:tabs>
        <w:ind w:left="567" w:hanging="567"/>
      </w:pPr>
      <w:r>
        <w:t>53.</w:t>
      </w:r>
      <w:r>
        <w:tab/>
        <w:t>Electrically operated or hydraulically operated steering gear.</w:t>
      </w:r>
    </w:p>
    <w:p>
      <w:pPr>
        <w:pStyle w:val="yTable"/>
        <w:tabs>
          <w:tab w:val="left" w:pos="567"/>
        </w:tabs>
        <w:ind w:left="567" w:hanging="567"/>
      </w:pPr>
      <w:r>
        <w:t>54.</w:t>
      </w:r>
      <w:r>
        <w:tab/>
        <w:t>All solid drawn copper steam pipes having an internal diameter exceeding 75 mm are to be annealed and hydraulically tested.</w:t>
      </w:r>
    </w:p>
    <w:p>
      <w:pPr>
        <w:pStyle w:val="yTable"/>
        <w:tabs>
          <w:tab w:val="left" w:pos="567"/>
        </w:tabs>
        <w:ind w:left="567" w:hanging="567"/>
      </w:pPr>
      <w:r>
        <w:t>55.</w:t>
      </w:r>
      <w:r>
        <w:tab/>
        <w:t>Selected lengths of steel steam pipes having an internal diameter exceeding 75 mm and carrying steam at a temperature not exceeding 455</w:t>
      </w:r>
      <w:r>
        <w:rPr>
          <w:vertAlign w:val="superscript"/>
        </w:rPr>
        <w:t>o</w:t>
      </w:r>
      <w:r>
        <w:t>C are to be hydraulically tested.</w:t>
      </w:r>
    </w:p>
    <w:p>
      <w:pPr>
        <w:pStyle w:val="yTable"/>
        <w:tabs>
          <w:tab w:val="left" w:pos="567"/>
        </w:tabs>
        <w:spacing w:before="160"/>
        <w:ind w:left="567" w:hanging="567"/>
      </w:pPr>
      <w:r>
        <w:rPr>
          <w:b/>
        </w:rPr>
        <w:t>Other Survey Periods</w:t>
      </w:r>
    </w:p>
    <w:p>
      <w:pPr>
        <w:pStyle w:val="yTable"/>
        <w:tabs>
          <w:tab w:val="left" w:pos="567"/>
        </w:tabs>
        <w:ind w:left="567" w:hanging="567"/>
      </w:pPr>
      <w:r>
        <w:t>56.</w:t>
      </w:r>
      <w:r>
        <w:tab/>
        <w:t>Emergency generator i.e. generator used normally for emergency purposes shall be surveyed once in the first 12 years and thereafter once in every subsequent period of 8 years.</w:t>
      </w:r>
    </w:p>
    <w:p>
      <w:pPr>
        <w:pStyle w:val="yTable"/>
        <w:tabs>
          <w:tab w:val="left" w:pos="567"/>
        </w:tabs>
        <w:ind w:left="567" w:hanging="567"/>
      </w:pPr>
      <w:r>
        <w:t>57.</w:t>
      </w:r>
      <w:r>
        <w:tab/>
        <w:t>One deep tank that is used exclusively for fuel oil to be surveyed internally every 5 years starting when the ship is 10 years old and all such deep tanks to be surveyed by the time the ship is 25 years old.</w:t>
      </w:r>
    </w:p>
    <w:p>
      <w:pPr>
        <w:pStyle w:val="yTable"/>
        <w:tabs>
          <w:tab w:val="left" w:pos="567"/>
        </w:tabs>
        <w:ind w:left="567" w:hanging="567"/>
      </w:pPr>
      <w:r>
        <w:t>58.</w:t>
      </w:r>
      <w:r>
        <w:tab/>
        <w:t>At least one double bottom tank that is used exclusively for fuel oil to be surveyed internally every 5 years starting when the ship is 10 years old and all such double bottom tanks to be surveyed by the time the ship is 25 years old.</w:t>
      </w:r>
    </w:p>
    <w:p>
      <w:pPr>
        <w:pStyle w:val="yTable"/>
        <w:tabs>
          <w:tab w:val="left" w:pos="567"/>
        </w:tabs>
        <w:ind w:left="567" w:hanging="567"/>
      </w:pPr>
      <w:r>
        <w:t>59.</w:t>
      </w:r>
      <w:r>
        <w:tab/>
        <w:t>The survey period for an item not specified in this Part shall be that period determined by the Authority.</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146" w:name="_Toc107747041"/>
      <w:r>
        <w:t>Notes</w:t>
      </w:r>
      <w:bookmarkEnd w:id="146"/>
    </w:p>
    <w:p>
      <w:pPr>
        <w:pStyle w:val="nSubsection"/>
        <w:rPr>
          <w:snapToGrid w:val="0"/>
        </w:rPr>
      </w:pPr>
      <w:r>
        <w:rPr>
          <w:snapToGrid w:val="0"/>
          <w:vertAlign w:val="superscript"/>
        </w:rPr>
        <w:t>1</w:t>
      </w:r>
      <w:r>
        <w:rPr>
          <w:snapToGrid w:val="0"/>
        </w:rPr>
        <w:tab/>
        <w:t xml:space="preserve">This is a compilation of the </w:t>
      </w:r>
      <w:r>
        <w:rPr>
          <w:i/>
          <w:noProof/>
          <w:snapToGrid w:val="0"/>
        </w:rPr>
        <w:t>W.A. Marine (Surveys and Certificates of Survey) Regulations 1983</w:t>
      </w:r>
      <w:r>
        <w:rPr>
          <w:snapToGrid w:val="0"/>
        </w:rPr>
        <w:t xml:space="preserve"> and includes the amendments made by the other written laws referred to in the following table.  The table also contains information about any reprint.</w:t>
      </w:r>
    </w:p>
    <w:p>
      <w:pPr>
        <w:pStyle w:val="nHeading3"/>
      </w:pPr>
      <w:bookmarkStart w:id="147" w:name="_Toc13031692"/>
      <w:bookmarkStart w:id="148" w:name="_Toc18137714"/>
      <w:bookmarkStart w:id="149" w:name="_Toc107747042"/>
      <w:r>
        <w:t>Compilation table</w:t>
      </w:r>
      <w:bookmarkEnd w:id="147"/>
      <w:bookmarkEnd w:id="148"/>
      <w:bookmarkEnd w:id="149"/>
    </w:p>
    <w:tbl>
      <w:tblPr>
        <w:tblW w:w="0" w:type="auto"/>
        <w:tblInd w:w="28" w:type="dxa"/>
        <w:tblLayout w:type="fixed"/>
        <w:tblCellMar>
          <w:left w:w="56" w:type="dxa"/>
          <w:right w:w="56" w:type="dxa"/>
        </w:tblCellMar>
        <w:tblLook w:val="0000" w:firstRow="0" w:lastRow="0" w:firstColumn="0" w:lastColumn="0" w:noHBand="0" w:noVBand="0"/>
      </w:tblPr>
      <w:tblGrid>
        <w:gridCol w:w="3119"/>
        <w:gridCol w:w="28"/>
        <w:gridCol w:w="1248"/>
        <w:gridCol w:w="28"/>
        <w:gridCol w:w="2665"/>
      </w:tblGrid>
      <w:tr>
        <w:trPr>
          <w:tblHeader/>
        </w:trPr>
        <w:tc>
          <w:tcPr>
            <w:tcW w:w="3119" w:type="dxa"/>
            <w:tcBorders>
              <w:top w:val="single" w:sz="4" w:space="0" w:color="auto"/>
              <w:bottom w:val="single" w:sz="4" w:space="0" w:color="auto"/>
            </w:tcBorders>
          </w:tcPr>
          <w:p>
            <w:pPr>
              <w:pStyle w:val="nTable"/>
              <w:spacing w:before="80" w:after="60"/>
              <w:rPr>
                <w:b/>
                <w:sz w:val="19"/>
              </w:rPr>
            </w:pPr>
            <w:r>
              <w:rPr>
                <w:b/>
                <w:sz w:val="19"/>
              </w:rPr>
              <w:t>Citation</w:t>
            </w:r>
          </w:p>
        </w:tc>
        <w:tc>
          <w:tcPr>
            <w:tcW w:w="1276" w:type="dxa"/>
            <w:gridSpan w:val="2"/>
            <w:tcBorders>
              <w:top w:val="single" w:sz="4" w:space="0" w:color="auto"/>
              <w:bottom w:val="single" w:sz="4" w:space="0" w:color="auto"/>
            </w:tcBorders>
          </w:tcPr>
          <w:p>
            <w:pPr>
              <w:pStyle w:val="nTable"/>
              <w:spacing w:before="80" w:after="60"/>
              <w:rPr>
                <w:b/>
                <w:sz w:val="19"/>
              </w:rPr>
            </w:pPr>
            <w:r>
              <w:rPr>
                <w:b/>
                <w:sz w:val="19"/>
              </w:rPr>
              <w:t>Gazettal</w:t>
            </w:r>
          </w:p>
        </w:tc>
        <w:tc>
          <w:tcPr>
            <w:tcW w:w="2693" w:type="dxa"/>
            <w:gridSpan w:val="2"/>
            <w:tcBorders>
              <w:top w:val="single" w:sz="4" w:space="0" w:color="auto"/>
              <w:bottom w:val="single" w:sz="4" w:space="0" w:color="auto"/>
            </w:tcBorders>
          </w:tcPr>
          <w:p>
            <w:pPr>
              <w:pStyle w:val="nTable"/>
              <w:spacing w:before="80" w:after="60"/>
              <w:rPr>
                <w:b/>
                <w:sz w:val="19"/>
              </w:rPr>
            </w:pPr>
            <w:r>
              <w:rPr>
                <w:b/>
                <w:sz w:val="19"/>
              </w:rPr>
              <w:t>Commencement</w:t>
            </w:r>
          </w:p>
        </w:tc>
      </w:tr>
      <w:tr>
        <w:tc>
          <w:tcPr>
            <w:tcW w:w="3119" w:type="dxa"/>
          </w:tcPr>
          <w:p>
            <w:pPr>
              <w:pStyle w:val="nTable"/>
              <w:spacing w:before="90"/>
              <w:rPr>
                <w:sz w:val="19"/>
              </w:rPr>
            </w:pPr>
            <w:r>
              <w:rPr>
                <w:i/>
                <w:sz w:val="19"/>
              </w:rPr>
              <w:t>W.A. Marine (Surveys and Certificates of Survey) Regulations 1983</w:t>
            </w:r>
          </w:p>
        </w:tc>
        <w:tc>
          <w:tcPr>
            <w:tcW w:w="1276" w:type="dxa"/>
            <w:gridSpan w:val="2"/>
          </w:tcPr>
          <w:p>
            <w:pPr>
              <w:pStyle w:val="nTable"/>
              <w:spacing w:before="90"/>
              <w:rPr>
                <w:sz w:val="19"/>
              </w:rPr>
            </w:pPr>
            <w:r>
              <w:rPr>
                <w:sz w:val="19"/>
              </w:rPr>
              <w:t>1 Jul 1983 p. 2195</w:t>
            </w:r>
            <w:r>
              <w:rPr>
                <w:sz w:val="19"/>
              </w:rPr>
              <w:noBreakHyphen/>
              <w:t>208</w:t>
            </w:r>
          </w:p>
        </w:tc>
        <w:tc>
          <w:tcPr>
            <w:tcW w:w="2693" w:type="dxa"/>
            <w:gridSpan w:val="2"/>
          </w:tcPr>
          <w:p>
            <w:pPr>
              <w:pStyle w:val="nTable"/>
              <w:spacing w:before="90"/>
              <w:rPr>
                <w:sz w:val="19"/>
              </w:rPr>
            </w:pPr>
            <w:r>
              <w:rPr>
                <w:sz w:val="19"/>
              </w:rPr>
              <w:t>1 Jul 1983 (see r. 2)</w:t>
            </w:r>
          </w:p>
        </w:tc>
      </w:tr>
      <w:tr>
        <w:tc>
          <w:tcPr>
            <w:tcW w:w="3119" w:type="dxa"/>
          </w:tcPr>
          <w:p>
            <w:pPr>
              <w:pStyle w:val="nTable"/>
              <w:spacing w:before="90"/>
              <w:rPr>
                <w:sz w:val="19"/>
              </w:rPr>
            </w:pPr>
            <w:r>
              <w:rPr>
                <w:i/>
                <w:sz w:val="19"/>
              </w:rPr>
              <w:t>W.A. Marine (Surveys and Certificates of Survey) Amendment Regulations 1983</w:t>
            </w:r>
          </w:p>
        </w:tc>
        <w:tc>
          <w:tcPr>
            <w:tcW w:w="1276" w:type="dxa"/>
            <w:gridSpan w:val="2"/>
          </w:tcPr>
          <w:p>
            <w:pPr>
              <w:pStyle w:val="nTable"/>
              <w:spacing w:before="90"/>
              <w:rPr>
                <w:sz w:val="19"/>
              </w:rPr>
            </w:pPr>
            <w:r>
              <w:rPr>
                <w:sz w:val="19"/>
              </w:rPr>
              <w:t>5 Aug 1983 p. 2839</w:t>
            </w:r>
            <w:r>
              <w:rPr>
                <w:sz w:val="19"/>
              </w:rPr>
              <w:noBreakHyphen/>
              <w:t>40</w:t>
            </w:r>
          </w:p>
        </w:tc>
        <w:tc>
          <w:tcPr>
            <w:tcW w:w="2693" w:type="dxa"/>
            <w:gridSpan w:val="2"/>
          </w:tcPr>
          <w:p>
            <w:pPr>
              <w:pStyle w:val="nTable"/>
              <w:spacing w:before="90"/>
              <w:rPr>
                <w:sz w:val="19"/>
              </w:rPr>
            </w:pPr>
            <w:r>
              <w:rPr>
                <w:sz w:val="19"/>
              </w:rPr>
              <w:t>5 Aug 1983</w:t>
            </w:r>
          </w:p>
        </w:tc>
      </w:tr>
      <w:tr>
        <w:tc>
          <w:tcPr>
            <w:tcW w:w="3119" w:type="dxa"/>
          </w:tcPr>
          <w:p>
            <w:pPr>
              <w:pStyle w:val="nTable"/>
              <w:spacing w:before="90"/>
              <w:rPr>
                <w:sz w:val="19"/>
              </w:rPr>
            </w:pPr>
            <w:r>
              <w:rPr>
                <w:i/>
                <w:sz w:val="19"/>
              </w:rPr>
              <w:t>W.A. Marine (Surveys and Certificates of Survey) Amendment Regulations 1985</w:t>
            </w:r>
          </w:p>
        </w:tc>
        <w:tc>
          <w:tcPr>
            <w:tcW w:w="1276" w:type="dxa"/>
            <w:gridSpan w:val="2"/>
          </w:tcPr>
          <w:p>
            <w:pPr>
              <w:pStyle w:val="nTable"/>
              <w:spacing w:before="90"/>
              <w:rPr>
                <w:sz w:val="19"/>
              </w:rPr>
            </w:pPr>
            <w:r>
              <w:rPr>
                <w:sz w:val="19"/>
              </w:rPr>
              <w:t>30 Aug 1985 p. 3081</w:t>
            </w:r>
            <w:r>
              <w:rPr>
                <w:sz w:val="19"/>
              </w:rPr>
              <w:noBreakHyphen/>
              <w:t>2</w:t>
            </w:r>
          </w:p>
        </w:tc>
        <w:tc>
          <w:tcPr>
            <w:tcW w:w="2693" w:type="dxa"/>
            <w:gridSpan w:val="2"/>
          </w:tcPr>
          <w:p>
            <w:pPr>
              <w:pStyle w:val="nTable"/>
              <w:spacing w:before="90"/>
              <w:rPr>
                <w:sz w:val="19"/>
              </w:rPr>
            </w:pPr>
            <w:r>
              <w:rPr>
                <w:sz w:val="19"/>
              </w:rPr>
              <w:t>2 Sep 1985 (see r. 2)</w:t>
            </w:r>
          </w:p>
        </w:tc>
      </w:tr>
      <w:tr>
        <w:tc>
          <w:tcPr>
            <w:tcW w:w="3119" w:type="dxa"/>
          </w:tcPr>
          <w:p>
            <w:pPr>
              <w:pStyle w:val="nTable"/>
              <w:spacing w:before="90"/>
              <w:rPr>
                <w:sz w:val="19"/>
              </w:rPr>
            </w:pPr>
            <w:r>
              <w:rPr>
                <w:i/>
                <w:sz w:val="19"/>
              </w:rPr>
              <w:t>W.A. Marine (Surveys and Certificates of Survey) Amendment Regulations 1986</w:t>
            </w:r>
          </w:p>
        </w:tc>
        <w:tc>
          <w:tcPr>
            <w:tcW w:w="1276" w:type="dxa"/>
            <w:gridSpan w:val="2"/>
          </w:tcPr>
          <w:p>
            <w:pPr>
              <w:pStyle w:val="nTable"/>
              <w:spacing w:before="90"/>
              <w:rPr>
                <w:sz w:val="19"/>
              </w:rPr>
            </w:pPr>
            <w:r>
              <w:rPr>
                <w:sz w:val="19"/>
              </w:rPr>
              <w:t>8 Aug 1986 p. 2834</w:t>
            </w:r>
            <w:r>
              <w:rPr>
                <w:sz w:val="19"/>
              </w:rPr>
              <w:noBreakHyphen/>
              <w:t>6</w:t>
            </w:r>
          </w:p>
        </w:tc>
        <w:tc>
          <w:tcPr>
            <w:tcW w:w="2693" w:type="dxa"/>
            <w:gridSpan w:val="2"/>
          </w:tcPr>
          <w:p>
            <w:pPr>
              <w:pStyle w:val="nTable"/>
              <w:spacing w:before="90"/>
              <w:rPr>
                <w:sz w:val="19"/>
              </w:rPr>
            </w:pPr>
            <w:r>
              <w:rPr>
                <w:sz w:val="19"/>
              </w:rPr>
              <w:t>8 Aug 1986</w:t>
            </w:r>
          </w:p>
        </w:tc>
      </w:tr>
      <w:tr>
        <w:tc>
          <w:tcPr>
            <w:tcW w:w="3119" w:type="dxa"/>
          </w:tcPr>
          <w:p>
            <w:pPr>
              <w:pStyle w:val="nTable"/>
              <w:spacing w:before="90"/>
              <w:rPr>
                <w:sz w:val="19"/>
              </w:rPr>
            </w:pPr>
            <w:r>
              <w:rPr>
                <w:i/>
                <w:sz w:val="19"/>
              </w:rPr>
              <w:t>W.A. Marine (Surveys and Certificates of Survey) Amendment Regulations 1987</w:t>
            </w:r>
          </w:p>
        </w:tc>
        <w:tc>
          <w:tcPr>
            <w:tcW w:w="1276" w:type="dxa"/>
            <w:gridSpan w:val="2"/>
          </w:tcPr>
          <w:p>
            <w:pPr>
              <w:pStyle w:val="nTable"/>
              <w:spacing w:before="90"/>
              <w:rPr>
                <w:sz w:val="19"/>
              </w:rPr>
            </w:pPr>
            <w:r>
              <w:rPr>
                <w:sz w:val="19"/>
              </w:rPr>
              <w:t>16 Oct 1987 p. 3898</w:t>
            </w:r>
            <w:r>
              <w:rPr>
                <w:sz w:val="19"/>
              </w:rPr>
              <w:noBreakHyphen/>
              <w:t>9</w:t>
            </w:r>
          </w:p>
        </w:tc>
        <w:tc>
          <w:tcPr>
            <w:tcW w:w="2693" w:type="dxa"/>
            <w:gridSpan w:val="2"/>
          </w:tcPr>
          <w:p>
            <w:pPr>
              <w:pStyle w:val="nTable"/>
              <w:spacing w:before="90"/>
              <w:rPr>
                <w:sz w:val="19"/>
              </w:rPr>
            </w:pPr>
            <w:r>
              <w:rPr>
                <w:sz w:val="19"/>
              </w:rPr>
              <w:t>16 Oct 1987</w:t>
            </w:r>
          </w:p>
        </w:tc>
      </w:tr>
      <w:tr>
        <w:tc>
          <w:tcPr>
            <w:tcW w:w="3119" w:type="dxa"/>
          </w:tcPr>
          <w:p>
            <w:pPr>
              <w:pStyle w:val="nTable"/>
              <w:spacing w:before="90"/>
              <w:rPr>
                <w:sz w:val="19"/>
              </w:rPr>
            </w:pPr>
            <w:r>
              <w:rPr>
                <w:i/>
                <w:sz w:val="19"/>
              </w:rPr>
              <w:t>W.A. Marine (Surveys and Certificates of Survey) Amendment Regulations 1988</w:t>
            </w:r>
          </w:p>
        </w:tc>
        <w:tc>
          <w:tcPr>
            <w:tcW w:w="1276" w:type="dxa"/>
            <w:gridSpan w:val="2"/>
          </w:tcPr>
          <w:p>
            <w:pPr>
              <w:pStyle w:val="nTable"/>
              <w:spacing w:before="90"/>
              <w:rPr>
                <w:sz w:val="19"/>
              </w:rPr>
            </w:pPr>
            <w:r>
              <w:rPr>
                <w:sz w:val="19"/>
              </w:rPr>
              <w:t>12 Aug 1988 p. 2713</w:t>
            </w:r>
            <w:r>
              <w:rPr>
                <w:sz w:val="19"/>
              </w:rPr>
              <w:noBreakHyphen/>
              <w:t>14</w:t>
            </w:r>
          </w:p>
        </w:tc>
        <w:tc>
          <w:tcPr>
            <w:tcW w:w="2693" w:type="dxa"/>
            <w:gridSpan w:val="2"/>
          </w:tcPr>
          <w:p>
            <w:pPr>
              <w:pStyle w:val="nTable"/>
              <w:spacing w:before="90"/>
              <w:rPr>
                <w:sz w:val="19"/>
              </w:rPr>
            </w:pPr>
            <w:r>
              <w:rPr>
                <w:sz w:val="19"/>
              </w:rPr>
              <w:t>12 Aug 1988</w:t>
            </w:r>
          </w:p>
        </w:tc>
      </w:tr>
      <w:tr>
        <w:tc>
          <w:tcPr>
            <w:tcW w:w="3119" w:type="dxa"/>
          </w:tcPr>
          <w:p>
            <w:pPr>
              <w:pStyle w:val="nTable"/>
              <w:spacing w:before="90"/>
              <w:rPr>
                <w:sz w:val="19"/>
              </w:rPr>
            </w:pPr>
            <w:r>
              <w:rPr>
                <w:i/>
                <w:sz w:val="19"/>
              </w:rPr>
              <w:t>W.A. Marine (Surveys and Certificates of Survey) Amendment Regulations 1989</w:t>
            </w:r>
          </w:p>
        </w:tc>
        <w:tc>
          <w:tcPr>
            <w:tcW w:w="1276" w:type="dxa"/>
            <w:gridSpan w:val="2"/>
          </w:tcPr>
          <w:p>
            <w:pPr>
              <w:pStyle w:val="nTable"/>
              <w:spacing w:before="90"/>
              <w:rPr>
                <w:sz w:val="19"/>
              </w:rPr>
            </w:pPr>
            <w:r>
              <w:rPr>
                <w:sz w:val="19"/>
              </w:rPr>
              <w:t>23 Jun 1989 p. 1812</w:t>
            </w:r>
            <w:r>
              <w:rPr>
                <w:sz w:val="19"/>
              </w:rPr>
              <w:noBreakHyphen/>
              <w:t>13</w:t>
            </w:r>
          </w:p>
        </w:tc>
        <w:tc>
          <w:tcPr>
            <w:tcW w:w="2693" w:type="dxa"/>
            <w:gridSpan w:val="2"/>
          </w:tcPr>
          <w:p>
            <w:pPr>
              <w:pStyle w:val="nTable"/>
              <w:spacing w:before="90"/>
              <w:rPr>
                <w:sz w:val="19"/>
              </w:rPr>
            </w:pPr>
            <w:r>
              <w:rPr>
                <w:sz w:val="19"/>
              </w:rPr>
              <w:t>23 Jun 1989</w:t>
            </w:r>
          </w:p>
        </w:tc>
      </w:tr>
      <w:tr>
        <w:tc>
          <w:tcPr>
            <w:tcW w:w="3119" w:type="dxa"/>
          </w:tcPr>
          <w:p>
            <w:pPr>
              <w:pStyle w:val="nTable"/>
              <w:spacing w:before="90"/>
              <w:rPr>
                <w:sz w:val="19"/>
              </w:rPr>
            </w:pPr>
            <w:r>
              <w:rPr>
                <w:i/>
                <w:sz w:val="19"/>
              </w:rPr>
              <w:t>W.A. Marine (Surveys and Certificates of Survey) Amendment Regulations (No. 2) 1989</w:t>
            </w:r>
          </w:p>
        </w:tc>
        <w:tc>
          <w:tcPr>
            <w:tcW w:w="1276" w:type="dxa"/>
            <w:gridSpan w:val="2"/>
          </w:tcPr>
          <w:p>
            <w:pPr>
              <w:pStyle w:val="nTable"/>
              <w:spacing w:before="90"/>
              <w:rPr>
                <w:sz w:val="19"/>
              </w:rPr>
            </w:pPr>
            <w:r>
              <w:rPr>
                <w:sz w:val="19"/>
              </w:rPr>
              <w:t>30 Jun 1989 p. 1924</w:t>
            </w:r>
            <w:r>
              <w:rPr>
                <w:sz w:val="19"/>
              </w:rPr>
              <w:noBreakHyphen/>
              <w:t>6</w:t>
            </w:r>
          </w:p>
        </w:tc>
        <w:tc>
          <w:tcPr>
            <w:tcW w:w="2693" w:type="dxa"/>
            <w:gridSpan w:val="2"/>
          </w:tcPr>
          <w:p>
            <w:pPr>
              <w:pStyle w:val="nTable"/>
              <w:spacing w:before="90"/>
              <w:rPr>
                <w:sz w:val="19"/>
              </w:rPr>
            </w:pPr>
            <w:r>
              <w:rPr>
                <w:sz w:val="19"/>
              </w:rPr>
              <w:t>1 Jul 1989 (see r. 2)</w:t>
            </w:r>
          </w:p>
        </w:tc>
      </w:tr>
      <w:tr>
        <w:tc>
          <w:tcPr>
            <w:tcW w:w="3119" w:type="dxa"/>
          </w:tcPr>
          <w:p>
            <w:pPr>
              <w:pStyle w:val="nTable"/>
              <w:spacing w:before="90"/>
              <w:rPr>
                <w:sz w:val="19"/>
              </w:rPr>
            </w:pPr>
            <w:r>
              <w:rPr>
                <w:i/>
                <w:sz w:val="19"/>
              </w:rPr>
              <w:t>WA Marine (Surveys and Certificates of Survey) Amendment Regulations (No. 3) 1989</w:t>
            </w:r>
          </w:p>
        </w:tc>
        <w:tc>
          <w:tcPr>
            <w:tcW w:w="1276" w:type="dxa"/>
            <w:gridSpan w:val="2"/>
          </w:tcPr>
          <w:p>
            <w:pPr>
              <w:pStyle w:val="nTable"/>
              <w:spacing w:before="90"/>
              <w:rPr>
                <w:sz w:val="19"/>
              </w:rPr>
            </w:pPr>
            <w:r>
              <w:rPr>
                <w:sz w:val="19"/>
              </w:rPr>
              <w:t>3 Nov 1989 p. 3964</w:t>
            </w:r>
            <w:r>
              <w:rPr>
                <w:sz w:val="19"/>
              </w:rPr>
              <w:noBreakHyphen/>
              <w:t>5</w:t>
            </w:r>
          </w:p>
        </w:tc>
        <w:tc>
          <w:tcPr>
            <w:tcW w:w="2693" w:type="dxa"/>
            <w:gridSpan w:val="2"/>
          </w:tcPr>
          <w:p>
            <w:pPr>
              <w:pStyle w:val="nTable"/>
              <w:spacing w:before="90"/>
              <w:rPr>
                <w:sz w:val="19"/>
              </w:rPr>
            </w:pPr>
            <w:r>
              <w:rPr>
                <w:sz w:val="19"/>
              </w:rPr>
              <w:t>3 Nov 1989</w:t>
            </w:r>
          </w:p>
        </w:tc>
      </w:tr>
      <w:tr>
        <w:tc>
          <w:tcPr>
            <w:tcW w:w="3119" w:type="dxa"/>
          </w:tcPr>
          <w:p>
            <w:pPr>
              <w:pStyle w:val="nTable"/>
              <w:spacing w:before="90"/>
              <w:rPr>
                <w:sz w:val="19"/>
              </w:rPr>
            </w:pPr>
            <w:r>
              <w:rPr>
                <w:i/>
                <w:sz w:val="19"/>
              </w:rPr>
              <w:t>W.A. Marine (Surveys and Certificates of Survey) Amendment Regulations 1990</w:t>
            </w:r>
          </w:p>
        </w:tc>
        <w:tc>
          <w:tcPr>
            <w:tcW w:w="1276" w:type="dxa"/>
            <w:gridSpan w:val="2"/>
          </w:tcPr>
          <w:p>
            <w:pPr>
              <w:pStyle w:val="nTable"/>
              <w:spacing w:before="90"/>
              <w:rPr>
                <w:sz w:val="19"/>
              </w:rPr>
            </w:pPr>
            <w:r>
              <w:rPr>
                <w:sz w:val="19"/>
              </w:rPr>
              <w:t>1 Aug 1990 p. 3645</w:t>
            </w:r>
            <w:r>
              <w:rPr>
                <w:sz w:val="19"/>
              </w:rPr>
              <w:noBreakHyphen/>
              <w:t>6</w:t>
            </w:r>
          </w:p>
        </w:tc>
        <w:tc>
          <w:tcPr>
            <w:tcW w:w="2693" w:type="dxa"/>
            <w:gridSpan w:val="2"/>
          </w:tcPr>
          <w:p>
            <w:pPr>
              <w:pStyle w:val="nTable"/>
              <w:spacing w:before="90"/>
              <w:rPr>
                <w:sz w:val="19"/>
              </w:rPr>
            </w:pPr>
            <w:r>
              <w:rPr>
                <w:sz w:val="19"/>
              </w:rPr>
              <w:t>1 Aug 1990 (see r. 2)</w:t>
            </w:r>
          </w:p>
        </w:tc>
      </w:tr>
      <w:tr>
        <w:tc>
          <w:tcPr>
            <w:tcW w:w="3119" w:type="dxa"/>
          </w:tcPr>
          <w:p>
            <w:pPr>
              <w:pStyle w:val="nTable"/>
              <w:spacing w:before="90"/>
              <w:rPr>
                <w:sz w:val="19"/>
              </w:rPr>
            </w:pPr>
            <w:r>
              <w:rPr>
                <w:i/>
                <w:sz w:val="19"/>
              </w:rPr>
              <w:t>W.A. Marine (Surveys and Certificates of Survey) Amendment Regulations 1991</w:t>
            </w:r>
          </w:p>
        </w:tc>
        <w:tc>
          <w:tcPr>
            <w:tcW w:w="1276" w:type="dxa"/>
            <w:gridSpan w:val="2"/>
          </w:tcPr>
          <w:p>
            <w:pPr>
              <w:pStyle w:val="nTable"/>
              <w:spacing w:before="90"/>
              <w:rPr>
                <w:sz w:val="19"/>
              </w:rPr>
            </w:pPr>
            <w:r>
              <w:rPr>
                <w:sz w:val="19"/>
              </w:rPr>
              <w:t>26 Jul 1991 p. 3930</w:t>
            </w:r>
            <w:r>
              <w:rPr>
                <w:sz w:val="19"/>
              </w:rPr>
              <w:noBreakHyphen/>
              <w:t>3</w:t>
            </w:r>
          </w:p>
        </w:tc>
        <w:tc>
          <w:tcPr>
            <w:tcW w:w="2693" w:type="dxa"/>
            <w:gridSpan w:val="2"/>
          </w:tcPr>
          <w:p>
            <w:pPr>
              <w:pStyle w:val="nTable"/>
              <w:spacing w:before="90"/>
              <w:rPr>
                <w:sz w:val="19"/>
              </w:rPr>
            </w:pPr>
            <w:r>
              <w:rPr>
                <w:sz w:val="19"/>
              </w:rPr>
              <w:t>1 Aug 1991 (see r. 2)</w:t>
            </w:r>
          </w:p>
        </w:tc>
      </w:tr>
      <w:tr>
        <w:tc>
          <w:tcPr>
            <w:tcW w:w="3119" w:type="dxa"/>
          </w:tcPr>
          <w:p>
            <w:pPr>
              <w:pStyle w:val="nTable"/>
              <w:spacing w:before="90"/>
              <w:rPr>
                <w:sz w:val="19"/>
              </w:rPr>
            </w:pPr>
            <w:r>
              <w:rPr>
                <w:i/>
                <w:sz w:val="19"/>
              </w:rPr>
              <w:t>W.A. Marine (Surveys and Certificates of Survey) Amendment Regulations (No. 2) 1991</w:t>
            </w:r>
          </w:p>
        </w:tc>
        <w:tc>
          <w:tcPr>
            <w:tcW w:w="1276" w:type="dxa"/>
            <w:gridSpan w:val="2"/>
          </w:tcPr>
          <w:p>
            <w:pPr>
              <w:pStyle w:val="nTable"/>
              <w:spacing w:before="90"/>
              <w:rPr>
                <w:sz w:val="19"/>
              </w:rPr>
            </w:pPr>
            <w:r>
              <w:rPr>
                <w:sz w:val="19"/>
              </w:rPr>
              <w:t>13 Dec 1991 p. 6235</w:t>
            </w:r>
          </w:p>
        </w:tc>
        <w:tc>
          <w:tcPr>
            <w:tcW w:w="2693" w:type="dxa"/>
            <w:gridSpan w:val="2"/>
          </w:tcPr>
          <w:p>
            <w:pPr>
              <w:pStyle w:val="nTable"/>
              <w:spacing w:before="90"/>
              <w:rPr>
                <w:sz w:val="19"/>
              </w:rPr>
            </w:pPr>
            <w:r>
              <w:rPr>
                <w:sz w:val="19"/>
              </w:rPr>
              <w:t>13 Dec 1991</w:t>
            </w:r>
          </w:p>
        </w:tc>
      </w:tr>
      <w:tr>
        <w:tc>
          <w:tcPr>
            <w:tcW w:w="3119" w:type="dxa"/>
          </w:tcPr>
          <w:p>
            <w:pPr>
              <w:pStyle w:val="nTable"/>
              <w:spacing w:before="90"/>
              <w:rPr>
                <w:sz w:val="19"/>
              </w:rPr>
            </w:pPr>
            <w:r>
              <w:rPr>
                <w:i/>
                <w:sz w:val="19"/>
              </w:rPr>
              <w:t>W.A. Marine  Amendment Regulations (No. 2) 1992</w:t>
            </w:r>
            <w:r>
              <w:rPr>
                <w:sz w:val="19"/>
              </w:rPr>
              <w:t xml:space="preserve"> Pt. 8</w:t>
            </w:r>
          </w:p>
        </w:tc>
        <w:tc>
          <w:tcPr>
            <w:tcW w:w="1276" w:type="dxa"/>
            <w:gridSpan w:val="2"/>
          </w:tcPr>
          <w:p>
            <w:pPr>
              <w:pStyle w:val="nTable"/>
              <w:spacing w:before="90"/>
              <w:rPr>
                <w:sz w:val="19"/>
              </w:rPr>
            </w:pPr>
            <w:r>
              <w:rPr>
                <w:sz w:val="19"/>
              </w:rPr>
              <w:t>30 Jun 1992 p. 2905</w:t>
            </w:r>
            <w:r>
              <w:rPr>
                <w:sz w:val="19"/>
              </w:rPr>
              <w:noBreakHyphen/>
              <w:t>9</w:t>
            </w:r>
          </w:p>
        </w:tc>
        <w:tc>
          <w:tcPr>
            <w:tcW w:w="2693" w:type="dxa"/>
            <w:gridSpan w:val="2"/>
          </w:tcPr>
          <w:p>
            <w:pPr>
              <w:pStyle w:val="nTable"/>
              <w:spacing w:before="90"/>
              <w:rPr>
                <w:sz w:val="19"/>
              </w:rPr>
            </w:pPr>
            <w:r>
              <w:rPr>
                <w:sz w:val="19"/>
              </w:rPr>
              <w:t>1 Jul 1992 (see r. 2)</w:t>
            </w:r>
          </w:p>
        </w:tc>
      </w:tr>
      <w:tr>
        <w:tc>
          <w:tcPr>
            <w:tcW w:w="3119" w:type="dxa"/>
          </w:tcPr>
          <w:p>
            <w:pPr>
              <w:pStyle w:val="nTable"/>
              <w:spacing w:before="90"/>
              <w:rPr>
                <w:sz w:val="19"/>
              </w:rPr>
            </w:pPr>
            <w:r>
              <w:rPr>
                <w:i/>
                <w:sz w:val="19"/>
              </w:rPr>
              <w:t>W.A. Marine Amendment Regulations 1992</w:t>
            </w:r>
            <w:r>
              <w:rPr>
                <w:sz w:val="19"/>
              </w:rPr>
              <w:t xml:space="preserve"> Pt. 12</w:t>
            </w:r>
          </w:p>
        </w:tc>
        <w:tc>
          <w:tcPr>
            <w:tcW w:w="1276" w:type="dxa"/>
            <w:gridSpan w:val="2"/>
          </w:tcPr>
          <w:p>
            <w:pPr>
              <w:pStyle w:val="nTable"/>
              <w:spacing w:before="90"/>
              <w:rPr>
                <w:sz w:val="19"/>
              </w:rPr>
            </w:pPr>
            <w:r>
              <w:rPr>
                <w:sz w:val="19"/>
              </w:rPr>
              <w:t>11 Aug 1992 p. 3976</w:t>
            </w:r>
            <w:r>
              <w:rPr>
                <w:sz w:val="19"/>
              </w:rPr>
              <w:noBreakHyphen/>
              <w:t>80</w:t>
            </w:r>
          </w:p>
        </w:tc>
        <w:tc>
          <w:tcPr>
            <w:tcW w:w="2693" w:type="dxa"/>
            <w:gridSpan w:val="2"/>
          </w:tcPr>
          <w:p>
            <w:pPr>
              <w:pStyle w:val="nTable"/>
              <w:spacing w:before="90"/>
              <w:rPr>
                <w:sz w:val="19"/>
              </w:rPr>
            </w:pPr>
            <w:r>
              <w:rPr>
                <w:sz w:val="19"/>
              </w:rPr>
              <w:t>11 Aug 1992</w:t>
            </w:r>
          </w:p>
        </w:tc>
      </w:tr>
      <w:tr>
        <w:tc>
          <w:tcPr>
            <w:tcW w:w="3119" w:type="dxa"/>
          </w:tcPr>
          <w:p>
            <w:pPr>
              <w:pStyle w:val="nTable"/>
              <w:keepNext/>
              <w:spacing w:before="100"/>
              <w:rPr>
                <w:sz w:val="19"/>
              </w:rPr>
            </w:pPr>
            <w:r>
              <w:rPr>
                <w:i/>
                <w:sz w:val="19"/>
              </w:rPr>
              <w:t>W.A. Marine (Surveys and Certificates of Survey) Amendment Regulations 1993</w:t>
            </w:r>
          </w:p>
        </w:tc>
        <w:tc>
          <w:tcPr>
            <w:tcW w:w="1276" w:type="dxa"/>
            <w:gridSpan w:val="2"/>
          </w:tcPr>
          <w:p>
            <w:pPr>
              <w:pStyle w:val="nTable"/>
              <w:keepNext/>
              <w:spacing w:before="100"/>
              <w:rPr>
                <w:sz w:val="19"/>
              </w:rPr>
            </w:pPr>
            <w:r>
              <w:rPr>
                <w:sz w:val="19"/>
              </w:rPr>
              <w:t>29 Jun 1993 p. 3188</w:t>
            </w:r>
            <w:r>
              <w:rPr>
                <w:sz w:val="19"/>
              </w:rPr>
              <w:noBreakHyphen/>
              <w:t>91</w:t>
            </w:r>
          </w:p>
        </w:tc>
        <w:tc>
          <w:tcPr>
            <w:tcW w:w="2693" w:type="dxa"/>
            <w:gridSpan w:val="2"/>
          </w:tcPr>
          <w:p>
            <w:pPr>
              <w:pStyle w:val="nTable"/>
              <w:keepNext/>
              <w:spacing w:before="100"/>
              <w:rPr>
                <w:sz w:val="19"/>
              </w:rPr>
            </w:pPr>
            <w:r>
              <w:rPr>
                <w:sz w:val="19"/>
              </w:rPr>
              <w:t>1 Jul 1993 (see r. 2)</w:t>
            </w:r>
          </w:p>
        </w:tc>
      </w:tr>
      <w:tr>
        <w:tc>
          <w:tcPr>
            <w:tcW w:w="3119" w:type="dxa"/>
          </w:tcPr>
          <w:p>
            <w:pPr>
              <w:pStyle w:val="nTable"/>
              <w:spacing w:before="100"/>
              <w:rPr>
                <w:sz w:val="19"/>
              </w:rPr>
            </w:pPr>
            <w:r>
              <w:rPr>
                <w:i/>
                <w:sz w:val="19"/>
              </w:rPr>
              <w:t>W.A. Marine Amendment Regulations 1994</w:t>
            </w:r>
            <w:r>
              <w:rPr>
                <w:sz w:val="19"/>
              </w:rPr>
              <w:t xml:space="preserve"> Pt. 8</w:t>
            </w:r>
          </w:p>
        </w:tc>
        <w:tc>
          <w:tcPr>
            <w:tcW w:w="1276" w:type="dxa"/>
            <w:gridSpan w:val="2"/>
          </w:tcPr>
          <w:p>
            <w:pPr>
              <w:pStyle w:val="nTable"/>
              <w:spacing w:before="100"/>
              <w:rPr>
                <w:sz w:val="19"/>
              </w:rPr>
            </w:pPr>
            <w:r>
              <w:rPr>
                <w:sz w:val="19"/>
              </w:rPr>
              <w:t>14 Jun 1994 p. 2486</w:t>
            </w:r>
            <w:r>
              <w:rPr>
                <w:sz w:val="19"/>
              </w:rPr>
              <w:noBreakHyphen/>
              <w:t>93</w:t>
            </w:r>
          </w:p>
        </w:tc>
        <w:tc>
          <w:tcPr>
            <w:tcW w:w="2693" w:type="dxa"/>
            <w:gridSpan w:val="2"/>
          </w:tcPr>
          <w:p>
            <w:pPr>
              <w:pStyle w:val="nTable"/>
              <w:spacing w:before="100"/>
              <w:rPr>
                <w:sz w:val="19"/>
              </w:rPr>
            </w:pPr>
            <w:r>
              <w:rPr>
                <w:sz w:val="19"/>
              </w:rPr>
              <w:t>1 Jul 1994 (see r. 2)</w:t>
            </w:r>
          </w:p>
        </w:tc>
      </w:tr>
      <w:tr>
        <w:tc>
          <w:tcPr>
            <w:tcW w:w="3119" w:type="dxa"/>
          </w:tcPr>
          <w:p>
            <w:pPr>
              <w:pStyle w:val="nTable"/>
              <w:spacing w:before="100"/>
              <w:rPr>
                <w:sz w:val="19"/>
              </w:rPr>
            </w:pPr>
            <w:r>
              <w:rPr>
                <w:i/>
                <w:sz w:val="19"/>
              </w:rPr>
              <w:t>W.A. Marine Amendment Regulations 1995</w:t>
            </w:r>
            <w:r>
              <w:rPr>
                <w:sz w:val="19"/>
              </w:rPr>
              <w:t xml:space="preserve"> Pt. 6</w:t>
            </w:r>
          </w:p>
        </w:tc>
        <w:tc>
          <w:tcPr>
            <w:tcW w:w="1276" w:type="dxa"/>
            <w:gridSpan w:val="2"/>
          </w:tcPr>
          <w:p>
            <w:pPr>
              <w:pStyle w:val="nTable"/>
              <w:spacing w:before="100"/>
              <w:rPr>
                <w:sz w:val="19"/>
              </w:rPr>
            </w:pPr>
            <w:r>
              <w:rPr>
                <w:sz w:val="19"/>
              </w:rPr>
              <w:t>11 Jul 1995 p. 2946</w:t>
            </w:r>
            <w:r>
              <w:rPr>
                <w:sz w:val="19"/>
              </w:rPr>
              <w:noBreakHyphen/>
              <w:t>53</w:t>
            </w:r>
          </w:p>
        </w:tc>
        <w:tc>
          <w:tcPr>
            <w:tcW w:w="2693" w:type="dxa"/>
            <w:gridSpan w:val="2"/>
          </w:tcPr>
          <w:p>
            <w:pPr>
              <w:pStyle w:val="nTable"/>
              <w:spacing w:before="100"/>
              <w:rPr>
                <w:sz w:val="19"/>
              </w:rPr>
            </w:pPr>
            <w:r>
              <w:rPr>
                <w:sz w:val="19"/>
              </w:rPr>
              <w:t>11 Jul 1995</w:t>
            </w:r>
          </w:p>
        </w:tc>
      </w:tr>
      <w:tr>
        <w:tc>
          <w:tcPr>
            <w:tcW w:w="3119" w:type="dxa"/>
          </w:tcPr>
          <w:p>
            <w:pPr>
              <w:pStyle w:val="nTable"/>
              <w:spacing w:before="100"/>
              <w:rPr>
                <w:sz w:val="19"/>
              </w:rPr>
            </w:pPr>
            <w:r>
              <w:rPr>
                <w:i/>
                <w:sz w:val="19"/>
              </w:rPr>
              <w:t>W.A. Marine Amendment Regulations 1996</w:t>
            </w:r>
            <w:r>
              <w:rPr>
                <w:sz w:val="19"/>
              </w:rPr>
              <w:t xml:space="preserve"> Pt. 6</w:t>
            </w:r>
          </w:p>
        </w:tc>
        <w:tc>
          <w:tcPr>
            <w:tcW w:w="1276" w:type="dxa"/>
            <w:gridSpan w:val="2"/>
          </w:tcPr>
          <w:p>
            <w:pPr>
              <w:pStyle w:val="nTable"/>
              <w:spacing w:before="100"/>
              <w:rPr>
                <w:sz w:val="19"/>
              </w:rPr>
            </w:pPr>
            <w:r>
              <w:rPr>
                <w:sz w:val="19"/>
              </w:rPr>
              <w:t>25 Jun 1996 p. 2998</w:t>
            </w:r>
            <w:r>
              <w:rPr>
                <w:sz w:val="19"/>
              </w:rPr>
              <w:noBreakHyphen/>
              <w:t>3005</w:t>
            </w:r>
          </w:p>
        </w:tc>
        <w:tc>
          <w:tcPr>
            <w:tcW w:w="2693" w:type="dxa"/>
            <w:gridSpan w:val="2"/>
          </w:tcPr>
          <w:p>
            <w:pPr>
              <w:pStyle w:val="nTable"/>
              <w:spacing w:before="100"/>
              <w:rPr>
                <w:sz w:val="19"/>
              </w:rPr>
            </w:pPr>
            <w:r>
              <w:rPr>
                <w:sz w:val="19"/>
              </w:rPr>
              <w:t>25 Jun 1996</w:t>
            </w:r>
          </w:p>
        </w:tc>
      </w:tr>
      <w:tr>
        <w:tc>
          <w:tcPr>
            <w:tcW w:w="3119" w:type="dxa"/>
          </w:tcPr>
          <w:p>
            <w:pPr>
              <w:pStyle w:val="nTable"/>
              <w:keepNext/>
              <w:keepLines/>
              <w:spacing w:before="100"/>
              <w:rPr>
                <w:sz w:val="19"/>
              </w:rPr>
            </w:pPr>
            <w:r>
              <w:rPr>
                <w:i/>
                <w:sz w:val="19"/>
              </w:rPr>
              <w:t>W.A. Marine Amendment Regulations 1997</w:t>
            </w:r>
            <w:r>
              <w:rPr>
                <w:sz w:val="19"/>
              </w:rPr>
              <w:t xml:space="preserve"> Div. 5</w:t>
            </w:r>
          </w:p>
        </w:tc>
        <w:tc>
          <w:tcPr>
            <w:tcW w:w="1276" w:type="dxa"/>
            <w:gridSpan w:val="2"/>
          </w:tcPr>
          <w:p>
            <w:pPr>
              <w:pStyle w:val="nTable"/>
              <w:keepNext/>
              <w:keepLines/>
              <w:spacing w:before="100"/>
              <w:rPr>
                <w:sz w:val="19"/>
              </w:rPr>
            </w:pPr>
            <w:r>
              <w:rPr>
                <w:sz w:val="19"/>
              </w:rPr>
              <w:t>27 Jun 1997 p. 3141</w:t>
            </w:r>
            <w:r>
              <w:rPr>
                <w:sz w:val="19"/>
              </w:rPr>
              <w:noBreakHyphen/>
              <w:t>6</w:t>
            </w:r>
          </w:p>
        </w:tc>
        <w:tc>
          <w:tcPr>
            <w:tcW w:w="2693" w:type="dxa"/>
            <w:gridSpan w:val="2"/>
          </w:tcPr>
          <w:p>
            <w:pPr>
              <w:pStyle w:val="nTable"/>
              <w:keepNext/>
              <w:keepLines/>
              <w:spacing w:before="100"/>
              <w:rPr>
                <w:sz w:val="19"/>
              </w:rPr>
            </w:pPr>
            <w:r>
              <w:rPr>
                <w:sz w:val="19"/>
              </w:rPr>
              <w:t>1 Jul 1997 (see r. 2)</w:t>
            </w:r>
          </w:p>
        </w:tc>
      </w:tr>
      <w:tr>
        <w:trPr>
          <w:cantSplit/>
        </w:trPr>
        <w:tc>
          <w:tcPr>
            <w:tcW w:w="7088" w:type="dxa"/>
            <w:gridSpan w:val="5"/>
          </w:tcPr>
          <w:p>
            <w:pPr>
              <w:pStyle w:val="nTable"/>
              <w:keepNext/>
              <w:keepLines/>
              <w:spacing w:before="100"/>
              <w:rPr>
                <w:sz w:val="19"/>
              </w:rPr>
            </w:pPr>
            <w:r>
              <w:rPr>
                <w:b/>
                <w:sz w:val="19"/>
              </w:rPr>
              <w:t xml:space="preserve">Reprint of the </w:t>
            </w:r>
            <w:r>
              <w:rPr>
                <w:b/>
                <w:i/>
                <w:sz w:val="19"/>
              </w:rPr>
              <w:t>W.A. Marine (Surveys and Certificates of Survey) Regulations 1983</w:t>
            </w:r>
            <w:r>
              <w:rPr>
                <w:b/>
                <w:sz w:val="19"/>
              </w:rPr>
              <w:t xml:space="preserve"> as at 30 Jul 1997</w:t>
            </w:r>
            <w:r>
              <w:rPr>
                <w:sz w:val="19"/>
              </w:rPr>
              <w:t xml:space="preserve"> (includes amendments listed above)</w:t>
            </w:r>
          </w:p>
        </w:tc>
      </w:tr>
      <w:tr>
        <w:tc>
          <w:tcPr>
            <w:tcW w:w="3119" w:type="dxa"/>
          </w:tcPr>
          <w:p>
            <w:pPr>
              <w:pStyle w:val="nTable"/>
              <w:spacing w:before="100"/>
              <w:rPr>
                <w:sz w:val="19"/>
              </w:rPr>
            </w:pPr>
            <w:r>
              <w:rPr>
                <w:i/>
                <w:sz w:val="19"/>
              </w:rPr>
              <w:t>W.A. Marine Amendment Regulations 1998</w:t>
            </w:r>
            <w:r>
              <w:rPr>
                <w:sz w:val="19"/>
              </w:rPr>
              <w:t xml:space="preserve"> Div. 5</w:t>
            </w:r>
          </w:p>
        </w:tc>
        <w:tc>
          <w:tcPr>
            <w:tcW w:w="1276" w:type="dxa"/>
            <w:gridSpan w:val="2"/>
          </w:tcPr>
          <w:p>
            <w:pPr>
              <w:pStyle w:val="nTable"/>
              <w:spacing w:before="100"/>
              <w:rPr>
                <w:sz w:val="19"/>
              </w:rPr>
            </w:pPr>
            <w:r>
              <w:rPr>
                <w:sz w:val="19"/>
              </w:rPr>
              <w:t>12 May 1998 p. 2790</w:t>
            </w:r>
            <w:r>
              <w:rPr>
                <w:sz w:val="19"/>
              </w:rPr>
              <w:noBreakHyphen/>
              <w:t>5</w:t>
            </w:r>
          </w:p>
        </w:tc>
        <w:tc>
          <w:tcPr>
            <w:tcW w:w="2693" w:type="dxa"/>
            <w:gridSpan w:val="2"/>
          </w:tcPr>
          <w:p>
            <w:pPr>
              <w:pStyle w:val="nTable"/>
              <w:spacing w:before="100"/>
              <w:rPr>
                <w:sz w:val="19"/>
              </w:rPr>
            </w:pPr>
            <w:r>
              <w:rPr>
                <w:sz w:val="19"/>
              </w:rPr>
              <w:t>1 Jul 1998 (see r. 2)</w:t>
            </w:r>
          </w:p>
        </w:tc>
      </w:tr>
      <w:tr>
        <w:tc>
          <w:tcPr>
            <w:tcW w:w="3119" w:type="dxa"/>
          </w:tcPr>
          <w:p>
            <w:pPr>
              <w:pStyle w:val="nTable"/>
              <w:spacing w:before="100"/>
              <w:rPr>
                <w:sz w:val="19"/>
              </w:rPr>
            </w:pPr>
            <w:r>
              <w:rPr>
                <w:i/>
                <w:sz w:val="19"/>
              </w:rPr>
              <w:t>W.A. Marine (Surveys and Certificates of Survey) Amendment Regulations 1998</w:t>
            </w:r>
          </w:p>
        </w:tc>
        <w:tc>
          <w:tcPr>
            <w:tcW w:w="1276" w:type="dxa"/>
            <w:gridSpan w:val="2"/>
          </w:tcPr>
          <w:p>
            <w:pPr>
              <w:pStyle w:val="nTable"/>
              <w:spacing w:before="100"/>
              <w:rPr>
                <w:sz w:val="19"/>
              </w:rPr>
            </w:pPr>
            <w:r>
              <w:rPr>
                <w:sz w:val="19"/>
              </w:rPr>
              <w:t>4 Aug 1998 p. 3990</w:t>
            </w:r>
            <w:r>
              <w:rPr>
                <w:sz w:val="19"/>
              </w:rPr>
              <w:noBreakHyphen/>
              <w:t>1</w:t>
            </w:r>
          </w:p>
        </w:tc>
        <w:tc>
          <w:tcPr>
            <w:tcW w:w="2693" w:type="dxa"/>
            <w:gridSpan w:val="2"/>
          </w:tcPr>
          <w:p>
            <w:pPr>
              <w:pStyle w:val="nTable"/>
              <w:spacing w:before="100"/>
              <w:rPr>
                <w:sz w:val="19"/>
              </w:rPr>
            </w:pPr>
            <w:r>
              <w:rPr>
                <w:sz w:val="19"/>
              </w:rPr>
              <w:t>4 Aug 1998</w:t>
            </w:r>
          </w:p>
        </w:tc>
      </w:tr>
      <w:tr>
        <w:tc>
          <w:tcPr>
            <w:tcW w:w="3119" w:type="dxa"/>
          </w:tcPr>
          <w:p>
            <w:pPr>
              <w:pStyle w:val="nTable"/>
              <w:spacing w:before="100"/>
              <w:rPr>
                <w:i/>
                <w:sz w:val="19"/>
              </w:rPr>
            </w:pPr>
            <w:r>
              <w:rPr>
                <w:i/>
                <w:sz w:val="19"/>
              </w:rPr>
              <w:t>Western Australian Marine (Surveys and Certificates of Survey) Amendment Regulations 1999</w:t>
            </w:r>
          </w:p>
        </w:tc>
        <w:tc>
          <w:tcPr>
            <w:tcW w:w="1276" w:type="dxa"/>
            <w:gridSpan w:val="2"/>
          </w:tcPr>
          <w:p>
            <w:pPr>
              <w:pStyle w:val="nTable"/>
              <w:spacing w:before="100"/>
              <w:rPr>
                <w:sz w:val="19"/>
              </w:rPr>
            </w:pPr>
            <w:r>
              <w:rPr>
                <w:sz w:val="19"/>
              </w:rPr>
              <w:t>22 Jun 1999 p. 2691</w:t>
            </w:r>
            <w:r>
              <w:rPr>
                <w:sz w:val="19"/>
              </w:rPr>
              <w:noBreakHyphen/>
              <w:t>2</w:t>
            </w:r>
          </w:p>
        </w:tc>
        <w:tc>
          <w:tcPr>
            <w:tcW w:w="2693" w:type="dxa"/>
            <w:gridSpan w:val="2"/>
          </w:tcPr>
          <w:p>
            <w:pPr>
              <w:pStyle w:val="nTable"/>
              <w:spacing w:before="100"/>
              <w:rPr>
                <w:sz w:val="19"/>
              </w:rPr>
            </w:pPr>
            <w:r>
              <w:rPr>
                <w:sz w:val="19"/>
              </w:rPr>
              <w:t>1 Jul 1999 (see r. 2)</w:t>
            </w:r>
          </w:p>
        </w:tc>
      </w:tr>
      <w:tr>
        <w:tc>
          <w:tcPr>
            <w:tcW w:w="3119" w:type="dxa"/>
          </w:tcPr>
          <w:p>
            <w:pPr>
              <w:pStyle w:val="nTable"/>
              <w:spacing w:before="100"/>
              <w:rPr>
                <w:sz w:val="19"/>
              </w:rPr>
            </w:pPr>
            <w:r>
              <w:rPr>
                <w:i/>
                <w:sz w:val="19"/>
              </w:rPr>
              <w:t>W.A. Marine Amendment Regulations 2000</w:t>
            </w:r>
            <w:r>
              <w:rPr>
                <w:sz w:val="19"/>
              </w:rPr>
              <w:t xml:space="preserve"> r. 6</w:t>
            </w:r>
          </w:p>
        </w:tc>
        <w:tc>
          <w:tcPr>
            <w:tcW w:w="1276" w:type="dxa"/>
            <w:gridSpan w:val="2"/>
          </w:tcPr>
          <w:p>
            <w:pPr>
              <w:pStyle w:val="nTable"/>
              <w:spacing w:before="100"/>
              <w:rPr>
                <w:sz w:val="19"/>
              </w:rPr>
            </w:pPr>
            <w:r>
              <w:rPr>
                <w:sz w:val="19"/>
              </w:rPr>
              <w:t>20 Jun 2000 p. 3062</w:t>
            </w:r>
            <w:r>
              <w:rPr>
                <w:sz w:val="19"/>
              </w:rPr>
              <w:noBreakHyphen/>
              <w:t>71</w:t>
            </w:r>
          </w:p>
        </w:tc>
        <w:tc>
          <w:tcPr>
            <w:tcW w:w="2693" w:type="dxa"/>
            <w:gridSpan w:val="2"/>
          </w:tcPr>
          <w:p>
            <w:pPr>
              <w:pStyle w:val="nTable"/>
              <w:spacing w:before="100"/>
              <w:rPr>
                <w:sz w:val="19"/>
              </w:rPr>
            </w:pPr>
            <w:r>
              <w:rPr>
                <w:sz w:val="19"/>
              </w:rPr>
              <w:t>1 Jul 2000 (see r. 2)</w:t>
            </w:r>
          </w:p>
        </w:tc>
      </w:tr>
      <w:tr>
        <w:tc>
          <w:tcPr>
            <w:tcW w:w="3119" w:type="dxa"/>
          </w:tcPr>
          <w:p>
            <w:pPr>
              <w:pStyle w:val="nTable"/>
              <w:spacing w:before="100"/>
              <w:rPr>
                <w:i/>
                <w:sz w:val="19"/>
              </w:rPr>
            </w:pPr>
            <w:r>
              <w:rPr>
                <w:i/>
                <w:sz w:val="19"/>
              </w:rPr>
              <w:t>W.A. Marine Amendment Regulations 2001</w:t>
            </w:r>
            <w:r>
              <w:rPr>
                <w:sz w:val="19"/>
              </w:rPr>
              <w:t xml:space="preserve"> r. 6</w:t>
            </w:r>
          </w:p>
        </w:tc>
        <w:tc>
          <w:tcPr>
            <w:tcW w:w="1276" w:type="dxa"/>
            <w:gridSpan w:val="2"/>
          </w:tcPr>
          <w:p>
            <w:pPr>
              <w:pStyle w:val="nTable"/>
              <w:spacing w:before="100"/>
              <w:rPr>
                <w:sz w:val="19"/>
              </w:rPr>
            </w:pPr>
            <w:r>
              <w:rPr>
                <w:sz w:val="19"/>
              </w:rPr>
              <w:t>27 Jul 2001</w:t>
            </w:r>
            <w:r>
              <w:rPr>
                <w:sz w:val="19"/>
              </w:rPr>
              <w:br/>
              <w:t>P. 3803</w:t>
            </w:r>
            <w:r>
              <w:rPr>
                <w:sz w:val="19"/>
              </w:rPr>
              <w:noBreakHyphen/>
              <w:t>13</w:t>
            </w:r>
          </w:p>
        </w:tc>
        <w:tc>
          <w:tcPr>
            <w:tcW w:w="2693" w:type="dxa"/>
            <w:gridSpan w:val="2"/>
          </w:tcPr>
          <w:p>
            <w:pPr>
              <w:pStyle w:val="nTable"/>
              <w:spacing w:before="100"/>
              <w:rPr>
                <w:sz w:val="19"/>
              </w:rPr>
            </w:pPr>
            <w:r>
              <w:rPr>
                <w:sz w:val="19"/>
              </w:rPr>
              <w:t>1 Aug 2001 (see r. 2)</w:t>
            </w:r>
          </w:p>
        </w:tc>
      </w:tr>
      <w:tr>
        <w:tc>
          <w:tcPr>
            <w:tcW w:w="3119" w:type="dxa"/>
          </w:tcPr>
          <w:p>
            <w:pPr>
              <w:pStyle w:val="nTable"/>
              <w:spacing w:before="100"/>
              <w:rPr>
                <w:i/>
                <w:sz w:val="19"/>
              </w:rPr>
            </w:pPr>
            <w:r>
              <w:rPr>
                <w:i/>
                <w:sz w:val="19"/>
              </w:rPr>
              <w:t>W.A. Marine (Surveys and Certificates of Survey) Amendment Regulations 2002</w:t>
            </w:r>
            <w:r>
              <w:rPr>
                <w:sz w:val="19"/>
                <w:vertAlign w:val="superscript"/>
              </w:rPr>
              <w:t> 3</w:t>
            </w:r>
          </w:p>
        </w:tc>
        <w:tc>
          <w:tcPr>
            <w:tcW w:w="1276" w:type="dxa"/>
            <w:gridSpan w:val="2"/>
          </w:tcPr>
          <w:p>
            <w:pPr>
              <w:pStyle w:val="nTable"/>
              <w:spacing w:before="100"/>
              <w:rPr>
                <w:sz w:val="19"/>
              </w:rPr>
            </w:pPr>
            <w:r>
              <w:rPr>
                <w:sz w:val="19"/>
              </w:rPr>
              <w:t>22 Mar 2002 p. 1656</w:t>
            </w:r>
          </w:p>
        </w:tc>
        <w:tc>
          <w:tcPr>
            <w:tcW w:w="2693" w:type="dxa"/>
            <w:gridSpan w:val="2"/>
          </w:tcPr>
          <w:p>
            <w:pPr>
              <w:pStyle w:val="nTable"/>
              <w:spacing w:before="100"/>
              <w:rPr>
                <w:sz w:val="19"/>
              </w:rPr>
            </w:pPr>
            <w:r>
              <w:rPr>
                <w:sz w:val="19"/>
              </w:rPr>
              <w:t>1 Jul 2002 (see r. 2)</w:t>
            </w:r>
          </w:p>
        </w:tc>
      </w:tr>
      <w:tr>
        <w:tc>
          <w:tcPr>
            <w:tcW w:w="3119" w:type="dxa"/>
          </w:tcPr>
          <w:p>
            <w:pPr>
              <w:pStyle w:val="nTable"/>
              <w:spacing w:before="100"/>
              <w:rPr>
                <w:sz w:val="19"/>
              </w:rPr>
            </w:pPr>
            <w:r>
              <w:rPr>
                <w:i/>
                <w:sz w:val="19"/>
              </w:rPr>
              <w:t>W.A. Marine Amendment Regulations 2002</w:t>
            </w:r>
            <w:r>
              <w:rPr>
                <w:sz w:val="19"/>
              </w:rPr>
              <w:t xml:space="preserve"> r. 6</w:t>
            </w:r>
          </w:p>
        </w:tc>
        <w:tc>
          <w:tcPr>
            <w:tcW w:w="1276" w:type="dxa"/>
            <w:gridSpan w:val="2"/>
          </w:tcPr>
          <w:p>
            <w:pPr>
              <w:pStyle w:val="nTable"/>
              <w:spacing w:before="100"/>
              <w:rPr>
                <w:sz w:val="19"/>
              </w:rPr>
            </w:pPr>
            <w:r>
              <w:rPr>
                <w:sz w:val="19"/>
              </w:rPr>
              <w:t>14 Jun 2002 p. 2825</w:t>
            </w:r>
            <w:r>
              <w:rPr>
                <w:sz w:val="19"/>
              </w:rPr>
              <w:noBreakHyphen/>
              <w:t>35</w:t>
            </w:r>
          </w:p>
        </w:tc>
        <w:tc>
          <w:tcPr>
            <w:tcW w:w="2693" w:type="dxa"/>
            <w:gridSpan w:val="2"/>
          </w:tcPr>
          <w:p>
            <w:pPr>
              <w:pStyle w:val="nTable"/>
              <w:spacing w:before="100"/>
              <w:rPr>
                <w:sz w:val="19"/>
              </w:rPr>
            </w:pPr>
            <w:r>
              <w:rPr>
                <w:sz w:val="19"/>
              </w:rPr>
              <w:t>1 Jul 2002 (see r. 2)</w:t>
            </w:r>
          </w:p>
        </w:tc>
      </w:tr>
      <w:tr>
        <w:trPr>
          <w:cantSplit/>
        </w:trPr>
        <w:tc>
          <w:tcPr>
            <w:tcW w:w="7088" w:type="dxa"/>
            <w:gridSpan w:val="5"/>
          </w:tcPr>
          <w:p>
            <w:pPr>
              <w:pStyle w:val="nTable"/>
              <w:spacing w:before="100"/>
              <w:rPr>
                <w:sz w:val="19"/>
              </w:rPr>
            </w:pPr>
            <w:r>
              <w:rPr>
                <w:b/>
                <w:sz w:val="19"/>
              </w:rPr>
              <w:t xml:space="preserve">Reprint of the </w:t>
            </w:r>
            <w:r>
              <w:rPr>
                <w:b/>
                <w:i/>
                <w:sz w:val="19"/>
              </w:rPr>
              <w:t>W.A. Marine (Surveys and Certificates of Survey) Regulations 1983</w:t>
            </w:r>
            <w:r>
              <w:rPr>
                <w:b/>
                <w:sz w:val="19"/>
              </w:rPr>
              <w:t xml:space="preserve"> as at 23 Aug 2002 </w:t>
            </w:r>
            <w:r>
              <w:rPr>
                <w:sz w:val="19"/>
              </w:rPr>
              <w:t>(includes amendments listed above)</w:t>
            </w:r>
          </w:p>
        </w:tc>
      </w:tr>
      <w:tr>
        <w:trPr>
          <w:cantSplit/>
        </w:trPr>
        <w:tc>
          <w:tcPr>
            <w:tcW w:w="3147" w:type="dxa"/>
            <w:gridSpan w:val="2"/>
          </w:tcPr>
          <w:p>
            <w:pPr>
              <w:pStyle w:val="nTable"/>
              <w:spacing w:before="100"/>
              <w:rPr>
                <w:b/>
                <w:sz w:val="19"/>
              </w:rPr>
            </w:pPr>
            <w:r>
              <w:rPr>
                <w:i/>
                <w:sz w:val="19"/>
              </w:rPr>
              <w:t>W.A. Marine (Surveys and Certificates of Survey) Amendment Regulations 2003</w:t>
            </w:r>
          </w:p>
        </w:tc>
        <w:tc>
          <w:tcPr>
            <w:tcW w:w="1276" w:type="dxa"/>
            <w:gridSpan w:val="2"/>
          </w:tcPr>
          <w:p>
            <w:pPr>
              <w:pStyle w:val="nTable"/>
              <w:spacing w:before="100"/>
              <w:rPr>
                <w:sz w:val="19"/>
              </w:rPr>
            </w:pPr>
            <w:r>
              <w:rPr>
                <w:color w:val="000000"/>
                <w:sz w:val="19"/>
              </w:rPr>
              <w:t>27 June 2003 p. 2529-31</w:t>
            </w:r>
          </w:p>
        </w:tc>
        <w:tc>
          <w:tcPr>
            <w:tcW w:w="2665" w:type="dxa"/>
          </w:tcPr>
          <w:p>
            <w:pPr>
              <w:pStyle w:val="nTable"/>
              <w:spacing w:before="100"/>
              <w:rPr>
                <w:sz w:val="19"/>
              </w:rPr>
            </w:pPr>
            <w:r>
              <w:rPr>
                <w:sz w:val="19"/>
              </w:rPr>
              <w:t>1 Jul 2003 (see r. 2)</w:t>
            </w:r>
          </w:p>
        </w:tc>
      </w:tr>
      <w:tr>
        <w:trPr>
          <w:cantSplit/>
        </w:trPr>
        <w:tc>
          <w:tcPr>
            <w:tcW w:w="3147" w:type="dxa"/>
            <w:gridSpan w:val="2"/>
          </w:tcPr>
          <w:p>
            <w:pPr>
              <w:pStyle w:val="nTable"/>
              <w:spacing w:before="100"/>
              <w:rPr>
                <w:i/>
                <w:sz w:val="19"/>
              </w:rPr>
            </w:pPr>
            <w:r>
              <w:rPr>
                <w:i/>
                <w:sz w:val="19"/>
              </w:rPr>
              <w:t>W.A. Marine (Surveys and Certificates of Survey) Amendment Regulations 2004</w:t>
            </w:r>
          </w:p>
        </w:tc>
        <w:tc>
          <w:tcPr>
            <w:tcW w:w="1276" w:type="dxa"/>
            <w:gridSpan w:val="2"/>
          </w:tcPr>
          <w:p>
            <w:pPr>
              <w:pStyle w:val="nTable"/>
              <w:spacing w:before="100"/>
              <w:rPr>
                <w:color w:val="000000"/>
                <w:sz w:val="19"/>
              </w:rPr>
            </w:pPr>
            <w:r>
              <w:rPr>
                <w:color w:val="000000"/>
                <w:sz w:val="19"/>
              </w:rPr>
              <w:t>25 Jun 2004 p. 2250</w:t>
            </w:r>
            <w:r>
              <w:rPr>
                <w:color w:val="000000"/>
                <w:sz w:val="19"/>
              </w:rPr>
              <w:noBreakHyphen/>
              <w:t>60</w:t>
            </w:r>
          </w:p>
        </w:tc>
        <w:tc>
          <w:tcPr>
            <w:tcW w:w="2665" w:type="dxa"/>
          </w:tcPr>
          <w:p>
            <w:pPr>
              <w:pStyle w:val="nTable"/>
              <w:spacing w:before="100"/>
              <w:rPr>
                <w:sz w:val="19"/>
              </w:rPr>
            </w:pPr>
            <w:r>
              <w:rPr>
                <w:sz w:val="19"/>
              </w:rPr>
              <w:t>1 Jul 2004 (see r. 2)</w:t>
            </w:r>
          </w:p>
        </w:tc>
      </w:tr>
      <w:tr>
        <w:trPr>
          <w:cantSplit/>
        </w:trPr>
        <w:tc>
          <w:tcPr>
            <w:tcW w:w="3147" w:type="dxa"/>
            <w:gridSpan w:val="2"/>
            <w:tcBorders>
              <w:bottom w:val="single" w:sz="4" w:space="0" w:color="auto"/>
            </w:tcBorders>
          </w:tcPr>
          <w:p>
            <w:pPr>
              <w:pStyle w:val="nTable"/>
              <w:spacing w:before="100"/>
              <w:rPr>
                <w:i/>
                <w:sz w:val="19"/>
              </w:rPr>
            </w:pPr>
            <w:r>
              <w:rPr>
                <w:i/>
                <w:sz w:val="19"/>
              </w:rPr>
              <w:t>W.A. Marine (Surveys and Certificates of Survey) Amendment Regulations 2005</w:t>
            </w:r>
          </w:p>
        </w:tc>
        <w:tc>
          <w:tcPr>
            <w:tcW w:w="1276" w:type="dxa"/>
            <w:gridSpan w:val="2"/>
            <w:tcBorders>
              <w:bottom w:val="single" w:sz="4" w:space="0" w:color="auto"/>
            </w:tcBorders>
          </w:tcPr>
          <w:p>
            <w:pPr>
              <w:pStyle w:val="nTable"/>
              <w:spacing w:before="100"/>
              <w:rPr>
                <w:color w:val="000000"/>
                <w:sz w:val="19"/>
              </w:rPr>
            </w:pPr>
            <w:r>
              <w:rPr>
                <w:color w:val="000000"/>
                <w:sz w:val="19"/>
              </w:rPr>
              <w:t>24 Jun 2005 p. 2784-9</w:t>
            </w:r>
          </w:p>
        </w:tc>
        <w:tc>
          <w:tcPr>
            <w:tcW w:w="2665" w:type="dxa"/>
            <w:tcBorders>
              <w:bottom w:val="single" w:sz="4" w:space="0" w:color="auto"/>
            </w:tcBorders>
          </w:tcPr>
          <w:p>
            <w:pPr>
              <w:pStyle w:val="nTable"/>
              <w:spacing w:before="100"/>
              <w:rPr>
                <w:sz w:val="19"/>
              </w:rPr>
            </w:pPr>
            <w:r>
              <w:rPr>
                <w:sz w:val="19"/>
              </w:rPr>
              <w:t>1 Jul 2005 (see r. 2)</w:t>
            </w:r>
          </w:p>
        </w:tc>
      </w:tr>
    </w:tbl>
    <w:p>
      <w:pPr>
        <w:pStyle w:val="nSubsection"/>
        <w:spacing w:before="120"/>
      </w:pPr>
      <w:r>
        <w:rPr>
          <w:vertAlign w:val="superscript"/>
        </w:rPr>
        <w:t>2</w:t>
      </w:r>
      <w:r>
        <w:tab/>
        <w:t>The Standards Association of Australia has changed its corporate status and its name. It is now Standards Australia International Limited (ACN 087 326 690). It also trades as Standards Australia.</w:t>
      </w:r>
    </w:p>
    <w:p>
      <w:pPr>
        <w:pStyle w:val="nSubsection"/>
        <w:spacing w:before="120"/>
      </w:pPr>
      <w:r>
        <w:rPr>
          <w:vertAlign w:val="superscript"/>
        </w:rPr>
        <w:t>3</w:t>
      </w:r>
      <w:r>
        <w:tab/>
        <w:t xml:space="preserve">The </w:t>
      </w:r>
      <w:r>
        <w:rPr>
          <w:i/>
        </w:rPr>
        <w:t>W.A. Marine (Surveys and Certificates of Survey) Amendment Regulations 2002</w:t>
      </w:r>
      <w:r>
        <w:t xml:space="preserve"> r. 4 reads as follows:</w:t>
      </w:r>
    </w:p>
    <w:p>
      <w:pPr>
        <w:pStyle w:val="MiscOpen"/>
      </w:pPr>
      <w:r>
        <w:t>“</w:t>
      </w:r>
    </w:p>
    <w:p>
      <w:pPr>
        <w:pStyle w:val="nzHeading5"/>
      </w:pPr>
      <w:r>
        <w:rPr>
          <w:rStyle w:val="CharSectno"/>
        </w:rPr>
        <w:t>4</w:t>
      </w:r>
      <w:r>
        <w:t>.</w:t>
      </w:r>
      <w:r>
        <w:tab/>
        <w:t>Saving</w:t>
      </w:r>
    </w:p>
    <w:p>
      <w:pPr>
        <w:pStyle w:val="nzSubsection"/>
        <w:rPr>
          <w:i/>
        </w:rPr>
      </w:pPr>
      <w:r>
        <w:tab/>
      </w:r>
      <w:r>
        <w:tab/>
        <w:t xml:space="preserve">If a registration certificate and identification plate in respect of a vessel has been obtained under regulation 10A(1)(c) of the </w:t>
      </w:r>
      <w:r>
        <w:rPr>
          <w:i/>
        </w:rPr>
        <w:t xml:space="preserve">W.A. Marine (Surveys and Certificates of Survey) </w:t>
      </w:r>
    </w:p>
    <w:p>
      <w:pPr>
        <w:pStyle w:val="nzSubsection"/>
      </w:pPr>
      <w:r>
        <w:rPr>
          <w:i/>
        </w:rPr>
        <w:tab/>
      </w:r>
      <w:r>
        <w:rPr>
          <w:i/>
        </w:rPr>
        <w:tab/>
        <w:t>Regulations 1983</w:t>
      </w:r>
      <w:r>
        <w:t xml:space="preserve"> before the commencement of the </w:t>
      </w:r>
      <w:r>
        <w:rPr>
          <w:i/>
        </w:rPr>
        <w:t>W.A. Marine (Surveys and Certificates of Survey) Amendment Regulations 2002</w:t>
      </w:r>
      <w:r>
        <w:t xml:space="preserve">, the registration continues to have effect under regulation 10A of the </w:t>
      </w:r>
      <w:r>
        <w:rPr>
          <w:i/>
        </w:rPr>
        <w:t>W.A. Marine (Surveys and Certificates of Survey) Regulations 1983</w:t>
      </w:r>
      <w:r>
        <w:t xml:space="preserve"> from that commencement in relation to the vessel as if it were intended that the vessel would operate within 5 nautical miles off the mainland of the State.</w:t>
      </w:r>
    </w:p>
    <w:p>
      <w:pPr>
        <w:pStyle w:val="MiscClose"/>
      </w:pPr>
      <w:r>
        <w:t>”.</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xliv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 Marine (Surveys and Certificates of Survey) Regulations 1983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 Marine (Surveys and Certificates of Survey) Regulations 1983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 Marine (Surveys and Certificates of Survey) Regulations 1983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 Marine (Surveys and Certificates of Survey) Regulations 1983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 Marine (Surveys and Certificates of Survey) Regulations 1983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W.A. Marine (Surveys and Certificates of Survey) Regulations 1983</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W.A. Marine (Surveys and Certificates of Survey) Regulations 1983</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 Marine (Surveys and Certificates of Survey) Regulations 1983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 Marine (Surveys and Certificates of Survey) Regulations 1983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 Marine (Surveys and Certificates of Survey) Regulations 1983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 Marine (Surveys and Certificates of Survey) Regulations 1983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A966AF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03C882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BDEDF5E"/>
    <w:lvl w:ilvl="0">
      <w:start w:val="1"/>
      <w:numFmt w:val="decimal"/>
      <w:pStyle w:val="ListNumber3"/>
      <w:lvlText w:val="%1."/>
      <w:lvlJc w:val="left"/>
      <w:pPr>
        <w:tabs>
          <w:tab w:val="num" w:pos="926"/>
        </w:tabs>
        <w:ind w:left="926" w:hanging="360"/>
      </w:pPr>
    </w:lvl>
  </w:abstractNum>
  <w:abstractNum w:abstractNumId="3">
    <w:nsid w:val="FFFFFF7F"/>
    <w:multiLevelType w:val="singleLevel"/>
    <w:tmpl w:val="2BC45F98"/>
    <w:lvl w:ilvl="0">
      <w:start w:val="1"/>
      <w:numFmt w:val="decimal"/>
      <w:pStyle w:val="ListNumber2"/>
      <w:lvlText w:val="%1."/>
      <w:lvlJc w:val="left"/>
      <w:pPr>
        <w:tabs>
          <w:tab w:val="num" w:pos="643"/>
        </w:tabs>
        <w:ind w:left="643" w:hanging="360"/>
      </w:pPr>
    </w:lvl>
  </w:abstractNum>
  <w:abstractNum w:abstractNumId="4">
    <w:nsid w:val="FFFFFF80"/>
    <w:multiLevelType w:val="singleLevel"/>
    <w:tmpl w:val="776AC15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4729BF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BA01C2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B34DB4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0363AEE"/>
    <w:lvl w:ilvl="0">
      <w:start w:val="1"/>
      <w:numFmt w:val="decimal"/>
      <w:pStyle w:val="ListNumber"/>
      <w:lvlText w:val="%1."/>
      <w:lvlJc w:val="left"/>
      <w:pPr>
        <w:tabs>
          <w:tab w:val="num" w:pos="360"/>
        </w:tabs>
        <w:ind w:left="360" w:hanging="360"/>
      </w:pPr>
    </w:lvl>
  </w:abstractNum>
  <w:abstractNum w:abstractNumId="9">
    <w:nsid w:val="FFFFFF89"/>
    <w:multiLevelType w:val="singleLevel"/>
    <w:tmpl w:val="8142266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74EE68B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AD47F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65934"/>
    <w:docVar w:name="WAFER_20151209165934" w:val="RemoveTrackChanges"/>
    <w:docVar w:name="WAFER_20151209165934_GUID" w:val="308725f9-bba1-4a2f-a7c3-a7e973feef0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48</Pages>
  <Words>9637</Words>
  <Characters>46261</Characters>
  <Application>Microsoft Office Word</Application>
  <DocSecurity>0</DocSecurity>
  <Lines>2102</Lines>
  <Paragraphs>1117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54781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(Surveys and Certificates of Survey) Regulations 1983 - 02-c0-04</dc:title>
  <dc:subject/>
  <dc:creator/>
  <cp:keywords/>
  <dc:description/>
  <cp:lastModifiedBy>svcMRProcess</cp:lastModifiedBy>
  <cp:revision>4</cp:revision>
  <cp:lastPrinted>2002-09-04T02:56:00Z</cp:lastPrinted>
  <dcterms:created xsi:type="dcterms:W3CDTF">2015-12-11T06:59:00Z</dcterms:created>
  <dcterms:modified xsi:type="dcterms:W3CDTF">2015-12-11T06:59:00Z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pp.2195-208</vt:lpwstr>
  </property>
  <property fmtid="{D5CDD505-2E9C-101B-9397-08002B2CF9AE}" pid="3" name="CommencementDate">
    <vt:lpwstr>20050701</vt:lpwstr>
  </property>
  <property fmtid="{D5CDD505-2E9C-101B-9397-08002B2CF9AE}" pid="4" name="DocumentType">
    <vt:lpwstr>Reg</vt:lpwstr>
  </property>
  <property fmtid="{D5CDD505-2E9C-101B-9397-08002B2CF9AE}" pid="5" name="OwlsUID">
    <vt:i4>4847</vt:i4>
  </property>
  <property fmtid="{D5CDD505-2E9C-101B-9397-08002B2CF9AE}" pid="6" name="AsAtDate">
    <vt:lpwstr>01 Jul 2005</vt:lpwstr>
  </property>
  <property fmtid="{D5CDD505-2E9C-101B-9397-08002B2CF9AE}" pid="7" name="Suffix">
    <vt:lpwstr>02-c0-04</vt:lpwstr>
  </property>
</Properties>
</file>