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Control of Vehicles (Off-road Areas)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Control of Vehicles (Off-road Areas) Act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_Toc154747645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_Toc154747646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_Toc154747647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_Toc154747648 \h </w:instrText>
      </w:r>
      <w:r>
        <w:fldChar w:fldCharType="separate"/>
      </w:r>
      <w:r>
        <w:t>4</w:t>
      </w:r>
      <w:r>
        <w:fldChar w:fldCharType="end"/>
      </w:r>
    </w:p>
    <w:p>
      <w:pPr>
        <w:pStyle w:val="TOC8"/>
        <w:rPr>
          <w:rFonts w:asciiTheme="minorHAnsi" w:eastAsiaTheme="minorEastAsia" w:hAnsiTheme="minorHAnsi" w:cstheme="minorBidi"/>
          <w:szCs w:val="22"/>
        </w:rPr>
      </w:pPr>
      <w:r>
        <w:t>4A.</w:t>
      </w:r>
      <w:r>
        <w:tab/>
        <w:t>Delegation by Director General</w:t>
      </w:r>
      <w:r>
        <w:tab/>
      </w:r>
      <w:r>
        <w:fldChar w:fldCharType="begin"/>
      </w:r>
      <w:r>
        <w:instrText xml:space="preserve"> PAGEREF _Toc154747649 \h </w:instrText>
      </w:r>
      <w:r>
        <w:fldChar w:fldCharType="separate"/>
      </w:r>
      <w:r>
        <w:t>4</w:t>
      </w:r>
      <w:r>
        <w:fldChar w:fldCharType="end"/>
      </w:r>
    </w:p>
    <w:p>
      <w:pPr>
        <w:pStyle w:val="TOC8"/>
        <w:rPr>
          <w:rFonts w:asciiTheme="minorHAnsi" w:eastAsiaTheme="minorEastAsia" w:hAnsiTheme="minorHAnsi" w:cstheme="minorBidi"/>
          <w:szCs w:val="22"/>
        </w:rPr>
      </w:pPr>
      <w:r>
        <w:t>4B.</w:t>
      </w:r>
      <w:r>
        <w:tab/>
        <w:t>Agreements for performance of Director General’s functions by others</w:t>
      </w:r>
      <w:r>
        <w:tab/>
      </w:r>
      <w:r>
        <w:fldChar w:fldCharType="begin"/>
      </w:r>
      <w:r>
        <w:instrText xml:space="preserve"> PAGEREF _Toc154747650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Local government’s functions</w:t>
      </w:r>
      <w:r>
        <w:tab/>
      </w:r>
      <w:r>
        <w:fldChar w:fldCharType="begin"/>
      </w:r>
      <w:r>
        <w:instrText xml:space="preserve"> PAGEREF _Toc154747651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Driving and using off</w:t>
      </w:r>
      <w:r>
        <w:rPr>
          <w:snapToGrid w:val="0"/>
        </w:rPr>
        <w:noBreakHyphen/>
        <w:t>road vehicles, offences</w:t>
      </w:r>
      <w:r>
        <w:tab/>
      </w:r>
      <w:r>
        <w:fldChar w:fldCharType="begin"/>
      </w:r>
      <w:r>
        <w:instrText xml:space="preserve"> PAGEREF _Toc154747652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Some vehicles to be registered under this Act</w:t>
      </w:r>
      <w:r>
        <w:tab/>
      </w:r>
      <w:r>
        <w:fldChar w:fldCharType="begin"/>
      </w:r>
      <w:r>
        <w:instrText xml:space="preserve"> PAGEREF _Toc154747653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Exceptions to s. 6(1) and (2), 9A, 9B and 9C</w:t>
      </w:r>
      <w:r>
        <w:tab/>
      </w:r>
      <w:r>
        <w:fldChar w:fldCharType="begin"/>
      </w:r>
      <w:r>
        <w:instrText xml:space="preserve"> PAGEREF _Toc154747654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vehicles not to be driven etc.</w:t>
      </w:r>
      <w:r>
        <w:tab/>
      </w:r>
      <w:r>
        <w:fldChar w:fldCharType="begin"/>
      </w:r>
      <w:r>
        <w:instrText xml:space="preserve"> PAGEREF _Toc154747655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Seat belt requirements for vehicles</w:t>
      </w:r>
      <w:r>
        <w:tab/>
      </w:r>
      <w:r>
        <w:fldChar w:fldCharType="begin"/>
      </w:r>
      <w:r>
        <w:instrText xml:space="preserve"> PAGEREF _Toc154747656 \h </w:instrText>
      </w:r>
      <w:r>
        <w:fldChar w:fldCharType="separate"/>
      </w:r>
      <w:r>
        <w:t>11</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Seat belt requirements for people in vehicles</w:t>
      </w:r>
      <w:r>
        <w:tab/>
      </w:r>
      <w:r>
        <w:fldChar w:fldCharType="begin"/>
      </w:r>
      <w:r>
        <w:instrText xml:space="preserve"> PAGEREF _Toc154747657 \h </w:instrText>
      </w:r>
      <w:r>
        <w:fldChar w:fldCharType="separate"/>
      </w:r>
      <w:r>
        <w:t>11</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Motor cycle helmet requirements</w:t>
      </w:r>
      <w:r>
        <w:tab/>
      </w:r>
      <w:r>
        <w:fldChar w:fldCharType="begin"/>
      </w:r>
      <w:r>
        <w:instrText xml:space="preserve"> PAGEREF _Toc154747658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Minimum age for drivers</w:t>
      </w:r>
      <w:r>
        <w:tab/>
      </w:r>
      <w:r>
        <w:fldChar w:fldCharType="begin"/>
      </w:r>
      <w:r>
        <w:instrText xml:space="preserve"> PAGEREF _Toc154747659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Permitted areas, declaring etc.</w:t>
      </w:r>
      <w:r>
        <w:tab/>
      </w:r>
      <w:r>
        <w:fldChar w:fldCharType="begin"/>
      </w:r>
      <w:r>
        <w:instrText xml:space="preserve"> PAGEREF _Toc154747660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Permitted areas, declaring before 6 Jan 1980</w:t>
      </w:r>
      <w:r>
        <w:tab/>
      </w:r>
      <w:r>
        <w:fldChar w:fldCharType="begin"/>
      </w:r>
      <w:r>
        <w:instrText xml:space="preserve"> PAGEREF _Toc154747661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Private land may be declared to be a permitted area</w:t>
      </w:r>
      <w:r>
        <w:tab/>
      </w:r>
      <w:r>
        <w:fldChar w:fldCharType="begin"/>
      </w:r>
      <w:r>
        <w:instrText xml:space="preserve"> PAGEREF _Toc154747662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Permitted area, temporary closure of</w:t>
      </w:r>
      <w:r>
        <w:tab/>
      </w:r>
      <w:r>
        <w:fldChar w:fldCharType="begin"/>
      </w:r>
      <w:r>
        <w:instrText xml:space="preserve"> PAGEREF _Toc154747663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Prohibited areas, establishing etc.</w:t>
      </w:r>
      <w:r>
        <w:tab/>
      </w:r>
      <w:r>
        <w:fldChar w:fldCharType="begin"/>
      </w:r>
      <w:r>
        <w:instrText xml:space="preserve"> PAGEREF _Toc154747664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Advisory Committee, establishment and functions of</w:t>
      </w:r>
      <w:r>
        <w:tab/>
      </w:r>
      <w:r>
        <w:fldChar w:fldCharType="begin"/>
      </w:r>
      <w:r>
        <w:instrText xml:space="preserve"> PAGEREF _Toc154747665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Committee’s functions as to permitted areas, prohibited areas, and use of vehicles</w:t>
      </w:r>
      <w:r>
        <w:tab/>
      </w:r>
      <w:r>
        <w:fldChar w:fldCharType="begin"/>
      </w:r>
      <w:r>
        <w:instrText xml:space="preserve"> PAGEREF _Toc154747666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Permitted and prohibited areas, identifying</w:t>
      </w:r>
      <w:r>
        <w:tab/>
      </w:r>
      <w:r>
        <w:fldChar w:fldCharType="begin"/>
      </w:r>
      <w:r>
        <w:instrText xml:space="preserve"> PAGEREF _Toc154747667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Permitted areas and prohibited areas, application of to vehicles and effect of</w:t>
      </w:r>
      <w:r>
        <w:tab/>
      </w:r>
      <w:r>
        <w:fldChar w:fldCharType="begin"/>
      </w:r>
      <w:r>
        <w:instrText xml:space="preserve"> PAGEREF _Toc154747668 \h </w:instrText>
      </w:r>
      <w:r>
        <w:fldChar w:fldCharType="separate"/>
      </w:r>
      <w:r>
        <w:t>21</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Advisory Committee, members and procedure of etc.</w:t>
      </w:r>
      <w:r>
        <w:tab/>
      </w:r>
      <w:r>
        <w:fldChar w:fldCharType="begin"/>
      </w:r>
      <w:r>
        <w:instrText xml:space="preserve"> PAGEREF _Toc154747669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Nominations of candidates for Advisory Committee, Minister may request</w:t>
      </w:r>
      <w:r>
        <w:tab/>
      </w:r>
      <w:r>
        <w:fldChar w:fldCharType="begin"/>
      </w:r>
      <w:r>
        <w:instrText xml:space="preserve"> PAGEREF _Toc154747670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Deputies of members, appointing etc.</w:t>
      </w:r>
      <w:r>
        <w:tab/>
      </w:r>
      <w:r>
        <w:fldChar w:fldCharType="begin"/>
      </w:r>
      <w:r>
        <w:instrText xml:space="preserve"> PAGEREF _Toc154747671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r>
      <w:r>
        <w:rPr>
          <w:i/>
          <w:snapToGrid w:val="0"/>
        </w:rPr>
        <w:t>Public Sector Management Act 1994</w:t>
      </w:r>
      <w:r>
        <w:rPr>
          <w:snapToGrid w:val="0"/>
        </w:rPr>
        <w:t>, application of to members</w:t>
      </w:r>
      <w:r>
        <w:tab/>
      </w:r>
      <w:r>
        <w:fldChar w:fldCharType="begin"/>
      </w:r>
      <w:r>
        <w:instrText xml:space="preserve"> PAGEREF _Toc154747672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Advisory Committee, departments etc. may assist</w:t>
      </w:r>
      <w:r>
        <w:tab/>
      </w:r>
      <w:r>
        <w:fldChar w:fldCharType="begin"/>
      </w:r>
      <w:r>
        <w:instrText xml:space="preserve"> PAGEREF _Toc154747673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Sub</w:t>
      </w:r>
      <w:r>
        <w:rPr>
          <w:snapToGrid w:val="0"/>
        </w:rPr>
        <w:noBreakHyphen/>
        <w:t>committees, appointing</w:t>
      </w:r>
      <w:r>
        <w:tab/>
      </w:r>
      <w:r>
        <w:fldChar w:fldCharType="begin"/>
      </w:r>
      <w:r>
        <w:instrText xml:space="preserve"> PAGEREF _Toc154747674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 of vehicles, generally</w:t>
      </w:r>
      <w:r>
        <w:tab/>
      </w:r>
      <w:r>
        <w:fldChar w:fldCharType="begin"/>
      </w:r>
      <w:r>
        <w:instrText xml:space="preserve"> PAGEREF _Toc154747675 \h </w:instrText>
      </w:r>
      <w:r>
        <w:fldChar w:fldCharType="separate"/>
      </w:r>
      <w:r>
        <w:t>28</w:t>
      </w:r>
      <w:r>
        <w:fldChar w:fldCharType="end"/>
      </w:r>
    </w:p>
    <w:p>
      <w:pPr>
        <w:pStyle w:val="TOC8"/>
        <w:rPr>
          <w:rFonts w:asciiTheme="minorHAnsi" w:eastAsiaTheme="minorEastAsia" w:hAnsiTheme="minorHAnsi" w:cstheme="minorBidi"/>
          <w:szCs w:val="22"/>
        </w:rPr>
      </w:pPr>
      <w:r>
        <w:t>28A.</w:t>
      </w:r>
      <w:r>
        <w:tab/>
        <w:t>Applying for registration etc. of vehicle</w:t>
      </w:r>
      <w:r>
        <w:tab/>
      </w:r>
      <w:r>
        <w:fldChar w:fldCharType="begin"/>
      </w:r>
      <w:r>
        <w:instrText xml:space="preserve"> PAGEREF _Toc154747676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Registration procedure</w:t>
      </w:r>
      <w:r>
        <w:tab/>
      </w:r>
      <w:r>
        <w:fldChar w:fldCharType="begin"/>
      </w:r>
      <w:r>
        <w:instrText xml:space="preserve"> PAGEREF _Toc154747677 \h </w:instrText>
      </w:r>
      <w:r>
        <w:fldChar w:fldCharType="separate"/>
      </w:r>
      <w:r>
        <w:t>30</w:t>
      </w:r>
      <w:r>
        <w:fldChar w:fldCharType="end"/>
      </w:r>
    </w:p>
    <w:p>
      <w:pPr>
        <w:pStyle w:val="TOC8"/>
        <w:rPr>
          <w:rFonts w:asciiTheme="minorHAnsi" w:eastAsiaTheme="minorEastAsia" w:hAnsiTheme="minorHAnsi" w:cstheme="minorBidi"/>
          <w:szCs w:val="22"/>
        </w:rPr>
      </w:pPr>
      <w:r>
        <w:t>29A.</w:t>
      </w:r>
      <w:r>
        <w:tab/>
        <w:t>Transfer of vehicle registration</w:t>
      </w:r>
      <w:r>
        <w:tab/>
      </w:r>
      <w:r>
        <w:fldChar w:fldCharType="begin"/>
      </w:r>
      <w:r>
        <w:instrText xml:space="preserve"> PAGEREF _Toc154747678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Fees for registration, reductions in, refunds of etc.</w:t>
      </w:r>
      <w:r>
        <w:tab/>
      </w:r>
      <w:r>
        <w:fldChar w:fldCharType="begin"/>
      </w:r>
      <w:r>
        <w:instrText xml:space="preserve"> PAGEREF _Toc154747679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Registration obtained by dishonoured cheque is void</w:t>
      </w:r>
      <w:r>
        <w:tab/>
      </w:r>
      <w:r>
        <w:fldChar w:fldCharType="begin"/>
      </w:r>
      <w:r>
        <w:instrText xml:space="preserve"> PAGEREF _Toc154747680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Refund of registration fees</w:t>
      </w:r>
      <w:r>
        <w:tab/>
      </w:r>
      <w:r>
        <w:fldChar w:fldCharType="begin"/>
      </w:r>
      <w:r>
        <w:instrText xml:space="preserve"> PAGEREF _Toc154747681 \h </w:instrText>
      </w:r>
      <w:r>
        <w:fldChar w:fldCharType="separate"/>
      </w:r>
      <w:r>
        <w:t>35</w:t>
      </w:r>
      <w:r>
        <w:fldChar w:fldCharType="end"/>
      </w:r>
    </w:p>
    <w:p>
      <w:pPr>
        <w:pStyle w:val="TOC8"/>
        <w:rPr>
          <w:rFonts w:asciiTheme="minorHAnsi" w:eastAsiaTheme="minorEastAsia" w:hAnsiTheme="minorHAnsi" w:cstheme="minorBidi"/>
          <w:szCs w:val="22"/>
        </w:rPr>
      </w:pPr>
      <w:r>
        <w:t>32A.</w:t>
      </w:r>
      <w:r>
        <w:tab/>
        <w:t>Nominated owner of vehicle, cancelling and changing</w:t>
      </w:r>
      <w:r>
        <w:tab/>
      </w:r>
      <w:r>
        <w:fldChar w:fldCharType="begin"/>
      </w:r>
      <w:r>
        <w:instrText xml:space="preserve"> PAGEREF _Toc154747682 \h </w:instrText>
      </w:r>
      <w:r>
        <w:fldChar w:fldCharType="separate"/>
      </w:r>
      <w:r>
        <w:t>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Review by SAT of decision on registration</w:t>
      </w:r>
      <w:r>
        <w:tab/>
      </w:r>
      <w:r>
        <w:fldChar w:fldCharType="begin"/>
      </w:r>
      <w:r>
        <w:instrText xml:space="preserve"> PAGEREF _Toc154747683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Number plate to be displayed</w:t>
      </w:r>
      <w:r>
        <w:tab/>
      </w:r>
      <w:r>
        <w:fldChar w:fldCharType="begin"/>
      </w:r>
      <w:r>
        <w:instrText xml:space="preserve"> PAGEREF _Toc154747684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Other offences concerning number plates</w:t>
      </w:r>
      <w:r>
        <w:tab/>
      </w:r>
      <w:r>
        <w:fldChar w:fldCharType="begin"/>
      </w:r>
      <w:r>
        <w:instrText xml:space="preserve"> PAGEREF _Toc154747685 \h </w:instrText>
      </w:r>
      <w:r>
        <w:fldChar w:fldCharType="separate"/>
      </w:r>
      <w:r>
        <w:t>37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Road law provisions</w:t>
      </w:r>
      <w:r>
        <w:tab/>
      </w:r>
      <w:r>
        <w:fldChar w:fldCharType="begin"/>
      </w:r>
      <w:r>
        <w:instrText xml:space="preserve"> PAGEREF _Toc154747686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Infringement notices</w:t>
      </w:r>
      <w:r>
        <w:tab/>
      </w:r>
      <w:r>
        <w:fldChar w:fldCharType="begin"/>
      </w:r>
      <w:r>
        <w:instrText xml:space="preserve"> PAGEREF _Toc154747687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Authorised persons</w:t>
      </w:r>
      <w:r>
        <w:tab/>
      </w:r>
      <w:r>
        <w:fldChar w:fldCharType="begin"/>
      </w:r>
      <w:r>
        <w:instrText xml:space="preserve"> PAGEREF _Toc154747688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prosecutions</w:t>
      </w:r>
      <w:r>
        <w:tab/>
      </w:r>
      <w:r>
        <w:fldChar w:fldCharType="begin"/>
      </w:r>
      <w:r>
        <w:instrText xml:space="preserve"> PAGEREF _Toc154747689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Prosecutions, who may commence</w:t>
      </w:r>
      <w:r>
        <w:tab/>
      </w:r>
      <w:r>
        <w:fldChar w:fldCharType="begin"/>
      </w:r>
      <w:r>
        <w:instrText xml:space="preserve"> PAGEREF _Toc154747690 \h </w:instrText>
      </w:r>
      <w:r>
        <w:fldChar w:fldCharType="separate"/>
      </w:r>
      <w:r>
        <w:t>48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penalty</w:t>
      </w:r>
      <w:r>
        <w:tab/>
      </w:r>
      <w:r>
        <w:fldChar w:fldCharType="begin"/>
      </w:r>
      <w:r>
        <w:instrText xml:space="preserve"> PAGEREF _Toc154747691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Detention of vehicles, court may order</w:t>
      </w:r>
      <w:r>
        <w:tab/>
      </w:r>
      <w:r>
        <w:fldChar w:fldCharType="begin"/>
      </w:r>
      <w:r>
        <w:instrText xml:space="preserve"> PAGEREF _Toc154747692 \h </w:instrText>
      </w:r>
      <w:r>
        <w:fldChar w:fldCharType="separate"/>
      </w:r>
      <w:r>
        <w:t>48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Expenses of this Act, appropriation of penalties etc.</w:t>
      </w:r>
      <w:r>
        <w:tab/>
      </w:r>
      <w:r>
        <w:fldChar w:fldCharType="begin"/>
      </w:r>
      <w:r>
        <w:instrText xml:space="preserve"> PAGEREF _Toc154747693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Regulations that operate as local laws, Governor may make</w:t>
      </w:r>
      <w:r>
        <w:tab/>
      </w:r>
      <w:r>
        <w:fldChar w:fldCharType="begin"/>
      </w:r>
      <w:r>
        <w:instrText xml:space="preserve"> PAGEREF _Toc154747694 \h </w:instrText>
      </w:r>
      <w:r>
        <w:fldChar w:fldCharType="separate"/>
      </w:r>
      <w:r>
        <w:t>50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Local laws, local government may make</w:t>
      </w:r>
      <w:r>
        <w:tab/>
      </w:r>
      <w:r>
        <w:fldChar w:fldCharType="begin"/>
      </w:r>
      <w:r>
        <w:instrText xml:space="preserve"> PAGEREF _Toc154747695 \h </w:instrText>
      </w:r>
      <w:r>
        <w:fldChar w:fldCharType="separate"/>
      </w:r>
      <w:r>
        <w:t>51</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Model local laws, Governor may make</w:t>
      </w:r>
      <w:r>
        <w:tab/>
      </w:r>
      <w:r>
        <w:fldChar w:fldCharType="begin"/>
      </w:r>
      <w:r>
        <w:instrText xml:space="preserve"> PAGEREF _Toc154747696 \h </w:instrText>
      </w:r>
      <w:r>
        <w:fldChar w:fldCharType="separate"/>
      </w:r>
      <w:r>
        <w:t>51</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Local laws, Governor may amend or repeal</w:t>
      </w:r>
      <w:r>
        <w:tab/>
      </w:r>
      <w:r>
        <w:fldChar w:fldCharType="begin"/>
      </w:r>
      <w:r>
        <w:instrText xml:space="preserve"> PAGEREF _Toc154747697 \h </w:instrText>
      </w:r>
      <w:r>
        <w:fldChar w:fldCharType="separate"/>
      </w:r>
      <w:r>
        <w:t>51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 and local laws, general</w:t>
      </w:r>
      <w:r>
        <w:tab/>
      </w:r>
      <w:r>
        <w:fldChar w:fldCharType="begin"/>
      </w:r>
      <w:r>
        <w:instrText xml:space="preserve"> PAGEREF _Toc154747698 \h </w:instrText>
      </w:r>
      <w:r>
        <w:fldChar w:fldCharType="separate"/>
      </w:r>
      <w:r>
        <w:t>52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Local laws and local planning schemes, Governor may revoke or amend</w:t>
      </w:r>
      <w:r>
        <w:tab/>
      </w:r>
      <w:r>
        <w:fldChar w:fldCharType="begin"/>
      </w:r>
      <w:r>
        <w:instrText xml:space="preserve"> PAGEREF _Toc154747699 \h </w:instrText>
      </w:r>
      <w:r>
        <w:fldChar w:fldCharType="separate"/>
      </w:r>
      <w:r>
        <w:t>53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_Toc154747700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49.</w:t>
      </w:r>
      <w:r>
        <w:tab/>
        <w:t xml:space="preserve">Transitional provision for </w:t>
      </w:r>
      <w:r>
        <w:rPr>
          <w:i/>
        </w:rPr>
        <w:t>Local Government Legislation Amendment Act 2019</w:t>
      </w:r>
      <w:r>
        <w:tab/>
      </w:r>
      <w:r>
        <w:fldChar w:fldCharType="begin"/>
      </w:r>
      <w:r>
        <w:instrText xml:space="preserve"> PAGEREF _Toc154747701 \h </w:instrText>
      </w:r>
      <w:r>
        <w:fldChar w:fldCharType="separate"/>
      </w:r>
      <w:r>
        <w:t>54</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_Toc154747703 \h </w:instrText>
      </w:r>
      <w:r>
        <w:fldChar w:fldCharType="separate"/>
      </w:r>
      <w:r>
        <w:t>55</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_Toc154747704 \h </w:instrText>
      </w:r>
      <w:r>
        <w:fldChar w:fldCharType="separate"/>
      </w:r>
      <w:r>
        <w:t>58</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_Toc154747705 \h </w:instrText>
      </w:r>
      <w:r>
        <w:fldChar w:fldCharType="separate"/>
      </w:r>
      <w:r>
        <w:t>59</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3" w:name="_Toc154747645"/>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pPr>
        <w:pStyle w:val="Heading5"/>
        <w:rPr>
          <w:snapToGrid w:val="0"/>
        </w:rPr>
      </w:pPr>
      <w:bookmarkStart w:id="4" w:name="_Toc15474764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pPr>
        <w:pStyle w:val="Heading5"/>
        <w:rPr>
          <w:snapToGrid w:val="0"/>
        </w:rPr>
      </w:pPr>
      <w:bookmarkStart w:id="5" w:name="_Toc154747647"/>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person</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lastRenderedPageBreak/>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w:t>
      </w:r>
      <w:r>
        <w:lastRenderedPageBreak/>
        <w:t>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 No. 16 of 2019 s. 100.]</w:t>
      </w:r>
    </w:p>
    <w:p>
      <w:pPr>
        <w:pStyle w:val="Heading5"/>
        <w:keepNext w:val="0"/>
        <w:keepLines w:val="0"/>
        <w:rPr>
          <w:snapToGrid w:val="0"/>
        </w:rPr>
      </w:pPr>
      <w:bookmarkStart w:id="6" w:name="_Toc154747648"/>
      <w:r>
        <w:rPr>
          <w:rStyle w:val="CharSectno"/>
        </w:rPr>
        <w:t>4</w:t>
      </w:r>
      <w:r>
        <w:rPr>
          <w:snapToGrid w:val="0"/>
        </w:rPr>
        <w:t>.</w:t>
      </w:r>
      <w:r>
        <w:rPr>
          <w:snapToGrid w:val="0"/>
        </w:rPr>
        <w:tab/>
        <w:t>Application of this Act</w:t>
      </w:r>
      <w:bookmarkEnd w:id="6"/>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7" w:name="_Toc154747649"/>
      <w:r>
        <w:rPr>
          <w:rStyle w:val="CharSectno"/>
        </w:rPr>
        <w:t>4A</w:t>
      </w:r>
      <w:r>
        <w:t>.</w:t>
      </w:r>
      <w:r>
        <w:tab/>
        <w:t>Delegation by Director General</w:t>
      </w:r>
      <w:bookmarkEnd w:id="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lastRenderedPageBreak/>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No. 7 of 2002 s. 5.]</w:t>
      </w:r>
    </w:p>
    <w:p>
      <w:pPr>
        <w:pStyle w:val="Heading5"/>
      </w:pPr>
      <w:bookmarkStart w:id="8" w:name="_Toc154747650"/>
      <w:r>
        <w:rPr>
          <w:rStyle w:val="CharSectno"/>
        </w:rPr>
        <w:t>4B</w:t>
      </w:r>
      <w:r>
        <w:t>.</w:t>
      </w:r>
      <w:r>
        <w:tab/>
        <w:t>Agreements for performance of Director General’s functions by others</w:t>
      </w:r>
      <w:bookmarkEnd w:id="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lastRenderedPageBreak/>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No. 7 of 2002 s. 5.]</w:t>
      </w:r>
    </w:p>
    <w:p>
      <w:pPr>
        <w:pStyle w:val="Heading5"/>
        <w:keepNext w:val="0"/>
        <w:keepLines w:val="0"/>
        <w:spacing w:before="180"/>
        <w:rPr>
          <w:snapToGrid w:val="0"/>
        </w:rPr>
      </w:pPr>
      <w:bookmarkStart w:id="9" w:name="_Toc154747651"/>
      <w:r>
        <w:rPr>
          <w:rStyle w:val="CharSectno"/>
        </w:rPr>
        <w:t>5</w:t>
      </w:r>
      <w:r>
        <w:rPr>
          <w:snapToGrid w:val="0"/>
        </w:rPr>
        <w:t>.</w:t>
      </w:r>
      <w:r>
        <w:rPr>
          <w:snapToGrid w:val="0"/>
        </w:rPr>
        <w:tab/>
        <w:t>Local government’s functions</w:t>
      </w:r>
      <w:bookmarkEnd w:id="9"/>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Ednotesubsection"/>
      </w:pPr>
      <w:r>
        <w:tab/>
        <w:t>[(5)</w:t>
      </w:r>
      <w:r>
        <w:tab/>
        <w:t>deleted]</w:t>
      </w:r>
    </w:p>
    <w:p>
      <w:pPr>
        <w:pStyle w:val="Footnotesection"/>
      </w:pPr>
      <w:r>
        <w:lastRenderedPageBreak/>
        <w:tab/>
        <w:t>[Section 5 amended: No. 106 of 1981 s. 32 and 34; No. 14 of 1996 s. 4; No. 76 of 1996 s. 27; No. 7 of 2002 s. 6; No. 16 of 2019 s. 101.]</w:t>
      </w:r>
    </w:p>
    <w:p>
      <w:pPr>
        <w:pStyle w:val="Heading5"/>
        <w:rPr>
          <w:snapToGrid w:val="0"/>
        </w:rPr>
      </w:pPr>
      <w:bookmarkStart w:id="10" w:name="_Toc154747652"/>
      <w:r>
        <w:rPr>
          <w:rStyle w:val="CharSectno"/>
        </w:rPr>
        <w:t>6</w:t>
      </w:r>
      <w:r>
        <w:rPr>
          <w:snapToGrid w:val="0"/>
        </w:rPr>
        <w:t>.</w:t>
      </w:r>
      <w:r>
        <w:rPr>
          <w:snapToGrid w:val="0"/>
        </w:rPr>
        <w:tab/>
        <w:t>Driving and using off</w:t>
      </w:r>
      <w:r>
        <w:rPr>
          <w:snapToGrid w:val="0"/>
        </w:rPr>
        <w:noBreakHyphen/>
        <w:t>road vehicles, offences</w:t>
      </w:r>
      <w:bookmarkEnd w:id="10"/>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lastRenderedPageBreak/>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11" w:name="_Toc154747653"/>
      <w:r>
        <w:rPr>
          <w:rStyle w:val="CharSectno"/>
        </w:rPr>
        <w:t>7</w:t>
      </w:r>
      <w:r>
        <w:rPr>
          <w:snapToGrid w:val="0"/>
        </w:rPr>
        <w:t>.</w:t>
      </w:r>
      <w:r>
        <w:rPr>
          <w:snapToGrid w:val="0"/>
        </w:rPr>
        <w:tab/>
        <w:t>Some vehicles to be registered under this Act</w:t>
      </w:r>
      <w:bookmarkEnd w:id="11"/>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 No. 8 of 2012 s. 64.]</w:t>
      </w:r>
    </w:p>
    <w:p>
      <w:pPr>
        <w:pStyle w:val="Heading5"/>
        <w:rPr>
          <w:snapToGrid w:val="0"/>
        </w:rPr>
      </w:pPr>
      <w:bookmarkStart w:id="12" w:name="_Toc154747654"/>
      <w:r>
        <w:rPr>
          <w:rStyle w:val="CharSectno"/>
        </w:rPr>
        <w:lastRenderedPageBreak/>
        <w:t>8</w:t>
      </w:r>
      <w:r>
        <w:rPr>
          <w:snapToGrid w:val="0"/>
        </w:rPr>
        <w:t>.</w:t>
      </w:r>
      <w:r>
        <w:rPr>
          <w:snapToGrid w:val="0"/>
        </w:rPr>
        <w:tab/>
        <w:t>Exceptions to s. 6(1) and (2), 9A, 9B and 9C</w:t>
      </w:r>
      <w:bookmarkEnd w:id="12"/>
    </w:p>
    <w:p>
      <w:pPr>
        <w:pStyle w:val="Subsection"/>
        <w:keepNext/>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 xml:space="preserve">by an </w:t>
      </w:r>
      <w:r>
        <w:t>authorised person</w:t>
      </w:r>
      <w:r>
        <w:rPr>
          <w:snapToGrid w:val="0"/>
        </w:rPr>
        <w:t xml:space="preserve">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keepNext/>
        <w:keepLines/>
        <w:rPr>
          <w:snapToGrid w:val="0"/>
        </w:rPr>
      </w:pPr>
      <w:r>
        <w:rPr>
          <w:snapToGrid w:val="0"/>
        </w:rPr>
        <w:lastRenderedPageBreak/>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No. 12 of 1985 s. 4; No. 16 of 2019 s. 104.]</w:t>
      </w:r>
    </w:p>
    <w:p>
      <w:pPr>
        <w:pStyle w:val="Heading5"/>
        <w:rPr>
          <w:snapToGrid w:val="0"/>
        </w:rPr>
      </w:pPr>
      <w:bookmarkStart w:id="13" w:name="_Toc154747655"/>
      <w:r>
        <w:rPr>
          <w:rStyle w:val="CharSectno"/>
        </w:rPr>
        <w:t>9</w:t>
      </w:r>
      <w:r>
        <w:rPr>
          <w:snapToGrid w:val="0"/>
        </w:rPr>
        <w:t>.</w:t>
      </w:r>
      <w:r>
        <w:rPr>
          <w:snapToGrid w:val="0"/>
        </w:rPr>
        <w:tab/>
        <w:t>Dangerous vehicles not to be driven etc.</w:t>
      </w:r>
      <w:bookmarkEnd w:id="13"/>
    </w:p>
    <w:p>
      <w:pPr>
        <w:pStyle w:val="Subsection"/>
        <w:rPr>
          <w:snapToGrid w:val="0"/>
        </w:rPr>
      </w:pPr>
      <w:r>
        <w:rPr>
          <w:snapToGrid w:val="0"/>
        </w:rPr>
        <w:tab/>
      </w:r>
      <w:r>
        <w:rPr>
          <w:snapToGrid w:val="0"/>
        </w:rPr>
        <w:tab/>
        <w:t xml:space="preserve">A person shall not drive or use on any land to which this Act applies any vehicle so constructed or in such a condition as to be </w:t>
      </w:r>
      <w:r>
        <w:rPr>
          <w:snapToGrid w:val="0"/>
        </w:rPr>
        <w:lastRenderedPageBreak/>
        <w:t>likely to occasion danger to any person or damage to any property.</w:t>
      </w:r>
    </w:p>
    <w:p>
      <w:pPr>
        <w:pStyle w:val="Penstart"/>
        <w:rPr>
          <w:snapToGrid w:val="0"/>
        </w:rPr>
      </w:pPr>
      <w:r>
        <w:rPr>
          <w:snapToGrid w:val="0"/>
        </w:rPr>
        <w:tab/>
        <w:t>Penalty: $500.</w:t>
      </w:r>
    </w:p>
    <w:p>
      <w:pPr>
        <w:pStyle w:val="Heading5"/>
        <w:rPr>
          <w:snapToGrid w:val="0"/>
        </w:rPr>
      </w:pPr>
      <w:bookmarkStart w:id="14" w:name="_Toc154747656"/>
      <w:r>
        <w:rPr>
          <w:rStyle w:val="CharSectno"/>
        </w:rPr>
        <w:t>9A</w:t>
      </w:r>
      <w:r>
        <w:rPr>
          <w:snapToGrid w:val="0"/>
        </w:rPr>
        <w:t>.</w:t>
      </w:r>
      <w:r>
        <w:rPr>
          <w:snapToGrid w:val="0"/>
        </w:rPr>
        <w:tab/>
        <w:t>Seat belt requirements for vehicles</w:t>
      </w:r>
      <w:bookmarkEnd w:id="14"/>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No. 12 of 1985 s. 5; amended: No. 28 of 2001 s. 31.]</w:t>
      </w:r>
    </w:p>
    <w:p>
      <w:pPr>
        <w:pStyle w:val="Heading5"/>
        <w:rPr>
          <w:snapToGrid w:val="0"/>
        </w:rPr>
      </w:pPr>
      <w:bookmarkStart w:id="15" w:name="_Toc154747657"/>
      <w:r>
        <w:rPr>
          <w:rStyle w:val="CharSectno"/>
        </w:rPr>
        <w:t>9B</w:t>
      </w:r>
      <w:r>
        <w:rPr>
          <w:snapToGrid w:val="0"/>
        </w:rPr>
        <w:t>.</w:t>
      </w:r>
      <w:r>
        <w:rPr>
          <w:snapToGrid w:val="0"/>
        </w:rPr>
        <w:tab/>
        <w:t>Seat belt requirements for people in vehicles</w:t>
      </w:r>
      <w:bookmarkEnd w:id="15"/>
    </w:p>
    <w:p>
      <w:pPr>
        <w:pStyle w:val="Subsection"/>
        <w:spacing w:before="120"/>
        <w:rPr>
          <w:snapToGrid w:val="0"/>
        </w:rPr>
      </w:pPr>
      <w:r>
        <w:rPr>
          <w:snapToGrid w:val="0"/>
        </w:rPr>
        <w:tab/>
        <w:t>(1)</w:t>
      </w:r>
      <w:r>
        <w:rPr>
          <w:snapToGrid w:val="0"/>
        </w:rPr>
        <w:tab/>
        <w:t xml:space="preserve">A person shall not, while occupying a seat position in a motor vehicle to which this section applies and to which a seat belt has been fitted for that seat position, drive or travel as a passenger in an area to which this section applies unless he is wearing that </w:t>
      </w:r>
      <w:r>
        <w:rPr>
          <w:snapToGrid w:val="0"/>
        </w:rPr>
        <w:lastRenderedPageBreak/>
        <w:t>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lastRenderedPageBreak/>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No. 12 of 1985 s. 5; amended: No. 28 of 2001 s. 32; No. 84 of 2004 s. 80.]</w:t>
      </w:r>
    </w:p>
    <w:p>
      <w:pPr>
        <w:pStyle w:val="Heading5"/>
        <w:spacing w:before="180"/>
        <w:rPr>
          <w:snapToGrid w:val="0"/>
        </w:rPr>
      </w:pPr>
      <w:bookmarkStart w:id="16" w:name="_Toc154747658"/>
      <w:r>
        <w:rPr>
          <w:rStyle w:val="CharSectno"/>
        </w:rPr>
        <w:t>9C</w:t>
      </w:r>
      <w:r>
        <w:rPr>
          <w:snapToGrid w:val="0"/>
        </w:rPr>
        <w:t>.</w:t>
      </w:r>
      <w:r>
        <w:rPr>
          <w:snapToGrid w:val="0"/>
        </w:rPr>
        <w:tab/>
        <w:t>Motor cycle helmet requirements</w:t>
      </w:r>
      <w:bookmarkEnd w:id="16"/>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No. 12 of 1985 s. 5; amended: No. 76 of 1996 s. 27.]</w:t>
      </w:r>
    </w:p>
    <w:p>
      <w:pPr>
        <w:pStyle w:val="Heading5"/>
        <w:spacing w:before="180"/>
        <w:rPr>
          <w:snapToGrid w:val="0"/>
        </w:rPr>
      </w:pPr>
      <w:bookmarkStart w:id="17" w:name="_Toc154747659"/>
      <w:r>
        <w:rPr>
          <w:rStyle w:val="CharSectno"/>
        </w:rPr>
        <w:lastRenderedPageBreak/>
        <w:t>10</w:t>
      </w:r>
      <w:r>
        <w:rPr>
          <w:snapToGrid w:val="0"/>
        </w:rPr>
        <w:t>.</w:t>
      </w:r>
      <w:r>
        <w:rPr>
          <w:snapToGrid w:val="0"/>
        </w:rPr>
        <w:tab/>
        <w:t>Minimum age for drivers</w:t>
      </w:r>
      <w:bookmarkEnd w:id="17"/>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t>[</w:t>
      </w:r>
      <w:r>
        <w:rPr>
          <w:b/>
        </w:rPr>
        <w:t>11.</w:t>
      </w:r>
      <w:r>
        <w:tab/>
        <w:t>Has not come into operation.]</w:t>
      </w:r>
    </w:p>
    <w:p>
      <w:pPr>
        <w:pStyle w:val="Heading5"/>
        <w:rPr>
          <w:snapToGrid w:val="0"/>
        </w:rPr>
      </w:pPr>
      <w:bookmarkStart w:id="18" w:name="_Toc154747660"/>
      <w:r>
        <w:rPr>
          <w:rStyle w:val="CharSectno"/>
        </w:rPr>
        <w:t>12</w:t>
      </w:r>
      <w:r>
        <w:rPr>
          <w:snapToGrid w:val="0"/>
        </w:rPr>
        <w:t>.</w:t>
      </w:r>
      <w:r>
        <w:rPr>
          <w:snapToGrid w:val="0"/>
        </w:rPr>
        <w:tab/>
        <w:t>Permitted areas, declaring etc.</w:t>
      </w:r>
      <w:bookmarkEnd w:id="18"/>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19" w:name="_Toc154747661"/>
      <w:r>
        <w:rPr>
          <w:rStyle w:val="CharSectno"/>
        </w:rPr>
        <w:t>13</w:t>
      </w:r>
      <w:r>
        <w:rPr>
          <w:snapToGrid w:val="0"/>
        </w:rPr>
        <w:t>.</w:t>
      </w:r>
      <w:r>
        <w:rPr>
          <w:snapToGrid w:val="0"/>
        </w:rPr>
        <w:tab/>
        <w:t>Permitted areas, declaring before 6 Jan 1980</w:t>
      </w:r>
      <w:bookmarkEnd w:id="19"/>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lastRenderedPageBreak/>
        <w:tab/>
        <w:t>[Section 13 amended: No. 14 of 1996 s. 4.]</w:t>
      </w:r>
    </w:p>
    <w:p>
      <w:pPr>
        <w:pStyle w:val="Heading5"/>
        <w:spacing w:before="240"/>
        <w:rPr>
          <w:snapToGrid w:val="0"/>
        </w:rPr>
      </w:pPr>
      <w:bookmarkStart w:id="20" w:name="_Toc154747662"/>
      <w:r>
        <w:rPr>
          <w:rStyle w:val="CharSectno"/>
        </w:rPr>
        <w:t>14</w:t>
      </w:r>
      <w:r>
        <w:rPr>
          <w:snapToGrid w:val="0"/>
        </w:rPr>
        <w:t>.</w:t>
      </w:r>
      <w:r>
        <w:rPr>
          <w:snapToGrid w:val="0"/>
        </w:rPr>
        <w:tab/>
        <w:t>Private land may be declared to be a permitted area</w:t>
      </w:r>
      <w:bookmarkEnd w:id="20"/>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21" w:name="_Toc154747663"/>
      <w:r>
        <w:rPr>
          <w:rStyle w:val="CharSectno"/>
        </w:rPr>
        <w:t>15</w:t>
      </w:r>
      <w:r>
        <w:rPr>
          <w:snapToGrid w:val="0"/>
        </w:rPr>
        <w:t>.</w:t>
      </w:r>
      <w:r>
        <w:rPr>
          <w:snapToGrid w:val="0"/>
        </w:rPr>
        <w:tab/>
        <w:t>Permitted area, temporary closure of</w:t>
      </w:r>
      <w:bookmarkEnd w:id="2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22" w:name="_Toc154747664"/>
      <w:r>
        <w:rPr>
          <w:rStyle w:val="CharSectno"/>
        </w:rPr>
        <w:t>16</w:t>
      </w:r>
      <w:r>
        <w:rPr>
          <w:snapToGrid w:val="0"/>
        </w:rPr>
        <w:t>.</w:t>
      </w:r>
      <w:r>
        <w:rPr>
          <w:snapToGrid w:val="0"/>
        </w:rPr>
        <w:tab/>
        <w:t>Prohibited areas, establishing etc.</w:t>
      </w:r>
      <w:bookmarkEnd w:id="22"/>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lastRenderedPageBreak/>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lastRenderedPageBreak/>
        <w:tab/>
        <w:t>(c)</w:t>
      </w:r>
      <w:r>
        <w:rPr>
          <w:snapToGrid w:val="0"/>
        </w:rPr>
        <w:tab/>
        <w:t>the proximity of any land used for residential purposes, or for purposes likely to be incompatible with the use of vehicles in the vicinity; or</w:t>
      </w:r>
    </w:p>
    <w:p>
      <w:pPr>
        <w:pStyle w:val="Indenta"/>
        <w:keepNext/>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w:t>
      </w:r>
      <w:r>
        <w:rPr>
          <w:i/>
          <w:szCs w:val="24"/>
        </w:rPr>
        <w:t>2005</w:t>
      </w:r>
      <w:r>
        <w:rPr>
          <w:szCs w:val="24"/>
        </w:rPr>
        <w:t xml:space="preserve"> or the Swan Valley Planning Scheme in force under the </w:t>
      </w:r>
      <w:r>
        <w:rPr>
          <w:i/>
          <w:szCs w:val="24"/>
        </w:rPr>
        <w:t>Swan Valley Planning Act 2020</w:t>
      </w:r>
      <w:r>
        <w:rPr>
          <w:szCs w:val="24"/>
        </w:rPr>
        <w:t>.</w:t>
      </w:r>
    </w:p>
    <w:p>
      <w:pPr>
        <w:pStyle w:val="Footnotesection"/>
      </w:pPr>
      <w:r>
        <w:tab/>
        <w:t>[Section 16 amended: No. 12 of 1985 s. 6; No. 38 of 2005 s. 15; No. 28 of 2010 s. 29; No. 45 of 2020 s. 97.]</w:t>
      </w:r>
    </w:p>
    <w:p>
      <w:pPr>
        <w:pStyle w:val="Heading5"/>
        <w:rPr>
          <w:snapToGrid w:val="0"/>
        </w:rPr>
      </w:pPr>
      <w:bookmarkStart w:id="23" w:name="_Toc154747665"/>
      <w:r>
        <w:rPr>
          <w:rStyle w:val="CharSectno"/>
        </w:rPr>
        <w:t>17</w:t>
      </w:r>
      <w:r>
        <w:rPr>
          <w:snapToGrid w:val="0"/>
        </w:rPr>
        <w:t>.</w:t>
      </w:r>
      <w:r>
        <w:rPr>
          <w:snapToGrid w:val="0"/>
        </w:rPr>
        <w:tab/>
        <w:t>Advisory Committee, establishment and functions of</w:t>
      </w:r>
      <w:bookmarkEnd w:id="23"/>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lastRenderedPageBreak/>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No. 14 of 1996 s. 4.]</w:t>
      </w:r>
    </w:p>
    <w:p>
      <w:pPr>
        <w:pStyle w:val="Heading5"/>
        <w:keepLines w:val="0"/>
        <w:rPr>
          <w:snapToGrid w:val="0"/>
        </w:rPr>
      </w:pPr>
      <w:bookmarkStart w:id="24" w:name="_Toc154747666"/>
      <w:r>
        <w:rPr>
          <w:rStyle w:val="CharSectno"/>
        </w:rPr>
        <w:t>18</w:t>
      </w:r>
      <w:r>
        <w:rPr>
          <w:snapToGrid w:val="0"/>
        </w:rPr>
        <w:t>.</w:t>
      </w:r>
      <w:r>
        <w:rPr>
          <w:snapToGrid w:val="0"/>
        </w:rPr>
        <w:tab/>
        <w:t>Committee’s functions as to permitted areas, prohibited areas, and use of vehicles</w:t>
      </w:r>
      <w:bookmarkEnd w:id="24"/>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lastRenderedPageBreak/>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lastRenderedPageBreak/>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No. 14 of 1996 s. 4; No. 54 of 2003 s. 142.]</w:t>
      </w:r>
    </w:p>
    <w:p>
      <w:pPr>
        <w:pStyle w:val="Heading5"/>
        <w:rPr>
          <w:snapToGrid w:val="0"/>
        </w:rPr>
      </w:pPr>
      <w:bookmarkStart w:id="25" w:name="_Toc154747667"/>
      <w:r>
        <w:rPr>
          <w:rStyle w:val="CharSectno"/>
        </w:rPr>
        <w:t>19</w:t>
      </w:r>
      <w:r>
        <w:rPr>
          <w:snapToGrid w:val="0"/>
        </w:rPr>
        <w:t>.</w:t>
      </w:r>
      <w:r>
        <w:rPr>
          <w:snapToGrid w:val="0"/>
        </w:rPr>
        <w:tab/>
        <w:t>Permitted and prohibited areas, identifying</w:t>
      </w:r>
      <w:bookmarkEnd w:id="25"/>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lastRenderedPageBreak/>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No. 14 of 1996 s. 4; No. 60 of 2006 s. 128.]</w:t>
      </w:r>
    </w:p>
    <w:p>
      <w:pPr>
        <w:pStyle w:val="Heading5"/>
        <w:rPr>
          <w:snapToGrid w:val="0"/>
        </w:rPr>
      </w:pPr>
      <w:bookmarkStart w:id="26" w:name="_Toc154747668"/>
      <w:r>
        <w:rPr>
          <w:rStyle w:val="CharSectno"/>
        </w:rPr>
        <w:t>20</w:t>
      </w:r>
      <w:r>
        <w:rPr>
          <w:snapToGrid w:val="0"/>
        </w:rPr>
        <w:t>.</w:t>
      </w:r>
      <w:r>
        <w:rPr>
          <w:snapToGrid w:val="0"/>
        </w:rPr>
        <w:tab/>
        <w:t>Permitted areas and prohibited areas, application of to vehicles and effect of</w:t>
      </w:r>
      <w:bookmarkEnd w:id="26"/>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lastRenderedPageBreak/>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 xml:space="preserve">Regulations and local laws made under this Act may make provision for the control of vehicles in a permitted area and for the safety and obligations of persons who use vehicles in the </w:t>
      </w:r>
      <w:r>
        <w:rPr>
          <w:snapToGrid w:val="0"/>
        </w:rPr>
        <w:lastRenderedPageBreak/>
        <w:t>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No. 14 of 1996 s. 4.]</w:t>
      </w:r>
    </w:p>
    <w:p>
      <w:pPr>
        <w:pStyle w:val="Heading5"/>
        <w:rPr>
          <w:snapToGrid w:val="0"/>
        </w:rPr>
      </w:pPr>
      <w:bookmarkStart w:id="27" w:name="_Toc154747669"/>
      <w:r>
        <w:rPr>
          <w:rStyle w:val="CharSectno"/>
        </w:rPr>
        <w:t>21</w:t>
      </w:r>
      <w:r>
        <w:rPr>
          <w:snapToGrid w:val="0"/>
        </w:rPr>
        <w:t>.</w:t>
      </w:r>
      <w:r>
        <w:rPr>
          <w:snapToGrid w:val="0"/>
        </w:rPr>
        <w:tab/>
        <w:t>Advisory Committee, members and procedure of etc.</w:t>
      </w:r>
      <w:bookmarkEnd w:id="27"/>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lastRenderedPageBreak/>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xml:space="preserve">, applies, may be paid such remuneration or allowances as the Minister from time to time determines, and any member </w:t>
      </w:r>
      <w:r>
        <w:rPr>
          <w:snapToGrid w:val="0"/>
        </w:rPr>
        <w:lastRenderedPageBreak/>
        <w:t>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keepNext/>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lastRenderedPageBreak/>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No. 56 of 1986 s. 4; No. 24 of 1990 s. 123; No. 32 of 1994 s. 3(1); No. 49 of 2004 s. 13; No. 28 of 2006 s. 357; No. 18 of 2009 s. 22.]</w:t>
      </w:r>
    </w:p>
    <w:p>
      <w:pPr>
        <w:pStyle w:val="Ednotesection"/>
        <w:rPr>
          <w:b/>
        </w:rPr>
      </w:pPr>
      <w:r>
        <w:t>[</w:t>
      </w:r>
      <w:r>
        <w:rPr>
          <w:b/>
        </w:rPr>
        <w:t>22.</w:t>
      </w:r>
      <w:r>
        <w:tab/>
        <w:t>Deleted: No. 28 of 2006 s. 358.]</w:t>
      </w:r>
    </w:p>
    <w:p>
      <w:pPr>
        <w:pStyle w:val="Heading5"/>
        <w:rPr>
          <w:snapToGrid w:val="0"/>
        </w:rPr>
      </w:pPr>
      <w:bookmarkStart w:id="28" w:name="_Toc154747670"/>
      <w:r>
        <w:rPr>
          <w:rStyle w:val="CharSectno"/>
        </w:rPr>
        <w:t>23</w:t>
      </w:r>
      <w:r>
        <w:rPr>
          <w:snapToGrid w:val="0"/>
        </w:rPr>
        <w:t>.</w:t>
      </w:r>
      <w:r>
        <w:rPr>
          <w:snapToGrid w:val="0"/>
        </w:rPr>
        <w:tab/>
        <w:t>Nominations of candidates for Advisory Committee, Minister may request</w:t>
      </w:r>
      <w:bookmarkEnd w:id="28"/>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29" w:name="_Toc154747671"/>
      <w:r>
        <w:rPr>
          <w:rStyle w:val="CharSectno"/>
        </w:rPr>
        <w:t>24</w:t>
      </w:r>
      <w:r>
        <w:rPr>
          <w:snapToGrid w:val="0"/>
        </w:rPr>
        <w:t>.</w:t>
      </w:r>
      <w:r>
        <w:rPr>
          <w:snapToGrid w:val="0"/>
        </w:rPr>
        <w:tab/>
        <w:t>Deputies of members, appointing etc.</w:t>
      </w:r>
      <w:bookmarkEnd w:id="29"/>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 xml:space="preserve">If at any time the office of a member becomes vacant, the person who is at that time the deputy of that member is, until the office of that member is filled by the appointment of another </w:t>
      </w:r>
      <w:r>
        <w:rPr>
          <w:snapToGrid w:val="0"/>
        </w:rPr>
        <w:lastRenderedPageBreak/>
        <w:t>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No. 56 of 1986 s. 5.]</w:t>
      </w:r>
    </w:p>
    <w:p>
      <w:pPr>
        <w:pStyle w:val="Heading5"/>
        <w:rPr>
          <w:snapToGrid w:val="0"/>
        </w:rPr>
      </w:pPr>
      <w:bookmarkStart w:id="30" w:name="_Toc154747672"/>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30"/>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No. 32 of 1994 s. 3(1).]</w:t>
      </w:r>
    </w:p>
    <w:p>
      <w:pPr>
        <w:pStyle w:val="Heading5"/>
        <w:rPr>
          <w:snapToGrid w:val="0"/>
        </w:rPr>
      </w:pPr>
      <w:bookmarkStart w:id="31" w:name="_Toc154747673"/>
      <w:r>
        <w:rPr>
          <w:rStyle w:val="CharSectno"/>
        </w:rPr>
        <w:t>26</w:t>
      </w:r>
      <w:r>
        <w:rPr>
          <w:snapToGrid w:val="0"/>
        </w:rPr>
        <w:t>.</w:t>
      </w:r>
      <w:r>
        <w:rPr>
          <w:snapToGrid w:val="0"/>
        </w:rPr>
        <w:tab/>
        <w:t>Advisory Committee, departments etc. may assist</w:t>
      </w:r>
      <w:bookmarkEnd w:id="31"/>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lastRenderedPageBreak/>
        <w:tab/>
        <w:t>[Section 26 amended: No. 14 of 1996 s. 4.]</w:t>
      </w:r>
    </w:p>
    <w:p>
      <w:pPr>
        <w:pStyle w:val="Heading5"/>
        <w:rPr>
          <w:snapToGrid w:val="0"/>
        </w:rPr>
      </w:pPr>
      <w:bookmarkStart w:id="32" w:name="_Toc154747674"/>
      <w:r>
        <w:rPr>
          <w:rStyle w:val="CharSectno"/>
        </w:rPr>
        <w:t>27</w:t>
      </w:r>
      <w:r>
        <w:rPr>
          <w:snapToGrid w:val="0"/>
        </w:rPr>
        <w:t>.</w:t>
      </w:r>
      <w:r>
        <w:rPr>
          <w:snapToGrid w:val="0"/>
        </w:rPr>
        <w:tab/>
        <w:t>Sub</w:t>
      </w:r>
      <w:r>
        <w:rPr>
          <w:snapToGrid w:val="0"/>
        </w:rPr>
        <w:noBreakHyphen/>
        <w:t>committees, appointing</w:t>
      </w:r>
      <w:bookmarkEnd w:id="32"/>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33" w:name="_Toc154747675"/>
      <w:r>
        <w:rPr>
          <w:rStyle w:val="CharSectno"/>
        </w:rPr>
        <w:t>28</w:t>
      </w:r>
      <w:r>
        <w:rPr>
          <w:snapToGrid w:val="0"/>
        </w:rPr>
        <w:t>.</w:t>
      </w:r>
      <w:r>
        <w:rPr>
          <w:snapToGrid w:val="0"/>
        </w:rPr>
        <w:tab/>
        <w:t>Registration of vehicles, generally</w:t>
      </w:r>
      <w:bookmarkEnd w:id="33"/>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 xml:space="preserve">Where it appears to the Director General that any vehicle registered under this Act is so constructed or in such condition that it is likely to occasion danger to any person or damage to property, the registration of that vehicle may be suspended by a </w:t>
      </w:r>
      <w:r>
        <w:rPr>
          <w:snapToGrid w:val="0"/>
        </w:rPr>
        <w:lastRenderedPageBreak/>
        <w:t>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No. 106 of 1981 s. 34; No. 76 of 1996 s. 27; No. 39 of 2000 s. 51; No. 7 of 2002 s. 8.]</w:t>
      </w:r>
    </w:p>
    <w:p>
      <w:pPr>
        <w:pStyle w:val="Heading5"/>
      </w:pPr>
      <w:bookmarkStart w:id="34" w:name="_Toc154747676"/>
      <w:r>
        <w:rPr>
          <w:rStyle w:val="CharSectno"/>
        </w:rPr>
        <w:t>28A</w:t>
      </w:r>
      <w:r>
        <w:t>.</w:t>
      </w:r>
      <w:r>
        <w:tab/>
        <w:t>Applying for registration etc. of vehicle</w:t>
      </w:r>
      <w:bookmarkEnd w:id="34"/>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lastRenderedPageBreak/>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No. 39 of 2000 s. 52.]</w:t>
      </w:r>
    </w:p>
    <w:p>
      <w:pPr>
        <w:pStyle w:val="Heading5"/>
        <w:keepNext w:val="0"/>
        <w:keepLines w:val="0"/>
        <w:spacing w:before="180"/>
        <w:rPr>
          <w:snapToGrid w:val="0"/>
        </w:rPr>
      </w:pPr>
      <w:bookmarkStart w:id="35" w:name="_Toc154747677"/>
      <w:r>
        <w:rPr>
          <w:rStyle w:val="CharSectno"/>
        </w:rPr>
        <w:t>29</w:t>
      </w:r>
      <w:r>
        <w:rPr>
          <w:snapToGrid w:val="0"/>
        </w:rPr>
        <w:t>.</w:t>
      </w:r>
      <w:r>
        <w:rPr>
          <w:snapToGrid w:val="0"/>
        </w:rPr>
        <w:tab/>
        <w:t>Registration procedure</w:t>
      </w:r>
      <w:bookmarkEnd w:id="35"/>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lastRenderedPageBreak/>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No. 106 of 1981 s. 34; No. 76 of 1996 s. 27; No. 39 of 2000 s. 53; No. 7 of 2002 s. 9.]</w:t>
      </w:r>
    </w:p>
    <w:p>
      <w:pPr>
        <w:pStyle w:val="Heading5"/>
      </w:pPr>
      <w:bookmarkStart w:id="36" w:name="_Toc154747678"/>
      <w:r>
        <w:rPr>
          <w:rStyle w:val="CharSectno"/>
        </w:rPr>
        <w:t>29A</w:t>
      </w:r>
      <w:r>
        <w:t>.</w:t>
      </w:r>
      <w:r>
        <w:tab/>
        <w:t>Transfer of vehicle registration</w:t>
      </w:r>
      <w:bookmarkEnd w:id="36"/>
    </w:p>
    <w:p>
      <w:pPr>
        <w:pStyle w:val="Subsection"/>
      </w:pPr>
      <w:r>
        <w:tab/>
        <w:t>(1)</w:t>
      </w:r>
      <w:r>
        <w:tab/>
        <w:t>Where a person to whom a certificate of registration of a vehicle has been granted ceases to be the owner of the vehicle, the person shall —</w:t>
      </w:r>
    </w:p>
    <w:p>
      <w:pPr>
        <w:pStyle w:val="Indenta"/>
      </w:pPr>
      <w:r>
        <w:lastRenderedPageBreak/>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lastRenderedPageBreak/>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No. 39 of 2000 s. 54.]</w:t>
      </w:r>
    </w:p>
    <w:p>
      <w:pPr>
        <w:pStyle w:val="Heading5"/>
        <w:spacing w:before="240"/>
        <w:rPr>
          <w:snapToGrid w:val="0"/>
        </w:rPr>
      </w:pPr>
      <w:bookmarkStart w:id="37" w:name="_Toc154747679"/>
      <w:r>
        <w:rPr>
          <w:rStyle w:val="CharSectno"/>
        </w:rPr>
        <w:t>30</w:t>
      </w:r>
      <w:r>
        <w:rPr>
          <w:snapToGrid w:val="0"/>
        </w:rPr>
        <w:t>.</w:t>
      </w:r>
      <w:r>
        <w:rPr>
          <w:snapToGrid w:val="0"/>
        </w:rPr>
        <w:tab/>
        <w:t>Fees for registration, reductions in, refunds of etc.</w:t>
      </w:r>
      <w:bookmarkEnd w:id="37"/>
    </w:p>
    <w:p>
      <w:pPr>
        <w:pStyle w:val="Subsection"/>
        <w:rPr>
          <w:snapToGrid w:val="0"/>
        </w:rPr>
      </w:pPr>
      <w:r>
        <w:rPr>
          <w:snapToGrid w:val="0"/>
        </w:rPr>
        <w:tab/>
        <w:t>(1)</w:t>
      </w:r>
      <w:r>
        <w:rPr>
          <w:snapToGrid w:val="0"/>
        </w:rPr>
        <w:tab/>
        <w:t xml:space="preserve">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w:t>
      </w:r>
      <w:r>
        <w:rPr>
          <w:snapToGrid w:val="0"/>
        </w:rPr>
        <w:lastRenderedPageBreak/>
        <w:t>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No. 106 of 1981 s. 34; No. 76 of 1996 s. 27.]</w:t>
      </w:r>
    </w:p>
    <w:p>
      <w:pPr>
        <w:pStyle w:val="Heading5"/>
        <w:keepNext w:val="0"/>
        <w:keepLines w:val="0"/>
        <w:spacing w:before="180"/>
        <w:rPr>
          <w:snapToGrid w:val="0"/>
        </w:rPr>
      </w:pPr>
      <w:bookmarkStart w:id="38" w:name="_Toc154747680"/>
      <w:r>
        <w:rPr>
          <w:rStyle w:val="CharSectno"/>
        </w:rPr>
        <w:t>31</w:t>
      </w:r>
      <w:r>
        <w:rPr>
          <w:snapToGrid w:val="0"/>
        </w:rPr>
        <w:t>.</w:t>
      </w:r>
      <w:r>
        <w:rPr>
          <w:snapToGrid w:val="0"/>
        </w:rPr>
        <w:tab/>
        <w:t>Registration obtained by dishonoured cheque is void</w:t>
      </w:r>
      <w:bookmarkEnd w:id="38"/>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lastRenderedPageBreak/>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No. 106 of 1981 s. 34; No. 76 of 1996 s. 27; No. 24 of 2000 s. 48.]</w:t>
      </w:r>
    </w:p>
    <w:p>
      <w:pPr>
        <w:pStyle w:val="Heading5"/>
        <w:spacing w:before="180"/>
        <w:rPr>
          <w:snapToGrid w:val="0"/>
        </w:rPr>
      </w:pPr>
      <w:bookmarkStart w:id="39" w:name="_Toc154747681"/>
      <w:r>
        <w:rPr>
          <w:rStyle w:val="CharSectno"/>
        </w:rPr>
        <w:t>32</w:t>
      </w:r>
      <w:r>
        <w:rPr>
          <w:snapToGrid w:val="0"/>
        </w:rPr>
        <w:t>.</w:t>
      </w:r>
      <w:r>
        <w:rPr>
          <w:snapToGrid w:val="0"/>
        </w:rPr>
        <w:tab/>
        <w:t>Refund of registration fees</w:t>
      </w:r>
      <w:bookmarkEnd w:id="39"/>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No. 106 of 1981 s. 34; No. 76 of 1996 s. 27.]</w:t>
      </w:r>
    </w:p>
    <w:p>
      <w:pPr>
        <w:pStyle w:val="Heading5"/>
        <w:keepLines w:val="0"/>
        <w:spacing w:before="240"/>
      </w:pPr>
      <w:bookmarkStart w:id="40" w:name="_Toc154747682"/>
      <w:r>
        <w:rPr>
          <w:rStyle w:val="CharSectno"/>
        </w:rPr>
        <w:t>32A</w:t>
      </w:r>
      <w:r>
        <w:t>.</w:t>
      </w:r>
      <w:r>
        <w:tab/>
        <w:t>Nominated owner of vehicle, cancelling and changing</w:t>
      </w:r>
      <w:bookmarkEnd w:id="40"/>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lastRenderedPageBreak/>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No. 39 of 2000 s. 55.]</w:t>
      </w:r>
    </w:p>
    <w:p>
      <w:pPr>
        <w:pStyle w:val="Heading5"/>
        <w:rPr>
          <w:snapToGrid w:val="0"/>
        </w:rPr>
      </w:pPr>
      <w:bookmarkStart w:id="41" w:name="_Toc154747683"/>
      <w:r>
        <w:rPr>
          <w:rStyle w:val="CharSectno"/>
        </w:rPr>
        <w:t>33</w:t>
      </w:r>
      <w:r>
        <w:rPr>
          <w:snapToGrid w:val="0"/>
        </w:rPr>
        <w:t>.</w:t>
      </w:r>
      <w:r>
        <w:rPr>
          <w:snapToGrid w:val="0"/>
        </w:rPr>
        <w:tab/>
        <w:t>Review by SAT of decision on registration</w:t>
      </w:r>
      <w:bookmarkEnd w:id="41"/>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No. 55 of 2004 s. 147.]</w:t>
      </w:r>
    </w:p>
    <w:p>
      <w:pPr>
        <w:pStyle w:val="Heading5"/>
        <w:rPr>
          <w:snapToGrid w:val="0"/>
        </w:rPr>
      </w:pPr>
      <w:bookmarkStart w:id="42" w:name="_Toc154747684"/>
      <w:r>
        <w:rPr>
          <w:rStyle w:val="CharSectno"/>
        </w:rPr>
        <w:t>34</w:t>
      </w:r>
      <w:r>
        <w:rPr>
          <w:snapToGrid w:val="0"/>
        </w:rPr>
        <w:t>.</w:t>
      </w:r>
      <w:r>
        <w:rPr>
          <w:snapToGrid w:val="0"/>
        </w:rPr>
        <w:tab/>
        <w:t>Number plate to be displayed</w:t>
      </w:r>
      <w:bookmarkEnd w:id="42"/>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No. 106 of 1981 s. 34; No. 76 of 1996 s. 27; No. 7 of 2002 s. 10; No. 8 of 2012 s. 66.]</w:t>
      </w:r>
    </w:p>
    <w:p>
      <w:pPr>
        <w:pStyle w:val="Heading5"/>
        <w:rPr>
          <w:snapToGrid w:val="0"/>
        </w:rPr>
      </w:pPr>
      <w:bookmarkStart w:id="43" w:name="_Toc154747685"/>
      <w:r>
        <w:rPr>
          <w:rStyle w:val="CharSectno"/>
        </w:rPr>
        <w:lastRenderedPageBreak/>
        <w:t>35</w:t>
      </w:r>
      <w:r>
        <w:rPr>
          <w:snapToGrid w:val="0"/>
        </w:rPr>
        <w:t>.</w:t>
      </w:r>
      <w:r>
        <w:rPr>
          <w:snapToGrid w:val="0"/>
        </w:rPr>
        <w:tab/>
        <w:t>Other offences concerning number plates</w:t>
      </w:r>
      <w:bookmarkEnd w:id="43"/>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r>
        <w:tab/>
        <w:t>[Section 35 amended: No. 39 of 2000 s. 56.]</w:t>
      </w:r>
    </w:p>
    <w:p>
      <w:pPr>
        <w:pStyle w:val="Heading5"/>
        <w:rPr>
          <w:snapToGrid w:val="0"/>
        </w:rPr>
      </w:pPr>
      <w:bookmarkStart w:id="44" w:name="_Toc154747686"/>
      <w:r>
        <w:rPr>
          <w:rStyle w:val="CharSectno"/>
        </w:rPr>
        <w:t>36</w:t>
      </w:r>
      <w:r>
        <w:rPr>
          <w:snapToGrid w:val="0"/>
        </w:rPr>
        <w:t>.</w:t>
      </w:r>
      <w:r>
        <w:rPr>
          <w:snapToGrid w:val="0"/>
        </w:rPr>
        <w:tab/>
        <w:t>Road law provisions</w:t>
      </w:r>
      <w:bookmarkEnd w:id="44"/>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 xml:space="preserve">shall be construed as a reference to an </w:t>
      </w:r>
      <w:r>
        <w:t>authorised person</w:t>
      </w:r>
      <w:r>
        <w:rPr>
          <w:snapToGrid w:val="0"/>
        </w:rPr>
        <w:t xml:space="preserve"> within the meaning of this Act.</w:t>
      </w:r>
    </w:p>
    <w:p>
      <w:pPr>
        <w:pStyle w:val="Footnotesection"/>
      </w:pPr>
      <w:r>
        <w:lastRenderedPageBreak/>
        <w:tab/>
        <w:t>[Section 36 amended: No. 106 of 1981 s. 33; No. 8 of 2012 s. 67; No. 16 of 2019 s. 104.]</w:t>
      </w:r>
    </w:p>
    <w:p>
      <w:pPr>
        <w:pStyle w:val="Ednotesection"/>
      </w:pPr>
      <w:r>
        <w:t>[</w:t>
      </w:r>
      <w:r>
        <w:rPr>
          <w:b/>
        </w:rPr>
        <w:t>36A.</w:t>
      </w:r>
      <w:r>
        <w:tab/>
        <w:t>Deleted: No. 76 of 1996 s. 25.]</w:t>
      </w:r>
    </w:p>
    <w:p>
      <w:pPr>
        <w:pStyle w:val="Heading5"/>
        <w:keepNext w:val="0"/>
        <w:keepLines w:val="0"/>
        <w:rPr>
          <w:snapToGrid w:val="0"/>
        </w:rPr>
      </w:pPr>
      <w:bookmarkStart w:id="45" w:name="_Toc154747687"/>
      <w:r>
        <w:rPr>
          <w:rStyle w:val="CharSectno"/>
        </w:rPr>
        <w:t>37</w:t>
      </w:r>
      <w:r>
        <w:rPr>
          <w:snapToGrid w:val="0"/>
        </w:rPr>
        <w:t>.</w:t>
      </w:r>
      <w:r>
        <w:rPr>
          <w:snapToGrid w:val="0"/>
        </w:rPr>
        <w:tab/>
        <w:t>Infringement notices</w:t>
      </w:r>
      <w:bookmarkEnd w:id="45"/>
    </w:p>
    <w:p>
      <w:pPr>
        <w:pStyle w:val="Subsection"/>
        <w:rPr>
          <w:snapToGrid w:val="0"/>
        </w:rPr>
      </w:pPr>
      <w:r>
        <w:rPr>
          <w:snapToGrid w:val="0"/>
        </w:rPr>
        <w:tab/>
        <w:t>(1)</w:t>
      </w:r>
      <w:r>
        <w:rPr>
          <w:snapToGrid w:val="0"/>
        </w:rPr>
        <w:tab/>
        <w:t xml:space="preserve">Where an </w:t>
      </w:r>
      <w:r>
        <w:t>authorised person</w:t>
      </w:r>
      <w:r>
        <w:rPr>
          <w:snapToGrid w:val="0"/>
        </w:rPr>
        <w:t xml:space="preserve">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lastRenderedPageBreak/>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lastRenderedPageBreak/>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No. 14 of 1996 s. 4; No. 39 of 2000 s. 57; No. 84 of 2004 s. 80; No. 16 of 2019 s. 104.]</w:t>
      </w:r>
    </w:p>
    <w:p>
      <w:pPr>
        <w:pStyle w:val="Heading5"/>
        <w:rPr>
          <w:snapToGrid w:val="0"/>
        </w:rPr>
      </w:pPr>
      <w:bookmarkStart w:id="46" w:name="_Toc154747688"/>
      <w:r>
        <w:rPr>
          <w:rStyle w:val="CharSectno"/>
        </w:rPr>
        <w:t>38</w:t>
      </w:r>
      <w:r>
        <w:rPr>
          <w:snapToGrid w:val="0"/>
        </w:rPr>
        <w:t>.</w:t>
      </w:r>
      <w:r>
        <w:rPr>
          <w:snapToGrid w:val="0"/>
        </w:rPr>
        <w:tab/>
        <w:t>Authorised persons</w:t>
      </w:r>
      <w:bookmarkEnd w:id="46"/>
    </w:p>
    <w:p>
      <w:pPr>
        <w:pStyle w:val="Subsection"/>
        <w:rPr>
          <w:snapToGrid w:val="0"/>
        </w:rPr>
      </w:pPr>
      <w:r>
        <w:rPr>
          <w:snapToGrid w:val="0"/>
        </w:rPr>
        <w:tab/>
        <w:t>(1)</w:t>
      </w:r>
      <w:r>
        <w:rPr>
          <w:snapToGrid w:val="0"/>
        </w:rPr>
        <w:tab/>
        <w:t xml:space="preserve">For the purposes of this Act an </w:t>
      </w:r>
      <w:r>
        <w:t>authorised person</w:t>
      </w:r>
      <w:r>
        <w:rPr>
          <w:snapToGrid w:val="0"/>
        </w:rPr>
        <w:t xml:space="preserve">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 xml:space="preserve">any person appointed as such </w:t>
      </w:r>
      <w:r>
        <w:t>under</w:t>
      </w:r>
      <w:r>
        <w:rPr>
          <w:snapToGrid w:val="0"/>
        </w:rPr>
        <w:t xml:space="preserve"> subsection (2) within the area of jurisdiction entrusted to him by the appointment;</w:t>
      </w:r>
    </w:p>
    <w:p>
      <w:pPr>
        <w:pStyle w:val="Indenta"/>
        <w:rPr>
          <w:snapToGrid w:val="0"/>
        </w:rPr>
      </w:pPr>
      <w:r>
        <w:rPr>
          <w:snapToGrid w:val="0"/>
        </w:rPr>
        <w:tab/>
        <w:t>(c)</w:t>
      </w:r>
      <w:r>
        <w:rPr>
          <w:snapToGrid w:val="0"/>
        </w:rPr>
        <w:tab/>
        <w:t xml:space="preserve">any person appointed as such </w:t>
      </w:r>
      <w:r>
        <w:t>under</w:t>
      </w:r>
      <w:r>
        <w:rPr>
          <w:snapToGrid w:val="0"/>
        </w:rPr>
        <w:t xml:space="preserve"> subsection (3) within the area of jurisdiction entrusted to him by the appointment.</w:t>
      </w:r>
    </w:p>
    <w:p>
      <w:pPr>
        <w:pStyle w:val="Subsection"/>
        <w:rPr>
          <w:snapToGrid w:val="0"/>
        </w:rPr>
      </w:pPr>
      <w:r>
        <w:rPr>
          <w:snapToGrid w:val="0"/>
        </w:rPr>
        <w:lastRenderedPageBreak/>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pPr>
      <w:r>
        <w:tab/>
        <w:t>(e)</w:t>
      </w:r>
      <w:r>
        <w:tab/>
        <w:t xml:space="preserve">an inspector or Aboriginal inspector, under the </w:t>
      </w:r>
      <w:r>
        <w:rPr>
          <w:i/>
        </w:rPr>
        <w:t>Aboriginal Cultural Heritage Act 2021</w:t>
      </w:r>
      <w: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 xml:space="preserve">to be an </w:t>
      </w:r>
      <w:r>
        <w:t>authorised person</w:t>
      </w:r>
      <w:r>
        <w:rPr>
          <w:snapToGrid w:val="0"/>
        </w:rPr>
        <w:t xml:space="preserve"> for the purposes of this Act either in respect of the whole of the State or any part thereof defined in the appointment.</w:t>
      </w:r>
    </w:p>
    <w:p>
      <w:pPr>
        <w:pStyle w:val="Subsection"/>
      </w:pPr>
      <w:r>
        <w:tab/>
        <w:t>(3)</w:t>
      </w:r>
      <w:r>
        <w:tab/>
        <w:t xml:space="preserve">A person is appointed as an authorised person under this subsection if the person is appointed under the </w:t>
      </w:r>
      <w:r>
        <w:rPr>
          <w:i/>
        </w:rPr>
        <w:t>Local Government Act 1995</w:t>
      </w:r>
      <w:r>
        <w:t xml:space="preserve"> section 9.10(2) to be an authorised person for the purposes of this Act either in respect of the whole of a district or any part of a district specified in the appointment.</w:t>
      </w:r>
    </w:p>
    <w:p>
      <w:pPr>
        <w:pStyle w:val="Subsection"/>
        <w:keepNext/>
        <w:rPr>
          <w:snapToGrid w:val="0"/>
        </w:rPr>
      </w:pPr>
      <w:r>
        <w:rPr>
          <w:snapToGrid w:val="0"/>
        </w:rPr>
        <w:tab/>
        <w:t>(4)</w:t>
      </w:r>
      <w:r>
        <w:rPr>
          <w:snapToGrid w:val="0"/>
        </w:rPr>
        <w:tab/>
        <w:t xml:space="preserve">A person who is appointed as an authorised </w:t>
      </w:r>
      <w:r>
        <w:t>person under subsection (2) or (3) —</w:t>
      </w:r>
    </w:p>
    <w:p>
      <w:pPr>
        <w:pStyle w:val="Indenta"/>
        <w:rPr>
          <w:snapToGrid w:val="0"/>
        </w:rPr>
      </w:pPr>
      <w:r>
        <w:rPr>
          <w:snapToGrid w:val="0"/>
        </w:rPr>
        <w:tab/>
        <w:t>(a)</w:t>
      </w:r>
      <w:r>
        <w:rPr>
          <w:snapToGrid w:val="0"/>
        </w:rPr>
        <w:tab/>
        <w:t xml:space="preserve">has within the area of jurisdiction entrusted to him by the appointment the duties and powers of an </w:t>
      </w:r>
      <w:r>
        <w:t>authorised person</w:t>
      </w:r>
      <w:r>
        <w:rPr>
          <w:snapToGrid w:val="0"/>
        </w:rPr>
        <w:t xml:space="preserve"> under this Act, and may exercise such powers within that area; and</w:t>
      </w:r>
    </w:p>
    <w:p>
      <w:pPr>
        <w:pStyle w:val="Indenta"/>
        <w:rPr>
          <w:snapToGrid w:val="0"/>
        </w:rPr>
      </w:pPr>
      <w:r>
        <w:rPr>
          <w:snapToGrid w:val="0"/>
        </w:rPr>
        <w:lastRenderedPageBreak/>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 xml:space="preserve">shall be issued with a certificate of his appointment as an </w:t>
      </w:r>
      <w:r>
        <w:t>authorised person</w:t>
      </w:r>
      <w:r>
        <w:rPr>
          <w:snapToGrid w:val="0"/>
        </w:rPr>
        <w:t xml:space="preserve"> in the prescribed form, evidencing the area of jurisdiction entrusted to him under this Act, which he shall, on reasonable demand, produce for inspection by any person.</w:t>
      </w:r>
    </w:p>
    <w:p>
      <w:pPr>
        <w:pStyle w:val="Subsection"/>
      </w:pPr>
      <w:r>
        <w:tab/>
        <w:t>(4A)</w:t>
      </w:r>
      <w:r>
        <w:tab/>
        <w:t>Subsection (4)(d) does not apply in the case of a person appointed as an authorised person under subsection (3).</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keepNext/>
        <w:rPr>
          <w:snapToGrid w:val="0"/>
        </w:rPr>
      </w:pPr>
      <w:r>
        <w:rPr>
          <w:snapToGrid w:val="0"/>
        </w:rPr>
        <w:tab/>
        <w:t>(6)</w:t>
      </w:r>
      <w:r>
        <w:rPr>
          <w:snapToGrid w:val="0"/>
        </w:rPr>
        <w:tab/>
        <w:t xml:space="preserve">A person shall not wilfully obstruct any </w:t>
      </w:r>
      <w:r>
        <w:t>authorised person</w:t>
      </w:r>
      <w:r>
        <w:rPr>
          <w:snapToGrid w:val="0"/>
        </w:rPr>
        <w:t xml:space="preserve">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 xml:space="preserve">Where an </w:t>
      </w:r>
      <w:r>
        <w:t>authorised person</w:t>
      </w:r>
      <w:r>
        <w:rPr>
          <w:snapToGrid w:val="0"/>
        </w:rPr>
        <w:t xml:space="preserve"> or an honorary inspector has reasonable grounds to believe that a person has contravened or </w:t>
      </w:r>
      <w:r>
        <w:rPr>
          <w:snapToGrid w:val="0"/>
        </w:rPr>
        <w:lastRenderedPageBreak/>
        <w:t xml:space="preserve">that a vehicle contravenes, or was used or driven in contravention of, the provisions of this Act, </w:t>
      </w:r>
      <w:r>
        <w:t xml:space="preserve">the authorised person </w:t>
      </w:r>
      <w:r>
        <w:rPr>
          <w:snapToGrid w:val="0"/>
        </w:rPr>
        <w:t xml:space="preserve">or inspector may stop that person or vehicle and may request that person to furnish his name and address to </w:t>
      </w:r>
      <w:r>
        <w:t>the authorised person</w:t>
      </w:r>
      <w:r>
        <w:rPr>
          <w:snapToGrid w:val="0"/>
        </w:rPr>
        <w:t xml:space="preserve">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w:t>
      </w:r>
      <w:r>
        <w:t>the authorised person</w:t>
      </w:r>
      <w:r>
        <w:rPr>
          <w:snapToGrid w:val="0"/>
        </w:rPr>
        <w:t xml:space="preserve"> or inspector reasonably believes to be false, he shall be treated as having wilfully obstructed </w:t>
      </w:r>
      <w:r>
        <w:t>the authorised person</w:t>
      </w:r>
      <w:r>
        <w:rPr>
          <w:snapToGrid w:val="0"/>
        </w:rPr>
        <w:t xml:space="preserve"> or inspector for the purposes of subsection (6).</w:t>
      </w:r>
    </w:p>
    <w:p>
      <w:pPr>
        <w:pStyle w:val="Subsection"/>
        <w:keepNext/>
        <w:rPr>
          <w:snapToGrid w:val="0"/>
        </w:rPr>
      </w:pPr>
      <w:r>
        <w:rPr>
          <w:snapToGrid w:val="0"/>
        </w:rPr>
        <w:tab/>
        <w:t>(8)</w:t>
      </w:r>
      <w:r>
        <w:rPr>
          <w:snapToGrid w:val="0"/>
        </w:rPr>
        <w:tab/>
        <w:t xml:space="preserve">An </w:t>
      </w:r>
      <w:r>
        <w:t>authorised person</w:t>
      </w:r>
      <w:r>
        <w:rPr>
          <w:snapToGrid w:val="0"/>
        </w:rPr>
        <w:t xml:space="preserve">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lastRenderedPageBreak/>
        <w:tab/>
        <w:t>(9)</w:t>
      </w:r>
      <w:r>
        <w:rPr>
          <w:snapToGrid w:val="0"/>
        </w:rPr>
        <w:tab/>
        <w:t xml:space="preserve">Where an authorised </w:t>
      </w:r>
      <w:r>
        <w:t>person under</w:t>
      </w:r>
      <w:r>
        <w:rPr>
          <w:snapToGrid w:val="0"/>
        </w:rPr>
        <w:t xml:space="preserve">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keepNext/>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keepNext/>
        <w:spacing w:before="120"/>
        <w:rPr>
          <w:snapToGrid w:val="0"/>
        </w:rPr>
      </w:pPr>
      <w:r>
        <w:rPr>
          <w:snapToGrid w:val="0"/>
        </w:rPr>
        <w:tab/>
        <w:t>(11)</w:t>
      </w:r>
      <w:r>
        <w:rPr>
          <w:snapToGrid w:val="0"/>
        </w:rPr>
        <w:tab/>
        <w:t xml:space="preserve">An </w:t>
      </w:r>
      <w:r>
        <w:t>authorised person</w:t>
      </w:r>
      <w:r>
        <w:rPr>
          <w:snapToGrid w:val="0"/>
        </w:rPr>
        <w:t xml:space="preserve">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keepNext/>
        <w:rPr>
          <w:snapToGrid w:val="0"/>
        </w:rPr>
      </w:pPr>
      <w:r>
        <w:rPr>
          <w:snapToGrid w:val="0"/>
        </w:rPr>
        <w:tab/>
        <w:t>(b)</w:t>
      </w:r>
      <w:r>
        <w:rPr>
          <w:snapToGrid w:val="0"/>
        </w:rPr>
        <w:tab/>
        <w:t xml:space="preserve">the identity of </w:t>
      </w:r>
      <w:r>
        <w:t xml:space="preserve">a responsible person for, or a driver of, </w:t>
      </w:r>
      <w:r>
        <w:rPr>
          <w:snapToGrid w:val="0"/>
        </w:rPr>
        <w:t xml:space="preserve">the vehicle can not be established to the satisfaction of that </w:t>
      </w:r>
      <w:r>
        <w:t>authorised person,</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keepNext/>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keepNext/>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 xml:space="preserve">if the vehicle is in his opinion so constructed or in such condition that it is likely to occasion danger to any person or damage to any property, and may cause the vehicle to be </w:t>
      </w:r>
      <w:r>
        <w:rPr>
          <w:snapToGrid w:val="0"/>
        </w:rPr>
        <w:lastRenderedPageBreak/>
        <w:t>conveyed to a place of safe custody until such time as it may be dealt with according to law.</w:t>
      </w:r>
    </w:p>
    <w:p>
      <w:pPr>
        <w:pStyle w:val="Subsection"/>
        <w:rPr>
          <w:snapToGrid w:val="0"/>
        </w:rPr>
      </w:pPr>
      <w:r>
        <w:rPr>
          <w:snapToGrid w:val="0"/>
        </w:rPr>
        <w:tab/>
        <w:t>(13)</w:t>
      </w:r>
      <w:r>
        <w:rPr>
          <w:snapToGrid w:val="0"/>
        </w:rPr>
        <w:tab/>
        <w:t xml:space="preserve">No </w:t>
      </w:r>
      <w:r>
        <w:t>authorised person</w:t>
      </w:r>
      <w:r>
        <w:rPr>
          <w:snapToGrid w:val="0"/>
        </w:rPr>
        <w:t xml:space="preserve">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keepNext/>
      </w:pPr>
      <w:r>
        <w:tab/>
        <w:t>(15)</w:t>
      </w:r>
      <w:r>
        <w:tab/>
        <w:t>If a vehicle is seized under subsection (11), it may be detained until the authorised person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keepNext/>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keepNext/>
      </w:pPr>
      <w:r>
        <w:tab/>
        <w:t>(17)</w:t>
      </w:r>
      <w:r>
        <w:tab/>
        <w:t>A vehicle detained —</w:t>
      </w:r>
    </w:p>
    <w:p>
      <w:pPr>
        <w:pStyle w:val="Indenta"/>
      </w:pPr>
      <w:r>
        <w:tab/>
        <w:t>(a)</w:t>
      </w:r>
      <w:r>
        <w:tab/>
        <w:t>under subsection (11) or (12) by a member of the Police Force; or</w:t>
      </w:r>
    </w:p>
    <w:p>
      <w:pPr>
        <w:pStyle w:val="Indenta"/>
        <w:keepNext/>
      </w:pPr>
      <w:r>
        <w:lastRenderedPageBreak/>
        <w:tab/>
        <w:t>(b)</w:t>
      </w:r>
      <w:r>
        <w:tab/>
        <w:t>under subsection (11) by an authorised person appointed under subsection (2),</w:t>
      </w:r>
    </w:p>
    <w:p>
      <w:pPr>
        <w:pStyle w:val="Subsection"/>
      </w:pPr>
      <w:r>
        <w:tab/>
      </w:r>
      <w:r>
        <w:tab/>
        <w:t>is to be taken to be detained in the name of the Director General.</w:t>
      </w:r>
    </w:p>
    <w:p>
      <w:pPr>
        <w:pStyle w:val="Subsection"/>
        <w:keepNext/>
      </w:pPr>
      <w:r>
        <w:tab/>
        <w:t>(18)</w:t>
      </w:r>
      <w:r>
        <w:tab/>
        <w:t>A vehicle detained under subsection (11) by an authorised person appointed under subsection (3) is taken to be detained by the local government concerned.</w:t>
      </w:r>
    </w:p>
    <w:p>
      <w:pPr>
        <w:pStyle w:val="Footnotesection"/>
        <w:keepLines w:val="0"/>
      </w:pPr>
      <w:r>
        <w:tab/>
        <w:t>[Section 38 amended: No. 106 of 1981 s. 34; No. 24 of 1995 s. 53; No. 53 of 1994 s. 264; No. 14 of 1996 s. 4; No. 76 of 1996 s. 26 and 27; No. 39 of 2000 s. 58 and 59; No. 59 of 2004 s. 141; No. 28 of 2006 s. 359; No. 8 of 2012 s. 68; No. 16 of 2019 s. 102 and 104; No. 27 of 2021 s. 345(2).]</w:t>
      </w:r>
    </w:p>
    <w:p>
      <w:pPr>
        <w:pStyle w:val="Heading5"/>
        <w:rPr>
          <w:snapToGrid w:val="0"/>
        </w:rPr>
      </w:pPr>
      <w:bookmarkStart w:id="47" w:name="_Toc154747689"/>
      <w:r>
        <w:rPr>
          <w:rStyle w:val="CharSectno"/>
        </w:rPr>
        <w:t>39</w:t>
      </w:r>
      <w:r>
        <w:rPr>
          <w:snapToGrid w:val="0"/>
        </w:rPr>
        <w:t>.</w:t>
      </w:r>
      <w:r>
        <w:rPr>
          <w:snapToGrid w:val="0"/>
        </w:rPr>
        <w:tab/>
        <w:t>Evidentiary provisions for prosecutions</w:t>
      </w:r>
      <w:bookmarkEnd w:id="47"/>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keepNext/>
        <w:rPr>
          <w:snapToGrid w:val="0"/>
        </w:rPr>
      </w:pPr>
      <w:r>
        <w:rPr>
          <w:snapToGrid w:val="0"/>
        </w:rPr>
        <w:tab/>
        <w:t>(ii)</w:t>
      </w:r>
      <w:r>
        <w:rPr>
          <w:snapToGrid w:val="0"/>
        </w:rPr>
        <w:tab/>
        <w:t xml:space="preserve">any vehicle was being used in circumstances where the provisions of this Act do not apply, or pursuant to and in accordance with any </w:t>
      </w:r>
      <w:r>
        <w:rPr>
          <w:snapToGrid w:val="0"/>
        </w:rPr>
        <w:lastRenderedPageBreak/>
        <w:t>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Next/>
        <w:keepLines/>
        <w:rPr>
          <w:snapToGrid w:val="0"/>
        </w:rPr>
      </w:pPr>
      <w:r>
        <w:rPr>
          <w:snapToGrid w:val="0"/>
        </w:rPr>
        <w:lastRenderedPageBreak/>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No. 14 of 1996 s. 4; No. 31 of 1997 s. 17; No. 84 of 2004 s. 80; No. 8 of 2012 s. 69.]</w:t>
      </w:r>
    </w:p>
    <w:p>
      <w:pPr>
        <w:pStyle w:val="Heading5"/>
        <w:spacing w:before="240"/>
        <w:rPr>
          <w:snapToGrid w:val="0"/>
        </w:rPr>
      </w:pPr>
      <w:bookmarkStart w:id="48" w:name="_Toc154747690"/>
      <w:r>
        <w:rPr>
          <w:rStyle w:val="CharSectno"/>
        </w:rPr>
        <w:t>40</w:t>
      </w:r>
      <w:r>
        <w:rPr>
          <w:snapToGrid w:val="0"/>
        </w:rPr>
        <w:t>.</w:t>
      </w:r>
      <w:r>
        <w:rPr>
          <w:snapToGrid w:val="0"/>
        </w:rPr>
        <w:tab/>
        <w:t>Prosecutions, who may commence</w:t>
      </w:r>
      <w:bookmarkEnd w:id="48"/>
    </w:p>
    <w:p>
      <w:pPr>
        <w:pStyle w:val="Subsection"/>
        <w:keepNext/>
        <w:rPr>
          <w:snapToGrid w:val="0"/>
        </w:rPr>
      </w:pPr>
      <w:r>
        <w:rPr>
          <w:snapToGrid w:val="0"/>
        </w:rPr>
        <w:tab/>
      </w:r>
      <w:r>
        <w:rPr>
          <w:snapToGrid w:val="0"/>
        </w:rPr>
        <w:tab/>
        <w:t xml:space="preserve">All proceedings for offences under this Act may be instituted by any person aggrieved, or by any employee of a local government or other </w:t>
      </w:r>
      <w:r>
        <w:t>authorised person</w:t>
      </w:r>
      <w:r>
        <w:rPr>
          <w:snapToGrid w:val="0"/>
        </w:rPr>
        <w:t>.</w:t>
      </w:r>
    </w:p>
    <w:p>
      <w:pPr>
        <w:pStyle w:val="Footnotesection"/>
      </w:pPr>
      <w:r>
        <w:tab/>
        <w:t>[Section 40 amended: No. 14 of 1996 s. 4; No. 59 of 2004 s. 141; No. 16 of 2019 s. 104.]</w:t>
      </w:r>
    </w:p>
    <w:p>
      <w:pPr>
        <w:pStyle w:val="Heading5"/>
        <w:spacing w:before="240"/>
        <w:rPr>
          <w:snapToGrid w:val="0"/>
        </w:rPr>
      </w:pPr>
      <w:bookmarkStart w:id="49" w:name="_Toc154747691"/>
      <w:r>
        <w:rPr>
          <w:rStyle w:val="CharSectno"/>
        </w:rPr>
        <w:t>41</w:t>
      </w:r>
      <w:r>
        <w:rPr>
          <w:snapToGrid w:val="0"/>
        </w:rPr>
        <w:t>.</w:t>
      </w:r>
      <w:r>
        <w:rPr>
          <w:snapToGrid w:val="0"/>
        </w:rPr>
        <w:tab/>
        <w:t>General penalty</w:t>
      </w:r>
      <w:bookmarkEnd w:id="49"/>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No. 78 of 1995 s. 17.]</w:t>
      </w:r>
    </w:p>
    <w:p>
      <w:pPr>
        <w:pStyle w:val="Heading5"/>
        <w:spacing w:before="240"/>
        <w:rPr>
          <w:snapToGrid w:val="0"/>
        </w:rPr>
      </w:pPr>
      <w:bookmarkStart w:id="50" w:name="_Toc154747692"/>
      <w:r>
        <w:rPr>
          <w:rStyle w:val="CharSectno"/>
        </w:rPr>
        <w:t>42</w:t>
      </w:r>
      <w:r>
        <w:rPr>
          <w:snapToGrid w:val="0"/>
        </w:rPr>
        <w:t>.</w:t>
      </w:r>
      <w:r>
        <w:rPr>
          <w:snapToGrid w:val="0"/>
        </w:rPr>
        <w:tab/>
        <w:t>Detention of vehicles, court may order</w:t>
      </w:r>
      <w:bookmarkEnd w:id="50"/>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keepNext/>
        <w:rPr>
          <w:snapToGrid w:val="0"/>
        </w:rPr>
      </w:pPr>
      <w:r>
        <w:rPr>
          <w:snapToGrid w:val="0"/>
        </w:rPr>
        <w:tab/>
        <w:t>(b)</w:t>
      </w:r>
      <w:r>
        <w:rPr>
          <w:snapToGrid w:val="0"/>
        </w:rPr>
        <w:tab/>
        <w:t xml:space="preserve">until the Director General is satisfied that arrangements have been made that will ensure that the construction or </w:t>
      </w:r>
      <w:r>
        <w:rPr>
          <w:snapToGrid w:val="0"/>
        </w:rPr>
        <w:lastRenderedPageBreak/>
        <w:t>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No. 106 of 1981 s. 34; No. 14 of 1996 s. 4; No. 76 of 1996 s. 27; No. 39 of 2000 s. 59; No. 59 of 2004 s. 141.]</w:t>
      </w:r>
    </w:p>
    <w:p>
      <w:pPr>
        <w:pStyle w:val="Heading5"/>
        <w:rPr>
          <w:snapToGrid w:val="0"/>
        </w:rPr>
      </w:pPr>
      <w:bookmarkStart w:id="51" w:name="_Toc154747693"/>
      <w:r>
        <w:rPr>
          <w:rStyle w:val="CharSectno"/>
        </w:rPr>
        <w:t>43</w:t>
      </w:r>
      <w:r>
        <w:rPr>
          <w:snapToGrid w:val="0"/>
        </w:rPr>
        <w:t>.</w:t>
      </w:r>
      <w:r>
        <w:rPr>
          <w:snapToGrid w:val="0"/>
        </w:rPr>
        <w:tab/>
        <w:t>Expenses of this Act, appropriation of penalties etc.</w:t>
      </w:r>
      <w:bookmarkEnd w:id="51"/>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 xml:space="preserve">The expenses of the Director General in connection with the administration of this Act shall be paid in so far as is practicable out of moneys derived from the administration of the scheme of </w:t>
      </w:r>
      <w:r>
        <w:rPr>
          <w:snapToGrid w:val="0"/>
        </w:rPr>
        <w:lastRenderedPageBreak/>
        <w:t>registration effected by this Act, and in so far as such moneys shall not be sufficient for that purpose out of moneys from time to time appropriated by Parliament for that purpose.</w:t>
      </w:r>
    </w:p>
    <w:p>
      <w:pPr>
        <w:pStyle w:val="Subsection"/>
        <w:keepNext/>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No. 106 of 1981 s. 34; No. 78 of 1995 s. 17; No. 49 of 1996 s. 64; No. 76 of 1996 s. 27; No. 7 of 2002 s. 11(1); No. 77 of 2006 Sch. 1 cl. 34.]</w:t>
      </w:r>
    </w:p>
    <w:p>
      <w:pPr>
        <w:pStyle w:val="Heading5"/>
        <w:rPr>
          <w:snapToGrid w:val="0"/>
        </w:rPr>
      </w:pPr>
      <w:bookmarkStart w:id="52" w:name="_Toc154747694"/>
      <w:r>
        <w:rPr>
          <w:rStyle w:val="CharSectno"/>
        </w:rPr>
        <w:t>44</w:t>
      </w:r>
      <w:r>
        <w:rPr>
          <w:snapToGrid w:val="0"/>
        </w:rPr>
        <w:t>.</w:t>
      </w:r>
      <w:r>
        <w:rPr>
          <w:snapToGrid w:val="0"/>
        </w:rPr>
        <w:tab/>
        <w:t>Regulations that operate as local laws, Governor may make</w:t>
      </w:r>
      <w:bookmarkEnd w:id="52"/>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No. 14 of 1996 s. 4.]</w:t>
      </w:r>
    </w:p>
    <w:p>
      <w:pPr>
        <w:pStyle w:val="Heading5"/>
        <w:rPr>
          <w:snapToGrid w:val="0"/>
        </w:rPr>
      </w:pPr>
      <w:bookmarkStart w:id="53" w:name="_Toc154747695"/>
      <w:r>
        <w:rPr>
          <w:rStyle w:val="CharSectno"/>
        </w:rPr>
        <w:lastRenderedPageBreak/>
        <w:t>45</w:t>
      </w:r>
      <w:r>
        <w:rPr>
          <w:snapToGrid w:val="0"/>
        </w:rPr>
        <w:t>.</w:t>
      </w:r>
      <w:r>
        <w:rPr>
          <w:snapToGrid w:val="0"/>
        </w:rPr>
        <w:tab/>
        <w:t>Local laws, local government may make</w:t>
      </w:r>
      <w:bookmarkEnd w:id="53"/>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No. 14 of 1996 s. 4.]</w:t>
      </w:r>
    </w:p>
    <w:p>
      <w:pPr>
        <w:pStyle w:val="Heading5"/>
        <w:rPr>
          <w:snapToGrid w:val="0"/>
        </w:rPr>
      </w:pPr>
      <w:bookmarkStart w:id="54" w:name="_Toc154747696"/>
      <w:r>
        <w:rPr>
          <w:rStyle w:val="CharSectno"/>
        </w:rPr>
        <w:t>45A</w:t>
      </w:r>
      <w:r>
        <w:rPr>
          <w:snapToGrid w:val="0"/>
        </w:rPr>
        <w:t>.</w:t>
      </w:r>
      <w:r>
        <w:rPr>
          <w:snapToGrid w:val="0"/>
        </w:rPr>
        <w:tab/>
        <w:t>Model local laws, Governor may make</w:t>
      </w:r>
      <w:bookmarkEnd w:id="54"/>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No. 14 of 1996 s. 4.]</w:t>
      </w:r>
    </w:p>
    <w:p>
      <w:pPr>
        <w:pStyle w:val="Heading5"/>
        <w:rPr>
          <w:snapToGrid w:val="0"/>
        </w:rPr>
      </w:pPr>
      <w:bookmarkStart w:id="55" w:name="_Toc154747697"/>
      <w:r>
        <w:rPr>
          <w:rStyle w:val="CharSectno"/>
        </w:rPr>
        <w:t>45B</w:t>
      </w:r>
      <w:r>
        <w:rPr>
          <w:snapToGrid w:val="0"/>
        </w:rPr>
        <w:t>.</w:t>
      </w:r>
      <w:r>
        <w:rPr>
          <w:snapToGrid w:val="0"/>
        </w:rPr>
        <w:tab/>
        <w:t>Local laws, Governor may amend or repeal</w:t>
      </w:r>
      <w:bookmarkEnd w:id="55"/>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lastRenderedPageBreak/>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No. 14 of 1996 s. 4.]</w:t>
      </w:r>
    </w:p>
    <w:p>
      <w:pPr>
        <w:pStyle w:val="Heading5"/>
        <w:rPr>
          <w:snapToGrid w:val="0"/>
        </w:rPr>
      </w:pPr>
      <w:bookmarkStart w:id="56" w:name="_Toc154747698"/>
      <w:r>
        <w:rPr>
          <w:rStyle w:val="CharSectno"/>
        </w:rPr>
        <w:t>46</w:t>
      </w:r>
      <w:r>
        <w:rPr>
          <w:snapToGrid w:val="0"/>
        </w:rPr>
        <w:t>.</w:t>
      </w:r>
      <w:r>
        <w:rPr>
          <w:snapToGrid w:val="0"/>
        </w:rPr>
        <w:tab/>
        <w:t>Regulations and local laws, general</w:t>
      </w:r>
      <w:bookmarkEnd w:id="56"/>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lastRenderedPageBreak/>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No. 14 of 1996 s. 4.]</w:t>
      </w:r>
    </w:p>
    <w:p>
      <w:pPr>
        <w:pStyle w:val="Heading5"/>
        <w:keepNext w:val="0"/>
        <w:keepLines w:val="0"/>
        <w:spacing w:before="180"/>
        <w:rPr>
          <w:snapToGrid w:val="0"/>
        </w:rPr>
      </w:pPr>
      <w:bookmarkStart w:id="57" w:name="_Toc154747699"/>
      <w:r>
        <w:rPr>
          <w:rStyle w:val="CharSectno"/>
        </w:rPr>
        <w:t>47</w:t>
      </w:r>
      <w:r>
        <w:rPr>
          <w:snapToGrid w:val="0"/>
        </w:rPr>
        <w:t>.</w:t>
      </w:r>
      <w:r>
        <w:rPr>
          <w:snapToGrid w:val="0"/>
        </w:rPr>
        <w:tab/>
        <w:t>Local laws and local planning schemes, Governor may revoke or amend</w:t>
      </w:r>
      <w:bookmarkEnd w:id="57"/>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t xml:space="preserve">, or the Swan Valley Planning Scheme has been or is made under the </w:t>
      </w:r>
      <w:r>
        <w:rPr>
          <w:i/>
          <w:szCs w:val="24"/>
        </w:rPr>
        <w:t>Swan Valley Planning Act 2020</w:t>
      </w:r>
      <w:r>
        <w:t xml:space="preserve">, </w:t>
      </w:r>
      <w:r>
        <w:rPr>
          <w:snapToGrid w:val="0"/>
        </w:rPr>
        <w:t xml:space="preserve">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keepNext/>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No. 14 of 1996 s. 4; No. 38 of 2005 s. 15; No. 45 of 2020 s. 98.]</w:t>
      </w:r>
    </w:p>
    <w:p>
      <w:pPr>
        <w:pStyle w:val="Heading5"/>
        <w:rPr>
          <w:snapToGrid w:val="0"/>
        </w:rPr>
      </w:pPr>
      <w:bookmarkStart w:id="58" w:name="_Toc154747700"/>
      <w:r>
        <w:rPr>
          <w:rStyle w:val="CharSectno"/>
        </w:rPr>
        <w:lastRenderedPageBreak/>
        <w:t>48</w:t>
      </w:r>
      <w:r>
        <w:rPr>
          <w:snapToGrid w:val="0"/>
        </w:rPr>
        <w:t>.</w:t>
      </w:r>
      <w:r>
        <w:rPr>
          <w:snapToGrid w:val="0"/>
        </w:rPr>
        <w:tab/>
        <w:t>Regulations</w:t>
      </w:r>
      <w:bookmarkEnd w:id="58"/>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No. 14 of 1996 s. 4.]</w:t>
      </w:r>
    </w:p>
    <w:p>
      <w:pPr>
        <w:pStyle w:val="Heading5"/>
      </w:pPr>
      <w:bookmarkStart w:id="59" w:name="_Toc154747701"/>
      <w:r>
        <w:rPr>
          <w:rStyle w:val="CharSectno"/>
        </w:rPr>
        <w:t>49</w:t>
      </w:r>
      <w:r>
        <w:t>.</w:t>
      </w:r>
      <w:r>
        <w:tab/>
        <w:t xml:space="preserve">Transitional provision for </w:t>
      </w:r>
      <w:r>
        <w:rPr>
          <w:i/>
        </w:rPr>
        <w:t>Local Government Legislation Amendment Act 2019</w:t>
      </w:r>
      <w:bookmarkEnd w:id="59"/>
    </w:p>
    <w:p>
      <w:pPr>
        <w:pStyle w:val="Subsection"/>
      </w:pPr>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p>
    <w:p>
      <w:pPr>
        <w:pStyle w:val="Subsection"/>
        <w:keepNext/>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38(3) immediately before the day referred to in subsection (1).</w:t>
      </w:r>
    </w:p>
    <w:p>
      <w:pPr>
        <w:pStyle w:val="Footnotesection"/>
        <w:keepNext/>
      </w:pPr>
      <w:r>
        <w:tab/>
        <w:t>[Section 49 inserted: No. 16 of 2019 s. 103.]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60" w:name="_Toc154747702"/>
      <w:r>
        <w:lastRenderedPageBreak/>
        <w:t>Notes</w:t>
      </w:r>
      <w:bookmarkEnd w:id="60"/>
    </w:p>
    <w:p>
      <w:pPr>
        <w:pStyle w:val="nStatement"/>
      </w:pPr>
      <w:r>
        <w:t xml:space="preserve">This is a compilation of the </w:t>
      </w:r>
      <w:r>
        <w:rPr>
          <w:i/>
          <w:noProof/>
        </w:rPr>
        <w:t>Control of Vehicles (Off-road Areas)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1" w:name="_Toc154747703"/>
      <w:r>
        <w:t>Compilation table</w:t>
      </w:r>
      <w:bookmarkEnd w:id="61"/>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trPr>
          <w:tblHeader/>
        </w:trPr>
        <w:tc>
          <w:tcPr>
            <w:tcW w:w="2324"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Control of Vehicles (Off</w:t>
            </w:r>
            <w:r>
              <w:rPr>
                <w:i/>
              </w:rPr>
              <w:noBreakHyphen/>
              <w:t>road Areas) Act 1978</w:t>
            </w:r>
          </w:p>
        </w:tc>
        <w:tc>
          <w:tcPr>
            <w:tcW w:w="1134" w:type="dxa"/>
          </w:tcPr>
          <w:p>
            <w:pPr>
              <w:pStyle w:val="nTable"/>
              <w:spacing w:before="60" w:after="60"/>
            </w:pPr>
            <w:r>
              <w:t>117 of 1978</w:t>
            </w:r>
          </w:p>
        </w:tc>
        <w:tc>
          <w:tcPr>
            <w:tcW w:w="1134" w:type="dxa"/>
          </w:tcPr>
          <w:p>
            <w:pPr>
              <w:pStyle w:val="nTable"/>
              <w:spacing w:before="60" w:after="60"/>
            </w:pPr>
            <w:r>
              <w:t>12 Dec 1978</w:t>
            </w:r>
          </w:p>
        </w:tc>
        <w:tc>
          <w:tcPr>
            <w:tcW w:w="2496" w:type="dxa"/>
          </w:tcPr>
          <w:p>
            <w:pPr>
              <w:pStyle w:val="nTable"/>
              <w:spacing w:before="60" w:after="60"/>
              <w:rPr>
                <w:vertAlign w:val="superscript"/>
              </w:rPr>
            </w:pPr>
            <w:r>
              <w:t xml:space="preserve">Act other than s. 11: 5 Oct 1979 (see s. 2 and </w:t>
            </w:r>
            <w:r>
              <w:rPr>
                <w:i/>
              </w:rPr>
              <w:t>Gazette</w:t>
            </w:r>
            <w:r>
              <w:t xml:space="preserve"> 5 Oct 1979 p. 3079)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 xml:space="preserve">Acts Amendment (Traffic Board) Act 1981 </w:t>
            </w:r>
            <w:r>
              <w:t>Pt. VII</w:t>
            </w:r>
          </w:p>
        </w:tc>
        <w:tc>
          <w:tcPr>
            <w:tcW w:w="1134" w:type="dxa"/>
          </w:tcPr>
          <w:p>
            <w:pPr>
              <w:pStyle w:val="nTable"/>
              <w:spacing w:before="60" w:after="60"/>
            </w:pPr>
            <w:r>
              <w:t>106 of 1981</w:t>
            </w:r>
          </w:p>
        </w:tc>
        <w:tc>
          <w:tcPr>
            <w:tcW w:w="1134" w:type="dxa"/>
          </w:tcPr>
          <w:p>
            <w:pPr>
              <w:pStyle w:val="nTable"/>
              <w:spacing w:before="60" w:after="60"/>
            </w:pPr>
            <w:r>
              <w:t>4 Dec 1981</w:t>
            </w:r>
          </w:p>
        </w:tc>
        <w:tc>
          <w:tcPr>
            <w:tcW w:w="2496" w:type="dxa"/>
          </w:tcPr>
          <w:p>
            <w:pPr>
              <w:pStyle w:val="nTable"/>
              <w:spacing w:before="60" w:after="6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 xml:space="preserve">Acts Amendment and Repeal (Credit) Act 1984 </w:t>
            </w:r>
            <w:r>
              <w:t>Pt. III</w:t>
            </w:r>
          </w:p>
        </w:tc>
        <w:tc>
          <w:tcPr>
            <w:tcW w:w="1134" w:type="dxa"/>
          </w:tcPr>
          <w:p>
            <w:pPr>
              <w:pStyle w:val="nTable"/>
              <w:spacing w:before="60" w:after="60"/>
            </w:pPr>
            <w:r>
              <w:t>102 of 1984</w:t>
            </w:r>
          </w:p>
        </w:tc>
        <w:tc>
          <w:tcPr>
            <w:tcW w:w="1134" w:type="dxa"/>
          </w:tcPr>
          <w:p>
            <w:pPr>
              <w:pStyle w:val="nTable"/>
              <w:spacing w:before="60" w:after="60"/>
            </w:pPr>
            <w:r>
              <w:t>19 Dec 1984</w:t>
            </w:r>
          </w:p>
        </w:tc>
        <w:tc>
          <w:tcPr>
            <w:tcW w:w="2496" w:type="dxa"/>
          </w:tcPr>
          <w:p>
            <w:pPr>
              <w:pStyle w:val="nTable"/>
              <w:spacing w:before="60" w:after="60"/>
            </w:pPr>
            <w:r>
              <w:t xml:space="preserve">31 Mar 1985 (see s. 2 and </w:t>
            </w:r>
            <w:r>
              <w:rPr>
                <w:i/>
              </w:rPr>
              <w:t>Gazette</w:t>
            </w:r>
            <w:r>
              <w:t xml:space="preserve"> 8 Mar 1985 p. 867)</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Control of Vehicles (Off</w:t>
            </w:r>
            <w:r>
              <w:rPr>
                <w:i/>
              </w:rPr>
              <w:noBreakHyphen/>
              <w:t>road Areas) Amendment Act 1985</w:t>
            </w:r>
          </w:p>
        </w:tc>
        <w:tc>
          <w:tcPr>
            <w:tcW w:w="1134" w:type="dxa"/>
          </w:tcPr>
          <w:p>
            <w:pPr>
              <w:pStyle w:val="nTable"/>
              <w:spacing w:before="60" w:after="60"/>
            </w:pPr>
            <w:r>
              <w:t>12 of 1985</w:t>
            </w:r>
          </w:p>
        </w:tc>
        <w:tc>
          <w:tcPr>
            <w:tcW w:w="1134" w:type="dxa"/>
          </w:tcPr>
          <w:p>
            <w:pPr>
              <w:pStyle w:val="nTable"/>
              <w:spacing w:before="60" w:after="60"/>
            </w:pPr>
            <w:r>
              <w:t>12 Apr 1985</w:t>
            </w:r>
          </w:p>
        </w:tc>
        <w:tc>
          <w:tcPr>
            <w:tcW w:w="2496" w:type="dxa"/>
          </w:tcPr>
          <w:p>
            <w:pPr>
              <w:pStyle w:val="nTable"/>
              <w:spacing w:before="60" w:after="60"/>
            </w:pPr>
            <w:r>
              <w:t>s. 1 and 2: 12 Apr 1985;</w:t>
            </w:r>
            <w:r>
              <w:br/>
              <w:t xml:space="preserve">Act other than s. 1 and 2: 1 Dec 1985 (see s. 2 and </w:t>
            </w:r>
            <w:r>
              <w:rPr>
                <w:i/>
              </w:rPr>
              <w:t>Gazette</w:t>
            </w:r>
            <w:r>
              <w:t xml:space="preserve"> 1 Nov 1985 p. 4189)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Control of Vehicles (Off</w:t>
            </w:r>
            <w:r>
              <w:rPr>
                <w:i/>
              </w:rPr>
              <w:noBreakHyphen/>
              <w:t>road Areas) Amendment Act 1986</w:t>
            </w:r>
          </w:p>
        </w:tc>
        <w:tc>
          <w:tcPr>
            <w:tcW w:w="1134" w:type="dxa"/>
          </w:tcPr>
          <w:p>
            <w:pPr>
              <w:pStyle w:val="nTable"/>
              <w:spacing w:before="60" w:after="60"/>
            </w:pPr>
            <w:r>
              <w:t>56 of 1986</w:t>
            </w:r>
          </w:p>
        </w:tc>
        <w:tc>
          <w:tcPr>
            <w:tcW w:w="1134" w:type="dxa"/>
          </w:tcPr>
          <w:p>
            <w:pPr>
              <w:pStyle w:val="nTable"/>
              <w:spacing w:before="60" w:after="60"/>
            </w:pPr>
            <w:r>
              <w:t>26 Nov 1986</w:t>
            </w:r>
          </w:p>
        </w:tc>
        <w:tc>
          <w:tcPr>
            <w:tcW w:w="2496" w:type="dxa"/>
          </w:tcPr>
          <w:p>
            <w:pPr>
              <w:pStyle w:val="nTable"/>
              <w:spacing w:before="60" w:after="60"/>
            </w:pPr>
            <w:r>
              <w:t>s. 1 and 2: 26 Nov 1986;</w:t>
            </w:r>
            <w:r>
              <w:br/>
              <w:t xml:space="preserve">Act other than s. 1 and 2: 15 May 1987 (see s. 2 and </w:t>
            </w:r>
            <w:r>
              <w:rPr>
                <w:i/>
              </w:rPr>
              <w:t>Gazette</w:t>
            </w:r>
            <w:r>
              <w:t xml:space="preserve"> 15 May 1987 p. 2119)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Guardianship and Administration Act 1990</w:t>
            </w:r>
            <w:r>
              <w:t xml:space="preserve"> s. 123</w:t>
            </w:r>
          </w:p>
        </w:tc>
        <w:tc>
          <w:tcPr>
            <w:tcW w:w="1134" w:type="dxa"/>
          </w:tcPr>
          <w:p>
            <w:pPr>
              <w:pStyle w:val="nTable"/>
              <w:spacing w:before="60" w:after="60"/>
            </w:pPr>
            <w:r>
              <w:t>24 of 1990</w:t>
            </w:r>
          </w:p>
        </w:tc>
        <w:tc>
          <w:tcPr>
            <w:tcW w:w="1134" w:type="dxa"/>
          </w:tcPr>
          <w:p>
            <w:pPr>
              <w:pStyle w:val="nTable"/>
              <w:spacing w:before="60" w:after="60"/>
            </w:pPr>
            <w:r>
              <w:t>7 Sep 1990</w:t>
            </w:r>
          </w:p>
        </w:tc>
        <w:tc>
          <w:tcPr>
            <w:tcW w:w="2496" w:type="dxa"/>
          </w:tcPr>
          <w:p>
            <w:pPr>
              <w:pStyle w:val="nTable"/>
              <w:spacing w:before="60" w:after="6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Acts Amendment (Public Sector Management) Act 1994</w:t>
            </w:r>
            <w:r>
              <w:t xml:space="preserve"> s. 3(1)</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496" w:type="dxa"/>
          </w:tcPr>
          <w:p>
            <w:pPr>
              <w:pStyle w:val="nTable"/>
              <w:spacing w:before="60" w:after="6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Fish Resources Management Act 1994</w:t>
            </w:r>
            <w:r>
              <w:t xml:space="preserve"> s. 264</w:t>
            </w:r>
          </w:p>
        </w:tc>
        <w:tc>
          <w:tcPr>
            <w:tcW w:w="1134" w:type="dxa"/>
          </w:tcPr>
          <w:p>
            <w:pPr>
              <w:pStyle w:val="nTable"/>
              <w:spacing w:before="60" w:after="60"/>
            </w:pPr>
            <w:r>
              <w:t>53 of 1994</w:t>
            </w:r>
          </w:p>
        </w:tc>
        <w:tc>
          <w:tcPr>
            <w:tcW w:w="1134" w:type="dxa"/>
          </w:tcPr>
          <w:p>
            <w:pPr>
              <w:pStyle w:val="nTable"/>
              <w:spacing w:before="60" w:after="60"/>
            </w:pPr>
            <w:r>
              <w:t>2 Nov 1994</w:t>
            </w:r>
          </w:p>
        </w:tc>
        <w:tc>
          <w:tcPr>
            <w:tcW w:w="2496" w:type="dxa"/>
          </w:tcPr>
          <w:p>
            <w:pPr>
              <w:pStyle w:val="nTable"/>
              <w:spacing w:before="60" w:after="6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Planning Legislation Amendment Act (No. 2) 1994</w:t>
            </w:r>
            <w:r>
              <w:t xml:space="preserve"> s. 46(6)</w:t>
            </w:r>
          </w:p>
        </w:tc>
        <w:tc>
          <w:tcPr>
            <w:tcW w:w="1134" w:type="dxa"/>
          </w:tcPr>
          <w:p>
            <w:pPr>
              <w:pStyle w:val="nTable"/>
              <w:spacing w:before="60" w:after="60"/>
            </w:pPr>
            <w:r>
              <w:t>84 of 1994</w:t>
            </w:r>
          </w:p>
        </w:tc>
        <w:tc>
          <w:tcPr>
            <w:tcW w:w="1134" w:type="dxa"/>
          </w:tcPr>
          <w:p>
            <w:pPr>
              <w:pStyle w:val="nTable"/>
              <w:spacing w:before="60" w:after="60"/>
            </w:pPr>
            <w:r>
              <w:t>13 Jan 1995</w:t>
            </w:r>
          </w:p>
        </w:tc>
        <w:tc>
          <w:tcPr>
            <w:tcW w:w="2496" w:type="dxa"/>
          </w:tcPr>
          <w:p>
            <w:pPr>
              <w:pStyle w:val="nTable"/>
              <w:spacing w:before="60" w:after="6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lastRenderedPageBreak/>
              <w:t>Aboriginal Heritage Amendment Act 1995</w:t>
            </w:r>
            <w:r>
              <w:t xml:space="preserve"> s. 53</w:t>
            </w:r>
          </w:p>
        </w:tc>
        <w:tc>
          <w:tcPr>
            <w:tcW w:w="1134" w:type="dxa"/>
          </w:tcPr>
          <w:p>
            <w:pPr>
              <w:pStyle w:val="nTable"/>
              <w:keepNext/>
              <w:spacing w:before="60" w:after="60"/>
            </w:pPr>
            <w:r>
              <w:t>24 of 1995</w:t>
            </w:r>
          </w:p>
        </w:tc>
        <w:tc>
          <w:tcPr>
            <w:tcW w:w="1134" w:type="dxa"/>
          </w:tcPr>
          <w:p>
            <w:pPr>
              <w:pStyle w:val="nTable"/>
              <w:keepNext/>
              <w:spacing w:before="60" w:after="60"/>
            </w:pPr>
            <w:r>
              <w:t>30 Jun 1995</w:t>
            </w:r>
          </w:p>
        </w:tc>
        <w:tc>
          <w:tcPr>
            <w:tcW w:w="2496" w:type="dxa"/>
          </w:tcPr>
          <w:p>
            <w:pPr>
              <w:pStyle w:val="nTable"/>
              <w:keepNext/>
              <w:spacing w:before="60" w:after="60"/>
            </w:pPr>
            <w:r>
              <w:t>1 Jul 1995 (see s.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Sentencing (Consequential Provisions) Act 1995</w:t>
            </w:r>
            <w:r>
              <w:t xml:space="preserve"> Pt. 14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496" w:type="dxa"/>
          </w:tcPr>
          <w:p>
            <w:pPr>
              <w:pStyle w:val="nTable"/>
              <w:spacing w:before="60" w:after="6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496" w:type="dxa"/>
          </w:tcPr>
          <w:p>
            <w:pPr>
              <w:pStyle w:val="nTable"/>
              <w:spacing w:before="60" w:after="60"/>
            </w:pPr>
            <w:r>
              <w:t>1 Jul 1996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Consumer Credit (Western Australia) Act 1996</w:t>
            </w:r>
            <w:r>
              <w:t xml:space="preserve"> s. 13</w:t>
            </w:r>
          </w:p>
        </w:tc>
        <w:tc>
          <w:tcPr>
            <w:tcW w:w="1134" w:type="dxa"/>
          </w:tcPr>
          <w:p>
            <w:pPr>
              <w:pStyle w:val="nTable"/>
              <w:spacing w:before="60" w:after="60"/>
            </w:pPr>
            <w:r>
              <w:t>30 of 1996</w:t>
            </w:r>
          </w:p>
        </w:tc>
        <w:tc>
          <w:tcPr>
            <w:tcW w:w="1134" w:type="dxa"/>
          </w:tcPr>
          <w:p>
            <w:pPr>
              <w:pStyle w:val="nTable"/>
              <w:spacing w:before="60" w:after="60"/>
            </w:pPr>
            <w:r>
              <w:t>10 Sep 1996</w:t>
            </w:r>
          </w:p>
        </w:tc>
        <w:tc>
          <w:tcPr>
            <w:tcW w:w="2496" w:type="dxa"/>
          </w:tcPr>
          <w:p>
            <w:pPr>
              <w:pStyle w:val="nTable"/>
              <w:spacing w:before="60" w:after="60"/>
            </w:pPr>
            <w:r>
              <w:t>1 Nov 1996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496" w:type="dxa"/>
          </w:tcPr>
          <w:p>
            <w:pPr>
              <w:pStyle w:val="nTable"/>
              <w:spacing w:before="60" w:after="60"/>
            </w:pPr>
            <w:r>
              <w:t>25 Oct 1996 (see s. 2(1))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Road Traffic Amendment Act 1996</w:t>
            </w:r>
            <w:r>
              <w:t xml:space="preserve"> Pt. 3 Div. 2</w:t>
            </w:r>
          </w:p>
        </w:tc>
        <w:tc>
          <w:tcPr>
            <w:tcW w:w="1134" w:type="dxa"/>
          </w:tcPr>
          <w:p>
            <w:pPr>
              <w:pStyle w:val="nTable"/>
              <w:spacing w:before="60" w:after="60"/>
            </w:pPr>
            <w:r>
              <w:t>76 of 1996</w:t>
            </w:r>
          </w:p>
        </w:tc>
        <w:tc>
          <w:tcPr>
            <w:tcW w:w="1134" w:type="dxa"/>
          </w:tcPr>
          <w:p>
            <w:pPr>
              <w:pStyle w:val="nTable"/>
              <w:spacing w:before="60" w:after="60"/>
            </w:pPr>
            <w:r>
              <w:t>14 Nov 1996</w:t>
            </w:r>
          </w:p>
        </w:tc>
        <w:tc>
          <w:tcPr>
            <w:tcW w:w="2496" w:type="dxa"/>
          </w:tcPr>
          <w:p>
            <w:pPr>
              <w:pStyle w:val="nTable"/>
              <w:spacing w:before="60" w:after="6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Acts Amendment (Land Administration) Act 1997</w:t>
            </w:r>
            <w:r>
              <w:t xml:space="preserve"> Pt. 15</w:t>
            </w:r>
          </w:p>
        </w:tc>
        <w:tc>
          <w:tcPr>
            <w:tcW w:w="1134" w:type="dxa"/>
          </w:tcPr>
          <w:p>
            <w:pPr>
              <w:pStyle w:val="nTable"/>
              <w:spacing w:before="60" w:after="60"/>
            </w:pPr>
            <w:r>
              <w:t>31 of 1997</w:t>
            </w:r>
          </w:p>
        </w:tc>
        <w:tc>
          <w:tcPr>
            <w:tcW w:w="1134" w:type="dxa"/>
          </w:tcPr>
          <w:p>
            <w:pPr>
              <w:pStyle w:val="nTable"/>
              <w:spacing w:before="60" w:after="60"/>
            </w:pPr>
            <w:r>
              <w:t>3 Oct 1997</w:t>
            </w:r>
          </w:p>
        </w:tc>
        <w:tc>
          <w:tcPr>
            <w:tcW w:w="2496" w:type="dxa"/>
          </w:tcPr>
          <w:p>
            <w:pPr>
              <w:pStyle w:val="nTable"/>
              <w:spacing w:before="60" w:after="6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Statutes (Repeals and Minor Amendments) Act 2000</w:t>
            </w:r>
            <w:r>
              <w:t xml:space="preserve"> s. 48</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496" w:type="dxa"/>
          </w:tcPr>
          <w:p>
            <w:pPr>
              <w:pStyle w:val="nTable"/>
              <w:spacing w:before="60" w:after="60"/>
            </w:pPr>
            <w:r>
              <w:t>4 Jul 2000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snapToGrid w:val="0"/>
              </w:rPr>
              <w:t>Road Traffic Amendment Act 2000</w:t>
            </w:r>
            <w:r>
              <w:rPr>
                <w:snapToGrid w:val="0"/>
              </w:rPr>
              <w:t xml:space="preserve"> Pt. 3 Div. 1</w:t>
            </w:r>
          </w:p>
        </w:tc>
        <w:tc>
          <w:tcPr>
            <w:tcW w:w="1134" w:type="dxa"/>
          </w:tcPr>
          <w:p>
            <w:pPr>
              <w:pStyle w:val="nTable"/>
              <w:spacing w:before="60" w:after="60"/>
            </w:pPr>
            <w:r>
              <w:t>39 of 2000</w:t>
            </w:r>
          </w:p>
        </w:tc>
        <w:tc>
          <w:tcPr>
            <w:tcW w:w="1134" w:type="dxa"/>
          </w:tcPr>
          <w:p>
            <w:pPr>
              <w:pStyle w:val="nTable"/>
              <w:spacing w:before="60" w:after="60"/>
            </w:pPr>
            <w:r>
              <w:t>10 Oct 2000</w:t>
            </w:r>
          </w:p>
        </w:tc>
        <w:tc>
          <w:tcPr>
            <w:tcW w:w="2496" w:type="dxa"/>
          </w:tcPr>
          <w:p>
            <w:pPr>
              <w:pStyle w:val="nTable"/>
              <w:spacing w:before="60" w:after="60"/>
            </w:pPr>
            <w:r>
              <w:t xml:space="preserve">1 Jan 2006 (see s. 2 and </w:t>
            </w:r>
            <w:r>
              <w:rPr>
                <w:i/>
              </w:rPr>
              <w:t xml:space="preserve">Gazette </w:t>
            </w:r>
            <w:r>
              <w:t>23 Dec 2005 p. 6244</w:t>
            </w:r>
            <w:r>
              <w:noBreakHyphen/>
              <w:t>5)</w:t>
            </w:r>
          </w:p>
        </w:tc>
      </w:tr>
      <w:tr>
        <w:tblPrEx>
          <w:tblBorders>
            <w:top w:val="none" w:sz="0" w:space="0" w:color="auto"/>
            <w:bottom w:val="none" w:sz="0" w:space="0" w:color="auto"/>
            <w:insideH w:val="none" w:sz="0" w:space="0" w:color="auto"/>
          </w:tblBorders>
        </w:tblPrEx>
        <w:tc>
          <w:tcPr>
            <w:tcW w:w="2324" w:type="dxa"/>
          </w:tcPr>
          <w:p>
            <w:pPr>
              <w:pStyle w:val="nTable"/>
              <w:spacing w:before="60" w:after="60"/>
            </w:pPr>
            <w:r>
              <w:rPr>
                <w:i/>
              </w:rPr>
              <w:t>Road Traffic Amendment (Vehicle Licensing) Act 2001</w:t>
            </w:r>
            <w:r>
              <w:t xml:space="preserve"> Pt. 3 Div. 2</w:t>
            </w:r>
          </w:p>
        </w:tc>
        <w:tc>
          <w:tcPr>
            <w:tcW w:w="1134" w:type="dxa"/>
          </w:tcPr>
          <w:p>
            <w:pPr>
              <w:pStyle w:val="nTable"/>
              <w:spacing w:before="60" w:after="60"/>
            </w:pPr>
            <w:r>
              <w:t>28 of 2001</w:t>
            </w:r>
          </w:p>
        </w:tc>
        <w:tc>
          <w:tcPr>
            <w:tcW w:w="1134" w:type="dxa"/>
          </w:tcPr>
          <w:p>
            <w:pPr>
              <w:pStyle w:val="nTable"/>
              <w:spacing w:before="60" w:after="60"/>
            </w:pPr>
            <w:r>
              <w:t>21 Dec 2001</w:t>
            </w:r>
          </w:p>
        </w:tc>
        <w:tc>
          <w:tcPr>
            <w:tcW w:w="2496" w:type="dxa"/>
          </w:tcPr>
          <w:p>
            <w:pPr>
              <w:pStyle w:val="nTable"/>
              <w:spacing w:before="60" w:after="60"/>
            </w:pPr>
            <w:r>
              <w:t xml:space="preserve">4 Dec 2006 (see s. 2 and </w:t>
            </w:r>
            <w:r>
              <w:rPr>
                <w:i/>
              </w:rPr>
              <w:t>Gazette</w:t>
            </w:r>
            <w:r>
              <w:t xml:space="preserve"> 28 Nov 2006 p. 4889)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pPr>
              <w:pStyle w:val="nTable"/>
              <w:spacing w:before="60" w:after="60"/>
            </w:pPr>
            <w:r>
              <w:rPr>
                <w:snapToGrid w:val="0"/>
              </w:rPr>
              <w:t>7 of 2002</w:t>
            </w:r>
          </w:p>
        </w:tc>
        <w:tc>
          <w:tcPr>
            <w:tcW w:w="1134" w:type="dxa"/>
          </w:tcPr>
          <w:p>
            <w:pPr>
              <w:pStyle w:val="nTable"/>
              <w:spacing w:before="60" w:after="60"/>
            </w:pPr>
            <w:r>
              <w:t>19 Jun 2002</w:t>
            </w:r>
          </w:p>
        </w:tc>
        <w:tc>
          <w:tcPr>
            <w:tcW w:w="2496" w:type="dxa"/>
          </w:tcPr>
          <w:p>
            <w:pPr>
              <w:pStyle w:val="nTable"/>
              <w:spacing w:before="60" w:after="6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pPr>
            <w:r>
              <w:rPr>
                <w:i/>
              </w:rPr>
              <w:lastRenderedPageBreak/>
              <w:t>Environmental Protection Amendment Act 2003</w:t>
            </w:r>
            <w:r>
              <w:t xml:space="preserve"> s. 142</w:t>
            </w:r>
          </w:p>
        </w:tc>
        <w:tc>
          <w:tcPr>
            <w:tcW w:w="1134" w:type="dxa"/>
          </w:tcPr>
          <w:p>
            <w:pPr>
              <w:pStyle w:val="nTable"/>
              <w:spacing w:before="60" w:after="60"/>
            </w:pPr>
            <w:r>
              <w:t>54 of 2003</w:t>
            </w:r>
          </w:p>
        </w:tc>
        <w:tc>
          <w:tcPr>
            <w:tcW w:w="1134" w:type="dxa"/>
          </w:tcPr>
          <w:p>
            <w:pPr>
              <w:pStyle w:val="nTable"/>
              <w:spacing w:before="60" w:after="60"/>
            </w:pPr>
            <w:r>
              <w:t>20 Oct 2003</w:t>
            </w:r>
          </w:p>
        </w:tc>
        <w:tc>
          <w:tcPr>
            <w:tcW w:w="2496" w:type="dxa"/>
          </w:tcPr>
          <w:p>
            <w:pPr>
              <w:pStyle w:val="nTable"/>
              <w:spacing w:before="60" w:after="60"/>
            </w:pPr>
            <w:r>
              <w:t xml:space="preserve">19 Nov 2003 (see s. 2 and </w:t>
            </w:r>
            <w:r>
              <w:rPr>
                <w:i/>
              </w:rPr>
              <w:t>Gazette</w:t>
            </w:r>
            <w:r>
              <w:t xml:space="preserve"> 18 Nov 2003 p. 4723)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rPr>
            </w:pPr>
            <w:r>
              <w:rPr>
                <w:i/>
              </w:rPr>
              <w:t xml:space="preserve">Local Government Amendment Act 2004 </w:t>
            </w:r>
            <w:r>
              <w:t>s. 13</w:t>
            </w:r>
          </w:p>
        </w:tc>
        <w:tc>
          <w:tcPr>
            <w:tcW w:w="1134" w:type="dxa"/>
          </w:tcPr>
          <w:p>
            <w:pPr>
              <w:pStyle w:val="nTable"/>
              <w:spacing w:before="60" w:after="60"/>
            </w:pPr>
            <w:r>
              <w:rPr>
                <w:snapToGrid w:val="0"/>
              </w:rPr>
              <w:t>49 of 2004</w:t>
            </w:r>
          </w:p>
        </w:tc>
        <w:tc>
          <w:tcPr>
            <w:tcW w:w="1134" w:type="dxa"/>
          </w:tcPr>
          <w:p>
            <w:pPr>
              <w:pStyle w:val="nTable"/>
              <w:spacing w:before="60" w:after="60"/>
            </w:pPr>
            <w:r>
              <w:t>12 Nov 2004</w:t>
            </w:r>
          </w:p>
        </w:tc>
        <w:tc>
          <w:tcPr>
            <w:tcW w:w="2496" w:type="dxa"/>
          </w:tcPr>
          <w:p>
            <w:pPr>
              <w:pStyle w:val="nTable"/>
              <w:spacing w:before="60" w:after="60"/>
            </w:pPr>
            <w:r>
              <w:t xml:space="preserve">1 Apr 2005 (see s. 2 and </w:t>
            </w:r>
            <w:r>
              <w:rPr>
                <w:i/>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pPr>
              <w:pStyle w:val="nTable"/>
              <w:spacing w:before="60" w:after="60"/>
            </w:pPr>
            <w:r>
              <w:rPr>
                <w:snapToGrid w:val="0"/>
              </w:rPr>
              <w:t>59 of 2004 (as amended by No. 2 of 2008 s. 77(13))</w:t>
            </w:r>
          </w:p>
        </w:tc>
        <w:tc>
          <w:tcPr>
            <w:tcW w:w="1134" w:type="dxa"/>
          </w:tcPr>
          <w:p>
            <w:pPr>
              <w:pStyle w:val="nTable"/>
              <w:spacing w:before="60" w:after="60"/>
            </w:pPr>
            <w:r>
              <w:t>23 Nov 2004</w:t>
            </w:r>
          </w:p>
        </w:tc>
        <w:tc>
          <w:tcPr>
            <w:tcW w:w="2496"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496" w:type="dxa"/>
          </w:tcPr>
          <w:p>
            <w:pPr>
              <w:pStyle w:val="nTable"/>
              <w:spacing w:before="60" w:after="6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496"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pPr>
              <w:pStyle w:val="nTable"/>
              <w:spacing w:before="60" w:after="60"/>
              <w:rPr>
                <w:snapToGrid w:val="0"/>
              </w:rPr>
            </w:pPr>
            <w:r>
              <w:rPr>
                <w:snapToGrid w:val="0"/>
              </w:rPr>
              <w:t>38 of 2005</w:t>
            </w:r>
          </w:p>
        </w:tc>
        <w:tc>
          <w:tcPr>
            <w:tcW w:w="1134" w:type="dxa"/>
          </w:tcPr>
          <w:p>
            <w:pPr>
              <w:pStyle w:val="nTable"/>
              <w:spacing w:before="60" w:after="60"/>
            </w:pPr>
            <w:r>
              <w:t>12 Dec 2005</w:t>
            </w:r>
          </w:p>
        </w:tc>
        <w:tc>
          <w:tcPr>
            <w:tcW w:w="2496" w:type="dxa"/>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496" w:type="dxa"/>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Land Information Authority Act 2006</w:t>
            </w:r>
            <w:r>
              <w:rPr>
                <w:snapToGrid w:val="0"/>
              </w:rPr>
              <w:t xml:space="preserve"> s. 128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496"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rPr>
                <w:snapToGrid w:val="0"/>
              </w:rPr>
            </w:pPr>
            <w:r>
              <w:rPr>
                <w:snapToGrid w:val="0"/>
              </w:rPr>
              <w:t>21 Dec 2006</w:t>
            </w:r>
          </w:p>
        </w:tc>
        <w:tc>
          <w:tcPr>
            <w:tcW w:w="2496" w:type="dxa"/>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ind w:right="113"/>
              <w:rPr>
                <w:iCs/>
              </w:rPr>
            </w:pPr>
            <w:r>
              <w:rPr>
                <w:i/>
              </w:rPr>
              <w:lastRenderedPageBreak/>
              <w:t>Statutes (Repeals and Miscellaneous Amendments) Act 2009</w:t>
            </w:r>
            <w:r>
              <w:rPr>
                <w:iCs/>
              </w:rPr>
              <w:t xml:space="preserve"> s. 40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496"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Cs/>
                <w:snapToGrid w:val="0"/>
              </w:rPr>
            </w:pPr>
            <w:r>
              <w:rPr>
                <w:i/>
                <w:snapToGrid w:val="0"/>
              </w:rPr>
              <w:t>Acts Amendment (Bankruptcy) Act 2009</w:t>
            </w:r>
            <w:r>
              <w:rPr>
                <w:iCs/>
                <w:snapToGrid w:val="0"/>
              </w:rPr>
              <w:t xml:space="preserve"> s. 22</w:t>
            </w:r>
          </w:p>
        </w:tc>
        <w:tc>
          <w:tcPr>
            <w:tcW w:w="1134" w:type="dxa"/>
          </w:tcPr>
          <w:p>
            <w:pPr>
              <w:pStyle w:val="nTable"/>
              <w:spacing w:after="40"/>
            </w:pPr>
            <w:r>
              <w:t>18 of 2009</w:t>
            </w:r>
          </w:p>
        </w:tc>
        <w:tc>
          <w:tcPr>
            <w:tcW w:w="1134" w:type="dxa"/>
          </w:tcPr>
          <w:p>
            <w:pPr>
              <w:pStyle w:val="nTable"/>
              <w:spacing w:after="40"/>
            </w:pPr>
            <w:r>
              <w:t>16 Sep 2009</w:t>
            </w:r>
          </w:p>
        </w:tc>
        <w:tc>
          <w:tcPr>
            <w:tcW w:w="2496"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snapToGrid w:val="0"/>
              </w:rPr>
            </w:pPr>
            <w:r>
              <w:rPr>
                <w:i/>
                <w:snapToGrid w:val="0"/>
              </w:rPr>
              <w:t>Approvals and Related Reforms (No. 4) (Planning) Act 2010</w:t>
            </w:r>
            <w:r>
              <w:t xml:space="preserve"> s. 29</w:t>
            </w:r>
          </w:p>
        </w:tc>
        <w:tc>
          <w:tcPr>
            <w:tcW w:w="1134" w:type="dxa"/>
          </w:tcPr>
          <w:p>
            <w:pPr>
              <w:pStyle w:val="nTable"/>
              <w:spacing w:after="40"/>
            </w:pPr>
            <w:r>
              <w:rPr>
                <w:snapToGrid w:val="0"/>
              </w:rPr>
              <w:t>28 of 2010</w:t>
            </w:r>
          </w:p>
        </w:tc>
        <w:tc>
          <w:tcPr>
            <w:tcW w:w="1134" w:type="dxa"/>
          </w:tcPr>
          <w:p>
            <w:pPr>
              <w:pStyle w:val="nTable"/>
              <w:spacing w:after="40"/>
            </w:pPr>
            <w:r>
              <w:rPr>
                <w:snapToGrid w:val="0"/>
              </w:rPr>
              <w:t>19 Aug 2010</w:t>
            </w:r>
          </w:p>
        </w:tc>
        <w:tc>
          <w:tcPr>
            <w:tcW w:w="2496" w:type="dxa"/>
          </w:tcPr>
          <w:p>
            <w:pPr>
              <w:pStyle w:val="nTable"/>
              <w:spacing w:after="40"/>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496"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r>
        <w:trPr>
          <w:cantSplit/>
        </w:trPr>
        <w:tc>
          <w:tcPr>
            <w:tcW w:w="2324" w:type="dxa"/>
            <w:tcBorders>
              <w:top w:val="nil"/>
              <w:bottom w:val="nil"/>
            </w:tcBorders>
          </w:tcPr>
          <w:p>
            <w:pPr>
              <w:pStyle w:val="nTable"/>
              <w:spacing w:after="40"/>
            </w:pPr>
            <w:r>
              <w:rPr>
                <w:i/>
                <w:snapToGrid w:val="0"/>
              </w:rPr>
              <w:t>Local Government Legislation Amendment Act 2019</w:t>
            </w:r>
            <w:r>
              <w:rPr>
                <w:snapToGrid w:val="0"/>
              </w:rPr>
              <w:t xml:space="preserve"> Pt. 4 Div. 4</w:t>
            </w:r>
          </w:p>
        </w:tc>
        <w:tc>
          <w:tcPr>
            <w:tcW w:w="1134" w:type="dxa"/>
            <w:tcBorders>
              <w:top w:val="nil"/>
              <w:bottom w:val="nil"/>
            </w:tcBorders>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496" w:type="dxa"/>
            <w:tcBorders>
              <w:top w:val="nil"/>
              <w:bottom w:val="nil"/>
            </w:tcBorders>
            <w:shd w:val="clear" w:color="auto" w:fill="auto"/>
          </w:tcPr>
          <w:p>
            <w:pPr>
              <w:pStyle w:val="nTable"/>
              <w:spacing w:after="40"/>
            </w:pPr>
            <w:r>
              <w:t>7 Nov 2020 (see s. 2(b) and SL 2020/212 cl. 2)</w:t>
            </w:r>
          </w:p>
        </w:tc>
      </w:tr>
      <w:tr>
        <w:trPr>
          <w:cantSplit/>
        </w:trPr>
        <w:tc>
          <w:tcPr>
            <w:tcW w:w="2324" w:type="dxa"/>
            <w:tcBorders>
              <w:top w:val="nil"/>
              <w:bottom w:val="nil"/>
            </w:tcBorders>
          </w:tcPr>
          <w:p>
            <w:pPr>
              <w:pStyle w:val="nTable"/>
              <w:spacing w:after="40"/>
              <w:rPr>
                <w:i/>
                <w:snapToGrid w:val="0"/>
              </w:rPr>
            </w:pPr>
            <w:r>
              <w:rPr>
                <w:i/>
                <w:snapToGrid w:val="0"/>
              </w:rPr>
              <w:t>Swan Valley Planning Act 2020</w:t>
            </w:r>
            <w:r>
              <w:rPr>
                <w:snapToGrid w:val="0"/>
              </w:rPr>
              <w:t xml:space="preserve"> Pt. 10 Div. 1</w:t>
            </w:r>
          </w:p>
        </w:tc>
        <w:tc>
          <w:tcPr>
            <w:tcW w:w="1134" w:type="dxa"/>
            <w:tcBorders>
              <w:top w:val="nil"/>
              <w:bottom w:val="nil"/>
            </w:tcBorders>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496" w:type="dxa"/>
            <w:tcBorders>
              <w:top w:val="nil"/>
              <w:bottom w:val="nil"/>
            </w:tcBorders>
            <w:shd w:val="clear" w:color="auto" w:fill="auto"/>
          </w:tcPr>
          <w:p>
            <w:pPr>
              <w:pStyle w:val="nTable"/>
              <w:spacing w:after="40"/>
            </w:pPr>
            <w:r>
              <w:rPr>
                <w:snapToGrid w:val="0"/>
              </w:rPr>
              <w:t>1 Aug 2021 (see s. 2(1)(e) and SL 2021/124 cl. 2)</w:t>
            </w:r>
          </w:p>
        </w:tc>
      </w:tr>
      <w:tr>
        <w:tblPrEx>
          <w:tblBorders>
            <w:top w:val="none" w:sz="0" w:space="0" w:color="auto"/>
            <w:bottom w:val="none" w:sz="0" w:space="0" w:color="auto"/>
            <w:insideH w:val="none" w:sz="0" w:space="0" w:color="auto"/>
          </w:tblBorders>
        </w:tblPrEx>
        <w:trPr>
          <w:cantSplit/>
        </w:trPr>
        <w:tc>
          <w:tcPr>
            <w:tcW w:w="2324" w:type="dxa"/>
            <w:tcBorders>
              <w:bottom w:val="single" w:sz="4" w:space="0" w:color="auto"/>
            </w:tcBorders>
          </w:tcPr>
          <w:p>
            <w:pPr>
              <w:pStyle w:val="nTable"/>
              <w:spacing w:after="40"/>
              <w:rPr>
                <w:i/>
                <w:snapToGrid w:val="0"/>
              </w:rPr>
            </w:pPr>
            <w:r>
              <w:rPr>
                <w:i/>
              </w:rPr>
              <w:t>Aboriginal Cultural Heritage Act 2021</w:t>
            </w:r>
            <w:r>
              <w:t xml:space="preserve"> s. 345</w:t>
            </w:r>
          </w:p>
        </w:tc>
        <w:tc>
          <w:tcPr>
            <w:tcW w:w="1134" w:type="dxa"/>
            <w:tcBorders>
              <w:bottom w:val="single" w:sz="4" w:space="0" w:color="auto"/>
            </w:tcBorders>
          </w:tcPr>
          <w:p>
            <w:pPr>
              <w:pStyle w:val="nTable"/>
              <w:spacing w:after="40"/>
            </w:pPr>
            <w:r>
              <w:t>27 of 2021</w:t>
            </w:r>
          </w:p>
        </w:tc>
        <w:tc>
          <w:tcPr>
            <w:tcW w:w="1134" w:type="dxa"/>
            <w:tcBorders>
              <w:bottom w:val="single" w:sz="4" w:space="0" w:color="auto"/>
            </w:tcBorders>
            <w:shd w:val="clear" w:color="auto" w:fill="auto"/>
          </w:tcPr>
          <w:p>
            <w:pPr>
              <w:pStyle w:val="nTable"/>
              <w:spacing w:after="40"/>
            </w:pPr>
            <w:r>
              <w:t>22 Dec 2021</w:t>
            </w:r>
          </w:p>
        </w:tc>
        <w:tc>
          <w:tcPr>
            <w:tcW w:w="2496" w:type="dxa"/>
            <w:tcBorders>
              <w:bottom w:val="single" w:sz="4" w:space="0" w:color="auto"/>
            </w:tcBorders>
            <w:shd w:val="clear" w:color="auto" w:fill="auto"/>
          </w:tcPr>
          <w:p>
            <w:pPr>
              <w:pStyle w:val="nTable"/>
              <w:spacing w:after="40"/>
              <w:rPr>
                <w:snapToGrid w:val="0"/>
              </w:rPr>
            </w:pPr>
            <w:r>
              <w:t>1 Jul 2023 (see s. 2(e) and SL 2023/40 cl. 2(b))</w:t>
            </w:r>
          </w:p>
        </w:tc>
      </w:tr>
    </w:tbl>
    <w:p>
      <w:pPr>
        <w:pStyle w:val="nHeading3"/>
      </w:pPr>
      <w:bookmarkStart w:id="62" w:name="_Toc154747704"/>
      <w:r>
        <w:t>Uncommenced provisions table</w:t>
      </w:r>
      <w:bookmarkEnd w:id="62"/>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24"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bottom w:val="nil"/>
            </w:tcBorders>
          </w:tcPr>
          <w:p>
            <w:pPr>
              <w:pStyle w:val="nTable"/>
              <w:spacing w:after="40"/>
            </w:pPr>
            <w:r>
              <w:rPr>
                <w:snapToGrid w:val="0"/>
              </w:rPr>
              <w:t>117 of 1978 (as amended by No. 7 of 2002 s. 7 and No. 8 of 2012 s. 65)</w:t>
            </w:r>
          </w:p>
        </w:tc>
        <w:tc>
          <w:tcPr>
            <w:tcW w:w="1134" w:type="dxa"/>
            <w:tcBorders>
              <w:top w:val="single" w:sz="8" w:space="0" w:color="auto"/>
              <w:bottom w:val="nil"/>
            </w:tcBorders>
          </w:tcPr>
          <w:p>
            <w:pPr>
              <w:pStyle w:val="nTable"/>
              <w:spacing w:after="40"/>
            </w:pPr>
            <w:r>
              <w:t>12 Dec 1978</w:t>
            </w:r>
          </w:p>
        </w:tc>
        <w:tc>
          <w:tcPr>
            <w:tcW w:w="2524" w:type="dxa"/>
            <w:tcBorders>
              <w:top w:val="single" w:sz="8" w:space="0" w:color="auto"/>
              <w:bottom w:val="nil"/>
            </w:tcBorders>
          </w:tcPr>
          <w:p>
            <w:pPr>
              <w:pStyle w:val="nTable"/>
              <w:spacing w:after="40"/>
            </w:pPr>
            <w:r>
              <w:t>To be proclaimed (see s. 2)</w:t>
            </w:r>
          </w:p>
        </w:tc>
      </w:tr>
      <w:tr>
        <w:trPr>
          <w:cantSplit/>
        </w:trPr>
        <w:tc>
          <w:tcPr>
            <w:tcW w:w="2268" w:type="dxa"/>
            <w:tcBorders>
              <w:top w:val="nil"/>
              <w:bottom w:val="single" w:sz="4" w:space="0" w:color="auto"/>
            </w:tcBorders>
          </w:tcPr>
          <w:p>
            <w:pPr>
              <w:pStyle w:val="nTable"/>
              <w:spacing w:after="40"/>
              <w:ind w:right="113"/>
              <w:rPr>
                <w:i/>
                <w:snapToGrid w:val="0"/>
              </w:rPr>
            </w:pPr>
            <w:r>
              <w:rPr>
                <w:i/>
                <w:snapToGrid w:val="0"/>
              </w:rPr>
              <w:t>Aquatic Resources Management Act 2016</w:t>
            </w:r>
            <w:r>
              <w:rPr>
                <w:snapToGrid w:val="0"/>
              </w:rPr>
              <w:t xml:space="preserve"> s. 365</w:t>
            </w:r>
          </w:p>
        </w:tc>
        <w:tc>
          <w:tcPr>
            <w:tcW w:w="1134" w:type="dxa"/>
            <w:tcBorders>
              <w:top w:val="nil"/>
              <w:bottom w:val="single" w:sz="4" w:space="0" w:color="auto"/>
            </w:tcBorders>
          </w:tcPr>
          <w:p>
            <w:pPr>
              <w:pStyle w:val="nTable"/>
              <w:spacing w:after="40"/>
              <w:rPr>
                <w:snapToGrid w:val="0"/>
              </w:rPr>
            </w:pPr>
            <w:r>
              <w:t>53 of 2016</w:t>
            </w:r>
          </w:p>
        </w:tc>
        <w:tc>
          <w:tcPr>
            <w:tcW w:w="1134" w:type="dxa"/>
            <w:tcBorders>
              <w:top w:val="nil"/>
              <w:bottom w:val="single" w:sz="4" w:space="0" w:color="auto"/>
            </w:tcBorders>
          </w:tcPr>
          <w:p>
            <w:pPr>
              <w:pStyle w:val="nTable"/>
              <w:spacing w:after="40"/>
            </w:pPr>
            <w:r>
              <w:t>29 Nov 2016</w:t>
            </w:r>
          </w:p>
        </w:tc>
        <w:tc>
          <w:tcPr>
            <w:tcW w:w="2524" w:type="dxa"/>
            <w:tcBorders>
              <w:top w:val="nil"/>
              <w:bottom w:val="single" w:sz="4" w:space="0" w:color="auto"/>
            </w:tcBorders>
          </w:tcPr>
          <w:p>
            <w:pPr>
              <w:pStyle w:val="nTable"/>
              <w:spacing w:after="40"/>
            </w:pPr>
            <w:r>
              <w:rPr>
                <w:snapToGrid w:val="0"/>
              </w:rPr>
              <w:t>To be proclaimed (see s. 2(b))</w:t>
            </w:r>
          </w:p>
        </w:tc>
      </w:tr>
    </w:tbl>
    <w:p>
      <w:pPr>
        <w:pStyle w:val="nHeading3"/>
      </w:pPr>
      <w:bookmarkStart w:id="63" w:name="_Toc154747705"/>
      <w:r>
        <w:lastRenderedPageBreak/>
        <w:t>Other notes</w:t>
      </w:r>
      <w:bookmarkEnd w:id="63"/>
    </w:p>
    <w:p>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Note"/>
        <w:keepNext/>
        <w:keepLines/>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65" w:name="_Toc154747706"/>
      <w:r>
        <w:rPr>
          <w:sz w:val="28"/>
        </w:rPr>
        <w:lastRenderedPageBreak/>
        <w:t>Defined terms</w:t>
      </w:r>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37(5a)</w:t>
      </w:r>
    </w:p>
    <w:p>
      <w:pPr>
        <w:pStyle w:val="DefinedTerms"/>
      </w:pPr>
      <w:r>
        <w:t>authorised person</w:t>
      </w:r>
      <w:r>
        <w:tab/>
        <w:t>3(1)</w:t>
      </w:r>
    </w:p>
    <w:p>
      <w:pPr>
        <w:pStyle w:val="DefinedTerms"/>
      </w:pPr>
      <w:r>
        <w:t>certificate</w:t>
      </w:r>
      <w:r>
        <w:tab/>
        <w:t>3(1)</w:t>
      </w:r>
    </w:p>
    <w:p>
      <w:pPr>
        <w:pStyle w:val="DefinedTerms"/>
      </w:pPr>
      <w:r>
        <w:t>certificate of registration</w:t>
      </w:r>
      <w:r>
        <w:tab/>
        <w:t>3(1)</w:t>
      </w:r>
    </w:p>
    <w:p>
      <w:pPr>
        <w:pStyle w:val="DefinedTerms"/>
      </w:pPr>
      <w:r>
        <w:t>Committee</w:t>
      </w:r>
      <w:r>
        <w:tab/>
        <w:t>3(1)</w:t>
      </w:r>
    </w:p>
    <w:p>
      <w:pPr>
        <w:pStyle w:val="DefinedTerms"/>
      </w:pPr>
      <w:r>
        <w:t>Department</w:t>
      </w:r>
      <w:r>
        <w:tab/>
        <w:t>3(1)</w:t>
      </w:r>
    </w:p>
    <w:p>
      <w:pPr>
        <w:pStyle w:val="DefinedTerms"/>
      </w:pPr>
      <w:r>
        <w:t>Director General</w:t>
      </w:r>
      <w:r>
        <w:tab/>
        <w:t>3(1)</w:t>
      </w:r>
    </w:p>
    <w:p>
      <w:pPr>
        <w:pStyle w:val="DefinedTerms"/>
      </w:pPr>
      <w:r>
        <w:t>district</w:t>
      </w:r>
      <w:r>
        <w:tab/>
        <w:t>3(1)</w:t>
      </w:r>
    </w:p>
    <w:p>
      <w:pPr>
        <w:pStyle w:val="DefinedTerms"/>
      </w:pPr>
      <w:r>
        <w:t>drive</w:t>
      </w:r>
      <w:r>
        <w:tab/>
        <w:t>3(1)</w:t>
      </w:r>
    </w:p>
    <w:p>
      <w:pPr>
        <w:pStyle w:val="DefinedTerms"/>
      </w:pPr>
      <w:r>
        <w:t>driver</w:t>
      </w:r>
      <w:r>
        <w:tab/>
        <w:t>3(1)</w:t>
      </w:r>
    </w:p>
    <w:p>
      <w:pPr>
        <w:pStyle w:val="DefinedTerms"/>
      </w:pPr>
      <w:r>
        <w:t>infringement notice</w:t>
      </w:r>
      <w:r>
        <w:tab/>
        <w:t>3(1)</w:t>
      </w:r>
    </w:p>
    <w:p>
      <w:pPr>
        <w:pStyle w:val="DefinedTerms"/>
      </w:pPr>
      <w:r>
        <w:t>motor car</w:t>
      </w:r>
      <w:r>
        <w:tab/>
        <w:t>3(1)</w:t>
      </w:r>
    </w:p>
    <w:p>
      <w:pPr>
        <w:pStyle w:val="DefinedTerms"/>
      </w:pPr>
      <w:r>
        <w:t>motor cycle</w:t>
      </w:r>
      <w:r>
        <w:tab/>
        <w:t>3(1)</w:t>
      </w:r>
    </w:p>
    <w:p>
      <w:pPr>
        <w:pStyle w:val="DefinedTerms"/>
      </w:pPr>
      <w:r>
        <w:t>new owner</w:t>
      </w:r>
      <w:r>
        <w:tab/>
        <w:t>29A(4)</w:t>
      </w:r>
    </w:p>
    <w:p>
      <w:pPr>
        <w:pStyle w:val="DefinedTerms"/>
      </w:pPr>
      <w:r>
        <w:t>off</w:t>
      </w:r>
      <w:r>
        <w:noBreakHyphen/>
        <w:t>road vehicle</w:t>
      </w:r>
      <w:r>
        <w:tab/>
        <w:t>3(1)</w:t>
      </w:r>
    </w:p>
    <w:p>
      <w:pPr>
        <w:pStyle w:val="DefinedTerms"/>
      </w:pPr>
      <w:r>
        <w:t>owner</w:t>
      </w:r>
      <w:r>
        <w:tab/>
        <w:t>3(1)</w:t>
      </w:r>
    </w:p>
    <w:p>
      <w:pPr>
        <w:pStyle w:val="DefinedTerms"/>
      </w:pPr>
      <w:r>
        <w:t>permitted area</w:t>
      </w:r>
      <w:r>
        <w:tab/>
        <w:t>3(1)</w:t>
      </w:r>
    </w:p>
    <w:p>
      <w:pPr>
        <w:pStyle w:val="DefinedTerms"/>
      </w:pPr>
      <w:r>
        <w:t>private land</w:t>
      </w:r>
      <w:r>
        <w:tab/>
        <w:t>3(1)</w:t>
      </w:r>
    </w:p>
    <w:p>
      <w:pPr>
        <w:pStyle w:val="DefinedTerms"/>
      </w:pPr>
      <w:r>
        <w:t>prohibited area</w:t>
      </w:r>
      <w:r>
        <w:tab/>
        <w:t>3(1)</w:t>
      </w:r>
    </w:p>
    <w:p>
      <w:pPr>
        <w:pStyle w:val="DefinedTerms"/>
      </w:pPr>
      <w:r>
        <w:t>public authority</w:t>
      </w:r>
      <w:r>
        <w:tab/>
        <w:t>3(1)</w:t>
      </w:r>
    </w:p>
    <w:p>
      <w:pPr>
        <w:pStyle w:val="DefinedTerms"/>
      </w:pPr>
      <w:r>
        <w:t>responsible person</w:t>
      </w:r>
      <w:r>
        <w:tab/>
        <w:t>3(1)</w:t>
      </w:r>
    </w:p>
    <w:p>
      <w:pPr>
        <w:pStyle w:val="DefinedTerms"/>
      </w:pPr>
      <w:r>
        <w:t>road</w:t>
      </w:r>
      <w:r>
        <w:tab/>
        <w:t>3(1)</w:t>
      </w:r>
    </w:p>
    <w:p>
      <w:pPr>
        <w:pStyle w:val="DefinedTerms"/>
      </w:pPr>
      <w:r>
        <w:t>seat belt</w:t>
      </w:r>
      <w:r>
        <w:tab/>
        <w:t>3(1)</w:t>
      </w:r>
    </w:p>
    <w:p>
      <w:pPr>
        <w:pStyle w:val="DefinedTerms"/>
      </w:pPr>
      <w:r>
        <w:t>seat position</w:t>
      </w:r>
      <w:r>
        <w:tab/>
        <w:t>3(1)</w:t>
      </w:r>
    </w:p>
    <w:p>
      <w:pPr>
        <w:pStyle w:val="DefinedTerms"/>
      </w:pPr>
      <w:r>
        <w:t>vehicle</w:t>
      </w:r>
      <w:r>
        <w:tab/>
        <w:t>3(1)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21BB3F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778ABFB" w14:textId="333F6403" w:rsidR="008C10C1" w:rsidRDefault="008C10C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B6A9E91" w14:textId="77777777" w:rsidR="008C10C1" w:rsidRDefault="008C10C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51E71B" w14:textId="44C1B21F" w:rsidR="008C10C1" w:rsidRDefault="008C10C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51BED1F" w14:textId="77777777" w:rsidR="008C10C1" w:rsidRDefault="008C10C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5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2614"/>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 w:name="WAFER_2020101516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3952_GUID" w:val="34538d1a-e844-42ce-9522-f06599499db0"/>
    <w:docVar w:name="WAFER_20201209152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025_GUID" w:val="4ab11dbf-f23b-4bdf-aceb-747706c2925a"/>
    <w:docVar w:name="WAFER_2021071511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458_GUID" w:val="bc85fc8e-2b36-4241-bc3c-018e24c57142"/>
    <w:docVar w:name="WAFER_20210727111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40_GUID" w:val="dfeace2a-a2ad-47cc-870f-655dd1fbb294"/>
    <w:docVar w:name="WAFER_20211221101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051_GUID" w:val="74dea2ae-d4bf-42a0-afb6-eb1028258d01"/>
    <w:docVar w:name="WAFER_20230515102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004_GUID" w:val="e3c0f9f2-acd0-46f5-b73f-ce435ac09cd6"/>
    <w:docVar w:name="WAFER_2023062710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46_GUID" w:val="67e867a9-190d-4c41-a271-85264aeebd9f"/>
    <w:docVar w:name="WAFER_20231222092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2614_GUID" w:val="d684b4fa-02fe-4c28-8d88-f991f91bae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o:shapelayout v:ext="edit">
      <o:idmap v:ext="edit" data="1"/>
    </o:shapelayout>
  </w:shapeDefaults>
  <w:decimalSymbol w:val="."/>
  <w:listSeparator w:val=","/>
  <w15:docId w15:val="{DA1D0AB2-1E10-4710-A941-B6C31197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17799</Words>
  <Characters>81524</Characters>
  <Application>Microsoft Office Word</Application>
  <DocSecurity>0</DocSecurity>
  <Lines>2203</Lines>
  <Paragraphs>1023</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1978 - 05-i0-01</dc:title>
  <dc:subject/>
  <dc:creator/>
  <cp:keywords/>
  <dc:description/>
  <cp:lastModifiedBy>Master Repository Process</cp:lastModifiedBy>
  <cp:revision>4</cp:revision>
  <cp:lastPrinted>2012-09-13T06:31:00Z</cp:lastPrinted>
  <dcterms:created xsi:type="dcterms:W3CDTF">2023-12-29T05:07:00Z</dcterms:created>
  <dcterms:modified xsi:type="dcterms:W3CDTF">2023-12-29T05:07:00Z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AsAtDate">
    <vt:lpwstr>01 Jul 2023</vt:lpwstr>
  </property>
  <property fmtid="{D5CDD505-2E9C-101B-9397-08002B2CF9AE}" pid="8" name="Suffix">
    <vt:lpwstr>05-i0-01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Year">
    <vt:lpwstr>2023</vt:lpwstr>
  </property>
</Properties>
</file>