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_Toc154756747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_Toc154756748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_Toc154756749 \h </w:instrText>
      </w:r>
      <w:r>
        <w:fldChar w:fldCharType="separate"/>
      </w:r>
      <w:r>
        <w:t>2</w:t>
      </w:r>
      <w:r>
        <w:fldChar w:fldCharType="end"/>
      </w:r>
    </w:p>
    <w:p>
      <w:pPr>
        <w:pStyle w:val="TOC8"/>
        <w:rPr>
          <w:rFonts w:asciiTheme="minorHAnsi" w:eastAsiaTheme="minorEastAsia" w:hAnsiTheme="minorHAnsi" w:cstheme="minorBidi"/>
          <w:szCs w:val="22"/>
        </w:rPr>
      </w:pPr>
      <w:r>
        <w:t>3A.</w:t>
      </w:r>
      <w:r>
        <w:tab/>
        <w:t>Relationship to GTE Act</w:t>
      </w:r>
      <w:r>
        <w:tab/>
      </w:r>
      <w:r>
        <w:fldChar w:fldCharType="begin"/>
      </w:r>
      <w:r>
        <w:instrText xml:space="preserve"> PAGEREF _Toc154756750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_Toc154756753 \h </w:instrText>
      </w:r>
      <w:r>
        <w:fldChar w:fldCharType="separate"/>
      </w:r>
      <w:r>
        <w:t>4</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_Toc154756754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_Toc154756755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_Toc154756756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2 — Power to engage and manage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_Toc154756759 \h </w:instrText>
      </w:r>
      <w:r>
        <w:fldChar w:fldCharType="separate"/>
      </w:r>
      <w:r>
        <w:t>5</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_Toc154756760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_Toc154756762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_Toc154756763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_Toc154756765 \h </w:instrText>
      </w:r>
      <w:r>
        <w:fldChar w:fldCharType="separate"/>
      </w:r>
      <w:r>
        <w:t>8</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_Toc154756766 \h </w:instrText>
      </w:r>
      <w:r>
        <w:fldChar w:fldCharType="separate"/>
      </w:r>
      <w:r>
        <w:t>9</w:t>
      </w:r>
      <w:r>
        <w:fldChar w:fldCharType="end"/>
      </w:r>
    </w:p>
    <w:p>
      <w:pPr>
        <w:pStyle w:val="TOC8"/>
        <w:rPr>
          <w:rFonts w:asciiTheme="minorHAnsi" w:eastAsiaTheme="minorEastAsia" w:hAnsiTheme="minorHAnsi" w:cstheme="minorBidi"/>
          <w:szCs w:val="22"/>
        </w:rPr>
      </w:pPr>
      <w:r>
        <w:lastRenderedPageBreak/>
        <w:t>25.</w:t>
      </w:r>
      <w:r>
        <w:tab/>
        <w:t>Consultation with staff</w:t>
      </w:r>
      <w:r>
        <w:tab/>
      </w:r>
      <w:r>
        <w:fldChar w:fldCharType="begin"/>
      </w:r>
      <w:r>
        <w:instrText xml:space="preserve"> PAGEREF _Toc154756767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Superannuation</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_Toc154756769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Staff codes of conduct</w:t>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_Toc154756771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_Toc154756772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_Toc154756773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_Toc154756777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_Toc154756779 \h </w:instrText>
      </w:r>
      <w:r>
        <w:fldChar w:fldCharType="separate"/>
      </w:r>
      <w:r>
        <w:t>14</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_Toc154756780 \h </w:instrText>
      </w:r>
      <w:r>
        <w:fldChar w:fldCharType="separate"/>
      </w:r>
      <w:r>
        <w:t>15</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_Toc154756781 \h </w:instrText>
      </w:r>
      <w:r>
        <w:fldChar w:fldCharType="separate"/>
      </w:r>
      <w:r>
        <w:t>16</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_Toc154756782 \h </w:instrText>
      </w:r>
      <w:r>
        <w:fldChar w:fldCharType="separate"/>
      </w:r>
      <w:r>
        <w:t>17</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_Toc154756783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_Toc154756785 \h </w:instrText>
      </w:r>
      <w:r>
        <w:fldChar w:fldCharType="separate"/>
      </w:r>
      <w:r>
        <w:t>21</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_Toc154756786 \h </w:instrText>
      </w:r>
      <w:r>
        <w:fldChar w:fldCharType="separate"/>
      </w:r>
      <w:r>
        <w:t>22</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_Toc154756787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_Toc154756789 \h </w:instrText>
      </w:r>
      <w:r>
        <w:fldChar w:fldCharType="separate"/>
      </w:r>
      <w:r>
        <w:t>24</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_Toc154756790 \h </w:instrText>
      </w:r>
      <w:r>
        <w:fldChar w:fldCharType="separate"/>
      </w:r>
      <w:r>
        <w:t>25</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_Toc154756791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_Toc154756793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_Toc154756795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_Toc154756797 \h </w:instrText>
      </w:r>
      <w:r>
        <w:fldChar w:fldCharType="separate"/>
      </w:r>
      <w:r>
        <w:t>29</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_Toc154756798 \h </w:instrText>
      </w:r>
      <w:r>
        <w:fldChar w:fldCharType="separate"/>
      </w:r>
      <w:r>
        <w:t>30</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_Toc154756799 \h </w:instrText>
      </w:r>
      <w:r>
        <w:fldChar w:fldCharType="separate"/>
      </w:r>
      <w:r>
        <w:t>32</w:t>
      </w:r>
      <w:r>
        <w:fldChar w:fldCharType="end"/>
      </w:r>
    </w:p>
    <w:p>
      <w:pPr>
        <w:pStyle w:val="TOC8"/>
        <w:rPr>
          <w:rFonts w:asciiTheme="minorHAnsi" w:eastAsiaTheme="minorEastAsia" w:hAnsiTheme="minorHAnsi" w:cstheme="minorBidi"/>
          <w:szCs w:val="22"/>
        </w:rPr>
      </w:pPr>
      <w:r>
        <w:t>61.</w:t>
      </w:r>
      <w:r>
        <w:tab/>
        <w:t>Limitation of corporation’s duty to act on commercial principles</w:t>
      </w:r>
      <w:r>
        <w:tab/>
      </w:r>
      <w:r>
        <w:fldChar w:fldCharType="begin"/>
      </w:r>
      <w:r>
        <w:instrText xml:space="preserve"> PAGEREF _Toc154756800 \h </w:instrText>
      </w:r>
      <w:r>
        <w:fldChar w:fldCharType="separate"/>
      </w:r>
      <w:r>
        <w:t>33</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_Toc154756801 \h </w:instrText>
      </w:r>
      <w:r>
        <w:fldChar w:fldCharType="separate"/>
      </w:r>
      <w:r>
        <w:t>34</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_Toc154756802 \h </w:instrText>
      </w:r>
      <w:r>
        <w:fldChar w:fldCharType="separate"/>
      </w:r>
      <w:r>
        <w:t>35</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_Toc154756803 \h </w:instrText>
      </w:r>
      <w:r>
        <w:fldChar w:fldCharType="separate"/>
      </w:r>
      <w:r>
        <w:t>37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_Toc154756804 \h </w:instrText>
      </w:r>
      <w:r>
        <w:fldChar w:fldCharType="separate"/>
      </w:r>
      <w:r>
        <w:t>38</w:t>
      </w:r>
      <w:r>
        <w:fldChar w:fldCharType="end"/>
      </w:r>
    </w:p>
    <w:p>
      <w:pPr>
        <w:pStyle w:val="TOC8"/>
        <w:rPr>
          <w:rFonts w:asciiTheme="minorHAnsi" w:eastAsiaTheme="minorEastAsia" w:hAnsiTheme="minorHAnsi" w:cstheme="minorBidi"/>
          <w:szCs w:val="22"/>
        </w:rPr>
      </w:pPr>
      <w:r>
        <w:t>72.</w:t>
      </w:r>
      <w:r>
        <w:tab/>
        <w:t xml:space="preserve">Disclosure of information in compliance with request under </w:t>
      </w:r>
      <w:r>
        <w:rPr>
          <w:i/>
        </w:rPr>
        <w:t>Fines, Penalties and Infringement Notices Enforcement Act 1994</w:t>
      </w:r>
      <w:r>
        <w:tab/>
      </w:r>
      <w:r>
        <w:fldChar w:fldCharType="begin"/>
      </w:r>
      <w:r>
        <w:instrText xml:space="preserve"> PAGEREF _Toc154756805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_Toc154756807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_Toc154756809 \h </w:instrText>
      </w:r>
      <w:r>
        <w:fldChar w:fldCharType="separate"/>
      </w:r>
      <w:r>
        <w:t>41</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_Toc154756810 \h </w:instrText>
      </w:r>
      <w:r>
        <w:fldChar w:fldCharType="separate"/>
      </w:r>
      <w:r>
        <w:t>41</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_Toc154756811 \h </w:instrText>
      </w:r>
      <w:r>
        <w:fldChar w:fldCharType="separate"/>
      </w:r>
      <w:r>
        <w:t>41</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_Toc154756812 \h </w:instrText>
      </w:r>
      <w:r>
        <w:fldChar w:fldCharType="separate"/>
      </w:r>
      <w:r>
        <w:t>42</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_Toc154756813 \h </w:instrText>
      </w:r>
      <w:r>
        <w:fldChar w:fldCharType="separate"/>
      </w:r>
      <w:r>
        <w:t>42</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_Toc154756814 \h </w:instrText>
      </w:r>
      <w:r>
        <w:fldChar w:fldCharType="separate"/>
      </w:r>
      <w:r>
        <w:t>43</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_Toc154756815 \h </w:instrText>
      </w:r>
      <w:r>
        <w:fldChar w:fldCharType="separate"/>
      </w:r>
      <w:r>
        <w:t>43</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_Toc154756816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111.</w:t>
      </w:r>
      <w:r>
        <w:tab/>
        <w:t>Directions that cannot be given under GTE Act s. 108</w:t>
      </w:r>
      <w:r>
        <w:tab/>
      </w:r>
      <w:r>
        <w:fldChar w:fldCharType="begin"/>
      </w:r>
      <w:r>
        <w:instrText xml:space="preserve"> PAGEREF _Toc154756818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114.</w:t>
      </w:r>
      <w:r>
        <w:tab/>
        <w:t>Directions relating to supply of gas</w:t>
      </w:r>
      <w:r>
        <w:tab/>
      </w:r>
      <w:r>
        <w:fldChar w:fldCharType="begin"/>
      </w:r>
      <w:r>
        <w:instrText xml:space="preserve"> PAGEREF _Toc154756819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t>Laying documents before Parliament not sitting</w:t>
      </w:r>
      <w:r>
        <w:tab/>
      </w:r>
      <w:r>
        <w:fldChar w:fldCharType="begin"/>
      </w:r>
      <w:r>
        <w:instrText xml:space="preserve"> PAGEREF _Toc154756821 \h </w:instrText>
      </w:r>
      <w:r>
        <w:fldChar w:fldCharType="separate"/>
      </w:r>
      <w:r>
        <w:t>47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_Toc154756822 \h </w:instrText>
      </w:r>
      <w:r>
        <w:fldChar w:fldCharType="separate"/>
      </w:r>
      <w:r>
        <w:t>47</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_Toc154756823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_Toc154756825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_Toc154756828 \h </w:instrText>
      </w:r>
      <w:r>
        <w:fldChar w:fldCharType="separate"/>
      </w:r>
      <w:r>
        <w:t>50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_Toc154756829 \h </w:instrText>
      </w:r>
      <w:r>
        <w:fldChar w:fldCharType="separate"/>
      </w:r>
      <w:r>
        <w:t>50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_Toc154756830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_Toc154756832 \h </w:instrText>
      </w:r>
      <w:r>
        <w:fldChar w:fldCharType="separate"/>
      </w:r>
      <w:r>
        <w:t>52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_Toc154756833 \h </w:instrText>
      </w:r>
      <w:r>
        <w:fldChar w:fldCharType="separate"/>
      </w:r>
      <w:r>
        <w:t>53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_Toc154756834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_Toc154756837 \h </w:instrText>
      </w:r>
      <w:r>
        <w:fldChar w:fldCharType="separate"/>
      </w:r>
      <w:r>
        <w:t>54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_Toc154756838 \h </w:instrText>
      </w:r>
      <w:r>
        <w:fldChar w:fldCharType="separate"/>
      </w:r>
      <w:r>
        <w:t>55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_Toc154756839 \h </w:instrText>
      </w:r>
      <w:r>
        <w:fldChar w:fldCharType="separate"/>
      </w:r>
      <w:r>
        <w:t>56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_Toc154756840 \h </w:instrText>
      </w:r>
      <w:r>
        <w:fldChar w:fldCharType="separate"/>
      </w:r>
      <w:r>
        <w:t>56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_Toc154756841 \h </w:instrText>
      </w:r>
      <w:r>
        <w:fldChar w:fldCharType="separate"/>
      </w:r>
      <w:r>
        <w:t>57</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_Toc154756842 \h </w:instrText>
      </w:r>
      <w:r>
        <w:fldChar w:fldCharType="separate"/>
      </w:r>
      <w:r>
        <w:t>57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_Toc154756843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_Toc154756845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155.</w:t>
      </w:r>
      <w:r>
        <w:tab/>
        <w:t>Order for transfer to subsidiary</w:t>
      </w:r>
      <w:r>
        <w:tab/>
      </w:r>
      <w:r>
        <w:fldChar w:fldCharType="begin"/>
      </w:r>
      <w:r>
        <w:instrText xml:space="preserve"> PAGEREF _Toc154756846 \h </w:instrText>
      </w:r>
      <w:r>
        <w:fldChar w:fldCharType="separate"/>
      </w:r>
      <w:r>
        <w:t>60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_Toc154756847 \h </w:instrText>
      </w:r>
      <w:r>
        <w:fldChar w:fldCharType="separate"/>
      </w:r>
      <w:r>
        <w:t>61</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_Toc154756848 \h </w:instrText>
      </w:r>
      <w:r>
        <w:fldChar w:fldCharType="separate"/>
      </w:r>
      <w:r>
        <w:t>63</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_Toc154756849 \h </w:instrText>
      </w:r>
      <w:r>
        <w:fldChar w:fldCharType="separate"/>
      </w:r>
      <w:r>
        <w:t>64</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_Toc154756850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_Toc154756852 \h </w:instrText>
      </w:r>
      <w:r>
        <w:fldChar w:fldCharType="separate"/>
      </w:r>
      <w:r>
        <w:t>64</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_Toc154756853 \h </w:instrText>
      </w:r>
      <w:r>
        <w:fldChar w:fldCharType="separate"/>
      </w:r>
      <w:r>
        <w:t>65</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_Toc154756854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_Toc154756856 \h </w:instrText>
      </w:r>
      <w:r>
        <w:fldChar w:fldCharType="separate"/>
      </w:r>
      <w:r>
        <w:t>67</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_Toc154756857 \h </w:instrText>
      </w:r>
      <w:r>
        <w:fldChar w:fldCharType="separate"/>
      </w:r>
      <w:r>
        <w:t>68</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_Toc154756858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_Toc154756860 \h </w:instrText>
      </w:r>
      <w:r>
        <w:fldChar w:fldCharType="separate"/>
      </w:r>
      <w:r>
        <w:t>70</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_Toc154756861 \h </w:instrText>
      </w:r>
      <w:r>
        <w:fldChar w:fldCharType="separate"/>
      </w:r>
      <w:r>
        <w:t>70</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_Toc154756862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_Toc154756864 \h </w:instrText>
      </w:r>
      <w:r>
        <w:fldChar w:fldCharType="separate"/>
      </w:r>
      <w:r>
        <w:t>71</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_Toc154756865 \h </w:instrText>
      </w:r>
      <w:r>
        <w:fldChar w:fldCharType="separate"/>
      </w:r>
      <w:r>
        <w:t>72</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_Toc154756866 \h </w:instrText>
      </w:r>
      <w:r>
        <w:fldChar w:fldCharType="separate"/>
      </w:r>
      <w:r>
        <w:t>73</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_Toc154756867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_Toc154756869 \h </w:instrText>
      </w:r>
      <w:r>
        <w:fldChar w:fldCharType="separate"/>
      </w:r>
      <w:r>
        <w:t>74</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_Toc154756870 \h </w:instrText>
      </w:r>
      <w:r>
        <w:fldChar w:fldCharType="separate"/>
      </w:r>
      <w:r>
        <w:t>75</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_Toc154756871 \h </w:instrText>
      </w:r>
      <w:r>
        <w:fldChar w:fldCharType="separate"/>
      </w:r>
      <w:r>
        <w:t>76</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_Toc154756872 \h </w:instrText>
      </w:r>
      <w:r>
        <w:fldChar w:fldCharType="separate"/>
      </w:r>
      <w:r>
        <w:t>76</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_Toc154756873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178.</w:t>
      </w:r>
      <w:r>
        <w:tab/>
        <w:t>Registration of documents</w:t>
      </w:r>
      <w:r>
        <w:tab/>
      </w:r>
      <w:r>
        <w:fldChar w:fldCharType="begin"/>
      </w:r>
      <w:r>
        <w:instrText xml:space="preserve"> PAGEREF _Toc154756874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_Toc154756876 \h </w:instrText>
      </w:r>
      <w:r>
        <w:fldChar w:fldCharType="separate"/>
      </w:r>
      <w:r>
        <w:t>79</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_Toc154756877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_Toc154756879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_Toc154756881 \h </w:instrText>
      </w:r>
      <w:r>
        <w:fldChar w:fldCharType="separate"/>
      </w:r>
      <w:r>
        <w:t>81</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_Toc154756882 \h </w:instrText>
      </w:r>
      <w:r>
        <w:fldChar w:fldCharType="separate"/>
      </w:r>
      <w:r>
        <w:t>81</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_Toc154756883 \h </w:instrText>
      </w:r>
      <w:r>
        <w:fldChar w:fldCharType="separate"/>
      </w:r>
      <w:r>
        <w:t>82</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_Toc154756884 \h </w:instrText>
      </w:r>
      <w:r>
        <w:fldChar w:fldCharType="separate"/>
      </w:r>
      <w:r>
        <w:t>82</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_Toc154756885 \h </w:instrText>
      </w:r>
      <w:r>
        <w:fldChar w:fldCharType="separate"/>
      </w:r>
      <w:r>
        <w:t>82</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_Toc154756886 \h </w:instrText>
      </w:r>
      <w:r>
        <w:fldChar w:fldCharType="separate"/>
      </w:r>
      <w:r>
        <w:t>83</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_Toc154756887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_Toc154756889 \h </w:instrText>
      </w:r>
      <w:r>
        <w:fldChar w:fldCharType="separate"/>
      </w:r>
      <w:r>
        <w:t>84</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_Toc154756890 \h </w:instrText>
      </w:r>
      <w:r>
        <w:fldChar w:fldCharType="separate"/>
      </w:r>
      <w:r>
        <w:t>85</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_Toc154756891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_Toc154756893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_Toc154756896 \h </w:instrText>
      </w:r>
      <w:r>
        <w:fldChar w:fldCharType="separate"/>
      </w:r>
      <w:r>
        <w:t>88</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_Toc154756897 \h </w:instrText>
      </w:r>
      <w:r>
        <w:fldChar w:fldCharType="separate"/>
      </w:r>
      <w:r>
        <w:t>88</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_Toc154756898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_Toc154756900 \h </w:instrText>
      </w:r>
      <w:r>
        <w:fldChar w:fldCharType="separate"/>
      </w:r>
      <w:r>
        <w:t>90</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_Toc154756901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_Toc154756903 \h </w:instrText>
      </w:r>
      <w:r>
        <w:fldChar w:fldCharType="separate"/>
      </w:r>
      <w:r>
        <w:t>91</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_Toc154756904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_Toc154756906 \h </w:instrText>
      </w:r>
      <w:r>
        <w:fldChar w:fldCharType="separate"/>
      </w:r>
      <w:r>
        <w:t>92</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_Toc154756907 \h </w:instrText>
      </w:r>
      <w:r>
        <w:fldChar w:fldCharType="separate"/>
      </w:r>
      <w:r>
        <w:t>92</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_Toc154756908 \h </w:instrText>
      </w:r>
      <w:r>
        <w:fldChar w:fldCharType="separate"/>
      </w:r>
      <w:r>
        <w:t>92</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_Toc154756909 \h </w:instrText>
      </w:r>
      <w:r>
        <w:fldChar w:fldCharType="separate"/>
      </w:r>
      <w:r>
        <w:t>93</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_Toc154756910 \h </w:instrText>
      </w:r>
      <w:r>
        <w:fldChar w:fldCharType="separate"/>
      </w:r>
      <w:r>
        <w:t>93</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_Toc154756911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_Toc154756913 \h </w:instrText>
      </w:r>
      <w:r>
        <w:fldChar w:fldCharType="separate"/>
      </w:r>
      <w:r>
        <w:t>95</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_Toc154756914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_Toc154756916 \h </w:instrText>
      </w:r>
      <w:r>
        <w:fldChar w:fldCharType="separate"/>
      </w:r>
      <w:r>
        <w:t>96</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_Toc154756917 \h </w:instrText>
      </w:r>
      <w:r>
        <w:fldChar w:fldCharType="separate"/>
      </w:r>
      <w:r>
        <w:t>96</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_Toc154756918 \h </w:instrText>
      </w:r>
      <w:r>
        <w:fldChar w:fldCharType="separate"/>
      </w:r>
      <w:r>
        <w:t>96</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_Toc154756919 \h </w:instrText>
      </w:r>
      <w:r>
        <w:fldChar w:fldCharType="separate"/>
      </w:r>
      <w:r>
        <w:t>97</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_Toc154756920 \h </w:instrText>
      </w:r>
      <w:r>
        <w:fldChar w:fldCharType="separate"/>
      </w:r>
      <w:r>
        <w:t>98</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_Toc154756921 \h </w:instrText>
      </w:r>
      <w:r>
        <w:fldChar w:fldCharType="separate"/>
      </w:r>
      <w:r>
        <w:t>98</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_Toc154756922 \h </w:instrText>
      </w:r>
      <w:r>
        <w:fldChar w:fldCharType="separate"/>
      </w:r>
      <w:r>
        <w:t>99</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_Toc154756923 \h </w:instrText>
      </w:r>
      <w:r>
        <w:fldChar w:fldCharType="separate"/>
      </w:r>
      <w:r>
        <w:t>99</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_Toc154756924 \h </w:instrText>
      </w:r>
      <w:r>
        <w:fldChar w:fldCharType="separate"/>
      </w:r>
      <w:r>
        <w:t>99</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_Toc154756925 \h </w:instrText>
      </w:r>
      <w:r>
        <w:fldChar w:fldCharType="separate"/>
      </w:r>
      <w:r>
        <w:t>100</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_Toc154756926 \h </w:instrText>
      </w:r>
      <w:r>
        <w:fldChar w:fldCharType="separate"/>
      </w:r>
      <w:r>
        <w:t>100</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_Toc154756927 \h </w:instrText>
      </w:r>
      <w:r>
        <w:fldChar w:fldCharType="separate"/>
      </w:r>
      <w:r>
        <w:t>101</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_Toc154756928 \h </w:instrText>
      </w:r>
      <w:r>
        <w:fldChar w:fldCharType="separate"/>
      </w:r>
      <w:r>
        <w:t>101</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_Toc154756929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_Toc154756931 \h </w:instrText>
      </w:r>
      <w:r>
        <w:fldChar w:fldCharType="separate"/>
      </w:r>
      <w:r>
        <w:t>104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_Toc154756932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154756746"/>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154756747"/>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5" w:name="_Toc154756748"/>
      <w:r>
        <w:rPr>
          <w:rStyle w:val="CharSectno"/>
        </w:rPr>
        <w:t>2</w:t>
      </w:r>
      <w:r>
        <w:rPr>
          <w:snapToGrid w:val="0"/>
        </w:rPr>
        <w:t>.</w:t>
      </w:r>
      <w:r>
        <w:rPr>
          <w:snapToGrid w:val="0"/>
        </w:rPr>
        <w:tab/>
        <w:t>Commencement</w:t>
      </w:r>
      <w:bookmarkEnd w:id="5"/>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6" w:name="_Toc154756749"/>
      <w:r>
        <w:rPr>
          <w:rStyle w:val="CharSectno"/>
        </w:rPr>
        <w:t>3</w:t>
      </w:r>
      <w:r>
        <w:t>.</w:t>
      </w:r>
      <w:r>
        <w:tab/>
        <w:t>Terms used</w:t>
      </w:r>
      <w:bookmarkEnd w:id="6"/>
    </w:p>
    <w:p>
      <w:pPr>
        <w:pStyle w:val="Subsection"/>
        <w:rPr>
          <w:snapToGrid w:val="0"/>
        </w:rPr>
      </w:pPr>
      <w:r>
        <w:tab/>
        <w:t>(1)</w:t>
      </w:r>
      <w:r>
        <w:tab/>
      </w:r>
      <w:r>
        <w:rPr>
          <w:snapToGrid w:val="0"/>
        </w:rPr>
        <w:t>In this Act, unless the contrary intention appears — </w:t>
      </w:r>
    </w:p>
    <w:p>
      <w:pPr>
        <w:pStyle w:val="Defstart"/>
        <w:keepNext/>
      </w:pPr>
      <w:r>
        <w:rPr>
          <w:b/>
        </w:rPr>
        <w:tab/>
      </w:r>
      <w:r>
        <w:rPr>
          <w:rStyle w:val="CharDefText"/>
        </w:rPr>
        <w:t>corporation</w:t>
      </w:r>
      <w:r>
        <w:t xml:space="preserve"> means a body established by section 4(1);</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lastRenderedPageBreak/>
        <w:tab/>
      </w:r>
      <w:r>
        <w:rPr>
          <w:rStyle w:val="CharDefText"/>
        </w:rPr>
        <w:t>Electricity Networks Corporation</w:t>
      </w:r>
      <w:r>
        <w:t xml:space="preserve"> means the body established by section 4(1)(b);</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pPr>
      <w:r>
        <w:tab/>
        <w:t>(b)</w:t>
      </w:r>
      <w:r>
        <w:tab/>
        <w:t>section 59;</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Footnotesection"/>
      </w:pPr>
      <w:r>
        <w:tab/>
        <w:t>[Section 3 amended: No. 39 of 2010 s. 75(2); No. 25 of 2013 s. 5; No. 13 of 2023 s. 180.]</w:t>
      </w:r>
    </w:p>
    <w:p>
      <w:pPr>
        <w:pStyle w:val="Heading5"/>
      </w:pPr>
      <w:bookmarkStart w:id="7" w:name="_Toc154756750"/>
      <w:r>
        <w:rPr>
          <w:rStyle w:val="CharSectno"/>
        </w:rPr>
        <w:t>3A</w:t>
      </w:r>
      <w:r>
        <w:t>.</w:t>
      </w:r>
      <w:r>
        <w:tab/>
        <w:t>Relationship to GTE Act</w:t>
      </w:r>
      <w:bookmarkEnd w:id="7"/>
    </w:p>
    <w:p>
      <w:pPr>
        <w:pStyle w:val="Subsection"/>
      </w:pPr>
      <w:r>
        <w:tab/>
      </w:r>
      <w:r>
        <w:tab/>
        <w:t>The GTE Act is to be read with this Act as if they formed a single Act.</w:t>
      </w:r>
    </w:p>
    <w:p>
      <w:pPr>
        <w:pStyle w:val="Footnotesection"/>
      </w:pPr>
      <w:r>
        <w:tab/>
        <w:t>[Section 3A inserted: No. 13 of 2023 s. 181.]</w:t>
      </w:r>
    </w:p>
    <w:p>
      <w:pPr>
        <w:pStyle w:val="Heading2"/>
      </w:pPr>
      <w:bookmarkStart w:id="8" w:name="_Toc154756751"/>
      <w:r>
        <w:rPr>
          <w:rStyle w:val="CharPartNo"/>
        </w:rPr>
        <w:lastRenderedPageBreak/>
        <w:t>Part 2</w:t>
      </w:r>
      <w:r>
        <w:t> — </w:t>
      </w:r>
      <w:r>
        <w:rPr>
          <w:rStyle w:val="CharPartText"/>
        </w:rPr>
        <w:t>Electricity Corporations</w:t>
      </w:r>
      <w:bookmarkEnd w:id="8"/>
    </w:p>
    <w:p>
      <w:pPr>
        <w:pStyle w:val="Heading3"/>
        <w:spacing w:before="220"/>
      </w:pPr>
      <w:bookmarkStart w:id="9" w:name="_Toc154756752"/>
      <w:r>
        <w:rPr>
          <w:rStyle w:val="CharDivNo"/>
        </w:rPr>
        <w:t>Division 1</w:t>
      </w:r>
      <w:r>
        <w:t> — </w:t>
      </w:r>
      <w:r>
        <w:rPr>
          <w:rStyle w:val="CharDivText"/>
        </w:rPr>
        <w:t>Establishment of corporations</w:t>
      </w:r>
      <w:bookmarkEnd w:id="9"/>
    </w:p>
    <w:p>
      <w:pPr>
        <w:pStyle w:val="Heading5"/>
      </w:pPr>
      <w:bookmarkStart w:id="10" w:name="_Toc154756753"/>
      <w:r>
        <w:rPr>
          <w:rStyle w:val="CharSectno"/>
        </w:rPr>
        <w:t>4</w:t>
      </w:r>
      <w:r>
        <w:t>.</w:t>
      </w:r>
      <w:r>
        <w:tab/>
        <w:t>Corporations established</w:t>
      </w:r>
      <w:bookmarkEnd w:id="10"/>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1" w:name="_Toc154756754"/>
      <w:r>
        <w:rPr>
          <w:rStyle w:val="CharSectno"/>
        </w:rPr>
        <w:t>5</w:t>
      </w:r>
      <w:r>
        <w:t>.</w:t>
      </w:r>
      <w:r>
        <w:tab/>
        <w:t>Corporations not to be regarded as agents of State for purposes of State laws</w:t>
      </w:r>
      <w:bookmarkEnd w:id="11"/>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12" w:name="_Toc154756755"/>
      <w:r>
        <w:rPr>
          <w:rStyle w:val="CharSectno"/>
        </w:rPr>
        <w:lastRenderedPageBreak/>
        <w:t>6</w:t>
      </w:r>
      <w:r>
        <w:rPr>
          <w:snapToGrid w:val="0"/>
        </w:rPr>
        <w:t>.</w:t>
      </w:r>
      <w:r>
        <w:rPr>
          <w:snapToGrid w:val="0"/>
        </w:rPr>
        <w:tab/>
        <w:t>Corporations and officers not part of Public Service</w:t>
      </w:r>
      <w:bookmarkEnd w:id="12"/>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3" w:name="_Toc154756756"/>
      <w:r>
        <w:rPr>
          <w:rStyle w:val="CharSectno"/>
        </w:rPr>
        <w:t>7</w:t>
      </w:r>
      <w:r>
        <w:t>.</w:t>
      </w:r>
      <w:r>
        <w:tab/>
        <w:t>Head office of Regional Power Corporation</w:t>
      </w:r>
      <w:bookmarkEnd w:id="13"/>
    </w:p>
    <w:p>
      <w:pPr>
        <w:pStyle w:val="Subsection"/>
      </w:pPr>
      <w:r>
        <w:tab/>
      </w:r>
      <w:r>
        <w:tab/>
        <w:t>The head office of the Regional Power Corporation is to be located in a part of the State that is not served by the South West interconnected system.</w:t>
      </w:r>
    </w:p>
    <w:p>
      <w:pPr>
        <w:pStyle w:val="Ednotedivision"/>
      </w:pPr>
      <w:r>
        <w:t>[Division 2 (s. 8-13) deleted: No. 13 of 2023 s. 182.]</w:t>
      </w:r>
    </w:p>
    <w:p>
      <w:pPr>
        <w:pStyle w:val="Heading3"/>
      </w:pPr>
      <w:bookmarkStart w:id="14" w:name="_Toc154756757"/>
      <w:r>
        <w:rPr>
          <w:rStyle w:val="CharDivNo"/>
        </w:rPr>
        <w:t>Division 3</w:t>
      </w:r>
      <w:r>
        <w:t> — </w:t>
      </w:r>
      <w:r>
        <w:rPr>
          <w:rStyle w:val="CharDivText"/>
        </w:rPr>
        <w:t>Staff</w:t>
      </w:r>
      <w:bookmarkEnd w:id="14"/>
    </w:p>
    <w:p>
      <w:pPr>
        <w:pStyle w:val="Ednotesubdivision"/>
      </w:pPr>
      <w:r>
        <w:t>[Subdivision 1 (s. 14-17) deleted: No. 13 of 2023 s. 183.]</w:t>
      </w:r>
    </w:p>
    <w:p>
      <w:pPr>
        <w:pStyle w:val="Heading4"/>
      </w:pPr>
      <w:bookmarkStart w:id="15" w:name="_Toc154756758"/>
      <w:r>
        <w:t>Subdivision 2 — Power to engage and manage staff</w:t>
      </w:r>
      <w:bookmarkEnd w:id="15"/>
    </w:p>
    <w:p>
      <w:pPr>
        <w:pStyle w:val="Footnoteheading"/>
      </w:pPr>
      <w:r>
        <w:tab/>
        <w:t>[Heading inserted: No. 13 of 2023 s. 184.]</w:t>
      </w:r>
    </w:p>
    <w:p>
      <w:pPr>
        <w:pStyle w:val="Heading5"/>
        <w:rPr>
          <w:snapToGrid w:val="0"/>
        </w:rPr>
      </w:pPr>
      <w:bookmarkStart w:id="16" w:name="_Toc154756759"/>
      <w:r>
        <w:rPr>
          <w:rStyle w:val="CharSectno"/>
        </w:rPr>
        <w:t>18</w:t>
      </w:r>
      <w:r>
        <w:rPr>
          <w:snapToGrid w:val="0"/>
        </w:rPr>
        <w:t>.</w:t>
      </w:r>
      <w:r>
        <w:rPr>
          <w:snapToGrid w:val="0"/>
        </w:rPr>
        <w:tab/>
        <w:t>Powers in relation to staff</w:t>
      </w:r>
      <w:bookmarkEnd w:id="16"/>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keepNext/>
        <w:rPr>
          <w:snapToGrid w:val="0"/>
        </w:rPr>
      </w:pPr>
      <w:r>
        <w:rPr>
          <w:snapToGrid w:val="0"/>
        </w:rPr>
        <w:lastRenderedPageBreak/>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17" w:name="_Toc154756760"/>
      <w:r>
        <w:rPr>
          <w:rStyle w:val="CharSectno"/>
        </w:rPr>
        <w:t>19</w:t>
      </w:r>
      <w:r>
        <w:t>.</w:t>
      </w:r>
      <w:r>
        <w:tab/>
        <w:t>Certain industrial matters excluded from employment agreements</w:t>
      </w:r>
      <w:bookmarkEnd w:id="17"/>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Ednotesection"/>
      </w:pPr>
      <w:r>
        <w:lastRenderedPageBreak/>
        <w:t>[</w:t>
      </w:r>
      <w:r>
        <w:rPr>
          <w:b/>
        </w:rPr>
        <w:t>20.</w:t>
      </w:r>
      <w:r>
        <w:tab/>
        <w:t>Deleted: No. 13 of 2023 s. 185.]</w:t>
      </w:r>
    </w:p>
    <w:p>
      <w:pPr>
        <w:pStyle w:val="Heading4"/>
        <w:spacing w:before="220"/>
      </w:pPr>
      <w:bookmarkStart w:id="18" w:name="_Toc154756761"/>
      <w:r>
        <w:t xml:space="preserve">Subdivision 3 — </w:t>
      </w:r>
      <w:r>
        <w:rPr>
          <w:snapToGrid w:val="0"/>
        </w:rPr>
        <w:t>Minimum standards for staff management</w:t>
      </w:r>
      <w:bookmarkEnd w:id="18"/>
    </w:p>
    <w:p>
      <w:pPr>
        <w:pStyle w:val="Heading5"/>
        <w:spacing w:before="180"/>
        <w:rPr>
          <w:snapToGrid w:val="0"/>
        </w:rPr>
      </w:pPr>
      <w:bookmarkStart w:id="19" w:name="_Toc154756762"/>
      <w:r>
        <w:rPr>
          <w:rStyle w:val="CharSectno"/>
        </w:rPr>
        <w:t>21</w:t>
      </w:r>
      <w:r>
        <w:rPr>
          <w:snapToGrid w:val="0"/>
        </w:rPr>
        <w:t>.</w:t>
      </w:r>
      <w:r>
        <w:rPr>
          <w:snapToGrid w:val="0"/>
        </w:rPr>
        <w:tab/>
        <w:t>Standards to be set out in instrument</w:t>
      </w:r>
      <w:bookmarkEnd w:id="19"/>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pPr>
      <w:r>
        <w:tab/>
        <w:t>(4)</w:t>
      </w:r>
      <w:r>
        <w:tab/>
        <w:t>An instrument issued under subsection (1) may be expressed to apply to the chief executive officer of the corporation as if the chief executive officer were a member of staff.</w:t>
      </w:r>
    </w:p>
    <w:p>
      <w:pPr>
        <w:pStyle w:val="Subsection"/>
      </w:pPr>
      <w:r>
        <w:tab/>
        <w:t>(4A)</w:t>
      </w:r>
      <w:r>
        <w:tab/>
        <w:t>If an instrument issued under subsection (1) applies to the chief executive officer of the corporation, subsection (3) does not affect the operation of the GTE Act section 37(5).</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 No. 13 of 2023 s. 186.]</w:t>
      </w:r>
    </w:p>
    <w:p>
      <w:pPr>
        <w:pStyle w:val="Heading5"/>
        <w:rPr>
          <w:snapToGrid w:val="0"/>
        </w:rPr>
      </w:pPr>
      <w:bookmarkStart w:id="20" w:name="_Toc154756763"/>
      <w:r>
        <w:rPr>
          <w:rStyle w:val="CharSectno"/>
        </w:rPr>
        <w:lastRenderedPageBreak/>
        <w:t>22</w:t>
      </w:r>
      <w:r>
        <w:rPr>
          <w:snapToGrid w:val="0"/>
        </w:rPr>
        <w:t>.</w:t>
      </w:r>
      <w:r>
        <w:rPr>
          <w:snapToGrid w:val="0"/>
        </w:rPr>
        <w:tab/>
        <w:t>Reports to Public Sector Commissioner</w:t>
      </w:r>
      <w:bookmarkEnd w:id="2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21" w:name="_Toc154756764"/>
      <w:r>
        <w:t>Subdivision 4 — Joint policy on staff transfers</w:t>
      </w:r>
      <w:bookmarkEnd w:id="21"/>
    </w:p>
    <w:p>
      <w:pPr>
        <w:pStyle w:val="Heading5"/>
      </w:pPr>
      <w:bookmarkStart w:id="22" w:name="_Toc154756765"/>
      <w:r>
        <w:rPr>
          <w:rStyle w:val="CharSectno"/>
        </w:rPr>
        <w:t>23</w:t>
      </w:r>
      <w:r>
        <w:t>.</w:t>
      </w:r>
      <w:r>
        <w:tab/>
        <w:t>Corporations to have joint policy approved by Minister</w:t>
      </w:r>
      <w:bookmarkEnd w:id="2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keepNext/>
      </w:pPr>
      <w:r>
        <w:lastRenderedPageBreak/>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23" w:name="_Toc154756766"/>
      <w:r>
        <w:rPr>
          <w:rStyle w:val="CharSectno"/>
        </w:rPr>
        <w:t>24</w:t>
      </w:r>
      <w:r>
        <w:t>.</w:t>
      </w:r>
      <w:r>
        <w:tab/>
        <w:t>Amendment of policy statement</w:t>
      </w:r>
      <w:bookmarkEnd w:id="2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24" w:name="_Toc154756767"/>
      <w:r>
        <w:rPr>
          <w:rStyle w:val="CharSectno"/>
        </w:rPr>
        <w:t>25</w:t>
      </w:r>
      <w:r>
        <w:t>.</w:t>
      </w:r>
      <w:r>
        <w:tab/>
        <w:t>Consultation with staff</w:t>
      </w:r>
      <w:bookmarkEnd w:id="2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lastRenderedPageBreak/>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25" w:name="_Toc154756768"/>
      <w:r>
        <w:t>Subdivision 5 — Superannuation</w:t>
      </w:r>
      <w:bookmarkEnd w:id="25"/>
    </w:p>
    <w:p>
      <w:pPr>
        <w:pStyle w:val="Footnoteheading"/>
      </w:pPr>
      <w:r>
        <w:tab/>
        <w:t>[Heading inserted: No. 13 of 2023 s. 187.]</w:t>
      </w:r>
    </w:p>
    <w:p>
      <w:pPr>
        <w:pStyle w:val="Heading5"/>
        <w:rPr>
          <w:snapToGrid w:val="0"/>
        </w:rPr>
      </w:pPr>
      <w:bookmarkStart w:id="26" w:name="_Toc154756769"/>
      <w:r>
        <w:rPr>
          <w:rStyle w:val="CharSectno"/>
        </w:rPr>
        <w:t>26</w:t>
      </w:r>
      <w:r>
        <w:rPr>
          <w:snapToGrid w:val="0"/>
        </w:rPr>
        <w:t>.</w:t>
      </w:r>
      <w:r>
        <w:rPr>
          <w:snapToGrid w:val="0"/>
        </w:rPr>
        <w:tab/>
        <w:t>Superannuation</w:t>
      </w:r>
      <w:bookmarkEnd w:id="26"/>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27" w:name="_Toc154756770"/>
      <w:r>
        <w:rPr>
          <w:rStyle w:val="CharDivNo"/>
        </w:rPr>
        <w:lastRenderedPageBreak/>
        <w:t>Division 4</w:t>
      </w:r>
      <w:r>
        <w:t> — </w:t>
      </w:r>
      <w:r>
        <w:rPr>
          <w:rStyle w:val="CharDivText"/>
        </w:rPr>
        <w:t>Staff codes of conduct</w:t>
      </w:r>
      <w:bookmarkEnd w:id="27"/>
    </w:p>
    <w:p>
      <w:pPr>
        <w:pStyle w:val="Footnoteheading"/>
      </w:pPr>
      <w:r>
        <w:tab/>
        <w:t>[Heading inserted: No. 13 of 2023 s. 188.]</w:t>
      </w:r>
    </w:p>
    <w:p>
      <w:pPr>
        <w:pStyle w:val="Ednotesection"/>
      </w:pPr>
      <w:r>
        <w:t>[</w:t>
      </w:r>
      <w:r>
        <w:rPr>
          <w:b/>
        </w:rPr>
        <w:t>27-30.</w:t>
      </w:r>
      <w:r>
        <w:tab/>
        <w:t>Deleted: No. 13 of 2023 s. 189.]</w:t>
      </w:r>
    </w:p>
    <w:p>
      <w:pPr>
        <w:pStyle w:val="Heading5"/>
        <w:rPr>
          <w:snapToGrid w:val="0"/>
        </w:rPr>
      </w:pPr>
      <w:bookmarkStart w:id="28" w:name="_Toc154756771"/>
      <w:r>
        <w:rPr>
          <w:rStyle w:val="CharSectno"/>
        </w:rPr>
        <w:t>31</w:t>
      </w:r>
      <w:r>
        <w:rPr>
          <w:snapToGrid w:val="0"/>
        </w:rPr>
        <w:t>.</w:t>
      </w:r>
      <w:r>
        <w:rPr>
          <w:snapToGrid w:val="0"/>
        </w:rPr>
        <w:tab/>
        <w:t>Codes of conduct</w:t>
      </w:r>
      <w:bookmarkEnd w:id="2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29" w:name="_Toc154756772"/>
      <w:r>
        <w:rPr>
          <w:rStyle w:val="CharSectno"/>
        </w:rPr>
        <w:t>32</w:t>
      </w:r>
      <w:r>
        <w:rPr>
          <w:snapToGrid w:val="0"/>
        </w:rPr>
        <w:t>.</w:t>
      </w:r>
      <w:r>
        <w:rPr>
          <w:snapToGrid w:val="0"/>
        </w:rPr>
        <w:tab/>
        <w:t>Reports to Public Sector Commissioner</w:t>
      </w:r>
      <w:bookmarkEnd w:id="2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lastRenderedPageBreak/>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30" w:name="_Toc154756773"/>
      <w:r>
        <w:rPr>
          <w:rStyle w:val="CharSectno"/>
        </w:rPr>
        <w:t>33</w:t>
      </w:r>
      <w:r>
        <w:rPr>
          <w:snapToGrid w:val="0"/>
        </w:rPr>
        <w:t>.</w:t>
      </w:r>
      <w:r>
        <w:rPr>
          <w:snapToGrid w:val="0"/>
        </w:rPr>
        <w:tab/>
        <w:t>Reports to Minister</w:t>
      </w:r>
      <w:bookmarkEnd w:id="30"/>
      <w:r>
        <w:rPr>
          <w:snapToGrid w:val="0"/>
        </w:rPr>
        <w:t xml:space="preserve"> </w:t>
      </w:r>
    </w:p>
    <w:p>
      <w:pPr>
        <w:pStyle w:val="Subsection"/>
        <w:rPr>
          <w:snapToGrid w:val="0"/>
        </w:rPr>
      </w:pPr>
      <w:r>
        <w:rPr>
          <w:snapToGrid w:val="0"/>
        </w:rPr>
        <w:tab/>
        <w:t>(1)</w:t>
      </w:r>
      <w:r>
        <w:rPr>
          <w:snapToGrid w:val="0"/>
        </w:rPr>
        <w:tab/>
        <w:t xml:space="preserve">The board of a corporation, when it delivers to the Minister its annual report under </w:t>
      </w:r>
      <w:r>
        <w:t>the GTE Act section 81,</w:t>
      </w:r>
      <w:r>
        <w:rPr>
          <w:snapToGrid w:val="0"/>
        </w:rPr>
        <w:t xml:space="preserve">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 No. 13 of 2023 s. 190.]</w:t>
      </w:r>
    </w:p>
    <w:p>
      <w:pPr>
        <w:pStyle w:val="Heading2"/>
      </w:pPr>
      <w:bookmarkStart w:id="31" w:name="_Toc154756774"/>
      <w:r>
        <w:rPr>
          <w:rStyle w:val="CharPartNo"/>
        </w:rPr>
        <w:lastRenderedPageBreak/>
        <w:t>Part 3</w:t>
      </w:r>
      <w:r>
        <w:t> — </w:t>
      </w:r>
      <w:r>
        <w:rPr>
          <w:rStyle w:val="CharPartText"/>
        </w:rPr>
        <w:t>Functions and powers of corporations</w:t>
      </w:r>
      <w:bookmarkEnd w:id="31"/>
    </w:p>
    <w:p>
      <w:pPr>
        <w:pStyle w:val="Heading3"/>
      </w:pPr>
      <w:bookmarkStart w:id="32" w:name="_Toc154756775"/>
      <w:r>
        <w:rPr>
          <w:rStyle w:val="CharDivNo"/>
        </w:rPr>
        <w:t>Division 1</w:t>
      </w:r>
      <w:r>
        <w:t> — </w:t>
      </w:r>
      <w:r>
        <w:rPr>
          <w:rStyle w:val="CharDivText"/>
        </w:rPr>
        <w:t>Functions, powers and related provisions</w:t>
      </w:r>
      <w:bookmarkEnd w:id="32"/>
    </w:p>
    <w:p>
      <w:pPr>
        <w:pStyle w:val="Heading4"/>
      </w:pPr>
      <w:bookmarkStart w:id="33" w:name="_Toc154756776"/>
      <w:r>
        <w:t>Subdivision 1 — Preliminary</w:t>
      </w:r>
      <w:bookmarkEnd w:id="33"/>
    </w:p>
    <w:p>
      <w:pPr>
        <w:pStyle w:val="Heading5"/>
      </w:pPr>
      <w:bookmarkStart w:id="34" w:name="_Toc154756777"/>
      <w:r>
        <w:rPr>
          <w:rStyle w:val="CharSectno"/>
        </w:rPr>
        <w:t>34</w:t>
      </w:r>
      <w:r>
        <w:t>.</w:t>
      </w:r>
      <w:r>
        <w:tab/>
        <w:t>Terms used</w:t>
      </w:r>
      <w:bookmarkEnd w:id="34"/>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lastRenderedPageBreak/>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35" w:name="_Toc154756778"/>
      <w:r>
        <w:t>Subdivision 2 — Electricity Generation and Retail Corporation</w:t>
      </w:r>
      <w:bookmarkEnd w:id="35"/>
    </w:p>
    <w:p>
      <w:pPr>
        <w:pStyle w:val="Footnoteheading"/>
      </w:pPr>
      <w:r>
        <w:tab/>
        <w:t>[Heading amended: No. 25 of 2013 s. 10.]</w:t>
      </w:r>
    </w:p>
    <w:p>
      <w:pPr>
        <w:pStyle w:val="Heading5"/>
      </w:pPr>
      <w:bookmarkStart w:id="36" w:name="_Toc154756779"/>
      <w:r>
        <w:rPr>
          <w:rStyle w:val="CharSectno"/>
        </w:rPr>
        <w:t>35</w:t>
      </w:r>
      <w:r>
        <w:t>.</w:t>
      </w:r>
      <w:r>
        <w:tab/>
        <w:t>Principal functions</w:t>
      </w:r>
      <w:bookmarkEnd w:id="36"/>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lastRenderedPageBreak/>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37" w:name="_Toc154756780"/>
      <w:r>
        <w:rPr>
          <w:rStyle w:val="CharSectno"/>
        </w:rPr>
        <w:t>36</w:t>
      </w:r>
      <w:r>
        <w:t>.</w:t>
      </w:r>
      <w:r>
        <w:tab/>
        <w:t>Other functions</w:t>
      </w:r>
      <w:bookmarkEnd w:id="37"/>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Heading5"/>
      </w:pPr>
      <w:bookmarkStart w:id="38" w:name="_Toc154756781"/>
      <w:r>
        <w:rPr>
          <w:rStyle w:val="CharSectno"/>
        </w:rPr>
        <w:lastRenderedPageBreak/>
        <w:t>37</w:t>
      </w:r>
      <w:r>
        <w:t>.</w:t>
      </w:r>
      <w:r>
        <w:tab/>
        <w:t>Restriction on area in which corporation may operate</w:t>
      </w:r>
      <w:bookmarkEnd w:id="38"/>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lastRenderedPageBreak/>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39" w:name="_Toc154756782"/>
      <w:r>
        <w:rPr>
          <w:rStyle w:val="CharSectno"/>
        </w:rPr>
        <w:t>38</w:t>
      </w:r>
      <w:r>
        <w:t>.</w:t>
      </w:r>
      <w:r>
        <w:tab/>
        <w:t>Wholesale acquisition or supply of electricity</w:t>
      </w:r>
      <w:bookmarkEnd w:id="39"/>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lastRenderedPageBreak/>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40" w:name="_Toc154756783"/>
      <w:r>
        <w:rPr>
          <w:rStyle w:val="CharSectno"/>
        </w:rPr>
        <w:t>39</w:t>
      </w:r>
      <w:r>
        <w:t>.</w:t>
      </w:r>
      <w:r>
        <w:tab/>
        <w:t>Matters for regulations or wholesale arrangements</w:t>
      </w:r>
      <w:bookmarkEnd w:id="40"/>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lastRenderedPageBreak/>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lastRenderedPageBreak/>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41" w:name="_Toc154756784"/>
      <w:r>
        <w:t>Subdivision 3 — Electricity Networks Corporation</w:t>
      </w:r>
      <w:bookmarkEnd w:id="41"/>
    </w:p>
    <w:p>
      <w:pPr>
        <w:pStyle w:val="Heading5"/>
        <w:rPr>
          <w:snapToGrid w:val="0"/>
        </w:rPr>
      </w:pPr>
      <w:bookmarkStart w:id="42" w:name="_Toc154756785"/>
      <w:r>
        <w:rPr>
          <w:rStyle w:val="CharSectno"/>
        </w:rPr>
        <w:t>41</w:t>
      </w:r>
      <w:r>
        <w:t>.</w:t>
      </w:r>
      <w:r>
        <w:tab/>
        <w:t>Principal f</w:t>
      </w:r>
      <w:r>
        <w:rPr>
          <w:snapToGrid w:val="0"/>
        </w:rPr>
        <w:t>unctions</w:t>
      </w:r>
      <w:bookmarkEnd w:id="42"/>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lastRenderedPageBreak/>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43" w:name="_Toc154756786"/>
      <w:r>
        <w:rPr>
          <w:rStyle w:val="CharSectno"/>
        </w:rPr>
        <w:t>42</w:t>
      </w:r>
      <w:r>
        <w:t>.</w:t>
      </w:r>
      <w:r>
        <w:tab/>
        <w:t>Other functions</w:t>
      </w:r>
      <w:bookmarkEnd w:id="43"/>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44" w:name="_Toc154756787"/>
      <w:r>
        <w:rPr>
          <w:rStyle w:val="CharSectno"/>
        </w:rPr>
        <w:t>43</w:t>
      </w:r>
      <w:r>
        <w:t>.</w:t>
      </w:r>
      <w:r>
        <w:tab/>
        <w:t>Restriction on area in which corporation may operate</w:t>
      </w:r>
      <w:bookmarkEnd w:id="44"/>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45" w:name="_Toc154756788"/>
      <w:r>
        <w:lastRenderedPageBreak/>
        <w:t>Subdivision 5 — Regional Power Corporation</w:t>
      </w:r>
      <w:bookmarkEnd w:id="45"/>
    </w:p>
    <w:p>
      <w:pPr>
        <w:pStyle w:val="Heading5"/>
        <w:rPr>
          <w:snapToGrid w:val="0"/>
        </w:rPr>
      </w:pPr>
      <w:bookmarkStart w:id="46" w:name="_Toc154756789"/>
      <w:r>
        <w:rPr>
          <w:rStyle w:val="CharSectno"/>
        </w:rPr>
        <w:t>50</w:t>
      </w:r>
      <w:r>
        <w:t>.</w:t>
      </w:r>
      <w:r>
        <w:tab/>
        <w:t>Principal f</w:t>
      </w:r>
      <w:r>
        <w:rPr>
          <w:snapToGrid w:val="0"/>
        </w:rPr>
        <w:t>unctions</w:t>
      </w:r>
      <w:bookmarkEnd w:id="46"/>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lastRenderedPageBreak/>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47" w:name="_Toc154756790"/>
      <w:r>
        <w:rPr>
          <w:rStyle w:val="CharSectno"/>
        </w:rPr>
        <w:t>51</w:t>
      </w:r>
      <w:r>
        <w:t>.</w:t>
      </w:r>
      <w:r>
        <w:tab/>
        <w:t>Other functions</w:t>
      </w:r>
      <w:bookmarkEnd w:id="47"/>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48" w:name="_Toc154756791"/>
      <w:r>
        <w:rPr>
          <w:rStyle w:val="CharSectno"/>
        </w:rPr>
        <w:lastRenderedPageBreak/>
        <w:t>52</w:t>
      </w:r>
      <w:r>
        <w:t>.</w:t>
      </w:r>
      <w:r>
        <w:tab/>
        <w:t>Restriction on area in which corporation may operate</w:t>
      </w:r>
      <w:bookmarkEnd w:id="48"/>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49" w:name="_Toc154756792"/>
      <w:r>
        <w:lastRenderedPageBreak/>
        <w:t>Subdivision 6 — Special function in respect of certain assets and liabilities</w:t>
      </w:r>
      <w:bookmarkEnd w:id="49"/>
    </w:p>
    <w:p>
      <w:pPr>
        <w:pStyle w:val="Heading5"/>
      </w:pPr>
      <w:bookmarkStart w:id="50" w:name="_Toc154756793"/>
      <w:r>
        <w:rPr>
          <w:rStyle w:val="CharSectno"/>
        </w:rPr>
        <w:t>53</w:t>
      </w:r>
      <w:r>
        <w:t>.</w:t>
      </w:r>
      <w:r>
        <w:tab/>
        <w:t>Administration under delegated power</w:t>
      </w:r>
      <w:bookmarkEnd w:id="50"/>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lastRenderedPageBreak/>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Footnotesection"/>
      </w:pPr>
      <w:r>
        <w:tab/>
        <w:t>[Section 53 amended: No. 13 of 2023 s. 191.]</w:t>
      </w:r>
    </w:p>
    <w:p>
      <w:pPr>
        <w:pStyle w:val="Heading4"/>
      </w:pPr>
      <w:bookmarkStart w:id="51" w:name="_Toc154756794"/>
      <w:r>
        <w:t>Subdivision 7 — Use of distribution systems for the retail supply of electricity</w:t>
      </w:r>
      <w:bookmarkEnd w:id="51"/>
    </w:p>
    <w:p>
      <w:pPr>
        <w:pStyle w:val="Heading5"/>
      </w:pPr>
      <w:bookmarkStart w:id="52" w:name="_Toc154756795"/>
      <w:r>
        <w:rPr>
          <w:rStyle w:val="CharSectno"/>
        </w:rPr>
        <w:t>54</w:t>
      </w:r>
      <w:r>
        <w:t>.</w:t>
      </w:r>
      <w:r>
        <w:tab/>
        <w:t>Electricity Networks Corporation and Regional Power Corporation not to supply services for certain purposes</w:t>
      </w:r>
      <w:bookmarkEnd w:id="52"/>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 xml:space="preserve">A distribution licence or an integrated regional licence does not authorise the Regional Power Corporation, or a subsidiary of that corporation, to supply services for the purpose of the supply </w:t>
      </w:r>
      <w:r>
        <w:lastRenderedPageBreak/>
        <w:t>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Ednotesubsection"/>
      </w:pPr>
      <w:r>
        <w:tab/>
        <w:t>[(7)</w:t>
      </w:r>
      <w:r>
        <w:tab/>
        <w:t>deleted]</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 No. 13 of 2023 s. 192.]</w:t>
      </w:r>
    </w:p>
    <w:p>
      <w:pPr>
        <w:pStyle w:val="Ednotesection"/>
      </w:pPr>
      <w:r>
        <w:t>[</w:t>
      </w:r>
      <w:r>
        <w:rPr>
          <w:b/>
        </w:rPr>
        <w:t>55.</w:t>
      </w:r>
      <w:r>
        <w:tab/>
        <w:t>Deleted: No. 13 of 2023 s. 193.]</w:t>
      </w:r>
    </w:p>
    <w:p>
      <w:pPr>
        <w:pStyle w:val="Heading4"/>
      </w:pPr>
      <w:bookmarkStart w:id="53" w:name="_Toc154756796"/>
      <w:r>
        <w:t>Subdivision 8 — Provisions applying to functions of all corporations</w:t>
      </w:r>
      <w:bookmarkEnd w:id="53"/>
    </w:p>
    <w:p>
      <w:pPr>
        <w:pStyle w:val="Ednotesection"/>
      </w:pPr>
      <w:r>
        <w:t>[</w:t>
      </w:r>
      <w:r>
        <w:rPr>
          <w:b/>
        </w:rPr>
        <w:t>56.</w:t>
      </w:r>
      <w:r>
        <w:tab/>
        <w:t>Deleted: No. 13 of 2023 s. 194.]</w:t>
      </w:r>
    </w:p>
    <w:p>
      <w:pPr>
        <w:pStyle w:val="Heading5"/>
      </w:pPr>
      <w:bookmarkStart w:id="54" w:name="_Toc154756797"/>
      <w:r>
        <w:rPr>
          <w:rStyle w:val="CharSectno"/>
        </w:rPr>
        <w:t>57</w:t>
      </w:r>
      <w:r>
        <w:t>.</w:t>
      </w:r>
      <w:r>
        <w:tab/>
        <w:t>Where corporation may operate</w:t>
      </w:r>
      <w:bookmarkEnd w:id="5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lastRenderedPageBreak/>
        <w:tab/>
        <w:t>(b)</w:t>
      </w:r>
      <w:r>
        <w:tab/>
        <w:t xml:space="preserve">except as provided in </w:t>
      </w:r>
      <w:r>
        <w:rPr>
          <w:snapToGrid w:val="0"/>
        </w:rPr>
        <w:t>this Division, in any area of the State.</w:t>
      </w:r>
    </w:p>
    <w:p>
      <w:pPr>
        <w:pStyle w:val="Ednotesection"/>
      </w:pPr>
      <w:r>
        <w:t>[</w:t>
      </w:r>
      <w:r>
        <w:rPr>
          <w:b/>
        </w:rPr>
        <w:t>58.</w:t>
      </w:r>
      <w:r>
        <w:tab/>
        <w:t>Deleted: No. 13 of 2023 s. 195.]</w:t>
      </w:r>
    </w:p>
    <w:p>
      <w:pPr>
        <w:pStyle w:val="Heading5"/>
        <w:rPr>
          <w:snapToGrid w:val="0"/>
        </w:rPr>
      </w:pPr>
      <w:bookmarkStart w:id="55" w:name="_Toc154756798"/>
      <w:r>
        <w:rPr>
          <w:rStyle w:val="CharSectno"/>
        </w:rPr>
        <w:t>59</w:t>
      </w:r>
      <w:r>
        <w:t>.</w:t>
      </w:r>
      <w:r>
        <w:tab/>
      </w:r>
      <w:r>
        <w:rPr>
          <w:snapToGrid w:val="0"/>
        </w:rPr>
        <w:t>Powers</w:t>
      </w:r>
      <w:bookmarkEnd w:id="55"/>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lastRenderedPageBreak/>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pPr>
      <w:r>
        <w:tab/>
        <w:t>(3A)</w:t>
      </w:r>
      <w:r>
        <w:tab/>
        <w:t>Subsections (2) and (3) have effect subject to the GTE Act.</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(as defined in the GTE Act section 69(1));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keepNext/>
        <w:rPr>
          <w:snapToGrid w:val="0"/>
        </w:rPr>
      </w:pPr>
      <w:r>
        <w:lastRenderedPageBreak/>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 No. 13 of 2023 s. 196.]</w:t>
      </w:r>
    </w:p>
    <w:p>
      <w:pPr>
        <w:pStyle w:val="Heading5"/>
      </w:pPr>
      <w:bookmarkStart w:id="56" w:name="_Toc154756799"/>
      <w:r>
        <w:rPr>
          <w:rStyle w:val="CharSectno"/>
        </w:rPr>
        <w:t>60</w:t>
      </w:r>
      <w:r>
        <w:t>.</w:t>
      </w:r>
      <w:r>
        <w:tab/>
        <w:t>Certain works exempt from planning laws</w:t>
      </w:r>
      <w:bookmarkEnd w:id="56"/>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keepNext/>
      </w:pPr>
      <w:r>
        <w:lastRenderedPageBreak/>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the GTE Act section 144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 No. 13 of 2023 s. 197.]</w:t>
      </w:r>
    </w:p>
    <w:p>
      <w:pPr>
        <w:pStyle w:val="Heading5"/>
      </w:pPr>
      <w:bookmarkStart w:id="57" w:name="_Toc154756800"/>
      <w:r>
        <w:rPr>
          <w:rStyle w:val="CharSectno"/>
        </w:rPr>
        <w:t>61.</w:t>
      </w:r>
      <w:r>
        <w:tab/>
        <w:t>Limitation of corporation’s duty to act on commercial principles</w:t>
      </w:r>
      <w:bookmarkEnd w:id="57"/>
    </w:p>
    <w:p>
      <w:pPr>
        <w:pStyle w:val="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Footnotesection"/>
      </w:pPr>
      <w:r>
        <w:tab/>
        <w:t>[Section 61 inserted: No. 13 of 2023 s. 198.]</w:t>
      </w:r>
    </w:p>
    <w:p>
      <w:pPr>
        <w:pStyle w:val="Heading5"/>
      </w:pPr>
      <w:bookmarkStart w:id="58" w:name="_Toc154756801"/>
      <w:r>
        <w:rPr>
          <w:rStyle w:val="CharSectno"/>
        </w:rPr>
        <w:lastRenderedPageBreak/>
        <w:t>62</w:t>
      </w:r>
      <w:r>
        <w:t>.</w:t>
      </w:r>
      <w:r>
        <w:tab/>
        <w:t>Segregation of functions</w:t>
      </w:r>
      <w:bookmarkEnd w:id="58"/>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 xml:space="preserve">If there is a conflict or inconsistency between a provision of regulations referred to in subsection (1) and a provision of </w:t>
      </w:r>
      <w:r>
        <w:lastRenderedPageBreak/>
        <w:t>segregation arrangements, the provision of the regulations prevails.</w:t>
      </w:r>
    </w:p>
    <w:p>
      <w:pPr>
        <w:pStyle w:val="Footnotesection"/>
      </w:pPr>
      <w:r>
        <w:tab/>
        <w:t>[Section 62 inserted: No. 25 of 2013 s. 22.]</w:t>
      </w:r>
    </w:p>
    <w:p>
      <w:pPr>
        <w:pStyle w:val="Heading5"/>
      </w:pPr>
      <w:bookmarkStart w:id="59" w:name="_Toc154756802"/>
      <w:r>
        <w:rPr>
          <w:rStyle w:val="CharSectno"/>
        </w:rPr>
        <w:t>63A</w:t>
      </w:r>
      <w:r>
        <w:t>.</w:t>
      </w:r>
      <w:r>
        <w:tab/>
        <w:t>Matters for regulations or segregation arrangements</w:t>
      </w:r>
      <w:bookmarkEnd w:id="59"/>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lastRenderedPageBreak/>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60" w:name="_Toc154756803"/>
      <w:r>
        <w:rPr>
          <w:rStyle w:val="CharSectno"/>
        </w:rPr>
        <w:t>63</w:t>
      </w:r>
      <w:r>
        <w:t>.</w:t>
      </w:r>
      <w:r>
        <w:tab/>
      </w:r>
      <w:r>
        <w:rPr>
          <w:snapToGrid w:val="0"/>
        </w:rPr>
        <w:t>Interruption or restriction of supply</w:t>
      </w:r>
      <w:bookmarkEnd w:id="60"/>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Ednotesubsection"/>
      </w:pPr>
      <w:r>
        <w:tab/>
        <w:t>[(5)</w:t>
      </w:r>
      <w:r>
        <w:tab/>
        <w:t>deleted]</w:t>
      </w:r>
    </w:p>
    <w:p>
      <w:pPr>
        <w:pStyle w:val="Footnotesection"/>
      </w:pPr>
      <w:r>
        <w:tab/>
        <w:t>[Section 63 amended: No. 13 of 2023 s. 199.]</w:t>
      </w:r>
    </w:p>
    <w:p>
      <w:pPr>
        <w:pStyle w:val="Ednotesection"/>
      </w:pPr>
      <w:r>
        <w:t>[</w:t>
      </w:r>
      <w:r>
        <w:rPr>
          <w:b/>
        </w:rPr>
        <w:t>64-70.</w:t>
      </w:r>
      <w:r>
        <w:tab/>
        <w:t>Deleted: No. 13 of 2023 s. 200.]</w:t>
      </w:r>
    </w:p>
    <w:p>
      <w:pPr>
        <w:pStyle w:val="Heading5"/>
        <w:rPr>
          <w:snapToGrid w:val="0"/>
        </w:rPr>
      </w:pPr>
      <w:bookmarkStart w:id="61" w:name="_Toc154756804"/>
      <w:r>
        <w:rPr>
          <w:rStyle w:val="CharSectno"/>
        </w:rPr>
        <w:lastRenderedPageBreak/>
        <w:t>71</w:t>
      </w:r>
      <w:r>
        <w:t>.</w:t>
      </w:r>
      <w:r>
        <w:tab/>
      </w:r>
      <w:r>
        <w:rPr>
          <w:snapToGrid w:val="0"/>
        </w:rPr>
        <w:t>Delegation</w:t>
      </w:r>
      <w:bookmarkEnd w:id="61"/>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corporation can be given under the GTE Act section 156.</w:t>
      </w:r>
    </w:p>
    <w:p>
      <w:pPr>
        <w:pStyle w:val="Footnotesection"/>
      </w:pPr>
      <w:r>
        <w:tab/>
        <w:t>[Section 71 amended: No. 13 of 2023 s. 201.]</w:t>
      </w:r>
    </w:p>
    <w:p>
      <w:pPr>
        <w:pStyle w:val="Heading5"/>
      </w:pPr>
      <w:bookmarkStart w:id="62" w:name="_Toc154756805"/>
      <w:r>
        <w:rPr>
          <w:rStyle w:val="CharSectno"/>
        </w:rPr>
        <w:lastRenderedPageBreak/>
        <w:t>72</w:t>
      </w:r>
      <w:r>
        <w:t>.</w:t>
      </w:r>
      <w:r>
        <w:tab/>
        <w:t xml:space="preserve">Disclosure of information in compliance with request under </w:t>
      </w:r>
      <w:r>
        <w:rPr>
          <w:i/>
        </w:rPr>
        <w:t>Fines, Penalties and Infringement Notices Enforcement Act 1994</w:t>
      </w:r>
      <w:bookmarkEnd w:id="62"/>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63" w:name="_Toc154756806"/>
      <w:r>
        <w:rPr>
          <w:rStyle w:val="CharDivNo"/>
        </w:rPr>
        <w:t>Division 3</w:t>
      </w:r>
      <w:r>
        <w:t> — </w:t>
      </w:r>
      <w:r>
        <w:rPr>
          <w:rStyle w:val="CharDivText"/>
        </w:rPr>
        <w:t>Arrangements authorised or approved by Governor</w:t>
      </w:r>
      <w:bookmarkEnd w:id="63"/>
    </w:p>
    <w:p>
      <w:pPr>
        <w:pStyle w:val="Heading5"/>
        <w:rPr>
          <w:snapToGrid w:val="0"/>
        </w:rPr>
      </w:pPr>
      <w:bookmarkStart w:id="64" w:name="_Toc154756807"/>
      <w:r>
        <w:rPr>
          <w:rStyle w:val="CharSectno"/>
        </w:rPr>
        <w:t>75</w:t>
      </w:r>
      <w:r>
        <w:t>.</w:t>
      </w:r>
      <w:r>
        <w:tab/>
      </w:r>
      <w:r>
        <w:rPr>
          <w:snapToGrid w:val="0"/>
        </w:rPr>
        <w:t>Governor may make certain regulations</w:t>
      </w:r>
      <w:bookmarkEnd w:id="64"/>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lastRenderedPageBreak/>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Ednotedivision"/>
      </w:pPr>
      <w:r>
        <w:t>[Division 4 (s. 76-79) deleted: No. 13 of 2023 s. 202.]</w:t>
      </w:r>
    </w:p>
    <w:p>
      <w:pPr>
        <w:pStyle w:val="Heading2"/>
      </w:pPr>
      <w:bookmarkStart w:id="65" w:name="_Toc154756808"/>
      <w:r>
        <w:rPr>
          <w:rStyle w:val="CharPartNo"/>
        </w:rPr>
        <w:lastRenderedPageBreak/>
        <w:t>Part 4</w:t>
      </w:r>
      <w:r>
        <w:rPr>
          <w:rStyle w:val="CharDivNo"/>
        </w:rPr>
        <w:t> </w:t>
      </w:r>
      <w:r>
        <w:t>—</w:t>
      </w:r>
      <w:r>
        <w:rPr>
          <w:rStyle w:val="CharDivText"/>
        </w:rPr>
        <w:t> </w:t>
      </w:r>
      <w:r>
        <w:rPr>
          <w:rStyle w:val="CharPartText"/>
        </w:rPr>
        <w:t>Operation of corporations, imposition of requirements</w:t>
      </w:r>
      <w:bookmarkEnd w:id="65"/>
    </w:p>
    <w:p>
      <w:pPr>
        <w:pStyle w:val="Heading5"/>
        <w:spacing w:before="200"/>
      </w:pPr>
      <w:bookmarkStart w:id="66" w:name="_Toc154756809"/>
      <w:r>
        <w:rPr>
          <w:rStyle w:val="CharSectno"/>
        </w:rPr>
        <w:t>80</w:t>
      </w:r>
      <w:r>
        <w:t>.</w:t>
      </w:r>
      <w:r>
        <w:tab/>
        <w:t>Terms used</w:t>
      </w:r>
      <w:bookmarkEnd w:id="66"/>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67" w:name="_Toc154756810"/>
      <w:r>
        <w:rPr>
          <w:rStyle w:val="CharSectno"/>
        </w:rPr>
        <w:t>81</w:t>
      </w:r>
      <w:r>
        <w:t>.</w:t>
      </w:r>
      <w:r>
        <w:tab/>
        <w:t>Object of this Part</w:t>
      </w:r>
      <w:bookmarkEnd w:id="67"/>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68" w:name="_Toc154756811"/>
      <w:r>
        <w:rPr>
          <w:rStyle w:val="CharSectno"/>
        </w:rPr>
        <w:t>82</w:t>
      </w:r>
      <w:r>
        <w:t>.</w:t>
      </w:r>
      <w:r>
        <w:tab/>
        <w:t>Minister may prescribe contracts</w:t>
      </w:r>
      <w:bookmarkEnd w:id="68"/>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69" w:name="_Toc154756812"/>
      <w:r>
        <w:rPr>
          <w:rStyle w:val="CharSectno"/>
        </w:rPr>
        <w:lastRenderedPageBreak/>
        <w:t>83</w:t>
      </w:r>
      <w:r>
        <w:t>.</w:t>
      </w:r>
      <w:r>
        <w:tab/>
        <w:t>Matters that may be provided for</w:t>
      </w:r>
      <w:bookmarkEnd w:id="69"/>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70" w:name="_Toc154756813"/>
      <w:r>
        <w:rPr>
          <w:rStyle w:val="CharSectno"/>
        </w:rPr>
        <w:t>84</w:t>
      </w:r>
      <w:r>
        <w:t>.</w:t>
      </w:r>
      <w:r>
        <w:tab/>
        <w:t>Amendment or cancellation</w:t>
      </w:r>
      <w:bookmarkEnd w:id="70"/>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keepLines/>
      </w:pPr>
      <w:r>
        <w:lastRenderedPageBreak/>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71" w:name="_Toc154756814"/>
      <w:r>
        <w:rPr>
          <w:rStyle w:val="CharSectno"/>
        </w:rPr>
        <w:t>85</w:t>
      </w:r>
      <w:r>
        <w:t>.</w:t>
      </w:r>
      <w:r>
        <w:tab/>
        <w:t>Enforcement</w:t>
      </w:r>
      <w:bookmarkEnd w:id="7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72" w:name="_Toc154756815"/>
      <w:r>
        <w:rPr>
          <w:rStyle w:val="CharSectno"/>
        </w:rPr>
        <w:t>86</w:t>
      </w:r>
      <w:r>
        <w:t>.</w:t>
      </w:r>
      <w:r>
        <w:tab/>
        <w:t>Advice of Economic Regulation Authority to be obtained</w:t>
      </w:r>
      <w:bookmarkEnd w:id="7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73" w:name="_Toc154756816"/>
      <w:r>
        <w:rPr>
          <w:rStyle w:val="CharSectno"/>
        </w:rPr>
        <w:t>87</w:t>
      </w:r>
      <w:r>
        <w:t>.</w:t>
      </w:r>
      <w:r>
        <w:tab/>
        <w:t>Trade practices exemption</w:t>
      </w:r>
      <w:bookmarkEnd w:id="73"/>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lastRenderedPageBreak/>
        <w:tab/>
      </w:r>
      <w:r>
        <w:tab/>
        <w:t>is specifically authorised to the extent that it would otherwise contravene that Act or that Code.</w:t>
      </w:r>
    </w:p>
    <w:p>
      <w:pPr>
        <w:pStyle w:val="Footnotesection"/>
      </w:pPr>
      <w:r>
        <w:tab/>
        <w:t>[Section 87 amended: No. 25 of 2013 s. 27.]</w:t>
      </w:r>
    </w:p>
    <w:p>
      <w:pPr>
        <w:pStyle w:val="Heading2"/>
      </w:pPr>
      <w:bookmarkStart w:id="74" w:name="_Toc154756817"/>
      <w:r>
        <w:rPr>
          <w:rStyle w:val="CharPartNo"/>
        </w:rPr>
        <w:lastRenderedPageBreak/>
        <w:t>Part 5</w:t>
      </w:r>
      <w:r>
        <w:t> — </w:t>
      </w:r>
      <w:r>
        <w:rPr>
          <w:rStyle w:val="CharPartText"/>
        </w:rPr>
        <w:t>Ministerial directions</w:t>
      </w:r>
      <w:bookmarkEnd w:id="74"/>
    </w:p>
    <w:p>
      <w:pPr>
        <w:pStyle w:val="Footnoteheading"/>
      </w:pPr>
      <w:r>
        <w:tab/>
        <w:t>[Heading inserted: No. 13 of 2023 s. 203.]</w:t>
      </w:r>
    </w:p>
    <w:p>
      <w:pPr>
        <w:pStyle w:val="Ednotedivision"/>
      </w:pPr>
      <w:r>
        <w:t>[Divisions 1-3 (s. 88-109) deleted: No. 13 of 2023 s. 204.]</w:t>
      </w:r>
    </w:p>
    <w:p>
      <w:pPr>
        <w:pStyle w:val="Ednotedivision"/>
      </w:pPr>
      <w:r>
        <w:tab/>
        <w:t>[Division 4 heading deleted: No. 13 of 2023 s. 205.]</w:t>
      </w:r>
    </w:p>
    <w:p>
      <w:pPr>
        <w:pStyle w:val="Ednotesection"/>
      </w:pPr>
      <w:r>
        <w:t>[</w:t>
      </w:r>
      <w:r>
        <w:rPr>
          <w:b/>
        </w:rPr>
        <w:t>110.</w:t>
      </w:r>
      <w:r>
        <w:tab/>
        <w:t>Deleted: No. 13 of 2023 s. 206.]</w:t>
      </w:r>
    </w:p>
    <w:p>
      <w:pPr>
        <w:pStyle w:val="Heading5"/>
      </w:pPr>
      <w:bookmarkStart w:id="75" w:name="_Toc154756818"/>
      <w:r>
        <w:rPr>
          <w:rStyle w:val="CharSectno"/>
        </w:rPr>
        <w:t>111</w:t>
      </w:r>
      <w:r>
        <w:t>.</w:t>
      </w:r>
      <w:r>
        <w:tab/>
        <w:t>Directions that cannot be given under GTE Act s. 108</w:t>
      </w:r>
      <w:bookmarkEnd w:id="75"/>
    </w:p>
    <w:p>
      <w:pPr>
        <w:pStyle w:val="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Footnotesection"/>
        <w:spacing w:before="100"/>
      </w:pPr>
      <w:r>
        <w:tab/>
        <w:t>[Section 111 inserted: No. 13 of 2023 s. 206.]</w:t>
      </w:r>
    </w:p>
    <w:p>
      <w:pPr>
        <w:pStyle w:val="Ednotesection"/>
      </w:pPr>
      <w:r>
        <w:t>[</w:t>
      </w:r>
      <w:r>
        <w:rPr>
          <w:b/>
        </w:rPr>
        <w:t>112, 113.</w:t>
      </w:r>
      <w:r>
        <w:tab/>
        <w:t>Deleted: No. 13 of 2023 s. 206.]</w:t>
      </w:r>
    </w:p>
    <w:p>
      <w:pPr>
        <w:pStyle w:val="Heading5"/>
      </w:pPr>
      <w:bookmarkStart w:id="76" w:name="_Toc154756819"/>
      <w:r>
        <w:rPr>
          <w:rStyle w:val="CharSectno"/>
        </w:rPr>
        <w:t>114</w:t>
      </w:r>
      <w:r>
        <w:t>.</w:t>
      </w:r>
      <w:r>
        <w:tab/>
        <w:t>Directions relating to supply of gas</w:t>
      </w:r>
      <w:bookmarkEnd w:id="76"/>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lastRenderedPageBreak/>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Ednotedivision"/>
      </w:pPr>
      <w:r>
        <w:t>[Divisions 5 and 6 (s. 115-120) deleted: No. 13 of 2023 s. 207.]</w:t>
      </w:r>
    </w:p>
    <w:p>
      <w:pPr>
        <w:pStyle w:val="Ednotepart"/>
      </w:pPr>
      <w:r>
        <w:tab/>
        <w:t>[Part 6 (s. 121-133) deleted: No. 13 of 2023 s. 208.]</w:t>
      </w:r>
    </w:p>
    <w:p>
      <w:pPr>
        <w:pStyle w:val="Heading2"/>
      </w:pPr>
      <w:bookmarkStart w:id="77" w:name="_Toc154756820"/>
      <w:r>
        <w:rPr>
          <w:rStyle w:val="CharPartNo"/>
        </w:rPr>
        <w:lastRenderedPageBreak/>
        <w:t>Part 7</w:t>
      </w:r>
      <w:r>
        <w:rPr>
          <w:rStyle w:val="CharDivNo"/>
        </w:rPr>
        <w:t> </w:t>
      </w:r>
      <w:r>
        <w:t>—</w:t>
      </w:r>
      <w:r>
        <w:rPr>
          <w:rStyle w:val="CharDivText"/>
        </w:rPr>
        <w:t> </w:t>
      </w:r>
      <w:r>
        <w:rPr>
          <w:rStyle w:val="CharPartText"/>
        </w:rPr>
        <w:t>Miscellaneous</w:t>
      </w:r>
      <w:bookmarkEnd w:id="77"/>
    </w:p>
    <w:p>
      <w:pPr>
        <w:pStyle w:val="Heading5"/>
      </w:pPr>
      <w:bookmarkStart w:id="78" w:name="_Toc154756821"/>
      <w:r>
        <w:rPr>
          <w:rStyle w:val="CharSectno"/>
        </w:rPr>
        <w:t>134</w:t>
      </w:r>
      <w:r>
        <w:t>.</w:t>
      </w:r>
      <w:r>
        <w:tab/>
        <w:t>Laying documents before Parliament not sitting</w:t>
      </w:r>
      <w:bookmarkEnd w:id="78"/>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134 inserted: No. 13 of 2023 s. 209.]</w:t>
      </w:r>
    </w:p>
    <w:p>
      <w:pPr>
        <w:pStyle w:val="Ednotesection"/>
      </w:pPr>
      <w:r>
        <w:t>[</w:t>
      </w:r>
      <w:r>
        <w:rPr>
          <w:b/>
        </w:rPr>
        <w:t>135, 136.</w:t>
      </w:r>
      <w:r>
        <w:tab/>
        <w:t>Deleted: No. 13 of 2023 s. 209.]</w:t>
      </w:r>
    </w:p>
    <w:p>
      <w:pPr>
        <w:pStyle w:val="Heading5"/>
        <w:rPr>
          <w:snapToGrid w:val="0"/>
        </w:rPr>
      </w:pPr>
      <w:bookmarkStart w:id="79" w:name="_Toc154756822"/>
      <w:r>
        <w:rPr>
          <w:rStyle w:val="CharSectno"/>
        </w:rPr>
        <w:t>137</w:t>
      </w:r>
      <w:r>
        <w:t>.</w:t>
      </w:r>
      <w:r>
        <w:tab/>
      </w:r>
      <w:r>
        <w:rPr>
          <w:snapToGrid w:val="0"/>
        </w:rPr>
        <w:t>Delegation by Treasurer</w:t>
      </w:r>
      <w:bookmarkEnd w:id="79"/>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80" w:name="_Toc154756823"/>
      <w:r>
        <w:rPr>
          <w:rStyle w:val="CharSectno"/>
        </w:rPr>
        <w:t>138</w:t>
      </w:r>
      <w:r>
        <w:t>.</w:t>
      </w:r>
      <w:r>
        <w:tab/>
      </w:r>
      <w:r>
        <w:rPr>
          <w:snapToGrid w:val="0"/>
        </w:rPr>
        <w:t>Regulations</w:t>
      </w:r>
      <w:bookmarkEnd w:id="80"/>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138 amended: No. 13 of 2023 s. 210.]</w:t>
      </w:r>
    </w:p>
    <w:p>
      <w:pPr>
        <w:pStyle w:val="Heading2"/>
      </w:pPr>
      <w:bookmarkStart w:id="81" w:name="_Toc154756824"/>
      <w:r>
        <w:rPr>
          <w:rStyle w:val="CharPartNo"/>
        </w:rPr>
        <w:lastRenderedPageBreak/>
        <w:t>Part 8</w:t>
      </w:r>
      <w:r>
        <w:rPr>
          <w:rStyle w:val="CharDivNo"/>
        </w:rPr>
        <w:t> </w:t>
      </w:r>
      <w:r>
        <w:t>—</w:t>
      </w:r>
      <w:r>
        <w:rPr>
          <w:rStyle w:val="CharDivText"/>
        </w:rPr>
        <w:t> </w:t>
      </w:r>
      <w:r>
        <w:rPr>
          <w:rStyle w:val="CharPartText"/>
        </w:rPr>
        <w:t>Amendments to other written laws</w:t>
      </w:r>
      <w:bookmarkEnd w:id="81"/>
    </w:p>
    <w:p>
      <w:pPr>
        <w:pStyle w:val="Ednotesection"/>
      </w:pPr>
      <w:r>
        <w:t>[</w:t>
      </w:r>
      <w:r>
        <w:rPr>
          <w:b/>
        </w:rPr>
        <w:t>139.</w:t>
      </w:r>
      <w:r>
        <w:tab/>
        <w:t>Omitted under the Reprints Act 1984 s. 7(4)(e).]</w:t>
      </w:r>
    </w:p>
    <w:p>
      <w:pPr>
        <w:pStyle w:val="Heading5"/>
      </w:pPr>
      <w:bookmarkStart w:id="82" w:name="_Toc154756825"/>
      <w:r>
        <w:rPr>
          <w:rStyle w:val="CharSectno"/>
        </w:rPr>
        <w:t>140</w:t>
      </w:r>
      <w:r>
        <w:t>.</w:t>
      </w:r>
      <w:r>
        <w:tab/>
        <w:t>Power to amend subsidiary legislation</w:t>
      </w:r>
      <w:bookmarkEnd w:id="82"/>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83" w:name="_Toc154756826"/>
      <w:r>
        <w:rPr>
          <w:rStyle w:val="CharPartNo"/>
        </w:rPr>
        <w:lastRenderedPageBreak/>
        <w:t>Part 9</w:t>
      </w:r>
      <w:r>
        <w:t> — </w:t>
      </w:r>
      <w:r>
        <w:rPr>
          <w:rStyle w:val="CharPartText"/>
        </w:rPr>
        <w:t>Transitional provisions for succession from Western Power Corporation to new corporations</w:t>
      </w:r>
      <w:bookmarkEnd w:id="83"/>
    </w:p>
    <w:p>
      <w:pPr>
        <w:pStyle w:val="Heading3"/>
      </w:pPr>
      <w:bookmarkStart w:id="84" w:name="_Toc154756827"/>
      <w:r>
        <w:rPr>
          <w:rStyle w:val="CharDivNo"/>
        </w:rPr>
        <w:t>Division 1</w:t>
      </w:r>
      <w:r>
        <w:t> — </w:t>
      </w:r>
      <w:r>
        <w:rPr>
          <w:rStyle w:val="CharDivText"/>
        </w:rPr>
        <w:t>Preliminary</w:t>
      </w:r>
      <w:bookmarkEnd w:id="84"/>
    </w:p>
    <w:p>
      <w:pPr>
        <w:pStyle w:val="Heading5"/>
      </w:pPr>
      <w:bookmarkStart w:id="85" w:name="_Toc154756828"/>
      <w:r>
        <w:rPr>
          <w:rStyle w:val="CharSectno"/>
        </w:rPr>
        <w:t>141</w:t>
      </w:r>
      <w:r>
        <w:t>.</w:t>
      </w:r>
      <w:r>
        <w:tab/>
        <w:t>Purpose of this Part</w:t>
      </w:r>
      <w:bookmarkEnd w:id="85"/>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86" w:name="_Toc154756829"/>
      <w:r>
        <w:rPr>
          <w:rStyle w:val="CharSectno"/>
        </w:rPr>
        <w:t>142</w:t>
      </w:r>
      <w:r>
        <w:t>.</w:t>
      </w:r>
      <w:r>
        <w:tab/>
        <w:t>Terms used</w:t>
      </w:r>
      <w:bookmarkEnd w:id="86"/>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2</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87" w:name="_Toc154756830"/>
      <w:r>
        <w:rPr>
          <w:rStyle w:val="CharSectno"/>
        </w:rPr>
        <w:lastRenderedPageBreak/>
        <w:t>143</w:t>
      </w:r>
      <w:r>
        <w:t>.</w:t>
      </w:r>
      <w:r>
        <w:tab/>
        <w:t>Saving</w:t>
      </w:r>
      <w:bookmarkEnd w:id="87"/>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88" w:name="_Toc154756831"/>
      <w:r>
        <w:rPr>
          <w:rStyle w:val="CharDivNo"/>
        </w:rPr>
        <w:t>Division 2</w:t>
      </w:r>
      <w:r>
        <w:t> — </w:t>
      </w:r>
      <w:r>
        <w:rPr>
          <w:rStyle w:val="CharDivText"/>
        </w:rPr>
        <w:t>Powers conferred on Minister</w:t>
      </w:r>
      <w:bookmarkEnd w:id="88"/>
    </w:p>
    <w:p>
      <w:pPr>
        <w:pStyle w:val="Heading5"/>
      </w:pPr>
      <w:bookmarkStart w:id="89" w:name="_Toc154756832"/>
      <w:r>
        <w:rPr>
          <w:rStyle w:val="CharSectno"/>
        </w:rPr>
        <w:t>144</w:t>
      </w:r>
      <w:r>
        <w:t>.</w:t>
      </w:r>
      <w:r>
        <w:tab/>
        <w:t>Power for certain agreements to be made before commencement day</w:t>
      </w:r>
      <w:bookmarkEnd w:id="89"/>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 xml:space="preserve">325, that the transfer of assets, rights </w:t>
      </w:r>
      <w:r>
        <w:lastRenderedPageBreak/>
        <w:t>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90" w:name="_Toc154756833"/>
      <w:r>
        <w:rPr>
          <w:rStyle w:val="CharSectno"/>
        </w:rPr>
        <w:t>145</w:t>
      </w:r>
      <w:r>
        <w:t>.</w:t>
      </w:r>
      <w:r>
        <w:tab/>
        <w:t>Minister may give directions</w:t>
      </w:r>
      <w:bookmarkEnd w:id="90"/>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91" w:name="_Toc154756834"/>
      <w:r>
        <w:rPr>
          <w:rStyle w:val="CharSectno"/>
        </w:rPr>
        <w:lastRenderedPageBreak/>
        <w:t>146</w:t>
      </w:r>
      <w:r>
        <w:t>.</w:t>
      </w:r>
      <w:r>
        <w:tab/>
        <w:t>Directions to be laid before Parliament</w:t>
      </w:r>
      <w:bookmarkEnd w:id="91"/>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92" w:name="_Toc154756835"/>
      <w:r>
        <w:rPr>
          <w:rStyle w:val="CharDivNo"/>
        </w:rPr>
        <w:t>Division 3</w:t>
      </w:r>
      <w:r>
        <w:t> — </w:t>
      </w:r>
      <w:r>
        <w:rPr>
          <w:rStyle w:val="CharDivText"/>
        </w:rPr>
        <w:t>Passing of Western Power Corporation’s assets and liabilities to new corporations or the State</w:t>
      </w:r>
      <w:bookmarkEnd w:id="92"/>
    </w:p>
    <w:p>
      <w:pPr>
        <w:pStyle w:val="Heading4"/>
        <w:spacing w:before="180"/>
      </w:pPr>
      <w:bookmarkStart w:id="93" w:name="_Toc154756836"/>
      <w:r>
        <w:t>Subdivision 1 — Making of transfer orders</w:t>
      </w:r>
      <w:bookmarkEnd w:id="93"/>
    </w:p>
    <w:p>
      <w:pPr>
        <w:pStyle w:val="Heading5"/>
      </w:pPr>
      <w:bookmarkStart w:id="94" w:name="_Toc154756837"/>
      <w:r>
        <w:rPr>
          <w:rStyle w:val="CharSectno"/>
        </w:rPr>
        <w:t>147</w:t>
      </w:r>
      <w:r>
        <w:t>.</w:t>
      </w:r>
      <w:r>
        <w:tab/>
        <w:t>Minister to make order for allocation of assets and liabilities</w:t>
      </w:r>
      <w:bookmarkEnd w:id="94"/>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lastRenderedPageBreak/>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95" w:name="_Toc154756838"/>
      <w:r>
        <w:rPr>
          <w:rStyle w:val="CharSectno"/>
        </w:rPr>
        <w:t>148</w:t>
      </w:r>
      <w:r>
        <w:t>.</w:t>
      </w:r>
      <w:r>
        <w:tab/>
        <w:t>Order may provide for transfer to subsidiary</w:t>
      </w:r>
      <w:bookmarkEnd w:id="95"/>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lastRenderedPageBreak/>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96" w:name="_Toc154756839"/>
      <w:r>
        <w:rPr>
          <w:rStyle w:val="CharSectno"/>
        </w:rPr>
        <w:t>149</w:t>
      </w:r>
      <w:r>
        <w:t>.</w:t>
      </w:r>
      <w:r>
        <w:tab/>
        <w:t>Transfer order schedules</w:t>
      </w:r>
      <w:bookmarkEnd w:id="96"/>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97" w:name="_Toc154756840"/>
      <w:r>
        <w:rPr>
          <w:rStyle w:val="CharSectno"/>
        </w:rPr>
        <w:t>150</w:t>
      </w:r>
      <w:r>
        <w:t>.</w:t>
      </w:r>
      <w:r>
        <w:tab/>
        <w:t>Treatment of certain internal arrangements of Western Power Corporation</w:t>
      </w:r>
      <w:bookmarkEnd w:id="97"/>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98" w:name="_Toc154756841"/>
      <w:r>
        <w:rPr>
          <w:rStyle w:val="CharSectno"/>
        </w:rPr>
        <w:lastRenderedPageBreak/>
        <w:t>151</w:t>
      </w:r>
      <w:r>
        <w:t>.</w:t>
      </w:r>
      <w:r>
        <w:tab/>
        <w:t>Power to make subsequent order</w:t>
      </w:r>
      <w:bookmarkEnd w:id="98"/>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99" w:name="_Toc154756842"/>
      <w:r>
        <w:rPr>
          <w:rStyle w:val="CharSectno"/>
        </w:rPr>
        <w:t>152</w:t>
      </w:r>
      <w:r>
        <w:t>.</w:t>
      </w:r>
      <w:r>
        <w:tab/>
        <w:t>References in Government agreements</w:t>
      </w:r>
      <w:bookmarkEnd w:id="99"/>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lastRenderedPageBreak/>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00" w:name="_Toc154756843"/>
      <w:r>
        <w:rPr>
          <w:rStyle w:val="CharSectno"/>
        </w:rPr>
        <w:t>153</w:t>
      </w:r>
      <w:r>
        <w:t>.</w:t>
      </w:r>
      <w:r>
        <w:tab/>
        <w:t>Amendment of transfer orders</w:t>
      </w:r>
      <w:bookmarkEnd w:id="100"/>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101" w:name="_Toc154756844"/>
      <w:r>
        <w:lastRenderedPageBreak/>
        <w:t>Subdivision 2 — Operation of transfer orders</w:t>
      </w:r>
      <w:bookmarkEnd w:id="101"/>
      <w:r>
        <w:t xml:space="preserve"> </w:t>
      </w:r>
    </w:p>
    <w:p>
      <w:pPr>
        <w:pStyle w:val="Heading5"/>
      </w:pPr>
      <w:bookmarkStart w:id="102" w:name="_Toc154756845"/>
      <w:r>
        <w:rPr>
          <w:rStyle w:val="CharSectno"/>
        </w:rPr>
        <w:t>154</w:t>
      </w:r>
      <w:r>
        <w:t>.</w:t>
      </w:r>
      <w:r>
        <w:tab/>
        <w:t>Allocation to one new corporation</w:t>
      </w:r>
      <w:bookmarkEnd w:id="102"/>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lastRenderedPageBreak/>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103" w:name="_Toc154756846"/>
      <w:r>
        <w:rPr>
          <w:rStyle w:val="CharSectno"/>
        </w:rPr>
        <w:t>155</w:t>
      </w:r>
      <w:r>
        <w:t>.</w:t>
      </w:r>
      <w:r>
        <w:tab/>
        <w:t>Order for transfer to subsidiary</w:t>
      </w:r>
      <w:bookmarkEnd w:id="103"/>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keepNext/>
      </w:pPr>
      <w:r>
        <w:lastRenderedPageBreak/>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104" w:name="_Toc154756847"/>
      <w:r>
        <w:rPr>
          <w:rStyle w:val="CharSectno"/>
        </w:rPr>
        <w:t>156</w:t>
      </w:r>
      <w:r>
        <w:t>.</w:t>
      </w:r>
      <w:r>
        <w:tab/>
        <w:t>Allocation to more than one new corporation</w:t>
      </w:r>
      <w:bookmarkEnd w:id="104"/>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 xml:space="preserve">Any agreement or instrument relating to the assets, rights and liabilities referred to in subsections (2), (3) and (4) has effect on and after the commencement day, by force of this subsection, as </w:t>
      </w:r>
      <w:r>
        <w:lastRenderedPageBreak/>
        <w:t>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w:t>
      </w:r>
      <w:r>
        <w:lastRenderedPageBreak/>
        <w:t xml:space="preserve">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105" w:name="_Toc154756848"/>
      <w:r>
        <w:rPr>
          <w:rStyle w:val="CharSectno"/>
        </w:rPr>
        <w:t>157</w:t>
      </w:r>
      <w:r>
        <w:t>.</w:t>
      </w:r>
      <w:r>
        <w:tab/>
        <w:t>Replacement of Western Power Corporation in proceedings</w:t>
      </w:r>
      <w:bookmarkEnd w:id="10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106" w:name="_Toc154756849"/>
      <w:r>
        <w:rPr>
          <w:rStyle w:val="CharSectno"/>
        </w:rPr>
        <w:lastRenderedPageBreak/>
        <w:t>158</w:t>
      </w:r>
      <w:r>
        <w:t>.</w:t>
      </w:r>
      <w:r>
        <w:tab/>
        <w:t>Handing over of records</w:t>
      </w:r>
      <w:bookmarkEnd w:id="106"/>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107" w:name="_Toc154756850"/>
      <w:r>
        <w:rPr>
          <w:rStyle w:val="CharSectno"/>
        </w:rPr>
        <w:t>159</w:t>
      </w:r>
      <w:r>
        <w:t>.</w:t>
      </w:r>
      <w:r>
        <w:tab/>
        <w:t>Changes to Government agreements</w:t>
      </w:r>
      <w:bookmarkEnd w:id="10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108" w:name="_Toc154756851"/>
      <w:r>
        <w:t>Subdivision 3 — Re</w:t>
      </w:r>
      <w:r>
        <w:noBreakHyphen/>
        <w:t>allocation of assets, rights and liabilities</w:t>
      </w:r>
      <w:bookmarkEnd w:id="108"/>
    </w:p>
    <w:p>
      <w:pPr>
        <w:pStyle w:val="Heading5"/>
      </w:pPr>
      <w:bookmarkStart w:id="109" w:name="_Toc154756852"/>
      <w:r>
        <w:rPr>
          <w:rStyle w:val="CharSectno"/>
        </w:rPr>
        <w:t>160</w:t>
      </w:r>
      <w:r>
        <w:t>.</w:t>
      </w:r>
      <w:r>
        <w:tab/>
        <w:t>Order for re</w:t>
      </w:r>
      <w:r>
        <w:noBreakHyphen/>
        <w:t>allocation</w:t>
      </w:r>
      <w:bookmarkEnd w:id="109"/>
    </w:p>
    <w:p>
      <w:pPr>
        <w:pStyle w:val="Subsection"/>
      </w:pPr>
      <w:r>
        <w:tab/>
        <w:t>(1)</w:t>
      </w:r>
      <w:r>
        <w:tab/>
        <w:t xml:space="preserve">The Minister may, by order published in the </w:t>
      </w:r>
      <w:r>
        <w:rPr>
          <w:i/>
        </w:rPr>
        <w:t>Gazette</w:t>
      </w:r>
      <w:r>
        <w:t xml:space="preserve">, declare that any asset or right that vested in a new corporation, or 2 or </w:t>
      </w:r>
      <w:r>
        <w:lastRenderedPageBreak/>
        <w:t xml:space="preserve">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keepNext w:val="0"/>
      </w:pPr>
      <w:bookmarkStart w:id="110" w:name="_Toc154756853"/>
      <w:r>
        <w:rPr>
          <w:rStyle w:val="CharSectno"/>
        </w:rPr>
        <w:t>161</w:t>
      </w:r>
      <w:r>
        <w:t>.</w:t>
      </w:r>
      <w:r>
        <w:tab/>
        <w:t>Re</w:t>
      </w:r>
      <w:r>
        <w:noBreakHyphen/>
        <w:t>allocation to have effect from commencement day</w:t>
      </w:r>
      <w:bookmarkEnd w:id="110"/>
    </w:p>
    <w:p>
      <w:pPr>
        <w:pStyle w:val="Subsection"/>
        <w:keepLines/>
      </w:pPr>
      <w:r>
        <w:tab/>
        <w:t>(1)</w:t>
      </w:r>
      <w:r>
        <w:tab/>
        <w:t xml:space="preserve">In this section — </w:t>
      </w:r>
    </w:p>
    <w:p>
      <w:pPr>
        <w:pStyle w:val="Defstart"/>
        <w:keepLines/>
      </w:pPr>
      <w:r>
        <w:tab/>
      </w:r>
      <w:r>
        <w:rPr>
          <w:rStyle w:val="CharDefText"/>
        </w:rPr>
        <w:t>corporation or corporations previously concerned</w:t>
      </w:r>
      <w:r>
        <w:t xml:space="preserve"> means the corporation or corporations — </w:t>
      </w:r>
    </w:p>
    <w:p>
      <w:pPr>
        <w:pStyle w:val="Defpara"/>
      </w:pPr>
      <w:r>
        <w:lastRenderedPageBreak/>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lastRenderedPageBreak/>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111" w:name="_Toc154756854"/>
      <w:r>
        <w:rPr>
          <w:rStyle w:val="CharSectno"/>
        </w:rPr>
        <w:t>162</w:t>
      </w:r>
      <w:r>
        <w:t>.</w:t>
      </w:r>
      <w:r>
        <w:tab/>
        <w:t>Handing over of records</w:t>
      </w:r>
      <w:bookmarkEnd w:id="111"/>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112" w:name="_Toc154756855"/>
      <w:r>
        <w:t>Subdivision 4 — Order that allocated assets or liabilities pass instead to the State</w:t>
      </w:r>
      <w:bookmarkEnd w:id="112"/>
    </w:p>
    <w:p>
      <w:pPr>
        <w:pStyle w:val="Heading5"/>
      </w:pPr>
      <w:bookmarkStart w:id="113" w:name="_Toc154756856"/>
      <w:r>
        <w:rPr>
          <w:rStyle w:val="CharSectno"/>
        </w:rPr>
        <w:t>163</w:t>
      </w:r>
      <w:r>
        <w:t>.</w:t>
      </w:r>
      <w:r>
        <w:tab/>
        <w:t>Minister may order s. 169 is to apply</w:t>
      </w:r>
      <w:bookmarkEnd w:id="113"/>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keepNext/>
        <w:spacing w:before="60"/>
      </w:pPr>
      <w:r>
        <w:lastRenderedPageBreak/>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114" w:name="_Toc154756857"/>
      <w:r>
        <w:rPr>
          <w:rStyle w:val="CharSectno"/>
        </w:rPr>
        <w:t>164</w:t>
      </w:r>
      <w:r>
        <w:t>.</w:t>
      </w:r>
      <w:r>
        <w:tab/>
        <w:t>Effect of order</w:t>
      </w:r>
      <w:bookmarkEnd w:id="114"/>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keepNext/>
      </w:pPr>
      <w:r>
        <w:lastRenderedPageBreak/>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115" w:name="_Toc154756858"/>
      <w:r>
        <w:rPr>
          <w:rStyle w:val="CharSectno"/>
        </w:rPr>
        <w:t>165</w:t>
      </w:r>
      <w:r>
        <w:t>.</w:t>
      </w:r>
      <w:r>
        <w:tab/>
        <w:t>Handing over of records</w:t>
      </w:r>
      <w:bookmarkEnd w:id="115"/>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116" w:name="_Toc154756859"/>
      <w:r>
        <w:lastRenderedPageBreak/>
        <w:t>Subdivision 5 — Replacement of party in proceedings</w:t>
      </w:r>
      <w:bookmarkEnd w:id="116"/>
    </w:p>
    <w:p>
      <w:pPr>
        <w:pStyle w:val="Heading5"/>
      </w:pPr>
      <w:bookmarkStart w:id="117" w:name="_Toc154756860"/>
      <w:r>
        <w:rPr>
          <w:rStyle w:val="CharSectno"/>
        </w:rPr>
        <w:t>166</w:t>
      </w:r>
      <w:r>
        <w:t>.</w:t>
      </w:r>
      <w:r>
        <w:tab/>
        <w:t>Order for replacement</w:t>
      </w:r>
      <w:bookmarkEnd w:id="117"/>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118" w:name="_Toc154756861"/>
      <w:r>
        <w:rPr>
          <w:rStyle w:val="CharSectno"/>
        </w:rPr>
        <w:t>167</w:t>
      </w:r>
      <w:r>
        <w:t>.</w:t>
      </w:r>
      <w:r>
        <w:tab/>
        <w:t>Effect of order</w:t>
      </w:r>
      <w:bookmarkEnd w:id="118"/>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119" w:name="_Toc154756862"/>
      <w:r>
        <w:rPr>
          <w:rStyle w:val="CharSectno"/>
        </w:rPr>
        <w:lastRenderedPageBreak/>
        <w:t>168</w:t>
      </w:r>
      <w:r>
        <w:t>.</w:t>
      </w:r>
      <w:r>
        <w:tab/>
        <w:t>Handing over of records</w:t>
      </w:r>
      <w:bookmarkEnd w:id="119"/>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keepNext/>
      </w:pPr>
      <w:r>
        <w:tab/>
        <w:t>(b)</w:t>
      </w:r>
      <w:r>
        <w:tab/>
        <w:t>the new corporation specified as mentioned in section 166(2),</w:t>
      </w:r>
    </w:p>
    <w:p>
      <w:pPr>
        <w:pStyle w:val="Subsection"/>
      </w:pPr>
      <w:r>
        <w:tab/>
      </w:r>
      <w:r>
        <w:tab/>
        <w:t>all records relating to the proceedings.</w:t>
      </w:r>
    </w:p>
    <w:p>
      <w:pPr>
        <w:pStyle w:val="Heading4"/>
      </w:pPr>
      <w:bookmarkStart w:id="120" w:name="_Toc154756863"/>
      <w:r>
        <w:t>Subdivision 6 — Assets, liabilities and proceedings not otherwise provided for</w:t>
      </w:r>
      <w:bookmarkEnd w:id="120"/>
    </w:p>
    <w:p>
      <w:pPr>
        <w:pStyle w:val="Heading5"/>
      </w:pPr>
      <w:bookmarkStart w:id="121" w:name="_Toc154756864"/>
      <w:r>
        <w:rPr>
          <w:rStyle w:val="CharSectno"/>
        </w:rPr>
        <w:t>169</w:t>
      </w:r>
      <w:r>
        <w:t>.</w:t>
      </w:r>
      <w:r>
        <w:tab/>
        <w:t>Unallocated assets and liabilities to be dealt with by Minister</w:t>
      </w:r>
      <w:bookmarkEnd w:id="121"/>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lastRenderedPageBreak/>
        <w:tab/>
        <w:t>(4)</w:t>
      </w:r>
      <w:r>
        <w:tab/>
        <w:t xml:space="preserve">A liability to which this section applies, so far as it is properly due, is to be discharged — </w:t>
      </w:r>
    </w:p>
    <w:p>
      <w:pPr>
        <w:pStyle w:val="Indenta"/>
      </w:pPr>
      <w:r>
        <w:tab/>
        <w:t>(a)</w:t>
      </w:r>
      <w:r>
        <w:tab/>
        <w:t>after the commencement day; or</w:t>
      </w:r>
    </w:p>
    <w:p>
      <w:pPr>
        <w:pStyle w:val="Indenta"/>
        <w:keepNext/>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122" w:name="_Toc154756865"/>
      <w:r>
        <w:rPr>
          <w:rStyle w:val="CharSectno"/>
        </w:rPr>
        <w:t>170</w:t>
      </w:r>
      <w:r>
        <w:t>.</w:t>
      </w:r>
      <w:r>
        <w:tab/>
        <w:t>Provisions incidental to s. 169</w:t>
      </w:r>
      <w:bookmarkEnd w:id="122"/>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lastRenderedPageBreak/>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123" w:name="_Toc154756866"/>
      <w:r>
        <w:rPr>
          <w:rStyle w:val="CharSectno"/>
        </w:rPr>
        <w:t>171</w:t>
      </w:r>
      <w:r>
        <w:t>.</w:t>
      </w:r>
      <w:r>
        <w:tab/>
        <w:t>State to be party to proceedings if no provision made</w:t>
      </w:r>
      <w:bookmarkEnd w:id="123"/>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lastRenderedPageBreak/>
        <w:tab/>
        <w:t>(d)</w:t>
      </w:r>
      <w:r>
        <w:tab/>
        <w:t>omitted to be done,</w:t>
      </w:r>
    </w:p>
    <w:p>
      <w:pPr>
        <w:pStyle w:val="Subsection"/>
      </w:pPr>
      <w:r>
        <w:tab/>
      </w:r>
      <w:r>
        <w:tab/>
        <w:t>by, to or in respect of the State, to the extent that the act, matter or thing has any force or effect.</w:t>
      </w:r>
    </w:p>
    <w:p>
      <w:pPr>
        <w:pStyle w:val="Heading5"/>
      </w:pPr>
      <w:bookmarkStart w:id="124" w:name="_Toc154756867"/>
      <w:r>
        <w:rPr>
          <w:rStyle w:val="CharSectno"/>
        </w:rPr>
        <w:t>172</w:t>
      </w:r>
      <w:r>
        <w:t>.</w:t>
      </w:r>
      <w:r>
        <w:tab/>
        <w:t>Handing over of records</w:t>
      </w:r>
      <w:bookmarkEnd w:id="12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125" w:name="_Toc154756868"/>
      <w:r>
        <w:t>Subdivision 7 — Other matters relating to passing of assets and liabilities</w:t>
      </w:r>
      <w:bookmarkEnd w:id="125"/>
    </w:p>
    <w:p>
      <w:pPr>
        <w:pStyle w:val="Heading5"/>
      </w:pPr>
      <w:bookmarkStart w:id="126" w:name="_Toc154756869"/>
      <w:r>
        <w:rPr>
          <w:rStyle w:val="CharSectno"/>
        </w:rPr>
        <w:t>173</w:t>
      </w:r>
      <w:r>
        <w:t>.</w:t>
      </w:r>
      <w:r>
        <w:tab/>
        <w:t>Continuation of guarantees in respect of Western Power Corporation</w:t>
      </w:r>
      <w:bookmarkEnd w:id="126"/>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lastRenderedPageBreak/>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127" w:name="_Toc154756870"/>
      <w:r>
        <w:rPr>
          <w:rStyle w:val="CharSectno"/>
        </w:rPr>
        <w:t>174</w:t>
      </w:r>
      <w:r>
        <w:t>.</w:t>
      </w:r>
      <w:r>
        <w:tab/>
        <w:t>Guarantees to which s. 173 does not apply</w:t>
      </w:r>
      <w:bookmarkEnd w:id="127"/>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lastRenderedPageBreak/>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128" w:name="_Toc154756871"/>
      <w:r>
        <w:rPr>
          <w:rStyle w:val="CharSectno"/>
        </w:rPr>
        <w:t>175</w:t>
      </w:r>
      <w:r>
        <w:t>.</w:t>
      </w:r>
      <w:r>
        <w:tab/>
        <w:t>Certain joint tenancies preserved</w:t>
      </w:r>
      <w:bookmarkEnd w:id="12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129" w:name="_Toc154756872"/>
      <w:r>
        <w:rPr>
          <w:rStyle w:val="CharSectno"/>
        </w:rPr>
        <w:t>176</w:t>
      </w:r>
      <w:r>
        <w:t>.</w:t>
      </w:r>
      <w:r>
        <w:tab/>
        <w:t>Western Power Corporation to complete necessary transactions</w:t>
      </w:r>
      <w:bookmarkEnd w:id="129"/>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 xml:space="preserve">is to be taken to continue to hold or be liable for that asset, right or liability until it is effectively vested in or </w:t>
      </w:r>
      <w:r>
        <w:lastRenderedPageBreak/>
        <w:t>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130" w:name="_Toc154756873"/>
      <w:r>
        <w:rPr>
          <w:rStyle w:val="CharSectno"/>
        </w:rPr>
        <w:t>177</w:t>
      </w:r>
      <w:r>
        <w:t>.</w:t>
      </w:r>
      <w:r>
        <w:tab/>
        <w:t>Exemption from State taxation</w:t>
      </w:r>
      <w:bookmarkEnd w:id="130"/>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keepNext/>
      </w:pPr>
      <w:r>
        <w:lastRenderedPageBreak/>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131" w:name="_Toc154756874"/>
      <w:r>
        <w:rPr>
          <w:rStyle w:val="CharSectno"/>
        </w:rPr>
        <w:t>178</w:t>
      </w:r>
      <w:r>
        <w:t>.</w:t>
      </w:r>
      <w:r>
        <w:tab/>
        <w:t>Registration of documents</w:t>
      </w:r>
      <w:bookmarkEnd w:id="131"/>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keepNext/>
      </w:pPr>
      <w:r>
        <w:lastRenderedPageBreak/>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132" w:name="_Toc154756875"/>
      <w:r>
        <w:rPr>
          <w:rStyle w:val="CharDivNo"/>
        </w:rPr>
        <w:t>Division 4</w:t>
      </w:r>
      <w:r>
        <w:t> — </w:t>
      </w:r>
      <w:r>
        <w:rPr>
          <w:rStyle w:val="CharDivText"/>
        </w:rPr>
        <w:t>Staff</w:t>
      </w:r>
      <w:bookmarkEnd w:id="132"/>
    </w:p>
    <w:p>
      <w:pPr>
        <w:pStyle w:val="Heading5"/>
      </w:pPr>
      <w:bookmarkStart w:id="133" w:name="_Toc154756876"/>
      <w:r>
        <w:rPr>
          <w:rStyle w:val="CharSectno"/>
        </w:rPr>
        <w:t>179</w:t>
      </w:r>
      <w:r>
        <w:t>.</w:t>
      </w:r>
      <w:r>
        <w:tab/>
        <w:t>Transition of employment</w:t>
      </w:r>
      <w:bookmarkEnd w:id="133"/>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134" w:name="_Toc154756877"/>
      <w:r>
        <w:rPr>
          <w:rStyle w:val="CharSectno"/>
        </w:rPr>
        <w:t>180</w:t>
      </w:r>
      <w:r>
        <w:t>.</w:t>
      </w:r>
      <w:r>
        <w:tab/>
        <w:t>Employees’ rights preserved</w:t>
      </w:r>
      <w:bookmarkEnd w:id="134"/>
    </w:p>
    <w:p>
      <w:pPr>
        <w:pStyle w:val="Subsection"/>
      </w:pPr>
      <w:r>
        <w:tab/>
      </w:r>
      <w:r>
        <w:tab/>
        <w:t>Except as otherwise agreed by an employee, the change from employment by Western Power Corporation to employment by a new corporation does not —</w:t>
      </w:r>
    </w:p>
    <w:p>
      <w:pPr>
        <w:pStyle w:val="Indenta"/>
      </w:pPr>
      <w:r>
        <w:lastRenderedPageBreak/>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135" w:name="_Toc154756878"/>
      <w:r>
        <w:rPr>
          <w:rStyle w:val="CharDivNo"/>
        </w:rPr>
        <w:t>Division 5</w:t>
      </w:r>
      <w:r>
        <w:t> — </w:t>
      </w:r>
      <w:r>
        <w:rPr>
          <w:rStyle w:val="CharDivText"/>
        </w:rPr>
        <w:t>Contracts with tariff customers</w:t>
      </w:r>
      <w:bookmarkEnd w:id="135"/>
    </w:p>
    <w:p>
      <w:pPr>
        <w:pStyle w:val="Heading5"/>
        <w:spacing w:before="180"/>
      </w:pPr>
      <w:bookmarkStart w:id="136" w:name="_Toc154756879"/>
      <w:r>
        <w:rPr>
          <w:rStyle w:val="CharSectno"/>
        </w:rPr>
        <w:t>181</w:t>
      </w:r>
      <w:r>
        <w:t>.</w:t>
      </w:r>
      <w:r>
        <w:tab/>
        <w:t>Minister to prescribe contracts</w:t>
      </w:r>
      <w:bookmarkEnd w:id="136"/>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137" w:name="_Toc154756880"/>
      <w:r>
        <w:rPr>
          <w:rStyle w:val="CharDivNo"/>
        </w:rPr>
        <w:lastRenderedPageBreak/>
        <w:t>Division 6</w:t>
      </w:r>
      <w:r>
        <w:t> — </w:t>
      </w:r>
      <w:r>
        <w:rPr>
          <w:rStyle w:val="CharDivText"/>
        </w:rPr>
        <w:t>Other transitional provisions</w:t>
      </w:r>
      <w:bookmarkEnd w:id="137"/>
    </w:p>
    <w:p>
      <w:pPr>
        <w:pStyle w:val="Heading5"/>
        <w:spacing w:before="180"/>
      </w:pPr>
      <w:bookmarkStart w:id="138" w:name="_Toc154756881"/>
      <w:r>
        <w:rPr>
          <w:rStyle w:val="CharSectno"/>
        </w:rPr>
        <w:t>182</w:t>
      </w:r>
      <w:r>
        <w:t>.</w:t>
      </w:r>
      <w:r>
        <w:tab/>
        <w:t>Annual report</w:t>
      </w:r>
      <w:bookmarkEnd w:id="138"/>
    </w:p>
    <w:p>
      <w:pPr>
        <w:pStyle w:val="Subsection"/>
        <w:keepNext/>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139" w:name="_Toc154756882"/>
      <w:r>
        <w:rPr>
          <w:rStyle w:val="CharSectno"/>
        </w:rPr>
        <w:t>183</w:t>
      </w:r>
      <w:r>
        <w:t>.</w:t>
      </w:r>
      <w:r>
        <w:tab/>
        <w:t>Continuation of certain directions given to Western Power Corporation</w:t>
      </w:r>
      <w:bookmarkEnd w:id="139"/>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 xml:space="preserve">The direction given to Western Power Corporation under the principal Act section 66 on 7 April 2005 (which relates to generating works) continues in force on and after the </w:t>
      </w:r>
      <w:r>
        <w:lastRenderedPageBreak/>
        <w:t>commencement day as if it were a direction given to the Electricity Generation Corporation under section 111.</w:t>
      </w:r>
    </w:p>
    <w:p>
      <w:pPr>
        <w:pStyle w:val="Heading5"/>
      </w:pPr>
      <w:bookmarkStart w:id="140" w:name="_Toc154756883"/>
      <w:r>
        <w:rPr>
          <w:rStyle w:val="CharSectno"/>
        </w:rPr>
        <w:t>184</w:t>
      </w:r>
      <w:r>
        <w:t>.</w:t>
      </w:r>
      <w:r>
        <w:tab/>
        <w:t>Completion of things commenced</w:t>
      </w:r>
      <w:bookmarkEnd w:id="140"/>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141" w:name="_Toc154756884"/>
      <w:r>
        <w:rPr>
          <w:rStyle w:val="CharSectno"/>
        </w:rPr>
        <w:t>185</w:t>
      </w:r>
      <w:r>
        <w:t>.</w:t>
      </w:r>
      <w:r>
        <w:tab/>
        <w:t>Continuing effect of things done</w:t>
      </w:r>
      <w:bookmarkEnd w:id="141"/>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142" w:name="_Toc154756885"/>
      <w:r>
        <w:rPr>
          <w:rStyle w:val="CharSectno"/>
        </w:rPr>
        <w:t>186</w:t>
      </w:r>
      <w:r>
        <w:t>.</w:t>
      </w:r>
      <w:r>
        <w:tab/>
        <w:t>Immunity to continue</w:t>
      </w:r>
      <w:bookmarkEnd w:id="142"/>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143" w:name="_Toc154756886"/>
      <w:r>
        <w:rPr>
          <w:rStyle w:val="CharSectno"/>
        </w:rPr>
        <w:lastRenderedPageBreak/>
        <w:t>187</w:t>
      </w:r>
      <w:r>
        <w:t>.</w:t>
      </w:r>
      <w:r>
        <w:tab/>
        <w:t>Agreements and instruments generally</w:t>
      </w:r>
      <w:bookmarkEnd w:id="143"/>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144" w:name="_Toc154756887"/>
      <w:r>
        <w:rPr>
          <w:rStyle w:val="CharSectno"/>
        </w:rPr>
        <w:t>188</w:t>
      </w:r>
      <w:r>
        <w:t>.</w:t>
      </w:r>
      <w:r>
        <w:tab/>
        <w:t>Western Power Corporation to perform necessary transitional functions</w:t>
      </w:r>
      <w:bookmarkEnd w:id="144"/>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keepNext/>
      </w:pPr>
      <w:r>
        <w:lastRenderedPageBreak/>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145" w:name="_Toc154756888"/>
      <w:r>
        <w:rPr>
          <w:rStyle w:val="CharDivNo"/>
        </w:rPr>
        <w:t>Division 7</w:t>
      </w:r>
      <w:r>
        <w:t> — </w:t>
      </w:r>
      <w:r>
        <w:rPr>
          <w:rStyle w:val="CharDivText"/>
        </w:rPr>
        <w:t>Making of further provision by regulation</w:t>
      </w:r>
      <w:bookmarkEnd w:id="145"/>
    </w:p>
    <w:p>
      <w:pPr>
        <w:pStyle w:val="Heading5"/>
        <w:spacing w:before="240"/>
      </w:pPr>
      <w:bookmarkStart w:id="146" w:name="_Toc154756889"/>
      <w:r>
        <w:rPr>
          <w:rStyle w:val="CharSectno"/>
        </w:rPr>
        <w:t>189</w:t>
      </w:r>
      <w:r>
        <w:t>.</w:t>
      </w:r>
      <w:r>
        <w:tab/>
        <w:t>Powers of rectification and similar matters</w:t>
      </w:r>
      <w:bookmarkEnd w:id="146"/>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lastRenderedPageBreak/>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147" w:name="_Toc154756890"/>
      <w:r>
        <w:rPr>
          <w:rStyle w:val="CharSectno"/>
        </w:rPr>
        <w:t>190</w:t>
      </w:r>
      <w:r>
        <w:t>.</w:t>
      </w:r>
      <w:r>
        <w:tab/>
        <w:t>Further provision may be made by regulation</w:t>
      </w:r>
      <w:bookmarkEnd w:id="147"/>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lastRenderedPageBreak/>
        <w:tab/>
        <w:t>(d)</w:t>
      </w:r>
      <w:r>
        <w:tab/>
        <w:t>make such provision as is necessary or expedient to achieve the purpose described in section 141 in the intended manner.</w:t>
      </w:r>
    </w:p>
    <w:p>
      <w:pPr>
        <w:pStyle w:val="Heading5"/>
      </w:pPr>
      <w:bookmarkStart w:id="148" w:name="_Toc154756891"/>
      <w:r>
        <w:rPr>
          <w:rStyle w:val="CharSectno"/>
        </w:rPr>
        <w:t>191</w:t>
      </w:r>
      <w:r>
        <w:t>.</w:t>
      </w:r>
      <w:r>
        <w:tab/>
        <w:t>Regulations may operate from commencement day</w:t>
      </w:r>
      <w:bookmarkEnd w:id="148"/>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149" w:name="_Toc154756892"/>
      <w:r>
        <w:rPr>
          <w:rStyle w:val="CharDivNo"/>
        </w:rPr>
        <w:t>Division 8</w:t>
      </w:r>
      <w:r>
        <w:t> — </w:t>
      </w:r>
      <w:r>
        <w:rPr>
          <w:rStyle w:val="CharDivText"/>
        </w:rPr>
        <w:t>Indemnities and guarantees</w:t>
      </w:r>
      <w:bookmarkEnd w:id="149"/>
    </w:p>
    <w:p>
      <w:pPr>
        <w:pStyle w:val="Heading5"/>
      </w:pPr>
      <w:bookmarkStart w:id="150" w:name="_Toc154756893"/>
      <w:r>
        <w:rPr>
          <w:rStyle w:val="CharSectno"/>
        </w:rPr>
        <w:t>192</w:t>
      </w:r>
      <w:r>
        <w:t>.</w:t>
      </w:r>
      <w:r>
        <w:tab/>
        <w:t>Treasurer may give indemnity and guarantee</w:t>
      </w:r>
      <w:bookmarkEnd w:id="150"/>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lastRenderedPageBreak/>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151" w:name="_Toc154756894"/>
      <w:r>
        <w:rPr>
          <w:rStyle w:val="CharPartNo"/>
        </w:rPr>
        <w:lastRenderedPageBreak/>
        <w:t>Part 10</w:t>
      </w:r>
      <w:r>
        <w:t> — </w:t>
      </w:r>
      <w:r>
        <w:rPr>
          <w:rStyle w:val="CharPartText"/>
        </w:rPr>
        <w:t>Provisions for merger of corporations</w:t>
      </w:r>
      <w:bookmarkEnd w:id="151"/>
    </w:p>
    <w:p>
      <w:pPr>
        <w:pStyle w:val="Footnoteheading"/>
      </w:pPr>
      <w:r>
        <w:tab/>
        <w:t>[Heading inserted: No. 25 of 2013 s. 35.]</w:t>
      </w:r>
    </w:p>
    <w:p>
      <w:pPr>
        <w:pStyle w:val="Heading3"/>
      </w:pPr>
      <w:bookmarkStart w:id="152" w:name="_Toc154756895"/>
      <w:r>
        <w:rPr>
          <w:rStyle w:val="CharDivNo"/>
        </w:rPr>
        <w:t>Division 1</w:t>
      </w:r>
      <w:r>
        <w:t> — </w:t>
      </w:r>
      <w:r>
        <w:rPr>
          <w:rStyle w:val="CharDivText"/>
        </w:rPr>
        <w:t>Preliminary</w:t>
      </w:r>
      <w:bookmarkEnd w:id="152"/>
    </w:p>
    <w:p>
      <w:pPr>
        <w:pStyle w:val="Footnoteheading"/>
      </w:pPr>
      <w:r>
        <w:tab/>
        <w:t>[Heading inserted: No. 25 of 2013 s. 35.]</w:t>
      </w:r>
    </w:p>
    <w:p>
      <w:pPr>
        <w:pStyle w:val="Heading5"/>
      </w:pPr>
      <w:bookmarkStart w:id="153" w:name="_Toc154756896"/>
      <w:r>
        <w:rPr>
          <w:rStyle w:val="CharSectno"/>
        </w:rPr>
        <w:t>193</w:t>
      </w:r>
      <w:r>
        <w:t>.</w:t>
      </w:r>
      <w:r>
        <w:tab/>
        <w:t>Purpose of Part</w:t>
      </w:r>
      <w:bookmarkEnd w:id="153"/>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154" w:name="_Toc154756897"/>
      <w:r>
        <w:rPr>
          <w:rStyle w:val="CharSectno"/>
        </w:rPr>
        <w:t>194</w:t>
      </w:r>
      <w:r>
        <w:t>.</w:t>
      </w:r>
      <w:r>
        <w:tab/>
        <w:t>Terms used</w:t>
      </w:r>
      <w:bookmarkEnd w:id="154"/>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155" w:name="_Toc154756898"/>
      <w:r>
        <w:rPr>
          <w:rStyle w:val="CharSectno"/>
        </w:rPr>
        <w:t>195</w:t>
      </w:r>
      <w:r>
        <w:t>.</w:t>
      </w:r>
      <w:r>
        <w:tab/>
        <w:t>Saving</w:t>
      </w:r>
      <w:bookmarkEnd w:id="155"/>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keepNext/>
      </w:pPr>
      <w:r>
        <w:lastRenderedPageBreak/>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156" w:name="_Toc154756899"/>
      <w:r>
        <w:rPr>
          <w:rStyle w:val="CharDivNo"/>
        </w:rPr>
        <w:t>Division 2</w:t>
      </w:r>
      <w:r>
        <w:t> — </w:t>
      </w:r>
      <w:r>
        <w:rPr>
          <w:rStyle w:val="CharDivText"/>
        </w:rPr>
        <w:t>Merger</w:t>
      </w:r>
      <w:bookmarkEnd w:id="156"/>
    </w:p>
    <w:p>
      <w:pPr>
        <w:pStyle w:val="Footnoteheading"/>
      </w:pPr>
      <w:r>
        <w:tab/>
        <w:t>[Heading inserted: No. 25 of 2013 s. 35.]</w:t>
      </w:r>
    </w:p>
    <w:p>
      <w:pPr>
        <w:pStyle w:val="Heading5"/>
      </w:pPr>
      <w:bookmarkStart w:id="157" w:name="_Toc154756900"/>
      <w:r>
        <w:rPr>
          <w:rStyle w:val="CharSectno"/>
        </w:rPr>
        <w:t>196</w:t>
      </w:r>
      <w:r>
        <w:t>.</w:t>
      </w:r>
      <w:r>
        <w:tab/>
        <w:t>Merger of corporations</w:t>
      </w:r>
      <w:bookmarkEnd w:id="157"/>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158" w:name="_Toc154756901"/>
      <w:r>
        <w:rPr>
          <w:rStyle w:val="CharSectno"/>
        </w:rPr>
        <w:t>197</w:t>
      </w:r>
      <w:r>
        <w:t>.</w:t>
      </w:r>
      <w:r>
        <w:tab/>
        <w:t>Corporations to implement or facilitate merger</w:t>
      </w:r>
      <w:bookmarkEnd w:id="158"/>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keepNext/>
        <w:spacing w:before="60"/>
      </w:pPr>
      <w:r>
        <w:lastRenderedPageBreak/>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159" w:name="_Toc154756902"/>
      <w:r>
        <w:rPr>
          <w:rStyle w:val="CharDivNo"/>
        </w:rPr>
        <w:t>Division 3</w:t>
      </w:r>
      <w:r>
        <w:t> — </w:t>
      </w:r>
      <w:r>
        <w:rPr>
          <w:rStyle w:val="CharDivText"/>
        </w:rPr>
        <w:t>Directions by Minister</w:t>
      </w:r>
      <w:bookmarkEnd w:id="159"/>
    </w:p>
    <w:p>
      <w:pPr>
        <w:pStyle w:val="Footnoteheading"/>
        <w:spacing w:before="80"/>
      </w:pPr>
      <w:r>
        <w:tab/>
        <w:t>[Heading inserted: No. 25 of 2013 s. 35.]</w:t>
      </w:r>
    </w:p>
    <w:p>
      <w:pPr>
        <w:pStyle w:val="Heading5"/>
        <w:spacing w:before="200"/>
      </w:pPr>
      <w:bookmarkStart w:id="160" w:name="_Toc154756903"/>
      <w:r>
        <w:rPr>
          <w:rStyle w:val="CharSectno"/>
        </w:rPr>
        <w:t>198</w:t>
      </w:r>
      <w:r>
        <w:t>.</w:t>
      </w:r>
      <w:r>
        <w:tab/>
        <w:t>Minister may give directions</w:t>
      </w:r>
      <w:bookmarkEnd w:id="160"/>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161" w:name="_Toc154756904"/>
      <w:r>
        <w:rPr>
          <w:rStyle w:val="CharSectno"/>
        </w:rPr>
        <w:t>199</w:t>
      </w:r>
      <w:r>
        <w:t>.</w:t>
      </w:r>
      <w:r>
        <w:tab/>
        <w:t>Directions to be laid before Parliament</w:t>
      </w:r>
      <w:bookmarkEnd w:id="161"/>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162" w:name="_Toc154756905"/>
      <w:r>
        <w:rPr>
          <w:rStyle w:val="CharDivNo"/>
        </w:rPr>
        <w:lastRenderedPageBreak/>
        <w:t>Division 4</w:t>
      </w:r>
      <w:r>
        <w:t> — </w:t>
      </w:r>
      <w:r>
        <w:rPr>
          <w:rStyle w:val="CharDivText"/>
        </w:rPr>
        <w:t>Devolution of assets, rights, liabilities and proceedings and related provisions</w:t>
      </w:r>
      <w:bookmarkEnd w:id="162"/>
    </w:p>
    <w:p>
      <w:pPr>
        <w:pStyle w:val="Footnoteheading"/>
        <w:keepNext/>
        <w:spacing w:before="80"/>
      </w:pPr>
      <w:r>
        <w:tab/>
        <w:t>[Heading inserted: No. 25 of 2013 s. 35.]</w:t>
      </w:r>
    </w:p>
    <w:p>
      <w:pPr>
        <w:pStyle w:val="Heading5"/>
      </w:pPr>
      <w:bookmarkStart w:id="163" w:name="_Toc154756906"/>
      <w:r>
        <w:rPr>
          <w:rStyle w:val="CharSectno"/>
        </w:rPr>
        <w:t>200</w:t>
      </w:r>
      <w:r>
        <w:t>.</w:t>
      </w:r>
      <w:r>
        <w:tab/>
        <w:t>Assets, rights and liabilities</w:t>
      </w:r>
      <w:bookmarkEnd w:id="163"/>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164" w:name="_Toc154756907"/>
      <w:r>
        <w:rPr>
          <w:rStyle w:val="CharSectno"/>
        </w:rPr>
        <w:t>201</w:t>
      </w:r>
      <w:r>
        <w:t>.</w:t>
      </w:r>
      <w:r>
        <w:tab/>
        <w:t>Proceedings and remedies</w:t>
      </w:r>
      <w:bookmarkEnd w:id="164"/>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165" w:name="_Toc154756908"/>
      <w:r>
        <w:rPr>
          <w:rStyle w:val="CharSectno"/>
        </w:rPr>
        <w:t>202</w:t>
      </w:r>
      <w:r>
        <w:t>.</w:t>
      </w:r>
      <w:r>
        <w:tab/>
        <w:t>Continuation of guarantees</w:t>
      </w:r>
      <w:bookmarkEnd w:id="165"/>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lastRenderedPageBreak/>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166" w:name="_Toc154756909"/>
      <w:r>
        <w:rPr>
          <w:rStyle w:val="CharSectno"/>
        </w:rPr>
        <w:t>203</w:t>
      </w:r>
      <w:r>
        <w:t>.</w:t>
      </w:r>
      <w:r>
        <w:tab/>
        <w:t>Joint tenancies preserved</w:t>
      </w:r>
      <w:bookmarkEnd w:id="166"/>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167" w:name="_Toc154756910"/>
      <w:r>
        <w:rPr>
          <w:rStyle w:val="CharSectno"/>
        </w:rPr>
        <w:t>204</w:t>
      </w:r>
      <w:r>
        <w:t>.</w:t>
      </w:r>
      <w:r>
        <w:tab/>
        <w:t>Exemption from State taxation</w:t>
      </w:r>
      <w:bookmarkEnd w:id="167"/>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lastRenderedPageBreak/>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168" w:name="_Toc154756911"/>
      <w:r>
        <w:rPr>
          <w:rStyle w:val="CharSectno"/>
        </w:rPr>
        <w:t>205</w:t>
      </w:r>
      <w:r>
        <w:t>.</w:t>
      </w:r>
      <w:r>
        <w:tab/>
        <w:t>Registration of documents</w:t>
      </w:r>
      <w:bookmarkEnd w:id="168"/>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lastRenderedPageBreak/>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169" w:name="_Toc154756912"/>
      <w:r>
        <w:rPr>
          <w:rStyle w:val="CharDivNo"/>
        </w:rPr>
        <w:t>Division 5</w:t>
      </w:r>
      <w:r>
        <w:t> — </w:t>
      </w:r>
      <w:r>
        <w:rPr>
          <w:rStyle w:val="CharDivText"/>
        </w:rPr>
        <w:t>Staff</w:t>
      </w:r>
      <w:bookmarkEnd w:id="169"/>
    </w:p>
    <w:p>
      <w:pPr>
        <w:pStyle w:val="Footnoteheading"/>
        <w:keepNext/>
      </w:pPr>
      <w:r>
        <w:tab/>
        <w:t>[Heading inserted: No. 25 of 2013 s. 35.]</w:t>
      </w:r>
    </w:p>
    <w:p>
      <w:pPr>
        <w:pStyle w:val="Heading5"/>
      </w:pPr>
      <w:bookmarkStart w:id="170" w:name="_Toc154756913"/>
      <w:r>
        <w:rPr>
          <w:rStyle w:val="CharSectno"/>
        </w:rPr>
        <w:t>206</w:t>
      </w:r>
      <w:r>
        <w:t>.</w:t>
      </w:r>
      <w:r>
        <w:tab/>
        <w:t>Members of staff</w:t>
      </w:r>
      <w:bookmarkEnd w:id="170"/>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171" w:name="_Toc154756914"/>
      <w:r>
        <w:rPr>
          <w:rStyle w:val="CharSectno"/>
        </w:rPr>
        <w:t>207</w:t>
      </w:r>
      <w:r>
        <w:t>.</w:t>
      </w:r>
      <w:r>
        <w:tab/>
        <w:t>Preservation of rights</w:t>
      </w:r>
      <w:bookmarkEnd w:id="171"/>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172" w:name="_Toc154756915"/>
      <w:r>
        <w:rPr>
          <w:rStyle w:val="CharDivNo"/>
        </w:rPr>
        <w:lastRenderedPageBreak/>
        <w:t>Division 6</w:t>
      </w:r>
      <w:r>
        <w:t> — </w:t>
      </w:r>
      <w:r>
        <w:rPr>
          <w:rStyle w:val="CharDivText"/>
        </w:rPr>
        <w:t>Other provisions</w:t>
      </w:r>
      <w:bookmarkEnd w:id="172"/>
    </w:p>
    <w:p>
      <w:pPr>
        <w:pStyle w:val="Footnoteheading"/>
      </w:pPr>
      <w:r>
        <w:tab/>
        <w:t>[Heading inserted: No. 25 of 2013 s. 35.]</w:t>
      </w:r>
    </w:p>
    <w:p>
      <w:pPr>
        <w:pStyle w:val="Heading5"/>
      </w:pPr>
      <w:bookmarkStart w:id="173" w:name="_Toc154756916"/>
      <w:r>
        <w:rPr>
          <w:rStyle w:val="CharSectno"/>
        </w:rPr>
        <w:t>208</w:t>
      </w:r>
      <w:r>
        <w:t>.</w:t>
      </w:r>
      <w:r>
        <w:tab/>
        <w:t>Renaming of continuing corporation does not affect status</w:t>
      </w:r>
      <w:bookmarkEnd w:id="173"/>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174" w:name="_Toc154756917"/>
      <w:r>
        <w:rPr>
          <w:rStyle w:val="CharSectno"/>
        </w:rPr>
        <w:t>209</w:t>
      </w:r>
      <w:r>
        <w:t>.</w:t>
      </w:r>
      <w:r>
        <w:tab/>
        <w:t>Compliance with policy instruments</w:t>
      </w:r>
      <w:bookmarkEnd w:id="174"/>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175" w:name="_Toc154756918"/>
      <w:r>
        <w:rPr>
          <w:rStyle w:val="CharSectno"/>
        </w:rPr>
        <w:t>210</w:t>
      </w:r>
      <w:r>
        <w:t>.</w:t>
      </w:r>
      <w:r>
        <w:tab/>
        <w:t>Financial reporting: merging corporation</w:t>
      </w:r>
      <w:bookmarkEnd w:id="175"/>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lastRenderedPageBreak/>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176" w:name="_Toc154756919"/>
      <w:r>
        <w:rPr>
          <w:rStyle w:val="CharSectno"/>
        </w:rPr>
        <w:t>211</w:t>
      </w:r>
      <w:r>
        <w:t>.</w:t>
      </w:r>
      <w:r>
        <w:tab/>
        <w:t>Financial reporting: continuing corporation</w:t>
      </w:r>
      <w:bookmarkEnd w:id="176"/>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lastRenderedPageBreak/>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177" w:name="_Toc154756920"/>
      <w:r>
        <w:rPr>
          <w:rStyle w:val="CharSectno"/>
        </w:rPr>
        <w:t>212</w:t>
      </w:r>
      <w:r>
        <w:t>.</w:t>
      </w:r>
      <w:r>
        <w:tab/>
        <w:t>Continuation of certain directions</w:t>
      </w:r>
      <w:bookmarkEnd w:id="177"/>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178" w:name="_Toc154756921"/>
      <w:r>
        <w:rPr>
          <w:rStyle w:val="CharSectno"/>
        </w:rPr>
        <w:t>213</w:t>
      </w:r>
      <w:r>
        <w:t>.</w:t>
      </w:r>
      <w:r>
        <w:tab/>
        <w:t>Amount in lieu of rates</w:t>
      </w:r>
      <w:bookmarkEnd w:id="178"/>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lastRenderedPageBreak/>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179" w:name="_Toc154756922"/>
      <w:r>
        <w:rPr>
          <w:rStyle w:val="CharSectno"/>
        </w:rPr>
        <w:t>214</w:t>
      </w:r>
      <w:r>
        <w:t>.</w:t>
      </w:r>
      <w:r>
        <w:tab/>
        <w:t>Dividends</w:t>
      </w:r>
      <w:bookmarkEnd w:id="179"/>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180" w:name="_Toc154756923"/>
      <w:r>
        <w:rPr>
          <w:rStyle w:val="CharSectno"/>
        </w:rPr>
        <w:t>215</w:t>
      </w:r>
      <w:r>
        <w:t>.</w:t>
      </w:r>
      <w:r>
        <w:tab/>
        <w:t>Completion of things commenced</w:t>
      </w:r>
      <w:bookmarkEnd w:id="180"/>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181" w:name="_Toc154756924"/>
      <w:r>
        <w:rPr>
          <w:rStyle w:val="CharSectno"/>
        </w:rPr>
        <w:t>216</w:t>
      </w:r>
      <w:r>
        <w:t>.</w:t>
      </w:r>
      <w:r>
        <w:tab/>
        <w:t>Continuing effect of things done</w:t>
      </w:r>
      <w:bookmarkEnd w:id="181"/>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lastRenderedPageBreak/>
        <w:tab/>
        <w:t>(3)</w:t>
      </w:r>
      <w:r>
        <w:tab/>
        <w:t>This section does not affect the operation of any other provision of this Part.</w:t>
      </w:r>
    </w:p>
    <w:p>
      <w:pPr>
        <w:pStyle w:val="Footnotesection"/>
      </w:pPr>
      <w:r>
        <w:tab/>
        <w:t>[Section 216 inserted: No. 25 of 2013 s. 35.]</w:t>
      </w:r>
    </w:p>
    <w:p>
      <w:pPr>
        <w:pStyle w:val="Heading5"/>
      </w:pPr>
      <w:bookmarkStart w:id="182" w:name="_Toc154756925"/>
      <w:r>
        <w:rPr>
          <w:rStyle w:val="CharSectno"/>
        </w:rPr>
        <w:t>217</w:t>
      </w:r>
      <w:r>
        <w:t>.</w:t>
      </w:r>
      <w:r>
        <w:tab/>
        <w:t>Immunity to continue</w:t>
      </w:r>
      <w:bookmarkEnd w:id="182"/>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183" w:name="_Toc154756926"/>
      <w:r>
        <w:rPr>
          <w:rStyle w:val="CharSectno"/>
        </w:rPr>
        <w:t>218</w:t>
      </w:r>
      <w:r>
        <w:t>.</w:t>
      </w:r>
      <w:r>
        <w:tab/>
        <w:t>Agreements, instruments and documents</w:t>
      </w:r>
      <w:bookmarkEnd w:id="183"/>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184" w:name="_Toc154756927"/>
      <w:r>
        <w:rPr>
          <w:rStyle w:val="CharSectno"/>
        </w:rPr>
        <w:lastRenderedPageBreak/>
        <w:t>219</w:t>
      </w:r>
      <w:r>
        <w:t>.</w:t>
      </w:r>
      <w:r>
        <w:tab/>
        <w:t>Treasurer may give indemnity and guarantee</w:t>
      </w:r>
      <w:bookmarkEnd w:id="184"/>
    </w:p>
    <w:p>
      <w:pPr>
        <w:pStyle w:val="Subsection"/>
        <w:keepNext/>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185" w:name="_Toc154756928"/>
      <w:r>
        <w:rPr>
          <w:rStyle w:val="CharSectno"/>
        </w:rPr>
        <w:t>220</w:t>
      </w:r>
      <w:r>
        <w:t>.</w:t>
      </w:r>
      <w:r>
        <w:tab/>
        <w:t>Government agreements not affected</w:t>
      </w:r>
      <w:bookmarkEnd w:id="185"/>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186" w:name="_Toc154756929"/>
      <w:r>
        <w:rPr>
          <w:rStyle w:val="CharSectno"/>
        </w:rPr>
        <w:t>221</w:t>
      </w:r>
      <w:r>
        <w:t>.</w:t>
      </w:r>
      <w:r>
        <w:tab/>
        <w:t>Transitional regulations</w:t>
      </w:r>
      <w:bookmarkEnd w:id="186"/>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lastRenderedPageBreak/>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pgNumType w:start="1"/>
          <w:cols w:space="720"/>
          <w:noEndnote/>
          <w:titlePg/>
          <w:docGrid w:linePitch="326"/>
        </w:sectPr>
      </w:pPr>
    </w:p>
    <w:p>
      <w:pPr>
        <w:pStyle w:val="yEdnoteschedule"/>
      </w:pPr>
      <w:r>
        <w:lastRenderedPageBreak/>
        <w:t>[Schedules 1-4 deleted: No. 13 of 2023 s. 211.]</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88" w:name="_Toc154756930"/>
      <w:r>
        <w:lastRenderedPageBreak/>
        <w:t>Notes</w:t>
      </w:r>
      <w:bookmarkEnd w:id="188"/>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3</w:t>
      </w:r>
      <w:r>
        <w:t xml:space="preserve">. For provisions that have come into operation, and for information about any reprints, see the compilation table. </w:t>
      </w:r>
    </w:p>
    <w:p>
      <w:pPr>
        <w:pStyle w:val="nHeading3"/>
      </w:pPr>
      <w:bookmarkStart w:id="189" w:name="_Toc154756931"/>
      <w:r>
        <w:t>Compilation table</w:t>
      </w:r>
      <w:bookmarkEnd w:id="189"/>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4</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lastRenderedPageBreak/>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bottom w:val="nil"/>
            </w:tcBorders>
          </w:tcPr>
          <w:p>
            <w:pPr>
              <w:pStyle w:val="nTable"/>
              <w:spacing w:after="40"/>
            </w:pPr>
            <w:r>
              <w:rPr>
                <w:i/>
                <w:snapToGrid w:val="0"/>
              </w:rPr>
              <w:t>Swan Valley Planning Act 2020</w:t>
            </w:r>
            <w:r>
              <w:rPr>
                <w:snapToGrid w:val="0"/>
              </w:rPr>
              <w:t xml:space="preserve"> Pt. 10 Div. 2</w:t>
            </w:r>
          </w:p>
        </w:tc>
        <w:tc>
          <w:tcPr>
            <w:tcW w:w="1134" w:type="dxa"/>
            <w:tcBorders>
              <w:top w:val="nil"/>
              <w:bottom w:val="nil"/>
            </w:tcBorders>
          </w:tcPr>
          <w:p>
            <w:pPr>
              <w:pStyle w:val="nTable"/>
              <w:spacing w:after="40"/>
            </w:pPr>
            <w:r>
              <w:t>45 of 2020</w:t>
            </w:r>
          </w:p>
        </w:tc>
        <w:tc>
          <w:tcPr>
            <w:tcW w:w="1120" w:type="dxa"/>
            <w:tcBorders>
              <w:top w:val="nil"/>
              <w:bottom w:val="nil"/>
            </w:tcBorders>
          </w:tcPr>
          <w:p>
            <w:pPr>
              <w:pStyle w:val="nTable"/>
              <w:spacing w:after="40"/>
            </w:pPr>
            <w:r>
              <w:t>9 Dec 2020</w:t>
            </w:r>
          </w:p>
        </w:tc>
        <w:tc>
          <w:tcPr>
            <w:tcW w:w="2575" w:type="dxa"/>
            <w:gridSpan w:val="2"/>
            <w:tcBorders>
              <w:top w:val="nil"/>
              <w:bottom w:val="nil"/>
            </w:tcBorders>
          </w:tcPr>
          <w:p>
            <w:pPr>
              <w:pStyle w:val="nTable"/>
              <w:spacing w:after="40"/>
              <w:rPr>
                <w:snapToGrid w:val="0"/>
              </w:rPr>
            </w:pPr>
            <w:r>
              <w:rPr>
                <w:snapToGrid w:val="0"/>
              </w:rPr>
              <w:t>1 Aug 2021 (see s. 2(1)(e) and SL 2021/124 cl. 2)</w:t>
            </w:r>
          </w:p>
        </w:tc>
      </w:tr>
      <w:tr>
        <w:tc>
          <w:tcPr>
            <w:tcW w:w="2268" w:type="dxa"/>
            <w:tcBorders>
              <w:top w:val="nil"/>
            </w:tcBorders>
          </w:tcPr>
          <w:p>
            <w:pPr>
              <w:pStyle w:val="nTable"/>
              <w:spacing w:after="40"/>
              <w:rPr>
                <w:i/>
                <w:snapToGrid w:val="0"/>
              </w:rPr>
            </w:pPr>
            <w:r>
              <w:rPr>
                <w:i/>
              </w:rPr>
              <w:t>Government Trading Enterprises Act 2023</w:t>
            </w:r>
            <w:r>
              <w:t xml:space="preserve"> Pt. 12 Div. 1</w:t>
            </w:r>
          </w:p>
        </w:tc>
        <w:tc>
          <w:tcPr>
            <w:tcW w:w="1134" w:type="dxa"/>
            <w:tcBorders>
              <w:top w:val="nil"/>
            </w:tcBorders>
          </w:tcPr>
          <w:p>
            <w:pPr>
              <w:pStyle w:val="nTable"/>
              <w:spacing w:after="40"/>
            </w:pPr>
            <w:r>
              <w:t>13 of 2023</w:t>
            </w:r>
          </w:p>
        </w:tc>
        <w:tc>
          <w:tcPr>
            <w:tcW w:w="1120" w:type="dxa"/>
            <w:tcBorders>
              <w:top w:val="nil"/>
            </w:tcBorders>
          </w:tcPr>
          <w:p>
            <w:pPr>
              <w:pStyle w:val="nTable"/>
              <w:spacing w:after="40"/>
            </w:pPr>
            <w:r>
              <w:t>22 Jun 2023</w:t>
            </w:r>
          </w:p>
        </w:tc>
        <w:tc>
          <w:tcPr>
            <w:tcW w:w="2575" w:type="dxa"/>
            <w:gridSpan w:val="2"/>
            <w:tcBorders>
              <w:top w:val="nil"/>
            </w:tcBorders>
          </w:tcPr>
          <w:p>
            <w:pPr>
              <w:pStyle w:val="nTable"/>
              <w:spacing w:after="40"/>
              <w:rPr>
                <w:snapToGrid w:val="0"/>
              </w:rPr>
            </w:pPr>
            <w:r>
              <w:t>1 Jul 2023 (see s. 2(b) and SL 2023/89 cl. 2)</w:t>
            </w:r>
          </w:p>
        </w:tc>
      </w:tr>
    </w:tbl>
    <w:p>
      <w:pPr>
        <w:pStyle w:val="nHeading3"/>
      </w:pPr>
      <w:bookmarkStart w:id="190" w:name="_Toc154756932"/>
      <w:r>
        <w:lastRenderedPageBreak/>
        <w:t>Other notes</w:t>
      </w:r>
      <w:bookmarkEnd w:id="190"/>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4</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92" w:name="_Toc154756933"/>
      <w:r>
        <w:rPr>
          <w:sz w:val="28"/>
        </w:rPr>
        <w:lastRenderedPageBreak/>
        <w:t>Defined terms</w:t>
      </w:r>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business arrangement</w:t>
      </w:r>
      <w:r>
        <w:tab/>
        <w:t>59(1)</w:t>
      </w:r>
    </w:p>
    <w:p>
      <w:pPr>
        <w:pStyle w:val="DefinedTerms"/>
      </w:pPr>
      <w:r>
        <w:t>commencement day</w:t>
      </w:r>
      <w:r>
        <w:tab/>
        <w:t>142(1)</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customer</w:t>
      </w:r>
      <w:r>
        <w:tab/>
        <w:t>54(1)</w:t>
      </w:r>
    </w:p>
    <w:p>
      <w:pPr>
        <w:pStyle w:val="DefinedTerms"/>
      </w:pPr>
      <w:r>
        <w:t>daily amount</w:t>
      </w:r>
      <w:r>
        <w:tab/>
        <w:t>39(4), 63A(4)</w:t>
      </w:r>
    </w:p>
    <w:p>
      <w:pPr>
        <w:pStyle w:val="DefinedTerms"/>
      </w:pPr>
      <w:r>
        <w:t>declared matters</w:t>
      </w:r>
      <w:r>
        <w:tab/>
        <w:t>53(2)</w:t>
      </w:r>
    </w:p>
    <w:p>
      <w:pPr>
        <w:pStyle w:val="DefinedTerms"/>
      </w:pPr>
      <w:r>
        <w:t>distribution licence</w:t>
      </w:r>
      <w:r>
        <w:tab/>
        <w:t>54(1)</w:t>
      </w:r>
    </w:p>
    <w:p>
      <w:pPr>
        <w:pStyle w:val="DefinedTerms"/>
      </w:pPr>
      <w:r>
        <w:t>dividend function</w:t>
      </w:r>
      <w:r>
        <w:tab/>
        <w:t>214(1)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GTE Act</w:t>
      </w:r>
      <w:r>
        <w:tab/>
        <w:t>3(1)</w:t>
      </w:r>
    </w:p>
    <w:p>
      <w:pPr>
        <w:pStyle w:val="DefinedTerms"/>
      </w:pPr>
      <w:r>
        <w:t>instrument</w:t>
      </w:r>
      <w:r>
        <w:tab/>
        <w:t>187(1)</w:t>
      </w:r>
    </w:p>
    <w:p>
      <w:pPr>
        <w:pStyle w:val="DefinedTerms"/>
      </w:pPr>
      <w:r>
        <w:t>integrated regional licence</w:t>
      </w:r>
      <w:r>
        <w:tab/>
        <w:t>54(1)</w:t>
      </w:r>
    </w:p>
    <w:p>
      <w:pPr>
        <w:pStyle w:val="DefinedTerms"/>
      </w:pPr>
      <w:r>
        <w:t>last financial year</w:t>
      </w:r>
      <w:r>
        <w:tab/>
        <w:t>210(6), 211(2)</w:t>
      </w:r>
    </w:p>
    <w:p>
      <w:pPr>
        <w:pStyle w:val="DefinedTerms"/>
      </w:pPr>
      <w:r>
        <w:t>last quarter</w:t>
      </w:r>
      <w:r>
        <w:tab/>
        <w:t>210(4)</w:t>
      </w:r>
    </w:p>
    <w:p>
      <w:pPr>
        <w:pStyle w:val="DefinedTerms"/>
      </w:pPr>
      <w:r>
        <w:t>liability</w:t>
      </w:r>
      <w:r>
        <w:tab/>
        <w:t>142(1), 192(3), 194, 219(1)</w:t>
      </w:r>
    </w:p>
    <w:p>
      <w:pPr>
        <w:pStyle w:val="DefinedTerms"/>
      </w:pPr>
      <w:r>
        <w:lastRenderedPageBreak/>
        <w:t>management</w:t>
      </w:r>
      <w:r>
        <w:tab/>
        <w:t>21(2)</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original guarantee</w:t>
      </w:r>
      <w:r>
        <w:tab/>
        <w:t>174(2)</w:t>
      </w:r>
    </w:p>
    <w:p>
      <w:pPr>
        <w:pStyle w:val="DefinedTerms"/>
      </w:pPr>
      <w:r>
        <w:t>participate</w:t>
      </w:r>
      <w:r>
        <w:tab/>
        <w:t>59(1)</w:t>
      </w:r>
    </w:p>
    <w:p>
      <w:pPr>
        <w:pStyle w:val="DefinedTerms"/>
      </w:pPr>
      <w:r>
        <w:t>prescribed contract</w:t>
      </w:r>
      <w:r>
        <w:tab/>
        <w:t>80</w:t>
      </w:r>
    </w:p>
    <w:p>
      <w:pPr>
        <w:pStyle w:val="DefinedTerms"/>
      </w:pPr>
      <w:r>
        <w:t>prescribed customer</w:t>
      </w:r>
      <w:r>
        <w:tab/>
        <w:t>54(1)</w:t>
      </w:r>
    </w:p>
    <w:p>
      <w:pPr>
        <w:pStyle w:val="DefinedTerms"/>
      </w:pPr>
      <w:r>
        <w:t>principal Act</w:t>
      </w:r>
      <w:r>
        <w:tab/>
        <w:t>142(1)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segregation arrangements</w:t>
      </w:r>
      <w:r>
        <w:tab/>
        <w:t>62(1), 63A(1)</w:t>
      </w:r>
    </w:p>
    <w:p>
      <w:pPr>
        <w:pStyle w:val="DefinedTerms"/>
      </w:pPr>
      <w:r>
        <w:t>services</w:t>
      </w:r>
      <w:r>
        <w:tab/>
        <w:t>54(1)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transfer order</w:t>
      </w:r>
      <w:r>
        <w:tab/>
        <w:t>142(1)</w:t>
      </w:r>
    </w:p>
    <w:p>
      <w:pPr>
        <w:pStyle w:val="DefinedTerms"/>
      </w:pPr>
      <w:r>
        <w:t>transitional regulations</w:t>
      </w:r>
      <w:r>
        <w:tab/>
        <w:t>194, 221(1)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D8453D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5E6758" w14:textId="1AB21C42" w:rsidR="007F1D63" w:rsidRDefault="007F1D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6AF56D5" w14:textId="77777777" w:rsidR="007F1D63" w:rsidRDefault="007F1D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A32E9A" w14:textId="2618A42D" w:rsidR="007F1D63" w:rsidRDefault="007F1D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23FA248" w14:textId="77777777" w:rsidR="007F1D63" w:rsidRDefault="007F1D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7" w:name="Schedule"/>
    <w:bookmarkEnd w:id="1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550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 w:name="WAFER_20230628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212_GUID" w:val="091b90c0-00a9-4732-82d9-94601c2955c7"/>
    <w:docVar w:name="WAFER_2023122209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09_GUID" w:val="b18f16fc-d7d2-406f-8552-8684a16013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25AD8-F611-4096-BE49-69BD7FE62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25016</Words>
  <Characters>124085</Characters>
  <Application>Microsoft Office Word</Application>
  <DocSecurity>0</DocSecurity>
  <Lines>3446</Lines>
  <Paragraphs>2259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146842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2005 - 03-h0-02</dc:title>
  <dc:subject/>
  <dc:creator/>
  <cp:keywords/>
  <dc:description/>
  <cp:lastModifiedBy>Master Repository Process</cp:lastModifiedBy>
  <cp:revision>4</cp:revision>
  <cp:lastPrinted>2019-06-05T03:08:00Z</cp:lastPrinted>
  <dcterms:created xsi:type="dcterms:W3CDTF">2023-12-29T07:38:00Z</dcterms:created>
  <dcterms:modified xsi:type="dcterms:W3CDTF">2023-12-29T07:38:00Z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03-h0-02</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