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Authorities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_Toc200368254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_Toc200368255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_Toc200368256 \h </w:instrText>
      </w:r>
      <w:r>
        <w:fldChar w:fldCharType="separate"/>
      </w:r>
      <w:r>
        <w:t>2</w:t>
      </w:r>
      <w:r>
        <w:fldChar w:fldCharType="end"/>
      </w:r>
    </w:p>
    <w:p>
      <w:pPr>
        <w:pStyle w:val="TOC8"/>
        <w:rPr>
          <w:rFonts w:asciiTheme="minorHAnsi" w:eastAsiaTheme="minorEastAsia" w:hAnsiTheme="minorHAnsi" w:cstheme="minorBidi"/>
          <w:szCs w:val="22"/>
        </w:rPr>
      </w:pPr>
      <w:r>
        <w:t>3A.</w:t>
      </w:r>
      <w:r>
        <w:tab/>
        <w:t>Relationship to GTE Act</w:t>
      </w:r>
      <w:r>
        <w:tab/>
      </w:r>
      <w:r>
        <w:fldChar w:fldCharType="begin"/>
      </w:r>
      <w:r>
        <w:instrText xml:space="preserve"> PAGEREF _Toc200368257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77"/>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_Toc200368260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_Toc200368261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_Toc200368262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Community consultation committees</w:t>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_Toc200368264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_Toc200368266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_Toc200368267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_Toc200368268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_Toc200368269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xml:space="preserve"> — </w:t>
      </w:r>
      <w:r>
        <w:t>Conduct and integrity of staff</w:t>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_Toc200368271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_Toc200368272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_Toc200368273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_Toc200368275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_Toc200368276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_Toc200368277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_Toc200368278 \h </w:instrText>
      </w:r>
      <w:r>
        <w:fldChar w:fldCharType="separate"/>
      </w:r>
      <w:r>
        <w:t>15</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_Toc200368279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_Toc200368280 \h </w:instrText>
      </w:r>
      <w:r>
        <w:fldChar w:fldCharType="separate"/>
      </w:r>
      <w:r>
        <w:t>16</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_Toc200368281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_Toc200368282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_Toc200368284 \h </w:instrText>
      </w:r>
      <w:r>
        <w:fldChar w:fldCharType="separate"/>
      </w:r>
      <w:r>
        <w:t>18</w:t>
      </w:r>
      <w:r>
        <w:fldChar w:fldCharType="end"/>
      </w:r>
    </w:p>
    <w:p>
      <w:pPr>
        <w:pStyle w:val="TOC8"/>
        <w:rPr>
          <w:rFonts w:asciiTheme="minorHAnsi" w:eastAsiaTheme="minorEastAsia" w:hAnsiTheme="minorHAnsi" w:cstheme="minorBidi"/>
          <w:szCs w:val="22"/>
        </w:rPr>
      </w:pPr>
      <w:r>
        <w:t>31.</w:t>
      </w:r>
      <w:r>
        <w:tab/>
        <w:t xml:space="preserve">Relationship to </w:t>
      </w:r>
      <w:r>
        <w:rPr>
          <w:i/>
        </w:rPr>
        <w:t>Environmental Protection Act 1986</w:t>
      </w:r>
      <w:r>
        <w:tab/>
      </w:r>
      <w:r>
        <w:fldChar w:fldCharType="begin"/>
      </w:r>
      <w:r>
        <w:instrText xml:space="preserve"> PAGEREF _Toc200368285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r>
      <w:r>
        <w:t>Port authority has control of port</w:t>
      </w:r>
      <w:r>
        <w:tab/>
      </w:r>
      <w:r>
        <w:fldChar w:fldCharType="begin"/>
      </w:r>
      <w:r>
        <w:instrText xml:space="preserve"> PAGEREF _Toc200368286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_Toc200368287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_Toc200368288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_Toc200368289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_Toc200368290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_Toc200368291 \h </w:instrText>
      </w:r>
      <w:r>
        <w:fldChar w:fldCharType="separate"/>
      </w:r>
      <w:r>
        <w:t>25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_Toc200368292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Navigation and port matters</w:t>
      </w:r>
    </w:p>
    <w:p>
      <w:pPr>
        <w:pStyle w:val="TOC4"/>
        <w:tabs>
          <w:tab w:val="right" w:leader="dot" w:pos="7077"/>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_Toc200368295 \h </w:instrText>
      </w:r>
      <w:r>
        <w:fldChar w:fldCharType="separate"/>
      </w:r>
      <w:r>
        <w:t>27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_Toc200368296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_Toc200368298 \h </w:instrText>
      </w:r>
      <w:r>
        <w:fldChar w:fldCharType="separate"/>
      </w:r>
      <w:r>
        <w:t>28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_Toc200368299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97</w:t>
      </w:r>
      <w:r>
        <w:rPr>
          <w:snapToGrid w:val="0"/>
        </w:rPr>
        <w:t>.</w:t>
      </w:r>
      <w:r>
        <w:rPr>
          <w:snapToGrid w:val="0"/>
        </w:rPr>
        <w:tab/>
        <w:t>Pilotage compulsory in ports</w:t>
      </w:r>
      <w:r>
        <w:tab/>
      </w:r>
      <w:r>
        <w:fldChar w:fldCharType="begin"/>
      </w:r>
      <w:r>
        <w:instrText xml:space="preserve"> PAGEREF _Toc200368300 \h </w:instrText>
      </w:r>
      <w:r>
        <w:fldChar w:fldCharType="separate"/>
      </w:r>
      <w:r>
        <w:t>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_Toc200368301 \h </w:instrText>
      </w:r>
      <w:r>
        <w:fldChar w:fldCharType="separate"/>
      </w:r>
      <w:r>
        <w:t>31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_Toc200368302 \h </w:instrText>
      </w:r>
      <w:r>
        <w:fldChar w:fldCharType="separate"/>
      </w:r>
      <w:r>
        <w:t>31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_Toc200368303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_Toc200368305 \h </w:instrText>
      </w:r>
      <w:r>
        <w:fldChar w:fldCharType="separate"/>
      </w:r>
      <w:r>
        <w:t>32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_Toc200368306 \h </w:instrText>
      </w:r>
      <w:r>
        <w:fldChar w:fldCharType="separate"/>
      </w:r>
      <w:r>
        <w:t>32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_Toc200368307 \h </w:instrText>
      </w:r>
      <w:r>
        <w:fldChar w:fldCharType="separate"/>
      </w:r>
      <w:r>
        <w:t>33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_Toc200368308 \h </w:instrText>
      </w:r>
      <w:r>
        <w:fldChar w:fldCharType="separate"/>
      </w:r>
      <w:r>
        <w:t>34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_Toc200368309 \h </w:instrText>
      </w:r>
      <w:r>
        <w:fldChar w:fldCharType="separate"/>
      </w:r>
      <w:r>
        <w:t>34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_Toc200368310 \h </w:instrText>
      </w:r>
      <w:r>
        <w:fldChar w:fldCharType="separate"/>
      </w:r>
      <w:r>
        <w:t>35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_Toc200368311 \h </w:instrText>
      </w:r>
      <w:r>
        <w:fldChar w:fldCharType="separate"/>
      </w:r>
      <w:r>
        <w:t>35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_Toc200368312 \h </w:instrText>
      </w:r>
      <w:r>
        <w:fldChar w:fldCharType="separate"/>
      </w:r>
      <w:r>
        <w:t>35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_Toc200368313 \h </w:instrText>
      </w:r>
      <w:r>
        <w:fldChar w:fldCharType="separate"/>
      </w:r>
      <w:r>
        <w:t>35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_Toc200368314 \h </w:instrText>
      </w:r>
      <w:r>
        <w:fldChar w:fldCharType="separate"/>
      </w:r>
      <w:r>
        <w:t>36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_Toc200368315 \h </w:instrText>
      </w:r>
      <w:r>
        <w:fldChar w:fldCharType="separate"/>
      </w:r>
      <w:r>
        <w:t>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_Toc200368316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_Toc200368318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_Toc200368320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_Toc200368322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_Toc200368324 \h </w:instrText>
      </w:r>
      <w:r>
        <w:fldChar w:fldCharType="separate"/>
      </w:r>
      <w:r>
        <w:t>40</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_Toc200368325 \h </w:instrText>
      </w:r>
      <w:r>
        <w:fldChar w:fldCharType="separate"/>
      </w:r>
      <w:r>
        <w:t>41</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_Toc200368326 \h </w:instrText>
      </w:r>
      <w:r>
        <w:fldChar w:fldCharType="separate"/>
      </w:r>
      <w:r>
        <w:t>41</w:t>
      </w:r>
      <w:r>
        <w:fldChar w:fldCharType="end"/>
      </w:r>
    </w:p>
    <w:p>
      <w:pPr>
        <w:pStyle w:val="TOC8"/>
        <w:rPr>
          <w:rFonts w:asciiTheme="minorHAnsi" w:eastAsiaTheme="minorEastAsia" w:hAnsiTheme="minorHAnsi" w:cstheme="minorBidi"/>
          <w:szCs w:val="22"/>
        </w:rPr>
      </w:pPr>
      <w:r>
        <w:lastRenderedPageBreak/>
        <w:t>114EA.</w:t>
      </w:r>
      <w:r>
        <w:tab/>
        <w:t>Immunity from liability for acts or omissions of port users</w:t>
      </w:r>
      <w:r>
        <w:tab/>
      </w:r>
      <w:r>
        <w:fldChar w:fldCharType="begin"/>
      </w:r>
      <w:r>
        <w:instrText xml:space="preserve"> PAGEREF _Toc200368327 \h </w:instrText>
      </w:r>
      <w:r>
        <w:fldChar w:fldCharType="separate"/>
      </w:r>
      <w:r>
        <w:t>41</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_Toc200368328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_Toc200368330 \h </w:instrText>
      </w:r>
      <w:r>
        <w:fldChar w:fldCharType="separate"/>
      </w:r>
      <w:r>
        <w:t>43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_Toc200368331 \h </w:instrText>
      </w:r>
      <w:r>
        <w:fldChar w:fldCharType="separate"/>
      </w:r>
      <w:r>
        <w:t>43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_Toc200368332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_Toc200368333 \h </w:instrText>
      </w:r>
      <w:r>
        <w:fldChar w:fldCharType="separate"/>
      </w:r>
      <w:r>
        <w:t>44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_Toc200368334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 for offences</w:t>
      </w:r>
    </w:p>
    <w:p>
      <w:pPr>
        <w:pStyle w:val="TOC4"/>
        <w:tabs>
          <w:tab w:val="right" w:leader="dot" w:pos="7077"/>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_Toc200368337 \h </w:instrText>
      </w:r>
      <w:r>
        <w:fldChar w:fldCharType="separate"/>
      </w:r>
      <w:r>
        <w:t>45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_Toc200368338 \h </w:instrText>
      </w:r>
      <w:r>
        <w:fldChar w:fldCharType="separate"/>
      </w:r>
      <w:r>
        <w:t>45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_Toc200368339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_Toc200368341 \h </w:instrText>
      </w:r>
      <w:r>
        <w:fldChar w:fldCharType="separate"/>
      </w:r>
      <w:r>
        <w:t>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_Toc200368342 \h </w:instrText>
      </w:r>
      <w:r>
        <w:fldChar w:fldCharType="separate"/>
      </w:r>
      <w:r>
        <w:t>46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_Toc200368343 \h </w:instrText>
      </w:r>
      <w:r>
        <w:fldChar w:fldCharType="separate"/>
      </w:r>
      <w:r>
        <w:t>46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_Toc200368344 \h </w:instrText>
      </w:r>
      <w:r>
        <w:fldChar w:fldCharType="separate"/>
      </w:r>
      <w:r>
        <w:t>47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_Toc200368345 \h </w:instrText>
      </w:r>
      <w:r>
        <w:fldChar w:fldCharType="separate"/>
      </w:r>
      <w:r>
        <w:t>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_Toc200368346 \h </w:instrText>
      </w:r>
      <w:r>
        <w:fldChar w:fldCharType="separate"/>
      </w:r>
      <w:r>
        <w:t>47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_Toc200368347 \h </w:instrText>
      </w:r>
      <w:r>
        <w:fldChar w:fldCharType="separate"/>
      </w:r>
      <w:r>
        <w:t>48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_Toc200368348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_Toc200368350 \h </w:instrText>
      </w:r>
      <w:r>
        <w:fldChar w:fldCharType="separate"/>
      </w:r>
      <w:r>
        <w:t>49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_Toc200368351 \h </w:instrText>
      </w:r>
      <w:r>
        <w:fldChar w:fldCharType="separate"/>
      </w:r>
      <w:r>
        <w:t>49</w:t>
      </w:r>
      <w:r>
        <w:fldChar w:fldCharType="end"/>
      </w:r>
    </w:p>
    <w:p>
      <w:pPr>
        <w:pStyle w:val="TOC8"/>
        <w:rPr>
          <w:rFonts w:asciiTheme="minorHAnsi" w:eastAsiaTheme="minorEastAsia" w:hAnsiTheme="minorHAnsi" w:cstheme="minorBidi"/>
          <w:szCs w:val="22"/>
        </w:rPr>
      </w:pPr>
      <w:r>
        <w:t>133.</w:t>
      </w:r>
      <w:r>
        <w:tab/>
        <w:t>Laying documents before Parliament not sitting</w:t>
      </w:r>
      <w:r>
        <w:tab/>
      </w:r>
      <w:r>
        <w:fldChar w:fldCharType="begin"/>
      </w:r>
      <w:r>
        <w:instrText xml:space="preserve"> PAGEREF _Toc200368352 \h </w:instrText>
      </w:r>
      <w:r>
        <w:fldChar w:fldCharType="separate"/>
      </w:r>
      <w:r>
        <w:t>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_Toc200368353 \h </w:instrText>
      </w:r>
      <w:r>
        <w:fldChar w:fldCharType="separate"/>
      </w:r>
      <w:r>
        <w:t>50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_Toc200368354 \h </w:instrText>
      </w:r>
      <w:r>
        <w:fldChar w:fldCharType="separate"/>
      </w:r>
      <w:r>
        <w:t>50</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_Toc200368355 \h </w:instrText>
      </w:r>
      <w:r>
        <w:fldChar w:fldCharType="separate"/>
      </w:r>
      <w:r>
        <w:t>51</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_Toc200368356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_Toc200368358 \h </w:instrText>
      </w:r>
      <w:r>
        <w:fldChar w:fldCharType="separate"/>
      </w:r>
      <w:r>
        <w:t>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_Toc200368359 \h </w:instrText>
      </w:r>
      <w:r>
        <w:fldChar w:fldCharType="separate"/>
      </w:r>
      <w:r>
        <w:t>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_Toc200368360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142</w:t>
      </w:r>
      <w:r>
        <w:rPr>
          <w:snapToGrid w:val="0"/>
        </w:rPr>
        <w:t>.</w:t>
      </w:r>
      <w:r>
        <w:rPr>
          <w:snapToGrid w:val="0"/>
        </w:rPr>
        <w:tab/>
        <w:t>References to other approvals or decisions</w:t>
      </w:r>
      <w:r>
        <w:tab/>
      </w:r>
      <w:r>
        <w:fldChar w:fldCharType="begin"/>
      </w:r>
      <w:r>
        <w:instrText xml:space="preserve"> PAGEREF _Toc200368361 \h </w:instrText>
      </w:r>
      <w:r>
        <w:fldChar w:fldCharType="separate"/>
      </w:r>
      <w:r>
        <w:t>53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_Toc200368362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Port authorities and ports</w:t>
      </w:r>
    </w:p>
    <w:p>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pPr>
        <w:pStyle w:val="TOC4"/>
        <w:tabs>
          <w:tab w:val="right" w:leader="dot" w:pos="7077"/>
        </w:tabs>
        <w:rPr>
          <w:rFonts w:asciiTheme="minorHAnsi" w:eastAsiaTheme="minorEastAsia" w:hAnsiTheme="minorHAnsi" w:cstheme="minorBidi"/>
          <w:b w:val="0"/>
          <w:szCs w:val="22"/>
        </w:rPr>
      </w:pPr>
      <w:r>
        <w:t>Division 1 — Port of Dampier</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_Toc200368366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_Toc200368367 \h </w:instrText>
      </w:r>
      <w:r>
        <w:fldChar w:fldCharType="separate"/>
      </w:r>
      <w:r>
        <w:t>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_Toc200368368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_Toc200368369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_Toc200368370 \h </w:instrText>
      </w:r>
      <w:r>
        <w:fldChar w:fldCharType="separate"/>
      </w:r>
      <w:r>
        <w:t>57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_Toc200368371 \h </w:instrText>
      </w:r>
      <w:r>
        <w:fldChar w:fldCharType="separate"/>
      </w:r>
      <w:r>
        <w:t>57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_Toc200368372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Port of Port Hedland</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_Toc200368374 \h </w:instrText>
      </w:r>
      <w:r>
        <w:fldChar w:fldCharType="separate"/>
      </w:r>
      <w:r>
        <w:t>59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_Toc200368375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_Toc200368376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_Toc200368381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_Toc200368383 \h </w:instrText>
      </w:r>
      <w:r>
        <w:fldChar w:fldCharType="separate"/>
      </w:r>
      <w:r>
        <w:t>66</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_Toc200368384 \h </w:instrText>
      </w:r>
      <w:r>
        <w:fldChar w:fldCharType="separate"/>
      </w:r>
      <w:r>
        <w:t>66</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_Toc200368385 \h </w:instrText>
      </w:r>
      <w:r>
        <w:fldChar w:fldCharType="separate"/>
      </w:r>
      <w:r>
        <w:t>66</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_Toc200368386 \h </w:instrText>
      </w:r>
      <w:r>
        <w:fldChar w:fldCharType="separate"/>
      </w:r>
      <w:r>
        <w:t>67</w:t>
      </w:r>
      <w:r>
        <w:fldChar w:fldCharType="end"/>
      </w:r>
    </w:p>
    <w:p>
      <w:pPr>
        <w:pStyle w:val="TOC8"/>
        <w:rPr>
          <w:rFonts w:asciiTheme="minorHAnsi" w:eastAsiaTheme="minorEastAsia" w:hAnsiTheme="minorHAnsi" w:cstheme="minorBidi"/>
          <w:szCs w:val="22"/>
        </w:rPr>
      </w:pPr>
      <w:r>
        <w:lastRenderedPageBreak/>
        <w:t>6.</w:t>
      </w:r>
      <w:r>
        <w:tab/>
        <w:t>CEOs and members of staff</w:t>
      </w:r>
      <w:r>
        <w:tab/>
      </w:r>
      <w:r>
        <w:fldChar w:fldCharType="begin"/>
      </w:r>
      <w:r>
        <w:instrText xml:space="preserve"> PAGEREF _Toc200368387 \h </w:instrText>
      </w:r>
      <w:r>
        <w:fldChar w:fldCharType="separate"/>
      </w:r>
      <w:r>
        <w:t>68</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_Toc200368388 \h </w:instrText>
      </w:r>
      <w:r>
        <w:fldChar w:fldCharType="separate"/>
      </w:r>
      <w:r>
        <w:t>68</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_Toc200368389 \h </w:instrText>
      </w:r>
      <w:r>
        <w:fldChar w:fldCharType="separate"/>
      </w:r>
      <w:r>
        <w:t>69</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_Toc200368390 \h </w:instrText>
      </w:r>
      <w:r>
        <w:fldChar w:fldCharType="separate"/>
      </w:r>
      <w:r>
        <w:t>70</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_Toc200368391 \h </w:instrText>
      </w:r>
      <w:r>
        <w:fldChar w:fldCharType="separate"/>
      </w:r>
      <w:r>
        <w:t>70</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_Toc200368392 \h </w:instrText>
      </w:r>
      <w:r>
        <w:fldChar w:fldCharType="separate"/>
      </w:r>
      <w:r>
        <w:t>71</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_Toc200368393 \h </w:instrText>
      </w:r>
      <w:r>
        <w:fldChar w:fldCharType="separate"/>
      </w:r>
      <w:r>
        <w:t>72</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_Toc200368394 \h </w:instrText>
      </w:r>
      <w:r>
        <w:fldChar w:fldCharType="separate"/>
      </w:r>
      <w:r>
        <w:t>73</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_Toc200368395 \h </w:instrText>
      </w:r>
      <w:r>
        <w:fldChar w:fldCharType="separate"/>
      </w:r>
      <w:r>
        <w:t>75</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_Toc200368396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_Toc200368398 \h </w:instrText>
      </w:r>
      <w:r>
        <w:fldChar w:fldCharType="separate"/>
      </w:r>
      <w:r>
        <w:t>76</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_Toc200368399 \h </w:instrText>
      </w:r>
      <w:r>
        <w:fldChar w:fldCharType="separate"/>
      </w:r>
      <w:r>
        <w:t>76</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_Toc200368400 \h </w:instrText>
      </w:r>
      <w:r>
        <w:fldChar w:fldCharType="separate"/>
      </w:r>
      <w:r>
        <w:t>77</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_Toc200368401 \h </w:instrText>
      </w:r>
      <w:r>
        <w:fldChar w:fldCharType="separate"/>
      </w:r>
      <w:r>
        <w:t>77</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_Toc200368402 \h </w:instrText>
      </w:r>
      <w:r>
        <w:fldChar w:fldCharType="separate"/>
      </w:r>
      <w:r>
        <w:t>78</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_Toc200368403 \h </w:instrText>
      </w:r>
      <w:r>
        <w:fldChar w:fldCharType="separate"/>
      </w:r>
      <w:r>
        <w:t>79</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_Toc200368404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_Toc200368406 \h </w:instrText>
      </w:r>
      <w:r>
        <w:fldChar w:fldCharType="separate"/>
      </w:r>
      <w:r>
        <w:t>80</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_Toc200368407 \h </w:instrText>
      </w:r>
      <w:r>
        <w:fldChar w:fldCharType="separate"/>
      </w:r>
      <w:r>
        <w:t>81</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_Toc200368408 \h </w:instrText>
      </w:r>
      <w:r>
        <w:fldChar w:fldCharType="separate"/>
      </w:r>
      <w:r>
        <w:t>81</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_Toc200368409 \h </w:instrText>
      </w:r>
      <w:r>
        <w:fldChar w:fldCharType="separate"/>
      </w:r>
      <w:r>
        <w:t>82</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_Toc200368410 \h </w:instrText>
      </w:r>
      <w:r>
        <w:fldChar w:fldCharType="separate"/>
      </w:r>
      <w:r>
        <w:t>82</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_Toc200368411 \h </w:instrText>
      </w:r>
      <w:r>
        <w:fldChar w:fldCharType="separate"/>
      </w:r>
      <w:r>
        <w:t>83</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_Toc200368412 \h </w:instrText>
      </w:r>
      <w:r>
        <w:fldChar w:fldCharType="separate"/>
      </w:r>
      <w:r>
        <w:t>84</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_Toc200368413 \h </w:instrText>
      </w:r>
      <w:r>
        <w:fldChar w:fldCharType="separate"/>
      </w:r>
      <w:r>
        <w:t>85</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_Toc200368414 \h </w:instrText>
      </w:r>
      <w:r>
        <w:fldChar w:fldCharType="separate"/>
      </w:r>
      <w:r>
        <w:t>85</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_Toc200368415 \h </w:instrText>
      </w:r>
      <w:r>
        <w:fldChar w:fldCharType="separate"/>
      </w:r>
      <w:r>
        <w:t>85</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_Toc200368416 \h </w:instrText>
      </w:r>
      <w:r>
        <w:fldChar w:fldCharType="separate"/>
      </w:r>
      <w:r>
        <w:t>86</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_Toc200368417 \h </w:instrText>
      </w:r>
      <w:r>
        <w:fldChar w:fldCharType="separate"/>
      </w:r>
      <w:r>
        <w:t>87</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_Toc200368418 \h </w:instrText>
      </w:r>
      <w:r>
        <w:fldChar w:fldCharType="separate"/>
      </w:r>
      <w:r>
        <w:t>89</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_Toc200368419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_Toc200368421 \h </w:instrText>
      </w:r>
      <w:r>
        <w:fldChar w:fldCharType="separate"/>
      </w:r>
      <w:r>
        <w:t>90</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_Toc200368422 \h </w:instrText>
      </w:r>
      <w:r>
        <w:fldChar w:fldCharType="separate"/>
      </w:r>
      <w:r>
        <w:t>91</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_Toc200368423 \h </w:instrText>
      </w:r>
      <w:r>
        <w:fldChar w:fldCharType="separate"/>
      </w:r>
      <w:r>
        <w:t>91</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_Toc200368424 \h </w:instrText>
      </w:r>
      <w:r>
        <w:fldChar w:fldCharType="separate"/>
      </w:r>
      <w:r>
        <w:t>92</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_Toc200368425 \h </w:instrText>
      </w:r>
      <w:r>
        <w:fldChar w:fldCharType="separate"/>
      </w:r>
      <w:r>
        <w:t>93</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_Toc200368426 \h </w:instrText>
      </w:r>
      <w:r>
        <w:fldChar w:fldCharType="separate"/>
      </w:r>
      <w:r>
        <w:t>93</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_Toc200368427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_Toc200368429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_Toc200368431 \h </w:instrText>
      </w:r>
      <w:r>
        <w:fldChar w:fldCharType="separate"/>
      </w:r>
      <w:r>
        <w:t>95</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_Toc200368432 \h </w:instrText>
      </w:r>
      <w:r>
        <w:fldChar w:fldCharType="separate"/>
      </w:r>
      <w:r>
        <w:t>96</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_Toc200368433 \h </w:instrText>
      </w:r>
      <w:r>
        <w:fldChar w:fldCharType="separate"/>
      </w:r>
      <w:r>
        <w:t>96</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_Toc200368434 \h </w:instrText>
      </w:r>
      <w:r>
        <w:fldChar w:fldCharType="separate"/>
      </w:r>
      <w:r>
        <w:t>96</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_Toc200368435 \h </w:instrText>
      </w:r>
      <w:r>
        <w:fldChar w:fldCharType="separate"/>
      </w:r>
      <w:r>
        <w:t>98</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_Toc200368436 \h </w:instrText>
      </w:r>
      <w:r>
        <w:fldChar w:fldCharType="separate"/>
      </w:r>
      <w:r>
        <w:t>98</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_Toc200368437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Ports Legislation Amendment Act 2019</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_Toc200368440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Transfer of control and management of some existing ports to port authorities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_Toc200368442 \h </w:instrText>
      </w:r>
      <w:r>
        <w:fldChar w:fldCharType="separate"/>
      </w:r>
      <w:r>
        <w:t>102</w:t>
      </w:r>
      <w:r>
        <w:fldChar w:fldCharType="end"/>
      </w:r>
    </w:p>
    <w:p>
      <w:pPr>
        <w:pStyle w:val="TOC8"/>
        <w:rPr>
          <w:rFonts w:asciiTheme="minorHAnsi" w:eastAsiaTheme="minorEastAsia" w:hAnsiTheme="minorHAnsi" w:cstheme="minorBidi"/>
          <w:szCs w:val="22"/>
        </w:rPr>
      </w:pPr>
      <w:r>
        <w:t>54.</w:t>
      </w:r>
      <w:r>
        <w:tab/>
        <w:t>Port transfer: preliminary requirements</w:t>
      </w:r>
      <w:r>
        <w:tab/>
      </w:r>
      <w:r>
        <w:fldChar w:fldCharType="begin"/>
      </w:r>
      <w:r>
        <w:instrText xml:space="preserve"> PAGEREF _Toc200368443 \h </w:instrText>
      </w:r>
      <w:r>
        <w:fldChar w:fldCharType="separate"/>
      </w:r>
      <w:r>
        <w:t>102</w:t>
      </w:r>
      <w:r>
        <w:fldChar w:fldCharType="end"/>
      </w:r>
    </w:p>
    <w:p>
      <w:pPr>
        <w:pStyle w:val="TOC8"/>
        <w:rPr>
          <w:rFonts w:asciiTheme="minorHAnsi" w:eastAsiaTheme="minorEastAsia" w:hAnsiTheme="minorHAnsi" w:cstheme="minorBidi"/>
          <w:szCs w:val="22"/>
        </w:rPr>
      </w:pPr>
      <w:r>
        <w:t>55.</w:t>
      </w:r>
      <w:r>
        <w:tab/>
        <w:t>Port authority to implement and facilitate port transfer</w:t>
      </w:r>
      <w:r>
        <w:tab/>
      </w:r>
      <w:r>
        <w:fldChar w:fldCharType="begin"/>
      </w:r>
      <w:r>
        <w:instrText xml:space="preserve"> PAGEREF _Toc200368444 \h </w:instrText>
      </w:r>
      <w:r>
        <w:fldChar w:fldCharType="separate"/>
      </w:r>
      <w:r>
        <w:t>103</w:t>
      </w:r>
      <w:r>
        <w:fldChar w:fldCharType="end"/>
      </w:r>
    </w:p>
    <w:p>
      <w:pPr>
        <w:pStyle w:val="TOC8"/>
        <w:rPr>
          <w:rFonts w:asciiTheme="minorHAnsi" w:eastAsiaTheme="minorEastAsia" w:hAnsiTheme="minorHAnsi" w:cstheme="minorBidi"/>
          <w:szCs w:val="22"/>
        </w:rPr>
      </w:pPr>
      <w:r>
        <w:t>56.</w:t>
      </w:r>
      <w:r>
        <w:tab/>
        <w:t>Cessation of responsibility for port</w:t>
      </w:r>
      <w:r>
        <w:tab/>
      </w:r>
      <w:r>
        <w:fldChar w:fldCharType="begin"/>
      </w:r>
      <w:r>
        <w:instrText xml:space="preserve"> PAGEREF _Toc200368445 \h </w:instrText>
      </w:r>
      <w:r>
        <w:fldChar w:fldCharType="separate"/>
      </w:r>
      <w:r>
        <w:t>104</w:t>
      </w:r>
      <w:r>
        <w:fldChar w:fldCharType="end"/>
      </w:r>
    </w:p>
    <w:p>
      <w:pPr>
        <w:pStyle w:val="TOC8"/>
        <w:rPr>
          <w:rFonts w:asciiTheme="minorHAnsi" w:eastAsiaTheme="minorEastAsia" w:hAnsiTheme="minorHAnsi" w:cstheme="minorBidi"/>
          <w:szCs w:val="22"/>
        </w:rPr>
      </w:pPr>
      <w:r>
        <w:t>57.</w:t>
      </w:r>
      <w:r>
        <w:tab/>
        <w:t>Vesting of land, seabed and water in port authority</w:t>
      </w:r>
      <w:r>
        <w:tab/>
      </w:r>
      <w:r>
        <w:fldChar w:fldCharType="begin"/>
      </w:r>
      <w:r>
        <w:instrText xml:space="preserve"> PAGEREF _Toc200368446 \h </w:instrText>
      </w:r>
      <w:r>
        <w:fldChar w:fldCharType="separate"/>
      </w:r>
      <w:r>
        <w:t>104</w:t>
      </w:r>
      <w:r>
        <w:fldChar w:fldCharType="end"/>
      </w:r>
    </w:p>
    <w:p>
      <w:pPr>
        <w:pStyle w:val="TOC8"/>
        <w:rPr>
          <w:rFonts w:asciiTheme="minorHAnsi" w:eastAsiaTheme="minorEastAsia" w:hAnsiTheme="minorHAnsi" w:cstheme="minorBidi"/>
          <w:szCs w:val="22"/>
        </w:rPr>
      </w:pPr>
      <w:r>
        <w:t>58.</w:t>
      </w:r>
      <w:r>
        <w:tab/>
        <w:t>Minister may make transitional orders</w:t>
      </w:r>
      <w:r>
        <w:tab/>
      </w:r>
      <w:r>
        <w:fldChar w:fldCharType="begin"/>
      </w:r>
      <w:r>
        <w:instrText xml:space="preserve"> PAGEREF _Toc200368447 \h </w:instrText>
      </w:r>
      <w:r>
        <w:fldChar w:fldCharType="separate"/>
      </w:r>
      <w:r>
        <w:t>104</w:t>
      </w:r>
      <w:r>
        <w:fldChar w:fldCharType="end"/>
      </w:r>
    </w:p>
    <w:p>
      <w:pPr>
        <w:pStyle w:val="TOC8"/>
        <w:rPr>
          <w:rFonts w:asciiTheme="minorHAnsi" w:eastAsiaTheme="minorEastAsia" w:hAnsiTheme="minorHAnsi" w:cstheme="minorBidi"/>
          <w:szCs w:val="22"/>
        </w:rPr>
      </w:pPr>
      <w:r>
        <w:t>59.</w:t>
      </w:r>
      <w:r>
        <w:tab/>
        <w:t>Amending transitional order</w:t>
      </w:r>
      <w:r>
        <w:tab/>
      </w:r>
      <w:r>
        <w:fldChar w:fldCharType="begin"/>
      </w:r>
      <w:r>
        <w:instrText xml:space="preserve"> PAGEREF _Toc200368448 \h </w:instrText>
      </w:r>
      <w:r>
        <w:fldChar w:fldCharType="separate"/>
      </w:r>
      <w:r>
        <w:t>106</w:t>
      </w:r>
      <w:r>
        <w:fldChar w:fldCharType="end"/>
      </w:r>
    </w:p>
    <w:p>
      <w:pPr>
        <w:pStyle w:val="TOC8"/>
        <w:rPr>
          <w:rFonts w:asciiTheme="minorHAnsi" w:eastAsiaTheme="minorEastAsia" w:hAnsiTheme="minorHAnsi" w:cstheme="minorBidi"/>
          <w:szCs w:val="22"/>
        </w:rPr>
      </w:pPr>
      <w:r>
        <w:t>60.</w:t>
      </w:r>
      <w:r>
        <w:tab/>
        <w:t>Provisions as to assets and liabilities</w:t>
      </w:r>
      <w:r>
        <w:tab/>
      </w:r>
      <w:r>
        <w:fldChar w:fldCharType="begin"/>
      </w:r>
      <w:r>
        <w:instrText xml:space="preserve"> PAGEREF _Toc200368449 \h </w:instrText>
      </w:r>
      <w:r>
        <w:fldChar w:fldCharType="separate"/>
      </w:r>
      <w:r>
        <w:t>107</w:t>
      </w:r>
      <w:r>
        <w:fldChar w:fldCharType="end"/>
      </w:r>
    </w:p>
    <w:p>
      <w:pPr>
        <w:pStyle w:val="TOC8"/>
        <w:rPr>
          <w:rFonts w:asciiTheme="minorHAnsi" w:eastAsiaTheme="minorEastAsia" w:hAnsiTheme="minorHAnsi" w:cstheme="minorBidi"/>
          <w:szCs w:val="22"/>
        </w:rPr>
      </w:pPr>
      <w:r>
        <w:t>61.</w:t>
      </w:r>
      <w:r>
        <w:tab/>
        <w:t>Provisions as to agreements and proceedings</w:t>
      </w:r>
      <w:r>
        <w:tab/>
      </w:r>
      <w:r>
        <w:fldChar w:fldCharType="begin"/>
      </w:r>
      <w:r>
        <w:instrText xml:space="preserve"> PAGEREF _Toc200368450 \h </w:instrText>
      </w:r>
      <w:r>
        <w:fldChar w:fldCharType="separate"/>
      </w:r>
      <w:r>
        <w:t>109</w:t>
      </w:r>
      <w:r>
        <w:fldChar w:fldCharType="end"/>
      </w:r>
    </w:p>
    <w:p>
      <w:pPr>
        <w:pStyle w:val="TOC8"/>
        <w:rPr>
          <w:rFonts w:asciiTheme="minorHAnsi" w:eastAsiaTheme="minorEastAsia" w:hAnsiTheme="minorHAnsi" w:cstheme="minorBidi"/>
          <w:szCs w:val="22"/>
        </w:rPr>
      </w:pPr>
      <w:r>
        <w:t>62.</w:t>
      </w:r>
      <w:r>
        <w:tab/>
        <w:t>Navigational aids</w:t>
      </w:r>
      <w:r>
        <w:tab/>
      </w:r>
      <w:r>
        <w:fldChar w:fldCharType="begin"/>
      </w:r>
      <w:r>
        <w:instrText xml:space="preserve"> PAGEREF _Toc200368451 \h </w:instrText>
      </w:r>
      <w:r>
        <w:fldChar w:fldCharType="separate"/>
      </w:r>
      <w:r>
        <w:t>110</w:t>
      </w:r>
      <w:r>
        <w:fldChar w:fldCharType="end"/>
      </w:r>
    </w:p>
    <w:p>
      <w:pPr>
        <w:pStyle w:val="TOC8"/>
        <w:rPr>
          <w:rFonts w:asciiTheme="minorHAnsi" w:eastAsiaTheme="minorEastAsia" w:hAnsiTheme="minorHAnsi" w:cstheme="minorBidi"/>
          <w:szCs w:val="22"/>
        </w:rPr>
      </w:pPr>
      <w:r>
        <w:t>63.</w:t>
      </w:r>
      <w:r>
        <w:tab/>
        <w:t>Harbour masters and deputy harbour masters</w:t>
      </w:r>
      <w:r>
        <w:tab/>
      </w:r>
      <w:r>
        <w:fldChar w:fldCharType="begin"/>
      </w:r>
      <w:r>
        <w:instrText xml:space="preserve"> PAGEREF _Toc200368452 \h </w:instrText>
      </w:r>
      <w:r>
        <w:fldChar w:fldCharType="separate"/>
      </w:r>
      <w:r>
        <w:t>110</w:t>
      </w:r>
      <w:r>
        <w:fldChar w:fldCharType="end"/>
      </w:r>
    </w:p>
    <w:p>
      <w:pPr>
        <w:pStyle w:val="TOC8"/>
        <w:rPr>
          <w:rFonts w:asciiTheme="minorHAnsi" w:eastAsiaTheme="minorEastAsia" w:hAnsiTheme="minorHAnsi" w:cstheme="minorBidi"/>
          <w:szCs w:val="22"/>
        </w:rPr>
      </w:pPr>
      <w:r>
        <w:t>64.</w:t>
      </w:r>
      <w:r>
        <w:tab/>
        <w:t>Pilotage: existing licences</w:t>
      </w:r>
      <w:r>
        <w:tab/>
      </w:r>
      <w:r>
        <w:fldChar w:fldCharType="begin"/>
      </w:r>
      <w:r>
        <w:instrText xml:space="preserve"> PAGEREF _Toc200368453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65.</w:t>
      </w:r>
      <w:r>
        <w:tab/>
        <w:t>Pilotage: existing exemption certificates</w:t>
      </w:r>
      <w:r>
        <w:tab/>
      </w:r>
      <w:r>
        <w:fldChar w:fldCharType="begin"/>
      </w:r>
      <w:r>
        <w:instrText xml:space="preserve"> PAGEREF _Toc200368454 \h </w:instrText>
      </w:r>
      <w:r>
        <w:fldChar w:fldCharType="separate"/>
      </w:r>
      <w:r>
        <w:t>112</w:t>
      </w:r>
      <w:r>
        <w:fldChar w:fldCharType="end"/>
      </w:r>
    </w:p>
    <w:p>
      <w:pPr>
        <w:pStyle w:val="TOC8"/>
        <w:rPr>
          <w:rFonts w:asciiTheme="minorHAnsi" w:eastAsiaTheme="minorEastAsia" w:hAnsiTheme="minorHAnsi" w:cstheme="minorBidi"/>
          <w:szCs w:val="22"/>
        </w:rPr>
      </w:pPr>
      <w:r>
        <w:t>66.</w:t>
      </w:r>
      <w:r>
        <w:tab/>
        <w:t>Jetty licences</w:t>
      </w:r>
      <w:r>
        <w:tab/>
      </w:r>
      <w:r>
        <w:fldChar w:fldCharType="begin"/>
      </w:r>
      <w:r>
        <w:instrText xml:space="preserve"> PAGEREF _Toc200368455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67.</w:t>
      </w:r>
      <w:r>
        <w:tab/>
        <w:t>Registration of documents</w:t>
      </w:r>
      <w:r>
        <w:tab/>
      </w:r>
      <w:r>
        <w:fldChar w:fldCharType="begin"/>
      </w:r>
      <w:r>
        <w:instrText xml:space="preserve"> PAGEREF _Toc200368457 \h </w:instrText>
      </w:r>
      <w:r>
        <w:fldChar w:fldCharType="separate"/>
      </w:r>
      <w:r>
        <w:t>116</w:t>
      </w:r>
      <w:r>
        <w:fldChar w:fldCharType="end"/>
      </w:r>
    </w:p>
    <w:p>
      <w:pPr>
        <w:pStyle w:val="TOC8"/>
        <w:rPr>
          <w:rFonts w:asciiTheme="minorHAnsi" w:eastAsiaTheme="minorEastAsia" w:hAnsiTheme="minorHAnsi" w:cstheme="minorBidi"/>
          <w:szCs w:val="22"/>
        </w:rPr>
      </w:pPr>
      <w:r>
        <w:t>68.</w:t>
      </w:r>
      <w:r>
        <w:tab/>
        <w:t>Exemption from State taxes</w:t>
      </w:r>
      <w:r>
        <w:tab/>
      </w:r>
      <w:r>
        <w:fldChar w:fldCharType="begin"/>
      </w:r>
      <w:r>
        <w:instrText xml:space="preserve"> PAGEREF _Toc200368458 \h </w:instrText>
      </w:r>
      <w:r>
        <w:fldChar w:fldCharType="separate"/>
      </w:r>
      <w:r>
        <w:t>116</w:t>
      </w:r>
      <w:r>
        <w:fldChar w:fldCharType="end"/>
      </w:r>
    </w:p>
    <w:p>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_Toc200368459 \h </w:instrText>
      </w:r>
      <w:r>
        <w:fldChar w:fldCharType="separate"/>
      </w:r>
      <w:r>
        <w:t>116</w:t>
      </w:r>
      <w:r>
        <w:fldChar w:fldCharType="end"/>
      </w:r>
    </w:p>
    <w:p>
      <w:pPr>
        <w:pStyle w:val="TOC8"/>
        <w:rPr>
          <w:rFonts w:asciiTheme="minorHAnsi" w:eastAsiaTheme="minorEastAsia" w:hAnsiTheme="minorHAnsi" w:cstheme="minorBidi"/>
          <w:szCs w:val="22"/>
        </w:rPr>
      </w:pPr>
      <w:r>
        <w:t>70.</w:t>
      </w:r>
      <w:r>
        <w:tab/>
        <w:t>Saving</w:t>
      </w:r>
      <w:r>
        <w:tab/>
      </w:r>
      <w:r>
        <w:fldChar w:fldCharType="begin"/>
      </w:r>
      <w:r>
        <w:instrText xml:space="preserve"> PAGEREF _Toc200368460 \h </w:instrText>
      </w:r>
      <w:r>
        <w:fldChar w:fldCharType="separate"/>
      </w:r>
      <w:r>
        <w:t>117</w:t>
      </w:r>
      <w:r>
        <w:fldChar w:fldCharType="end"/>
      </w:r>
    </w:p>
    <w:p>
      <w:pPr>
        <w:pStyle w:val="TOC8"/>
        <w:rPr>
          <w:rFonts w:asciiTheme="minorHAnsi" w:eastAsiaTheme="minorEastAsia" w:hAnsiTheme="minorHAnsi" w:cstheme="minorBidi"/>
          <w:szCs w:val="22"/>
        </w:rPr>
      </w:pPr>
      <w:r>
        <w:t>71.</w:t>
      </w:r>
      <w:r>
        <w:tab/>
        <w:t>Effect of affecting provisions</w:t>
      </w:r>
      <w:r>
        <w:tab/>
      </w:r>
      <w:r>
        <w:fldChar w:fldCharType="begin"/>
      </w:r>
      <w:r>
        <w:instrText xml:space="preserve"> PAGEREF _Toc200368461 \h </w:instrText>
      </w:r>
      <w:r>
        <w:fldChar w:fldCharType="separate"/>
      </w:r>
      <w:r>
        <w:t>118</w:t>
      </w:r>
      <w:r>
        <w:fldChar w:fldCharType="end"/>
      </w:r>
    </w:p>
    <w:p>
      <w:pPr>
        <w:pStyle w:val="TOC8"/>
        <w:rPr>
          <w:rFonts w:asciiTheme="minorHAnsi" w:eastAsiaTheme="minorEastAsia" w:hAnsiTheme="minorHAnsi" w:cstheme="minorBidi"/>
          <w:szCs w:val="22"/>
        </w:rPr>
      </w:pPr>
      <w:r>
        <w:t>72.</w:t>
      </w:r>
      <w:r>
        <w:tab/>
        <w:t>No exclusion of operation of affecting provisions</w:t>
      </w:r>
      <w:r>
        <w:tab/>
      </w:r>
      <w:r>
        <w:fldChar w:fldCharType="begin"/>
      </w:r>
      <w:r>
        <w:instrText xml:space="preserve"> PAGEREF _Toc200368462 \h </w:instrText>
      </w:r>
      <w:r>
        <w:fldChar w:fldCharType="separate"/>
      </w:r>
      <w:r>
        <w:t>118</w:t>
      </w:r>
      <w:r>
        <w:fldChar w:fldCharType="end"/>
      </w:r>
    </w:p>
    <w:p>
      <w:pPr>
        <w:pStyle w:val="TOC8"/>
        <w:rPr>
          <w:rFonts w:asciiTheme="minorHAnsi" w:eastAsiaTheme="minorEastAsia" w:hAnsiTheme="minorHAnsi" w:cstheme="minorBidi"/>
          <w:szCs w:val="22"/>
        </w:rPr>
      </w:pPr>
      <w:r>
        <w:t>73.</w:t>
      </w:r>
      <w:r>
        <w:tab/>
        <w:t>Effect of continued easements, leases and licences</w:t>
      </w:r>
      <w:r>
        <w:tab/>
      </w:r>
      <w:r>
        <w:fldChar w:fldCharType="begin"/>
      </w:r>
      <w:r>
        <w:instrText xml:space="preserve"> PAGEREF _Toc200368463 \h </w:instrText>
      </w:r>
      <w:r>
        <w:fldChar w:fldCharType="separate"/>
      </w:r>
      <w:r>
        <w:t>118</w:t>
      </w:r>
      <w:r>
        <w:fldChar w:fldCharType="end"/>
      </w:r>
    </w:p>
    <w:p>
      <w:pPr>
        <w:pStyle w:val="TOC8"/>
        <w:rPr>
          <w:rFonts w:asciiTheme="minorHAnsi" w:eastAsiaTheme="minorEastAsia" w:hAnsiTheme="minorHAnsi" w:cstheme="minorBidi"/>
          <w:szCs w:val="22"/>
        </w:rPr>
      </w:pPr>
      <w:r>
        <w:t>74.</w:t>
      </w:r>
      <w:r>
        <w:tab/>
        <w:t>Government agreements not affected</w:t>
      </w:r>
      <w:r>
        <w:tab/>
      </w:r>
      <w:r>
        <w:fldChar w:fldCharType="begin"/>
      </w:r>
      <w:r>
        <w:instrText xml:space="preserve"> PAGEREF _Toc200368464 \h </w:instrText>
      </w:r>
      <w:r>
        <w:fldChar w:fldCharType="separate"/>
      </w:r>
      <w:r>
        <w:t>118</w:t>
      </w:r>
      <w:r>
        <w:fldChar w:fldCharType="end"/>
      </w:r>
    </w:p>
    <w:p>
      <w:pPr>
        <w:pStyle w:val="TOC8"/>
        <w:rPr>
          <w:rFonts w:asciiTheme="minorHAnsi" w:eastAsiaTheme="minorEastAsia" w:hAnsiTheme="minorHAnsi" w:cstheme="minorBidi"/>
          <w:szCs w:val="22"/>
        </w:rPr>
      </w:pPr>
      <w:r>
        <w:t>75.</w:t>
      </w:r>
      <w:r>
        <w:tab/>
        <w:t>Preservation of mining, petroleum and other rights</w:t>
      </w:r>
      <w:r>
        <w:tab/>
      </w:r>
      <w:r>
        <w:fldChar w:fldCharType="begin"/>
      </w:r>
      <w:r>
        <w:instrText xml:space="preserve"> PAGEREF _Toc200368465 \h </w:instrText>
      </w:r>
      <w:r>
        <w:fldChar w:fldCharType="separate"/>
      </w:r>
      <w:r>
        <w:t>119</w:t>
      </w:r>
      <w:r>
        <w:fldChar w:fldCharType="end"/>
      </w:r>
    </w:p>
    <w:p>
      <w:pPr>
        <w:pStyle w:val="TOC8"/>
        <w:rPr>
          <w:rFonts w:asciiTheme="minorHAnsi" w:eastAsiaTheme="minorEastAsia" w:hAnsiTheme="minorHAnsi" w:cstheme="minorBidi"/>
          <w:szCs w:val="22"/>
        </w:rPr>
      </w:pPr>
      <w:r>
        <w:t>76.</w:t>
      </w:r>
      <w:r>
        <w:tab/>
        <w:t>Transitional provision for Schedule 9</w:t>
      </w:r>
      <w:r>
        <w:tab/>
      </w:r>
      <w:r>
        <w:fldChar w:fldCharType="begin"/>
      </w:r>
      <w:r>
        <w:instrText xml:space="preserve"> PAGEREF _Toc200368466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_Toc200368468 \h </w:instrText>
      </w:r>
      <w:r>
        <w:fldChar w:fldCharType="separate"/>
      </w:r>
      <w:r>
        <w:t>121</w:t>
      </w:r>
      <w:r>
        <w:fldChar w:fldCharType="end"/>
      </w:r>
    </w:p>
    <w:p>
      <w:pPr>
        <w:pStyle w:val="TOC8"/>
        <w:rPr>
          <w:rFonts w:asciiTheme="minorHAnsi" w:eastAsiaTheme="minorEastAsia" w:hAnsiTheme="minorHAnsi" w:cstheme="minorBidi"/>
          <w:szCs w:val="22"/>
        </w:rPr>
      </w:pPr>
      <w:r>
        <w:t>2.</w:t>
      </w:r>
      <w:r>
        <w:tab/>
        <w:t>Regulations may place a port under the control and management of a port authority</w:t>
      </w:r>
      <w:r>
        <w:tab/>
      </w:r>
      <w:r>
        <w:fldChar w:fldCharType="begin"/>
      </w:r>
      <w:r>
        <w:instrText xml:space="preserve"> PAGEREF _Toc200368469 \h </w:instrText>
      </w:r>
      <w:r>
        <w:fldChar w:fldCharType="separate"/>
      </w:r>
      <w:r>
        <w:t>121</w:t>
      </w:r>
      <w:r>
        <w:fldChar w:fldCharType="end"/>
      </w:r>
    </w:p>
    <w:p>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_Toc200368470 \h </w:instrText>
      </w:r>
      <w:r>
        <w:fldChar w:fldCharType="separate"/>
      </w:r>
      <w:r>
        <w:t>122</w:t>
      </w:r>
      <w:r>
        <w:fldChar w:fldCharType="end"/>
      </w:r>
    </w:p>
    <w:p>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_Toc200368471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_Toc200368473 \h </w:instrText>
      </w:r>
      <w:r>
        <w:fldChar w:fldCharType="separate"/>
      </w:r>
      <w:r>
        <w:t>123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_Toc200368474 \h </w:instrText>
      </w:r>
      <w:r>
        <w:fldChar w:fldCharType="separate"/>
      </w:r>
      <w:r>
        <w:t>126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_Toc200368475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2" w:name="_Toc2003682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200368254"/>
      <w:r>
        <w:rPr>
          <w:rStyle w:val="CharSectno"/>
        </w:rPr>
        <w:t>1</w:t>
      </w:r>
      <w:r>
        <w:rPr>
          <w:snapToGrid w:val="0"/>
        </w:rPr>
        <w:t>.</w:t>
      </w:r>
      <w:r>
        <w:rPr>
          <w:snapToGrid w:val="0"/>
        </w:rPr>
        <w:tab/>
        <w:t>Short title</w:t>
      </w:r>
      <w:bookmarkEnd w:id="3"/>
    </w:p>
    <w:p>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pPr>
        <w:pStyle w:val="Heading5"/>
        <w:rPr>
          <w:snapToGrid w:val="0"/>
        </w:rPr>
      </w:pPr>
      <w:bookmarkStart w:id="4" w:name="_Toc20036825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20036825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lastRenderedPageBreak/>
        <w:tab/>
        <w:t>(e)</w:t>
      </w:r>
      <w:r>
        <w:tab/>
        <w:t>livestock;</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mooring</w:t>
      </w:r>
      <w:r>
        <w:t xml:space="preserve"> includes anchoring and berthing;</w:t>
      </w:r>
    </w:p>
    <w:p>
      <w:pPr>
        <w:pStyle w:val="Defstart"/>
        <w:keepNext/>
      </w:pPr>
      <w:r>
        <w:rPr>
          <w:b/>
        </w:rPr>
        <w:lastRenderedPageBreak/>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lastRenderedPageBreak/>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land acquired by a port authority or other land that becomes the property of a port authority under this Act;</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vessel</w:t>
      </w:r>
      <w:r>
        <w:t xml:space="preserve"> has the meaning given by subsections (2) and (3);</w:t>
      </w:r>
    </w:p>
    <w:p>
      <w:pPr>
        <w:pStyle w:val="Defstart"/>
      </w:pPr>
      <w:r>
        <w:lastRenderedPageBreak/>
        <w:tab/>
      </w:r>
      <w:r>
        <w:rPr>
          <w:rStyle w:val="CharDefText"/>
        </w:rPr>
        <w:t>vested</w:t>
      </w:r>
      <w:r>
        <w:t xml:space="preserve"> means vested in a port authority under this Act;</w:t>
      </w:r>
    </w:p>
    <w:p>
      <w:pPr>
        <w:pStyle w:val="Defstart"/>
      </w:pPr>
      <w:r>
        <w:rPr>
          <w:b/>
        </w:rPr>
        <w:tab/>
      </w:r>
      <w:r>
        <w:rPr>
          <w:rStyle w:val="CharDefText"/>
        </w:rPr>
        <w:t>vested land</w:t>
      </w:r>
      <w:r>
        <w:t xml:space="preserve"> includes vested seabed and vested water.</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Ednotesubsection"/>
      </w:pPr>
      <w:r>
        <w:tab/>
        <w:t>[(4)</w:t>
      </w:r>
      <w:r>
        <w:tab/>
        <w:t>deleted]</w:t>
      </w:r>
    </w:p>
    <w:p>
      <w:pPr>
        <w:pStyle w:val="Footnotesection"/>
      </w:pPr>
      <w:r>
        <w:tab/>
        <w:t>[Section 3 amended: No. 10 of 2001 s. 157; No. 74 of 2003 s. 93(2); No. 8 of 2009 s. 102(2) and (3); No. 46 of 2009 s. 17; No. 39 of 2010 s. 81(2); No. 9 of 2014 s. 4; No. 2 of 2019 s. 43; No. 13 of 2023 s. 219.]</w:t>
      </w:r>
    </w:p>
    <w:p>
      <w:pPr>
        <w:pStyle w:val="Heading5"/>
      </w:pPr>
      <w:bookmarkStart w:id="6" w:name="_Toc200368257"/>
      <w:r>
        <w:rPr>
          <w:rStyle w:val="CharSectno"/>
        </w:rPr>
        <w:t>3A</w:t>
      </w:r>
      <w:r>
        <w:t>.</w:t>
      </w:r>
      <w:r>
        <w:tab/>
        <w:t>Relationship to GTE Act</w:t>
      </w:r>
      <w:bookmarkEnd w:id="6"/>
    </w:p>
    <w:p>
      <w:pPr>
        <w:pStyle w:val="Subsection"/>
      </w:pPr>
      <w:r>
        <w:tab/>
      </w:r>
      <w:r>
        <w:tab/>
        <w:t>The GTE Act is to be read with this Act as if they formed a single Act.</w:t>
      </w:r>
    </w:p>
    <w:p>
      <w:pPr>
        <w:pStyle w:val="Footnotesection"/>
      </w:pPr>
      <w:r>
        <w:tab/>
        <w:t>[Section 3A inserted: No. 13 of 2023 s. 220.]</w:t>
      </w:r>
    </w:p>
    <w:p>
      <w:pPr>
        <w:pStyle w:val="Heading2"/>
      </w:pPr>
      <w:bookmarkStart w:id="7" w:name="_Toc200368258"/>
      <w:r>
        <w:rPr>
          <w:rStyle w:val="CharPartNo"/>
        </w:rPr>
        <w:lastRenderedPageBreak/>
        <w:t>Part 2</w:t>
      </w:r>
      <w:r>
        <w:t xml:space="preserve"> — </w:t>
      </w:r>
      <w:r>
        <w:rPr>
          <w:rStyle w:val="CharPartText"/>
        </w:rPr>
        <w:t>Port authorities: establishment and administration</w:t>
      </w:r>
      <w:bookmarkEnd w:id="7"/>
      <w:r>
        <w:rPr>
          <w:rStyle w:val="CharPartText"/>
        </w:rPr>
        <w:t xml:space="preserve"> </w:t>
      </w:r>
    </w:p>
    <w:p>
      <w:pPr>
        <w:pStyle w:val="Heading3"/>
      </w:pPr>
      <w:bookmarkStart w:id="8" w:name="_Toc200368259"/>
      <w:r>
        <w:rPr>
          <w:rStyle w:val="CharDivNo"/>
        </w:rPr>
        <w:t>Division 1</w:t>
      </w:r>
      <w:r>
        <w:t xml:space="preserve"> — </w:t>
      </w:r>
      <w:r>
        <w:rPr>
          <w:rStyle w:val="CharDivText"/>
        </w:rPr>
        <w:t>Establishment of port authorities</w:t>
      </w:r>
      <w:bookmarkEnd w:id="8"/>
      <w:r>
        <w:rPr>
          <w:rStyle w:val="CharDivText"/>
        </w:rPr>
        <w:t xml:space="preserve"> </w:t>
      </w:r>
    </w:p>
    <w:p>
      <w:pPr>
        <w:pStyle w:val="Heading5"/>
        <w:rPr>
          <w:snapToGrid w:val="0"/>
        </w:rPr>
      </w:pPr>
      <w:bookmarkStart w:id="9" w:name="_Toc200368260"/>
      <w:r>
        <w:rPr>
          <w:rStyle w:val="CharSectno"/>
        </w:rPr>
        <w:t>4</w:t>
      </w:r>
      <w:r>
        <w:rPr>
          <w:snapToGrid w:val="0"/>
        </w:rPr>
        <w:t>.</w:t>
      </w:r>
      <w:r>
        <w:rPr>
          <w:snapToGrid w:val="0"/>
        </w:rPr>
        <w:tab/>
        <w:t>Port authorities, establishment, nature and trading names of</w:t>
      </w:r>
      <w:bookmarkEnd w:id="9"/>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10" w:name="_Toc200368261"/>
      <w:r>
        <w:rPr>
          <w:rStyle w:val="CharSectno"/>
        </w:rPr>
        <w:t>5</w:t>
      </w:r>
      <w:r>
        <w:rPr>
          <w:snapToGrid w:val="0"/>
        </w:rPr>
        <w:t>.</w:t>
      </w:r>
      <w:r>
        <w:rPr>
          <w:snapToGrid w:val="0"/>
        </w:rPr>
        <w:tab/>
        <w:t>Port authorities not to be regarded as agents of Crown for purposes of State laws</w:t>
      </w:r>
      <w:bookmarkEnd w:id="10"/>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lastRenderedPageBreak/>
        <w:tab/>
        <w:t>[Section 5 amended: No. 9 of 2014 s. 6.]</w:t>
      </w:r>
    </w:p>
    <w:p>
      <w:pPr>
        <w:pStyle w:val="Heading5"/>
        <w:rPr>
          <w:snapToGrid w:val="0"/>
        </w:rPr>
      </w:pPr>
      <w:bookmarkStart w:id="11" w:name="_Toc200368262"/>
      <w:r>
        <w:rPr>
          <w:rStyle w:val="CharSectno"/>
        </w:rPr>
        <w:t>6</w:t>
      </w:r>
      <w:r>
        <w:rPr>
          <w:snapToGrid w:val="0"/>
        </w:rPr>
        <w:t>.</w:t>
      </w:r>
      <w:r>
        <w:rPr>
          <w:snapToGrid w:val="0"/>
        </w:rPr>
        <w:tab/>
        <w:t>Port authorities and officers not part of public sector</w:t>
      </w:r>
      <w:bookmarkEnd w:id="11"/>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2" w:name="_Toc200368263"/>
      <w:r>
        <w:rPr>
          <w:rStyle w:val="CharDivNo"/>
        </w:rPr>
        <w:t>Division 2</w:t>
      </w:r>
      <w:r>
        <w:t> — </w:t>
      </w:r>
      <w:r>
        <w:rPr>
          <w:rStyle w:val="CharDivText"/>
        </w:rPr>
        <w:t>Community consultation committees</w:t>
      </w:r>
      <w:bookmarkEnd w:id="12"/>
    </w:p>
    <w:p>
      <w:pPr>
        <w:pStyle w:val="Footnoteheading"/>
      </w:pPr>
      <w:r>
        <w:tab/>
        <w:t>[Heading inserted: No. 13 of 2023 s. 221.]</w:t>
      </w:r>
    </w:p>
    <w:p>
      <w:pPr>
        <w:pStyle w:val="Ednotesection"/>
      </w:pPr>
      <w:r>
        <w:t>[</w:t>
      </w:r>
      <w:r>
        <w:rPr>
          <w:b/>
        </w:rPr>
        <w:t>7-13.</w:t>
      </w:r>
      <w:r>
        <w:tab/>
        <w:t>Deleted: No. 13 of 2023 s. 222.]</w:t>
      </w:r>
    </w:p>
    <w:p>
      <w:pPr>
        <w:pStyle w:val="Heading5"/>
      </w:pPr>
      <w:bookmarkStart w:id="13" w:name="_Toc200368264"/>
      <w:r>
        <w:rPr>
          <w:rStyle w:val="CharSectno"/>
        </w:rPr>
        <w:t>14A</w:t>
      </w:r>
      <w:r>
        <w:t>.</w:t>
      </w:r>
      <w:r>
        <w:tab/>
        <w:t>Community consultation committees</w:t>
      </w:r>
      <w:bookmarkEnd w:id="13"/>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the GTE Act section 26, the board of a port authority must establish a committee for each port for which it has the control and management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lastRenderedPageBreak/>
        <w:tab/>
        <w:t>[Section 14A inserted: No. 9 of 2014 s. 9; amended: No. 13 of 2023 s. 223.]</w:t>
      </w:r>
    </w:p>
    <w:p>
      <w:pPr>
        <w:pStyle w:val="Heading3"/>
      </w:pPr>
      <w:bookmarkStart w:id="14" w:name="_Toc200368265"/>
      <w:r>
        <w:rPr>
          <w:rStyle w:val="CharDivNo"/>
        </w:rPr>
        <w:t>Division 3</w:t>
      </w:r>
      <w:r>
        <w:rPr>
          <w:snapToGrid w:val="0"/>
        </w:rPr>
        <w:t xml:space="preserve"> — </w:t>
      </w:r>
      <w:r>
        <w:rPr>
          <w:rStyle w:val="CharDivText"/>
        </w:rPr>
        <w:t>Staff</w:t>
      </w:r>
      <w:bookmarkEnd w:id="14"/>
      <w:r>
        <w:rPr>
          <w:rStyle w:val="CharDivText"/>
        </w:rPr>
        <w:t xml:space="preserve"> </w:t>
      </w:r>
    </w:p>
    <w:p>
      <w:pPr>
        <w:pStyle w:val="Ednotesection"/>
      </w:pPr>
      <w:r>
        <w:t>[</w:t>
      </w:r>
      <w:r>
        <w:rPr>
          <w:b/>
        </w:rPr>
        <w:t>14-15.</w:t>
      </w:r>
      <w:r>
        <w:tab/>
        <w:t>Deleted: No. 13 of 2023 s. 224.]</w:t>
      </w:r>
    </w:p>
    <w:p>
      <w:pPr>
        <w:pStyle w:val="Heading5"/>
        <w:rPr>
          <w:snapToGrid w:val="0"/>
        </w:rPr>
      </w:pPr>
      <w:bookmarkStart w:id="15" w:name="_Toc200368266"/>
      <w:r>
        <w:rPr>
          <w:rStyle w:val="CharSectno"/>
        </w:rPr>
        <w:t>16</w:t>
      </w:r>
      <w:r>
        <w:rPr>
          <w:snapToGrid w:val="0"/>
        </w:rPr>
        <w:t>.</w:t>
      </w:r>
      <w:r>
        <w:rPr>
          <w:snapToGrid w:val="0"/>
        </w:rPr>
        <w:tab/>
        <w:t>Staff</w:t>
      </w:r>
      <w:bookmarkEnd w:id="15"/>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lastRenderedPageBreak/>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Gazette 15 Aug 2003 p. 3689.]</w:t>
      </w:r>
    </w:p>
    <w:p>
      <w:pPr>
        <w:pStyle w:val="Heading5"/>
        <w:spacing w:before="240"/>
        <w:rPr>
          <w:snapToGrid w:val="0"/>
        </w:rPr>
      </w:pPr>
      <w:bookmarkStart w:id="16" w:name="_Toc200368267"/>
      <w:r>
        <w:rPr>
          <w:rStyle w:val="CharSectno"/>
        </w:rPr>
        <w:t>17</w:t>
      </w:r>
      <w:r>
        <w:rPr>
          <w:snapToGrid w:val="0"/>
        </w:rPr>
        <w:t>.</w:t>
      </w:r>
      <w:r>
        <w:rPr>
          <w:snapToGrid w:val="0"/>
        </w:rPr>
        <w:tab/>
        <w:t>Minimum standards for staff management</w:t>
      </w:r>
      <w:bookmarkEnd w:id="16"/>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pPr>
      <w:r>
        <w:tab/>
        <w:t>(3)</w:t>
      </w:r>
      <w:r>
        <w:tab/>
        <w:t>An instrument issued under subsection (1) may be expressed to apply to the chief executive officer of the corporation as if the chief executive officer were a member of staff.</w:t>
      </w:r>
    </w:p>
    <w:p>
      <w:pPr>
        <w:pStyle w:val="Subsection"/>
      </w:pPr>
      <w:r>
        <w:tab/>
        <w:t>(3A)</w:t>
      </w:r>
      <w:r>
        <w:tab/>
        <w:t>If an instrument issued under subsection (1) applies to the chief executive officer of the corporation, subsection (2) does not affect the operation of the GTE Act section 37(5).</w:t>
      </w:r>
    </w:p>
    <w:p>
      <w:pPr>
        <w:pStyle w:val="Subsection"/>
        <w:rPr>
          <w:snapToGrid w:val="0"/>
        </w:rPr>
      </w:pPr>
      <w:r>
        <w:rPr>
          <w:snapToGrid w:val="0"/>
        </w:rPr>
        <w:lastRenderedPageBreak/>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 No. 13 of 2023 s. 225.]</w:t>
      </w:r>
    </w:p>
    <w:p>
      <w:pPr>
        <w:pStyle w:val="Heading5"/>
        <w:rPr>
          <w:snapToGrid w:val="0"/>
        </w:rPr>
      </w:pPr>
      <w:bookmarkStart w:id="17" w:name="_Toc200368268"/>
      <w:r>
        <w:rPr>
          <w:rStyle w:val="CharSectno"/>
        </w:rPr>
        <w:t>18</w:t>
      </w:r>
      <w:r>
        <w:rPr>
          <w:snapToGrid w:val="0"/>
        </w:rPr>
        <w:t>.</w:t>
      </w:r>
      <w:r>
        <w:rPr>
          <w:snapToGrid w:val="0"/>
        </w:rPr>
        <w:tab/>
        <w:t>Reports to Public Sector Commissioner as to s. 17 standards</w:t>
      </w:r>
      <w:bookmarkEnd w:id="1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18" w:name="_Toc200368269"/>
      <w:r>
        <w:rPr>
          <w:rStyle w:val="CharSectno"/>
        </w:rPr>
        <w:t>19</w:t>
      </w:r>
      <w:r>
        <w:rPr>
          <w:snapToGrid w:val="0"/>
        </w:rPr>
        <w:t>.</w:t>
      </w:r>
      <w:r>
        <w:rPr>
          <w:snapToGrid w:val="0"/>
        </w:rPr>
        <w:tab/>
        <w:t>Superannuation</w:t>
      </w:r>
      <w:bookmarkEnd w:id="18"/>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lastRenderedPageBreak/>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No. 43 of 2000 s. 58.]</w:t>
      </w:r>
    </w:p>
    <w:p>
      <w:pPr>
        <w:pStyle w:val="Heading3"/>
      </w:pPr>
      <w:bookmarkStart w:id="19" w:name="_Toc200368270"/>
      <w:r>
        <w:rPr>
          <w:rStyle w:val="CharDivNo"/>
        </w:rPr>
        <w:t>Division 4</w:t>
      </w:r>
      <w:r>
        <w:rPr>
          <w:snapToGrid w:val="0"/>
        </w:rPr>
        <w:t xml:space="preserve"> — </w:t>
      </w:r>
      <w:r>
        <w:rPr>
          <w:rStyle w:val="CharDivText"/>
        </w:rPr>
        <w:t>Conduct and integrity of staff</w:t>
      </w:r>
      <w:bookmarkEnd w:id="19"/>
    </w:p>
    <w:p>
      <w:pPr>
        <w:pStyle w:val="Ednotesection"/>
      </w:pPr>
      <w:r>
        <w:t>[</w:t>
      </w:r>
      <w:r>
        <w:rPr>
          <w:b/>
        </w:rPr>
        <w:t>20.</w:t>
      </w:r>
      <w:r>
        <w:tab/>
        <w:t>Deleted: No. 13 of 2023 s. 226.]</w:t>
      </w:r>
    </w:p>
    <w:p>
      <w:pPr>
        <w:pStyle w:val="Heading5"/>
        <w:rPr>
          <w:snapToGrid w:val="0"/>
        </w:rPr>
      </w:pPr>
      <w:bookmarkStart w:id="20" w:name="_Toc200368271"/>
      <w:r>
        <w:rPr>
          <w:rStyle w:val="CharSectno"/>
        </w:rPr>
        <w:t>21</w:t>
      </w:r>
      <w:r>
        <w:rPr>
          <w:snapToGrid w:val="0"/>
        </w:rPr>
        <w:t>.</w:t>
      </w:r>
      <w:r>
        <w:rPr>
          <w:snapToGrid w:val="0"/>
        </w:rPr>
        <w:tab/>
        <w:t>Codes of conduct</w:t>
      </w:r>
      <w:bookmarkEnd w:id="20"/>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keepNext/>
        <w:rPr>
          <w:snapToGrid w:val="0"/>
        </w:rPr>
      </w:pPr>
      <w:r>
        <w:rPr>
          <w:snapToGrid w:val="0"/>
        </w:rPr>
        <w:lastRenderedPageBreak/>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21" w:name="_Toc200368272"/>
      <w:r>
        <w:rPr>
          <w:rStyle w:val="CharSectno"/>
        </w:rPr>
        <w:t>22</w:t>
      </w:r>
      <w:r>
        <w:rPr>
          <w:snapToGrid w:val="0"/>
        </w:rPr>
        <w:t>.</w:t>
      </w:r>
      <w:r>
        <w:rPr>
          <w:snapToGrid w:val="0"/>
        </w:rPr>
        <w:tab/>
        <w:t>Reports to Public Sector Commissioner as to s. 21 codes</w:t>
      </w:r>
      <w:bookmarkEnd w:id="21"/>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22" w:name="_Toc200368273"/>
      <w:r>
        <w:rPr>
          <w:rStyle w:val="CharSectno"/>
        </w:rPr>
        <w:t>23</w:t>
      </w:r>
      <w:r>
        <w:rPr>
          <w:snapToGrid w:val="0"/>
        </w:rPr>
        <w:t>.</w:t>
      </w:r>
      <w:r>
        <w:rPr>
          <w:snapToGrid w:val="0"/>
        </w:rPr>
        <w:tab/>
        <w:t>Reports to Minister as to s. 21 codes</w:t>
      </w:r>
      <w:bookmarkEnd w:id="22"/>
    </w:p>
    <w:p>
      <w:pPr>
        <w:pStyle w:val="Subsection"/>
        <w:rPr>
          <w:snapToGrid w:val="0"/>
        </w:rPr>
      </w:pPr>
      <w:r>
        <w:rPr>
          <w:snapToGrid w:val="0"/>
        </w:rPr>
        <w:tab/>
        <w:t>(1)</w:t>
      </w:r>
      <w:r>
        <w:rPr>
          <w:snapToGrid w:val="0"/>
        </w:rPr>
        <w:tab/>
        <w:t xml:space="preserve">A board, when it delivers to the Minister its annual report under </w:t>
      </w:r>
      <w:r>
        <w:t>the GTE Act section 81,</w:t>
      </w:r>
      <w:r>
        <w:rPr>
          <w:snapToGrid w:val="0"/>
        </w:rPr>
        <w:t xml:space="preserve">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 No. 13 of 2023 s. 227.]</w:t>
      </w:r>
    </w:p>
    <w:p>
      <w:pPr>
        <w:pStyle w:val="Heading2"/>
      </w:pPr>
      <w:bookmarkStart w:id="23" w:name="_Toc200368274"/>
      <w:r>
        <w:rPr>
          <w:rStyle w:val="CharPartNo"/>
        </w:rPr>
        <w:lastRenderedPageBreak/>
        <w:t>Part 3</w:t>
      </w:r>
      <w:r>
        <w:rPr>
          <w:rStyle w:val="CharDivNo"/>
        </w:rPr>
        <w:t xml:space="preserve"> </w:t>
      </w:r>
      <w:r>
        <w:t>—</w:t>
      </w:r>
      <w:r>
        <w:rPr>
          <w:rStyle w:val="CharDivText"/>
        </w:rPr>
        <w:t xml:space="preserve"> </w:t>
      </w:r>
      <w:r>
        <w:rPr>
          <w:rStyle w:val="CharPartText"/>
        </w:rPr>
        <w:t>Port areas and property of port authorities</w:t>
      </w:r>
      <w:bookmarkEnd w:id="23"/>
      <w:r>
        <w:rPr>
          <w:rStyle w:val="CharPartText"/>
        </w:rPr>
        <w:t xml:space="preserve"> </w:t>
      </w:r>
    </w:p>
    <w:p>
      <w:pPr>
        <w:pStyle w:val="Heading5"/>
        <w:rPr>
          <w:snapToGrid w:val="0"/>
        </w:rPr>
      </w:pPr>
      <w:bookmarkStart w:id="24" w:name="_Toc200368275"/>
      <w:r>
        <w:rPr>
          <w:rStyle w:val="CharSectno"/>
        </w:rPr>
        <w:t>24</w:t>
      </w:r>
      <w:r>
        <w:rPr>
          <w:snapToGrid w:val="0"/>
        </w:rPr>
        <w:t>.</w:t>
      </w:r>
      <w:r>
        <w:rPr>
          <w:snapToGrid w:val="0"/>
        </w:rPr>
        <w:tab/>
        <w:t>Port areas defined</w:t>
      </w:r>
      <w:bookmarkEnd w:id="24"/>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25" w:name="_Toc200368276"/>
      <w:r>
        <w:rPr>
          <w:rStyle w:val="CharSectno"/>
        </w:rPr>
        <w:t>25</w:t>
      </w:r>
      <w:r>
        <w:rPr>
          <w:snapToGrid w:val="0"/>
        </w:rPr>
        <w:t>.</w:t>
      </w:r>
      <w:r>
        <w:rPr>
          <w:snapToGrid w:val="0"/>
        </w:rPr>
        <w:tab/>
        <w:t>Port authority, property vested in</w:t>
      </w:r>
      <w:bookmarkEnd w:id="25"/>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keepNext/>
        <w:rPr>
          <w:snapToGrid w:val="0"/>
        </w:rPr>
      </w:pPr>
      <w:r>
        <w:rPr>
          <w:snapToGrid w:val="0"/>
        </w:rPr>
        <w:lastRenderedPageBreak/>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pPr>
      <w:r>
        <w:tab/>
        <w:t>(b)</w:t>
      </w:r>
      <w:r>
        <w:tab/>
        <w:t xml:space="preserve">any real or personal property (other than property referred to in subsection (1) or paragraph (a)) that — </w:t>
      </w:r>
    </w:p>
    <w:p>
      <w:pPr>
        <w:pStyle w:val="Indenti"/>
      </w:pPr>
      <w:r>
        <w:tab/>
        <w:t>(i)</w:t>
      </w:r>
      <w:r>
        <w:tab/>
        <w:t>is acquired by the port authority; or</w:t>
      </w:r>
    </w:p>
    <w:p>
      <w:pPr>
        <w:pStyle w:val="Indenti"/>
      </w:pPr>
      <w:r>
        <w:tab/>
        <w:t>(ii)</w:t>
      </w:r>
      <w:r>
        <w:tab/>
        <w:t>is vested in the port authority by the Governor for the purposes of this Act; or</w:t>
      </w:r>
    </w:p>
    <w:p>
      <w:pPr>
        <w:pStyle w:val="Indenti"/>
      </w:pPr>
      <w:r>
        <w:tab/>
        <w:t>(iii)</w:t>
      </w:r>
      <w:r>
        <w:tab/>
        <w:t>is vested in, or becomes the property of, the port authority under this Act.</w:t>
      </w:r>
    </w:p>
    <w:p>
      <w:pPr>
        <w:pStyle w:val="Footnotesection"/>
      </w:pPr>
      <w:r>
        <w:tab/>
        <w:t>[Section 25 amended: No. 71 of 2003 s. 4(1)</w:t>
      </w:r>
      <w:r>
        <w:rPr>
          <w:i w:val="0"/>
          <w:vertAlign w:val="superscript"/>
        </w:rPr>
        <w:t> 1</w:t>
      </w:r>
      <w:r>
        <w:t>; No. 2 of 2019 s. 44.]</w:t>
      </w:r>
    </w:p>
    <w:p>
      <w:pPr>
        <w:pStyle w:val="Heading5"/>
        <w:rPr>
          <w:snapToGrid w:val="0"/>
        </w:rPr>
      </w:pPr>
      <w:bookmarkStart w:id="26" w:name="_Toc200368277"/>
      <w:r>
        <w:rPr>
          <w:rStyle w:val="CharSectno"/>
        </w:rPr>
        <w:t>26</w:t>
      </w:r>
      <w:r>
        <w:rPr>
          <w:snapToGrid w:val="0"/>
        </w:rPr>
        <w:t>.</w:t>
      </w:r>
      <w:r>
        <w:rPr>
          <w:snapToGrid w:val="0"/>
        </w:rPr>
        <w:tab/>
        <w:t>Port property may be taken back by Crown</w:t>
      </w:r>
      <w:bookmarkEnd w:id="26"/>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7" w:name="_Toc200368278"/>
      <w:r>
        <w:rPr>
          <w:rStyle w:val="CharSectno"/>
        </w:rPr>
        <w:t>27</w:t>
      </w:r>
      <w:r>
        <w:rPr>
          <w:snapToGrid w:val="0"/>
        </w:rPr>
        <w:t>.</w:t>
      </w:r>
      <w:r>
        <w:rPr>
          <w:snapToGrid w:val="0"/>
        </w:rPr>
        <w:tab/>
        <w:t>Power to sell land, restrictions on</w:t>
      </w:r>
      <w:bookmarkEnd w:id="27"/>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keepNext/>
        <w:rPr>
          <w:snapToGrid w:val="0"/>
        </w:rPr>
      </w:pPr>
      <w:r>
        <w:rPr>
          <w:snapToGrid w:val="0"/>
        </w:rPr>
        <w:lastRenderedPageBreak/>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No. 9 of 2014 s. 10.]</w:t>
      </w:r>
    </w:p>
    <w:p>
      <w:pPr>
        <w:pStyle w:val="Heading5"/>
      </w:pPr>
      <w:bookmarkStart w:id="28" w:name="_Toc200368279"/>
      <w:r>
        <w:rPr>
          <w:rStyle w:val="CharSectno"/>
        </w:rPr>
        <w:t>27A</w:t>
      </w:r>
      <w:r>
        <w:t>.</w:t>
      </w:r>
      <w:r>
        <w:tab/>
        <w:t>Land, creating interests in</w:t>
      </w:r>
      <w:bookmarkEnd w:id="28"/>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29" w:name="_Toc200368280"/>
      <w:r>
        <w:rPr>
          <w:rStyle w:val="CharSectno"/>
        </w:rPr>
        <w:t>28</w:t>
      </w:r>
      <w:r>
        <w:rPr>
          <w:snapToGrid w:val="0"/>
        </w:rPr>
        <w:t>.</w:t>
      </w:r>
      <w:r>
        <w:rPr>
          <w:snapToGrid w:val="0"/>
        </w:rPr>
        <w:tab/>
        <w:t>Vested land, creating and dealing with interests in</w:t>
      </w:r>
      <w:bookmarkEnd w:id="29"/>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30" w:name="_Toc200368281"/>
      <w:r>
        <w:rPr>
          <w:rStyle w:val="CharSectno"/>
        </w:rPr>
        <w:lastRenderedPageBreak/>
        <w:t>29A</w:t>
      </w:r>
      <w:r>
        <w:t>.</w:t>
      </w:r>
      <w:r>
        <w:tab/>
        <w:t xml:space="preserve">Operation of </w:t>
      </w:r>
      <w:r>
        <w:rPr>
          <w:i/>
        </w:rPr>
        <w:t>Planning and Development Act 2005</w:t>
      </w:r>
      <w:r>
        <w:t xml:space="preserve"> section 136 modified</w:t>
      </w:r>
      <w:bookmarkEnd w:id="30"/>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31" w:name="_Toc200368282"/>
      <w:r>
        <w:rPr>
          <w:rStyle w:val="CharSectno"/>
        </w:rPr>
        <w:t>29</w:t>
      </w:r>
      <w:r>
        <w:rPr>
          <w:snapToGrid w:val="0"/>
        </w:rPr>
        <w:t>.</w:t>
      </w:r>
      <w:r>
        <w:rPr>
          <w:snapToGrid w:val="0"/>
        </w:rPr>
        <w:tab/>
        <w:t>Disputes between port authority and Crown</w:t>
      </w:r>
      <w:bookmarkEnd w:id="3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2" w:name="_Toc200368283"/>
      <w:r>
        <w:rPr>
          <w:rStyle w:val="CharPartNo"/>
        </w:rPr>
        <w:lastRenderedPageBreak/>
        <w:t>Part 4</w:t>
      </w:r>
      <w:r>
        <w:t xml:space="preserve"> — </w:t>
      </w:r>
      <w:r>
        <w:rPr>
          <w:rStyle w:val="CharPartText"/>
        </w:rPr>
        <w:t>Functions and powers</w:t>
      </w:r>
      <w:bookmarkEnd w:id="32"/>
      <w:r>
        <w:t xml:space="preserve"> </w:t>
      </w:r>
    </w:p>
    <w:p>
      <w:pPr>
        <w:pStyle w:val="Ednotedivision"/>
      </w:pPr>
      <w:r>
        <w:tab/>
        <w:t>[Division 1 heading deleted: No. 13 of 2023 s. 228.]</w:t>
      </w:r>
    </w:p>
    <w:p>
      <w:pPr>
        <w:pStyle w:val="Heading5"/>
        <w:rPr>
          <w:snapToGrid w:val="0"/>
        </w:rPr>
      </w:pPr>
      <w:bookmarkStart w:id="33" w:name="_Toc200368284"/>
      <w:r>
        <w:rPr>
          <w:rStyle w:val="CharSectno"/>
        </w:rPr>
        <w:t>30</w:t>
      </w:r>
      <w:r>
        <w:rPr>
          <w:snapToGrid w:val="0"/>
        </w:rPr>
        <w:t>.</w:t>
      </w:r>
      <w:r>
        <w:rPr>
          <w:snapToGrid w:val="0"/>
        </w:rPr>
        <w:tab/>
        <w:t>Functions</w:t>
      </w:r>
      <w:bookmarkEnd w:id="33"/>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pPr>
      <w:bookmarkStart w:id="34" w:name="_Toc200368285"/>
      <w:r>
        <w:rPr>
          <w:rStyle w:val="CharSectno"/>
        </w:rPr>
        <w:lastRenderedPageBreak/>
        <w:t>31</w:t>
      </w:r>
      <w:r>
        <w:t>.</w:t>
      </w:r>
      <w:r>
        <w:tab/>
        <w:t xml:space="preserve">Relationship to </w:t>
      </w:r>
      <w:r>
        <w:rPr>
          <w:i/>
        </w:rPr>
        <w:t>Environmental Protection Act 1986</w:t>
      </w:r>
      <w:bookmarkEnd w:id="34"/>
      <w:r>
        <w:t xml:space="preserve"> </w:t>
      </w:r>
    </w:p>
    <w:p>
      <w:pPr>
        <w:pStyle w:val="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Footnotesection"/>
      </w:pPr>
      <w:r>
        <w:tab/>
        <w:t>[Section 31 inserted: No. 13 of 2023 s. 229.]</w:t>
      </w:r>
    </w:p>
    <w:p>
      <w:pPr>
        <w:pStyle w:val="Heading5"/>
        <w:rPr>
          <w:snapToGrid w:val="0"/>
        </w:rPr>
      </w:pPr>
      <w:bookmarkStart w:id="35" w:name="_Toc200368286"/>
      <w:r>
        <w:rPr>
          <w:rStyle w:val="CharSectno"/>
        </w:rPr>
        <w:t>32</w:t>
      </w:r>
      <w:r>
        <w:rPr>
          <w:snapToGrid w:val="0"/>
        </w:rPr>
        <w:t>.</w:t>
      </w:r>
      <w:r>
        <w:rPr>
          <w:snapToGrid w:val="0"/>
        </w:rPr>
        <w:tab/>
      </w:r>
      <w:r>
        <w:t>Port authority has control of port</w:t>
      </w:r>
      <w:bookmarkEnd w:id="35"/>
    </w:p>
    <w:p>
      <w:pPr>
        <w:pStyle w:val="Subsection"/>
        <w:rPr>
          <w:snapToGrid w:val="0"/>
        </w:rPr>
      </w:pPr>
      <w:r>
        <w:rPr>
          <w:snapToGrid w:val="0"/>
        </w:rPr>
        <w:tab/>
      </w:r>
      <w:r>
        <w:rPr>
          <w:snapToGrid w:val="0"/>
        </w:rPr>
        <w:tab/>
        <w:t>Subject to any direction given by the Minister under the GTE Act Part 7 Division 4, a port authority has exclusive control of the port.</w:t>
      </w:r>
    </w:p>
    <w:p>
      <w:pPr>
        <w:pStyle w:val="Footnotesection"/>
      </w:pPr>
      <w:r>
        <w:tab/>
        <w:t>[Section 32 amended: No. 13 of 2023 s. 230.]</w:t>
      </w:r>
    </w:p>
    <w:p>
      <w:pPr>
        <w:pStyle w:val="Ednotesection"/>
      </w:pPr>
      <w:r>
        <w:t>[</w:t>
      </w:r>
      <w:r>
        <w:rPr>
          <w:b/>
        </w:rPr>
        <w:t>33-34.</w:t>
      </w:r>
      <w:r>
        <w:tab/>
        <w:t>Deleted: No. 13 of 2023 s. 231.]</w:t>
      </w:r>
    </w:p>
    <w:p>
      <w:pPr>
        <w:pStyle w:val="Heading5"/>
        <w:rPr>
          <w:snapToGrid w:val="0"/>
        </w:rPr>
      </w:pPr>
      <w:bookmarkStart w:id="36" w:name="_Toc200368287"/>
      <w:r>
        <w:rPr>
          <w:rStyle w:val="CharSectno"/>
        </w:rPr>
        <w:t>35</w:t>
      </w:r>
      <w:r>
        <w:rPr>
          <w:snapToGrid w:val="0"/>
        </w:rPr>
        <w:t>.</w:t>
      </w:r>
      <w:r>
        <w:rPr>
          <w:snapToGrid w:val="0"/>
        </w:rPr>
        <w:tab/>
        <w:t>Powers generally</w:t>
      </w:r>
      <w:bookmarkEnd w:id="36"/>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lastRenderedPageBreak/>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lastRenderedPageBreak/>
        <w:tab/>
        <w:t>(3)</w:t>
      </w:r>
      <w:r>
        <w:rPr>
          <w:snapToGrid w:val="0"/>
        </w:rPr>
        <w:tab/>
        <w:t>Subsection (2) does not limit subsection (1) or the other powers of a port authority under this Act or any other written law.</w:t>
      </w:r>
    </w:p>
    <w:p>
      <w:pPr>
        <w:pStyle w:val="Subsection"/>
      </w:pPr>
      <w:r>
        <w:tab/>
        <w:t>(3A)</w:t>
      </w:r>
      <w:r>
        <w:tab/>
        <w:t>Subsections (1) and (2) have effect subject to the GTE Act.</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lastRenderedPageBreak/>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lastRenderedPageBreak/>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16; No. 13 of 2023 s. 232.]</w:t>
      </w:r>
    </w:p>
    <w:p>
      <w:pPr>
        <w:pStyle w:val="Heading5"/>
        <w:rPr>
          <w:snapToGrid w:val="0"/>
        </w:rPr>
      </w:pPr>
      <w:bookmarkStart w:id="37" w:name="_Toc200368288"/>
      <w:r>
        <w:rPr>
          <w:rStyle w:val="CharSectno"/>
        </w:rPr>
        <w:t>36</w:t>
      </w:r>
      <w:r>
        <w:rPr>
          <w:snapToGrid w:val="0"/>
        </w:rPr>
        <w:t>.</w:t>
      </w:r>
      <w:r>
        <w:rPr>
          <w:snapToGrid w:val="0"/>
        </w:rPr>
        <w:tab/>
        <w:t>Port facilities and services, extended powers as to</w:t>
      </w:r>
      <w:bookmarkEnd w:id="37"/>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38" w:name="_Toc200368289"/>
      <w:r>
        <w:rPr>
          <w:rStyle w:val="CharSectno"/>
        </w:rPr>
        <w:t>37</w:t>
      </w:r>
      <w:r>
        <w:rPr>
          <w:snapToGrid w:val="0"/>
        </w:rPr>
        <w:t>.</w:t>
      </w:r>
      <w:r>
        <w:rPr>
          <w:snapToGrid w:val="0"/>
        </w:rPr>
        <w:tab/>
        <w:t>Fees and charges, power to levy</w:t>
      </w:r>
      <w:bookmarkEnd w:id="38"/>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lastRenderedPageBreak/>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39" w:name="_Toc200368290"/>
      <w:r>
        <w:rPr>
          <w:rStyle w:val="CharSectno"/>
        </w:rPr>
        <w:t>38</w:t>
      </w:r>
      <w:r>
        <w:rPr>
          <w:snapToGrid w:val="0"/>
        </w:rPr>
        <w:t>.</w:t>
      </w:r>
      <w:r>
        <w:rPr>
          <w:snapToGrid w:val="0"/>
        </w:rPr>
        <w:tab/>
        <w:t>Planning laws, application of to port authorities</w:t>
      </w:r>
      <w:bookmarkEnd w:id="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Ednotesection"/>
      </w:pPr>
      <w:r>
        <w:t>[</w:t>
      </w:r>
      <w:r>
        <w:rPr>
          <w:b/>
        </w:rPr>
        <w:t>39-43.</w:t>
      </w:r>
      <w:r>
        <w:tab/>
        <w:t>Deleted: No. 13 of 2023 s. 233.]</w:t>
      </w:r>
    </w:p>
    <w:p>
      <w:pPr>
        <w:pStyle w:val="Heading5"/>
        <w:rPr>
          <w:snapToGrid w:val="0"/>
        </w:rPr>
      </w:pPr>
      <w:bookmarkStart w:id="40" w:name="_Toc200368291"/>
      <w:r>
        <w:rPr>
          <w:rStyle w:val="CharSectno"/>
        </w:rPr>
        <w:lastRenderedPageBreak/>
        <w:t>44</w:t>
      </w:r>
      <w:r>
        <w:rPr>
          <w:snapToGrid w:val="0"/>
        </w:rPr>
        <w:t>.</w:t>
      </w:r>
      <w:r>
        <w:rPr>
          <w:snapToGrid w:val="0"/>
        </w:rPr>
        <w:tab/>
        <w:t>Delegation by port authority</w:t>
      </w:r>
      <w:bookmarkEnd w:id="40"/>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port authority can be given under the GTE Act section 156.</w:t>
      </w:r>
    </w:p>
    <w:p>
      <w:pPr>
        <w:pStyle w:val="Footnotesection"/>
      </w:pPr>
      <w:r>
        <w:tab/>
        <w:t>[Section 44 amended: No. 13 of 2023 s. 234.]</w:t>
      </w:r>
    </w:p>
    <w:p>
      <w:pPr>
        <w:pStyle w:val="Ednotedivision"/>
      </w:pPr>
      <w:r>
        <w:t>[Division 2 (s. 45-48) deleted: No. 13 of 2023 s. 235.]</w:t>
      </w:r>
    </w:p>
    <w:p>
      <w:pPr>
        <w:pStyle w:val="Ednotepart"/>
      </w:pPr>
      <w:r>
        <w:tab/>
        <w:t>[Part 5 (s. 49-78) deleted: No. 13 of 2023 s. 236.]</w:t>
      </w:r>
    </w:p>
    <w:p>
      <w:pPr>
        <w:pStyle w:val="Ednotepart"/>
      </w:pPr>
      <w:r>
        <w:lastRenderedPageBreak/>
        <w:tab/>
        <w:t>[Part 6 heading deleted: No. 13 of 2023 s. 237.]</w:t>
      </w:r>
    </w:p>
    <w:p>
      <w:pPr>
        <w:pStyle w:val="Ednotedivision"/>
      </w:pPr>
      <w:r>
        <w:t>[Divisions 1 to 5 (s. 79-120) deleted: No. 13 of 2023 s. 238.]</w:t>
      </w:r>
    </w:p>
    <w:p>
      <w:pPr>
        <w:pStyle w:val="Ednotedivision"/>
      </w:pPr>
      <w:r>
        <w:tab/>
        <w:t>[Division 6 heading deleted: No. 13 of 2023 s. 239.]</w:t>
      </w:r>
    </w:p>
    <w:p>
      <w:pPr>
        <w:pStyle w:val="Heading5"/>
        <w:spacing w:before="240"/>
        <w:rPr>
          <w:snapToGrid w:val="0"/>
        </w:rPr>
      </w:pPr>
      <w:bookmarkStart w:id="41" w:name="_Toc200368292"/>
      <w:r>
        <w:rPr>
          <w:rStyle w:val="CharSectno"/>
        </w:rPr>
        <w:t>92</w:t>
      </w:r>
      <w:r>
        <w:rPr>
          <w:snapToGrid w:val="0"/>
        </w:rPr>
        <w:t>.</w:t>
      </w:r>
      <w:r>
        <w:rPr>
          <w:snapToGrid w:val="0"/>
        </w:rPr>
        <w:tab/>
        <w:t>Annual financial targets, Minister may set</w:t>
      </w:r>
      <w:bookmarkEnd w:id="41"/>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2" w:name="_Toc200368293"/>
      <w:r>
        <w:rPr>
          <w:rStyle w:val="CharPartNo"/>
        </w:rPr>
        <w:lastRenderedPageBreak/>
        <w:t>Part 7</w:t>
      </w:r>
      <w:r>
        <w:t xml:space="preserve"> — </w:t>
      </w:r>
      <w:r>
        <w:rPr>
          <w:rStyle w:val="CharPartText"/>
        </w:rPr>
        <w:t>Navigation and port matters</w:t>
      </w:r>
      <w:bookmarkEnd w:id="42"/>
      <w:r>
        <w:rPr>
          <w:rStyle w:val="CharPartText"/>
        </w:rPr>
        <w:t xml:space="preserve"> </w:t>
      </w:r>
    </w:p>
    <w:p>
      <w:pPr>
        <w:pStyle w:val="Heading3"/>
        <w:spacing w:before="180"/>
      </w:pPr>
      <w:bookmarkStart w:id="43" w:name="_Toc200368294"/>
      <w:r>
        <w:rPr>
          <w:rStyle w:val="CharDivNo"/>
        </w:rPr>
        <w:t>Division 1</w:t>
      </w:r>
      <w:r>
        <w:t xml:space="preserve"> — </w:t>
      </w:r>
      <w:r>
        <w:rPr>
          <w:rStyle w:val="CharDivText"/>
        </w:rPr>
        <w:t>Navigational aids</w:t>
      </w:r>
      <w:bookmarkEnd w:id="43"/>
    </w:p>
    <w:p>
      <w:pPr>
        <w:pStyle w:val="Heading5"/>
        <w:rPr>
          <w:snapToGrid w:val="0"/>
        </w:rPr>
      </w:pPr>
      <w:bookmarkStart w:id="44" w:name="_Toc200368295"/>
      <w:r>
        <w:rPr>
          <w:rStyle w:val="CharSectno"/>
        </w:rPr>
        <w:t>93</w:t>
      </w:r>
      <w:r>
        <w:rPr>
          <w:snapToGrid w:val="0"/>
        </w:rPr>
        <w:t>.</w:t>
      </w:r>
      <w:r>
        <w:rPr>
          <w:snapToGrid w:val="0"/>
        </w:rPr>
        <w:tab/>
        <w:t>Port authority may provide etc. navigational aids etc.</w:t>
      </w:r>
      <w:bookmarkEnd w:id="44"/>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lastRenderedPageBreak/>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5" w:name="_Toc200368296"/>
      <w:r>
        <w:rPr>
          <w:rStyle w:val="CharSectno"/>
        </w:rPr>
        <w:t>94</w:t>
      </w:r>
      <w:r>
        <w:rPr>
          <w:snapToGrid w:val="0"/>
        </w:rPr>
        <w:t>.</w:t>
      </w:r>
      <w:r>
        <w:rPr>
          <w:snapToGrid w:val="0"/>
        </w:rPr>
        <w:tab/>
        <w:t>Interference with navigational aids, offence</w:t>
      </w:r>
      <w:bookmarkEnd w:id="45"/>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6" w:name="_Toc200368297"/>
      <w:r>
        <w:rPr>
          <w:rStyle w:val="CharDivNo"/>
        </w:rPr>
        <w:t>Division 2</w:t>
      </w:r>
      <w:r>
        <w:rPr>
          <w:snapToGrid w:val="0"/>
        </w:rPr>
        <w:t xml:space="preserve"> — </w:t>
      </w:r>
      <w:r>
        <w:rPr>
          <w:rStyle w:val="CharDivText"/>
        </w:rPr>
        <w:t>Pilotage</w:t>
      </w:r>
      <w:bookmarkEnd w:id="46"/>
      <w:r>
        <w:rPr>
          <w:rStyle w:val="CharDivText"/>
        </w:rPr>
        <w:t xml:space="preserve"> </w:t>
      </w:r>
    </w:p>
    <w:p>
      <w:pPr>
        <w:pStyle w:val="Heading5"/>
        <w:rPr>
          <w:snapToGrid w:val="0"/>
        </w:rPr>
      </w:pPr>
      <w:bookmarkStart w:id="47" w:name="_Toc200368298"/>
      <w:r>
        <w:rPr>
          <w:rStyle w:val="CharSectno"/>
        </w:rPr>
        <w:t>95</w:t>
      </w:r>
      <w:r>
        <w:rPr>
          <w:snapToGrid w:val="0"/>
        </w:rPr>
        <w:t>.</w:t>
      </w:r>
      <w:r>
        <w:rPr>
          <w:snapToGrid w:val="0"/>
        </w:rPr>
        <w:tab/>
        <w:t>Terms used in, and application of, this Division</w:t>
      </w:r>
      <w:bookmarkEnd w:id="4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lastRenderedPageBreak/>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8" w:name="_Toc200368299"/>
      <w:r>
        <w:rPr>
          <w:rStyle w:val="CharSectno"/>
        </w:rPr>
        <w:t>96</w:t>
      </w:r>
      <w:r>
        <w:rPr>
          <w:snapToGrid w:val="0"/>
        </w:rPr>
        <w:t>.</w:t>
      </w:r>
      <w:r>
        <w:rPr>
          <w:snapToGrid w:val="0"/>
        </w:rPr>
        <w:tab/>
        <w:t>Port authority to approve pilots and ensure pilotage services are provided</w:t>
      </w:r>
      <w:bookmarkEnd w:id="48"/>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 xml:space="preserve">if regulations under section 143 provide that a person providing pilotage services in the port needs a licence </w:t>
      </w:r>
      <w:r>
        <w:rPr>
          <w:snapToGrid w:val="0"/>
        </w:rPr>
        <w:lastRenderedPageBreak/>
        <w:t>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 No. 2 of 2019 s. 48.]</w:t>
      </w:r>
    </w:p>
    <w:p>
      <w:pPr>
        <w:pStyle w:val="Heading5"/>
        <w:rPr>
          <w:snapToGrid w:val="0"/>
        </w:rPr>
      </w:pPr>
      <w:bookmarkStart w:id="49" w:name="_Toc200368300"/>
      <w:r>
        <w:rPr>
          <w:rStyle w:val="CharSectno"/>
        </w:rPr>
        <w:t>97</w:t>
      </w:r>
      <w:r>
        <w:rPr>
          <w:snapToGrid w:val="0"/>
        </w:rPr>
        <w:t>.</w:t>
      </w:r>
      <w:r>
        <w:rPr>
          <w:snapToGrid w:val="0"/>
        </w:rPr>
        <w:tab/>
        <w:t>Pilotage compulsory in ports</w:t>
      </w:r>
      <w:bookmarkEnd w:id="4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lastRenderedPageBreak/>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50" w:name="_Toc200368301"/>
      <w:r>
        <w:rPr>
          <w:rStyle w:val="CharSectno"/>
        </w:rPr>
        <w:t>98</w:t>
      </w:r>
      <w:r>
        <w:rPr>
          <w:snapToGrid w:val="0"/>
        </w:rPr>
        <w:t>.</w:t>
      </w:r>
      <w:r>
        <w:rPr>
          <w:snapToGrid w:val="0"/>
        </w:rPr>
        <w:tab/>
        <w:t>Pilot under authority of master</w:t>
      </w:r>
      <w:bookmarkEnd w:id="5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51" w:name="_Toc200368302"/>
      <w:r>
        <w:rPr>
          <w:rStyle w:val="CharSectno"/>
        </w:rPr>
        <w:t>99</w:t>
      </w:r>
      <w:r>
        <w:rPr>
          <w:snapToGrid w:val="0"/>
        </w:rPr>
        <w:t>.</w:t>
      </w:r>
      <w:r>
        <w:rPr>
          <w:snapToGrid w:val="0"/>
        </w:rPr>
        <w:tab/>
        <w:t>Liability of owner or master of piloted vessel</w:t>
      </w:r>
      <w:bookmarkEnd w:id="5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52" w:name="_Toc200368303"/>
      <w:r>
        <w:rPr>
          <w:rStyle w:val="CharSectno"/>
        </w:rPr>
        <w:t>100</w:t>
      </w:r>
      <w:r>
        <w:rPr>
          <w:snapToGrid w:val="0"/>
        </w:rPr>
        <w:t>.</w:t>
      </w:r>
      <w:r>
        <w:rPr>
          <w:snapToGrid w:val="0"/>
        </w:rPr>
        <w:tab/>
        <w:t>Immunity from liability for negligent provision of pilotage services</w:t>
      </w:r>
      <w:bookmarkEnd w:id="52"/>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 xml:space="preserve">The employer of a person who is an approved pilot is not liable for any loss or damage resulting from an act or omission by the </w:t>
      </w:r>
      <w:r>
        <w:rPr>
          <w:snapToGrid w:val="0"/>
        </w:rPr>
        <w:lastRenderedPageBreak/>
        <w:t>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53" w:name="_Toc200368304"/>
      <w:r>
        <w:rPr>
          <w:rStyle w:val="CharDivNo"/>
        </w:rPr>
        <w:t>Division 3</w:t>
      </w:r>
      <w:r>
        <w:rPr>
          <w:snapToGrid w:val="0"/>
        </w:rPr>
        <w:t> — </w:t>
      </w:r>
      <w:r>
        <w:rPr>
          <w:rStyle w:val="CharDivText"/>
        </w:rPr>
        <w:t>Harbour masters</w:t>
      </w:r>
      <w:bookmarkEnd w:id="53"/>
      <w:r>
        <w:rPr>
          <w:rStyle w:val="CharDivText"/>
        </w:rPr>
        <w:t xml:space="preserve"> </w:t>
      </w:r>
    </w:p>
    <w:p>
      <w:pPr>
        <w:pStyle w:val="Heading5"/>
        <w:rPr>
          <w:snapToGrid w:val="0"/>
        </w:rPr>
      </w:pPr>
      <w:bookmarkStart w:id="54" w:name="_Toc200368305"/>
      <w:r>
        <w:rPr>
          <w:rStyle w:val="CharSectno"/>
        </w:rPr>
        <w:t>101</w:t>
      </w:r>
      <w:r>
        <w:rPr>
          <w:snapToGrid w:val="0"/>
        </w:rPr>
        <w:t>.</w:t>
      </w:r>
      <w:r>
        <w:rPr>
          <w:snapToGrid w:val="0"/>
        </w:rPr>
        <w:tab/>
        <w:t>Port includes other declared areas</w:t>
      </w:r>
      <w:bookmarkEnd w:id="54"/>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5" w:name="_Toc200368306"/>
      <w:r>
        <w:rPr>
          <w:rStyle w:val="CharSectno"/>
        </w:rPr>
        <w:t>102</w:t>
      </w:r>
      <w:r>
        <w:rPr>
          <w:snapToGrid w:val="0"/>
        </w:rPr>
        <w:t>.</w:t>
      </w:r>
      <w:r>
        <w:rPr>
          <w:snapToGrid w:val="0"/>
        </w:rPr>
        <w:tab/>
        <w:t>Appointment of harbour master and deputy harbour master etc.</w:t>
      </w:r>
      <w:bookmarkEnd w:id="55"/>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lastRenderedPageBreak/>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6" w:name="_Toc200368307"/>
      <w:r>
        <w:rPr>
          <w:rStyle w:val="CharSectno"/>
        </w:rPr>
        <w:t>103</w:t>
      </w:r>
      <w:r>
        <w:rPr>
          <w:snapToGrid w:val="0"/>
        </w:rPr>
        <w:t>.</w:t>
      </w:r>
      <w:r>
        <w:rPr>
          <w:snapToGrid w:val="0"/>
        </w:rPr>
        <w:tab/>
        <w:t>Functions of harbour master</w:t>
      </w:r>
      <w:bookmarkEnd w:id="56"/>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57" w:name="_Toc200368308"/>
      <w:r>
        <w:rPr>
          <w:rStyle w:val="CharSectno"/>
        </w:rPr>
        <w:lastRenderedPageBreak/>
        <w:t>104</w:t>
      </w:r>
      <w:r>
        <w:rPr>
          <w:snapToGrid w:val="0"/>
        </w:rPr>
        <w:t>.</w:t>
      </w:r>
      <w:r>
        <w:rPr>
          <w:snapToGrid w:val="0"/>
        </w:rPr>
        <w:tab/>
        <w:t>Directions to masters etc.</w:t>
      </w:r>
      <w:bookmarkEnd w:id="57"/>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58" w:name="_Toc200368309"/>
      <w:r>
        <w:rPr>
          <w:rStyle w:val="CharSectno"/>
        </w:rPr>
        <w:t>105</w:t>
      </w:r>
      <w:r>
        <w:rPr>
          <w:snapToGrid w:val="0"/>
        </w:rPr>
        <w:t>.</w:t>
      </w:r>
      <w:r>
        <w:rPr>
          <w:snapToGrid w:val="0"/>
        </w:rPr>
        <w:tab/>
        <w:t>Directions as to dangerous things</w:t>
      </w:r>
      <w:bookmarkEnd w:id="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lastRenderedPageBreak/>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59" w:name="_Toc200368310"/>
      <w:r>
        <w:rPr>
          <w:rStyle w:val="CharSectno"/>
        </w:rPr>
        <w:t>106</w:t>
      </w:r>
      <w:r>
        <w:rPr>
          <w:snapToGrid w:val="0"/>
        </w:rPr>
        <w:t>.</w:t>
      </w:r>
      <w:r>
        <w:rPr>
          <w:snapToGrid w:val="0"/>
        </w:rPr>
        <w:tab/>
        <w:t>Limit on power to order removal of vessels or dangerous things</w:t>
      </w:r>
      <w:bookmarkEnd w:id="59"/>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60" w:name="_Toc200368311"/>
      <w:r>
        <w:rPr>
          <w:rStyle w:val="CharSectno"/>
        </w:rPr>
        <w:t>107</w:t>
      </w:r>
      <w:r>
        <w:rPr>
          <w:snapToGrid w:val="0"/>
        </w:rPr>
        <w:t>.</w:t>
      </w:r>
      <w:r>
        <w:rPr>
          <w:snapToGrid w:val="0"/>
        </w:rPr>
        <w:tab/>
        <w:t>Ownerless vessels and dangerous things, removal of</w:t>
      </w:r>
      <w:bookmarkEnd w:id="60"/>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61" w:name="_Toc200368312"/>
      <w:r>
        <w:rPr>
          <w:rStyle w:val="CharSectno"/>
        </w:rPr>
        <w:t>108</w:t>
      </w:r>
      <w:r>
        <w:rPr>
          <w:snapToGrid w:val="0"/>
        </w:rPr>
        <w:t>.</w:t>
      </w:r>
      <w:r>
        <w:rPr>
          <w:snapToGrid w:val="0"/>
        </w:rPr>
        <w:tab/>
        <w:t>Not obeying s. 104 or 106 direction, offence</w:t>
      </w:r>
      <w:bookmarkEnd w:id="61"/>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62" w:name="_Toc200368313"/>
      <w:r>
        <w:rPr>
          <w:rStyle w:val="CharSectno"/>
        </w:rPr>
        <w:t>109</w:t>
      </w:r>
      <w:r>
        <w:rPr>
          <w:snapToGrid w:val="0"/>
        </w:rPr>
        <w:t>.</w:t>
      </w:r>
      <w:r>
        <w:rPr>
          <w:snapToGrid w:val="0"/>
        </w:rPr>
        <w:tab/>
        <w:t>Powers if direction not obeyed</w:t>
      </w:r>
      <w:bookmarkEnd w:id="62"/>
      <w:r>
        <w:rPr>
          <w:snapToGrid w:val="0"/>
        </w:rPr>
        <w:t xml:space="preserve"> </w:t>
      </w:r>
    </w:p>
    <w:p>
      <w:pPr>
        <w:pStyle w:val="Subsection"/>
        <w:rPr>
          <w:snapToGrid w:val="0"/>
        </w:rPr>
      </w:pPr>
      <w:r>
        <w:rPr>
          <w:snapToGrid w:val="0"/>
        </w:rPr>
        <w:tab/>
        <w:t>(1)</w:t>
      </w:r>
      <w:r>
        <w:rPr>
          <w:snapToGrid w:val="0"/>
        </w:rPr>
        <w:tab/>
        <w:t xml:space="preserve">If a person does not comply with a direction under section 104(1)(c), (d) or (e) or (2) or section 105 within a reasonable time after being given it, the harbour master may </w:t>
      </w:r>
      <w:r>
        <w:rPr>
          <w:snapToGrid w:val="0"/>
        </w:rPr>
        <w:lastRenderedPageBreak/>
        <w:t>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63" w:name="_Toc200368314"/>
      <w:r>
        <w:rPr>
          <w:rStyle w:val="CharSectno"/>
        </w:rPr>
        <w:t>110</w:t>
      </w:r>
      <w:r>
        <w:rPr>
          <w:snapToGrid w:val="0"/>
        </w:rPr>
        <w:t>.</w:t>
      </w:r>
      <w:r>
        <w:rPr>
          <w:snapToGrid w:val="0"/>
        </w:rPr>
        <w:tab/>
        <w:t>Recovering port authority’s s. 107 costs</w:t>
      </w:r>
      <w:bookmarkEnd w:id="63"/>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64" w:name="_Toc200368315"/>
      <w:r>
        <w:rPr>
          <w:rStyle w:val="CharSectno"/>
        </w:rPr>
        <w:lastRenderedPageBreak/>
        <w:t>111</w:t>
      </w:r>
      <w:r>
        <w:rPr>
          <w:snapToGrid w:val="0"/>
        </w:rPr>
        <w:t>.</w:t>
      </w:r>
      <w:r>
        <w:rPr>
          <w:snapToGrid w:val="0"/>
        </w:rPr>
        <w:tab/>
        <w:t>Immunity from liability for acts under this Division</w:t>
      </w:r>
      <w:bookmarkEnd w:id="64"/>
      <w:r>
        <w:rPr>
          <w:snapToGrid w:val="0"/>
        </w:rPr>
        <w:t xml:space="preserve"> </w:t>
      </w:r>
    </w:p>
    <w:p>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keepNext/>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65" w:name="_Toc200368316"/>
      <w:r>
        <w:rPr>
          <w:rStyle w:val="CharSectno"/>
        </w:rPr>
        <w:t>112</w:t>
      </w:r>
      <w:r>
        <w:rPr>
          <w:snapToGrid w:val="0"/>
        </w:rPr>
        <w:t>.</w:t>
      </w:r>
      <w:r>
        <w:rPr>
          <w:snapToGrid w:val="0"/>
        </w:rPr>
        <w:tab/>
        <w:t>Hindering harbour master etc., offence</w:t>
      </w:r>
      <w:bookmarkEnd w:id="65"/>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66" w:name="_Toc200368317"/>
      <w:r>
        <w:rPr>
          <w:rStyle w:val="CharDivNo"/>
        </w:rPr>
        <w:t>Division 4</w:t>
      </w:r>
      <w:r>
        <w:rPr>
          <w:snapToGrid w:val="0"/>
        </w:rPr>
        <w:t> — </w:t>
      </w:r>
      <w:r>
        <w:rPr>
          <w:rStyle w:val="CharDivText"/>
        </w:rPr>
        <w:t>Damage in a port caused by vessels etc.</w:t>
      </w:r>
      <w:bookmarkEnd w:id="66"/>
      <w:r>
        <w:rPr>
          <w:rStyle w:val="CharDivText"/>
        </w:rPr>
        <w:t xml:space="preserve"> </w:t>
      </w:r>
    </w:p>
    <w:p>
      <w:pPr>
        <w:pStyle w:val="Heading5"/>
        <w:rPr>
          <w:snapToGrid w:val="0"/>
        </w:rPr>
      </w:pPr>
      <w:bookmarkStart w:id="67" w:name="_Toc200368318"/>
      <w:r>
        <w:rPr>
          <w:rStyle w:val="CharSectno"/>
        </w:rPr>
        <w:t>113</w:t>
      </w:r>
      <w:r>
        <w:rPr>
          <w:snapToGrid w:val="0"/>
        </w:rPr>
        <w:t>.</w:t>
      </w:r>
      <w:r>
        <w:rPr>
          <w:snapToGrid w:val="0"/>
        </w:rPr>
        <w:tab/>
        <w:t>Responsibility for damage to port facilities or property</w:t>
      </w:r>
      <w:bookmarkEnd w:id="67"/>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lastRenderedPageBreak/>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68" w:name="_Toc200368319"/>
      <w:r>
        <w:rPr>
          <w:rStyle w:val="CharDivNo"/>
        </w:rPr>
        <w:lastRenderedPageBreak/>
        <w:t>Division 5</w:t>
      </w:r>
      <w:r>
        <w:rPr>
          <w:snapToGrid w:val="0"/>
        </w:rPr>
        <w:t xml:space="preserve"> — </w:t>
      </w:r>
      <w:r>
        <w:rPr>
          <w:rStyle w:val="CharDivText"/>
        </w:rPr>
        <w:t>Port safety</w:t>
      </w:r>
      <w:bookmarkEnd w:id="68"/>
    </w:p>
    <w:p>
      <w:pPr>
        <w:pStyle w:val="Heading5"/>
      </w:pPr>
      <w:bookmarkStart w:id="69" w:name="_Toc200368320"/>
      <w:r>
        <w:rPr>
          <w:rStyle w:val="CharSectno"/>
        </w:rPr>
        <w:t>114</w:t>
      </w:r>
      <w:r>
        <w:t>.</w:t>
      </w:r>
      <w:r>
        <w:tab/>
        <w:t>Marine safety plan, port authority to have</w:t>
      </w:r>
      <w:bookmarkEnd w:id="69"/>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70" w:name="_Toc200368321"/>
      <w:r>
        <w:rPr>
          <w:rStyle w:val="CharDivNo"/>
        </w:rPr>
        <w:t>Division 6</w:t>
      </w:r>
      <w:r>
        <w:t xml:space="preserve"> — </w:t>
      </w:r>
      <w:r>
        <w:rPr>
          <w:rStyle w:val="CharDivText"/>
        </w:rPr>
        <w:t>Powers of police officers and others</w:t>
      </w:r>
      <w:bookmarkEnd w:id="70"/>
      <w:r>
        <w:t xml:space="preserve"> </w:t>
      </w:r>
    </w:p>
    <w:p>
      <w:pPr>
        <w:pStyle w:val="Footnoteheading"/>
        <w:keepNext/>
        <w:keepLines/>
        <w:tabs>
          <w:tab w:val="left" w:pos="851"/>
        </w:tabs>
      </w:pPr>
      <w:r>
        <w:tab/>
        <w:t>[Heading inserted: No. 71 of 2003 s. 7.]</w:t>
      </w:r>
    </w:p>
    <w:p>
      <w:pPr>
        <w:pStyle w:val="Heading5"/>
      </w:pPr>
      <w:bookmarkStart w:id="71" w:name="_Toc200368322"/>
      <w:r>
        <w:rPr>
          <w:rStyle w:val="CharSectno"/>
        </w:rPr>
        <w:t>114A</w:t>
      </w:r>
      <w:r>
        <w:t>.</w:t>
      </w:r>
      <w:r>
        <w:tab/>
        <w:t>Police officers and others may enter vessels and conduct examinations and enquiries</w:t>
      </w:r>
      <w:bookmarkEnd w:id="71"/>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lastRenderedPageBreak/>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72" w:name="_Toc200368323"/>
      <w:r>
        <w:rPr>
          <w:rStyle w:val="CharDivNo"/>
        </w:rPr>
        <w:t>Division 7</w:t>
      </w:r>
      <w:r>
        <w:t xml:space="preserve"> — </w:t>
      </w:r>
      <w:r>
        <w:rPr>
          <w:rStyle w:val="CharDivText"/>
        </w:rPr>
        <w:t>Protection from liability</w:t>
      </w:r>
      <w:bookmarkEnd w:id="72"/>
    </w:p>
    <w:p>
      <w:pPr>
        <w:pStyle w:val="Footnoteheading"/>
        <w:tabs>
          <w:tab w:val="left" w:pos="851"/>
        </w:tabs>
      </w:pPr>
      <w:r>
        <w:tab/>
        <w:t>[Heading inserted: No. 71 of 2003 s. 7.]</w:t>
      </w:r>
    </w:p>
    <w:p>
      <w:pPr>
        <w:pStyle w:val="Heading5"/>
      </w:pPr>
      <w:bookmarkStart w:id="73" w:name="_Toc200368324"/>
      <w:r>
        <w:rPr>
          <w:rStyle w:val="CharSectno"/>
        </w:rPr>
        <w:t>114B</w:t>
      </w:r>
      <w:r>
        <w:t>.</w:t>
      </w:r>
      <w:r>
        <w:tab/>
        <w:t>Immunity from liability for damage to vessels</w:t>
      </w:r>
      <w:bookmarkEnd w:id="73"/>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74" w:name="_Toc200368325"/>
      <w:r>
        <w:rPr>
          <w:rStyle w:val="CharSectno"/>
        </w:rPr>
        <w:lastRenderedPageBreak/>
        <w:t>114C</w:t>
      </w:r>
      <w:r>
        <w:t>.</w:t>
      </w:r>
      <w:r>
        <w:tab/>
        <w:t>Immunity from liability for damaged goods</w:t>
      </w:r>
      <w:bookmarkEnd w:id="74"/>
    </w:p>
    <w:p>
      <w:pPr>
        <w:pStyle w:val="Subsection"/>
        <w:keepNext/>
      </w:pPr>
      <w:r>
        <w:tab/>
        <w:t>(1)</w:t>
      </w:r>
      <w:r>
        <w:tab/>
        <w:t xml:space="preserve">A port authority is not liable for any loss or damage caused to any goods that a person (other than the port authority) — </w:t>
      </w:r>
    </w:p>
    <w:p>
      <w:pPr>
        <w:pStyle w:val="Indenta"/>
        <w:keepNext/>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75" w:name="_Toc200368326"/>
      <w:r>
        <w:rPr>
          <w:rStyle w:val="CharSectno"/>
        </w:rPr>
        <w:t>114D</w:t>
      </w:r>
      <w:r>
        <w:t>.</w:t>
      </w:r>
      <w:r>
        <w:tab/>
        <w:t>Immunity from liability for delay in delivery of goods</w:t>
      </w:r>
      <w:bookmarkEnd w:id="75"/>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76" w:name="_Toc200368327"/>
      <w:r>
        <w:rPr>
          <w:rStyle w:val="CharSectno"/>
        </w:rPr>
        <w:t>114EA</w:t>
      </w:r>
      <w:r>
        <w:t>.</w:t>
      </w:r>
      <w:r>
        <w:tab/>
        <w:t>Immunity from liability for acts or omissions of port users</w:t>
      </w:r>
      <w:bookmarkEnd w:id="76"/>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77" w:name="_Toc200368328"/>
      <w:r>
        <w:rPr>
          <w:rStyle w:val="CharSectno"/>
        </w:rPr>
        <w:t>114E</w:t>
      </w:r>
      <w:r>
        <w:t>.</w:t>
      </w:r>
      <w:r>
        <w:tab/>
        <w:t>Immunity from liability for certain events and actions</w:t>
      </w:r>
      <w:bookmarkEnd w:id="77"/>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lastRenderedPageBreak/>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78" w:name="_Toc200368329"/>
      <w:r>
        <w:rPr>
          <w:rStyle w:val="CharPartNo"/>
        </w:rPr>
        <w:lastRenderedPageBreak/>
        <w:t>Part 8</w:t>
      </w:r>
      <w:r>
        <w:rPr>
          <w:rStyle w:val="CharDivNo"/>
        </w:rPr>
        <w:t xml:space="preserve"> </w:t>
      </w:r>
      <w:r>
        <w:t>—</w:t>
      </w:r>
      <w:r>
        <w:rPr>
          <w:rStyle w:val="CharDivText"/>
        </w:rPr>
        <w:t xml:space="preserve"> </w:t>
      </w:r>
      <w:r>
        <w:rPr>
          <w:rStyle w:val="CharPartText"/>
        </w:rPr>
        <w:t>Port charges</w:t>
      </w:r>
      <w:bookmarkEnd w:id="78"/>
      <w:r>
        <w:rPr>
          <w:rStyle w:val="CharPartText"/>
        </w:rPr>
        <w:t xml:space="preserve"> </w:t>
      </w:r>
    </w:p>
    <w:p>
      <w:pPr>
        <w:pStyle w:val="Heading5"/>
        <w:rPr>
          <w:snapToGrid w:val="0"/>
        </w:rPr>
      </w:pPr>
      <w:bookmarkStart w:id="79" w:name="_Toc200368330"/>
      <w:r>
        <w:rPr>
          <w:rStyle w:val="CharSectno"/>
        </w:rPr>
        <w:t>115</w:t>
      </w:r>
      <w:r>
        <w:rPr>
          <w:snapToGrid w:val="0"/>
        </w:rPr>
        <w:t>.</w:t>
      </w:r>
      <w:r>
        <w:rPr>
          <w:snapToGrid w:val="0"/>
        </w:rPr>
        <w:tab/>
        <w:t>Term used: port charges; application of this Part</w:t>
      </w:r>
      <w:bookmarkEnd w:id="79"/>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80" w:name="_Toc200368331"/>
      <w:r>
        <w:rPr>
          <w:rStyle w:val="CharSectno"/>
        </w:rPr>
        <w:t>116</w:t>
      </w:r>
      <w:r>
        <w:rPr>
          <w:snapToGrid w:val="0"/>
        </w:rPr>
        <w:t>.</w:t>
      </w:r>
      <w:r>
        <w:rPr>
          <w:snapToGrid w:val="0"/>
        </w:rPr>
        <w:tab/>
        <w:t>Liability to pay port charges in respect of vessels</w:t>
      </w:r>
      <w:bookmarkEnd w:id="8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81" w:name="_Toc200368332"/>
      <w:r>
        <w:rPr>
          <w:rStyle w:val="CharSectno"/>
        </w:rPr>
        <w:t>117</w:t>
      </w:r>
      <w:r>
        <w:rPr>
          <w:snapToGrid w:val="0"/>
        </w:rPr>
        <w:t>.</w:t>
      </w:r>
      <w:r>
        <w:rPr>
          <w:snapToGrid w:val="0"/>
        </w:rPr>
        <w:tab/>
        <w:t>Liability to pay port charges in respect of goods</w:t>
      </w:r>
      <w:bookmarkEnd w:id="8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lastRenderedPageBreak/>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82" w:name="_Toc200368333"/>
      <w:r>
        <w:rPr>
          <w:rStyle w:val="CharSectno"/>
        </w:rPr>
        <w:t>118</w:t>
      </w:r>
      <w:r>
        <w:rPr>
          <w:snapToGrid w:val="0"/>
        </w:rPr>
        <w:t>.</w:t>
      </w:r>
      <w:r>
        <w:rPr>
          <w:snapToGrid w:val="0"/>
        </w:rPr>
        <w:tab/>
        <w:t>Recovery of port charges by port authority</w:t>
      </w:r>
      <w:bookmarkEnd w:id="82"/>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83" w:name="_Toc200368334"/>
      <w:r>
        <w:rPr>
          <w:rStyle w:val="CharSectno"/>
        </w:rPr>
        <w:t>119</w:t>
      </w:r>
      <w:r>
        <w:rPr>
          <w:snapToGrid w:val="0"/>
        </w:rPr>
        <w:t>.</w:t>
      </w:r>
      <w:r>
        <w:rPr>
          <w:snapToGrid w:val="0"/>
        </w:rPr>
        <w:tab/>
        <w:t>Collectors of port charges</w:t>
      </w:r>
      <w:bookmarkEnd w:id="83"/>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84" w:name="_Toc200368335"/>
      <w:r>
        <w:rPr>
          <w:rStyle w:val="CharPartNo"/>
        </w:rPr>
        <w:lastRenderedPageBreak/>
        <w:t>Part 9</w:t>
      </w:r>
      <w:r>
        <w:t xml:space="preserve"> — </w:t>
      </w:r>
      <w:r>
        <w:rPr>
          <w:rStyle w:val="CharPartText"/>
        </w:rPr>
        <w:t>Proceedings for offences</w:t>
      </w:r>
      <w:bookmarkEnd w:id="84"/>
      <w:r>
        <w:rPr>
          <w:rStyle w:val="CharPartText"/>
        </w:rPr>
        <w:t xml:space="preserve"> </w:t>
      </w:r>
    </w:p>
    <w:p>
      <w:pPr>
        <w:pStyle w:val="Heading3"/>
        <w:rPr>
          <w:snapToGrid w:val="0"/>
        </w:rPr>
      </w:pPr>
      <w:bookmarkStart w:id="85" w:name="_Toc200368336"/>
      <w:r>
        <w:rPr>
          <w:rStyle w:val="CharDivNo"/>
        </w:rPr>
        <w:t xml:space="preserve">Division 1 </w:t>
      </w:r>
      <w:r>
        <w:rPr>
          <w:snapToGrid w:val="0"/>
        </w:rPr>
        <w:t>— </w:t>
      </w:r>
      <w:r>
        <w:rPr>
          <w:rStyle w:val="CharDivText"/>
        </w:rPr>
        <w:t>General</w:t>
      </w:r>
      <w:bookmarkEnd w:id="85"/>
      <w:r>
        <w:rPr>
          <w:rStyle w:val="CharDivText"/>
        </w:rPr>
        <w:t xml:space="preserve"> </w:t>
      </w:r>
    </w:p>
    <w:p>
      <w:pPr>
        <w:pStyle w:val="Heading5"/>
        <w:rPr>
          <w:snapToGrid w:val="0"/>
        </w:rPr>
      </w:pPr>
      <w:bookmarkStart w:id="86" w:name="_Toc200368337"/>
      <w:r>
        <w:rPr>
          <w:rStyle w:val="CharSectno"/>
        </w:rPr>
        <w:t>120</w:t>
      </w:r>
      <w:r>
        <w:rPr>
          <w:snapToGrid w:val="0"/>
        </w:rPr>
        <w:t>.</w:t>
      </w:r>
      <w:r>
        <w:rPr>
          <w:snapToGrid w:val="0"/>
        </w:rPr>
        <w:tab/>
        <w:t>Who can commence prosecutions</w:t>
      </w:r>
      <w:bookmarkEnd w:id="86"/>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87" w:name="_Toc200368338"/>
      <w:r>
        <w:rPr>
          <w:rStyle w:val="CharSectno"/>
        </w:rPr>
        <w:t>121</w:t>
      </w:r>
      <w:r>
        <w:rPr>
          <w:snapToGrid w:val="0"/>
        </w:rPr>
        <w:t>.</w:t>
      </w:r>
      <w:r>
        <w:rPr>
          <w:snapToGrid w:val="0"/>
        </w:rPr>
        <w:tab/>
        <w:t>Time limit for prosecutions</w:t>
      </w:r>
      <w:bookmarkEnd w:id="8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88" w:name="_Toc200368339"/>
      <w:r>
        <w:rPr>
          <w:rStyle w:val="CharSectno"/>
        </w:rPr>
        <w:t>122</w:t>
      </w:r>
      <w:r>
        <w:rPr>
          <w:snapToGrid w:val="0"/>
        </w:rPr>
        <w:t>.</w:t>
      </w:r>
      <w:r>
        <w:rPr>
          <w:snapToGrid w:val="0"/>
        </w:rPr>
        <w:tab/>
        <w:t>Averment as to place of offence</w:t>
      </w:r>
      <w:bookmarkEnd w:id="88"/>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89" w:name="_Toc200368340"/>
      <w:r>
        <w:rPr>
          <w:rStyle w:val="CharDivNo"/>
        </w:rPr>
        <w:lastRenderedPageBreak/>
        <w:t>Division 2</w:t>
      </w:r>
      <w:r>
        <w:rPr>
          <w:snapToGrid w:val="0"/>
        </w:rPr>
        <w:t> — </w:t>
      </w:r>
      <w:r>
        <w:rPr>
          <w:rStyle w:val="CharDivText"/>
        </w:rPr>
        <w:t>Infringement notices</w:t>
      </w:r>
      <w:bookmarkEnd w:id="89"/>
      <w:r>
        <w:rPr>
          <w:rStyle w:val="CharDivText"/>
        </w:rPr>
        <w:t xml:space="preserve"> </w:t>
      </w:r>
    </w:p>
    <w:p>
      <w:pPr>
        <w:pStyle w:val="Heading5"/>
        <w:rPr>
          <w:snapToGrid w:val="0"/>
        </w:rPr>
      </w:pPr>
      <w:bookmarkStart w:id="90" w:name="_Toc200368341"/>
      <w:r>
        <w:rPr>
          <w:rStyle w:val="CharSectno"/>
        </w:rPr>
        <w:t>123</w:t>
      </w:r>
      <w:r>
        <w:rPr>
          <w:snapToGrid w:val="0"/>
        </w:rPr>
        <w:t>.</w:t>
      </w:r>
      <w:r>
        <w:rPr>
          <w:snapToGrid w:val="0"/>
        </w:rPr>
        <w:tab/>
        <w:t>Terms used</w:t>
      </w:r>
      <w:bookmarkEnd w:id="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91" w:name="_Toc200368342"/>
      <w:r>
        <w:rPr>
          <w:rStyle w:val="CharSectno"/>
        </w:rPr>
        <w:t>124</w:t>
      </w:r>
      <w:r>
        <w:rPr>
          <w:snapToGrid w:val="0"/>
        </w:rPr>
        <w:t>.</w:t>
      </w:r>
      <w:r>
        <w:rPr>
          <w:snapToGrid w:val="0"/>
        </w:rPr>
        <w:tab/>
        <w:t>Giving of notice</w:t>
      </w:r>
      <w:bookmarkEnd w:id="9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92" w:name="_Toc200368343"/>
      <w:r>
        <w:rPr>
          <w:rStyle w:val="CharSectno"/>
        </w:rPr>
        <w:t>125</w:t>
      </w:r>
      <w:r>
        <w:rPr>
          <w:snapToGrid w:val="0"/>
        </w:rPr>
        <w:t>.</w:t>
      </w:r>
      <w:r>
        <w:rPr>
          <w:snapToGrid w:val="0"/>
        </w:rPr>
        <w:tab/>
        <w:t>Content of notice</w:t>
      </w:r>
      <w:bookmarkEnd w:id="9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 xml:space="preserve">In an infringement notice the amount specified as being the modified penalty for the offence referred to in the notice is to be </w:t>
      </w:r>
      <w:r>
        <w:rPr>
          <w:snapToGrid w:val="0"/>
        </w:rPr>
        <w:lastRenderedPageBreak/>
        <w:t>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93" w:name="_Toc200368344"/>
      <w:r>
        <w:rPr>
          <w:rStyle w:val="CharSectno"/>
        </w:rPr>
        <w:t>126</w:t>
      </w:r>
      <w:r>
        <w:rPr>
          <w:snapToGrid w:val="0"/>
        </w:rPr>
        <w:t>.</w:t>
      </w:r>
      <w:r>
        <w:rPr>
          <w:snapToGrid w:val="0"/>
        </w:rPr>
        <w:tab/>
        <w:t>Extending time for paying modified penalty</w:t>
      </w:r>
      <w:bookmarkEnd w:id="9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94" w:name="_Toc200368345"/>
      <w:r>
        <w:rPr>
          <w:rStyle w:val="CharSectno"/>
        </w:rPr>
        <w:t>127</w:t>
      </w:r>
      <w:r>
        <w:rPr>
          <w:snapToGrid w:val="0"/>
        </w:rPr>
        <w:t>.</w:t>
      </w:r>
      <w:r>
        <w:rPr>
          <w:snapToGrid w:val="0"/>
        </w:rPr>
        <w:tab/>
        <w:t>Withdrawing notice</w:t>
      </w:r>
      <w:bookmarkEnd w:id="94"/>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95" w:name="_Toc200368346"/>
      <w:r>
        <w:rPr>
          <w:rStyle w:val="CharSectno"/>
        </w:rPr>
        <w:t>128</w:t>
      </w:r>
      <w:r>
        <w:rPr>
          <w:snapToGrid w:val="0"/>
        </w:rPr>
        <w:t>.</w:t>
      </w:r>
      <w:r>
        <w:rPr>
          <w:snapToGrid w:val="0"/>
        </w:rPr>
        <w:tab/>
        <w:t>Benefit of paying modified penalty</w:t>
      </w:r>
      <w:bookmarkEnd w:id="9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96" w:name="_Toc200368347"/>
      <w:r>
        <w:rPr>
          <w:rStyle w:val="CharSectno"/>
        </w:rPr>
        <w:lastRenderedPageBreak/>
        <w:t>129</w:t>
      </w:r>
      <w:r>
        <w:rPr>
          <w:snapToGrid w:val="0"/>
        </w:rPr>
        <w:t>.</w:t>
      </w:r>
      <w:r>
        <w:rPr>
          <w:snapToGrid w:val="0"/>
        </w:rPr>
        <w:tab/>
        <w:t>Application of penalties collected</w:t>
      </w:r>
      <w:bookmarkEnd w:id="9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97" w:name="_Toc200368348"/>
      <w:r>
        <w:rPr>
          <w:rStyle w:val="CharSectno"/>
        </w:rPr>
        <w:t>130</w:t>
      </w:r>
      <w:r>
        <w:rPr>
          <w:snapToGrid w:val="0"/>
        </w:rPr>
        <w:t>.</w:t>
      </w:r>
      <w:r>
        <w:rPr>
          <w:snapToGrid w:val="0"/>
        </w:rPr>
        <w:tab/>
        <w:t>Authorised persons, appointment of</w:t>
      </w:r>
      <w:bookmarkEnd w:id="97"/>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98" w:name="_Toc200368349"/>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98"/>
    </w:p>
    <w:p>
      <w:pPr>
        <w:pStyle w:val="Heading5"/>
        <w:rPr>
          <w:snapToGrid w:val="0"/>
        </w:rPr>
      </w:pPr>
      <w:bookmarkStart w:id="99" w:name="_Toc200368350"/>
      <w:r>
        <w:rPr>
          <w:rStyle w:val="CharSectno"/>
        </w:rPr>
        <w:t>131</w:t>
      </w:r>
      <w:r>
        <w:rPr>
          <w:snapToGrid w:val="0"/>
        </w:rPr>
        <w:t>.</w:t>
      </w:r>
      <w:r>
        <w:rPr>
          <w:snapToGrid w:val="0"/>
        </w:rPr>
        <w:tab/>
        <w:t>Hindering, offence</w:t>
      </w:r>
      <w:bookmarkEnd w:id="99"/>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100" w:name="_Toc200368351"/>
      <w:r>
        <w:rPr>
          <w:rStyle w:val="CharSectno"/>
        </w:rPr>
        <w:t>132</w:t>
      </w:r>
      <w:r>
        <w:rPr>
          <w:snapToGrid w:val="0"/>
        </w:rPr>
        <w:t>.</w:t>
      </w:r>
      <w:r>
        <w:rPr>
          <w:snapToGrid w:val="0"/>
        </w:rPr>
        <w:tab/>
        <w:t>Individual port authorities, provisions for (Sch. 6)</w:t>
      </w:r>
      <w:bookmarkEnd w:id="100"/>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pPr>
      <w:bookmarkStart w:id="101" w:name="_Toc200368352"/>
      <w:r>
        <w:rPr>
          <w:rStyle w:val="CharSectno"/>
        </w:rPr>
        <w:lastRenderedPageBreak/>
        <w:t>133</w:t>
      </w:r>
      <w:r>
        <w:t>.</w:t>
      </w:r>
      <w:r>
        <w:tab/>
        <w:t>Laying documents before Parliament not sitting</w:t>
      </w:r>
      <w:bookmarkEnd w:id="101"/>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133 amended: No. 13 of 2023 s. 240.]</w:t>
      </w:r>
    </w:p>
    <w:p>
      <w:pPr>
        <w:pStyle w:val="Ednotesection"/>
      </w:pPr>
      <w:r>
        <w:t>[</w:t>
      </w:r>
      <w:r>
        <w:rPr>
          <w:b/>
        </w:rPr>
        <w:t>134, 135.</w:t>
      </w:r>
      <w:r>
        <w:tab/>
        <w:t>Deleted: No. 13 of 2023 s. 240.]</w:t>
      </w:r>
    </w:p>
    <w:p>
      <w:pPr>
        <w:pStyle w:val="Heading5"/>
        <w:rPr>
          <w:snapToGrid w:val="0"/>
        </w:rPr>
      </w:pPr>
      <w:bookmarkStart w:id="102" w:name="_Toc200368353"/>
      <w:r>
        <w:rPr>
          <w:rStyle w:val="CharSectno"/>
        </w:rPr>
        <w:t>136</w:t>
      </w:r>
      <w:r>
        <w:rPr>
          <w:snapToGrid w:val="0"/>
        </w:rPr>
        <w:t>.</w:t>
      </w:r>
      <w:r>
        <w:rPr>
          <w:snapToGrid w:val="0"/>
        </w:rPr>
        <w:tab/>
        <w:t>Overdue amounts, interest on</w:t>
      </w:r>
      <w:bookmarkEnd w:id="102"/>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03" w:name="_Toc200368354"/>
      <w:r>
        <w:rPr>
          <w:rStyle w:val="CharSectno"/>
        </w:rPr>
        <w:t>137</w:t>
      </w:r>
      <w:r>
        <w:rPr>
          <w:snapToGrid w:val="0"/>
        </w:rPr>
        <w:t>.</w:t>
      </w:r>
      <w:r>
        <w:rPr>
          <w:snapToGrid w:val="0"/>
        </w:rPr>
        <w:tab/>
        <w:t>Recovery of expenses due to offence</w:t>
      </w:r>
      <w:bookmarkEnd w:id="103"/>
    </w:p>
    <w:p>
      <w:pPr>
        <w:pStyle w:val="Subsection"/>
        <w:rPr>
          <w:snapToGrid w:val="0"/>
        </w:rPr>
      </w:pPr>
      <w:r>
        <w:rPr>
          <w:snapToGrid w:val="0"/>
        </w:rPr>
        <w:tab/>
      </w:r>
      <w:r>
        <w:rPr>
          <w:snapToGrid w:val="0"/>
        </w:rPr>
        <w:tab/>
        <w:t xml:space="preserve">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w:t>
      </w:r>
      <w:r>
        <w:rPr>
          <w:snapToGrid w:val="0"/>
        </w:rPr>
        <w:lastRenderedPageBreak/>
        <w:t>in a court of competent jurisdiction as a debt due to the port authority.</w:t>
      </w:r>
    </w:p>
    <w:p>
      <w:pPr>
        <w:pStyle w:val="Heading5"/>
      </w:pPr>
      <w:bookmarkStart w:id="104" w:name="_Toc200368355"/>
      <w:r>
        <w:rPr>
          <w:rStyle w:val="CharSectno"/>
        </w:rPr>
        <w:t>138</w:t>
      </w:r>
      <w:r>
        <w:t>.</w:t>
      </w:r>
      <w:r>
        <w:tab/>
      </w:r>
      <w:r>
        <w:rPr>
          <w:i/>
        </w:rPr>
        <w:t>Government Agreements Act 1979</w:t>
      </w:r>
      <w:r>
        <w:t xml:space="preserve"> not affected</w:t>
      </w:r>
      <w:bookmarkEnd w:id="104"/>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 52; or</w:t>
      </w:r>
    </w:p>
    <w:p>
      <w:pPr>
        <w:pStyle w:val="Indenta"/>
      </w:pPr>
      <w:r>
        <w:tab/>
        <w:t>(c)</w:t>
      </w:r>
      <w:r>
        <w:tab/>
        <w:t>Schedule 9 or regulations referred to in Schedule 9.</w:t>
      </w:r>
    </w:p>
    <w:p>
      <w:pPr>
        <w:pStyle w:val="Footnotesection"/>
      </w:pPr>
      <w:r>
        <w:tab/>
        <w:t>[Section 138 inserted: No. 9 of 2014 s. 28(1); amended: No. 9 of 2014 s. 28(2); No. 2 of 2019 s. 49.]</w:t>
      </w:r>
    </w:p>
    <w:p>
      <w:pPr>
        <w:pStyle w:val="Heading5"/>
      </w:pPr>
      <w:bookmarkStart w:id="105" w:name="_Toc200368356"/>
      <w:r>
        <w:rPr>
          <w:rStyle w:val="CharSectno"/>
        </w:rPr>
        <w:t>139A</w:t>
      </w:r>
      <w:r>
        <w:t>.</w:t>
      </w:r>
      <w:r>
        <w:tab/>
        <w:t>Transitional provisions</w:t>
      </w:r>
      <w:bookmarkEnd w:id="105"/>
    </w:p>
    <w:p>
      <w:pPr>
        <w:pStyle w:val="Subsection"/>
      </w:pPr>
      <w:r>
        <w:tab/>
      </w:r>
      <w:r>
        <w:tab/>
        <w:t>Schedule 8 sets out transitional provisions.</w:t>
      </w:r>
    </w:p>
    <w:p>
      <w:pPr>
        <w:pStyle w:val="Footnotesection"/>
      </w:pPr>
      <w:r>
        <w:tab/>
        <w:t>[Section 139A inserted: No. 9 of 2014 s. 29.]</w:t>
      </w:r>
    </w:p>
    <w:p>
      <w:pPr>
        <w:pStyle w:val="Heading2"/>
      </w:pPr>
      <w:bookmarkStart w:id="106" w:name="_Toc200368357"/>
      <w:r>
        <w:rPr>
          <w:rStyle w:val="CharPartNo"/>
        </w:rPr>
        <w:lastRenderedPageBreak/>
        <w:t>Part 11</w:t>
      </w:r>
      <w:r>
        <w:rPr>
          <w:rStyle w:val="CharDivNo"/>
        </w:rPr>
        <w:t xml:space="preserve"> </w:t>
      </w:r>
      <w:r>
        <w:t>—</w:t>
      </w:r>
      <w:r>
        <w:rPr>
          <w:rStyle w:val="CharDivText"/>
        </w:rPr>
        <w:t xml:space="preserve"> </w:t>
      </w:r>
      <w:r>
        <w:rPr>
          <w:rStyle w:val="CharPartText"/>
        </w:rPr>
        <w:t>Regulations</w:t>
      </w:r>
      <w:bookmarkEnd w:id="106"/>
    </w:p>
    <w:p>
      <w:pPr>
        <w:pStyle w:val="Heading5"/>
        <w:rPr>
          <w:snapToGrid w:val="0"/>
        </w:rPr>
      </w:pPr>
      <w:bookmarkStart w:id="107" w:name="_Toc200368358"/>
      <w:r>
        <w:rPr>
          <w:rStyle w:val="CharSectno"/>
        </w:rPr>
        <w:t>139</w:t>
      </w:r>
      <w:r>
        <w:rPr>
          <w:snapToGrid w:val="0"/>
        </w:rPr>
        <w:t>.</w:t>
      </w:r>
      <w:r>
        <w:rPr>
          <w:snapToGrid w:val="0"/>
        </w:rPr>
        <w:tab/>
        <w:t>General power to make regulations</w:t>
      </w:r>
      <w:bookmarkEnd w:id="1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139 amended: No. 13 of 2023 s. 241.]</w:t>
      </w:r>
    </w:p>
    <w:p>
      <w:pPr>
        <w:pStyle w:val="Heading5"/>
        <w:rPr>
          <w:snapToGrid w:val="0"/>
        </w:rPr>
      </w:pPr>
      <w:bookmarkStart w:id="108" w:name="_Toc200368359"/>
      <w:r>
        <w:rPr>
          <w:rStyle w:val="CharSectno"/>
        </w:rPr>
        <w:t>140</w:t>
      </w:r>
      <w:r>
        <w:rPr>
          <w:snapToGrid w:val="0"/>
        </w:rPr>
        <w:t>.</w:t>
      </w:r>
      <w:r>
        <w:rPr>
          <w:snapToGrid w:val="0"/>
        </w:rPr>
        <w:tab/>
        <w:t>Offences against regulations</w:t>
      </w:r>
      <w:bookmarkEnd w:id="108"/>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09" w:name="_Toc200368360"/>
      <w:r>
        <w:rPr>
          <w:rStyle w:val="CharSectno"/>
        </w:rPr>
        <w:lastRenderedPageBreak/>
        <w:t>141</w:t>
      </w:r>
      <w:r>
        <w:rPr>
          <w:snapToGrid w:val="0"/>
        </w:rPr>
        <w:t>.</w:t>
      </w:r>
      <w:r>
        <w:rPr>
          <w:snapToGrid w:val="0"/>
        </w:rPr>
        <w:tab/>
        <w:t>Adoption of other laws, codes etc.</w:t>
      </w:r>
      <w:bookmarkEnd w:id="109"/>
      <w:r>
        <w:rPr>
          <w:snapToGrid w:val="0"/>
        </w:rPr>
        <w:t xml:space="preserve"> </w:t>
      </w:r>
    </w:p>
    <w:p>
      <w:pPr>
        <w:pStyle w:val="Subsection"/>
        <w:keepNext/>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110" w:name="_Toc200368361"/>
      <w:r>
        <w:rPr>
          <w:rStyle w:val="CharSectno"/>
        </w:rPr>
        <w:t>142</w:t>
      </w:r>
      <w:r>
        <w:rPr>
          <w:snapToGrid w:val="0"/>
        </w:rPr>
        <w:t>.</w:t>
      </w:r>
      <w:r>
        <w:rPr>
          <w:snapToGrid w:val="0"/>
        </w:rPr>
        <w:tab/>
        <w:t>References to other approvals or decisions</w:t>
      </w:r>
      <w:bookmarkEnd w:id="110"/>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11" w:name="_Toc200368362"/>
      <w:r>
        <w:rPr>
          <w:rStyle w:val="CharSectno"/>
        </w:rPr>
        <w:lastRenderedPageBreak/>
        <w:t>143</w:t>
      </w:r>
      <w:r>
        <w:rPr>
          <w:snapToGrid w:val="0"/>
        </w:rPr>
        <w:t>.</w:t>
      </w:r>
      <w:r>
        <w:rPr>
          <w:snapToGrid w:val="0"/>
        </w:rPr>
        <w:tab/>
        <w:t>Licensing, provisions as to</w:t>
      </w:r>
      <w:bookmarkEnd w:id="111"/>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Ednotepart"/>
      </w:pPr>
      <w:r>
        <w:tab/>
        <w:t>[Part 12 (s. 144) deleted: No. 13 of 2023 s. 242.]</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2" w:name="_Toc200368363"/>
      <w:r>
        <w:rPr>
          <w:rStyle w:val="CharSchNo"/>
        </w:rPr>
        <w:lastRenderedPageBreak/>
        <w:t>Schedule 1</w:t>
      </w:r>
      <w:r>
        <w:t> — </w:t>
      </w:r>
      <w:r>
        <w:rPr>
          <w:rStyle w:val="CharSchText"/>
        </w:rPr>
        <w:t>Port authorities and ports</w:t>
      </w:r>
      <w:bookmarkEnd w:id="112"/>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Port of Broome</w:t>
            </w:r>
            <w:r>
              <w:br/>
            </w:r>
            <w:r>
              <w:rPr>
                <w:szCs w:val="22"/>
              </w:rPr>
              <w:t>Port of Derby</w:t>
            </w:r>
            <w:r>
              <w:br/>
            </w:r>
            <w:r>
              <w:rPr>
                <w:szCs w:val="22"/>
              </w:rPr>
              <w:t>Port of Wyndham</w:t>
            </w:r>
            <w:r>
              <w:rPr>
                <w:szCs w:val="22"/>
              </w:rPr>
              <w:br/>
              <w:t>Port of Yampi Sound</w:t>
            </w:r>
          </w:p>
        </w:tc>
      </w:tr>
    </w:tbl>
    <w:p>
      <w:pPr>
        <w:pStyle w:val="yFootnotesection"/>
      </w:pPr>
      <w:r>
        <w:tab/>
        <w:t>[Schedule 1 inserted: No. 9 of 2014 s. 30; amended: No. 9 of 2014 s. 31; No. 2 of 2019 s. 50(2)(d) and (3).]</w:t>
      </w:r>
    </w:p>
    <w:p>
      <w:pPr>
        <w:pStyle w:val="yEdnoteschedule"/>
      </w:pPr>
      <w:r>
        <w:t>[Schedules 2-5 deleted: No. 13 of 2023 s. 243.]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14" w:name="_Toc200368364"/>
      <w:r>
        <w:rPr>
          <w:rStyle w:val="CharSchNo"/>
        </w:rPr>
        <w:lastRenderedPageBreak/>
        <w:t>Schedule 6</w:t>
      </w:r>
      <w:r>
        <w:t xml:space="preserve"> — </w:t>
      </w:r>
      <w:r>
        <w:rPr>
          <w:rStyle w:val="CharSchText"/>
        </w:rPr>
        <w:t>Provisions for Pilbara Ports Authority</w:t>
      </w:r>
      <w:bookmarkEnd w:id="114"/>
    </w:p>
    <w:p>
      <w:pPr>
        <w:pStyle w:val="yShoulderClause"/>
      </w:pPr>
      <w:r>
        <w:t>[s. 132]</w:t>
      </w:r>
    </w:p>
    <w:p>
      <w:pPr>
        <w:pStyle w:val="yFootnoteheading"/>
      </w:pPr>
      <w:r>
        <w:tab/>
        <w:t>[Heading amended: No. 9 of 2014 s. 34(1).]</w:t>
      </w:r>
    </w:p>
    <w:p>
      <w:pPr>
        <w:pStyle w:val="yHeading3"/>
        <w:outlineLvl w:val="0"/>
      </w:pPr>
      <w:bookmarkStart w:id="115" w:name="_Toc200368365"/>
      <w:r>
        <w:rPr>
          <w:rStyle w:val="CharSDivNo"/>
        </w:rPr>
        <w:t>Division 1</w:t>
      </w:r>
      <w:r>
        <w:t xml:space="preserve"> — </w:t>
      </w:r>
      <w:r>
        <w:rPr>
          <w:rStyle w:val="CharSDivText"/>
        </w:rPr>
        <w:t>Port of Dampier</w:t>
      </w:r>
      <w:bookmarkEnd w:id="115"/>
    </w:p>
    <w:p>
      <w:pPr>
        <w:pStyle w:val="yFootnoteheading"/>
      </w:pPr>
      <w:r>
        <w:tab/>
        <w:t>[Heading amended: No. 9 of 2014 s. 34(2).]</w:t>
      </w:r>
    </w:p>
    <w:p>
      <w:pPr>
        <w:pStyle w:val="yHeading5"/>
        <w:outlineLvl w:val="0"/>
        <w:rPr>
          <w:snapToGrid w:val="0"/>
        </w:rPr>
      </w:pPr>
      <w:bookmarkStart w:id="116" w:name="_Toc200368366"/>
      <w:r>
        <w:rPr>
          <w:rStyle w:val="CharSClsNo"/>
        </w:rPr>
        <w:t>1.1</w:t>
      </w:r>
      <w:r>
        <w:rPr>
          <w:snapToGrid w:val="0"/>
        </w:rPr>
        <w:t>.</w:t>
      </w:r>
      <w:r>
        <w:rPr>
          <w:snapToGrid w:val="0"/>
        </w:rPr>
        <w:tab/>
        <w:t>Application of Division</w:t>
      </w:r>
      <w:bookmarkEnd w:id="116"/>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pPr>
        <w:pStyle w:val="yFootnotesection"/>
      </w:pPr>
      <w:r>
        <w:tab/>
        <w:t>[Clause 1.1 amended: No. 9 of 2014 s. 34(3).]</w:t>
      </w:r>
    </w:p>
    <w:p>
      <w:pPr>
        <w:pStyle w:val="yHeading5"/>
        <w:outlineLvl w:val="0"/>
        <w:rPr>
          <w:snapToGrid w:val="0"/>
        </w:rPr>
      </w:pPr>
      <w:bookmarkStart w:id="117" w:name="_Toc200368367"/>
      <w:r>
        <w:rPr>
          <w:rStyle w:val="CharSClsNo"/>
        </w:rPr>
        <w:t>1.2</w:t>
      </w:r>
      <w:r>
        <w:rPr>
          <w:snapToGrid w:val="0"/>
        </w:rPr>
        <w:t>.</w:t>
      </w:r>
      <w:r>
        <w:rPr>
          <w:snapToGrid w:val="0"/>
        </w:rPr>
        <w:tab/>
        <w:t>Terms used</w:t>
      </w:r>
      <w:bookmarkEnd w:id="117"/>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(Hamersley Range)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outlineLvl w:val="0"/>
        <w:rPr>
          <w:snapToGrid w:val="0"/>
        </w:rPr>
      </w:pPr>
      <w:bookmarkStart w:id="118" w:name="_Toc200368368"/>
      <w:r>
        <w:rPr>
          <w:rStyle w:val="CharSClsNo"/>
        </w:rPr>
        <w:lastRenderedPageBreak/>
        <w:t>1.3</w:t>
      </w:r>
      <w:r>
        <w:rPr>
          <w:snapToGrid w:val="0"/>
        </w:rPr>
        <w:t>.</w:t>
      </w:r>
      <w:r>
        <w:rPr>
          <w:snapToGrid w:val="0"/>
        </w:rPr>
        <w:tab/>
        <w:t>Act does not affect State agreements</w:t>
      </w:r>
      <w:bookmarkEnd w:id="11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outlineLvl w:val="0"/>
        <w:rPr>
          <w:snapToGrid w:val="0"/>
        </w:rPr>
      </w:pPr>
      <w:bookmarkStart w:id="119" w:name="_Toc200368369"/>
      <w:r>
        <w:rPr>
          <w:rStyle w:val="CharSClsNo"/>
        </w:rPr>
        <w:t>1.8</w:t>
      </w:r>
      <w:r>
        <w:rPr>
          <w:snapToGrid w:val="0"/>
        </w:rPr>
        <w:t>.</w:t>
      </w:r>
      <w:r>
        <w:rPr>
          <w:snapToGrid w:val="0"/>
        </w:rPr>
        <w:tab/>
        <w:t>Some property excepted from s. 26(1)</w:t>
      </w:r>
      <w:bookmarkEnd w:id="119"/>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20" w:name="_Toc200368370"/>
      <w:r>
        <w:rPr>
          <w:rStyle w:val="CharSClsNo"/>
        </w:rPr>
        <w:t>1.9</w:t>
      </w:r>
      <w:r>
        <w:rPr>
          <w:snapToGrid w:val="0"/>
        </w:rPr>
        <w:t>.</w:t>
      </w:r>
      <w:r>
        <w:rPr>
          <w:snapToGrid w:val="0"/>
        </w:rPr>
        <w:tab/>
        <w:t>Recovery of costs from users, functions include</w:t>
      </w:r>
      <w:bookmarkEnd w:id="120"/>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21" w:name="_Toc200368371"/>
      <w:r>
        <w:rPr>
          <w:rStyle w:val="CharSClsNo"/>
        </w:rPr>
        <w:t>1.10</w:t>
      </w:r>
      <w:r>
        <w:rPr>
          <w:snapToGrid w:val="0"/>
        </w:rPr>
        <w:t>.</w:t>
      </w:r>
      <w:r>
        <w:rPr>
          <w:snapToGrid w:val="0"/>
        </w:rPr>
        <w:tab/>
        <w:t>Companies, Joint Venturers and Salt Company, duties of</w:t>
      </w:r>
      <w:bookmarkEnd w:id="121"/>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 and</w:t>
      </w:r>
    </w:p>
    <w:p>
      <w:pPr>
        <w:pStyle w:val="yIndenta"/>
        <w:rPr>
          <w:snapToGrid w:val="0"/>
        </w:rPr>
      </w:pPr>
      <w:r>
        <w:rPr>
          <w:snapToGrid w:val="0"/>
        </w:rPr>
        <w:lastRenderedPageBreak/>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lastRenderedPageBreak/>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22" w:name="_Toc200368372"/>
      <w:r>
        <w:rPr>
          <w:rStyle w:val="CharSClsNo"/>
        </w:rPr>
        <w:t>1.11</w:t>
      </w:r>
      <w:r>
        <w:rPr>
          <w:snapToGrid w:val="0"/>
        </w:rPr>
        <w:t>.</w:t>
      </w:r>
      <w:r>
        <w:rPr>
          <w:snapToGrid w:val="0"/>
        </w:rPr>
        <w:tab/>
        <w:t>Pilotage services, agreements with Companies etc. as to</w:t>
      </w:r>
      <w:bookmarkEnd w:id="122"/>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23" w:name="_Toc200368373"/>
      <w:r>
        <w:rPr>
          <w:rStyle w:val="CharSDivNo"/>
        </w:rPr>
        <w:t>Division 2</w:t>
      </w:r>
      <w:r>
        <w:t xml:space="preserve"> — </w:t>
      </w:r>
      <w:r>
        <w:rPr>
          <w:rStyle w:val="CharSDivText"/>
        </w:rPr>
        <w:t>Port of Port Hedland</w:t>
      </w:r>
      <w:bookmarkEnd w:id="123"/>
    </w:p>
    <w:p>
      <w:pPr>
        <w:pStyle w:val="yFootnoteheading"/>
      </w:pPr>
      <w:r>
        <w:tab/>
        <w:t>[Heading amended: No. 9 of 2014 s. 34(4).]</w:t>
      </w:r>
    </w:p>
    <w:p>
      <w:pPr>
        <w:pStyle w:val="yHeading5"/>
        <w:outlineLvl w:val="0"/>
        <w:rPr>
          <w:snapToGrid w:val="0"/>
        </w:rPr>
      </w:pPr>
      <w:bookmarkStart w:id="124" w:name="_Toc200368374"/>
      <w:r>
        <w:rPr>
          <w:rStyle w:val="CharSClsNo"/>
        </w:rPr>
        <w:t>2.1</w:t>
      </w:r>
      <w:r>
        <w:rPr>
          <w:snapToGrid w:val="0"/>
        </w:rPr>
        <w:t>.</w:t>
      </w:r>
      <w:r>
        <w:rPr>
          <w:snapToGrid w:val="0"/>
        </w:rPr>
        <w:tab/>
        <w:t>Application of Division</w:t>
      </w:r>
      <w:bookmarkEnd w:id="124"/>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pPr>
        <w:pStyle w:val="yFootnotesection"/>
      </w:pPr>
      <w:r>
        <w:tab/>
        <w:t>[Clause 2.1 amended: No. 9 of 2014 s. 34(5).]</w:t>
      </w:r>
    </w:p>
    <w:p>
      <w:pPr>
        <w:pStyle w:val="yEdnotesection"/>
      </w:pPr>
      <w:r>
        <w:t>[</w:t>
      </w:r>
      <w:r>
        <w:rPr>
          <w:b/>
        </w:rPr>
        <w:t>2.2.</w:t>
      </w:r>
      <w:r>
        <w:tab/>
        <w:t>Deleted: No. 9 of 2014 s. 33(3).]</w:t>
      </w:r>
    </w:p>
    <w:p>
      <w:pPr>
        <w:pStyle w:val="yHeading5"/>
        <w:outlineLvl w:val="0"/>
        <w:rPr>
          <w:snapToGrid w:val="0"/>
        </w:rPr>
      </w:pPr>
      <w:bookmarkStart w:id="125" w:name="_Toc200368375"/>
      <w:r>
        <w:rPr>
          <w:rStyle w:val="CharSClsNo"/>
        </w:rPr>
        <w:t>2.3</w:t>
      </w:r>
      <w:r>
        <w:rPr>
          <w:snapToGrid w:val="0"/>
        </w:rPr>
        <w:t>.</w:t>
      </w:r>
      <w:r>
        <w:rPr>
          <w:snapToGrid w:val="0"/>
        </w:rPr>
        <w:tab/>
        <w:t>Act does not affect State agreements</w:t>
      </w:r>
      <w:bookmarkEnd w:id="12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 xml:space="preserve">Leslie Solar Salt </w:t>
      </w:r>
      <w:r>
        <w:rPr>
          <w:i/>
          <w:snapToGrid w:val="0"/>
        </w:rPr>
        <w:lastRenderedPageBreak/>
        <w:t>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outlineLvl w:val="0"/>
        <w:rPr>
          <w:snapToGrid w:val="0"/>
        </w:rPr>
      </w:pPr>
      <w:bookmarkStart w:id="126" w:name="_Toc200368376"/>
      <w:r>
        <w:rPr>
          <w:rStyle w:val="CharSClsNo"/>
        </w:rPr>
        <w:t>2.8</w:t>
      </w:r>
      <w:r>
        <w:rPr>
          <w:snapToGrid w:val="0"/>
        </w:rPr>
        <w:t>.</w:t>
      </w:r>
      <w:r>
        <w:rPr>
          <w:snapToGrid w:val="0"/>
        </w:rPr>
        <w:tab/>
        <w:t>Port includes pilotage area for some purposes</w:t>
      </w:r>
      <w:bookmarkEnd w:id="126"/>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27" w:name="_Toc200368377"/>
      <w:r>
        <w:rPr>
          <w:rStyle w:val="CharSchNo"/>
        </w:rPr>
        <w:lastRenderedPageBreak/>
        <w:t>Schedule 7</w:t>
      </w:r>
      <w:r>
        <w:t xml:space="preserve"> — </w:t>
      </w:r>
      <w:r>
        <w:rPr>
          <w:rStyle w:val="CharSchText"/>
        </w:rPr>
        <w:t>Purposes for which, or matters about which, regulations may be made</w:t>
      </w:r>
      <w:bookmarkEnd w:id="127"/>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lastRenderedPageBreak/>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lastRenderedPageBreak/>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lastRenderedPageBreak/>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28" w:name="_Toc200368378"/>
      <w:r>
        <w:rPr>
          <w:rStyle w:val="CharSchNo"/>
        </w:rPr>
        <w:lastRenderedPageBreak/>
        <w:t>Schedule 8</w:t>
      </w:r>
      <w:r>
        <w:t> — </w:t>
      </w:r>
      <w:r>
        <w:rPr>
          <w:rStyle w:val="CharSchText"/>
        </w:rPr>
        <w:t>Transitional provisions</w:t>
      </w:r>
      <w:bookmarkEnd w:id="128"/>
    </w:p>
    <w:p>
      <w:pPr>
        <w:pStyle w:val="yShoulderClause"/>
      </w:pPr>
      <w:r>
        <w:t>[s. 139A]</w:t>
      </w:r>
    </w:p>
    <w:p>
      <w:pPr>
        <w:pStyle w:val="yFootnoteheading"/>
        <w:spacing w:after="120"/>
      </w:pPr>
      <w:r>
        <w:tab/>
        <w:t>[Heading inserted: No. 9 of 2014 s. 35.]</w:t>
      </w:r>
    </w:p>
    <w:p>
      <w:pPr>
        <w:pStyle w:val="yHeading3"/>
      </w:pPr>
      <w:bookmarkStart w:id="129" w:name="_Toc200368379"/>
      <w:r>
        <w:rPr>
          <w:rStyle w:val="CharSDivNo"/>
        </w:rPr>
        <w:t>Division 1</w:t>
      </w:r>
      <w:r>
        <w:rPr>
          <w:b w:val="0"/>
        </w:rPr>
        <w:t> — </w:t>
      </w:r>
      <w:r>
        <w:rPr>
          <w:rStyle w:val="CharSDivText"/>
        </w:rPr>
        <w:t xml:space="preserve">Provisions for </w:t>
      </w:r>
      <w:r>
        <w:rPr>
          <w:rStyle w:val="CharSDivText"/>
          <w:i/>
        </w:rPr>
        <w:t>Ports Legislation Amendment Act 2014</w:t>
      </w:r>
      <w:bookmarkEnd w:id="129"/>
    </w:p>
    <w:p>
      <w:pPr>
        <w:pStyle w:val="yFootnoteheading"/>
        <w:spacing w:after="120"/>
      </w:pPr>
      <w:r>
        <w:tab/>
        <w:t>[Heading inserted: No. 9 of 2014 s. 35.]</w:t>
      </w:r>
    </w:p>
    <w:p>
      <w:pPr>
        <w:pStyle w:val="yHeading4"/>
      </w:pPr>
      <w:bookmarkStart w:id="130" w:name="_Toc200368380"/>
      <w:r>
        <w:t>Subdivision 1</w:t>
      </w:r>
      <w:r>
        <w:rPr>
          <w:b w:val="0"/>
        </w:rPr>
        <w:t> — </w:t>
      </w:r>
      <w:r>
        <w:t>Preliminary</w:t>
      </w:r>
      <w:bookmarkEnd w:id="130"/>
    </w:p>
    <w:p>
      <w:pPr>
        <w:pStyle w:val="yFootnoteheading"/>
        <w:spacing w:after="120"/>
      </w:pPr>
      <w:r>
        <w:tab/>
        <w:t>[Heading inserted: No. 9 of 2014 s. 35.]</w:t>
      </w:r>
    </w:p>
    <w:p>
      <w:pPr>
        <w:pStyle w:val="yHeading5"/>
      </w:pPr>
      <w:bookmarkStart w:id="131" w:name="_Toc200368381"/>
      <w:r>
        <w:rPr>
          <w:rStyle w:val="CharSClsNo"/>
        </w:rPr>
        <w:t>1</w:t>
      </w:r>
      <w:r>
        <w:t>.</w:t>
      </w:r>
      <w:r>
        <w:tab/>
        <w:t>Terms used</w:t>
      </w:r>
      <w:bookmarkEnd w:id="131"/>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132" w:name="_Toc200368382"/>
      <w:r>
        <w:lastRenderedPageBreak/>
        <w:t>Subdivision 2</w:t>
      </w:r>
      <w:r>
        <w:rPr>
          <w:b w:val="0"/>
        </w:rPr>
        <w:t> — </w:t>
      </w:r>
      <w:r>
        <w:t>Provisions for the Southern Ports Authority</w:t>
      </w:r>
      <w:bookmarkEnd w:id="132"/>
    </w:p>
    <w:p>
      <w:pPr>
        <w:pStyle w:val="yFootnoteheading"/>
        <w:keepNext/>
        <w:spacing w:after="120"/>
      </w:pPr>
      <w:r>
        <w:tab/>
        <w:t>[Heading inserted: No. 9 of 2014 s. 35.]</w:t>
      </w:r>
    </w:p>
    <w:p>
      <w:pPr>
        <w:pStyle w:val="yHeading5"/>
      </w:pPr>
      <w:bookmarkStart w:id="133" w:name="_Toc200368383"/>
      <w:r>
        <w:rPr>
          <w:rStyle w:val="CharSClsNo"/>
        </w:rPr>
        <w:t>2</w:t>
      </w:r>
      <w:r>
        <w:t>.</w:t>
      </w:r>
      <w:r>
        <w:tab/>
        <w:t>Terms used</w:t>
      </w:r>
      <w:bookmarkEnd w:id="133"/>
    </w:p>
    <w:p>
      <w:pPr>
        <w:pStyle w:val="ySubsection"/>
        <w:keepNext/>
      </w:pPr>
      <w:r>
        <w:tab/>
      </w:r>
      <w:r>
        <w:tab/>
        <w:t xml:space="preserve">In this Subdivision — </w:t>
      </w:r>
    </w:p>
    <w:p>
      <w:pPr>
        <w:pStyle w:val="yDefstart"/>
        <w:keepNex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134" w:name="_Toc200368384"/>
      <w:r>
        <w:rPr>
          <w:rStyle w:val="CharSClsNo"/>
        </w:rPr>
        <w:t>3</w:t>
      </w:r>
      <w:r>
        <w:t>.</w:t>
      </w:r>
      <w:r>
        <w:tab/>
        <w:t>Merger of Albany Port Authority and Esperance Port Authority into Southern Ports Authority</w:t>
      </w:r>
      <w:bookmarkEnd w:id="134"/>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135" w:name="_Toc200368385"/>
      <w:r>
        <w:rPr>
          <w:rStyle w:val="CharSClsNo"/>
        </w:rPr>
        <w:t>4</w:t>
      </w:r>
      <w:r>
        <w:t>.</w:t>
      </w:r>
      <w:r>
        <w:tab/>
        <w:t>Directors and former directors</w:t>
      </w:r>
      <w:bookmarkEnd w:id="135"/>
    </w:p>
    <w:p>
      <w:pPr>
        <w:pStyle w:val="ySubsection"/>
      </w:pPr>
      <w:r>
        <w:tab/>
        <w:t>(1)</w:t>
      </w:r>
      <w:r>
        <w:tab/>
        <w:t>Immediately before the merger time a person then holding office as a director of a merging authority or the continuing authority ceases to hold that office.</w:t>
      </w:r>
    </w:p>
    <w:p>
      <w:pPr>
        <w:pStyle w:val="ySubsection"/>
      </w:pPr>
      <w:r>
        <w:lastRenderedPageBreak/>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136" w:name="_Toc200368386"/>
      <w:r>
        <w:rPr>
          <w:rStyle w:val="CharSClsNo"/>
        </w:rPr>
        <w:t>5</w:t>
      </w:r>
      <w:r>
        <w:t>.</w:t>
      </w:r>
      <w:r>
        <w:tab/>
        <w:t>Powers of new board in anticipation of merger</w:t>
      </w:r>
      <w:bookmarkEnd w:id="136"/>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137" w:name="_Toc200368387"/>
      <w:r>
        <w:rPr>
          <w:rStyle w:val="CharSClsNo"/>
        </w:rPr>
        <w:lastRenderedPageBreak/>
        <w:t>6</w:t>
      </w:r>
      <w:r>
        <w:t>.</w:t>
      </w:r>
      <w:r>
        <w:tab/>
        <w:t>CEOs and members of staff</w:t>
      </w:r>
      <w:bookmarkEnd w:id="137"/>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138" w:name="_Toc200368388"/>
      <w:r>
        <w:rPr>
          <w:rStyle w:val="CharSClsNo"/>
        </w:rPr>
        <w:t>7</w:t>
      </w:r>
      <w:r>
        <w:t>.</w:t>
      </w:r>
      <w:r>
        <w:tab/>
        <w:t>Preservation of rights</w:t>
      </w:r>
      <w:bookmarkEnd w:id="138"/>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lastRenderedPageBreak/>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139" w:name="_Toc200368389"/>
      <w:r>
        <w:rPr>
          <w:rStyle w:val="CharSClsNo"/>
        </w:rPr>
        <w:t>8</w:t>
      </w:r>
      <w:r>
        <w:t>.</w:t>
      </w:r>
      <w:r>
        <w:tab/>
        <w:t>Devolution of assets, liabilities, proceedings, remedies and immunities</w:t>
      </w:r>
      <w:bookmarkEnd w:id="139"/>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lastRenderedPageBreak/>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140" w:name="_Toc200368390"/>
      <w:r>
        <w:rPr>
          <w:rStyle w:val="CharSClsNo"/>
        </w:rPr>
        <w:t>9</w:t>
      </w:r>
      <w:r>
        <w:t>.</w:t>
      </w:r>
      <w:r>
        <w:tab/>
        <w:t>Completion of things commenced</w:t>
      </w:r>
      <w:bookmarkEnd w:id="140"/>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141" w:name="_Toc200368391"/>
      <w:r>
        <w:rPr>
          <w:rStyle w:val="CharSClsNo"/>
        </w:rPr>
        <w:t>10</w:t>
      </w:r>
      <w:r>
        <w:t>.</w:t>
      </w:r>
      <w:r>
        <w:tab/>
        <w:t>Continuing effect of things done</w:t>
      </w:r>
      <w:bookmarkEnd w:id="14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142" w:name="_Toc200368392"/>
      <w:r>
        <w:rPr>
          <w:rStyle w:val="CharSClsNo"/>
        </w:rPr>
        <w:lastRenderedPageBreak/>
        <w:t>11</w:t>
      </w:r>
      <w:r>
        <w:t>.</w:t>
      </w:r>
      <w:r>
        <w:tab/>
        <w:t>Agreements, instruments and documents</w:t>
      </w:r>
      <w:bookmarkEnd w:id="142"/>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lastRenderedPageBreak/>
        <w:tab/>
        <w:t>(b)</w:t>
      </w:r>
      <w:r>
        <w:tab/>
        <w:t>that application would be inappropriate in the context in which the reference occurs.</w:t>
      </w:r>
    </w:p>
    <w:p>
      <w:pPr>
        <w:pStyle w:val="yFootnotesection"/>
      </w:pPr>
      <w:r>
        <w:tab/>
        <w:t>[Clause 11 inserted: No. 9 of 2014 s. 35.]</w:t>
      </w:r>
    </w:p>
    <w:p>
      <w:pPr>
        <w:pStyle w:val="yHeading5"/>
      </w:pPr>
      <w:bookmarkStart w:id="143" w:name="_Toc200368393"/>
      <w:r>
        <w:rPr>
          <w:rStyle w:val="CharSClsNo"/>
        </w:rPr>
        <w:t>12</w:t>
      </w:r>
      <w:r>
        <w:t>.</w:t>
      </w:r>
      <w:r>
        <w:tab/>
        <w:t>Port authorities to implement or facilitate merger and share costs</w:t>
      </w:r>
      <w:bookmarkEnd w:id="143"/>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lastRenderedPageBreak/>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144" w:name="_Toc200368394"/>
      <w:r>
        <w:rPr>
          <w:rStyle w:val="CharSClsNo"/>
        </w:rPr>
        <w:t>13</w:t>
      </w:r>
      <w:r>
        <w:t>.</w:t>
      </w:r>
      <w:r>
        <w:tab/>
        <w:t>Financial reporting</w:t>
      </w:r>
      <w:bookmarkEnd w:id="144"/>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lastRenderedPageBreak/>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lastRenderedPageBreak/>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145" w:name="_Toc200368395"/>
      <w:r>
        <w:rPr>
          <w:rStyle w:val="CharSClsNo"/>
        </w:rPr>
        <w:t>14</w:t>
      </w:r>
      <w:r>
        <w:t>.</w:t>
      </w:r>
      <w:r>
        <w:tab/>
        <w:t>Dividends</w:t>
      </w:r>
      <w:bookmarkEnd w:id="145"/>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146" w:name="_Toc200368396"/>
      <w:r>
        <w:rPr>
          <w:rStyle w:val="CharSClsNo"/>
        </w:rPr>
        <w:t>15</w:t>
      </w:r>
      <w:r>
        <w:t>.</w:t>
      </w:r>
      <w:r>
        <w:tab/>
        <w:t>Transitional regulations</w:t>
      </w:r>
      <w:bookmarkEnd w:id="146"/>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lastRenderedPageBreak/>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147" w:name="_Toc200368397"/>
      <w:r>
        <w:t>Subdivision 3</w:t>
      </w:r>
      <w:r>
        <w:rPr>
          <w:b w:val="0"/>
        </w:rPr>
        <w:t> — </w:t>
      </w:r>
      <w:r>
        <w:t>Provisions for the Mid West Ports Authority</w:t>
      </w:r>
      <w:bookmarkEnd w:id="147"/>
    </w:p>
    <w:p>
      <w:pPr>
        <w:pStyle w:val="yFootnoteheading"/>
        <w:spacing w:after="120"/>
      </w:pPr>
      <w:r>
        <w:tab/>
        <w:t>[Heading inserted: No. 9 of 2014 s. 35.]</w:t>
      </w:r>
    </w:p>
    <w:p>
      <w:pPr>
        <w:pStyle w:val="yHeading5"/>
      </w:pPr>
      <w:bookmarkStart w:id="148" w:name="_Toc200368398"/>
      <w:r>
        <w:rPr>
          <w:rStyle w:val="CharSClsNo"/>
        </w:rPr>
        <w:t>16</w:t>
      </w:r>
      <w:r>
        <w:t>.</w:t>
      </w:r>
      <w:r>
        <w:tab/>
        <w:t>Terms used</w:t>
      </w:r>
      <w:bookmarkEnd w:id="148"/>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149" w:name="_Toc200368399"/>
      <w:r>
        <w:rPr>
          <w:rStyle w:val="CharSClsNo"/>
        </w:rPr>
        <w:t>17</w:t>
      </w:r>
      <w:r>
        <w:t>.</w:t>
      </w:r>
      <w:r>
        <w:tab/>
        <w:t>Directors and former directors</w:t>
      </w:r>
      <w:bookmarkEnd w:id="149"/>
    </w:p>
    <w:p>
      <w:pPr>
        <w:pStyle w:val="ySubsection"/>
      </w:pPr>
      <w:r>
        <w:tab/>
        <w:t>(1)</w:t>
      </w:r>
      <w:r>
        <w:tab/>
        <w:t>Immediately before the renaming time a person then holding office as a director of the port authority ceases to hold that office.</w:t>
      </w:r>
    </w:p>
    <w:p>
      <w:pPr>
        <w:pStyle w:val="ySubsection"/>
      </w:pPr>
      <w:r>
        <w:lastRenderedPageBreak/>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150" w:name="_Toc200368400"/>
      <w:r>
        <w:rPr>
          <w:rStyle w:val="CharSClsNo"/>
        </w:rPr>
        <w:t>18</w:t>
      </w:r>
      <w:r>
        <w:t>.</w:t>
      </w:r>
      <w:r>
        <w:tab/>
        <w:t>Powers of new board in anticipation of renaming</w:t>
      </w:r>
      <w:bookmarkEnd w:id="15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151" w:name="_Toc200368401"/>
      <w:r>
        <w:rPr>
          <w:rStyle w:val="CharSClsNo"/>
        </w:rPr>
        <w:t>19</w:t>
      </w:r>
      <w:r>
        <w:t>.</w:t>
      </w:r>
      <w:r>
        <w:tab/>
        <w:t>CEO and staff</w:t>
      </w:r>
      <w:bookmarkEnd w:id="151"/>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lastRenderedPageBreak/>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152" w:name="_Toc200368402"/>
      <w:r>
        <w:rPr>
          <w:rStyle w:val="CharSClsNo"/>
        </w:rPr>
        <w:t>20</w:t>
      </w:r>
      <w:r>
        <w:t>.</w:t>
      </w:r>
      <w:r>
        <w:tab/>
        <w:t>Agreements, instruments and documents</w:t>
      </w:r>
      <w:bookmarkEnd w:id="152"/>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lastRenderedPageBreak/>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153" w:name="_Toc200368403"/>
      <w:r>
        <w:rPr>
          <w:rStyle w:val="CharSClsNo"/>
        </w:rPr>
        <w:t>21</w:t>
      </w:r>
      <w:r>
        <w:t>.</w:t>
      </w:r>
      <w:r>
        <w:tab/>
        <w:t>Port authority to implement or facilitate renaming</w:t>
      </w:r>
      <w:bookmarkEnd w:id="153"/>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154" w:name="_Toc200368404"/>
      <w:r>
        <w:rPr>
          <w:rStyle w:val="CharSClsNo"/>
        </w:rPr>
        <w:lastRenderedPageBreak/>
        <w:t>22</w:t>
      </w:r>
      <w:r>
        <w:t>.</w:t>
      </w:r>
      <w:r>
        <w:tab/>
        <w:t>Transitional regulations</w:t>
      </w:r>
      <w:bookmarkEnd w:id="154"/>
    </w:p>
    <w:p>
      <w:pPr>
        <w:pStyle w:val="ySubsection"/>
        <w:keepNext/>
      </w:pPr>
      <w:r>
        <w:tab/>
        <w:t>(1)</w:t>
      </w:r>
      <w:r>
        <w:tab/>
        <w:t>Regulations (</w:t>
      </w:r>
      <w:r>
        <w:rPr>
          <w:rStyle w:val="CharDefText"/>
        </w:rPr>
        <w:t>transitional regulations</w:t>
      </w:r>
      <w:r>
        <w:t xml:space="preserve">) may prescribe — </w:t>
      </w:r>
    </w:p>
    <w:p>
      <w:pPr>
        <w:pStyle w:val="yIndenta"/>
        <w:keepNext/>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155" w:name="_Toc200368405"/>
      <w:r>
        <w:t>Subdivision 4</w:t>
      </w:r>
      <w:r>
        <w:rPr>
          <w:b w:val="0"/>
        </w:rPr>
        <w:t> — </w:t>
      </w:r>
      <w:r>
        <w:t>Provisions for the Pilbara Ports Authority</w:t>
      </w:r>
      <w:bookmarkEnd w:id="155"/>
    </w:p>
    <w:p>
      <w:pPr>
        <w:pStyle w:val="yFootnoteheading"/>
        <w:spacing w:after="120"/>
      </w:pPr>
      <w:r>
        <w:tab/>
        <w:t>[Heading inserted: No. 9 of 2014 s. 35.]</w:t>
      </w:r>
    </w:p>
    <w:p>
      <w:pPr>
        <w:pStyle w:val="yHeading5"/>
      </w:pPr>
      <w:bookmarkStart w:id="156" w:name="_Toc200368406"/>
      <w:r>
        <w:rPr>
          <w:rStyle w:val="CharSClsNo"/>
        </w:rPr>
        <w:t>23</w:t>
      </w:r>
      <w:r>
        <w:t>.</w:t>
      </w:r>
      <w:r>
        <w:tab/>
        <w:t>Terms used</w:t>
      </w:r>
      <w:bookmarkEnd w:id="156"/>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lastRenderedPageBreak/>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157" w:name="_Toc200368407"/>
      <w:r>
        <w:rPr>
          <w:rStyle w:val="CharSClsNo"/>
        </w:rPr>
        <w:t>24</w:t>
      </w:r>
      <w:r>
        <w:t>.</w:t>
      </w:r>
      <w:r>
        <w:tab/>
        <w:t>Merger of Dampier Port Authority into Pilbara Ports Authority</w:t>
      </w:r>
      <w:bookmarkEnd w:id="157"/>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158" w:name="_Toc200368408"/>
      <w:r>
        <w:rPr>
          <w:rStyle w:val="CharSClsNo"/>
        </w:rPr>
        <w:t>25</w:t>
      </w:r>
      <w:r>
        <w:t>.</w:t>
      </w:r>
      <w:r>
        <w:tab/>
        <w:t>Directors and former directors</w:t>
      </w:r>
      <w:bookmarkEnd w:id="158"/>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159" w:name="_Toc200368409"/>
      <w:r>
        <w:rPr>
          <w:rStyle w:val="CharSClsNo"/>
        </w:rPr>
        <w:lastRenderedPageBreak/>
        <w:t>26</w:t>
      </w:r>
      <w:r>
        <w:t>.</w:t>
      </w:r>
      <w:r>
        <w:tab/>
        <w:t>Powers of new board in anticipation of merger</w:t>
      </w:r>
      <w:bookmarkEnd w:id="159"/>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160" w:name="_Toc200368410"/>
      <w:r>
        <w:rPr>
          <w:rStyle w:val="CharSClsNo"/>
        </w:rPr>
        <w:t>27</w:t>
      </w:r>
      <w:r>
        <w:t>.</w:t>
      </w:r>
      <w:r>
        <w:tab/>
        <w:t>CEOs and members of staff</w:t>
      </w:r>
      <w:bookmarkEnd w:id="160"/>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lastRenderedPageBreak/>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161" w:name="_Toc200368411"/>
      <w:r>
        <w:rPr>
          <w:rStyle w:val="CharSClsNo"/>
        </w:rPr>
        <w:t>28</w:t>
      </w:r>
      <w:r>
        <w:t>.</w:t>
      </w:r>
      <w:r>
        <w:tab/>
        <w:t>Preservation of rights</w:t>
      </w:r>
      <w:bookmarkEnd w:id="161"/>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keepNext/>
      </w:pPr>
      <w:r>
        <w:lastRenderedPageBreak/>
        <w:tab/>
        <w:t>(4)</w:t>
      </w:r>
      <w:r>
        <w:tab/>
        <w:t>Nothing in clause 27 or this clause prevents the exercise by the PPA of its powers in relation to the management of members of staff.</w:t>
      </w:r>
    </w:p>
    <w:p>
      <w:pPr>
        <w:pStyle w:val="yFootnotesection"/>
      </w:pPr>
      <w:r>
        <w:tab/>
        <w:t>[Clause 28 inserted: No. 9 of 2014 s. 35.]</w:t>
      </w:r>
    </w:p>
    <w:p>
      <w:pPr>
        <w:pStyle w:val="yHeading5"/>
      </w:pPr>
      <w:bookmarkStart w:id="162" w:name="_Toc200368412"/>
      <w:r>
        <w:rPr>
          <w:rStyle w:val="CharSClsNo"/>
        </w:rPr>
        <w:t>29</w:t>
      </w:r>
      <w:r>
        <w:t>.</w:t>
      </w:r>
      <w:r>
        <w:tab/>
        <w:t>Devolution of assets, liabilities, proceedings, remedies and immunities</w:t>
      </w:r>
      <w:bookmarkEnd w:id="162"/>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163" w:name="_Toc200368413"/>
      <w:r>
        <w:rPr>
          <w:rStyle w:val="CharSClsNo"/>
        </w:rPr>
        <w:lastRenderedPageBreak/>
        <w:t>30</w:t>
      </w:r>
      <w:r>
        <w:t>.</w:t>
      </w:r>
      <w:r>
        <w:tab/>
        <w:t>Completion of things commenced</w:t>
      </w:r>
      <w:bookmarkEnd w:id="163"/>
    </w:p>
    <w:p>
      <w:pPr>
        <w:pStyle w:val="ySubsection"/>
        <w:keepNext/>
      </w:pPr>
      <w:r>
        <w:tab/>
      </w:r>
      <w:r>
        <w:tab/>
        <w:t>Anything commenced to be done by the merging authority before the merger time may be continued by the PPA.</w:t>
      </w:r>
    </w:p>
    <w:p>
      <w:pPr>
        <w:pStyle w:val="yFootnotesection"/>
      </w:pPr>
      <w:r>
        <w:tab/>
        <w:t>[Clause 30 inserted: No. 9 of 2014 s. 35.]</w:t>
      </w:r>
    </w:p>
    <w:p>
      <w:pPr>
        <w:pStyle w:val="yHeading5"/>
      </w:pPr>
      <w:bookmarkStart w:id="164" w:name="_Toc200368414"/>
      <w:r>
        <w:rPr>
          <w:rStyle w:val="CharSClsNo"/>
        </w:rPr>
        <w:t>31</w:t>
      </w:r>
      <w:r>
        <w:t>.</w:t>
      </w:r>
      <w:r>
        <w:tab/>
        <w:t>Continuing effect of things done</w:t>
      </w:r>
      <w:bookmarkEnd w:id="164"/>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165" w:name="_Toc200368415"/>
      <w:r>
        <w:rPr>
          <w:rStyle w:val="CharSClsNo"/>
        </w:rPr>
        <w:t>32</w:t>
      </w:r>
      <w:r>
        <w:t>.</w:t>
      </w:r>
      <w:r>
        <w:tab/>
        <w:t>Agreements, instruments and documents</w:t>
      </w:r>
      <w:bookmarkEnd w:id="165"/>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lastRenderedPageBreak/>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166" w:name="_Toc200368416"/>
      <w:r>
        <w:rPr>
          <w:rStyle w:val="CharSClsNo"/>
        </w:rPr>
        <w:t>33</w:t>
      </w:r>
      <w:r>
        <w:t>.</w:t>
      </w:r>
      <w:r>
        <w:tab/>
        <w:t>Port authorities to implement or facilitate merger and share costs</w:t>
      </w:r>
      <w:bookmarkEnd w:id="166"/>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lastRenderedPageBreak/>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167" w:name="_Toc200368417"/>
      <w:r>
        <w:rPr>
          <w:rStyle w:val="CharSClsNo"/>
        </w:rPr>
        <w:t>34</w:t>
      </w:r>
      <w:r>
        <w:t>.</w:t>
      </w:r>
      <w:r>
        <w:tab/>
        <w:t>Financial reporting</w:t>
      </w:r>
      <w:bookmarkEnd w:id="167"/>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lastRenderedPageBreak/>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keepLines/>
      </w:pPr>
      <w:r>
        <w:lastRenderedPageBreak/>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168" w:name="_Toc200368418"/>
      <w:r>
        <w:rPr>
          <w:rStyle w:val="CharSClsNo"/>
        </w:rPr>
        <w:t>35</w:t>
      </w:r>
      <w:r>
        <w:t>.</w:t>
      </w:r>
      <w:r>
        <w:tab/>
        <w:t>Dividends</w:t>
      </w:r>
      <w:bookmarkEnd w:id="168"/>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keepLines/>
      </w:pPr>
      <w:r>
        <w:lastRenderedPageBreak/>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169" w:name="_Toc200368419"/>
      <w:r>
        <w:rPr>
          <w:rStyle w:val="CharSClsNo"/>
        </w:rPr>
        <w:t>36</w:t>
      </w:r>
      <w:r>
        <w:t>.</w:t>
      </w:r>
      <w:r>
        <w:tab/>
        <w:t>Transitional regulations</w:t>
      </w:r>
      <w:bookmarkEnd w:id="169"/>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170" w:name="_Toc200368420"/>
      <w:r>
        <w:t>Subdivision 5</w:t>
      </w:r>
      <w:r>
        <w:rPr>
          <w:b w:val="0"/>
        </w:rPr>
        <w:t> — </w:t>
      </w:r>
      <w:r>
        <w:t>Provisions for the Kimberley Ports Authority</w:t>
      </w:r>
      <w:bookmarkEnd w:id="170"/>
    </w:p>
    <w:p>
      <w:pPr>
        <w:pStyle w:val="yFootnoteheading"/>
        <w:spacing w:after="120"/>
      </w:pPr>
      <w:r>
        <w:tab/>
        <w:t>[Heading inserted: No. 9 of 2014 s. 35.]</w:t>
      </w:r>
    </w:p>
    <w:p>
      <w:pPr>
        <w:pStyle w:val="yHeading5"/>
      </w:pPr>
      <w:bookmarkStart w:id="171" w:name="_Toc200368421"/>
      <w:r>
        <w:rPr>
          <w:rStyle w:val="CharSClsNo"/>
        </w:rPr>
        <w:t>37</w:t>
      </w:r>
      <w:r>
        <w:t>.</w:t>
      </w:r>
      <w:r>
        <w:tab/>
        <w:t>Terms used</w:t>
      </w:r>
      <w:bookmarkEnd w:id="171"/>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lastRenderedPageBreak/>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172" w:name="_Toc200368422"/>
      <w:r>
        <w:rPr>
          <w:rStyle w:val="CharSClsNo"/>
        </w:rPr>
        <w:t>38</w:t>
      </w:r>
      <w:r>
        <w:t>.</w:t>
      </w:r>
      <w:r>
        <w:tab/>
        <w:t>Directors and former directors</w:t>
      </w:r>
      <w:bookmarkEnd w:id="172"/>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173" w:name="_Toc200368423"/>
      <w:r>
        <w:rPr>
          <w:rStyle w:val="CharSClsNo"/>
        </w:rPr>
        <w:t>39</w:t>
      </w:r>
      <w:r>
        <w:t>.</w:t>
      </w:r>
      <w:r>
        <w:tab/>
        <w:t>Powers of new board in anticipation of renaming</w:t>
      </w:r>
      <w:bookmarkEnd w:id="173"/>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lastRenderedPageBreak/>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174" w:name="_Toc200368424"/>
      <w:r>
        <w:rPr>
          <w:rStyle w:val="CharSClsNo"/>
        </w:rPr>
        <w:t>40</w:t>
      </w:r>
      <w:r>
        <w:t>.</w:t>
      </w:r>
      <w:r>
        <w:tab/>
        <w:t>CEO and staff</w:t>
      </w:r>
      <w:bookmarkEnd w:id="174"/>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lastRenderedPageBreak/>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175" w:name="_Toc200368425"/>
      <w:r>
        <w:rPr>
          <w:rStyle w:val="CharSClsNo"/>
        </w:rPr>
        <w:t>41</w:t>
      </w:r>
      <w:r>
        <w:t>.</w:t>
      </w:r>
      <w:r>
        <w:tab/>
        <w:t>Agreements, instruments and documents</w:t>
      </w:r>
      <w:bookmarkEnd w:id="175"/>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176" w:name="_Toc200368426"/>
      <w:r>
        <w:rPr>
          <w:rStyle w:val="CharSClsNo"/>
        </w:rPr>
        <w:t>42</w:t>
      </w:r>
      <w:r>
        <w:t>.</w:t>
      </w:r>
      <w:r>
        <w:tab/>
        <w:t>Port authority to implement or facilitate renaming</w:t>
      </w:r>
      <w:bookmarkEnd w:id="176"/>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keepNext/>
      </w:pPr>
      <w:r>
        <w:lastRenderedPageBreak/>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177" w:name="_Toc200368427"/>
      <w:r>
        <w:rPr>
          <w:rStyle w:val="CharSClsNo"/>
        </w:rPr>
        <w:t>43</w:t>
      </w:r>
      <w:r>
        <w:t>.</w:t>
      </w:r>
      <w:r>
        <w:tab/>
        <w:t>Transitional regulations</w:t>
      </w:r>
      <w:bookmarkEnd w:id="177"/>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178" w:name="_Toc200368428"/>
      <w:r>
        <w:lastRenderedPageBreak/>
        <w:t>Subdivision 6</w:t>
      </w:r>
      <w:r>
        <w:rPr>
          <w:b w:val="0"/>
        </w:rPr>
        <w:t> — </w:t>
      </w:r>
      <w:r>
        <w:t>Provisions for certain directors</w:t>
      </w:r>
      <w:bookmarkEnd w:id="178"/>
    </w:p>
    <w:p>
      <w:pPr>
        <w:pStyle w:val="yFootnoteheading"/>
        <w:keepNext/>
        <w:spacing w:after="120"/>
      </w:pPr>
      <w:r>
        <w:tab/>
        <w:t>[Heading inserted: No. 9 of 2014 s. 35.]</w:t>
      </w:r>
    </w:p>
    <w:p>
      <w:pPr>
        <w:pStyle w:val="yHeading5"/>
      </w:pPr>
      <w:bookmarkStart w:id="179" w:name="_Toc200368429"/>
      <w:r>
        <w:rPr>
          <w:rStyle w:val="CharSClsNo"/>
        </w:rPr>
        <w:t>44</w:t>
      </w:r>
      <w:r>
        <w:t>.</w:t>
      </w:r>
      <w:r>
        <w:tab/>
        <w:t>Certain directors to cease to hold office</w:t>
      </w:r>
      <w:bookmarkEnd w:id="179"/>
    </w:p>
    <w:p>
      <w:pPr>
        <w:pStyle w:val="ySubsection"/>
        <w:keepNext/>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180" w:name="_Toc200368430"/>
      <w:r>
        <w:t>Subdivision 7</w:t>
      </w:r>
      <w:r>
        <w:rPr>
          <w:b w:val="0"/>
        </w:rPr>
        <w:t> — </w:t>
      </w:r>
      <w:r>
        <w:t>General provisions</w:t>
      </w:r>
      <w:bookmarkEnd w:id="180"/>
    </w:p>
    <w:p>
      <w:pPr>
        <w:pStyle w:val="yFootnoteheading"/>
        <w:spacing w:after="120"/>
      </w:pPr>
      <w:r>
        <w:tab/>
        <w:t>[Heading inserted: No. 9 of 2014 s. 35.]</w:t>
      </w:r>
    </w:p>
    <w:p>
      <w:pPr>
        <w:pStyle w:val="yHeading5"/>
      </w:pPr>
      <w:bookmarkStart w:id="181" w:name="_Toc200368431"/>
      <w:r>
        <w:rPr>
          <w:rStyle w:val="CharSClsNo"/>
        </w:rPr>
        <w:t>45</w:t>
      </w:r>
      <w:r>
        <w:t>.</w:t>
      </w:r>
      <w:r>
        <w:tab/>
        <w:t>Terms used</w:t>
      </w:r>
      <w:bookmarkEnd w:id="181"/>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lastRenderedPageBreak/>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182" w:name="_Toc200368432"/>
      <w:r>
        <w:rPr>
          <w:rStyle w:val="CharSClsNo"/>
        </w:rPr>
        <w:t>46</w:t>
      </w:r>
      <w:r>
        <w:t>.</w:t>
      </w:r>
      <w:r>
        <w:tab/>
        <w:t>Exemption from State taxes</w:t>
      </w:r>
      <w:bookmarkEnd w:id="182"/>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183" w:name="_Toc200368433"/>
      <w:r>
        <w:rPr>
          <w:rStyle w:val="CharSClsNo"/>
        </w:rPr>
        <w:t>47</w:t>
      </w:r>
      <w:r>
        <w:t>.</w:t>
      </w:r>
      <w:r>
        <w:tab/>
        <w:t>Registration of documents</w:t>
      </w:r>
      <w:bookmarkEnd w:id="183"/>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184" w:name="_Toc200368434"/>
      <w:r>
        <w:rPr>
          <w:rStyle w:val="CharSClsNo"/>
        </w:rPr>
        <w:t>48</w:t>
      </w:r>
      <w:r>
        <w:t>.</w:t>
      </w:r>
      <w:r>
        <w:tab/>
        <w:t>Matters that a new board can deal with</w:t>
      </w:r>
      <w:bookmarkEnd w:id="184"/>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keepNext/>
      </w:pPr>
      <w:r>
        <w:lastRenderedPageBreak/>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lastRenderedPageBreak/>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185" w:name="_Toc200368435"/>
      <w:r>
        <w:rPr>
          <w:rStyle w:val="CharSClsNo"/>
        </w:rPr>
        <w:t>49</w:t>
      </w:r>
      <w:r>
        <w:t>.</w:t>
      </w:r>
      <w:r>
        <w:tab/>
        <w:t>Operation of transitional regulations</w:t>
      </w:r>
      <w:bookmarkEnd w:id="185"/>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186" w:name="_Toc200368436"/>
      <w:r>
        <w:rPr>
          <w:rStyle w:val="CharSClsNo"/>
        </w:rPr>
        <w:t>50</w:t>
      </w:r>
      <w:r>
        <w:t>.</w:t>
      </w:r>
      <w:r>
        <w:tab/>
        <w:t>Saving</w:t>
      </w:r>
      <w:bookmarkEnd w:id="186"/>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lastRenderedPageBreak/>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187" w:name="_Toc200368437"/>
      <w:r>
        <w:rPr>
          <w:rStyle w:val="CharSClsNo"/>
        </w:rPr>
        <w:t>51</w:t>
      </w:r>
      <w:r>
        <w:t>.</w:t>
      </w:r>
      <w:r>
        <w:tab/>
        <w:t>Government agreements not affected</w:t>
      </w:r>
      <w:bookmarkEnd w:id="187"/>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pStyle w:val="yHeading3"/>
      </w:pPr>
      <w:bookmarkStart w:id="188" w:name="_Toc200368438"/>
      <w:r>
        <w:rPr>
          <w:rStyle w:val="CharSDivNo"/>
        </w:rPr>
        <w:t>Division 2</w:t>
      </w:r>
      <w:r>
        <w:rPr>
          <w:b w:val="0"/>
        </w:rPr>
        <w:t> — </w:t>
      </w:r>
      <w:r>
        <w:rPr>
          <w:rStyle w:val="CharSDivText"/>
        </w:rPr>
        <w:t xml:space="preserve">Provisions for </w:t>
      </w:r>
      <w:r>
        <w:rPr>
          <w:rStyle w:val="CharSDivText"/>
          <w:i/>
        </w:rPr>
        <w:t>Ports Legislation Amendment Act 2019</w:t>
      </w:r>
      <w:bookmarkEnd w:id="188"/>
    </w:p>
    <w:p>
      <w:pPr>
        <w:pStyle w:val="yFootnoteheading"/>
        <w:spacing w:after="120"/>
      </w:pPr>
      <w:r>
        <w:tab/>
        <w:t>[Heading inserted: No. 2 of 2019 s. 51.]</w:t>
      </w:r>
    </w:p>
    <w:p>
      <w:pPr>
        <w:pStyle w:val="yHeading4"/>
      </w:pPr>
      <w:bookmarkStart w:id="189" w:name="_Toc200368439"/>
      <w:r>
        <w:t>Subdivision 1</w:t>
      </w:r>
      <w:r>
        <w:rPr>
          <w:b w:val="0"/>
        </w:rPr>
        <w:t> — </w:t>
      </w:r>
      <w:r>
        <w:t>Preliminary</w:t>
      </w:r>
      <w:bookmarkEnd w:id="189"/>
    </w:p>
    <w:p>
      <w:pPr>
        <w:pStyle w:val="yFootnoteheading"/>
        <w:spacing w:after="120"/>
      </w:pPr>
      <w:r>
        <w:tab/>
        <w:t>[Heading inserted: No. 2 of 2019 s. 51.]</w:t>
      </w:r>
    </w:p>
    <w:p>
      <w:pPr>
        <w:pStyle w:val="yHeading5"/>
      </w:pPr>
      <w:bookmarkStart w:id="190" w:name="_Toc200368440"/>
      <w:r>
        <w:rPr>
          <w:rStyle w:val="CharSClsNo"/>
        </w:rPr>
        <w:t>52</w:t>
      </w:r>
      <w:r>
        <w:t>.</w:t>
      </w:r>
      <w:r>
        <w:tab/>
        <w:t>Terms used</w:t>
      </w:r>
      <w:bookmarkEnd w:id="190"/>
    </w:p>
    <w:p>
      <w:pPr>
        <w:pStyle w:val="ySubsection"/>
      </w:pPr>
      <w:r>
        <w:tab/>
        <w:t>(1)</w:t>
      </w:r>
      <w:r>
        <w:tab/>
        <w:t xml:space="preserve">In this Division, unless the contrary intention appears — </w:t>
      </w:r>
    </w:p>
    <w:p>
      <w:pPr>
        <w:pStyle w:val="yDefstart"/>
      </w:pPr>
      <w:r>
        <w:tab/>
      </w:r>
      <w:r>
        <w:rPr>
          <w:rStyle w:val="CharDefText"/>
        </w:rPr>
        <w:t>affecting provisions</w:t>
      </w:r>
      <w:r>
        <w:t xml:space="preserve"> means — </w:t>
      </w:r>
    </w:p>
    <w:p>
      <w:pPr>
        <w:pStyle w:val="yDefpara"/>
      </w:pPr>
      <w:r>
        <w:tab/>
        <w:t>(a)</w:t>
      </w:r>
      <w:r>
        <w:tab/>
        <w:t>the transfer provisions; and</w:t>
      </w:r>
    </w:p>
    <w:p>
      <w:pPr>
        <w:pStyle w:val="yDefpara"/>
      </w:pPr>
      <w:r>
        <w:tab/>
        <w:t>(b)</w:t>
      </w:r>
      <w:r>
        <w:tab/>
        <w:t>this Division and transitional regulations; and</w:t>
      </w:r>
    </w:p>
    <w:p>
      <w:pPr>
        <w:pStyle w:val="yDefpara"/>
      </w:pPr>
      <w:r>
        <w:tab/>
        <w:t>(c)</w:t>
      </w:r>
      <w:r>
        <w:tab/>
        <w:t>transitional orders and schedules referred to in transitional orders;</w:t>
      </w:r>
    </w:p>
    <w:p>
      <w:pPr>
        <w:pStyle w:val="yDefstart"/>
      </w:pPr>
      <w:r>
        <w:tab/>
      </w:r>
      <w:r>
        <w:rPr>
          <w:rStyle w:val="CharDefText"/>
        </w:rPr>
        <w:t>amending Act</w:t>
      </w:r>
      <w:r>
        <w:t xml:space="preserve"> means the </w:t>
      </w:r>
      <w:r>
        <w:rPr>
          <w:i/>
        </w:rPr>
        <w:t>Ports Legislation Amendment Act 2019</w:t>
      </w:r>
      <w:r>
        <w:t>;</w:t>
      </w:r>
    </w:p>
    <w:p>
      <w:pPr>
        <w:pStyle w:val="yDefstart"/>
      </w:pPr>
      <w:r>
        <w:lastRenderedPageBreak/>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asset of the State</w:t>
      </w:r>
      <w:r>
        <w:t xml:space="preserve"> includes, but is not limited to, property vested in or acquired by the Transport Minister for the purposes of a Marine Act;</w:t>
      </w:r>
    </w:p>
    <w:p>
      <w:pPr>
        <w:pStyle w:val="yDefstart"/>
      </w:pPr>
      <w:r>
        <w:tab/>
      </w:r>
      <w:r>
        <w:rPr>
          <w:rStyle w:val="CharDefText"/>
        </w:rPr>
        <w:t>existing S&amp;P Act port</w:t>
      </w:r>
      <w:r>
        <w:t xml:space="preserve">, in relation to a port named in a transfer provision, means — </w:t>
      </w:r>
    </w:p>
    <w:p>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liability of the State</w:t>
      </w:r>
      <w:r>
        <w:t xml:space="preserve"> includes, but is not limited to, a liability incurred by the Transport Minister for the purposes of a Marine Act;</w:t>
      </w:r>
    </w:p>
    <w:p>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yDefstart"/>
      </w:pPr>
      <w:r>
        <w:tab/>
      </w:r>
      <w:r>
        <w:rPr>
          <w:rStyle w:val="CharDefText"/>
        </w:rPr>
        <w:t>port transfer</w:t>
      </w:r>
      <w:r>
        <w:t xml:space="preserve"> or </w:t>
      </w:r>
      <w:r>
        <w:rPr>
          <w:rStyle w:val="CharDefText"/>
          <w:snapToGrid/>
        </w:rPr>
        <w:t>transfer</w:t>
      </w:r>
      <w:r>
        <w:t xml:space="preserve">, in relation to a port, means — </w:t>
      </w:r>
    </w:p>
    <w:p>
      <w:pPr>
        <w:pStyle w:val="yDefpara"/>
      </w:pPr>
      <w:r>
        <w:tab/>
        <w:t>(a)</w:t>
      </w:r>
      <w:r>
        <w:tab/>
        <w:t>the placement of the port under the control and management of a port authority by the insertion of the port in column 3 of an item in Schedule 1 by a transfer provision; and</w:t>
      </w:r>
    </w:p>
    <w:p>
      <w:pPr>
        <w:pStyle w:val="yDefpara"/>
      </w:pPr>
      <w:r>
        <w:tab/>
        <w:t>(b)</w:t>
      </w:r>
      <w:r>
        <w:tab/>
        <w:t>the cessation of the existing S&amp;P Act port as a port for the administration and operation of which the Transport Department is responsible by force of clause 56;</w:t>
      </w:r>
    </w:p>
    <w:p>
      <w:pPr>
        <w:pStyle w:val="yDefstart"/>
        <w:keepNext/>
      </w:pPr>
      <w:r>
        <w:lastRenderedPageBreak/>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rPr>
          <w:szCs w:val="22"/>
        </w:rPr>
        <w:tab/>
      </w:r>
      <w:r>
        <w:rPr>
          <w:rStyle w:val="CharDefText"/>
          <w:szCs w:val="22"/>
        </w:rPr>
        <w:t>renew</w:t>
      </w:r>
      <w:r>
        <w:rPr>
          <w:szCs w:val="22"/>
        </w:rPr>
        <w:t xml:space="preserve"> an easement, lease or licence includes — </w:t>
      </w:r>
    </w:p>
    <w:p>
      <w:pPr>
        <w:pStyle w:val="yDefpara"/>
      </w:pPr>
      <w:r>
        <w:tab/>
        <w:t>(a)</w:t>
      </w:r>
      <w:r>
        <w:tab/>
        <w:t>grant of an extension of its term; and</w:t>
      </w:r>
    </w:p>
    <w:p>
      <w:pPr>
        <w:pStyle w:val="yDefpara"/>
      </w:pPr>
      <w:r>
        <w:tab/>
        <w:t>(b)</w:t>
      </w:r>
      <w:r>
        <w:tab/>
        <w:t>grant a further easement, lease or licence to replace it;</w:t>
      </w:r>
    </w:p>
    <w:p>
      <w:pPr>
        <w:pStyle w:val="yDefstart"/>
      </w:pPr>
      <w:r>
        <w:tab/>
      </w:r>
      <w:r>
        <w:rPr>
          <w:rStyle w:val="CharDefText"/>
        </w:rPr>
        <w:t>requirement under this Act</w:t>
      </w:r>
      <w:r>
        <w:t xml:space="preserve"> means — </w:t>
      </w:r>
    </w:p>
    <w:p>
      <w:pPr>
        <w:pStyle w:val="yDefpara"/>
      </w:pPr>
      <w:r>
        <w:tab/>
        <w:t>(a)</w:t>
      </w:r>
      <w:r>
        <w:tab/>
        <w:t>a direction given by the Minister under section 72; or</w:t>
      </w:r>
    </w:p>
    <w:p>
      <w:pPr>
        <w:pStyle w:val="yDefpara"/>
      </w:pPr>
      <w:r>
        <w:tab/>
        <w:t>(b)</w:t>
      </w:r>
      <w:r>
        <w:tab/>
        <w:t>any other obligation under this Act;</w:t>
      </w:r>
    </w:p>
    <w:p>
      <w:pPr>
        <w:pStyle w:val="yDefstart"/>
      </w:pPr>
      <w:r>
        <w:tab/>
      </w:r>
      <w:r>
        <w:rPr>
          <w:rStyle w:val="CharDefText"/>
        </w:rPr>
        <w:t>right</w:t>
      </w:r>
      <w:r>
        <w:t xml:space="preserve"> means any right, power, privilege or immunity whether actual, prospective or contingent;</w:t>
      </w:r>
    </w:p>
    <w:p>
      <w:pPr>
        <w:pStyle w:val="yDefstart"/>
      </w:pPr>
      <w:r>
        <w:tab/>
      </w:r>
      <w:r>
        <w:rPr>
          <w:rStyle w:val="CharDefText"/>
        </w:rPr>
        <w:t>transfer provision</w:t>
      </w:r>
      <w:r>
        <w:t xml:space="preserve"> means section 50(1)(a) or (b), (2)(a), (b), (c), (d) or (e) or (3)(a), (b) or (c) of the amending Act;</w:t>
      </w:r>
    </w:p>
    <w:p>
      <w:pPr>
        <w:pStyle w:val="yDefstart"/>
      </w:pPr>
      <w:r>
        <w:tab/>
      </w:r>
      <w:r>
        <w:rPr>
          <w:rStyle w:val="CharDefText"/>
        </w:rPr>
        <w:t>transfer time</w:t>
      </w:r>
      <w:r>
        <w:t>, in relation to a port transfer, means the time at which the relevant transfer provision comes into operation;</w:t>
      </w:r>
    </w:p>
    <w:p>
      <w:pPr>
        <w:pStyle w:val="yDefstart"/>
      </w:pPr>
      <w:r>
        <w:tab/>
      </w:r>
      <w:r>
        <w:rPr>
          <w:rStyle w:val="CharDefText"/>
        </w:rPr>
        <w:t>transitional order</w:t>
      </w:r>
      <w:r>
        <w:t xml:space="preserve"> means an order under clause 58;</w:t>
      </w:r>
    </w:p>
    <w:p>
      <w:pPr>
        <w:pStyle w:val="yDefstart"/>
      </w:pPr>
      <w:r>
        <w:tab/>
      </w:r>
      <w:r>
        <w:rPr>
          <w:rStyle w:val="CharDefText"/>
        </w:rPr>
        <w:t>transitional regulations</w:t>
      </w:r>
      <w:r>
        <w:t xml:space="preserve"> has the meaning given in clause 69(1);</w:t>
      </w:r>
    </w:p>
    <w:p>
      <w:pPr>
        <w:pStyle w:val="yDefstart"/>
      </w:pPr>
      <w:r>
        <w:tab/>
      </w:r>
      <w:r>
        <w:rPr>
          <w:rStyle w:val="CharDefText"/>
        </w:rPr>
        <w:t>Transport CEO</w:t>
      </w:r>
      <w:r>
        <w:t xml:space="preserve"> means the chief executive officer of the Transport Department and includes a delegate of that chief executive officer under a Marine Act;</w:t>
      </w:r>
    </w:p>
    <w:p>
      <w:pPr>
        <w:pStyle w:val="yDefstart"/>
      </w:pPr>
      <w:r>
        <w:tab/>
      </w:r>
      <w:r>
        <w:rPr>
          <w:rStyle w:val="CharDefText"/>
        </w:rPr>
        <w:t>Transport Department</w:t>
      </w:r>
      <w:r>
        <w:t xml:space="preserve"> means the department of the Public Service principally assisting the Transport Minister in the administration of the Marine Acts;</w:t>
      </w:r>
    </w:p>
    <w:p>
      <w:pPr>
        <w:pStyle w:val="yDefstart"/>
        <w:keepNext/>
      </w:pPr>
      <w:r>
        <w:lastRenderedPageBreak/>
        <w:tab/>
      </w:r>
      <w:r>
        <w:rPr>
          <w:rStyle w:val="CharDefText"/>
        </w:rPr>
        <w:t>Transport Minister</w:t>
      </w:r>
      <w:r>
        <w:t xml:space="preserve"> means the Minister administering the Marine Acts and includes — </w:t>
      </w:r>
    </w:p>
    <w:p>
      <w:pPr>
        <w:pStyle w:val="yDefpara"/>
      </w:pPr>
      <w:r>
        <w:tab/>
        <w:t>(a)</w:t>
      </w:r>
      <w:r>
        <w:tab/>
        <w:t xml:space="preserve">that Minister as a body corporate under the </w:t>
      </w:r>
      <w:r>
        <w:rPr>
          <w:i/>
        </w:rPr>
        <w:t>Marine and Harbours Act 1981</w:t>
      </w:r>
      <w:r>
        <w:t xml:space="preserve"> section 8; and</w:t>
      </w:r>
    </w:p>
    <w:p>
      <w:pPr>
        <w:pStyle w:val="yDefpara"/>
      </w:pPr>
      <w:r>
        <w:tab/>
        <w:t>(b)</w:t>
      </w:r>
      <w:r>
        <w:tab/>
        <w:t>a delegate of that Minister under a Marine Act.</w:t>
      </w:r>
    </w:p>
    <w:p>
      <w:pPr>
        <w:pStyle w:val="ySubsection"/>
      </w:pPr>
      <w:r>
        <w:tab/>
        <w:t>(2)</w:t>
      </w:r>
      <w:r>
        <w:tab/>
        <w:t>A reference in this Division to an agreement, instrument or document does not include a reference to a Government agreement.</w:t>
      </w:r>
    </w:p>
    <w:p>
      <w:pPr>
        <w:pStyle w:val="yFootnotesection"/>
      </w:pPr>
      <w:r>
        <w:tab/>
        <w:t>[Clause 52 inserted: No. 2 of 2019 s. 51.]</w:t>
      </w:r>
    </w:p>
    <w:p>
      <w:pPr>
        <w:pStyle w:val="yHeading4"/>
      </w:pPr>
      <w:bookmarkStart w:id="191" w:name="_Toc200368441"/>
      <w:r>
        <w:t>Subdivision 2</w:t>
      </w:r>
      <w:r>
        <w:rPr>
          <w:b w:val="0"/>
        </w:rPr>
        <w:t> — </w:t>
      </w:r>
      <w:r>
        <w:t>Transfer of control and management of some existing ports to port authorities</w:t>
      </w:r>
      <w:bookmarkEnd w:id="191"/>
    </w:p>
    <w:p>
      <w:pPr>
        <w:pStyle w:val="yFootnoteheading"/>
        <w:keepNext/>
        <w:spacing w:after="120"/>
      </w:pPr>
      <w:r>
        <w:tab/>
        <w:t>[Heading inserted: No. 2 of 2019 s. 51.]</w:t>
      </w:r>
    </w:p>
    <w:p>
      <w:pPr>
        <w:pStyle w:val="yHeading5"/>
      </w:pPr>
      <w:bookmarkStart w:id="192" w:name="_Toc200368442"/>
      <w:r>
        <w:rPr>
          <w:rStyle w:val="CharSClsNo"/>
        </w:rPr>
        <w:t>53</w:t>
      </w:r>
      <w:r>
        <w:t>.</w:t>
      </w:r>
      <w:r>
        <w:tab/>
        <w:t>Terms used</w:t>
      </w:r>
      <w:bookmarkEnd w:id="192"/>
    </w:p>
    <w:p>
      <w:pPr>
        <w:pStyle w:val="ySubsection"/>
      </w:pPr>
      <w:r>
        <w:tab/>
        <w:t>(1)</w:t>
      </w:r>
      <w:r>
        <w:tab/>
        <w:t xml:space="preserve">In this Subdivision, unless the contrary intention appears — </w:t>
      </w:r>
    </w:p>
    <w:p>
      <w:pPr>
        <w:pStyle w:val="yDefstart"/>
      </w:pPr>
      <w:r>
        <w:tab/>
      </w:r>
      <w:r>
        <w:rPr>
          <w:rStyle w:val="CharDefText"/>
        </w:rPr>
        <w:t>Agreements Minister</w:t>
      </w:r>
      <w:r>
        <w:t xml:space="preserve"> means the Minister administering the </w:t>
      </w:r>
      <w:r>
        <w:rPr>
          <w:i/>
        </w:rPr>
        <w:t>Government Agreements Act 1979</w:t>
      </w:r>
      <w:r>
        <w:t>;</w:t>
      </w:r>
    </w:p>
    <w:p>
      <w:pPr>
        <w:pStyle w:val="yDefstart"/>
      </w:pPr>
      <w:r>
        <w:tab/>
      </w:r>
      <w:r>
        <w:rPr>
          <w:rStyle w:val="CharDefText"/>
        </w:rPr>
        <w:t>port</w:t>
      </w:r>
      <w:r>
        <w:t xml:space="preserve"> means the port named in a transfer provision;</w:t>
      </w:r>
    </w:p>
    <w:p>
      <w:pPr>
        <w:pStyle w:val="yDefstart"/>
      </w:pPr>
      <w:r>
        <w:tab/>
      </w:r>
      <w:r>
        <w:rPr>
          <w:rStyle w:val="CharDefText"/>
        </w:rPr>
        <w:t>port authority</w:t>
      </w:r>
      <w:r>
        <w:t xml:space="preserve"> means the port authority under the control and management of which a port is placed by a port transfer.</w:t>
      </w:r>
    </w:p>
    <w:p>
      <w:pPr>
        <w:pStyle w:val="ySubsection"/>
      </w:pPr>
      <w:r>
        <w:tab/>
        <w:t>(2)</w:t>
      </w:r>
      <w:r>
        <w:tab/>
        <w:t xml:space="preserve">A reference in another clause of this Subdivision to </w:t>
      </w:r>
      <w:r>
        <w:rPr>
          <w:rStyle w:val="CharDefText"/>
        </w:rPr>
        <w:t>this Subdivision</w:t>
      </w:r>
      <w:r>
        <w:t xml:space="preserve"> includes a reference to — </w:t>
      </w:r>
    </w:p>
    <w:p>
      <w:pPr>
        <w:pStyle w:val="yIndenta"/>
      </w:pPr>
      <w:r>
        <w:tab/>
        <w:t>(a)</w:t>
      </w:r>
      <w:r>
        <w:tab/>
        <w:t>transitional regulations relating to a port transfer; and</w:t>
      </w:r>
    </w:p>
    <w:p>
      <w:pPr>
        <w:pStyle w:val="yIndenta"/>
      </w:pPr>
      <w:r>
        <w:tab/>
        <w:t>(b)</w:t>
      </w:r>
      <w:r>
        <w:tab/>
        <w:t>transitional orders and schedules referred to in transitional orders.</w:t>
      </w:r>
    </w:p>
    <w:p>
      <w:pPr>
        <w:pStyle w:val="yFootnotesection"/>
      </w:pPr>
      <w:r>
        <w:tab/>
        <w:t>[Clause 53 inserted: No. 2 of 2019 s. 51.]</w:t>
      </w:r>
    </w:p>
    <w:p>
      <w:pPr>
        <w:pStyle w:val="yHeading5"/>
      </w:pPr>
      <w:bookmarkStart w:id="193" w:name="_Toc200368443"/>
      <w:r>
        <w:rPr>
          <w:rStyle w:val="CharSClsNo"/>
        </w:rPr>
        <w:t>54</w:t>
      </w:r>
      <w:r>
        <w:t>.</w:t>
      </w:r>
      <w:r>
        <w:tab/>
        <w:t>Port transfer: preliminary requirements</w:t>
      </w:r>
      <w:bookmarkEnd w:id="193"/>
    </w:p>
    <w:p>
      <w:pPr>
        <w:pStyle w:val="ySubsection"/>
      </w:pPr>
      <w:r>
        <w:tab/>
        <w:t>(1)</w:t>
      </w:r>
      <w:r>
        <w:tab/>
        <w:t>Before the transfer time of a port transfer, an order is to be made and published under section 24(1) describing the area or areas of which the port is to consist.</w:t>
      </w:r>
    </w:p>
    <w:p>
      <w:pPr>
        <w:pStyle w:val="ySubsection"/>
      </w:pPr>
      <w:r>
        <w:tab/>
        <w:t>(2)</w:t>
      </w:r>
      <w:r>
        <w:tab/>
        <w:t xml:space="preserve">An area described in the order referred to in subclause (1) may be — </w:t>
      </w:r>
    </w:p>
    <w:p>
      <w:pPr>
        <w:pStyle w:val="yIndenta"/>
      </w:pPr>
      <w:r>
        <w:tab/>
        <w:t>(a)</w:t>
      </w:r>
      <w:r>
        <w:tab/>
        <w:t>land; or</w:t>
      </w:r>
    </w:p>
    <w:p>
      <w:pPr>
        <w:pStyle w:val="yIndenta"/>
      </w:pPr>
      <w:r>
        <w:lastRenderedPageBreak/>
        <w:tab/>
        <w:t>(b)</w:t>
      </w:r>
      <w:r>
        <w:tab/>
        <w:t>land and water; or</w:t>
      </w:r>
    </w:p>
    <w:p>
      <w:pPr>
        <w:pStyle w:val="yIndenta"/>
      </w:pPr>
      <w:r>
        <w:tab/>
        <w:t>(c)</w:t>
      </w:r>
      <w:r>
        <w:tab/>
        <w:t>land and seabed; or</w:t>
      </w:r>
    </w:p>
    <w:p>
      <w:pPr>
        <w:pStyle w:val="yIndenta"/>
      </w:pPr>
      <w:r>
        <w:tab/>
        <w:t>(d)</w:t>
      </w:r>
      <w:r>
        <w:tab/>
        <w:t>land, water and seabed; or</w:t>
      </w:r>
    </w:p>
    <w:p>
      <w:pPr>
        <w:pStyle w:val="yIndenta"/>
      </w:pPr>
      <w:r>
        <w:tab/>
        <w:t>(e)</w:t>
      </w:r>
      <w:r>
        <w:tab/>
        <w:t>water; or</w:t>
      </w:r>
    </w:p>
    <w:p>
      <w:pPr>
        <w:pStyle w:val="yIndenta"/>
      </w:pPr>
      <w:r>
        <w:tab/>
        <w:t>(f)</w:t>
      </w:r>
      <w:r>
        <w:tab/>
        <w:t>water and seabed; or</w:t>
      </w:r>
    </w:p>
    <w:p>
      <w:pPr>
        <w:pStyle w:val="yIndenta"/>
      </w:pPr>
      <w:r>
        <w:tab/>
        <w:t>(g)</w:t>
      </w:r>
      <w:r>
        <w:tab/>
        <w:t>seabed.</w:t>
      </w:r>
    </w:p>
    <w:p>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pPr>
        <w:pStyle w:val="ySubsection"/>
      </w:pPr>
      <w:r>
        <w:tab/>
        <w:t>(4)</w:t>
      </w:r>
      <w:r>
        <w:tab/>
        <w:t>The order referred to in subclause (1) comes into operation at the transfer time.</w:t>
      </w:r>
    </w:p>
    <w:p>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yFootnotesection"/>
      </w:pPr>
      <w:r>
        <w:tab/>
        <w:t>[Clause 54 inserted: No. 2 of 2019 s. 51.]</w:t>
      </w:r>
    </w:p>
    <w:p>
      <w:pPr>
        <w:pStyle w:val="yHeading5"/>
      </w:pPr>
      <w:bookmarkStart w:id="194" w:name="_Toc200368444"/>
      <w:r>
        <w:rPr>
          <w:rStyle w:val="CharSClsNo"/>
        </w:rPr>
        <w:t>55</w:t>
      </w:r>
      <w:r>
        <w:t>.</w:t>
      </w:r>
      <w:r>
        <w:tab/>
        <w:t>Port authority to implement and facilitate port transfer</w:t>
      </w:r>
      <w:bookmarkEnd w:id="194"/>
    </w:p>
    <w:p>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ySubsection"/>
      </w:pPr>
      <w:r>
        <w:tab/>
        <w:t>(3)</w:t>
      </w:r>
      <w:r>
        <w:tab/>
        <w:t>The functions conferred by this clause are in addition to any other function that the port authority has.</w:t>
      </w:r>
    </w:p>
    <w:p>
      <w:pPr>
        <w:pStyle w:val="yFootnotesection"/>
      </w:pPr>
      <w:r>
        <w:tab/>
        <w:t>[Clause 55 inserted: No. 2 of 2019 s. 51.]</w:t>
      </w:r>
    </w:p>
    <w:p>
      <w:pPr>
        <w:pStyle w:val="yHeading5"/>
      </w:pPr>
      <w:bookmarkStart w:id="195" w:name="_Toc200368445"/>
      <w:r>
        <w:rPr>
          <w:rStyle w:val="CharSClsNo"/>
        </w:rPr>
        <w:lastRenderedPageBreak/>
        <w:t>56</w:t>
      </w:r>
      <w:r>
        <w:t>.</w:t>
      </w:r>
      <w:r>
        <w:tab/>
        <w:t>Cessation of responsibility for port</w:t>
      </w:r>
      <w:bookmarkEnd w:id="195"/>
    </w:p>
    <w:p>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yFootnotesection"/>
      </w:pPr>
      <w:r>
        <w:tab/>
        <w:t>[Clause 56 inserted: No. 2 of 2019 s. 51.]</w:t>
      </w:r>
    </w:p>
    <w:p>
      <w:pPr>
        <w:pStyle w:val="yHeading5"/>
        <w:rPr>
          <w:highlight w:val="cyan"/>
        </w:rPr>
      </w:pPr>
      <w:bookmarkStart w:id="196" w:name="_Toc200368446"/>
      <w:r>
        <w:rPr>
          <w:rStyle w:val="CharSClsNo"/>
        </w:rPr>
        <w:t>57</w:t>
      </w:r>
      <w:r>
        <w:t>.</w:t>
      </w:r>
      <w:r>
        <w:tab/>
        <w:t>Vesting of land, seabed and water in port authority</w:t>
      </w:r>
      <w:bookmarkEnd w:id="196"/>
    </w:p>
    <w:p>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pPr>
        <w:pStyle w:val="yIndenta"/>
        <w:keepNext/>
      </w:pPr>
      <w:r>
        <w:tab/>
        <w:t>(a)</w:t>
      </w:r>
      <w:r>
        <w:tab/>
        <w:t>all land, seabed and water in the area or areas described in the order made and published for the port as required by clause 54(1);</w:t>
      </w:r>
    </w:p>
    <w:p>
      <w:pPr>
        <w:pStyle w:val="yIndenta"/>
      </w:pPr>
      <w:r>
        <w:tab/>
        <w:t>(b)</w:t>
      </w:r>
      <w:r>
        <w:tab/>
        <w:t>all fixtures on land or seabed referred to in paragraph (a) that belong to the State.</w:t>
      </w:r>
    </w:p>
    <w:p>
      <w:pPr>
        <w:pStyle w:val="ySubsection"/>
      </w:pPr>
      <w:r>
        <w:tab/>
        <w:t>(2)</w:t>
      </w:r>
      <w:r>
        <w:tab/>
        <w:t>The operation of subclause (1) is subject to clauses 60(4) and 62(1).</w:t>
      </w:r>
    </w:p>
    <w:p>
      <w:pPr>
        <w:pStyle w:val="ySubsection"/>
      </w:pPr>
      <w:r>
        <w:tab/>
        <w:t>(3)</w:t>
      </w:r>
      <w:r>
        <w:tab/>
        <w:t>Subclause (1) displaces the operation that section 25(1) would otherwise have had in relation to the port transfer.</w:t>
      </w:r>
    </w:p>
    <w:p>
      <w:pPr>
        <w:pStyle w:val="yFootnotesection"/>
      </w:pPr>
      <w:r>
        <w:tab/>
        <w:t>[Clause 57 inserted: No. 2 of 2019 s. 51.]</w:t>
      </w:r>
    </w:p>
    <w:p>
      <w:pPr>
        <w:pStyle w:val="yHeading5"/>
      </w:pPr>
      <w:bookmarkStart w:id="197" w:name="_Toc200368447"/>
      <w:r>
        <w:rPr>
          <w:rStyle w:val="CharSClsNo"/>
        </w:rPr>
        <w:t>58</w:t>
      </w:r>
      <w:r>
        <w:t>.</w:t>
      </w:r>
      <w:r>
        <w:tab/>
        <w:t>Minister may make transitional orders</w:t>
      </w:r>
      <w:bookmarkEnd w:id="197"/>
    </w:p>
    <w:p>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yIndenta"/>
      </w:pPr>
      <w:r>
        <w:tab/>
        <w:t>(a)</w:t>
      </w:r>
      <w:r>
        <w:tab/>
        <w:t>specify assets of the State that are to vest in, or become the property of, the port authority in addition to anything mentioned in clause 57(1); and</w:t>
      </w:r>
    </w:p>
    <w:p>
      <w:pPr>
        <w:pStyle w:val="yIndenta"/>
      </w:pPr>
      <w:r>
        <w:tab/>
        <w:t>(b)</w:t>
      </w:r>
      <w:r>
        <w:tab/>
        <w:t>specify liabilities of the State that are to become liabilities of the port authority; and</w:t>
      </w:r>
    </w:p>
    <w:p>
      <w:pPr>
        <w:pStyle w:val="yIndenta"/>
      </w:pPr>
      <w:r>
        <w:tab/>
        <w:t>(c)</w:t>
      </w:r>
      <w:r>
        <w:tab/>
        <w:t>specify anything that is not to vest in the port authority under clause 57(1); and</w:t>
      </w:r>
    </w:p>
    <w:p>
      <w:pPr>
        <w:pStyle w:val="yIndenta"/>
      </w:pPr>
      <w:r>
        <w:tab/>
        <w:t>(d)</w:t>
      </w:r>
      <w:r>
        <w:tab/>
        <w:t xml:space="preserve">specify any agreement or instrument in which the port authority, or the CEO, is to be substituted, in accordance with </w:t>
      </w:r>
      <w:r>
        <w:lastRenderedPageBreak/>
        <w:t>the order, for the State, the Transport Minister or the Transport CEO as a party; and</w:t>
      </w:r>
    </w:p>
    <w:p>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yIndenta"/>
      </w:pPr>
      <w:r>
        <w:tab/>
        <w:t>(h)</w:t>
      </w:r>
      <w:r>
        <w:tab/>
        <w:t>specify proceedings in which the port authority is to be substituted, in accordance with the order, for the State or the Transport Minister as a party.</w:t>
      </w:r>
    </w:p>
    <w:p>
      <w:pPr>
        <w:pStyle w:val="ySubsection"/>
      </w:pPr>
      <w:r>
        <w:tab/>
        <w:t>(2)</w:t>
      </w:r>
      <w:r>
        <w:tab/>
        <w:t xml:space="preserve">In a transitional order an asset of the State may be specified under subclause (1)(a) if the Minister considers that the asset — </w:t>
      </w:r>
    </w:p>
    <w:p>
      <w:pPr>
        <w:pStyle w:val="yIndenta"/>
      </w:pPr>
      <w:r>
        <w:tab/>
        <w:t>(a)</w:t>
      </w:r>
      <w:r>
        <w:tab/>
        <w:t>relates to, or was used in connection with, the administration or operation of the existing S&amp;P Act port; and</w:t>
      </w:r>
    </w:p>
    <w:p>
      <w:pPr>
        <w:pStyle w:val="yIndenta"/>
      </w:pPr>
      <w:r>
        <w:tab/>
        <w:t>(b)</w:t>
      </w:r>
      <w:r>
        <w:tab/>
        <w:t>should vest in, or become the property of, the port authority; and</w:t>
      </w:r>
    </w:p>
    <w:p>
      <w:pPr>
        <w:pStyle w:val="yIndenta"/>
      </w:pPr>
      <w:r>
        <w:tab/>
        <w:t>(c)</w:t>
      </w:r>
      <w:r>
        <w:tab/>
        <w:t>will not or might not otherwise be vested in the port authority under clause 57(1).</w:t>
      </w:r>
    </w:p>
    <w:p>
      <w:pPr>
        <w:pStyle w:val="ySubsection"/>
      </w:pPr>
      <w:r>
        <w:tab/>
        <w:t>(3)</w:t>
      </w:r>
      <w:r>
        <w:tab/>
        <w:t xml:space="preserve">In a transitional order a liability of the State may be specified under subclause (1)(b) if the Minister considers that the liability — </w:t>
      </w:r>
    </w:p>
    <w:p>
      <w:pPr>
        <w:pStyle w:val="yIndenta"/>
      </w:pPr>
      <w:r>
        <w:tab/>
        <w:t>(a)</w:t>
      </w:r>
      <w:r>
        <w:tab/>
        <w:t>relates to, or arose in connection with, the administration or operation of the existing S&amp;P Act port; and</w:t>
      </w:r>
    </w:p>
    <w:p>
      <w:pPr>
        <w:pStyle w:val="yIndenta"/>
      </w:pPr>
      <w:r>
        <w:tab/>
        <w:t>(b)</w:t>
      </w:r>
      <w:r>
        <w:tab/>
        <w:t>should become a liability of the port authority.</w:t>
      </w:r>
    </w:p>
    <w:p>
      <w:pPr>
        <w:pStyle w:val="ySubsection"/>
      </w:pPr>
      <w:r>
        <w:tab/>
        <w:t>(4)</w:t>
      </w:r>
      <w:r>
        <w:tab/>
        <w:t xml:space="preserve">A transitional order may — </w:t>
      </w:r>
    </w:p>
    <w:p>
      <w:pPr>
        <w:pStyle w:val="yIndenta"/>
      </w:pPr>
      <w:r>
        <w:tab/>
        <w:t>(a)</w:t>
      </w:r>
      <w:r>
        <w:tab/>
        <w:t>deal with incidental or supplementary matters; and</w:t>
      </w:r>
    </w:p>
    <w:p>
      <w:pPr>
        <w:pStyle w:val="yIndenta"/>
      </w:pPr>
      <w:r>
        <w:lastRenderedPageBreak/>
        <w:tab/>
        <w:t>(b)</w:t>
      </w:r>
      <w:r>
        <w:tab/>
        <w:t>clarify, or remove doubt as to, the operation of this Subdivision in relation to any specified matter or thing,</w:t>
      </w:r>
    </w:p>
    <w:p>
      <w:pPr>
        <w:pStyle w:val="ySubsection"/>
      </w:pPr>
      <w:r>
        <w:tab/>
      </w:r>
      <w:r>
        <w:tab/>
        <w:t>and has effect accordingly.</w:t>
      </w:r>
    </w:p>
    <w:p>
      <w:pPr>
        <w:pStyle w:val="ySubsection"/>
      </w:pPr>
      <w:r>
        <w:tab/>
        <w:t>(5)</w:t>
      </w:r>
      <w:r>
        <w:tab/>
        <w:t xml:space="preserve">A transitional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(6)</w:t>
      </w:r>
      <w:r>
        <w:tab/>
        <w:t>A thing may be specified in a transitional order by describing the class to which it belongs.</w:t>
      </w:r>
    </w:p>
    <w:p>
      <w:pPr>
        <w:pStyle w:val="ySubsection"/>
      </w:pPr>
      <w:r>
        <w:tab/>
        <w:t>(7)</w:t>
      </w:r>
      <w:r>
        <w:tab/>
        <w:t>Before a transitional order is made, the Transport CEO is to consult with the port authority as to the form and content of the order and any schedule to which it refers.</w:t>
      </w:r>
    </w:p>
    <w:p>
      <w:pPr>
        <w:pStyle w:val="ySubsection"/>
      </w:pPr>
      <w:r>
        <w:tab/>
        <w:t>(8)</w:t>
      </w:r>
      <w:r>
        <w:tab/>
        <w:t>Before a transitional order is made specifying anything by reference to a schedule, the Transport CEO is to consult with the relevant officials as to the form and content of the schedule.</w:t>
      </w:r>
    </w:p>
    <w:p>
      <w:pPr>
        <w:pStyle w:val="ySubsection"/>
      </w:pPr>
      <w:r>
        <w:tab/>
        <w:t>(9)</w:t>
      </w:r>
      <w:r>
        <w:tab/>
        <w:t>The Minister must obtain the written concurrence of the Agreements Minister before making a transitional order relating to a port named in section 50(1)(a) or (b) or (2)(a), (b), (c) or (e) of the amending Act.</w:t>
      </w:r>
    </w:p>
    <w:p>
      <w:pPr>
        <w:pStyle w:val="ySubsection"/>
      </w:pPr>
      <w:r>
        <w:tab/>
        <w:t>(10)</w:t>
      </w:r>
      <w:r>
        <w:tab/>
        <w:t>The Minister is to cause a copy of each transitional order and any schedule to which it refers to be delivered to the port authority and each relevant official.</w:t>
      </w:r>
    </w:p>
    <w:p>
      <w:pPr>
        <w:pStyle w:val="yFootnotesection"/>
      </w:pPr>
      <w:r>
        <w:tab/>
        <w:t>[Clause 58 inserted: No. 2 of 2019 s. 51.]</w:t>
      </w:r>
    </w:p>
    <w:p>
      <w:pPr>
        <w:pStyle w:val="yHeading5"/>
      </w:pPr>
      <w:bookmarkStart w:id="198" w:name="_Toc200368448"/>
      <w:r>
        <w:rPr>
          <w:rStyle w:val="CharSClsNo"/>
        </w:rPr>
        <w:t>59</w:t>
      </w:r>
      <w:r>
        <w:t>.</w:t>
      </w:r>
      <w:r>
        <w:tab/>
        <w:t>Amending transitional order</w:t>
      </w:r>
      <w:bookmarkEnd w:id="198"/>
    </w:p>
    <w:p>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yIndenta"/>
      </w:pPr>
      <w:r>
        <w:tab/>
        <w:t>(a)</w:t>
      </w:r>
      <w:r>
        <w:tab/>
        <w:t>correct any error or omission in a transitional order or a schedule to which a transitional order refers; or</w:t>
      </w:r>
    </w:p>
    <w:p>
      <w:pPr>
        <w:pStyle w:val="yIndenta"/>
      </w:pPr>
      <w:r>
        <w:tab/>
        <w:t>(b)</w:t>
      </w:r>
      <w:r>
        <w:tab/>
        <w:t>clarify, or remove doubt as to, the operation of a transitional order; or</w:t>
      </w:r>
    </w:p>
    <w:p>
      <w:pPr>
        <w:pStyle w:val="yIndenta"/>
      </w:pPr>
      <w:r>
        <w:lastRenderedPageBreak/>
        <w:tab/>
        <w:t>(c)</w:t>
      </w:r>
      <w:r>
        <w:tab/>
        <w:t>give proper effect to the purpose for which a transitional order was made.</w:t>
      </w:r>
    </w:p>
    <w:p>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yIndenta"/>
      </w:pPr>
      <w:r>
        <w:tab/>
        <w:t>(a)</w:t>
      </w:r>
      <w:r>
        <w:tab/>
        <w:t>to affect, in a manner prejudicial to any person (other than the State or a Minister, officer or agency of the State), the rights of that person existing before the day of publication; or</w:t>
      </w:r>
    </w:p>
    <w:p>
      <w:pPr>
        <w:pStyle w:val="yIndenta"/>
      </w:pPr>
      <w:r>
        <w:tab/>
        <w:t>(b)</w:t>
      </w:r>
      <w:r>
        <w:tab/>
        <w:t>to impose liabilities on any person (other than the State or a Minister, officer or agency of the State) in respect of anything done or omitted to be done before the day of publication.</w:t>
      </w:r>
    </w:p>
    <w:p>
      <w:pPr>
        <w:pStyle w:val="ySubsection"/>
      </w:pPr>
      <w:r>
        <w:tab/>
        <w:t>(6)</w:t>
      </w:r>
      <w:r>
        <w:tab/>
        <w:t>Clause 58(5) to (10) apply, with any necessary modifications, to an order under subclause (1) or (2).</w:t>
      </w:r>
    </w:p>
    <w:p>
      <w:pPr>
        <w:pStyle w:val="yFootnotesection"/>
      </w:pPr>
      <w:r>
        <w:tab/>
        <w:t>[Clause 59 inserted: No. 2 of 2019 s. 51.]</w:t>
      </w:r>
    </w:p>
    <w:p>
      <w:pPr>
        <w:pStyle w:val="yHeading5"/>
      </w:pPr>
      <w:bookmarkStart w:id="199" w:name="_Toc200368449"/>
      <w:r>
        <w:rPr>
          <w:rStyle w:val="CharSClsNo"/>
        </w:rPr>
        <w:t>60</w:t>
      </w:r>
      <w:r>
        <w:t>.</w:t>
      </w:r>
      <w:r>
        <w:tab/>
        <w:t>Provisions as to assets and liabilities</w:t>
      </w:r>
      <w:bookmarkEnd w:id="199"/>
    </w:p>
    <w:p>
      <w:pPr>
        <w:pStyle w:val="ySubsection"/>
      </w:pPr>
      <w:r>
        <w:tab/>
        <w:t>(1)</w:t>
      </w:r>
      <w:r>
        <w:tab/>
        <w:t xml:space="preserve">In this clause — </w:t>
      </w:r>
    </w:p>
    <w:p>
      <w:pPr>
        <w:pStyle w:val="yDefstart"/>
      </w:pPr>
      <w:r>
        <w:tab/>
      </w:r>
      <w:r>
        <w:rPr>
          <w:rStyle w:val="CharDefText"/>
        </w:rPr>
        <w:t>transferred assets</w:t>
      </w:r>
      <w:r>
        <w:t xml:space="preserve">, in relation to a port transfer, means — </w:t>
      </w:r>
    </w:p>
    <w:p>
      <w:pPr>
        <w:pStyle w:val="yDefpara"/>
      </w:pPr>
      <w:r>
        <w:tab/>
        <w:t>(a)</w:t>
      </w:r>
      <w:r>
        <w:tab/>
        <w:t>assets that vest in, or become the property of, the port authority under subclause (3)(a); and</w:t>
      </w:r>
    </w:p>
    <w:p>
      <w:pPr>
        <w:pStyle w:val="yDefpara"/>
      </w:pPr>
      <w:r>
        <w:tab/>
        <w:t>(b)</w:t>
      </w:r>
      <w:r>
        <w:tab/>
        <w:t>anything vested in the port authority under clause 57(1);</w:t>
      </w:r>
    </w:p>
    <w:p>
      <w:pPr>
        <w:pStyle w:val="yDefstart"/>
      </w:pPr>
      <w:r>
        <w:lastRenderedPageBreak/>
        <w:tab/>
      </w:r>
      <w:r>
        <w:rPr>
          <w:rStyle w:val="CharDefText"/>
        </w:rPr>
        <w:t>transferred liabilities</w:t>
      </w:r>
      <w:r>
        <w:t>, in relation to a port transfer, means liabilities that become liabilities of the port authority under subclause (3)(b).</w:t>
      </w:r>
    </w:p>
    <w:p>
      <w:pPr>
        <w:pStyle w:val="ySubsection"/>
      </w:pPr>
      <w:r>
        <w:tab/>
        <w:t>(2)</w:t>
      </w:r>
      <w:r>
        <w:tab/>
        <w:t>This clause applies if a transitional order is made in relation to a port transfer.</w:t>
      </w:r>
    </w:p>
    <w:p>
      <w:pPr>
        <w:pStyle w:val="ySubsection"/>
        <w:keepNext/>
      </w:pPr>
      <w:r>
        <w:tab/>
        <w:t>(3)</w:t>
      </w:r>
      <w:r>
        <w:tab/>
        <w:t xml:space="preserve">At the transfer time of the port transfer by force of this clause — </w:t>
      </w:r>
    </w:p>
    <w:p>
      <w:pPr>
        <w:pStyle w:val="yIndenta"/>
        <w:keepNext/>
      </w:pPr>
      <w:r>
        <w:tab/>
        <w:t>(a)</w:t>
      </w:r>
      <w:r>
        <w:tab/>
        <w:t>assets specified in the transitional order under clause 58(1)(a) vest in, or become the property of, the port authority in accordance with the order; and</w:t>
      </w:r>
    </w:p>
    <w:p>
      <w:pPr>
        <w:pStyle w:val="yIndenta"/>
      </w:pPr>
      <w:r>
        <w:tab/>
        <w:t>(b)</w:t>
      </w:r>
      <w:r>
        <w:tab/>
        <w:t>liabilities specified in the transitional order under clause 58(1)(b) become liabilities of the port authority.</w:t>
      </w:r>
    </w:p>
    <w:p>
      <w:pPr>
        <w:pStyle w:val="ySubsection"/>
      </w:pPr>
      <w:r>
        <w:tab/>
        <w:t>(4)</w:t>
      </w:r>
      <w:r>
        <w:tab/>
        <w:t>By force of this clause, anything specified in the transitional order under clause 58(1)(c) does not vest in the port authority under clause 57(1).</w:t>
      </w:r>
    </w:p>
    <w:p>
      <w:pPr>
        <w:pStyle w:val="ySubsection"/>
      </w:pPr>
      <w:r>
        <w:tab/>
        <w:t>(5)</w:t>
      </w:r>
      <w:r>
        <w:tab/>
        <w:t>At the transfer time of the port transfer any right of the State in relation to transferred assets or transferred liabilities becomes by force of this clause a right of the port authority.</w:t>
      </w:r>
    </w:p>
    <w:p>
      <w:pPr>
        <w:pStyle w:val="ySubsection"/>
      </w:pPr>
      <w:r>
        <w:tab/>
        <w:t>(6)</w:t>
      </w:r>
      <w:r>
        <w:tab/>
        <w:t xml:space="preserve">From the transfer time of the port transfer by force of this clause — </w:t>
      </w:r>
    </w:p>
    <w:p>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ySubsection"/>
      </w:pPr>
      <w:r>
        <w:tab/>
        <w:t>(7)</w:t>
      </w:r>
      <w:r>
        <w:tab/>
        <w:t>In determining the net profits of the port authority for the purposes of section 84, transferred assets are not to be regarded as income.</w:t>
      </w:r>
    </w:p>
    <w:p>
      <w:pPr>
        <w:pStyle w:val="ySubsection"/>
        <w:keepNext/>
      </w:pPr>
      <w:r>
        <w:lastRenderedPageBreak/>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pPr>
        <w:pStyle w:val="yIndenta"/>
        <w:keepNext/>
      </w:pPr>
      <w:r>
        <w:tab/>
        <w:t>(a)</w:t>
      </w:r>
      <w:r>
        <w:tab/>
        <w:t>the State is to be taken to continue to hold that transferred asset or be liable for that transferred liability until it is effectively assigned to the port authority; and</w:t>
      </w:r>
    </w:p>
    <w:p>
      <w:pPr>
        <w:pStyle w:val="yIndenta"/>
      </w:pPr>
      <w:r>
        <w:tab/>
        <w:t>(b)</w:t>
      </w:r>
      <w:r>
        <w:tab/>
        <w:t>the Transport Department is to take all practicable steps for the purpose of ensuring that the transferred asset or transferred liability is effectively assigned to the port authority.</w:t>
      </w:r>
    </w:p>
    <w:p>
      <w:pPr>
        <w:pStyle w:val="ySubsection"/>
      </w:pPr>
      <w:r>
        <w:tab/>
        <w:t>(9)</w:t>
      </w:r>
      <w:r>
        <w:tab/>
        <w:t>The fact that subclause (8)(a) applies to a transferred asset or transferred liability does not affect a duty imposed by section 90(2).</w:t>
      </w:r>
    </w:p>
    <w:p>
      <w:pPr>
        <w:pStyle w:val="ySubsection"/>
      </w:pPr>
      <w:r>
        <w:tab/>
        <w:t>(10)</w:t>
      </w:r>
      <w:r>
        <w:tab/>
        <w:t>By force of this clause, any previous vesting of a transferred asset under another written law ceases to have effect at the transfer time of the port transfer.</w:t>
      </w:r>
    </w:p>
    <w:p>
      <w:pPr>
        <w:pStyle w:val="yFootnotesection"/>
      </w:pPr>
      <w:r>
        <w:tab/>
        <w:t>[Clause 60 inserted: No. 2 of 2019 s. 51.]</w:t>
      </w:r>
    </w:p>
    <w:p>
      <w:pPr>
        <w:pStyle w:val="yHeading5"/>
      </w:pPr>
      <w:bookmarkStart w:id="200" w:name="_Toc200368450"/>
      <w:r>
        <w:rPr>
          <w:rStyle w:val="CharSClsNo"/>
        </w:rPr>
        <w:t>61</w:t>
      </w:r>
      <w:r>
        <w:t>.</w:t>
      </w:r>
      <w:r>
        <w:tab/>
        <w:t>Provisions as to agreements and proceedings</w:t>
      </w:r>
      <w:bookmarkEnd w:id="200"/>
    </w:p>
    <w:p>
      <w:pPr>
        <w:pStyle w:val="ySubsection"/>
      </w:pPr>
      <w:r>
        <w:tab/>
        <w:t>(1)</w:t>
      </w:r>
      <w:r>
        <w:tab/>
        <w:t xml:space="preserve">If a transitional order is made in relation to a port transfer then, by force of this clause — </w:t>
      </w:r>
    </w:p>
    <w:p>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yIndenta"/>
      </w:pPr>
      <w:r>
        <w:tab/>
        <w:t>(c)</w:t>
      </w:r>
      <w:r>
        <w:tab/>
        <w:t xml:space="preserve">from the transfer time of the port transfer an agreement, instrument or document specified in the order under clause 58(1)(f) has effect as if references to this Act or a </w:t>
      </w:r>
      <w:r>
        <w:lastRenderedPageBreak/>
        <w:t>provision of this Act were, at the transfer time, substituted in accordance with the order for references in it to another enactment; and</w:t>
      </w:r>
    </w:p>
    <w:p>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ySubsection"/>
      </w:pPr>
      <w:r>
        <w:tab/>
        <w:t>(3)</w:t>
      </w:r>
      <w:r>
        <w:tab/>
        <w:t>Subclause (2) has effect even if a</w:t>
      </w:r>
      <w:r>
        <w:rPr>
          <w:snapToGrid w:val="0"/>
        </w:rPr>
        <w:t xml:space="preserve"> lease or </w:t>
      </w:r>
      <w:r>
        <w:t>licence was granted for a period exceeding 50 years.</w:t>
      </w:r>
    </w:p>
    <w:p>
      <w:pPr>
        <w:pStyle w:val="yFootnotesection"/>
      </w:pPr>
      <w:r>
        <w:tab/>
        <w:t>[Clause 61 inserted: No. 2 of 2019 s. 51.]</w:t>
      </w:r>
    </w:p>
    <w:p>
      <w:pPr>
        <w:pStyle w:val="yHeading5"/>
      </w:pPr>
      <w:bookmarkStart w:id="201" w:name="_Toc200368451"/>
      <w:r>
        <w:rPr>
          <w:rStyle w:val="CharSClsNo"/>
        </w:rPr>
        <w:t>62</w:t>
      </w:r>
      <w:r>
        <w:t>.</w:t>
      </w:r>
      <w:r>
        <w:tab/>
        <w:t>Navigational aids</w:t>
      </w:r>
      <w:bookmarkEnd w:id="201"/>
    </w:p>
    <w:p>
      <w:pPr>
        <w:pStyle w:val="ySubsection"/>
      </w:pPr>
      <w:r>
        <w:tab/>
        <w:t>(1)</w:t>
      </w:r>
      <w:r>
        <w:tab/>
        <w:t>Clause 57(1) does not apply to navigational aids.</w:t>
      </w:r>
    </w:p>
    <w:p>
      <w:pPr>
        <w:pStyle w:val="ySubsection"/>
      </w:pPr>
      <w:r>
        <w:tab/>
        <w:t>(2)</w:t>
      </w:r>
      <w:r>
        <w:tab/>
        <w:t>Without limiting clause 58(2), a navigational aid in, or used in connection with, the existing S&amp;P Act port may be vested in the port authority by a transitional order.</w:t>
      </w:r>
    </w:p>
    <w:p>
      <w:pPr>
        <w:pStyle w:val="yFootnotesection"/>
      </w:pPr>
      <w:r>
        <w:tab/>
        <w:t>[Clause 62 inserted: No. 2 of 2019 s. 51.]</w:t>
      </w:r>
    </w:p>
    <w:p>
      <w:pPr>
        <w:pStyle w:val="yHeading5"/>
      </w:pPr>
      <w:bookmarkStart w:id="202" w:name="_Toc200368452"/>
      <w:r>
        <w:rPr>
          <w:rStyle w:val="CharSClsNo"/>
        </w:rPr>
        <w:t>63</w:t>
      </w:r>
      <w:r>
        <w:t>.</w:t>
      </w:r>
      <w:r>
        <w:tab/>
        <w:t>Harbour masters and deputy harbour masters</w:t>
      </w:r>
      <w:bookmarkEnd w:id="202"/>
    </w:p>
    <w:p>
      <w:pPr>
        <w:pStyle w:val="ySubsection"/>
      </w:pPr>
      <w:r>
        <w:tab/>
        <w:t>(1)</w:t>
      </w:r>
      <w:r>
        <w:tab/>
        <w:t xml:space="preserve">In this clause — </w:t>
      </w:r>
    </w:p>
    <w:p>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yDefstart"/>
      </w:pPr>
      <w:r>
        <w:lastRenderedPageBreak/>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pPr>
        <w:pStyle w:val="ySubsection"/>
      </w:pPr>
      <w:r>
        <w:tab/>
        <w:t>(3)</w:t>
      </w:r>
      <w:r>
        <w:tab/>
        <w:t>This clause does not apply to the harbour master or a deputy harbour master of the Port of Derby.</w:t>
      </w:r>
    </w:p>
    <w:p>
      <w:pPr>
        <w:pStyle w:val="yFootnotesection"/>
      </w:pPr>
      <w:r>
        <w:tab/>
        <w:t>[Clause 63 inserted: No. 2 of 2019 s. 51.]</w:t>
      </w:r>
    </w:p>
    <w:p>
      <w:pPr>
        <w:pStyle w:val="yHeading5"/>
      </w:pPr>
      <w:bookmarkStart w:id="203" w:name="_Toc200368453"/>
      <w:r>
        <w:rPr>
          <w:rStyle w:val="CharSClsNo"/>
        </w:rPr>
        <w:t>64</w:t>
      </w:r>
      <w:r>
        <w:t>.</w:t>
      </w:r>
      <w:r>
        <w:tab/>
        <w:t>Pilotage: existing licences</w:t>
      </w:r>
      <w:bookmarkEnd w:id="203"/>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ySubsection"/>
      </w:pPr>
      <w:r>
        <w:tab/>
        <w:t>(5)</w:t>
      </w:r>
      <w:r>
        <w:tab/>
        <w:t xml:space="preserve">The transitional approval continues to have effect until — </w:t>
      </w:r>
    </w:p>
    <w:p>
      <w:pPr>
        <w:pStyle w:val="yIndenta"/>
      </w:pPr>
      <w:r>
        <w:tab/>
        <w:t>(a)</w:t>
      </w:r>
      <w:r>
        <w:tab/>
        <w:t>the period for which the licence would have had effect ends; or</w:t>
      </w:r>
    </w:p>
    <w:p>
      <w:pPr>
        <w:pStyle w:val="yIndenta"/>
      </w:pPr>
      <w:r>
        <w:lastRenderedPageBreak/>
        <w:tab/>
        <w:t>(b)</w:t>
      </w:r>
      <w:r>
        <w:tab/>
        <w:t>the transitional approval is revoked under section 96(2); or</w:t>
      </w:r>
    </w:p>
    <w:p>
      <w:pPr>
        <w:pStyle w:val="yIndenta"/>
      </w:pPr>
      <w:r>
        <w:tab/>
        <w:t>(c)</w:t>
      </w:r>
      <w:r>
        <w:tab/>
        <w:t>the person concerned is approved as a pilot for the port under section 96(1); or</w:t>
      </w:r>
    </w:p>
    <w:p>
      <w:pPr>
        <w:pStyle w:val="yIndenta"/>
        <w:keepNext/>
      </w:pPr>
      <w:r>
        <w:tab/>
        <w:t>(d)</w:t>
      </w:r>
      <w:r>
        <w:tab/>
        <w:t>the period of 2 years beginning at the transfer time ends,</w:t>
      </w:r>
    </w:p>
    <w:p>
      <w:pPr>
        <w:pStyle w:val="ySubsection"/>
        <w:keepNext/>
      </w:pPr>
      <w:r>
        <w:tab/>
      </w:r>
      <w:r>
        <w:tab/>
        <w:t>whichever occurs first.</w:t>
      </w:r>
    </w:p>
    <w:p>
      <w:pPr>
        <w:pStyle w:val="ySubsection"/>
      </w:pPr>
      <w:r>
        <w:tab/>
        <w:t>(6)</w:t>
      </w:r>
      <w:r>
        <w:tab/>
        <w:t>Without limiting clause 70(1), its provisions apply if a transitional approval is revoked under section 96(2).</w:t>
      </w:r>
    </w:p>
    <w:p>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yFootnotesection"/>
      </w:pPr>
      <w:r>
        <w:tab/>
        <w:t>[Clause 64 inserted: No. 2 of 2019 s. 51.]</w:t>
      </w:r>
    </w:p>
    <w:p>
      <w:pPr>
        <w:pStyle w:val="yHeading5"/>
      </w:pPr>
      <w:bookmarkStart w:id="204" w:name="_Toc200368454"/>
      <w:r>
        <w:rPr>
          <w:rStyle w:val="CharSClsNo"/>
        </w:rPr>
        <w:t>65</w:t>
      </w:r>
      <w:r>
        <w:t>.</w:t>
      </w:r>
      <w:r>
        <w:tab/>
        <w:t>Pilotage: existing exemption certificates</w:t>
      </w:r>
      <w:bookmarkEnd w:id="204"/>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keepLines/>
      </w:pPr>
      <w:r>
        <w:lastRenderedPageBreak/>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ySubsection"/>
        <w:keepNext/>
      </w:pPr>
      <w:r>
        <w:tab/>
        <w:t>(5)</w:t>
      </w:r>
      <w:r>
        <w:tab/>
        <w:t xml:space="preserve">The transitional certificate continues to have effect until — </w:t>
      </w:r>
    </w:p>
    <w:p>
      <w:pPr>
        <w:pStyle w:val="yIndenta"/>
        <w:keepNext/>
      </w:pPr>
      <w:r>
        <w:tab/>
        <w:t>(a)</w:t>
      </w:r>
      <w:r>
        <w:tab/>
        <w:t>the transitional certificate expires under the regulations; or</w:t>
      </w:r>
    </w:p>
    <w:p>
      <w:pPr>
        <w:pStyle w:val="yIndenta"/>
        <w:keepNext/>
      </w:pPr>
      <w:r>
        <w:tab/>
        <w:t>(b)</w:t>
      </w:r>
      <w:r>
        <w:tab/>
        <w:t>the transitional certificate is revoked under the regulations; or</w:t>
      </w:r>
    </w:p>
    <w:p>
      <w:pPr>
        <w:pStyle w:val="yIndenta"/>
      </w:pPr>
      <w:r>
        <w:tab/>
        <w:t>(c)</w:t>
      </w:r>
      <w:r>
        <w:tab/>
        <w:t>a pilotage exemption certificate in respect of the port is issued to the holder of the transitional certificate under the regulations; or</w:t>
      </w:r>
    </w:p>
    <w:p>
      <w:pPr>
        <w:pStyle w:val="yIndenta"/>
      </w:pPr>
      <w:r>
        <w:tab/>
        <w:t>(d)</w:t>
      </w:r>
      <w:r>
        <w:tab/>
        <w:t>the period of 2 years beginning at the transfer time ends,</w:t>
      </w:r>
    </w:p>
    <w:p>
      <w:pPr>
        <w:pStyle w:val="ySubsection"/>
      </w:pPr>
      <w:r>
        <w:tab/>
      </w:r>
      <w:r>
        <w:tab/>
        <w:t>whichever occurs first.</w:t>
      </w:r>
    </w:p>
    <w:p>
      <w:pPr>
        <w:pStyle w:val="ySubsection"/>
      </w:pPr>
      <w:r>
        <w:tab/>
        <w:t>(6)</w:t>
      </w:r>
      <w:r>
        <w:tab/>
        <w:t>Without limiting clause 70(1), its provisions apply if a transitional certificate is revoked under the regulations.</w:t>
      </w:r>
    </w:p>
    <w:p>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yFootnotesection"/>
      </w:pPr>
      <w:r>
        <w:tab/>
        <w:t>[Clause 65 inserted: No. 2 of 2019 s. 51.]</w:t>
      </w:r>
    </w:p>
    <w:p>
      <w:pPr>
        <w:pStyle w:val="yHeading5"/>
      </w:pPr>
      <w:bookmarkStart w:id="205" w:name="_Toc200368455"/>
      <w:r>
        <w:rPr>
          <w:rStyle w:val="CharSClsNo"/>
        </w:rPr>
        <w:t>66</w:t>
      </w:r>
      <w:r>
        <w:t>.</w:t>
      </w:r>
      <w:r>
        <w:tab/>
        <w:t>Jetty licences</w:t>
      </w:r>
      <w:bookmarkEnd w:id="205"/>
    </w:p>
    <w:p>
      <w:pPr>
        <w:pStyle w:val="ySubsection"/>
      </w:pPr>
      <w:r>
        <w:tab/>
        <w:t>(1)</w:t>
      </w:r>
      <w:r>
        <w:tab/>
        <w:t xml:space="preserve">In this clause — </w:t>
      </w:r>
    </w:p>
    <w:p>
      <w:pPr>
        <w:pStyle w:val="yDefstart"/>
      </w:pPr>
      <w:r>
        <w:tab/>
      </w:r>
      <w:r>
        <w:rPr>
          <w:rStyle w:val="CharDefText"/>
        </w:rPr>
        <w:t>continued licence</w:t>
      </w:r>
      <w:r>
        <w:t xml:space="preserve"> means a jetty licence to which subclause (9) applies;</w:t>
      </w:r>
    </w:p>
    <w:p>
      <w:pPr>
        <w:pStyle w:val="yDefstart"/>
      </w:pPr>
      <w:r>
        <w:tab/>
      </w:r>
      <w:r>
        <w:rPr>
          <w:rStyle w:val="CharDefText"/>
        </w:rPr>
        <w:t>converted licence</w:t>
      </w:r>
      <w:r>
        <w:t xml:space="preserve"> means a jetty licence to which subclause (5) applies;</w:t>
      </w:r>
    </w:p>
    <w:p>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yDefstart"/>
      </w:pPr>
      <w:r>
        <w:tab/>
      </w:r>
      <w:r>
        <w:rPr>
          <w:rStyle w:val="CharDefText"/>
        </w:rPr>
        <w:t>jetty</w:t>
      </w:r>
      <w:r>
        <w:t xml:space="preserve"> has the meaning given in the </w:t>
      </w:r>
      <w:r>
        <w:rPr>
          <w:i/>
        </w:rPr>
        <w:t>Jetties Act 1926</w:t>
      </w:r>
      <w:r>
        <w:t xml:space="preserve"> section 3;</w:t>
      </w:r>
    </w:p>
    <w:p>
      <w:pPr>
        <w:pStyle w:val="yDefstart"/>
        <w:keepNext/>
      </w:pPr>
      <w:r>
        <w:lastRenderedPageBreak/>
        <w:tab/>
      </w:r>
      <w:r>
        <w:rPr>
          <w:rStyle w:val="CharDefText"/>
        </w:rPr>
        <w:t>jetty licence</w:t>
      </w:r>
      <w:r>
        <w:t xml:space="preserve"> means a licence granted under the </w:t>
      </w:r>
      <w:r>
        <w:rPr>
          <w:i/>
        </w:rPr>
        <w:t>Jetties Act 1926</w:t>
      </w:r>
      <w:r>
        <w:t>;</w:t>
      </w:r>
    </w:p>
    <w:p>
      <w:pPr>
        <w:pStyle w:val="yDefstart"/>
      </w:pPr>
      <w:r>
        <w:tab/>
      </w:r>
      <w:r>
        <w:rPr>
          <w:rStyle w:val="CharDefText"/>
        </w:rPr>
        <w:t>licensee</w:t>
      </w:r>
      <w:r>
        <w:t xml:space="preserve"> includes sub</w:t>
      </w:r>
      <w:r>
        <w:noBreakHyphen/>
        <w:t>licensee.</w:t>
      </w:r>
    </w:p>
    <w:p>
      <w:pPr>
        <w:pStyle w:val="ySubsection"/>
        <w:keepNext/>
      </w:pPr>
      <w:r>
        <w:tab/>
        <w:t>(2)</w:t>
      </w:r>
      <w:r>
        <w:tab/>
        <w:t xml:space="preserve">Subject to subclause (3) if — </w:t>
      </w:r>
    </w:p>
    <w:p>
      <w:pPr>
        <w:pStyle w:val="yIndenta"/>
      </w:pPr>
      <w:r>
        <w:tab/>
        <w:t>(a)</w:t>
      </w:r>
      <w:r>
        <w:tab/>
        <w:t>immediately before the transfer time of a port transfer, an existing jetty was the subject of a jetty licence; and</w:t>
      </w:r>
    </w:p>
    <w:p>
      <w:pPr>
        <w:pStyle w:val="yIndenta"/>
        <w:keepNext/>
      </w:pPr>
      <w:r>
        <w:tab/>
        <w:t>(b)</w:t>
      </w:r>
      <w:r>
        <w:tab/>
        <w:t>from the transfer time the existing jetty is wholly on port land,</w:t>
      </w:r>
    </w:p>
    <w:p>
      <w:pPr>
        <w:pStyle w:val="ySubsection"/>
        <w:keepNext/>
      </w:pPr>
      <w:r>
        <w:tab/>
      </w:r>
      <w:r>
        <w:tab/>
        <w:t>subclause (5) applies to the jetty licence.</w:t>
      </w:r>
    </w:p>
    <w:p>
      <w:pPr>
        <w:pStyle w:val="ySubsection"/>
      </w:pPr>
      <w:r>
        <w:tab/>
        <w:t>(3)</w:t>
      </w:r>
      <w:r>
        <w:tab/>
        <w:t>If the port is a port named in section 50(1)(a) or (b) or (2)(a), (b), (c) or (e) of the amending Act, subclause (5) does not apply to the jetty licence unless transitional regulations provide that it does.</w:t>
      </w:r>
    </w:p>
    <w:p>
      <w:pPr>
        <w:pStyle w:val="ySubsection"/>
      </w:pPr>
      <w:r>
        <w:tab/>
        <w:t>(4)</w:t>
      </w:r>
      <w:r>
        <w:tab/>
        <w:t>Regulations cannot be made for subclause (3) except with the written concurrence of the Agreements Minister.</w:t>
      </w:r>
    </w:p>
    <w:p>
      <w:pPr>
        <w:pStyle w:val="ySubsection"/>
      </w:pPr>
      <w:r>
        <w:tab/>
        <w:t>(5)</w:t>
      </w:r>
      <w:r>
        <w:tab/>
        <w:t xml:space="preserve">If this subclause applies to a jetty licence — </w:t>
      </w:r>
    </w:p>
    <w:p>
      <w:pPr>
        <w:pStyle w:val="yIndenta"/>
      </w:pPr>
      <w:r>
        <w:tab/>
        <w:t>(a)</w:t>
      </w:r>
      <w:r>
        <w:tab/>
        <w:t xml:space="preserve">at the transfer time the licence ceases to be a licence under the </w:t>
      </w:r>
      <w:r>
        <w:rPr>
          <w:i/>
        </w:rPr>
        <w:t>Jetties Act 1926</w:t>
      </w:r>
      <w:r>
        <w:t>; and</w:t>
      </w:r>
    </w:p>
    <w:p>
      <w:pPr>
        <w:pStyle w:val="yIndenta"/>
      </w:pPr>
      <w:r>
        <w:tab/>
        <w:t>(b)</w:t>
      </w:r>
      <w:r>
        <w:tab/>
        <w:t>at the transfer time the port authority is substituted for the Transport Minister or the Transport CEO (as the case may be) as the grantor of the licence; and</w:t>
      </w:r>
    </w:p>
    <w:p>
      <w:pPr>
        <w:pStyle w:val="yIndenta"/>
      </w:pPr>
      <w:r>
        <w:tab/>
        <w:t>(c)</w:t>
      </w:r>
      <w:r>
        <w:tab/>
        <w:t>from the transfer time the licence is to be taken to have been granted under this Act with any approval needed under this Act even if the licence was granted for a period exceeding 50 years.</w:t>
      </w:r>
    </w:p>
    <w:p>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ySubsection"/>
      </w:pPr>
      <w:r>
        <w:tab/>
        <w:t>(7)</w:t>
      </w:r>
      <w:r>
        <w:tab/>
        <w:t>If the port is a port named in section 50(1)(a) or (b) or (2)(a), (b), (c) or (e) of the amending Act, transitional regulations cannot be made for subclause (6) except with the written concurrence of the Agreements Minister.</w:t>
      </w:r>
    </w:p>
    <w:p>
      <w:pPr>
        <w:pStyle w:val="ySubsection"/>
        <w:keepNext/>
      </w:pPr>
      <w:r>
        <w:lastRenderedPageBreak/>
        <w:tab/>
        <w:t>(8)</w:t>
      </w:r>
      <w:r>
        <w:tab/>
        <w:t>Subclause (9) does not apply to a jetty licence if subclause (5) applies to it.</w:t>
      </w:r>
    </w:p>
    <w:p>
      <w:pPr>
        <w:pStyle w:val="ySubsection"/>
        <w:keepNext/>
      </w:pPr>
      <w:r>
        <w:tab/>
        <w:t>(9)</w:t>
      </w:r>
      <w:r>
        <w:tab/>
        <w:t xml:space="preserve">If this subclause applies to a jetty licence — </w:t>
      </w:r>
    </w:p>
    <w:p>
      <w:pPr>
        <w:pStyle w:val="yIndenta"/>
      </w:pPr>
      <w:r>
        <w:tab/>
        <w:t>(a)</w:t>
      </w:r>
      <w:r>
        <w:tab/>
        <w:t xml:space="preserve">the licence continues in force from the transfer time as a licence under the </w:t>
      </w:r>
      <w:r>
        <w:rPr>
          <w:i/>
        </w:rPr>
        <w:t>Jetties Act 1926</w:t>
      </w:r>
      <w:r>
        <w:t>; and</w:t>
      </w:r>
    </w:p>
    <w:p>
      <w:pPr>
        <w:pStyle w:val="yIndenta"/>
      </w:pPr>
      <w:r>
        <w:tab/>
        <w:t>(b)</w:t>
      </w:r>
      <w:r>
        <w:tab/>
        <w:t xml:space="preserve">from the transfer time any power exercisable by, or in relation to, the grantor of the licence, whether — </w:t>
      </w:r>
    </w:p>
    <w:p>
      <w:pPr>
        <w:pStyle w:val="yIndenti0"/>
      </w:pPr>
      <w:r>
        <w:tab/>
        <w:t>(i)</w:t>
      </w:r>
      <w:r>
        <w:tab/>
        <w:t>under the licence; or</w:t>
      </w:r>
    </w:p>
    <w:p>
      <w:pPr>
        <w:pStyle w:val="yIndenti0"/>
      </w:pPr>
      <w:r>
        <w:tab/>
        <w:t>(ii)</w:t>
      </w:r>
      <w:r>
        <w:tab/>
        <w:t xml:space="preserve">under the </w:t>
      </w:r>
      <w:r>
        <w:rPr>
          <w:i/>
        </w:rPr>
        <w:t>Jetties Act 1926</w:t>
      </w:r>
      <w:r>
        <w:t xml:space="preserve"> in relation to the licence,</w:t>
      </w:r>
    </w:p>
    <w:p>
      <w:pPr>
        <w:pStyle w:val="yIndenta"/>
      </w:pPr>
      <w:r>
        <w:tab/>
      </w:r>
      <w:r>
        <w:tab/>
        <w:t>is exercisable by, or in relation to, the port authority instead of the grantor of the licence; and</w:t>
      </w:r>
    </w:p>
    <w:p>
      <w:pPr>
        <w:pStyle w:val="yIndenta"/>
      </w:pPr>
      <w:r>
        <w:tab/>
        <w:t>(c)</w:t>
      </w:r>
      <w:r>
        <w:tab/>
        <w:t>after the transfer time the port authority may, at the request or with the agreement of the holder of the licence, renew or vary the licence under that Act; and</w:t>
      </w:r>
    </w:p>
    <w:p>
      <w:pPr>
        <w:pStyle w:val="yIndenta"/>
      </w:pPr>
      <w:r>
        <w:tab/>
        <w:t>(d)</w:t>
      </w:r>
      <w:r>
        <w:tab/>
        <w:t>from the transfer time the functions of the port authority are to be taken to extend to the exercise of powers for the purposes of this subclause.</w:t>
      </w:r>
    </w:p>
    <w:p>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yIndenta"/>
      </w:pPr>
      <w:r>
        <w:tab/>
        <w:t>(a)</w:t>
      </w:r>
      <w:r>
        <w:tab/>
        <w:t>compliance by the port authority with a requirement under this Act; or</w:t>
      </w:r>
    </w:p>
    <w:p>
      <w:pPr>
        <w:pStyle w:val="yIndenta"/>
      </w:pPr>
      <w:r>
        <w:tab/>
        <w:t>(b)</w:t>
      </w:r>
      <w:r>
        <w:tab/>
        <w:t>performance by the port authority of its functions.</w:t>
      </w:r>
    </w:p>
    <w:p>
      <w:pPr>
        <w:pStyle w:val="ySubsection"/>
      </w:pPr>
      <w:r>
        <w:tab/>
        <w:t>(11)</w:t>
      </w:r>
      <w:r>
        <w:tab/>
        <w:t>Without limiting clause 58, an order may be made under clause 58(1)(e), (f) or (g) or (4) in relation to a converted licence or a continued licence.</w:t>
      </w:r>
    </w:p>
    <w:p>
      <w:pPr>
        <w:pStyle w:val="yFootnotesection"/>
      </w:pPr>
      <w:r>
        <w:tab/>
        <w:t>[Clause 66 inserted: No. 2 of 2019 s. 51.]</w:t>
      </w:r>
    </w:p>
    <w:p>
      <w:pPr>
        <w:pStyle w:val="yHeading4"/>
      </w:pPr>
      <w:bookmarkStart w:id="206" w:name="_Toc200368456"/>
      <w:r>
        <w:lastRenderedPageBreak/>
        <w:t>Subdivision 3</w:t>
      </w:r>
      <w:r>
        <w:rPr>
          <w:b w:val="0"/>
        </w:rPr>
        <w:t> — </w:t>
      </w:r>
      <w:r>
        <w:t>General provisions</w:t>
      </w:r>
      <w:bookmarkEnd w:id="206"/>
    </w:p>
    <w:p>
      <w:pPr>
        <w:pStyle w:val="yFootnoteheading"/>
        <w:keepNext/>
        <w:spacing w:after="120"/>
      </w:pPr>
      <w:r>
        <w:tab/>
        <w:t>[Heading inserted: No. 2 of 2019 s. 51.]</w:t>
      </w:r>
    </w:p>
    <w:p>
      <w:pPr>
        <w:pStyle w:val="yHeading5"/>
      </w:pPr>
      <w:bookmarkStart w:id="207" w:name="_Toc200368457"/>
      <w:r>
        <w:rPr>
          <w:rStyle w:val="CharSClsNo"/>
        </w:rPr>
        <w:t>67</w:t>
      </w:r>
      <w:r>
        <w:t>.</w:t>
      </w:r>
      <w:r>
        <w:tab/>
        <w:t>Registration of documents</w:t>
      </w:r>
      <w:bookmarkEnd w:id="207"/>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67 inserted: No. 2 of 2019 s. 51.]</w:t>
      </w:r>
    </w:p>
    <w:p>
      <w:pPr>
        <w:pStyle w:val="yHeading5"/>
      </w:pPr>
      <w:bookmarkStart w:id="208" w:name="_Toc200368458"/>
      <w:r>
        <w:rPr>
          <w:rStyle w:val="CharSClsNo"/>
        </w:rPr>
        <w:t>68</w:t>
      </w:r>
      <w:r>
        <w:t>.</w:t>
      </w:r>
      <w:r>
        <w:tab/>
        <w:t>Exemption from State taxes</w:t>
      </w:r>
      <w:bookmarkEnd w:id="208"/>
    </w:p>
    <w:p>
      <w:pPr>
        <w:pStyle w:val="ySubsection"/>
      </w:pPr>
      <w:r>
        <w:tab/>
        <w:t>(1)</w:t>
      </w:r>
      <w:r>
        <w:tab/>
        <w:t xml:space="preserve">In this clause — </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Subsection"/>
      </w:pPr>
      <w:r>
        <w:tab/>
        <w:t>(2)</w:t>
      </w:r>
      <w:r>
        <w:tab/>
        <w:t xml:space="preserve">State tax is not payable in relation to — </w:t>
      </w:r>
    </w:p>
    <w:p>
      <w:pPr>
        <w:pStyle w:val="yIndenta"/>
      </w:pPr>
      <w:r>
        <w:tab/>
        <w:t>(a)</w:t>
      </w:r>
      <w:r>
        <w:tab/>
        <w:t>anything that occurs by force or because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68 inserted: No. 2 of 2019 s. 51.]</w:t>
      </w:r>
    </w:p>
    <w:p>
      <w:pPr>
        <w:pStyle w:val="yHeading5"/>
      </w:pPr>
      <w:bookmarkStart w:id="209" w:name="_Toc200368459"/>
      <w:r>
        <w:rPr>
          <w:rStyle w:val="CharSClsNo"/>
        </w:rPr>
        <w:t>69</w:t>
      </w:r>
      <w:r>
        <w:t>.</w:t>
      </w:r>
      <w:r>
        <w:tab/>
        <w:t>Transitional regulations</w:t>
      </w:r>
      <w:bookmarkEnd w:id="209"/>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Minister, the Transport Department, the Transport CEO or a port authority, to provide for, implement or facilitate a port transfer; and</w:t>
      </w:r>
    </w:p>
    <w:p>
      <w:pPr>
        <w:pStyle w:val="yIndenta"/>
      </w:pPr>
      <w:r>
        <w:tab/>
        <w:t>(b)</w:t>
      </w:r>
      <w:r>
        <w:tab/>
        <w:t>anything necessary or expedient to be prescribed for providing for a matter or issue of a transitional nature that arises in relation to a port transfer.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lastRenderedPageBreak/>
        <w:tab/>
        <w:t>(b)</w:t>
      </w:r>
      <w:r>
        <w:tab/>
        <w:t>apply with specific modifications to or in relation to any matter.</w:t>
      </w:r>
    </w:p>
    <w:p>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ySubsection"/>
      </w:pPr>
      <w:r>
        <w:tab/>
        <w:t>(4)</w:t>
      </w:r>
      <w:r>
        <w:tab/>
        <w:t xml:space="preserve">If transitional regulations contain a provision referred to in subclause (3),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69 inserted: No. 2 of 2019 s. 51.]</w:t>
      </w:r>
    </w:p>
    <w:p>
      <w:pPr>
        <w:pStyle w:val="yHeading5"/>
      </w:pPr>
      <w:bookmarkStart w:id="210" w:name="_Toc200368460"/>
      <w:r>
        <w:rPr>
          <w:rStyle w:val="CharSClsNo"/>
        </w:rPr>
        <w:t>70</w:t>
      </w:r>
      <w:r>
        <w:t>.</w:t>
      </w:r>
      <w:r>
        <w:tab/>
        <w:t>Saving</w:t>
      </w:r>
      <w:bookmarkEnd w:id="210"/>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lastRenderedPageBreak/>
        <w:tab/>
        <w:t>(2)</w:t>
      </w:r>
      <w:r>
        <w:tab/>
        <w:t xml:space="preserve">This Division and transitional regulations are additional to any relevant provisions of the </w:t>
      </w:r>
      <w:r>
        <w:rPr>
          <w:i/>
        </w:rPr>
        <w:t>Interpretation Act 1984</w:t>
      </w:r>
      <w:r>
        <w:t>.</w:t>
      </w:r>
    </w:p>
    <w:p>
      <w:pPr>
        <w:pStyle w:val="yFootnotesection"/>
      </w:pPr>
      <w:r>
        <w:tab/>
        <w:t>[Clause 70 inserted: No. 2 of 2019 s. 51.]</w:t>
      </w:r>
    </w:p>
    <w:p>
      <w:pPr>
        <w:pStyle w:val="yHeading5"/>
      </w:pPr>
      <w:bookmarkStart w:id="211" w:name="_Toc200368461"/>
      <w:r>
        <w:rPr>
          <w:rStyle w:val="CharSClsNo"/>
        </w:rPr>
        <w:t>71</w:t>
      </w:r>
      <w:r>
        <w:t>.</w:t>
      </w:r>
      <w:r>
        <w:tab/>
        <w:t>Effect of affecting provisions</w:t>
      </w:r>
      <w:bookmarkEnd w:id="211"/>
    </w:p>
    <w:p>
      <w:pPr>
        <w:pStyle w:val="ySubsection"/>
      </w:pPr>
      <w:r>
        <w:tab/>
      </w:r>
      <w:r>
        <w:tab/>
        <w:t>Subject to clauses 74 and 75, the affecting provisions have effect despite any provision of this Act or another written law.</w:t>
      </w:r>
    </w:p>
    <w:p>
      <w:pPr>
        <w:pStyle w:val="yFootnotesection"/>
      </w:pPr>
      <w:r>
        <w:tab/>
        <w:t>[Clause 71 inserted: No. 2 of 2019 s. 51.]</w:t>
      </w:r>
    </w:p>
    <w:p>
      <w:pPr>
        <w:pStyle w:val="yHeading5"/>
      </w:pPr>
      <w:bookmarkStart w:id="212" w:name="_Toc200368462"/>
      <w:r>
        <w:rPr>
          <w:rStyle w:val="CharSClsNo"/>
        </w:rPr>
        <w:t>72</w:t>
      </w:r>
      <w:r>
        <w:t>.</w:t>
      </w:r>
      <w:r>
        <w:tab/>
        <w:t>No exclusion of operation of affecting provisions</w:t>
      </w:r>
      <w:bookmarkEnd w:id="212"/>
    </w:p>
    <w:p>
      <w:pPr>
        <w:pStyle w:val="ySubsection"/>
      </w:pPr>
      <w:r>
        <w:tab/>
      </w:r>
      <w:r>
        <w:tab/>
        <w:t>A provision of an agreement or instrument that purports to in any way exclude the agreement or instrument from the operation of future legislation has no effect in relation to the affecting provisions.</w:t>
      </w:r>
    </w:p>
    <w:p>
      <w:pPr>
        <w:pStyle w:val="yFootnotesection"/>
      </w:pPr>
      <w:r>
        <w:tab/>
        <w:t>[Clause 72 inserted: No. 2 of 2019 s. 51.]</w:t>
      </w:r>
    </w:p>
    <w:p>
      <w:pPr>
        <w:pStyle w:val="yHeading5"/>
      </w:pPr>
      <w:bookmarkStart w:id="213" w:name="_Toc200368463"/>
      <w:r>
        <w:rPr>
          <w:rStyle w:val="CharSClsNo"/>
        </w:rPr>
        <w:t>73</w:t>
      </w:r>
      <w:r>
        <w:t>.</w:t>
      </w:r>
      <w:r>
        <w:tab/>
        <w:t>Effect of continued easements, leases and licences</w:t>
      </w:r>
      <w:bookmarkEnd w:id="213"/>
    </w:p>
    <w:p>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ySubsection"/>
      </w:pPr>
      <w:r>
        <w:tab/>
        <w:t>(4)</w:t>
      </w:r>
      <w:r>
        <w:tab/>
        <w:t>Subclause (2) does not affect the operation of clause 66(9) or (10).</w:t>
      </w:r>
    </w:p>
    <w:p>
      <w:pPr>
        <w:pStyle w:val="yFootnotesection"/>
      </w:pPr>
      <w:r>
        <w:tab/>
        <w:t>[Clause 73 inserted: No. 2 of 2019 s. 51.]</w:t>
      </w:r>
    </w:p>
    <w:p>
      <w:pPr>
        <w:pStyle w:val="yHeading5"/>
      </w:pPr>
      <w:bookmarkStart w:id="214" w:name="_Toc200368464"/>
      <w:r>
        <w:rPr>
          <w:rStyle w:val="CharSClsNo"/>
        </w:rPr>
        <w:t>74</w:t>
      </w:r>
      <w:r>
        <w:t>.</w:t>
      </w:r>
      <w:r>
        <w:tab/>
        <w:t>Government agreements not affected</w:t>
      </w:r>
      <w:bookmarkEnd w:id="214"/>
    </w:p>
    <w:p>
      <w:pPr>
        <w:pStyle w:val="ySubsection"/>
      </w:pPr>
      <w:r>
        <w:tab/>
      </w:r>
      <w:r>
        <w:tab/>
        <w:t>The affecting provisions do not prejudice or in any way affect any right or obligation of a party to a Government agreement.</w:t>
      </w:r>
    </w:p>
    <w:p>
      <w:pPr>
        <w:pStyle w:val="yFootnotesection"/>
      </w:pPr>
      <w:r>
        <w:tab/>
        <w:t>[Clause 74 inserted: No. 2 of 2019 s. 51.]</w:t>
      </w:r>
    </w:p>
    <w:p>
      <w:pPr>
        <w:pStyle w:val="yHeading5"/>
      </w:pPr>
      <w:bookmarkStart w:id="215" w:name="_Toc200368465"/>
      <w:r>
        <w:rPr>
          <w:rStyle w:val="CharSClsNo"/>
        </w:rPr>
        <w:lastRenderedPageBreak/>
        <w:t>75</w:t>
      </w:r>
      <w:r>
        <w:t>.</w:t>
      </w:r>
      <w:r>
        <w:tab/>
        <w:t>Preservation of mining, petroleum and other rights</w:t>
      </w:r>
      <w:bookmarkEnd w:id="215"/>
    </w:p>
    <w:p>
      <w:pPr>
        <w:pStyle w:val="ySubsection"/>
      </w:pPr>
      <w:r>
        <w:tab/>
        <w:t>(1)</w:t>
      </w:r>
      <w:r>
        <w:tab/>
        <w:t xml:space="preserve">In this clause — </w:t>
      </w:r>
    </w:p>
    <w:p>
      <w:pPr>
        <w:pStyle w:val="yDefstart"/>
      </w:pPr>
      <w:r>
        <w:tab/>
      </w:r>
      <w:r>
        <w:rPr>
          <w:rStyle w:val="CharDefText"/>
        </w:rPr>
        <w:t>authorisation</w:t>
      </w:r>
      <w:r>
        <w:t xml:space="preserve"> means — </w:t>
      </w:r>
    </w:p>
    <w:p>
      <w:pPr>
        <w:pStyle w:val="yDefpara"/>
      </w:pPr>
      <w:r>
        <w:tab/>
        <w:t>(a)</w:t>
      </w:r>
      <w:r>
        <w:tab/>
        <w:t xml:space="preserve">a mining tenement as defined in the </w:t>
      </w:r>
      <w:r>
        <w:rPr>
          <w:i/>
        </w:rPr>
        <w:t>Mining Act 1978</w:t>
      </w:r>
      <w:r>
        <w:t xml:space="preserve"> section 8(1); or</w:t>
      </w:r>
    </w:p>
    <w:p>
      <w:pPr>
        <w:pStyle w:val="yDefpara"/>
      </w:pPr>
      <w:r>
        <w:tab/>
        <w:t>(b)</w:t>
      </w:r>
      <w:r>
        <w:tab/>
        <w:t xml:space="preserve">an authority to occupy or right of occupancy of any land to which the </w:t>
      </w:r>
      <w:r>
        <w:rPr>
          <w:i/>
        </w:rPr>
        <w:t>Mining Act 1978</w:t>
      </w:r>
      <w:r>
        <w:t xml:space="preserve"> Second Schedule clause 1(1) applies; or</w:t>
      </w:r>
    </w:p>
    <w:p>
      <w:pPr>
        <w:pStyle w:val="yDefpara"/>
      </w:pPr>
      <w:r>
        <w:tab/>
        <w:t>(c)</w:t>
      </w:r>
      <w:r>
        <w:tab/>
        <w:t xml:space="preserve">an exploration licence, retention licence, mining licence, works licence, special purpose consent or other right under the </w:t>
      </w:r>
      <w:r>
        <w:rPr>
          <w:i/>
        </w:rPr>
        <w:t>Offshore Minerals Act 2003</w:t>
      </w:r>
      <w:r>
        <w:t>; or</w:t>
      </w:r>
    </w:p>
    <w:p>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yDefpara"/>
      </w:pPr>
      <w:r>
        <w:tab/>
        <w:t>(e)</w:t>
      </w:r>
      <w:r>
        <w:tab/>
        <w:t>any other authorisation of a kind provided for under a written law and prescribed for this paragraph by transitional regulations.</w:t>
      </w:r>
    </w:p>
    <w:p>
      <w:pPr>
        <w:pStyle w:val="ySubsection"/>
      </w:pPr>
      <w:r>
        <w:tab/>
        <w:t>(2)</w:t>
      </w:r>
      <w:r>
        <w:tab/>
        <w:t xml:space="preserve">Without limiting clause 74, the affecting provisions as they apply to a port transfer do not — </w:t>
      </w:r>
    </w:p>
    <w:p>
      <w:pPr>
        <w:pStyle w:val="yIndenta"/>
      </w:pPr>
      <w:r>
        <w:tab/>
        <w:t>(a)</w:t>
      </w:r>
      <w:r>
        <w:tab/>
        <w:t>prejudice or in any way affect an authorisation in effect before the transfer time; or</w:t>
      </w:r>
    </w:p>
    <w:p>
      <w:pPr>
        <w:pStyle w:val="yIndenta"/>
      </w:pPr>
      <w:r>
        <w:tab/>
        <w:t>(b)</w:t>
      </w:r>
      <w:r>
        <w:tab/>
        <w:t>prejudice or in any way affect any right or obligation of a person under an authorisation in effect before the transfer time; or</w:t>
      </w:r>
    </w:p>
    <w:p>
      <w:pPr>
        <w:pStyle w:val="yIndenta"/>
      </w:pPr>
      <w:r>
        <w:tab/>
        <w:t>(c)</w:t>
      </w:r>
      <w:r>
        <w:tab/>
        <w:t>prevent an application for an authorisation made but not disposed of before the transfer time from being dealt with after the transfer time; or</w:t>
      </w:r>
    </w:p>
    <w:p>
      <w:pPr>
        <w:pStyle w:val="yIndenta"/>
      </w:pPr>
      <w:r>
        <w:tab/>
        <w:t>(d)</w:t>
      </w:r>
      <w:r>
        <w:tab/>
        <w:t>prejudice or in any way affect the manner in which an application mentioned in paragraph (c) is dealt with after the transfer time.</w:t>
      </w:r>
    </w:p>
    <w:p>
      <w:pPr>
        <w:pStyle w:val="yFootnotesection"/>
      </w:pPr>
      <w:r>
        <w:tab/>
        <w:t>[Clause 75 inserted: No. 2 of 2019 s. 51.]</w:t>
      </w:r>
    </w:p>
    <w:p>
      <w:pPr>
        <w:pStyle w:val="yHeading5"/>
      </w:pPr>
      <w:bookmarkStart w:id="216" w:name="_Toc200368466"/>
      <w:r>
        <w:rPr>
          <w:rStyle w:val="CharSClsNo"/>
        </w:rPr>
        <w:lastRenderedPageBreak/>
        <w:t>76</w:t>
      </w:r>
      <w:r>
        <w:t>.</w:t>
      </w:r>
      <w:r>
        <w:tab/>
        <w:t>Transitional provision for Schedule 9</w:t>
      </w:r>
      <w:bookmarkEnd w:id="216"/>
    </w:p>
    <w:p>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yFootnotesection"/>
      </w:pPr>
      <w:r>
        <w:tab/>
        <w:t>[Clause 76 inserted: No. 2 of 2019 s. 51.]</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17" w:name="_Toc200368467"/>
      <w:r>
        <w:rPr>
          <w:rStyle w:val="CharSchNo"/>
        </w:rPr>
        <w:lastRenderedPageBreak/>
        <w:t>Schedule 9</w:t>
      </w:r>
      <w:r>
        <w:t> — </w:t>
      </w:r>
      <w:r>
        <w:rPr>
          <w:rStyle w:val="CharSchText"/>
        </w:rPr>
        <w:t>Placing additional ports under a port authority’s control and management</w:t>
      </w:r>
      <w:bookmarkEnd w:id="217"/>
      <w:r>
        <w:t xml:space="preserve"> </w:t>
      </w:r>
    </w:p>
    <w:p>
      <w:pPr>
        <w:pStyle w:val="yShoulderClause"/>
      </w:pPr>
      <w:r>
        <w:t>[s. 4(2A)(b)]</w:t>
      </w:r>
    </w:p>
    <w:p>
      <w:pPr>
        <w:pStyle w:val="yFootnoteheading"/>
      </w:pPr>
      <w:r>
        <w:tab/>
        <w:t>[Heading inserted: No. 9 of 2014 s. 36.]</w:t>
      </w:r>
    </w:p>
    <w:p>
      <w:pPr>
        <w:pStyle w:val="yHeading5"/>
      </w:pPr>
      <w:bookmarkStart w:id="218" w:name="_Toc200368468"/>
      <w:r>
        <w:rPr>
          <w:rStyle w:val="CharSClsNo"/>
        </w:rPr>
        <w:t>1</w:t>
      </w:r>
      <w:r>
        <w:t>.</w:t>
      </w:r>
      <w:r>
        <w:tab/>
        <w:t>Terms used</w:t>
      </w:r>
      <w:bookmarkEnd w:id="218"/>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pPr>
        <w:pStyle w:val="yDefstart"/>
      </w:pPr>
      <w:r>
        <w:tab/>
      </w:r>
      <w:r>
        <w:rPr>
          <w:rStyle w:val="CharDefText"/>
        </w:rPr>
        <w:t>unassigned port</w:t>
      </w:r>
      <w:r>
        <w:t xml:space="preserve"> means a port that — </w:t>
      </w:r>
    </w:p>
    <w:p>
      <w:pPr>
        <w:pStyle w:val="yDefpara"/>
      </w:pPr>
      <w:r>
        <w:tab/>
        <w:t>(a)</w:t>
      </w:r>
      <w:r>
        <w:tab/>
        <w:t>is not named in Schedule 1; and</w:t>
      </w:r>
    </w:p>
    <w:p>
      <w:pPr>
        <w:pStyle w:val="yDefpara"/>
      </w:pPr>
      <w:r>
        <w:tab/>
        <w:t>(b)</w:t>
      </w:r>
      <w:r>
        <w:tab/>
        <w:t>has not been placed under the control and management of a port authority by regulations in accordance with this Schedule.</w:t>
      </w:r>
    </w:p>
    <w:p>
      <w:pPr>
        <w:pStyle w:val="yFootnotesection"/>
        <w:rPr>
          <w:i w:val="0"/>
        </w:rPr>
      </w:pPr>
      <w:r>
        <w:tab/>
        <w:t>[Clause 1 inserted: No. 9 of 2014 s. 36; amended: No. 2 of 2019 s. 52(1)</w:t>
      </w:r>
      <w:r>
        <w:noBreakHyphen/>
        <w:t>(3).]</w:t>
      </w:r>
    </w:p>
    <w:p>
      <w:pPr>
        <w:pStyle w:val="yHeading5"/>
      </w:pPr>
      <w:bookmarkStart w:id="219" w:name="_Toc200368469"/>
      <w:r>
        <w:rPr>
          <w:rStyle w:val="CharSClsNo"/>
        </w:rPr>
        <w:t>2</w:t>
      </w:r>
      <w:r>
        <w:t>.</w:t>
      </w:r>
      <w:r>
        <w:tab/>
        <w:t>Regulations may place a port under the control and management of a port authority</w:t>
      </w:r>
      <w:bookmarkEnd w:id="219"/>
    </w:p>
    <w:p>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Subsection"/>
      </w:pPr>
      <w:r>
        <w:tab/>
        <w:t>(3)</w:t>
      </w:r>
      <w:r>
        <w:tab/>
        <w:t xml:space="preserve">Without limiting subclause (2) regulations may — </w:t>
      </w:r>
    </w:p>
    <w:p>
      <w:pPr>
        <w:pStyle w:val="yIndenta"/>
      </w:pPr>
      <w:r>
        <w:tab/>
        <w:t>(a)</w:t>
      </w:r>
      <w:r>
        <w:tab/>
        <w:t>vest land, seabed, water or other property in a port authority or otherwise provide for the vesting of, land, seabed, water or other property in a port authority; and</w:t>
      </w:r>
    </w:p>
    <w:p>
      <w:pPr>
        <w:pStyle w:val="yIndenta"/>
      </w:pPr>
      <w:r>
        <w:lastRenderedPageBreak/>
        <w:tab/>
        <w:t>(b)</w:t>
      </w:r>
      <w:r>
        <w:tab/>
        <w:t>specify liabilities of the State that are to become liabilities of a port authority or otherwise provide for liabilities of the State to become liabilities of a port authority; and</w:t>
      </w:r>
    </w:p>
    <w:p>
      <w:pPr>
        <w:pStyle w:val="yIndenta"/>
      </w:pPr>
      <w:r>
        <w:tab/>
        <w:t>(c)</w:t>
      </w:r>
      <w:r>
        <w:tab/>
        <w:t>displace the operation of section 25(1) in relation to a port addition.</w:t>
      </w:r>
    </w:p>
    <w:p>
      <w:pPr>
        <w:pStyle w:val="yFootnotesection"/>
      </w:pPr>
      <w:r>
        <w:tab/>
        <w:t>[Clause 2 inserted: No. 9 of 2014 s. 36; amended: No. 2 of 2019 s. 52(4) and (5).]</w:t>
      </w:r>
    </w:p>
    <w:p>
      <w:pPr>
        <w:pStyle w:val="yHeading5"/>
      </w:pPr>
      <w:bookmarkStart w:id="220" w:name="_Toc200368470"/>
      <w:r>
        <w:rPr>
          <w:rStyle w:val="CharSClsNo"/>
        </w:rPr>
        <w:t>3</w:t>
      </w:r>
      <w:r>
        <w:t>.</w:t>
      </w:r>
      <w:r>
        <w:tab/>
        <w:t>Port authority to implement or facilitate port addition</w:t>
      </w:r>
      <w:bookmarkEnd w:id="220"/>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221" w:name="_Toc200368471"/>
      <w:r>
        <w:rPr>
          <w:rStyle w:val="CharSClsNo"/>
        </w:rPr>
        <w:t>4</w:t>
      </w:r>
      <w:r>
        <w:t>.</w:t>
      </w:r>
      <w:r>
        <w:tab/>
        <w:t>Government agreements not affected</w:t>
      </w:r>
      <w:bookmarkEnd w:id="221"/>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22" w:name="_Toc200368472"/>
      <w:r>
        <w:lastRenderedPageBreak/>
        <w:t>Notes</w:t>
      </w:r>
      <w:bookmarkEnd w:id="222"/>
    </w:p>
    <w:p>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223" w:name="_Toc200368473"/>
      <w:r>
        <w:t>Compilation table</w:t>
      </w:r>
      <w:bookmarkEnd w:id="223"/>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4" w:type="dxa"/>
            <w:tcBorders>
              <w:top w:val="single" w:sz="8" w:space="0" w:color="auto"/>
              <w:bottom w:val="nil"/>
            </w:tcBorders>
          </w:tcPr>
          <w:p>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4"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4"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6"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lastRenderedPageBreak/>
              <w:t>Ports and Marine Legislation Amendment Act 2003</w:t>
            </w:r>
            <w:r>
              <w:t xml:space="preserve"> Pt. 2</w:t>
            </w:r>
            <w:r>
              <w:rPr>
                <w:vertAlign w:val="superscript"/>
              </w:rPr>
              <w:t> 1</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4"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4"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90"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4"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4"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4"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4"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4"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rPr>
                <w:snapToGrid w:val="0"/>
              </w:rPr>
            </w:pPr>
            <w:r>
              <w:rPr>
                <w:snapToGrid w:val="0"/>
              </w:rPr>
              <w:t>20 May 2014</w:t>
            </w:r>
          </w:p>
        </w:tc>
        <w:tc>
          <w:tcPr>
            <w:tcW w:w="2554" w:type="dxa"/>
            <w:tcBorders>
              <w:top w:val="nil"/>
              <w:bottom w:val="nil"/>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pPr>
              <w:pStyle w:val="nTable"/>
              <w:spacing w:after="40"/>
              <w:rPr>
                <w:snapToGrid w:val="0"/>
              </w:rPr>
            </w:pPr>
            <w:r>
              <w:rPr>
                <w:snapToGrid w:val="0"/>
              </w:rPr>
              <w:t>46 of 2016</w:t>
            </w:r>
          </w:p>
        </w:tc>
        <w:tc>
          <w:tcPr>
            <w:tcW w:w="1134" w:type="dxa"/>
            <w:tcBorders>
              <w:top w:val="nil"/>
              <w:bottom w:val="nil"/>
            </w:tcBorders>
            <w:shd w:val="clear" w:color="auto" w:fill="auto"/>
          </w:tcPr>
          <w:p>
            <w:pPr>
              <w:pStyle w:val="nTable"/>
              <w:spacing w:after="40"/>
              <w:rPr>
                <w:snapToGrid w:val="0"/>
              </w:rPr>
            </w:pPr>
            <w:r>
              <w:rPr>
                <w:snapToGrid w:val="0"/>
              </w:rPr>
              <w:t>7 Dec 2016</w:t>
            </w:r>
          </w:p>
        </w:tc>
        <w:tc>
          <w:tcPr>
            <w:tcW w:w="2554"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nil"/>
            </w:tcBorders>
            <w:shd w:val="clear" w:color="auto" w:fill="auto"/>
          </w:tcPr>
          <w:p>
            <w:pPr>
              <w:pStyle w:val="nTable"/>
              <w:spacing w:after="40"/>
              <w:rPr>
                <w:snapToGrid w:val="0"/>
              </w:rPr>
            </w:pPr>
            <w:r>
              <w:rPr>
                <w:snapToGrid w:val="0"/>
              </w:rPr>
              <w:t>2 of 2019</w:t>
            </w:r>
          </w:p>
        </w:tc>
        <w:tc>
          <w:tcPr>
            <w:tcW w:w="1134" w:type="dxa"/>
            <w:tcBorders>
              <w:top w:val="nil"/>
              <w:bottom w:val="nil"/>
            </w:tcBorders>
            <w:shd w:val="clear" w:color="auto" w:fill="auto"/>
          </w:tcPr>
          <w:p>
            <w:pPr>
              <w:pStyle w:val="nTable"/>
              <w:spacing w:after="40"/>
              <w:rPr>
                <w:snapToGrid w:val="0"/>
              </w:rPr>
            </w:pPr>
            <w:r>
              <w:t>26 Feb 2019</w:t>
            </w:r>
          </w:p>
        </w:tc>
        <w:tc>
          <w:tcPr>
            <w:tcW w:w="2554" w:type="dxa"/>
            <w:tcBorders>
              <w:top w:val="nil"/>
              <w:bottom w:val="nil"/>
            </w:tcBorders>
            <w:shd w:val="clear" w:color="auto" w:fill="auto"/>
          </w:tcPr>
          <w:p>
            <w:pPr>
              <w:pStyle w:val="nTable"/>
              <w:spacing w:after="40"/>
              <w:rPr>
                <w:snapToGrid w:val="0"/>
              </w:rPr>
            </w:pPr>
            <w:r>
              <w:rPr>
                <w:snapToGrid w:val="0"/>
              </w:rPr>
              <w:t>Pt. 6 (other than s. 50): 27 Feb 2019 (see s. 2(b));</w:t>
            </w:r>
            <w:r>
              <w:rPr>
                <w:snapToGrid w:val="0"/>
              </w:rPr>
              <w:br/>
              <w:t>s. 50(2)(d) and (3): 1 Jul 2021 (see s. 2(e) and SL 2021/50 cl. 2)</w:t>
            </w:r>
          </w:p>
        </w:tc>
      </w:tr>
      <w:tr>
        <w:trPr>
          <w:cantSplit/>
        </w:trPr>
        <w:tc>
          <w:tcPr>
            <w:tcW w:w="2268" w:type="dxa"/>
            <w:tcBorders>
              <w:top w:val="nil"/>
              <w:bottom w:val="single" w:sz="8" w:space="0" w:color="auto"/>
            </w:tcBorders>
            <w:shd w:val="clear" w:color="auto" w:fill="auto"/>
          </w:tcPr>
          <w:p>
            <w:pPr>
              <w:pStyle w:val="nTable"/>
              <w:spacing w:after="40"/>
              <w:ind w:right="113"/>
              <w:rPr>
                <w:i/>
              </w:rPr>
            </w:pPr>
            <w:r>
              <w:rPr>
                <w:i/>
              </w:rPr>
              <w:t>Government Trading Enterprises Act 2023</w:t>
            </w:r>
            <w:r>
              <w:t xml:space="preserve"> Pt. 12 Div. 5</w:t>
            </w:r>
          </w:p>
        </w:tc>
        <w:tc>
          <w:tcPr>
            <w:tcW w:w="1134" w:type="dxa"/>
            <w:tcBorders>
              <w:top w:val="nil"/>
              <w:bottom w:val="single" w:sz="8" w:space="0" w:color="auto"/>
            </w:tcBorders>
            <w:shd w:val="clear" w:color="auto" w:fill="auto"/>
          </w:tcPr>
          <w:p>
            <w:pPr>
              <w:pStyle w:val="nTable"/>
              <w:spacing w:after="40"/>
              <w:rPr>
                <w:snapToGrid w:val="0"/>
              </w:rPr>
            </w:pPr>
            <w:r>
              <w:rPr>
                <w:snapToGrid w:val="0"/>
              </w:rPr>
              <w:t>13 of 2023</w:t>
            </w:r>
          </w:p>
        </w:tc>
        <w:tc>
          <w:tcPr>
            <w:tcW w:w="1134" w:type="dxa"/>
            <w:tcBorders>
              <w:top w:val="nil"/>
              <w:bottom w:val="single" w:sz="8" w:space="0" w:color="auto"/>
            </w:tcBorders>
            <w:shd w:val="clear" w:color="auto" w:fill="auto"/>
          </w:tcPr>
          <w:p>
            <w:pPr>
              <w:pStyle w:val="nTable"/>
              <w:spacing w:after="40"/>
            </w:pPr>
            <w:r>
              <w:t>22 Jun 2023</w:t>
            </w:r>
          </w:p>
        </w:tc>
        <w:tc>
          <w:tcPr>
            <w:tcW w:w="2554" w:type="dxa"/>
            <w:tcBorders>
              <w:top w:val="nil"/>
              <w:bottom w:val="single" w:sz="8" w:space="0" w:color="auto"/>
            </w:tcBorders>
            <w:shd w:val="clear" w:color="auto" w:fill="auto"/>
          </w:tcPr>
          <w:p>
            <w:pPr>
              <w:pStyle w:val="nTable"/>
              <w:spacing w:after="40"/>
              <w:rPr>
                <w:snapToGrid w:val="0"/>
              </w:rPr>
            </w:pPr>
            <w:r>
              <w:t>1 Jul 2023 (see s. 2(b) and SL 2023/89 cl. 2)</w:t>
            </w:r>
          </w:p>
        </w:tc>
      </w:tr>
    </w:tbl>
    <w:p>
      <w:pPr>
        <w:pStyle w:val="nHeading3"/>
      </w:pPr>
      <w:bookmarkStart w:id="224" w:name="_Toc200368474"/>
      <w:r>
        <w:lastRenderedPageBreak/>
        <w:t>Uncommenced provisions table</w:t>
      </w:r>
      <w:bookmarkEnd w:id="22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rPr>
                <w:vertAlign w:val="superscript"/>
              </w:rPr>
            </w:pPr>
            <w:r>
              <w:rPr>
                <w:i/>
              </w:rPr>
              <w:t>Ports Legislation Amendment Act 2019</w:t>
            </w:r>
            <w:r>
              <w:t xml:space="preserve"> s. 50(1) and (2)(a)-(c) and (e)</w:t>
            </w:r>
          </w:p>
        </w:tc>
        <w:tc>
          <w:tcPr>
            <w:tcW w:w="1134" w:type="dxa"/>
            <w:tcBorders>
              <w:bottom w:val="single" w:sz="8" w:space="0" w:color="auto"/>
            </w:tcBorders>
          </w:tcPr>
          <w:p>
            <w:pPr>
              <w:pStyle w:val="nTable"/>
              <w:spacing w:after="40"/>
            </w:pPr>
            <w:r>
              <w:rPr>
                <w:snapToGrid w:val="0"/>
              </w:rPr>
              <w:t>2 of 2019</w:t>
            </w:r>
          </w:p>
        </w:tc>
        <w:tc>
          <w:tcPr>
            <w:tcW w:w="1134" w:type="dxa"/>
            <w:tcBorders>
              <w:bottom w:val="single" w:sz="8" w:space="0" w:color="auto"/>
            </w:tcBorders>
          </w:tcPr>
          <w:p>
            <w:pPr>
              <w:pStyle w:val="nTable"/>
              <w:spacing w:after="40"/>
            </w:pPr>
            <w:r>
              <w:t>26 Feb 2019</w:t>
            </w:r>
          </w:p>
        </w:tc>
        <w:tc>
          <w:tcPr>
            <w:tcW w:w="2552" w:type="dxa"/>
            <w:tcBorders>
              <w:bottom w:val="single" w:sz="8" w:space="0" w:color="auto"/>
            </w:tcBorders>
          </w:tcPr>
          <w:p>
            <w:pPr>
              <w:pStyle w:val="nTable"/>
              <w:spacing w:after="40"/>
            </w:pPr>
            <w:r>
              <w:rPr>
                <w:snapToGrid w:val="0"/>
              </w:rPr>
              <w:t>To be proclaimed (see s. 2(e))</w:t>
            </w:r>
          </w:p>
        </w:tc>
      </w:tr>
    </w:tbl>
    <w:p>
      <w:pPr>
        <w:pStyle w:val="nHeading3"/>
      </w:pPr>
      <w:bookmarkStart w:id="225" w:name="_Toc200368475"/>
      <w:r>
        <w:t>Other notes</w:t>
      </w:r>
      <w:bookmarkEnd w:id="225"/>
    </w:p>
    <w:p>
      <w:pPr>
        <w:pStyle w:val="nNote"/>
        <w:keepNext/>
        <w:spacing w:before="120"/>
      </w:pPr>
      <w:r>
        <w:rPr>
          <w:vertAlign w:val="superscript"/>
        </w:rPr>
        <w:t>1</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rPr>
          <w:sz w:val="28"/>
        </w:rPr>
      </w:pPr>
      <w:bookmarkStart w:id="227" w:name="_Toc200368476"/>
      <w:r>
        <w:rPr>
          <w:sz w:val="28"/>
        </w:rPr>
        <w:lastRenderedPageBreak/>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affecting provisions</w:t>
      </w:r>
      <w:r>
        <w:tab/>
        <w:t>Sch. 8 cl. 45 and 52(1)</w:t>
      </w:r>
    </w:p>
    <w:p>
      <w:pPr>
        <w:pStyle w:val="DefinedTerms"/>
      </w:pPr>
      <w:r>
        <w:t>agreement</w:t>
      </w:r>
      <w:r>
        <w:tab/>
        <w:t>Sch. 8 cl. 1</w:t>
      </w:r>
    </w:p>
    <w:p>
      <w:pPr>
        <w:pStyle w:val="DefinedTerms"/>
      </w:pPr>
      <w:r>
        <w:t>Agreements Minister</w:t>
      </w:r>
      <w:r>
        <w:tab/>
        <w:t>Sch. 8 cl. 53(1)</w:t>
      </w:r>
    </w:p>
    <w:p>
      <w:pPr>
        <w:pStyle w:val="DefinedTerms"/>
      </w:pPr>
      <w:r>
        <w:t>amending Act</w:t>
      </w:r>
      <w:r>
        <w:tab/>
        <w:t>Sch. 8 cl. 1 and 52(1)</w:t>
      </w:r>
    </w:p>
    <w:p>
      <w:pPr>
        <w:pStyle w:val="DefinedTerms"/>
      </w:pPr>
      <w:r>
        <w:t>approved</w:t>
      </w:r>
      <w:r>
        <w:tab/>
        <w:t>95(1)</w:t>
      </w:r>
    </w:p>
    <w:p>
      <w:pPr>
        <w:pStyle w:val="DefinedTerms"/>
      </w:pPr>
      <w:r>
        <w:t>area</w:t>
      </w:r>
      <w:r>
        <w:tab/>
        <w:t>24(3)</w:t>
      </w:r>
    </w:p>
    <w:p>
      <w:pPr>
        <w:pStyle w:val="DefinedTerms"/>
      </w:pPr>
      <w:r>
        <w:t>asset</w:t>
      </w:r>
      <w:r>
        <w:tab/>
        <w:t>Sch. 8 cl. 1 and 52(1)</w:t>
      </w:r>
    </w:p>
    <w:p>
      <w:pPr>
        <w:pStyle w:val="DefinedTerms"/>
      </w:pPr>
      <w:r>
        <w:t>asset of the State</w:t>
      </w:r>
      <w:r>
        <w:tab/>
        <w:t>Sch. 8 cl. 52(1)</w:t>
      </w:r>
    </w:p>
    <w:p>
      <w:pPr>
        <w:pStyle w:val="DefinedTerms"/>
      </w:pPr>
      <w:r>
        <w:t>authorisation</w:t>
      </w:r>
      <w:r>
        <w:tab/>
        <w:t>Sch. 8 cl. 75(1)</w:t>
      </w:r>
    </w:p>
    <w:p>
      <w:pPr>
        <w:pStyle w:val="DefinedTerms"/>
      </w:pPr>
      <w:r>
        <w:t>authorised officer</w:t>
      </w:r>
      <w:r>
        <w:tab/>
        <w:t>114A(2)</w:t>
      </w:r>
    </w:p>
    <w:p>
      <w:pPr>
        <w:pStyle w:val="DefinedTerms"/>
      </w:pPr>
      <w:r>
        <w:t>authorised person</w:t>
      </w:r>
      <w:r>
        <w:tab/>
        <w:t>123</w:t>
      </w:r>
    </w:p>
    <w:p>
      <w:pPr>
        <w:pStyle w:val="DefinedTerms"/>
      </w:pPr>
      <w:r>
        <w:t>business arrangement</w:t>
      </w:r>
      <w:r>
        <w:tab/>
        <w:t>35(9)</w:t>
      </w:r>
    </w:p>
    <w:p>
      <w:pPr>
        <w:pStyle w:val="DefinedTerms"/>
      </w:pPr>
      <w:r>
        <w:t>channel</w:t>
      </w:r>
      <w:r>
        <w:tab/>
        <w:t>3(1)</w:t>
      </w:r>
    </w:p>
    <w:p>
      <w:pPr>
        <w:pStyle w:val="DefinedTerms"/>
      </w:pPr>
      <w:r>
        <w:t>commencement</w:t>
      </w:r>
      <w:r>
        <w:tab/>
        <w:t>Sch. 8 cl. 44(1)</w:t>
      </w:r>
    </w:p>
    <w:p>
      <w:pPr>
        <w:pStyle w:val="DefinedTerms"/>
      </w:pPr>
      <w:r>
        <w:t>Company</w:t>
      </w:r>
      <w:r>
        <w:tab/>
        <w:t>Sch. 6 cl. 1.2</w:t>
      </w:r>
    </w:p>
    <w:p>
      <w:pPr>
        <w:pStyle w:val="DefinedTerms"/>
      </w:pPr>
      <w:r>
        <w:t>condition</w:t>
      </w:r>
      <w:r>
        <w:tab/>
        <w:t>Sch. 8 cl. 64(1) and 65(1)</w:t>
      </w:r>
    </w:p>
    <w:p>
      <w:pPr>
        <w:pStyle w:val="DefinedTerms"/>
      </w:pPr>
      <w:r>
        <w:t>consultation committee</w:t>
      </w:r>
      <w:r>
        <w:tab/>
        <w:t>14A(1)</w:t>
      </w:r>
    </w:p>
    <w:p>
      <w:pPr>
        <w:pStyle w:val="DefinedTerms"/>
      </w:pPr>
      <w:r>
        <w:t>continued licence</w:t>
      </w:r>
      <w:r>
        <w:tab/>
        <w:t>Sch. 8 cl. 66(1)</w:t>
      </w:r>
    </w:p>
    <w:p>
      <w:pPr>
        <w:pStyle w:val="DefinedTerms"/>
      </w:pPr>
      <w:r>
        <w:t>continuing authority</w:t>
      </w:r>
      <w:r>
        <w:tab/>
        <w:t>Sch. 8 cl. 2 and 23</w:t>
      </w:r>
    </w:p>
    <w:p>
      <w:pPr>
        <w:pStyle w:val="DefinedTerms"/>
      </w:pPr>
      <w:r>
        <w:t>control</w:t>
      </w:r>
      <w:r>
        <w:tab/>
        <w:t>3(1)</w:t>
      </w:r>
    </w:p>
    <w:p>
      <w:pPr>
        <w:pStyle w:val="DefinedTerms"/>
      </w:pPr>
      <w:r>
        <w:t>controlled area</w:t>
      </w:r>
      <w:r>
        <w:tab/>
        <w:t>Sch. 8 cl. 64(1) and 65(1)</w:t>
      </w:r>
    </w:p>
    <w:p>
      <w:pPr>
        <w:pStyle w:val="DefinedTerms"/>
      </w:pPr>
      <w:r>
        <w:t>converted licence</w:t>
      </w:r>
      <w:r>
        <w:tab/>
        <w:t>Sch. 8 cl. 66(1)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deputy harbour master</w:t>
      </w:r>
      <w:r>
        <w:tab/>
        <w:t>Sch. 8 cl. 63(1)</w:t>
      </w:r>
    </w:p>
    <w:p>
      <w:pPr>
        <w:pStyle w:val="DefinedTerms"/>
      </w:pPr>
      <w:r>
        <w:t>dividend function</w:t>
      </w:r>
      <w:r>
        <w:tab/>
        <w:t>Sch. 8 cl. 14(1) and 35(1)</w:t>
      </w:r>
    </w:p>
    <w:p>
      <w:pPr>
        <w:pStyle w:val="DefinedTerms"/>
      </w:pPr>
      <w:r>
        <w:t>eligible person</w:t>
      </w:r>
      <w:r>
        <w:tab/>
        <w:t>102(1)</w:t>
      </w:r>
    </w:p>
    <w:p>
      <w:pPr>
        <w:pStyle w:val="DefinedTerms"/>
      </w:pPr>
      <w:r>
        <w:t>existing certificate</w:t>
      </w:r>
      <w:r>
        <w:tab/>
        <w:t>Sch. 8 cl. 65(2)</w:t>
      </w:r>
    </w:p>
    <w:p>
      <w:pPr>
        <w:pStyle w:val="DefinedTerms"/>
      </w:pPr>
      <w:r>
        <w:t>existing jetty</w:t>
      </w:r>
      <w:r>
        <w:tab/>
        <w:t>Sch. 8 cl. 66(1)</w:t>
      </w:r>
    </w:p>
    <w:p>
      <w:pPr>
        <w:pStyle w:val="DefinedTerms"/>
      </w:pPr>
      <w:r>
        <w:t>existing S&amp;P Act port</w:t>
      </w:r>
      <w:r>
        <w:tab/>
        <w:t>Sch. 8 cl. 52(1)</w:t>
      </w:r>
    </w:p>
    <w:p>
      <w:pPr>
        <w:pStyle w:val="DefinedTerms"/>
      </w:pPr>
      <w:r>
        <w:t>former directors</w:t>
      </w:r>
      <w:r>
        <w:tab/>
        <w:t>Sch. 8 cl. 13(1) and 34(1)</w:t>
      </w:r>
    </w:p>
    <w:p>
      <w:pPr>
        <w:pStyle w:val="DefinedTerms"/>
      </w:pPr>
      <w:r>
        <w:t>former name</w:t>
      </w:r>
      <w:r>
        <w:tab/>
        <w:t>Sch. 8 cl. 11(1), 20(1), 32(1) and 41(1)</w:t>
      </w:r>
    </w:p>
    <w:p>
      <w:pPr>
        <w:pStyle w:val="DefinedTerms"/>
      </w:pPr>
      <w:r>
        <w:t>goods</w:t>
      </w:r>
      <w:r>
        <w:tab/>
        <w:t>3(1)</w:t>
      </w:r>
    </w:p>
    <w:p>
      <w:pPr>
        <w:pStyle w:val="DefinedTerms"/>
      </w:pPr>
      <w:r>
        <w:t>Government agreement</w:t>
      </w:r>
      <w:r>
        <w:tab/>
        <w:t>Sch. 8 cl. 1 and 52(1), Sch. 9 cl. 1</w:t>
      </w:r>
    </w:p>
    <w:p>
      <w:pPr>
        <w:pStyle w:val="DefinedTerms"/>
      </w:pPr>
      <w:r>
        <w:t>GTE Act</w:t>
      </w:r>
      <w:r>
        <w:tab/>
        <w:t>3(1)</w:t>
      </w:r>
    </w:p>
    <w:p>
      <w:pPr>
        <w:pStyle w:val="DefinedTerms"/>
      </w:pPr>
      <w:r>
        <w:t>harbour master</w:t>
      </w:r>
      <w:r>
        <w:tab/>
        <w:t>3(1), Sch. 8 cl. 63(1)</w:t>
      </w:r>
    </w:p>
    <w:p>
      <w:pPr>
        <w:pStyle w:val="DefinedTerms"/>
      </w:pPr>
      <w:r>
        <w:t>Iron Ore (Hamersley Range) Agreement</w:t>
      </w:r>
      <w:r>
        <w:tab/>
        <w:t>Sch. 6 cl. 1.2</w:t>
      </w:r>
    </w:p>
    <w:p>
      <w:pPr>
        <w:pStyle w:val="DefinedTerms"/>
      </w:pPr>
      <w:r>
        <w:lastRenderedPageBreak/>
        <w:t>jetty</w:t>
      </w:r>
      <w:r>
        <w:tab/>
        <w:t>3(1), Sch. 8 cl. 66(1)</w:t>
      </w:r>
    </w:p>
    <w:p>
      <w:pPr>
        <w:pStyle w:val="DefinedTerms"/>
      </w:pPr>
      <w:r>
        <w:t>jetty licence</w:t>
      </w:r>
      <w:r>
        <w:tab/>
        <w:t>Sch. 8 cl. 66(1)</w:t>
      </w:r>
    </w:p>
    <w:p>
      <w:pPr>
        <w:pStyle w:val="DefinedTerms"/>
      </w:pPr>
      <w:r>
        <w:t>Joint Venturers</w:t>
      </w:r>
      <w:r>
        <w:tab/>
        <w:t>Sch. 6 cl. 1.2</w:t>
      </w:r>
    </w:p>
    <w:p>
      <w:pPr>
        <w:pStyle w:val="DefinedTerms"/>
      </w:pPr>
      <w:r>
        <w:t>KPA</w:t>
      </w:r>
      <w:r>
        <w:tab/>
        <w:t>Sch. 8 cl. 37</w:t>
      </w:r>
    </w:p>
    <w:p>
      <w:pPr>
        <w:pStyle w:val="DefinedTerms"/>
      </w:pPr>
      <w:r>
        <w:t>last financial year</w:t>
      </w:r>
      <w:r>
        <w:tab/>
        <w:t>Sch. 8 cl. 13(5) and 34(5)</w:t>
      </w:r>
    </w:p>
    <w:p>
      <w:pPr>
        <w:pStyle w:val="DefinedTerms"/>
      </w:pPr>
      <w:r>
        <w:t>liability</w:t>
      </w:r>
      <w:r>
        <w:tab/>
        <w:t>Sch. 8 cl. 1 and 52(1)</w:t>
      </w:r>
    </w:p>
    <w:p>
      <w:pPr>
        <w:pStyle w:val="DefinedTerms"/>
      </w:pPr>
      <w:r>
        <w:t>liability of the State</w:t>
      </w:r>
      <w:r>
        <w:tab/>
        <w:t>Sch. 8 cl. 52(1)</w:t>
      </w:r>
    </w:p>
    <w:p>
      <w:pPr>
        <w:pStyle w:val="DefinedTerms"/>
      </w:pPr>
      <w:r>
        <w:t>licence</w:t>
      </w:r>
      <w:r>
        <w:tab/>
        <w:t>Sch. 8 cl. 64(2)</w:t>
      </w:r>
    </w:p>
    <w:p>
      <w:pPr>
        <w:pStyle w:val="DefinedTerms"/>
      </w:pPr>
      <w:r>
        <w:t>licensee</w:t>
      </w:r>
      <w:r>
        <w:tab/>
        <w:t>Sch. 8 cl. 66(1)</w:t>
      </w:r>
    </w:p>
    <w:p>
      <w:pPr>
        <w:pStyle w:val="DefinedTerms"/>
      </w:pPr>
      <w:r>
        <w:t>management</w:t>
      </w:r>
      <w:r>
        <w:tab/>
        <w:t>3(1)</w:t>
      </w:r>
    </w:p>
    <w:p>
      <w:pPr>
        <w:pStyle w:val="DefinedTerms"/>
      </w:pPr>
      <w:r>
        <w:t>Marine Act</w:t>
      </w:r>
      <w:r>
        <w:tab/>
        <w:t>Sch. 8 cl. 52(1)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19(3), 21(4)</w:t>
      </w:r>
    </w:p>
    <w:p>
      <w:pPr>
        <w:pStyle w:val="DefinedTerms"/>
      </w:pPr>
      <w:r>
        <w:t>merger</w:t>
      </w:r>
      <w:r>
        <w:tab/>
        <w:t>Sch. 8 cl. 2 and 23</w:t>
      </w:r>
    </w:p>
    <w:p>
      <w:pPr>
        <w:pStyle w:val="DefinedTerms"/>
      </w:pPr>
      <w:r>
        <w:t>merger time</w:t>
      </w:r>
      <w:r>
        <w:tab/>
        <w:t>Sch. 8 cl. 2 and 23</w:t>
      </w:r>
    </w:p>
    <w:p>
      <w:pPr>
        <w:pStyle w:val="DefinedTerms"/>
      </w:pPr>
      <w:r>
        <w:t>merging authority</w:t>
      </w:r>
      <w:r>
        <w:tab/>
        <w:t>Sch. 8 cl. 2 and 23</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16, 23, 37 and 45</w:t>
      </w:r>
    </w:p>
    <w:p>
      <w:pPr>
        <w:pStyle w:val="DefinedTerms"/>
      </w:pPr>
      <w:r>
        <w:t>new name</w:t>
      </w:r>
      <w:r>
        <w:tab/>
        <w:t>Sch. 8 cl. 11(1), 20(1), 32(1) and 41(1)</w:t>
      </w:r>
    </w:p>
    <w:p>
      <w:pPr>
        <w:pStyle w:val="DefinedTerms"/>
      </w:pPr>
      <w:r>
        <w:t>North West Gas Development (Woodside) Agreement</w:t>
      </w:r>
      <w:r>
        <w:tab/>
        <w:t>Sch. 6 cl. 1.2</w:t>
      </w:r>
    </w:p>
    <w:p>
      <w:pPr>
        <w:pStyle w:val="DefinedTerms"/>
      </w:pPr>
      <w:r>
        <w:t>owner</w:t>
      </w:r>
      <w:r>
        <w:tab/>
        <w:t>3(1), 105(1)</w:t>
      </w:r>
    </w:p>
    <w:p>
      <w:pPr>
        <w:pStyle w:val="DefinedTerms"/>
      </w:pPr>
      <w:r>
        <w:t>participate</w:t>
      </w:r>
      <w:r>
        <w:tab/>
        <w:t>35(9)</w:t>
      </w:r>
    </w:p>
    <w:p>
      <w:pPr>
        <w:pStyle w:val="DefinedTerms"/>
      </w:pPr>
      <w:r>
        <w:t>port</w:t>
      </w:r>
      <w:r>
        <w:tab/>
        <w:t>3(1), Sch. 6 cl. 2.8, Sch. 8 cl. 53(1)</w:t>
      </w:r>
    </w:p>
    <w:p>
      <w:pPr>
        <w:pStyle w:val="DefinedTerms"/>
      </w:pPr>
      <w:r>
        <w:t>port activities</w:t>
      </w:r>
      <w:r>
        <w:tab/>
        <w:t>3(1), 35(9)</w:t>
      </w:r>
    </w:p>
    <w:p>
      <w:pPr>
        <w:pStyle w:val="DefinedTerms"/>
      </w:pPr>
      <w:r>
        <w:t>port addition</w:t>
      </w:r>
      <w:r>
        <w:tab/>
        <w:t>Sch. 9 cl. 1</w:t>
      </w:r>
    </w:p>
    <w:p>
      <w:pPr>
        <w:pStyle w:val="DefinedTerms"/>
      </w:pPr>
      <w:r>
        <w:t>port authority</w:t>
      </w:r>
      <w:r>
        <w:tab/>
        <w:t>3(1), 38(1), 123, Sch. 8 cl. 16, 37 and 53(1)</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transfer</w:t>
      </w:r>
      <w:r>
        <w:tab/>
        <w:t>Sch. 8 cl. 52(1)</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thing</w:t>
      </w:r>
      <w:r>
        <w:tab/>
        <w:t>113(1A)</w:t>
      </w:r>
    </w:p>
    <w:p>
      <w:pPr>
        <w:pStyle w:val="DefinedTerms"/>
      </w:pPr>
      <w:r>
        <w:t>relevant act</w:t>
      </w:r>
      <w:r>
        <w:tab/>
        <w:t>Sch. 8 cl. 10(1) and 31(1)</w:t>
      </w:r>
    </w:p>
    <w:p>
      <w:pPr>
        <w:pStyle w:val="DefinedTerms"/>
      </w:pPr>
      <w:r>
        <w:lastRenderedPageBreak/>
        <w:t>relevant official</w:t>
      </w:r>
      <w:r>
        <w:tab/>
        <w:t>Sch. 8 cl. 52(1)</w:t>
      </w:r>
    </w:p>
    <w:p>
      <w:pPr>
        <w:pStyle w:val="DefinedTerms"/>
      </w:pPr>
      <w:r>
        <w:t>relevant officials</w:t>
      </w:r>
      <w:r>
        <w:tab/>
        <w:t>Sch. 8 cl. 45</w:t>
      </w:r>
    </w:p>
    <w:p>
      <w:pPr>
        <w:pStyle w:val="DefinedTerms"/>
      </w:pPr>
      <w:r>
        <w:t>renaming</w:t>
      </w:r>
      <w:r>
        <w:tab/>
        <w:t>Sch. 8 cl. 16 and 37</w:t>
      </w:r>
    </w:p>
    <w:p>
      <w:pPr>
        <w:pStyle w:val="DefinedTerms"/>
      </w:pPr>
      <w:r>
        <w:t>renaming time</w:t>
      </w:r>
      <w:r>
        <w:tab/>
        <w:t>Sch. 8 cl. 16 and 37</w:t>
      </w:r>
    </w:p>
    <w:p>
      <w:pPr>
        <w:pStyle w:val="DefinedTerms"/>
      </w:pPr>
      <w:r>
        <w:t>renew</w:t>
      </w:r>
      <w:r>
        <w:tab/>
        <w:t>Sch. 8 cl. 52(1)</w:t>
      </w:r>
    </w:p>
    <w:p>
      <w:pPr>
        <w:pStyle w:val="DefinedTerms"/>
      </w:pPr>
      <w:r>
        <w:t>reporting board,</w:t>
      </w:r>
      <w:r>
        <w:tab/>
        <w:t>Sch. 8 cl. 13(1)</w:t>
      </w:r>
    </w:p>
    <w:p>
      <w:pPr>
        <w:pStyle w:val="DefinedTerms"/>
      </w:pPr>
      <w:r>
        <w:t>reporting board</w:t>
      </w:r>
      <w:r>
        <w:tab/>
        <w:t>Sch. 8 cl. 34(1)</w:t>
      </w:r>
    </w:p>
    <w:p>
      <w:pPr>
        <w:pStyle w:val="DefinedTerms"/>
      </w:pPr>
      <w:r>
        <w:t>reporting provisions</w:t>
      </w:r>
      <w:r>
        <w:tab/>
        <w:t>Sch. 8 cl. 13(1) and 34(1)</w:t>
      </w:r>
    </w:p>
    <w:p>
      <w:pPr>
        <w:pStyle w:val="DefinedTerms"/>
      </w:pPr>
      <w:r>
        <w:t>requirement under this Act</w:t>
      </w:r>
      <w:r>
        <w:tab/>
        <w:t>Sch. 8 cl. 52(1)</w:t>
      </w:r>
    </w:p>
    <w:p>
      <w:pPr>
        <w:pStyle w:val="DefinedTerms"/>
      </w:pPr>
      <w:r>
        <w:t>right</w:t>
      </w:r>
      <w:r>
        <w:tab/>
        <w:t>Sch. 8 cl. 1 and 52(1)</w:t>
      </w:r>
    </w:p>
    <w:p>
      <w:pPr>
        <w:pStyle w:val="DefinedTerms"/>
      </w:pPr>
      <w:r>
        <w:t>Salt Company</w:t>
      </w:r>
      <w:r>
        <w:tab/>
        <w:t>Sch. 6 cl. 1.2</w:t>
      </w:r>
    </w:p>
    <w:p>
      <w:pPr>
        <w:pStyle w:val="DefinedTerms"/>
      </w:pPr>
      <w:r>
        <w:t>sell</w:t>
      </w:r>
      <w:r>
        <w:tab/>
        <w:t>27(3)</w:t>
      </w:r>
    </w:p>
    <w:p>
      <w:pPr>
        <w:pStyle w:val="DefinedTerms"/>
      </w:pPr>
      <w:r>
        <w:t>SPA</w:t>
      </w:r>
      <w:r>
        <w:tab/>
        <w:t>Sch. 8 cl. 2</w:t>
      </w:r>
    </w:p>
    <w:p>
      <w:pPr>
        <w:pStyle w:val="DefinedTerms"/>
      </w:pPr>
      <w:r>
        <w:t>S&amp;P Act certificate</w:t>
      </w:r>
      <w:r>
        <w:tab/>
        <w:t>Sch. 8 cl. 65(1)</w:t>
      </w:r>
    </w:p>
    <w:p>
      <w:pPr>
        <w:pStyle w:val="DefinedTerms"/>
      </w:pPr>
      <w:r>
        <w:t>State tax</w:t>
      </w:r>
      <w:r>
        <w:tab/>
        <w:t>Sch. 8 cl. 45 and 68(1)</w:t>
      </w:r>
    </w:p>
    <w:p>
      <w:pPr>
        <w:pStyle w:val="DefinedTerms"/>
      </w:pPr>
      <w:r>
        <w:t>subsisting</w:t>
      </w:r>
      <w:r>
        <w:tab/>
        <w:t>Sch. 8 cl. 11(1) and 32(1)</w:t>
      </w:r>
    </w:p>
    <w:p>
      <w:pPr>
        <w:pStyle w:val="DefinedTerms"/>
      </w:pPr>
      <w:r>
        <w:t>this Subdivision</w:t>
      </w:r>
      <w:r>
        <w:tab/>
        <w:t>Sch. 8 cl. 53(2)</w:t>
      </w:r>
    </w:p>
    <w:p>
      <w:pPr>
        <w:pStyle w:val="DefinedTerms"/>
      </w:pPr>
      <w:r>
        <w:t>transfer</w:t>
      </w:r>
      <w:r>
        <w:tab/>
        <w:t>Sch. 8 cl. 52(1)</w:t>
      </w:r>
    </w:p>
    <w:p>
      <w:pPr>
        <w:pStyle w:val="DefinedTerms"/>
      </w:pPr>
      <w:r>
        <w:t>transfer provision</w:t>
      </w:r>
      <w:r>
        <w:tab/>
        <w:t>Sch. 8 cl. 52(1)</w:t>
      </w:r>
    </w:p>
    <w:p>
      <w:pPr>
        <w:pStyle w:val="DefinedTerms"/>
      </w:pPr>
      <w:r>
        <w:t>transferred assets</w:t>
      </w:r>
      <w:r>
        <w:tab/>
        <w:t>Sch. 8 cl. 60(1)</w:t>
      </w:r>
    </w:p>
    <w:p>
      <w:pPr>
        <w:pStyle w:val="DefinedTerms"/>
      </w:pPr>
      <w:r>
        <w:t>transferred liabilities</w:t>
      </w:r>
      <w:r>
        <w:tab/>
        <w:t>Sch. 8 cl. 60(1)</w:t>
      </w:r>
    </w:p>
    <w:p>
      <w:pPr>
        <w:pStyle w:val="DefinedTerms"/>
      </w:pPr>
      <w:r>
        <w:t>transfer time</w:t>
      </w:r>
      <w:r>
        <w:tab/>
        <w:t>Sch. 8 cl. 52(1)</w:t>
      </w:r>
    </w:p>
    <w:p>
      <w:pPr>
        <w:pStyle w:val="DefinedTerms"/>
      </w:pPr>
      <w:r>
        <w:t>transitional approval</w:t>
      </w:r>
      <w:r>
        <w:tab/>
        <w:t>Sch. 8 cl. 64(2)</w:t>
      </w:r>
    </w:p>
    <w:p>
      <w:pPr>
        <w:pStyle w:val="DefinedTerms"/>
      </w:pPr>
      <w:r>
        <w:t>transitional certificate</w:t>
      </w:r>
      <w:r>
        <w:tab/>
        <w:t>Sch. 8 cl. 65(2)</w:t>
      </w:r>
    </w:p>
    <w:p>
      <w:pPr>
        <w:pStyle w:val="DefinedTerms"/>
      </w:pPr>
      <w:r>
        <w:t>transitional order</w:t>
      </w:r>
      <w:r>
        <w:tab/>
        <w:t>Sch. 8 cl. 52(1)</w:t>
      </w:r>
    </w:p>
    <w:p>
      <w:pPr>
        <w:pStyle w:val="DefinedTerms"/>
      </w:pPr>
      <w:r>
        <w:t>transitional regulations</w:t>
      </w:r>
      <w:r>
        <w:tab/>
        <w:t>Sch. 8 cl. 2, 15(1), 16, 22(1), 23, 36(1), 37, 43(1), 45,</w:t>
      </w:r>
    </w:p>
    <w:p>
      <w:pPr>
        <w:pStyle w:val="DefinedTerms"/>
        <w:ind w:right="1"/>
        <w:jc w:val="right"/>
      </w:pPr>
      <w:r>
        <w:t xml:space="preserve"> 52(1) and 69(1)</w:t>
      </w:r>
    </w:p>
    <w:p>
      <w:pPr>
        <w:pStyle w:val="DefinedTerms"/>
      </w:pPr>
      <w:r>
        <w:t>Transport CEO</w:t>
      </w:r>
      <w:r>
        <w:tab/>
        <w:t>Sch. 8 cl. 52(1)</w:t>
      </w:r>
    </w:p>
    <w:p>
      <w:pPr>
        <w:pStyle w:val="DefinedTerms"/>
      </w:pPr>
      <w:r>
        <w:t>Transport Department</w:t>
      </w:r>
      <w:r>
        <w:tab/>
        <w:t>Sch. 8 cl. 52(1)</w:t>
      </w:r>
    </w:p>
    <w:p>
      <w:pPr>
        <w:pStyle w:val="DefinedTerms"/>
      </w:pPr>
      <w:r>
        <w:t>Transport Minister</w:t>
      </w:r>
      <w:r>
        <w:tab/>
        <w:t>Sch. 8 cl. 52(1)</w:t>
      </w:r>
    </w:p>
    <w:p>
      <w:pPr>
        <w:pStyle w:val="DefinedTerms"/>
      </w:pPr>
      <w:r>
        <w:t>unassigned port</w:t>
      </w:r>
      <w:r>
        <w:tab/>
        <w:t>Sch. 9 cl. 1</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pPr>
      <w:r>
        <w:t>vested land</w:t>
      </w:r>
      <w:r>
        <w:tab/>
        <w:t>3(1)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7DCF6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DD18F4" w14:textId="31976871" w:rsidR="009E2A9A" w:rsidRDefault="009E2A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3131B37" w14:textId="77777777" w:rsidR="009E2A9A" w:rsidRDefault="009E2A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07C6E6" w14:textId="2EE48234" w:rsidR="009E2A9A" w:rsidRDefault="009E2A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664F0E" w14:textId="77777777" w:rsidR="009E2A9A" w:rsidRDefault="009E2A9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Port of Port Hedland</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5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5129"/>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 w:name="WAFER_2023062809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342_GUID" w:val="d3631735-0440-4d42-a00d-e76aeace3060"/>
    <w:docVar w:name="WAFER_2023122713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29_GUID" w:val="07eafd69-f64a-443b-aba5-8c5522f30e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C173-9441-40EF-9848-0024A275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35045</Words>
  <Characters>165415</Characters>
  <Application>Microsoft Office Word</Application>
  <DocSecurity>0</DocSecurity>
  <Lines>4353</Lines>
  <Paragraphs>2863</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197597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1999 - 03-j0-02</dc:title>
  <dc:subject/>
  <dc:creator/>
  <cp:keywords/>
  <dc:description/>
  <cp:lastModifiedBy>Master Repository Process</cp:lastModifiedBy>
  <cp:revision>4</cp:revision>
  <cp:lastPrinted>2020-02-11T09:34:00Z</cp:lastPrinted>
  <dcterms:created xsi:type="dcterms:W3CDTF">2025-06-09T05:30:00Z</dcterms:created>
  <dcterms:modified xsi:type="dcterms:W3CDTF">2025-06-09T05:31:00Z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AsAtDate">
    <vt:lpwstr>01 Jul 2023</vt:lpwstr>
  </property>
  <property fmtid="{D5CDD505-2E9C-101B-9397-08002B2CF9AE}" pid="8" name="Suffix">
    <vt:lpwstr>03-j0-02</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