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_Toc199494248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_Toc199494249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_Toc199494250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these regulations</w:t>
      </w:r>
      <w:r>
        <w:tab/>
      </w:r>
      <w:r>
        <w:fldChar w:fldCharType="begin"/>
      </w:r>
      <w:r>
        <w:instrText xml:space="preserve"> PAGEREF _Toc199494251 \h </w:instrText>
      </w:r>
      <w:r>
        <w:fldChar w:fldCharType="separate"/>
      </w:r>
      <w:r>
        <w:t>2</w:t>
      </w:r>
      <w:r>
        <w:fldChar w:fldCharType="end"/>
      </w:r>
    </w:p>
    <w:p>
      <w:pPr>
        <w:pStyle w:val="TOC8"/>
        <w:rPr>
          <w:rFonts w:asciiTheme="minorHAnsi" w:eastAsiaTheme="minorEastAsia" w:hAnsiTheme="minorHAnsi" w:cstheme="minorBidi"/>
          <w:szCs w:val="22"/>
        </w:rPr>
      </w:pPr>
      <w:r>
        <w:t>4AA.</w:t>
      </w:r>
      <w:r>
        <w:rPr>
          <w:snapToGrid w:val="0"/>
        </w:rPr>
        <w:tab/>
        <w:t>Classification of vessels</w:t>
      </w:r>
      <w:r>
        <w:tab/>
      </w:r>
      <w:r>
        <w:fldChar w:fldCharType="begin"/>
      </w:r>
      <w:r>
        <w:instrText xml:space="preserve"> PAGEREF _Toc199494252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Fees and charges (Sch. 1)</w:t>
      </w:r>
      <w:r>
        <w:tab/>
      </w:r>
      <w:r>
        <w:fldChar w:fldCharType="begin"/>
      </w:r>
      <w:r>
        <w:instrText xml:space="preserve"> PAGEREF _Toc199494253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Survey requirements</w:t>
      </w:r>
    </w:p>
    <w:p>
      <w:pPr>
        <w:pStyle w:val="TOC8"/>
        <w:rPr>
          <w:rFonts w:asciiTheme="minorHAnsi" w:eastAsiaTheme="minorEastAsia" w:hAnsiTheme="minorHAnsi" w:cstheme="minorBidi"/>
          <w:szCs w:val="22"/>
        </w:rPr>
      </w:pPr>
      <w:r>
        <w:t>5</w:t>
      </w:r>
      <w:r>
        <w:rPr>
          <w:snapToGrid w:val="0"/>
        </w:rPr>
        <w:t>.</w:t>
      </w:r>
      <w:r>
        <w:rPr>
          <w:snapToGrid w:val="0"/>
        </w:rPr>
        <w:tab/>
        <w:t>Initial survey</w:t>
      </w:r>
      <w:r>
        <w:tab/>
      </w:r>
      <w:r>
        <w:fldChar w:fldCharType="begin"/>
      </w:r>
      <w:r>
        <w:instrText xml:space="preserve"> PAGEREF _Toc199494255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Periodic surveys and inspections</w:t>
      </w:r>
      <w:r>
        <w:tab/>
      </w:r>
      <w:r>
        <w:fldChar w:fldCharType="begin"/>
      </w:r>
      <w:r>
        <w:instrText xml:space="preserve"> PAGEREF _Toc199494256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Half of fee under r. 5(2) and 6(6) payable if vessel is classed</w:t>
      </w:r>
      <w:r>
        <w:tab/>
      </w:r>
      <w:r>
        <w:fldChar w:fldCharType="begin"/>
      </w:r>
      <w:r>
        <w:instrText xml:space="preserve"> PAGEREF _Toc199494257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Random inspections, power to make</w:t>
      </w:r>
      <w:r>
        <w:tab/>
      </w:r>
      <w:r>
        <w:fldChar w:fldCharType="begin"/>
      </w:r>
      <w:r>
        <w:instrText xml:space="preserve"> PAGEREF _Toc199494258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factors affecting survey, owner to inform CEO of</w:t>
      </w:r>
      <w:r>
        <w:tab/>
      </w:r>
      <w:r>
        <w:fldChar w:fldCharType="begin"/>
      </w:r>
      <w:r>
        <w:instrText xml:space="preserve"> PAGEREF _Toc199494259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Accidents etc. to or on vessel, owner to inform CEO of</w:t>
      </w:r>
      <w:r>
        <w:tab/>
      </w:r>
      <w:r>
        <w:fldChar w:fldCharType="begin"/>
      </w:r>
      <w:r>
        <w:instrText xml:space="preserve"> PAGEREF _Toc199494260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2E and 3E vessels, CEO may exempt from survey</w:t>
      </w:r>
      <w:r>
        <w:tab/>
      </w:r>
      <w:r>
        <w:fldChar w:fldCharType="begin"/>
      </w:r>
      <w:r>
        <w:instrText xml:space="preserve"> PAGEREF _Toc199494261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Certain fishing vessels and class 2 vessels exempt from r. 5 and 6</w:t>
      </w:r>
      <w:r>
        <w:tab/>
      </w:r>
      <w:r>
        <w:fldChar w:fldCharType="begin"/>
      </w:r>
      <w:r>
        <w:instrText xml:space="preserve"> PAGEREF _Toc199494262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w:t>
      </w:r>
    </w:p>
    <w:p>
      <w:pPr>
        <w:pStyle w:val="TOC8"/>
        <w:rPr>
          <w:rFonts w:asciiTheme="minorHAnsi" w:eastAsiaTheme="minorEastAsia" w:hAnsiTheme="minorHAnsi" w:cstheme="minorBidi"/>
          <w:szCs w:val="22"/>
        </w:rPr>
      </w:pPr>
      <w:r>
        <w:t>11</w:t>
      </w:r>
      <w:r>
        <w:rPr>
          <w:snapToGrid w:val="0"/>
        </w:rPr>
        <w:t>.</w:t>
      </w:r>
      <w:r>
        <w:rPr>
          <w:snapToGrid w:val="0"/>
        </w:rPr>
        <w:tab/>
        <w:t>Certificate of survey, content and issue of</w:t>
      </w:r>
      <w:r>
        <w:tab/>
      </w:r>
      <w:r>
        <w:fldChar w:fldCharType="begin"/>
      </w:r>
      <w:r>
        <w:instrText xml:space="preserve"> PAGEREF _Toc199494264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Compliance with survey requirements, evidence of on vessel</w:t>
      </w:r>
      <w:r>
        <w:tab/>
      </w:r>
      <w:r>
        <w:fldChar w:fldCharType="begin"/>
      </w:r>
      <w:r>
        <w:instrText xml:space="preserve"> PAGEREF _Toc199494265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Revalidation or renewal of certificate of survey after subsequent survey</w:t>
      </w:r>
      <w:r>
        <w:tab/>
      </w:r>
      <w:r>
        <w:fldChar w:fldCharType="begin"/>
      </w:r>
      <w:r>
        <w:instrText xml:space="preserve"> PAGEREF _Toc199494266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Extension of certificate of survey</w:t>
      </w:r>
      <w:r>
        <w:tab/>
      </w:r>
      <w:r>
        <w:fldChar w:fldCharType="begin"/>
      </w:r>
      <w:r>
        <w:instrText xml:space="preserve"> PAGEREF _Toc199494267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Suspending or cancelling certificate of survey</w:t>
      </w:r>
      <w:r>
        <w:tab/>
      </w:r>
      <w:r>
        <w:fldChar w:fldCharType="begin"/>
      </w:r>
      <w:r>
        <w:instrText xml:space="preserve"> PAGEREF _Toc199494268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etc. of surveyed vessel, owner to notify CEO of</w:t>
      </w:r>
      <w:r>
        <w:tab/>
      </w:r>
      <w:r>
        <w:fldChar w:fldCharType="begin"/>
      </w:r>
      <w:r>
        <w:instrText xml:space="preserve"> PAGEREF _Toc199494269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survey issued outside WA, acceptance of</w:t>
      </w:r>
      <w:r>
        <w:tab/>
      </w:r>
      <w:r>
        <w:fldChar w:fldCharType="begin"/>
      </w:r>
      <w:r>
        <w:instrText xml:space="preserve"> PAGEREF _Toc199494270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 programme approved outside WA may continue in WA</w:t>
      </w:r>
      <w:r>
        <w:tab/>
      </w:r>
      <w:r>
        <w:fldChar w:fldCharType="begin"/>
      </w:r>
      <w:r>
        <w:instrText xml:space="preserve"> PAGEREF _Toc199494271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Single voyage towage permits</w:t>
      </w:r>
    </w:p>
    <w:p>
      <w:pPr>
        <w:pStyle w:val="TOC8"/>
        <w:rPr>
          <w:rFonts w:asciiTheme="minorHAnsi" w:eastAsiaTheme="minorEastAsia" w:hAnsiTheme="minorHAnsi" w:cstheme="minorBidi"/>
          <w:szCs w:val="22"/>
        </w:rPr>
      </w:pPr>
      <w:r>
        <w:t>19</w:t>
      </w:r>
      <w:r>
        <w:rPr>
          <w:snapToGrid w:val="0"/>
        </w:rPr>
        <w:t>.</w:t>
      </w:r>
      <w:r>
        <w:rPr>
          <w:snapToGrid w:val="0"/>
        </w:rPr>
        <w:tab/>
        <w:t>Application of this Part</w:t>
      </w:r>
      <w:r>
        <w:tab/>
      </w:r>
      <w:r>
        <w:fldChar w:fldCharType="begin"/>
      </w:r>
      <w:r>
        <w:instrText xml:space="preserve"> PAGEREF _Toc199494273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towage permit</w:t>
      </w:r>
      <w:r>
        <w:tab/>
      </w:r>
      <w:r>
        <w:fldChar w:fldCharType="begin"/>
      </w:r>
      <w:r>
        <w:instrText xml:space="preserve"> PAGEREF _Toc199494274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of towage permit</w:t>
      </w:r>
      <w:r>
        <w:tab/>
      </w:r>
      <w:r>
        <w:fldChar w:fldCharType="begin"/>
      </w:r>
      <w:r>
        <w:instrText xml:space="preserve"> PAGEREF _Toc199494275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 for vessel to be towed without towage permit</w:t>
      </w:r>
      <w:r>
        <w:tab/>
      </w:r>
      <w:r>
        <w:fldChar w:fldCharType="begin"/>
      </w:r>
      <w:r>
        <w:instrText xml:space="preserve"> PAGEREF _Toc199494276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Survey fees</w:t>
      </w:r>
      <w:r>
        <w:tab/>
      </w:r>
      <w:r>
        <w:fldChar w:fldCharType="begin"/>
      </w:r>
      <w:r>
        <w:instrText xml:space="preserve"> PAGEREF _Toc199494278 \h </w:instrText>
      </w:r>
      <w:r>
        <w:fldChar w:fldCharType="separate"/>
      </w:r>
      <w:r>
        <w:t>20</w:t>
      </w:r>
      <w:r>
        <w:fldChar w:fldCharType="end"/>
      </w:r>
    </w:p>
    <w:p>
      <w:pPr>
        <w:pStyle w:val="TOC8"/>
        <w:rPr>
          <w:rFonts w:asciiTheme="minorHAnsi" w:eastAsiaTheme="minorEastAsia" w:hAnsiTheme="minorHAnsi" w:cstheme="minorBidi"/>
          <w:szCs w:val="22"/>
        </w:rPr>
      </w:pPr>
      <w:r>
        <w:t>2.</w:t>
      </w:r>
      <w:r>
        <w:tab/>
        <w:t>Other fees and charges</w:t>
      </w:r>
      <w:r>
        <w:tab/>
      </w:r>
      <w:r>
        <w:fldChar w:fldCharType="begin"/>
      </w:r>
      <w:r>
        <w:instrText xml:space="preserve"> PAGEREF _Toc199494279 \h </w:instrText>
      </w:r>
      <w:r>
        <w:fldChar w:fldCharType="separate"/>
      </w:r>
      <w:r>
        <w:t>31</w:t>
      </w:r>
      <w:r>
        <w:fldChar w:fldCharType="end"/>
      </w:r>
    </w:p>
    <w:p>
      <w:pPr>
        <w:pStyle w:val="TOC8"/>
        <w:rPr>
          <w:rFonts w:asciiTheme="minorHAnsi" w:eastAsiaTheme="minorEastAsia" w:hAnsiTheme="minorHAnsi" w:cstheme="minorBidi"/>
          <w:szCs w:val="22"/>
        </w:rPr>
      </w:pPr>
      <w:r>
        <w:t>3.</w:t>
      </w:r>
      <w:r>
        <w:tab/>
        <w:t>Fees for hire and drive vessels</w:t>
      </w:r>
      <w:r>
        <w:tab/>
      </w:r>
      <w:r>
        <w:fldChar w:fldCharType="begin"/>
      </w:r>
      <w:r>
        <w:instrText xml:space="preserve"> PAGEREF _Toc199494280 \h </w:instrText>
      </w:r>
      <w:r>
        <w:fldChar w:fldCharType="separate"/>
      </w:r>
      <w:r>
        <w:t>36</w:t>
      </w:r>
      <w:r>
        <w:fldChar w:fldCharType="end"/>
      </w:r>
    </w:p>
    <w:p>
      <w:pPr>
        <w:pStyle w:val="TOC8"/>
        <w:rPr>
          <w:rFonts w:asciiTheme="minorHAnsi" w:eastAsiaTheme="minorEastAsia" w:hAnsiTheme="minorHAnsi" w:cstheme="minorBidi"/>
          <w:szCs w:val="22"/>
        </w:rPr>
      </w:pPr>
      <w:r>
        <w:t>4.</w:t>
      </w:r>
      <w:r>
        <w:tab/>
        <w:t>Annual exemption fee</w:t>
      </w:r>
      <w:r>
        <w:tab/>
      </w:r>
      <w:r>
        <w:fldChar w:fldCharType="begin"/>
      </w:r>
      <w:r>
        <w:instrText xml:space="preserve"> PAGEREF _Toc199494281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Survey requirements and intervals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_Toc199494285 \h </w:instrText>
      </w:r>
      <w:r>
        <w:fldChar w:fldCharType="separate"/>
      </w:r>
      <w:r>
        <w:t>45</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_Toc199494286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lastRenderedPageBreak/>
        <w:t>Western Australian Marine Act 1982</w:t>
      </w:r>
    </w:p>
    <w:p>
      <w:pPr>
        <w:pStyle w:val="NameofActReg"/>
        <w:spacing w:after="720"/>
      </w:pPr>
      <w:r>
        <w:t>W.A. Marine (Surveys and Certificates of Survey) Regulations 1983</w:t>
      </w:r>
    </w:p>
    <w:p>
      <w:pPr>
        <w:pStyle w:val="Heading2"/>
        <w:pageBreakBefore w:val="0"/>
      </w:pPr>
      <w:bookmarkStart w:id="2" w:name="_Toc199494247"/>
      <w:r>
        <w:rPr>
          <w:rStyle w:val="CharPartNo"/>
        </w:rPr>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19949424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pPr>
        <w:pStyle w:val="Heading5"/>
        <w:rPr>
          <w:snapToGrid w:val="0"/>
        </w:rPr>
      </w:pPr>
      <w:bookmarkStart w:id="4" w:name="_Toc19949424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5" w:name="_Toc199494250"/>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6" w:name="_Toc199494251"/>
      <w:r>
        <w:rPr>
          <w:rStyle w:val="CharSectno"/>
        </w:rPr>
        <w:t>4</w:t>
      </w:r>
      <w:r>
        <w:rPr>
          <w:snapToGrid w:val="0"/>
        </w:rPr>
        <w:t>.</w:t>
      </w:r>
      <w:r>
        <w:rPr>
          <w:snapToGrid w:val="0"/>
        </w:rPr>
        <w:tab/>
        <w:t>Application of these regulations</w:t>
      </w:r>
      <w:bookmarkEnd w:id="6"/>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7" w:name="_Toc199494252"/>
      <w:r>
        <w:rPr>
          <w:rStyle w:val="CharSectno"/>
        </w:rPr>
        <w:t>4AA</w:t>
      </w:r>
      <w:r>
        <w:t>.</w:t>
      </w:r>
      <w:r>
        <w:rPr>
          <w:snapToGrid w:val="0"/>
        </w:rPr>
        <w:tab/>
        <w:t>Classification of vessels</w:t>
      </w:r>
      <w:bookmarkEnd w:id="7"/>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8" w:name="_Toc199494253"/>
      <w:r>
        <w:rPr>
          <w:rStyle w:val="CharSectno"/>
        </w:rPr>
        <w:t>4A</w:t>
      </w:r>
      <w:r>
        <w:rPr>
          <w:snapToGrid w:val="0"/>
        </w:rPr>
        <w:t>.</w:t>
      </w:r>
      <w:r>
        <w:rPr>
          <w:snapToGrid w:val="0"/>
        </w:rPr>
        <w:tab/>
        <w:t>Fees and charges (Sch. 1)</w:t>
      </w:r>
      <w:bookmarkEnd w:id="8"/>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9" w:name="_Toc199494254"/>
      <w:r>
        <w:rPr>
          <w:rStyle w:val="CharPartNo"/>
        </w:rPr>
        <w:lastRenderedPageBreak/>
        <w:t>Part II</w:t>
      </w:r>
      <w:r>
        <w:rPr>
          <w:rStyle w:val="CharDivNo"/>
        </w:rPr>
        <w:t> </w:t>
      </w:r>
      <w:r>
        <w:t>—</w:t>
      </w:r>
      <w:r>
        <w:rPr>
          <w:rStyle w:val="CharDivText"/>
        </w:rPr>
        <w:t> </w:t>
      </w:r>
      <w:r>
        <w:rPr>
          <w:rStyle w:val="CharPartText"/>
        </w:rPr>
        <w:t>Survey requirements</w:t>
      </w:r>
      <w:bookmarkEnd w:id="9"/>
    </w:p>
    <w:p>
      <w:pPr>
        <w:pStyle w:val="Heading5"/>
        <w:rPr>
          <w:snapToGrid w:val="0"/>
        </w:rPr>
      </w:pPr>
      <w:bookmarkStart w:id="10" w:name="_Toc199494255"/>
      <w:r>
        <w:rPr>
          <w:rStyle w:val="CharSectno"/>
        </w:rPr>
        <w:t>5</w:t>
      </w:r>
      <w:r>
        <w:rPr>
          <w:snapToGrid w:val="0"/>
        </w:rPr>
        <w:t>.</w:t>
      </w:r>
      <w:r>
        <w:rPr>
          <w:snapToGrid w:val="0"/>
        </w:rPr>
        <w:tab/>
        <w:t>Initial survey</w:t>
      </w:r>
      <w:bookmarkEnd w:id="10"/>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lastRenderedPageBreak/>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11" w:name="_Toc199494256"/>
      <w:r>
        <w:rPr>
          <w:rStyle w:val="CharSectno"/>
        </w:rPr>
        <w:t>6</w:t>
      </w:r>
      <w:r>
        <w:rPr>
          <w:snapToGrid w:val="0"/>
        </w:rPr>
        <w:t>.</w:t>
      </w:r>
      <w:r>
        <w:rPr>
          <w:snapToGrid w:val="0"/>
        </w:rPr>
        <w:tab/>
        <w:t>Periodic surveys and inspections</w:t>
      </w:r>
      <w:bookmarkEnd w:id="11"/>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lastRenderedPageBreak/>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lastRenderedPageBreak/>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lastRenderedPageBreak/>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12" w:name="_Toc199494257"/>
      <w:r>
        <w:rPr>
          <w:rStyle w:val="CharSectno"/>
        </w:rPr>
        <w:t>6A</w:t>
      </w:r>
      <w:r>
        <w:rPr>
          <w:snapToGrid w:val="0"/>
        </w:rPr>
        <w:t>.</w:t>
      </w:r>
      <w:r>
        <w:rPr>
          <w:snapToGrid w:val="0"/>
        </w:rPr>
        <w:tab/>
        <w:t>Half of fee under r. 5(2) and 6(6) payable if vessel is classed</w:t>
      </w:r>
      <w:bookmarkEnd w:id="12"/>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13" w:name="_Toc199494258"/>
      <w:r>
        <w:rPr>
          <w:rStyle w:val="CharSectno"/>
        </w:rPr>
        <w:t>7</w:t>
      </w:r>
      <w:r>
        <w:rPr>
          <w:snapToGrid w:val="0"/>
        </w:rPr>
        <w:t>.</w:t>
      </w:r>
      <w:r>
        <w:rPr>
          <w:snapToGrid w:val="0"/>
        </w:rPr>
        <w:tab/>
        <w:t>Random inspections, power to make</w:t>
      </w:r>
      <w:bookmarkEnd w:id="13"/>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4" w:name="_Toc199494259"/>
      <w:r>
        <w:rPr>
          <w:rStyle w:val="CharSectno"/>
        </w:rPr>
        <w:lastRenderedPageBreak/>
        <w:t>8</w:t>
      </w:r>
      <w:r>
        <w:rPr>
          <w:snapToGrid w:val="0"/>
        </w:rPr>
        <w:t>.</w:t>
      </w:r>
      <w:r>
        <w:rPr>
          <w:snapToGrid w:val="0"/>
        </w:rPr>
        <w:tab/>
        <w:t>Special factors affecting survey, owner to inform CEO of</w:t>
      </w:r>
      <w:bookmarkEnd w:id="14"/>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15" w:name="_Toc199494260"/>
      <w:r>
        <w:rPr>
          <w:rStyle w:val="CharSectno"/>
        </w:rPr>
        <w:t>9</w:t>
      </w:r>
      <w:r>
        <w:rPr>
          <w:snapToGrid w:val="0"/>
        </w:rPr>
        <w:t>.</w:t>
      </w:r>
      <w:r>
        <w:rPr>
          <w:snapToGrid w:val="0"/>
        </w:rPr>
        <w:tab/>
        <w:t>Accidents etc. to or on vessel, owner to inform CEO of</w:t>
      </w:r>
      <w:bookmarkEnd w:id="15"/>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16" w:name="_Toc199494261"/>
      <w:r>
        <w:rPr>
          <w:rStyle w:val="CharSectno"/>
        </w:rPr>
        <w:t>10</w:t>
      </w:r>
      <w:r>
        <w:rPr>
          <w:snapToGrid w:val="0"/>
        </w:rPr>
        <w:t>.</w:t>
      </w:r>
      <w:r>
        <w:rPr>
          <w:snapToGrid w:val="0"/>
        </w:rPr>
        <w:tab/>
        <w:t>Class 2E and 3E vessels, CEO may exempt from survey</w:t>
      </w:r>
      <w:bookmarkEnd w:id="16"/>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lastRenderedPageBreak/>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17" w:name="_Toc199494262"/>
      <w:r>
        <w:rPr>
          <w:rStyle w:val="CharSectno"/>
        </w:rPr>
        <w:lastRenderedPageBreak/>
        <w:t>10A</w:t>
      </w:r>
      <w:r>
        <w:rPr>
          <w:snapToGrid w:val="0"/>
        </w:rPr>
        <w:t>.</w:t>
      </w:r>
      <w:r>
        <w:rPr>
          <w:snapToGrid w:val="0"/>
        </w:rPr>
        <w:tab/>
        <w:t>Certain fishing vessels and class 2 vessels exempt from r. 5 and 6</w:t>
      </w:r>
      <w:bookmarkEnd w:id="17"/>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lastRenderedPageBreak/>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pPr>
        <w:pStyle w:val="Heading2"/>
      </w:pPr>
      <w:bookmarkStart w:id="18" w:name="_Toc199494263"/>
      <w:r>
        <w:rPr>
          <w:rStyle w:val="CharPartNo"/>
        </w:rPr>
        <w:lastRenderedPageBreak/>
        <w:t>Part III</w:t>
      </w:r>
      <w:r>
        <w:rPr>
          <w:rStyle w:val="CharDivNo"/>
        </w:rPr>
        <w:t> </w:t>
      </w:r>
      <w:r>
        <w:t>—</w:t>
      </w:r>
      <w:r>
        <w:rPr>
          <w:rStyle w:val="CharDivText"/>
        </w:rPr>
        <w:t> </w:t>
      </w:r>
      <w:r>
        <w:rPr>
          <w:rStyle w:val="CharPartText"/>
        </w:rPr>
        <w:t>Certificates</w:t>
      </w:r>
      <w:bookmarkEnd w:id="18"/>
    </w:p>
    <w:p>
      <w:pPr>
        <w:pStyle w:val="Heading5"/>
        <w:rPr>
          <w:snapToGrid w:val="0"/>
        </w:rPr>
      </w:pPr>
      <w:bookmarkStart w:id="19" w:name="_Toc199494264"/>
      <w:r>
        <w:rPr>
          <w:rStyle w:val="CharSectno"/>
        </w:rPr>
        <w:t>11</w:t>
      </w:r>
      <w:r>
        <w:rPr>
          <w:snapToGrid w:val="0"/>
        </w:rPr>
        <w:t>.</w:t>
      </w:r>
      <w:r>
        <w:rPr>
          <w:snapToGrid w:val="0"/>
        </w:rPr>
        <w:tab/>
        <w:t>Certificate of survey, content and issue of</w:t>
      </w:r>
      <w:bookmarkEnd w:id="19"/>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20" w:name="_Toc199494265"/>
      <w:r>
        <w:rPr>
          <w:rStyle w:val="CharSectno"/>
        </w:rPr>
        <w:t>12</w:t>
      </w:r>
      <w:r>
        <w:rPr>
          <w:snapToGrid w:val="0"/>
        </w:rPr>
        <w:t>.</w:t>
      </w:r>
      <w:r>
        <w:rPr>
          <w:snapToGrid w:val="0"/>
        </w:rPr>
        <w:tab/>
        <w:t>Compliance with survey requirements, evidence of on vessel</w:t>
      </w:r>
      <w:bookmarkEnd w:id="20"/>
    </w:p>
    <w:p>
      <w:pPr>
        <w:pStyle w:val="Subsection"/>
        <w:rPr>
          <w:snapToGrid w:val="0"/>
        </w:rPr>
      </w:pPr>
      <w:r>
        <w:rPr>
          <w:snapToGrid w:val="0"/>
        </w:rPr>
        <w:tab/>
        <w:t>(1)</w:t>
      </w:r>
      <w:r>
        <w:rPr>
          <w:snapToGrid w:val="0"/>
        </w:rPr>
        <w:tab/>
        <w:t xml:space="preserve">Evidence of compliance with the appropriate survey requirements shall consist of the display of the original, or a copy of the certificate of survey, or a plasticised document or a </w:t>
      </w:r>
      <w:r>
        <w:rPr>
          <w:snapToGrid w:val="0"/>
        </w:rPr>
        <w:lastRenderedPageBreak/>
        <w:t>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21" w:name="_Toc199494266"/>
      <w:r>
        <w:rPr>
          <w:rStyle w:val="CharSectno"/>
        </w:rPr>
        <w:t>13</w:t>
      </w:r>
      <w:r>
        <w:rPr>
          <w:snapToGrid w:val="0"/>
        </w:rPr>
        <w:t>.</w:t>
      </w:r>
      <w:r>
        <w:rPr>
          <w:snapToGrid w:val="0"/>
        </w:rPr>
        <w:tab/>
        <w:t>Revalidation or renewal of certificate of survey after subsequent survey</w:t>
      </w:r>
      <w:bookmarkEnd w:id="21"/>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lastRenderedPageBreak/>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22" w:name="_Toc199494267"/>
      <w:r>
        <w:rPr>
          <w:rStyle w:val="CharSectno"/>
        </w:rPr>
        <w:t>14</w:t>
      </w:r>
      <w:r>
        <w:rPr>
          <w:snapToGrid w:val="0"/>
        </w:rPr>
        <w:t>.</w:t>
      </w:r>
      <w:r>
        <w:rPr>
          <w:snapToGrid w:val="0"/>
        </w:rPr>
        <w:tab/>
        <w:t>Extension of certificate of survey</w:t>
      </w:r>
      <w:bookmarkEnd w:id="22"/>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lastRenderedPageBreak/>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23" w:name="_Toc199494268"/>
      <w:r>
        <w:rPr>
          <w:rStyle w:val="CharSectno"/>
        </w:rPr>
        <w:t>15</w:t>
      </w:r>
      <w:r>
        <w:rPr>
          <w:snapToGrid w:val="0"/>
        </w:rPr>
        <w:t>.</w:t>
      </w:r>
      <w:r>
        <w:rPr>
          <w:snapToGrid w:val="0"/>
        </w:rPr>
        <w:tab/>
        <w:t>Suspending or cancelling certificate of survey</w:t>
      </w:r>
      <w:bookmarkEnd w:id="23"/>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24" w:name="_Toc199494269"/>
      <w:r>
        <w:rPr>
          <w:rStyle w:val="CharSectno"/>
        </w:rPr>
        <w:t>16</w:t>
      </w:r>
      <w:r>
        <w:rPr>
          <w:snapToGrid w:val="0"/>
        </w:rPr>
        <w:t>.</w:t>
      </w:r>
      <w:r>
        <w:rPr>
          <w:snapToGrid w:val="0"/>
        </w:rPr>
        <w:tab/>
        <w:t>Sale etc. of surveyed vessel, owner to notify CEO of</w:t>
      </w:r>
      <w:bookmarkEnd w:id="24"/>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lastRenderedPageBreak/>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25" w:name="_Toc199494270"/>
      <w:r>
        <w:rPr>
          <w:rStyle w:val="CharSectno"/>
        </w:rPr>
        <w:t>17</w:t>
      </w:r>
      <w:r>
        <w:rPr>
          <w:snapToGrid w:val="0"/>
        </w:rPr>
        <w:t>.</w:t>
      </w:r>
      <w:r>
        <w:rPr>
          <w:snapToGrid w:val="0"/>
        </w:rPr>
        <w:tab/>
        <w:t>Certificate of survey issued outside WA, acceptance of</w:t>
      </w:r>
      <w:bookmarkEnd w:id="25"/>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26" w:name="_Toc199494271"/>
      <w:r>
        <w:rPr>
          <w:rStyle w:val="CharSectno"/>
        </w:rPr>
        <w:t>18</w:t>
      </w:r>
      <w:r>
        <w:rPr>
          <w:snapToGrid w:val="0"/>
        </w:rPr>
        <w:t>.</w:t>
      </w:r>
      <w:r>
        <w:rPr>
          <w:snapToGrid w:val="0"/>
        </w:rPr>
        <w:tab/>
        <w:t>Survey programme approved outside WA may continue in WA</w:t>
      </w:r>
      <w:bookmarkEnd w:id="26"/>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27" w:name="_Toc199494272"/>
      <w:r>
        <w:rPr>
          <w:rStyle w:val="CharPartNo"/>
        </w:rPr>
        <w:lastRenderedPageBreak/>
        <w:t>Part IV</w:t>
      </w:r>
      <w:r>
        <w:rPr>
          <w:rStyle w:val="CharDivNo"/>
        </w:rPr>
        <w:t> </w:t>
      </w:r>
      <w:r>
        <w:t>—</w:t>
      </w:r>
      <w:r>
        <w:rPr>
          <w:rStyle w:val="CharDivText"/>
        </w:rPr>
        <w:t> </w:t>
      </w:r>
      <w:r>
        <w:rPr>
          <w:rStyle w:val="CharPartText"/>
        </w:rPr>
        <w:t>Single voyage towage permits</w:t>
      </w:r>
      <w:bookmarkEnd w:id="27"/>
    </w:p>
    <w:p>
      <w:pPr>
        <w:pStyle w:val="Heading5"/>
        <w:spacing w:before="180"/>
        <w:rPr>
          <w:snapToGrid w:val="0"/>
        </w:rPr>
      </w:pPr>
      <w:bookmarkStart w:id="28" w:name="_Toc199494273"/>
      <w:r>
        <w:rPr>
          <w:rStyle w:val="CharSectno"/>
        </w:rPr>
        <w:t>19</w:t>
      </w:r>
      <w:r>
        <w:rPr>
          <w:snapToGrid w:val="0"/>
        </w:rPr>
        <w:t>.</w:t>
      </w:r>
      <w:r>
        <w:rPr>
          <w:snapToGrid w:val="0"/>
        </w:rPr>
        <w:tab/>
        <w:t>Application of this Part</w:t>
      </w:r>
      <w:bookmarkEnd w:id="28"/>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29" w:name="_Toc199494274"/>
      <w:r>
        <w:rPr>
          <w:rStyle w:val="CharSectno"/>
        </w:rPr>
        <w:t>20</w:t>
      </w:r>
      <w:r>
        <w:rPr>
          <w:snapToGrid w:val="0"/>
        </w:rPr>
        <w:t>.</w:t>
      </w:r>
      <w:r>
        <w:rPr>
          <w:snapToGrid w:val="0"/>
        </w:rPr>
        <w:tab/>
        <w:t>Application for towage permit</w:t>
      </w:r>
      <w:bookmarkEnd w:id="29"/>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lastRenderedPageBreak/>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30" w:name="_Toc199494275"/>
      <w:r>
        <w:rPr>
          <w:rStyle w:val="CharSectno"/>
        </w:rPr>
        <w:t>21</w:t>
      </w:r>
      <w:r>
        <w:rPr>
          <w:snapToGrid w:val="0"/>
        </w:rPr>
        <w:t>.</w:t>
      </w:r>
      <w:r>
        <w:rPr>
          <w:snapToGrid w:val="0"/>
        </w:rPr>
        <w:tab/>
        <w:t>Issue of towage permit</w:t>
      </w:r>
      <w:bookmarkEnd w:id="30"/>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 xml:space="preserve">Subject to a satisfactory inspection under this regulation, the Chief Executive Officer may issue a towage permit in the </w:t>
      </w:r>
      <w:r>
        <w:rPr>
          <w:snapToGrid w:val="0"/>
        </w:rPr>
        <w:lastRenderedPageBreak/>
        <w:t>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31" w:name="_Toc199494276"/>
      <w:r>
        <w:rPr>
          <w:rStyle w:val="CharSectno"/>
        </w:rPr>
        <w:t>22</w:t>
      </w:r>
      <w:r>
        <w:rPr>
          <w:snapToGrid w:val="0"/>
        </w:rPr>
        <w:t>.</w:t>
      </w:r>
      <w:r>
        <w:rPr>
          <w:snapToGrid w:val="0"/>
        </w:rPr>
        <w:tab/>
        <w:t>Offence for vessel to be towed without towage permit</w:t>
      </w:r>
      <w:bookmarkEnd w:id="31"/>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32" w:name="_Toc199494277"/>
      <w:r>
        <w:rPr>
          <w:rStyle w:val="CharSchNo"/>
        </w:rPr>
        <w:lastRenderedPageBreak/>
        <w:t>Schedule 1 </w:t>
      </w:r>
      <w:r>
        <w:t>— </w:t>
      </w:r>
      <w:r>
        <w:rPr>
          <w:rStyle w:val="CharSchText"/>
        </w:rPr>
        <w:t>Fees</w:t>
      </w:r>
      <w:bookmarkEnd w:id="32"/>
    </w:p>
    <w:p>
      <w:pPr>
        <w:pStyle w:val="yShoulderClause"/>
      </w:pPr>
      <w:r>
        <w:t>[r. 4A]</w:t>
      </w:r>
    </w:p>
    <w:p>
      <w:pPr>
        <w:pStyle w:val="yFootnoteheading"/>
        <w:spacing w:after="120"/>
      </w:pPr>
      <w:r>
        <w:tab/>
        <w:t>[Heading inserted: Gazette 25 Jun 2004 p. 2251.]</w:t>
      </w:r>
    </w:p>
    <w:p>
      <w:pPr>
        <w:pStyle w:val="yHeading5"/>
      </w:pPr>
      <w:bookmarkStart w:id="33" w:name="_Toc199494278"/>
      <w:r>
        <w:rPr>
          <w:rStyle w:val="CharSClsNo"/>
        </w:rPr>
        <w:t>1</w:t>
      </w:r>
      <w:r>
        <w:t>.</w:t>
      </w:r>
      <w:r>
        <w:tab/>
        <w:t>Survey fees</w:t>
      </w:r>
      <w:bookmarkEnd w:id="33"/>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cantSplit/>
          <w:tblHeader/>
        </w:trPr>
        <w:tc>
          <w:tcPr>
            <w:tcW w:w="1701" w:type="dxa"/>
            <w:noWrap/>
          </w:tcPr>
          <w:p>
            <w:pPr>
              <w:pStyle w:val="yTableNAm"/>
              <w:rPr>
                <w:b/>
              </w:rPr>
            </w:pPr>
            <w:r>
              <w:rPr>
                <w:b/>
              </w:rPr>
              <w:t>Length of vessel</w:t>
            </w:r>
            <w:r>
              <w:rPr>
                <w:b/>
              </w:rPr>
              <w:br/>
              <w:t>(metres)</w:t>
            </w:r>
          </w:p>
        </w:tc>
        <w:tc>
          <w:tcPr>
            <w:tcW w:w="1512" w:type="dxa"/>
            <w:noWrap/>
          </w:tcPr>
          <w:p>
            <w:pPr>
              <w:pStyle w:val="yTableNAm"/>
              <w:jc w:val="center"/>
              <w:rPr>
                <w:b/>
              </w:rPr>
            </w:pPr>
            <w:r>
              <w:rPr>
                <w:b/>
              </w:rPr>
              <w:t>Examination of plans</w:t>
            </w:r>
            <w:r>
              <w:rPr>
                <w:b/>
              </w:rPr>
              <w:br/>
              <w:t>($)</w:t>
            </w:r>
          </w:p>
        </w:tc>
        <w:tc>
          <w:tcPr>
            <w:tcW w:w="1512" w:type="dxa"/>
            <w:noWrap/>
          </w:tcPr>
          <w:p>
            <w:pPr>
              <w:pStyle w:val="yTableNAm"/>
              <w:jc w:val="center"/>
              <w:rPr>
                <w:b/>
              </w:rPr>
            </w:pPr>
            <w:r>
              <w:rPr>
                <w:b/>
              </w:rPr>
              <w:t>Initial</w:t>
            </w:r>
            <w:r>
              <w:rPr>
                <w:b/>
              </w:rPr>
              <w:br/>
              <w:t>survey</w:t>
            </w:r>
            <w:r>
              <w:rPr>
                <w:b/>
              </w:rPr>
              <w:br/>
              <w:t>($)</w:t>
            </w:r>
          </w:p>
        </w:tc>
        <w:tc>
          <w:tcPr>
            <w:tcW w:w="1512" w:type="dxa"/>
            <w:noWrap/>
          </w:tcPr>
          <w:p>
            <w:pPr>
              <w:pStyle w:val="yTableNAm"/>
              <w:jc w:val="center"/>
              <w:rPr>
                <w:b/>
              </w:rPr>
            </w:pPr>
            <w:r>
              <w:rPr>
                <w:b/>
              </w:rPr>
              <w:t>Subsequent surveys</w:t>
            </w:r>
            <w:r>
              <w:rPr>
                <w:b/>
              </w:rPr>
              <w:br/>
              <w:t>($)</w:t>
            </w:r>
          </w:p>
        </w:tc>
      </w:tr>
      <w:tr>
        <w:trPr>
          <w:cantSplit/>
        </w:trPr>
        <w:tc>
          <w:tcPr>
            <w:tcW w:w="1701" w:type="dxa"/>
            <w:noWrap/>
          </w:tcPr>
          <w:p>
            <w:pPr>
              <w:pStyle w:val="yTableNAm"/>
            </w:pPr>
            <w:r>
              <w:t>Not over 5</w:t>
            </w:r>
          </w:p>
        </w:tc>
        <w:tc>
          <w:tcPr>
            <w:tcW w:w="1512" w:type="dxa"/>
            <w:noWrap/>
            <w:vAlign w:val="bottom"/>
          </w:tcPr>
          <w:p>
            <w:pPr>
              <w:pStyle w:val="yTableNAm"/>
              <w:tabs>
                <w:tab w:val="clear" w:pos="567"/>
              </w:tabs>
              <w:ind w:right="383"/>
              <w:jc w:val="right"/>
            </w:pPr>
            <w:r>
              <w:t>647</w:t>
            </w:r>
          </w:p>
        </w:tc>
        <w:tc>
          <w:tcPr>
            <w:tcW w:w="1512" w:type="dxa"/>
            <w:noWrap/>
            <w:vAlign w:val="bottom"/>
          </w:tcPr>
          <w:p>
            <w:pPr>
              <w:pStyle w:val="yTableNAm"/>
              <w:tabs>
                <w:tab w:val="clear" w:pos="567"/>
              </w:tabs>
              <w:ind w:right="383"/>
              <w:jc w:val="right"/>
            </w:pPr>
            <w:r>
              <w:t>910</w:t>
            </w:r>
          </w:p>
        </w:tc>
        <w:tc>
          <w:tcPr>
            <w:tcW w:w="1512" w:type="dxa"/>
            <w:noWrap/>
            <w:vAlign w:val="bottom"/>
          </w:tcPr>
          <w:p>
            <w:pPr>
              <w:pStyle w:val="yTableNAm"/>
              <w:tabs>
                <w:tab w:val="clear" w:pos="567"/>
              </w:tabs>
              <w:ind w:right="383"/>
              <w:jc w:val="right"/>
            </w:pPr>
            <w:r>
              <w:t>278</w:t>
            </w:r>
          </w:p>
        </w:tc>
      </w:tr>
      <w:tr>
        <w:trPr>
          <w:cantSplit/>
        </w:trPr>
        <w:tc>
          <w:tcPr>
            <w:tcW w:w="1701" w:type="dxa"/>
            <w:noWrap/>
          </w:tcPr>
          <w:p>
            <w:pPr>
              <w:pStyle w:val="yTableNAm"/>
            </w:pPr>
            <w:r>
              <w:t>Over 5 but not over 6</w:t>
            </w:r>
          </w:p>
        </w:tc>
        <w:tc>
          <w:tcPr>
            <w:tcW w:w="1512" w:type="dxa"/>
            <w:noWrap/>
            <w:vAlign w:val="bottom"/>
          </w:tcPr>
          <w:p>
            <w:pPr>
              <w:pStyle w:val="yTableNAm"/>
              <w:tabs>
                <w:tab w:val="clear" w:pos="567"/>
              </w:tabs>
              <w:ind w:right="383"/>
              <w:jc w:val="right"/>
            </w:pPr>
            <w:r>
              <w:t>760</w:t>
            </w:r>
          </w:p>
        </w:tc>
        <w:tc>
          <w:tcPr>
            <w:tcW w:w="1512" w:type="dxa"/>
            <w:noWrap/>
            <w:vAlign w:val="bottom"/>
          </w:tcPr>
          <w:p>
            <w:pPr>
              <w:pStyle w:val="yTableNAm"/>
              <w:tabs>
                <w:tab w:val="clear" w:pos="567"/>
              </w:tabs>
              <w:ind w:right="383"/>
              <w:jc w:val="right"/>
            </w:pPr>
            <w:r>
              <w:t>1 269</w:t>
            </w:r>
          </w:p>
        </w:tc>
        <w:tc>
          <w:tcPr>
            <w:tcW w:w="1512" w:type="dxa"/>
            <w:noWrap/>
            <w:vAlign w:val="bottom"/>
          </w:tcPr>
          <w:p>
            <w:pPr>
              <w:pStyle w:val="yTableNAm"/>
              <w:tabs>
                <w:tab w:val="clear" w:pos="567"/>
              </w:tabs>
              <w:ind w:right="383"/>
              <w:jc w:val="right"/>
            </w:pPr>
            <w:r>
              <w:t>337</w:t>
            </w:r>
          </w:p>
        </w:tc>
      </w:tr>
      <w:tr>
        <w:trPr>
          <w:cantSplit/>
        </w:trPr>
        <w:tc>
          <w:tcPr>
            <w:tcW w:w="1701" w:type="dxa"/>
            <w:noWrap/>
          </w:tcPr>
          <w:p>
            <w:pPr>
              <w:pStyle w:val="yTableNAm"/>
            </w:pPr>
            <w:r>
              <w:t>Over 6 but not over 7</w:t>
            </w:r>
          </w:p>
        </w:tc>
        <w:tc>
          <w:tcPr>
            <w:tcW w:w="1512" w:type="dxa"/>
            <w:noWrap/>
            <w:vAlign w:val="bottom"/>
          </w:tcPr>
          <w:p>
            <w:pPr>
              <w:pStyle w:val="yTableNAm"/>
              <w:tabs>
                <w:tab w:val="clear" w:pos="567"/>
              </w:tabs>
              <w:ind w:right="383"/>
              <w:jc w:val="right"/>
            </w:pPr>
            <w:r>
              <w:t>826</w:t>
            </w:r>
          </w:p>
        </w:tc>
        <w:tc>
          <w:tcPr>
            <w:tcW w:w="1512" w:type="dxa"/>
            <w:noWrap/>
            <w:vAlign w:val="bottom"/>
          </w:tcPr>
          <w:p>
            <w:pPr>
              <w:pStyle w:val="yTableNAm"/>
              <w:tabs>
                <w:tab w:val="clear" w:pos="567"/>
              </w:tabs>
              <w:ind w:right="383"/>
              <w:jc w:val="right"/>
            </w:pPr>
            <w:r>
              <w:t>1 788</w:t>
            </w:r>
          </w:p>
        </w:tc>
        <w:tc>
          <w:tcPr>
            <w:tcW w:w="1512" w:type="dxa"/>
            <w:noWrap/>
            <w:vAlign w:val="bottom"/>
          </w:tcPr>
          <w:p>
            <w:pPr>
              <w:pStyle w:val="yTableNAm"/>
              <w:tabs>
                <w:tab w:val="clear" w:pos="567"/>
              </w:tabs>
              <w:ind w:right="383"/>
              <w:jc w:val="right"/>
            </w:pPr>
            <w:r>
              <w:t>410</w:t>
            </w:r>
          </w:p>
        </w:tc>
      </w:tr>
      <w:tr>
        <w:trPr>
          <w:cantSplit/>
        </w:trPr>
        <w:tc>
          <w:tcPr>
            <w:tcW w:w="1701" w:type="dxa"/>
            <w:noWrap/>
          </w:tcPr>
          <w:p>
            <w:pPr>
              <w:pStyle w:val="yTableNAm"/>
            </w:pPr>
            <w:r>
              <w:t>Over 7 but not over 8</w:t>
            </w:r>
          </w:p>
        </w:tc>
        <w:tc>
          <w:tcPr>
            <w:tcW w:w="1512" w:type="dxa"/>
            <w:noWrap/>
            <w:vAlign w:val="bottom"/>
          </w:tcPr>
          <w:p>
            <w:pPr>
              <w:pStyle w:val="yTableNAm"/>
              <w:tabs>
                <w:tab w:val="clear" w:pos="567"/>
              </w:tabs>
              <w:ind w:right="383"/>
              <w:jc w:val="right"/>
            </w:pPr>
            <w:r>
              <w:t>1 066</w:t>
            </w:r>
          </w:p>
        </w:tc>
        <w:tc>
          <w:tcPr>
            <w:tcW w:w="1512" w:type="dxa"/>
            <w:noWrap/>
            <w:vAlign w:val="bottom"/>
          </w:tcPr>
          <w:p>
            <w:pPr>
              <w:pStyle w:val="yTableNAm"/>
              <w:tabs>
                <w:tab w:val="clear" w:pos="567"/>
              </w:tabs>
              <w:ind w:right="383"/>
              <w:jc w:val="right"/>
            </w:pPr>
            <w:r>
              <w:t>2 374</w:t>
            </w:r>
          </w:p>
        </w:tc>
        <w:tc>
          <w:tcPr>
            <w:tcW w:w="1512" w:type="dxa"/>
            <w:noWrap/>
            <w:vAlign w:val="bottom"/>
          </w:tcPr>
          <w:p>
            <w:pPr>
              <w:pStyle w:val="yTableNAm"/>
              <w:tabs>
                <w:tab w:val="clear" w:pos="567"/>
              </w:tabs>
              <w:ind w:right="383"/>
              <w:jc w:val="right"/>
            </w:pPr>
            <w:r>
              <w:t>444</w:t>
            </w:r>
          </w:p>
        </w:tc>
      </w:tr>
      <w:tr>
        <w:trPr>
          <w:cantSplit/>
        </w:trPr>
        <w:tc>
          <w:tcPr>
            <w:tcW w:w="1701" w:type="dxa"/>
            <w:noWrap/>
          </w:tcPr>
          <w:p>
            <w:pPr>
              <w:pStyle w:val="yTableNAm"/>
            </w:pPr>
            <w:r>
              <w:t>Over 8 but not over 9</w:t>
            </w:r>
          </w:p>
        </w:tc>
        <w:tc>
          <w:tcPr>
            <w:tcW w:w="1512" w:type="dxa"/>
            <w:noWrap/>
            <w:vAlign w:val="bottom"/>
          </w:tcPr>
          <w:p>
            <w:pPr>
              <w:pStyle w:val="yTableNAm"/>
              <w:tabs>
                <w:tab w:val="clear" w:pos="567"/>
              </w:tabs>
              <w:ind w:right="383"/>
              <w:jc w:val="right"/>
            </w:pPr>
            <w:r>
              <w:t>1 317</w:t>
            </w:r>
          </w:p>
        </w:tc>
        <w:tc>
          <w:tcPr>
            <w:tcW w:w="1512" w:type="dxa"/>
            <w:noWrap/>
            <w:vAlign w:val="bottom"/>
          </w:tcPr>
          <w:p>
            <w:pPr>
              <w:pStyle w:val="yTableNAm"/>
              <w:tabs>
                <w:tab w:val="clear" w:pos="567"/>
              </w:tabs>
              <w:ind w:right="383"/>
              <w:jc w:val="right"/>
            </w:pPr>
            <w:r>
              <w:t>3 093</w:t>
            </w:r>
          </w:p>
        </w:tc>
        <w:tc>
          <w:tcPr>
            <w:tcW w:w="1512" w:type="dxa"/>
            <w:noWrap/>
            <w:vAlign w:val="bottom"/>
          </w:tcPr>
          <w:p>
            <w:pPr>
              <w:pStyle w:val="yTableNAm"/>
              <w:tabs>
                <w:tab w:val="clear" w:pos="567"/>
              </w:tabs>
              <w:ind w:right="383"/>
              <w:jc w:val="right"/>
            </w:pPr>
            <w:r>
              <w:t>479</w:t>
            </w:r>
          </w:p>
        </w:tc>
      </w:tr>
      <w:tr>
        <w:trPr>
          <w:cantSplit/>
        </w:trPr>
        <w:tc>
          <w:tcPr>
            <w:tcW w:w="1701" w:type="dxa"/>
            <w:noWrap/>
          </w:tcPr>
          <w:p>
            <w:pPr>
              <w:pStyle w:val="yTableNAm"/>
            </w:pPr>
            <w:r>
              <w:t>Over 9 but not over 10</w:t>
            </w:r>
          </w:p>
        </w:tc>
        <w:tc>
          <w:tcPr>
            <w:tcW w:w="1512" w:type="dxa"/>
            <w:noWrap/>
            <w:vAlign w:val="bottom"/>
          </w:tcPr>
          <w:p>
            <w:pPr>
              <w:pStyle w:val="yTableNAm"/>
              <w:tabs>
                <w:tab w:val="clear" w:pos="567"/>
              </w:tabs>
              <w:ind w:right="383"/>
              <w:jc w:val="right"/>
            </w:pPr>
            <w:r>
              <w:t>1 542</w:t>
            </w:r>
          </w:p>
        </w:tc>
        <w:tc>
          <w:tcPr>
            <w:tcW w:w="1512" w:type="dxa"/>
            <w:noWrap/>
            <w:vAlign w:val="bottom"/>
          </w:tcPr>
          <w:p>
            <w:pPr>
              <w:pStyle w:val="yTableNAm"/>
              <w:tabs>
                <w:tab w:val="clear" w:pos="567"/>
              </w:tabs>
              <w:ind w:right="383"/>
              <w:jc w:val="right"/>
            </w:pPr>
            <w:r>
              <w:t>3 804</w:t>
            </w:r>
          </w:p>
        </w:tc>
        <w:tc>
          <w:tcPr>
            <w:tcW w:w="1512" w:type="dxa"/>
            <w:noWrap/>
            <w:vAlign w:val="bottom"/>
          </w:tcPr>
          <w:p>
            <w:pPr>
              <w:pStyle w:val="yTableNAm"/>
              <w:tabs>
                <w:tab w:val="clear" w:pos="567"/>
              </w:tabs>
              <w:ind w:right="383"/>
              <w:jc w:val="right"/>
            </w:pPr>
            <w:r>
              <w:t>506</w:t>
            </w:r>
          </w:p>
        </w:tc>
      </w:tr>
      <w:tr>
        <w:trPr>
          <w:cantSplit/>
        </w:trPr>
        <w:tc>
          <w:tcPr>
            <w:tcW w:w="1701" w:type="dxa"/>
            <w:noWrap/>
          </w:tcPr>
          <w:p>
            <w:pPr>
              <w:pStyle w:val="yTableNAm"/>
            </w:pPr>
            <w:r>
              <w:t>Over 10 but not over 11</w:t>
            </w:r>
          </w:p>
        </w:tc>
        <w:tc>
          <w:tcPr>
            <w:tcW w:w="1512" w:type="dxa"/>
            <w:noWrap/>
            <w:vAlign w:val="bottom"/>
          </w:tcPr>
          <w:p>
            <w:pPr>
              <w:pStyle w:val="yTableNAm"/>
              <w:tabs>
                <w:tab w:val="clear" w:pos="567"/>
              </w:tabs>
              <w:ind w:right="383"/>
              <w:jc w:val="right"/>
            </w:pPr>
            <w:r>
              <w:t>1 902</w:t>
            </w:r>
          </w:p>
        </w:tc>
        <w:tc>
          <w:tcPr>
            <w:tcW w:w="1512" w:type="dxa"/>
            <w:noWrap/>
            <w:vAlign w:val="bottom"/>
          </w:tcPr>
          <w:p>
            <w:pPr>
              <w:pStyle w:val="yTableNAm"/>
              <w:tabs>
                <w:tab w:val="clear" w:pos="567"/>
              </w:tabs>
              <w:ind w:right="383"/>
              <w:jc w:val="right"/>
            </w:pPr>
            <w:r>
              <w:t>4 572</w:t>
            </w:r>
          </w:p>
        </w:tc>
        <w:tc>
          <w:tcPr>
            <w:tcW w:w="1512" w:type="dxa"/>
            <w:noWrap/>
            <w:vAlign w:val="bottom"/>
          </w:tcPr>
          <w:p>
            <w:pPr>
              <w:pStyle w:val="yTableNAm"/>
              <w:tabs>
                <w:tab w:val="clear" w:pos="567"/>
              </w:tabs>
              <w:ind w:right="383"/>
              <w:jc w:val="right"/>
            </w:pPr>
            <w:r>
              <w:t>557</w:t>
            </w:r>
          </w:p>
        </w:tc>
      </w:tr>
      <w:tr>
        <w:trPr>
          <w:cantSplit/>
        </w:trPr>
        <w:tc>
          <w:tcPr>
            <w:tcW w:w="1701" w:type="dxa"/>
            <w:noWrap/>
          </w:tcPr>
          <w:p>
            <w:pPr>
              <w:pStyle w:val="yTableNAm"/>
            </w:pPr>
            <w:r>
              <w:t>Over 11 but not over 12</w:t>
            </w:r>
          </w:p>
        </w:tc>
        <w:tc>
          <w:tcPr>
            <w:tcW w:w="1512" w:type="dxa"/>
            <w:noWrap/>
            <w:vAlign w:val="bottom"/>
          </w:tcPr>
          <w:p>
            <w:pPr>
              <w:pStyle w:val="yTableNAm"/>
              <w:tabs>
                <w:tab w:val="clear" w:pos="567"/>
              </w:tabs>
              <w:ind w:right="383"/>
              <w:jc w:val="right"/>
            </w:pPr>
            <w:r>
              <w:t>2 257</w:t>
            </w:r>
          </w:p>
        </w:tc>
        <w:tc>
          <w:tcPr>
            <w:tcW w:w="1512" w:type="dxa"/>
            <w:noWrap/>
            <w:vAlign w:val="bottom"/>
          </w:tcPr>
          <w:p>
            <w:pPr>
              <w:pStyle w:val="yTableNAm"/>
              <w:tabs>
                <w:tab w:val="clear" w:pos="567"/>
              </w:tabs>
              <w:ind w:right="383"/>
              <w:jc w:val="right"/>
            </w:pPr>
            <w:r>
              <w:t>5 351</w:t>
            </w:r>
          </w:p>
        </w:tc>
        <w:tc>
          <w:tcPr>
            <w:tcW w:w="1512" w:type="dxa"/>
            <w:noWrap/>
            <w:vAlign w:val="bottom"/>
          </w:tcPr>
          <w:p>
            <w:pPr>
              <w:pStyle w:val="yTableNAm"/>
              <w:tabs>
                <w:tab w:val="clear" w:pos="567"/>
              </w:tabs>
              <w:ind w:right="383"/>
              <w:jc w:val="right"/>
            </w:pPr>
            <w:r>
              <w:t>613</w:t>
            </w:r>
          </w:p>
        </w:tc>
      </w:tr>
      <w:tr>
        <w:trPr>
          <w:cantSplit/>
        </w:trPr>
        <w:tc>
          <w:tcPr>
            <w:tcW w:w="1701" w:type="dxa"/>
            <w:noWrap/>
          </w:tcPr>
          <w:p>
            <w:pPr>
              <w:pStyle w:val="yTableNAm"/>
            </w:pPr>
            <w:r>
              <w:lastRenderedPageBreak/>
              <w:t>Over 12 but not over 13</w:t>
            </w:r>
          </w:p>
        </w:tc>
        <w:tc>
          <w:tcPr>
            <w:tcW w:w="1512" w:type="dxa"/>
            <w:noWrap/>
            <w:vAlign w:val="bottom"/>
          </w:tcPr>
          <w:p>
            <w:pPr>
              <w:pStyle w:val="yTableNAm"/>
              <w:tabs>
                <w:tab w:val="clear" w:pos="567"/>
              </w:tabs>
              <w:ind w:right="383"/>
              <w:jc w:val="right"/>
            </w:pPr>
            <w:r>
              <w:t>2 609</w:t>
            </w:r>
          </w:p>
        </w:tc>
        <w:tc>
          <w:tcPr>
            <w:tcW w:w="1512" w:type="dxa"/>
            <w:noWrap/>
            <w:vAlign w:val="bottom"/>
          </w:tcPr>
          <w:p>
            <w:pPr>
              <w:pStyle w:val="yTableNAm"/>
              <w:tabs>
                <w:tab w:val="clear" w:pos="567"/>
              </w:tabs>
              <w:ind w:right="383"/>
              <w:jc w:val="right"/>
            </w:pPr>
            <w:r>
              <w:t>6 125</w:t>
            </w:r>
          </w:p>
        </w:tc>
        <w:tc>
          <w:tcPr>
            <w:tcW w:w="1512" w:type="dxa"/>
            <w:noWrap/>
            <w:vAlign w:val="bottom"/>
          </w:tcPr>
          <w:p>
            <w:pPr>
              <w:pStyle w:val="yTableNAm"/>
              <w:tabs>
                <w:tab w:val="clear" w:pos="567"/>
              </w:tabs>
              <w:ind w:right="383"/>
              <w:jc w:val="right"/>
            </w:pPr>
            <w:r>
              <w:t>670</w:t>
            </w:r>
          </w:p>
        </w:tc>
      </w:tr>
      <w:tr>
        <w:trPr>
          <w:cantSplit/>
        </w:trPr>
        <w:tc>
          <w:tcPr>
            <w:tcW w:w="1701" w:type="dxa"/>
            <w:noWrap/>
          </w:tcPr>
          <w:p>
            <w:pPr>
              <w:pStyle w:val="yTableNAm"/>
            </w:pPr>
            <w:r>
              <w:t>Over 13 but not over 14</w:t>
            </w:r>
          </w:p>
        </w:tc>
        <w:tc>
          <w:tcPr>
            <w:tcW w:w="1512" w:type="dxa"/>
            <w:noWrap/>
            <w:vAlign w:val="bottom"/>
          </w:tcPr>
          <w:p>
            <w:pPr>
              <w:pStyle w:val="yTableNAm"/>
              <w:tabs>
                <w:tab w:val="clear" w:pos="567"/>
              </w:tabs>
              <w:ind w:right="383"/>
              <w:jc w:val="right"/>
            </w:pPr>
            <w:r>
              <w:t>2 977</w:t>
            </w:r>
          </w:p>
        </w:tc>
        <w:tc>
          <w:tcPr>
            <w:tcW w:w="1512" w:type="dxa"/>
            <w:noWrap/>
            <w:vAlign w:val="bottom"/>
          </w:tcPr>
          <w:p>
            <w:pPr>
              <w:pStyle w:val="yTableNAm"/>
              <w:tabs>
                <w:tab w:val="clear" w:pos="567"/>
              </w:tabs>
              <w:ind w:right="383"/>
              <w:jc w:val="right"/>
            </w:pPr>
            <w:r>
              <w:t>6 896</w:t>
            </w:r>
          </w:p>
        </w:tc>
        <w:tc>
          <w:tcPr>
            <w:tcW w:w="1512" w:type="dxa"/>
            <w:noWrap/>
            <w:vAlign w:val="bottom"/>
          </w:tcPr>
          <w:p>
            <w:pPr>
              <w:pStyle w:val="yTableNAm"/>
              <w:tabs>
                <w:tab w:val="clear" w:pos="567"/>
              </w:tabs>
              <w:ind w:right="383"/>
              <w:jc w:val="right"/>
            </w:pPr>
            <w:r>
              <w:t>723</w:t>
            </w:r>
          </w:p>
        </w:tc>
      </w:tr>
      <w:tr>
        <w:trPr>
          <w:cantSplit/>
        </w:trPr>
        <w:tc>
          <w:tcPr>
            <w:tcW w:w="1701" w:type="dxa"/>
            <w:noWrap/>
          </w:tcPr>
          <w:p>
            <w:pPr>
              <w:pStyle w:val="yTableNAm"/>
            </w:pPr>
            <w:r>
              <w:t>Over 14 but not over 15</w:t>
            </w:r>
          </w:p>
        </w:tc>
        <w:tc>
          <w:tcPr>
            <w:tcW w:w="1512" w:type="dxa"/>
            <w:noWrap/>
            <w:vAlign w:val="bottom"/>
          </w:tcPr>
          <w:p>
            <w:pPr>
              <w:pStyle w:val="yTableNAm"/>
              <w:tabs>
                <w:tab w:val="clear" w:pos="567"/>
              </w:tabs>
              <w:ind w:right="383"/>
              <w:jc w:val="right"/>
            </w:pPr>
            <w:r>
              <w:t>3 337</w:t>
            </w:r>
          </w:p>
        </w:tc>
        <w:tc>
          <w:tcPr>
            <w:tcW w:w="1512" w:type="dxa"/>
            <w:noWrap/>
            <w:vAlign w:val="bottom"/>
          </w:tcPr>
          <w:p>
            <w:pPr>
              <w:pStyle w:val="yTableNAm"/>
              <w:tabs>
                <w:tab w:val="clear" w:pos="567"/>
              </w:tabs>
              <w:ind w:right="383"/>
              <w:jc w:val="right"/>
            </w:pPr>
            <w:r>
              <w:t>7 666</w:t>
            </w:r>
          </w:p>
        </w:tc>
        <w:tc>
          <w:tcPr>
            <w:tcW w:w="1512" w:type="dxa"/>
            <w:noWrap/>
            <w:vAlign w:val="bottom"/>
          </w:tcPr>
          <w:p>
            <w:pPr>
              <w:pStyle w:val="yTableNAm"/>
              <w:tabs>
                <w:tab w:val="clear" w:pos="567"/>
              </w:tabs>
              <w:ind w:right="383"/>
              <w:jc w:val="right"/>
            </w:pPr>
            <w:r>
              <w:t>776</w:t>
            </w:r>
          </w:p>
        </w:tc>
      </w:tr>
      <w:tr>
        <w:trPr>
          <w:cantSplit/>
        </w:trPr>
        <w:tc>
          <w:tcPr>
            <w:tcW w:w="1701" w:type="dxa"/>
            <w:noWrap/>
          </w:tcPr>
          <w:p>
            <w:pPr>
              <w:pStyle w:val="yTableNAm"/>
            </w:pPr>
            <w:r>
              <w:t>Over 15 but not over 16</w:t>
            </w:r>
          </w:p>
        </w:tc>
        <w:tc>
          <w:tcPr>
            <w:tcW w:w="1512" w:type="dxa"/>
            <w:noWrap/>
            <w:vAlign w:val="bottom"/>
          </w:tcPr>
          <w:p>
            <w:pPr>
              <w:pStyle w:val="yTableNAm"/>
              <w:tabs>
                <w:tab w:val="clear" w:pos="567"/>
              </w:tabs>
              <w:ind w:right="383"/>
              <w:jc w:val="right"/>
            </w:pPr>
            <w:r>
              <w:t>3 677</w:t>
            </w:r>
          </w:p>
        </w:tc>
        <w:tc>
          <w:tcPr>
            <w:tcW w:w="1512" w:type="dxa"/>
            <w:noWrap/>
            <w:vAlign w:val="bottom"/>
          </w:tcPr>
          <w:p>
            <w:pPr>
              <w:pStyle w:val="yTableNAm"/>
              <w:tabs>
                <w:tab w:val="clear" w:pos="567"/>
              </w:tabs>
              <w:ind w:right="383"/>
              <w:jc w:val="right"/>
            </w:pPr>
            <w:r>
              <w:t>8 444</w:t>
            </w:r>
          </w:p>
        </w:tc>
        <w:tc>
          <w:tcPr>
            <w:tcW w:w="1512" w:type="dxa"/>
            <w:noWrap/>
            <w:vAlign w:val="bottom"/>
          </w:tcPr>
          <w:p>
            <w:pPr>
              <w:pStyle w:val="yTableNAm"/>
              <w:tabs>
                <w:tab w:val="clear" w:pos="567"/>
              </w:tabs>
              <w:ind w:right="383"/>
              <w:jc w:val="right"/>
            </w:pPr>
            <w:r>
              <w:t>828</w:t>
            </w:r>
          </w:p>
        </w:tc>
      </w:tr>
      <w:tr>
        <w:trPr>
          <w:cantSplit/>
        </w:trPr>
        <w:tc>
          <w:tcPr>
            <w:tcW w:w="1701" w:type="dxa"/>
            <w:noWrap/>
          </w:tcPr>
          <w:p>
            <w:pPr>
              <w:pStyle w:val="yTableNAm"/>
            </w:pPr>
            <w:r>
              <w:t>Over 16 but not over 17</w:t>
            </w:r>
          </w:p>
        </w:tc>
        <w:tc>
          <w:tcPr>
            <w:tcW w:w="1512" w:type="dxa"/>
            <w:noWrap/>
            <w:vAlign w:val="bottom"/>
          </w:tcPr>
          <w:p>
            <w:pPr>
              <w:pStyle w:val="yTableNAm"/>
              <w:tabs>
                <w:tab w:val="clear" w:pos="567"/>
              </w:tabs>
              <w:ind w:right="383"/>
              <w:jc w:val="right"/>
            </w:pPr>
            <w:r>
              <w:t>4 036</w:t>
            </w:r>
          </w:p>
        </w:tc>
        <w:tc>
          <w:tcPr>
            <w:tcW w:w="1512" w:type="dxa"/>
            <w:noWrap/>
            <w:vAlign w:val="bottom"/>
          </w:tcPr>
          <w:p>
            <w:pPr>
              <w:pStyle w:val="yTableNAm"/>
              <w:tabs>
                <w:tab w:val="clear" w:pos="567"/>
              </w:tabs>
              <w:ind w:right="383"/>
              <w:jc w:val="right"/>
            </w:pPr>
            <w:r>
              <w:t>9 216</w:t>
            </w:r>
          </w:p>
        </w:tc>
        <w:tc>
          <w:tcPr>
            <w:tcW w:w="1512" w:type="dxa"/>
            <w:noWrap/>
            <w:vAlign w:val="bottom"/>
          </w:tcPr>
          <w:p>
            <w:pPr>
              <w:pStyle w:val="yTableNAm"/>
              <w:tabs>
                <w:tab w:val="clear" w:pos="567"/>
              </w:tabs>
              <w:ind w:right="383"/>
              <w:jc w:val="right"/>
            </w:pPr>
            <w:r>
              <w:t>885</w:t>
            </w:r>
          </w:p>
        </w:tc>
      </w:tr>
      <w:tr>
        <w:trPr>
          <w:cantSplit/>
        </w:trPr>
        <w:tc>
          <w:tcPr>
            <w:tcW w:w="1701" w:type="dxa"/>
            <w:noWrap/>
          </w:tcPr>
          <w:p>
            <w:pPr>
              <w:pStyle w:val="yTableNAm"/>
            </w:pPr>
            <w:r>
              <w:t>Over 17 but not over 18</w:t>
            </w:r>
          </w:p>
        </w:tc>
        <w:tc>
          <w:tcPr>
            <w:tcW w:w="1512" w:type="dxa"/>
            <w:noWrap/>
          </w:tcPr>
          <w:p>
            <w:pPr>
              <w:pStyle w:val="yTableNAm"/>
              <w:tabs>
                <w:tab w:val="clear" w:pos="567"/>
              </w:tabs>
              <w:ind w:right="383"/>
              <w:jc w:val="right"/>
            </w:pPr>
            <w:r>
              <w:t>4 405</w:t>
            </w:r>
          </w:p>
        </w:tc>
        <w:tc>
          <w:tcPr>
            <w:tcW w:w="1512" w:type="dxa"/>
            <w:noWrap/>
          </w:tcPr>
          <w:p>
            <w:pPr>
              <w:pStyle w:val="yTableNAm"/>
              <w:tabs>
                <w:tab w:val="clear" w:pos="567"/>
              </w:tabs>
              <w:ind w:right="383"/>
              <w:jc w:val="right"/>
            </w:pPr>
            <w:r>
              <w:t>9 988</w:t>
            </w:r>
          </w:p>
        </w:tc>
        <w:tc>
          <w:tcPr>
            <w:tcW w:w="1512" w:type="dxa"/>
            <w:noWrap/>
          </w:tcPr>
          <w:p>
            <w:pPr>
              <w:pStyle w:val="yTableNAm"/>
              <w:tabs>
                <w:tab w:val="clear" w:pos="567"/>
              </w:tabs>
              <w:ind w:right="383"/>
              <w:jc w:val="right"/>
            </w:pPr>
            <w:r>
              <w:t>939</w:t>
            </w:r>
          </w:p>
        </w:tc>
      </w:tr>
      <w:tr>
        <w:trPr>
          <w:cantSplit/>
        </w:trPr>
        <w:tc>
          <w:tcPr>
            <w:tcW w:w="1701" w:type="dxa"/>
            <w:noWrap/>
          </w:tcPr>
          <w:p>
            <w:pPr>
              <w:pStyle w:val="yTableNAm"/>
            </w:pPr>
            <w:r>
              <w:t>Over 18 but not over 19</w:t>
            </w:r>
          </w:p>
        </w:tc>
        <w:tc>
          <w:tcPr>
            <w:tcW w:w="1512" w:type="dxa"/>
            <w:noWrap/>
          </w:tcPr>
          <w:p>
            <w:pPr>
              <w:pStyle w:val="yTableNAm"/>
              <w:tabs>
                <w:tab w:val="clear" w:pos="567"/>
              </w:tabs>
              <w:ind w:right="383"/>
              <w:jc w:val="right"/>
            </w:pPr>
            <w:r>
              <w:t>4 745</w:t>
            </w:r>
          </w:p>
        </w:tc>
        <w:tc>
          <w:tcPr>
            <w:tcW w:w="1512" w:type="dxa"/>
            <w:noWrap/>
          </w:tcPr>
          <w:p>
            <w:pPr>
              <w:pStyle w:val="yTableNAm"/>
              <w:tabs>
                <w:tab w:val="clear" w:pos="567"/>
              </w:tabs>
              <w:ind w:right="383"/>
              <w:jc w:val="right"/>
            </w:pPr>
            <w:r>
              <w:t>10 760</w:t>
            </w:r>
          </w:p>
        </w:tc>
        <w:tc>
          <w:tcPr>
            <w:tcW w:w="1512" w:type="dxa"/>
            <w:noWrap/>
          </w:tcPr>
          <w:p>
            <w:pPr>
              <w:pStyle w:val="yTableNAm"/>
              <w:tabs>
                <w:tab w:val="clear" w:pos="567"/>
              </w:tabs>
              <w:ind w:right="383"/>
              <w:jc w:val="right"/>
            </w:pPr>
            <w:r>
              <w:t>991</w:t>
            </w:r>
          </w:p>
        </w:tc>
      </w:tr>
      <w:tr>
        <w:trPr>
          <w:cantSplit/>
        </w:trPr>
        <w:tc>
          <w:tcPr>
            <w:tcW w:w="1701" w:type="dxa"/>
            <w:noWrap/>
          </w:tcPr>
          <w:p>
            <w:pPr>
              <w:pStyle w:val="yTableNAm"/>
            </w:pPr>
            <w:r>
              <w:t>Over 19 but not over 20</w:t>
            </w:r>
          </w:p>
        </w:tc>
        <w:tc>
          <w:tcPr>
            <w:tcW w:w="1512" w:type="dxa"/>
            <w:noWrap/>
          </w:tcPr>
          <w:p>
            <w:pPr>
              <w:pStyle w:val="yTableNAm"/>
              <w:tabs>
                <w:tab w:val="clear" w:pos="567"/>
              </w:tabs>
              <w:ind w:right="383"/>
              <w:jc w:val="right"/>
            </w:pPr>
            <w:r>
              <w:t>5 108</w:t>
            </w:r>
          </w:p>
        </w:tc>
        <w:tc>
          <w:tcPr>
            <w:tcW w:w="1512" w:type="dxa"/>
            <w:noWrap/>
          </w:tcPr>
          <w:p>
            <w:pPr>
              <w:pStyle w:val="yTableNAm"/>
              <w:tabs>
                <w:tab w:val="clear" w:pos="567"/>
              </w:tabs>
              <w:ind w:right="383"/>
              <w:jc w:val="right"/>
            </w:pPr>
            <w:r>
              <w:t>11 537</w:t>
            </w:r>
          </w:p>
        </w:tc>
        <w:tc>
          <w:tcPr>
            <w:tcW w:w="1512" w:type="dxa"/>
            <w:noWrap/>
          </w:tcPr>
          <w:p>
            <w:pPr>
              <w:pStyle w:val="yTableNAm"/>
              <w:tabs>
                <w:tab w:val="clear" w:pos="567"/>
              </w:tabs>
              <w:ind w:right="383"/>
              <w:jc w:val="right"/>
            </w:pPr>
            <w:r>
              <w:t>1 049</w:t>
            </w:r>
          </w:p>
        </w:tc>
      </w:tr>
      <w:tr>
        <w:trPr>
          <w:cantSplit/>
        </w:trPr>
        <w:tc>
          <w:tcPr>
            <w:tcW w:w="1701" w:type="dxa"/>
            <w:noWrap/>
          </w:tcPr>
          <w:p>
            <w:pPr>
              <w:pStyle w:val="yTableNAm"/>
            </w:pPr>
            <w:r>
              <w:t>Over 20 but not over 21</w:t>
            </w:r>
          </w:p>
        </w:tc>
        <w:tc>
          <w:tcPr>
            <w:tcW w:w="1512" w:type="dxa"/>
            <w:noWrap/>
          </w:tcPr>
          <w:p>
            <w:pPr>
              <w:pStyle w:val="yTableNAm"/>
              <w:tabs>
                <w:tab w:val="clear" w:pos="567"/>
              </w:tabs>
              <w:ind w:right="383"/>
              <w:jc w:val="right"/>
            </w:pPr>
            <w:r>
              <w:t>5 519</w:t>
            </w:r>
          </w:p>
        </w:tc>
        <w:tc>
          <w:tcPr>
            <w:tcW w:w="1512" w:type="dxa"/>
            <w:noWrap/>
          </w:tcPr>
          <w:p>
            <w:pPr>
              <w:pStyle w:val="yTableNAm"/>
              <w:tabs>
                <w:tab w:val="clear" w:pos="567"/>
              </w:tabs>
              <w:ind w:right="383"/>
              <w:jc w:val="right"/>
            </w:pPr>
            <w:r>
              <w:t>12 365</w:t>
            </w:r>
          </w:p>
        </w:tc>
        <w:tc>
          <w:tcPr>
            <w:tcW w:w="1512" w:type="dxa"/>
            <w:noWrap/>
          </w:tcPr>
          <w:p>
            <w:pPr>
              <w:pStyle w:val="yTableNAm"/>
              <w:tabs>
                <w:tab w:val="clear" w:pos="567"/>
              </w:tabs>
              <w:ind w:right="383"/>
              <w:jc w:val="right"/>
            </w:pPr>
            <w:r>
              <w:t>1 130</w:t>
            </w:r>
          </w:p>
        </w:tc>
      </w:tr>
      <w:tr>
        <w:trPr>
          <w:cantSplit/>
        </w:trPr>
        <w:tc>
          <w:tcPr>
            <w:tcW w:w="1701" w:type="dxa"/>
            <w:noWrap/>
          </w:tcPr>
          <w:p>
            <w:pPr>
              <w:pStyle w:val="yTableNAm"/>
            </w:pPr>
            <w:r>
              <w:t>Over 21 but not over 22</w:t>
            </w:r>
          </w:p>
        </w:tc>
        <w:tc>
          <w:tcPr>
            <w:tcW w:w="1512" w:type="dxa"/>
            <w:noWrap/>
          </w:tcPr>
          <w:p>
            <w:pPr>
              <w:pStyle w:val="yTableNAm"/>
              <w:tabs>
                <w:tab w:val="clear" w:pos="567"/>
              </w:tabs>
              <w:ind w:right="383"/>
              <w:jc w:val="right"/>
            </w:pPr>
            <w:r>
              <w:t>5 935</w:t>
            </w:r>
          </w:p>
        </w:tc>
        <w:tc>
          <w:tcPr>
            <w:tcW w:w="1512" w:type="dxa"/>
            <w:noWrap/>
          </w:tcPr>
          <w:p>
            <w:pPr>
              <w:pStyle w:val="yTableNAm"/>
              <w:tabs>
                <w:tab w:val="clear" w:pos="567"/>
              </w:tabs>
              <w:ind w:right="383"/>
              <w:jc w:val="right"/>
            </w:pPr>
            <w:r>
              <w:t>13 195</w:t>
            </w:r>
          </w:p>
        </w:tc>
        <w:tc>
          <w:tcPr>
            <w:tcW w:w="1512" w:type="dxa"/>
            <w:noWrap/>
          </w:tcPr>
          <w:p>
            <w:pPr>
              <w:pStyle w:val="yTableNAm"/>
              <w:tabs>
                <w:tab w:val="clear" w:pos="567"/>
              </w:tabs>
              <w:ind w:right="383"/>
              <w:jc w:val="right"/>
            </w:pPr>
            <w:r>
              <w:t>1 219</w:t>
            </w:r>
          </w:p>
        </w:tc>
      </w:tr>
      <w:tr>
        <w:trPr>
          <w:cantSplit/>
        </w:trPr>
        <w:tc>
          <w:tcPr>
            <w:tcW w:w="1701" w:type="dxa"/>
            <w:noWrap/>
          </w:tcPr>
          <w:p>
            <w:pPr>
              <w:pStyle w:val="yTableNAm"/>
            </w:pPr>
            <w:r>
              <w:t>Over 22 but not over 23</w:t>
            </w:r>
          </w:p>
        </w:tc>
        <w:tc>
          <w:tcPr>
            <w:tcW w:w="1512" w:type="dxa"/>
            <w:noWrap/>
          </w:tcPr>
          <w:p>
            <w:pPr>
              <w:pStyle w:val="yTableNAm"/>
              <w:tabs>
                <w:tab w:val="clear" w:pos="567"/>
              </w:tabs>
              <w:ind w:right="383"/>
              <w:jc w:val="right"/>
            </w:pPr>
            <w:r>
              <w:t>6 349</w:t>
            </w:r>
          </w:p>
        </w:tc>
        <w:tc>
          <w:tcPr>
            <w:tcW w:w="1512" w:type="dxa"/>
            <w:noWrap/>
          </w:tcPr>
          <w:p>
            <w:pPr>
              <w:pStyle w:val="yTableNAm"/>
              <w:tabs>
                <w:tab w:val="clear" w:pos="567"/>
              </w:tabs>
              <w:ind w:right="383"/>
              <w:jc w:val="right"/>
            </w:pPr>
            <w:r>
              <w:t>14 023</w:t>
            </w:r>
          </w:p>
        </w:tc>
        <w:tc>
          <w:tcPr>
            <w:tcW w:w="1512" w:type="dxa"/>
            <w:noWrap/>
          </w:tcPr>
          <w:p>
            <w:pPr>
              <w:pStyle w:val="yTableNAm"/>
              <w:tabs>
                <w:tab w:val="clear" w:pos="567"/>
              </w:tabs>
              <w:ind w:right="383"/>
              <w:jc w:val="right"/>
            </w:pPr>
            <w:r>
              <w:t>1 301</w:t>
            </w:r>
          </w:p>
        </w:tc>
      </w:tr>
      <w:tr>
        <w:trPr>
          <w:cantSplit/>
        </w:trPr>
        <w:tc>
          <w:tcPr>
            <w:tcW w:w="1701" w:type="dxa"/>
            <w:noWrap/>
          </w:tcPr>
          <w:p>
            <w:pPr>
              <w:pStyle w:val="yTableNAm"/>
            </w:pPr>
            <w:r>
              <w:t>Over 23 but not over 24</w:t>
            </w:r>
          </w:p>
        </w:tc>
        <w:tc>
          <w:tcPr>
            <w:tcW w:w="1512" w:type="dxa"/>
            <w:noWrap/>
          </w:tcPr>
          <w:p>
            <w:pPr>
              <w:pStyle w:val="yTableNAm"/>
              <w:tabs>
                <w:tab w:val="clear" w:pos="567"/>
              </w:tabs>
              <w:ind w:right="383"/>
              <w:jc w:val="right"/>
            </w:pPr>
            <w:r>
              <w:t>6 776</w:t>
            </w:r>
          </w:p>
        </w:tc>
        <w:tc>
          <w:tcPr>
            <w:tcW w:w="1512" w:type="dxa"/>
            <w:noWrap/>
          </w:tcPr>
          <w:p>
            <w:pPr>
              <w:pStyle w:val="yTableNAm"/>
              <w:tabs>
                <w:tab w:val="clear" w:pos="567"/>
              </w:tabs>
              <w:ind w:right="383"/>
              <w:jc w:val="right"/>
            </w:pPr>
            <w:r>
              <w:t>14 866</w:t>
            </w:r>
          </w:p>
        </w:tc>
        <w:tc>
          <w:tcPr>
            <w:tcW w:w="1512" w:type="dxa"/>
            <w:noWrap/>
          </w:tcPr>
          <w:p>
            <w:pPr>
              <w:pStyle w:val="yTableNAm"/>
              <w:tabs>
                <w:tab w:val="clear" w:pos="567"/>
              </w:tabs>
              <w:ind w:right="383"/>
              <w:jc w:val="right"/>
            </w:pPr>
            <w:r>
              <w:t>1 383</w:t>
            </w:r>
          </w:p>
        </w:tc>
      </w:tr>
      <w:tr>
        <w:trPr>
          <w:cantSplit/>
        </w:trPr>
        <w:tc>
          <w:tcPr>
            <w:tcW w:w="1701" w:type="dxa"/>
            <w:noWrap/>
          </w:tcPr>
          <w:p>
            <w:pPr>
              <w:pStyle w:val="yTableNAm"/>
            </w:pPr>
            <w:r>
              <w:lastRenderedPageBreak/>
              <w:t>Over 24 but not over 25</w:t>
            </w:r>
          </w:p>
        </w:tc>
        <w:tc>
          <w:tcPr>
            <w:tcW w:w="1512" w:type="dxa"/>
            <w:noWrap/>
          </w:tcPr>
          <w:p>
            <w:pPr>
              <w:pStyle w:val="yTableNAm"/>
              <w:tabs>
                <w:tab w:val="clear" w:pos="567"/>
              </w:tabs>
              <w:ind w:right="383"/>
              <w:jc w:val="right"/>
            </w:pPr>
            <w:r>
              <w:t>7 184</w:t>
            </w:r>
          </w:p>
        </w:tc>
        <w:tc>
          <w:tcPr>
            <w:tcW w:w="1512" w:type="dxa"/>
            <w:noWrap/>
          </w:tcPr>
          <w:p>
            <w:pPr>
              <w:pStyle w:val="yTableNAm"/>
              <w:tabs>
                <w:tab w:val="clear" w:pos="567"/>
              </w:tabs>
              <w:ind w:right="383"/>
              <w:jc w:val="right"/>
            </w:pPr>
            <w:r>
              <w:t>15 689</w:t>
            </w:r>
          </w:p>
        </w:tc>
        <w:tc>
          <w:tcPr>
            <w:tcW w:w="1512" w:type="dxa"/>
            <w:noWrap/>
          </w:tcPr>
          <w:p>
            <w:pPr>
              <w:pStyle w:val="yTableNAm"/>
              <w:tabs>
                <w:tab w:val="clear" w:pos="567"/>
              </w:tabs>
              <w:ind w:right="383"/>
              <w:jc w:val="right"/>
            </w:pPr>
            <w:r>
              <w:t>1 459</w:t>
            </w:r>
          </w:p>
        </w:tc>
      </w:tr>
      <w:tr>
        <w:trPr>
          <w:cantSplit/>
        </w:trPr>
        <w:tc>
          <w:tcPr>
            <w:tcW w:w="1701" w:type="dxa"/>
            <w:noWrap/>
          </w:tcPr>
          <w:p>
            <w:pPr>
              <w:pStyle w:val="yTableNAm"/>
            </w:pPr>
            <w:r>
              <w:t>Over 25 but not over 26</w:t>
            </w:r>
          </w:p>
        </w:tc>
        <w:tc>
          <w:tcPr>
            <w:tcW w:w="1512" w:type="dxa"/>
            <w:noWrap/>
          </w:tcPr>
          <w:p>
            <w:pPr>
              <w:pStyle w:val="yTableNAm"/>
              <w:tabs>
                <w:tab w:val="clear" w:pos="567"/>
              </w:tabs>
              <w:ind w:right="383"/>
              <w:jc w:val="right"/>
            </w:pPr>
            <w:r>
              <w:t>7 612</w:t>
            </w:r>
          </w:p>
        </w:tc>
        <w:tc>
          <w:tcPr>
            <w:tcW w:w="1512" w:type="dxa"/>
            <w:noWrap/>
          </w:tcPr>
          <w:p>
            <w:pPr>
              <w:pStyle w:val="yTableNAm"/>
              <w:tabs>
                <w:tab w:val="clear" w:pos="567"/>
              </w:tabs>
              <w:ind w:right="383"/>
              <w:jc w:val="right"/>
            </w:pPr>
            <w:r>
              <w:t>16 517</w:t>
            </w:r>
          </w:p>
        </w:tc>
        <w:tc>
          <w:tcPr>
            <w:tcW w:w="1512" w:type="dxa"/>
            <w:noWrap/>
          </w:tcPr>
          <w:p>
            <w:pPr>
              <w:pStyle w:val="yTableNAm"/>
              <w:tabs>
                <w:tab w:val="clear" w:pos="567"/>
              </w:tabs>
              <w:ind w:right="383"/>
              <w:jc w:val="right"/>
            </w:pPr>
            <w:r>
              <w:t>1 542</w:t>
            </w:r>
          </w:p>
        </w:tc>
      </w:tr>
      <w:tr>
        <w:trPr>
          <w:cantSplit/>
        </w:trPr>
        <w:tc>
          <w:tcPr>
            <w:tcW w:w="1701" w:type="dxa"/>
            <w:noWrap/>
          </w:tcPr>
          <w:p>
            <w:pPr>
              <w:pStyle w:val="yTableNAm"/>
            </w:pPr>
            <w:r>
              <w:t>Over 26 but not over 27</w:t>
            </w:r>
          </w:p>
        </w:tc>
        <w:tc>
          <w:tcPr>
            <w:tcW w:w="1512" w:type="dxa"/>
            <w:noWrap/>
          </w:tcPr>
          <w:p>
            <w:pPr>
              <w:pStyle w:val="yTableNAm"/>
              <w:tabs>
                <w:tab w:val="clear" w:pos="567"/>
              </w:tabs>
              <w:ind w:right="383"/>
              <w:jc w:val="right"/>
            </w:pPr>
            <w:r>
              <w:t>8 015</w:t>
            </w:r>
          </w:p>
        </w:tc>
        <w:tc>
          <w:tcPr>
            <w:tcW w:w="1512" w:type="dxa"/>
            <w:noWrap/>
          </w:tcPr>
          <w:p>
            <w:pPr>
              <w:pStyle w:val="yTableNAm"/>
              <w:tabs>
                <w:tab w:val="clear" w:pos="567"/>
              </w:tabs>
              <w:ind w:right="383"/>
              <w:jc w:val="right"/>
            </w:pPr>
            <w:r>
              <w:t>17 348</w:t>
            </w:r>
          </w:p>
        </w:tc>
        <w:tc>
          <w:tcPr>
            <w:tcW w:w="1512" w:type="dxa"/>
            <w:noWrap/>
          </w:tcPr>
          <w:p>
            <w:pPr>
              <w:pStyle w:val="yTableNAm"/>
              <w:tabs>
                <w:tab w:val="clear" w:pos="567"/>
              </w:tabs>
              <w:ind w:right="383"/>
              <w:jc w:val="right"/>
            </w:pPr>
            <w:r>
              <w:t>1 618</w:t>
            </w:r>
          </w:p>
        </w:tc>
      </w:tr>
      <w:tr>
        <w:trPr>
          <w:cantSplit/>
        </w:trPr>
        <w:tc>
          <w:tcPr>
            <w:tcW w:w="1701" w:type="dxa"/>
            <w:noWrap/>
          </w:tcPr>
          <w:p>
            <w:pPr>
              <w:pStyle w:val="yTableNAm"/>
            </w:pPr>
            <w:r>
              <w:t>Over 27 but not over 28</w:t>
            </w:r>
          </w:p>
        </w:tc>
        <w:tc>
          <w:tcPr>
            <w:tcW w:w="1512" w:type="dxa"/>
            <w:noWrap/>
          </w:tcPr>
          <w:p>
            <w:pPr>
              <w:pStyle w:val="yTableNAm"/>
              <w:tabs>
                <w:tab w:val="clear" w:pos="567"/>
              </w:tabs>
              <w:ind w:right="383"/>
              <w:jc w:val="right"/>
            </w:pPr>
            <w:r>
              <w:t>8 444</w:t>
            </w:r>
          </w:p>
        </w:tc>
        <w:tc>
          <w:tcPr>
            <w:tcW w:w="1512" w:type="dxa"/>
            <w:noWrap/>
          </w:tcPr>
          <w:p>
            <w:pPr>
              <w:pStyle w:val="yTableNAm"/>
              <w:tabs>
                <w:tab w:val="clear" w:pos="567"/>
              </w:tabs>
              <w:ind w:right="383"/>
              <w:jc w:val="right"/>
            </w:pPr>
            <w:r>
              <w:t>18 193</w:t>
            </w:r>
          </w:p>
        </w:tc>
        <w:tc>
          <w:tcPr>
            <w:tcW w:w="1512" w:type="dxa"/>
            <w:noWrap/>
          </w:tcPr>
          <w:p>
            <w:pPr>
              <w:pStyle w:val="yTableNAm"/>
              <w:tabs>
                <w:tab w:val="clear" w:pos="567"/>
              </w:tabs>
              <w:ind w:right="383"/>
              <w:jc w:val="right"/>
            </w:pPr>
            <w:r>
              <w:t>1 709</w:t>
            </w:r>
          </w:p>
        </w:tc>
      </w:tr>
      <w:tr>
        <w:trPr>
          <w:cantSplit/>
        </w:trPr>
        <w:tc>
          <w:tcPr>
            <w:tcW w:w="1701" w:type="dxa"/>
            <w:noWrap/>
          </w:tcPr>
          <w:p>
            <w:pPr>
              <w:pStyle w:val="yTableNAm"/>
            </w:pPr>
            <w:r>
              <w:t>Over 28 but not over 29</w:t>
            </w:r>
          </w:p>
        </w:tc>
        <w:tc>
          <w:tcPr>
            <w:tcW w:w="1512" w:type="dxa"/>
            <w:noWrap/>
          </w:tcPr>
          <w:p>
            <w:pPr>
              <w:pStyle w:val="yTableNAm"/>
              <w:tabs>
                <w:tab w:val="clear" w:pos="567"/>
              </w:tabs>
              <w:ind w:right="383"/>
              <w:jc w:val="right"/>
            </w:pPr>
            <w:r>
              <w:t>8 850</w:t>
            </w:r>
          </w:p>
        </w:tc>
        <w:tc>
          <w:tcPr>
            <w:tcW w:w="1512" w:type="dxa"/>
            <w:noWrap/>
          </w:tcPr>
          <w:p>
            <w:pPr>
              <w:pStyle w:val="yTableNAm"/>
              <w:tabs>
                <w:tab w:val="clear" w:pos="567"/>
              </w:tabs>
              <w:ind w:right="383"/>
              <w:jc w:val="right"/>
            </w:pPr>
            <w:r>
              <w:t>19 020</w:t>
            </w:r>
          </w:p>
        </w:tc>
        <w:tc>
          <w:tcPr>
            <w:tcW w:w="1512" w:type="dxa"/>
            <w:noWrap/>
          </w:tcPr>
          <w:p>
            <w:pPr>
              <w:pStyle w:val="yTableNAm"/>
              <w:tabs>
                <w:tab w:val="clear" w:pos="567"/>
              </w:tabs>
              <w:ind w:right="383"/>
              <w:jc w:val="right"/>
            </w:pPr>
            <w:r>
              <w:t>1 786</w:t>
            </w:r>
          </w:p>
        </w:tc>
      </w:tr>
      <w:tr>
        <w:trPr>
          <w:cantSplit/>
        </w:trPr>
        <w:tc>
          <w:tcPr>
            <w:tcW w:w="1701" w:type="dxa"/>
            <w:noWrap/>
          </w:tcPr>
          <w:p>
            <w:pPr>
              <w:pStyle w:val="yTableNAm"/>
            </w:pPr>
            <w:r>
              <w:t>Over 29 but not over 30</w:t>
            </w:r>
          </w:p>
        </w:tc>
        <w:tc>
          <w:tcPr>
            <w:tcW w:w="1512" w:type="dxa"/>
            <w:noWrap/>
          </w:tcPr>
          <w:p>
            <w:pPr>
              <w:pStyle w:val="yTableNAm"/>
              <w:tabs>
                <w:tab w:val="clear" w:pos="567"/>
              </w:tabs>
              <w:ind w:right="383"/>
              <w:jc w:val="right"/>
            </w:pPr>
            <w:r>
              <w:t>9 266</w:t>
            </w:r>
          </w:p>
        </w:tc>
        <w:tc>
          <w:tcPr>
            <w:tcW w:w="1512" w:type="dxa"/>
            <w:noWrap/>
          </w:tcPr>
          <w:p>
            <w:pPr>
              <w:pStyle w:val="yTableNAm"/>
              <w:tabs>
                <w:tab w:val="clear" w:pos="567"/>
              </w:tabs>
              <w:ind w:right="383"/>
              <w:jc w:val="right"/>
            </w:pPr>
            <w:r>
              <w:t>19 845</w:t>
            </w:r>
          </w:p>
        </w:tc>
        <w:tc>
          <w:tcPr>
            <w:tcW w:w="1512" w:type="dxa"/>
            <w:noWrap/>
          </w:tcPr>
          <w:p>
            <w:pPr>
              <w:pStyle w:val="yTableNAm"/>
              <w:tabs>
                <w:tab w:val="clear" w:pos="567"/>
              </w:tabs>
              <w:ind w:right="383"/>
              <w:jc w:val="right"/>
            </w:pPr>
            <w:r>
              <w:t>1 870</w:t>
            </w:r>
          </w:p>
        </w:tc>
      </w:tr>
      <w:tr>
        <w:trPr>
          <w:cantSplit/>
        </w:trPr>
        <w:tc>
          <w:tcPr>
            <w:tcW w:w="1701" w:type="dxa"/>
            <w:noWrap/>
          </w:tcPr>
          <w:p>
            <w:pPr>
              <w:pStyle w:val="yTableNAm"/>
            </w:pPr>
            <w:r>
              <w:t>Over 30 but not over 31</w:t>
            </w:r>
          </w:p>
        </w:tc>
        <w:tc>
          <w:tcPr>
            <w:tcW w:w="1512" w:type="dxa"/>
            <w:noWrap/>
          </w:tcPr>
          <w:p>
            <w:pPr>
              <w:pStyle w:val="yTableNAm"/>
              <w:tabs>
                <w:tab w:val="clear" w:pos="567"/>
              </w:tabs>
              <w:ind w:right="383"/>
              <w:jc w:val="right"/>
            </w:pPr>
            <w:r>
              <w:t>9 738</w:t>
            </w:r>
          </w:p>
        </w:tc>
        <w:tc>
          <w:tcPr>
            <w:tcW w:w="1512" w:type="dxa"/>
            <w:noWrap/>
          </w:tcPr>
          <w:p>
            <w:pPr>
              <w:pStyle w:val="yTableNAm"/>
              <w:tabs>
                <w:tab w:val="clear" w:pos="567"/>
              </w:tabs>
              <w:ind w:right="383"/>
              <w:jc w:val="right"/>
            </w:pPr>
            <w:r>
              <w:t>20 738</w:t>
            </w:r>
          </w:p>
        </w:tc>
        <w:tc>
          <w:tcPr>
            <w:tcW w:w="1512" w:type="dxa"/>
            <w:noWrap/>
          </w:tcPr>
          <w:p>
            <w:pPr>
              <w:pStyle w:val="yTableNAm"/>
              <w:tabs>
                <w:tab w:val="clear" w:pos="567"/>
              </w:tabs>
              <w:ind w:right="383"/>
              <w:jc w:val="right"/>
            </w:pPr>
            <w:r>
              <w:t>1 979</w:t>
            </w:r>
          </w:p>
        </w:tc>
      </w:tr>
      <w:tr>
        <w:trPr>
          <w:cantSplit/>
        </w:trPr>
        <w:tc>
          <w:tcPr>
            <w:tcW w:w="1701" w:type="dxa"/>
            <w:noWrap/>
          </w:tcPr>
          <w:p>
            <w:pPr>
              <w:pStyle w:val="yTableNAm"/>
            </w:pPr>
            <w:r>
              <w:t>Over 31 but not over 32</w:t>
            </w:r>
          </w:p>
        </w:tc>
        <w:tc>
          <w:tcPr>
            <w:tcW w:w="1512" w:type="dxa"/>
            <w:noWrap/>
          </w:tcPr>
          <w:p>
            <w:pPr>
              <w:pStyle w:val="yTableNAm"/>
              <w:tabs>
                <w:tab w:val="clear" w:pos="567"/>
              </w:tabs>
              <w:ind w:right="383"/>
              <w:jc w:val="right"/>
            </w:pPr>
            <w:r>
              <w:t>10 222</w:t>
            </w:r>
          </w:p>
        </w:tc>
        <w:tc>
          <w:tcPr>
            <w:tcW w:w="1512" w:type="dxa"/>
            <w:noWrap/>
          </w:tcPr>
          <w:p>
            <w:pPr>
              <w:pStyle w:val="yTableNAm"/>
              <w:tabs>
                <w:tab w:val="clear" w:pos="567"/>
              </w:tabs>
              <w:ind w:right="383"/>
              <w:jc w:val="right"/>
            </w:pPr>
            <w:r>
              <w:t>21 643</w:t>
            </w:r>
          </w:p>
        </w:tc>
        <w:tc>
          <w:tcPr>
            <w:tcW w:w="1512" w:type="dxa"/>
            <w:noWrap/>
          </w:tcPr>
          <w:p>
            <w:pPr>
              <w:pStyle w:val="yTableNAm"/>
              <w:tabs>
                <w:tab w:val="clear" w:pos="567"/>
              </w:tabs>
              <w:ind w:right="383"/>
              <w:jc w:val="right"/>
            </w:pPr>
            <w:r>
              <w:t>2 092</w:t>
            </w:r>
          </w:p>
        </w:tc>
      </w:tr>
      <w:tr>
        <w:trPr>
          <w:cantSplit/>
        </w:trPr>
        <w:tc>
          <w:tcPr>
            <w:tcW w:w="1701" w:type="dxa"/>
            <w:noWrap/>
          </w:tcPr>
          <w:p>
            <w:pPr>
              <w:pStyle w:val="yTableNAm"/>
            </w:pPr>
            <w:r>
              <w:t>Over 32 but not over 33</w:t>
            </w:r>
          </w:p>
        </w:tc>
        <w:tc>
          <w:tcPr>
            <w:tcW w:w="1512" w:type="dxa"/>
            <w:noWrap/>
          </w:tcPr>
          <w:p>
            <w:pPr>
              <w:pStyle w:val="yTableNAm"/>
              <w:tabs>
                <w:tab w:val="clear" w:pos="567"/>
              </w:tabs>
              <w:ind w:right="383"/>
              <w:jc w:val="right"/>
            </w:pPr>
            <w:r>
              <w:t>10 684</w:t>
            </w:r>
          </w:p>
        </w:tc>
        <w:tc>
          <w:tcPr>
            <w:tcW w:w="1512" w:type="dxa"/>
            <w:noWrap/>
          </w:tcPr>
          <w:p>
            <w:pPr>
              <w:pStyle w:val="yTableNAm"/>
              <w:tabs>
                <w:tab w:val="clear" w:pos="567"/>
              </w:tabs>
              <w:ind w:right="383"/>
              <w:jc w:val="right"/>
            </w:pPr>
            <w:r>
              <w:t>22 527</w:t>
            </w:r>
          </w:p>
        </w:tc>
        <w:tc>
          <w:tcPr>
            <w:tcW w:w="1512" w:type="dxa"/>
            <w:noWrap/>
          </w:tcPr>
          <w:p>
            <w:pPr>
              <w:pStyle w:val="yTableNAm"/>
              <w:tabs>
                <w:tab w:val="clear" w:pos="567"/>
              </w:tabs>
              <w:ind w:right="383"/>
              <w:jc w:val="right"/>
            </w:pPr>
            <w:r>
              <w:t>2 198</w:t>
            </w:r>
          </w:p>
        </w:tc>
      </w:tr>
      <w:tr>
        <w:trPr>
          <w:cantSplit/>
        </w:trPr>
        <w:tc>
          <w:tcPr>
            <w:tcW w:w="1701" w:type="dxa"/>
            <w:noWrap/>
          </w:tcPr>
          <w:p>
            <w:pPr>
              <w:pStyle w:val="yTableNAm"/>
            </w:pPr>
            <w:r>
              <w:t>Over 33 but not over 34</w:t>
            </w:r>
          </w:p>
        </w:tc>
        <w:tc>
          <w:tcPr>
            <w:tcW w:w="1512" w:type="dxa"/>
            <w:noWrap/>
          </w:tcPr>
          <w:p>
            <w:pPr>
              <w:pStyle w:val="yTableNAm"/>
              <w:tabs>
                <w:tab w:val="clear" w:pos="567"/>
              </w:tabs>
              <w:ind w:right="383"/>
              <w:jc w:val="right"/>
            </w:pPr>
            <w:r>
              <w:t>11 169</w:t>
            </w:r>
          </w:p>
        </w:tc>
        <w:tc>
          <w:tcPr>
            <w:tcW w:w="1512" w:type="dxa"/>
            <w:noWrap/>
          </w:tcPr>
          <w:p>
            <w:pPr>
              <w:pStyle w:val="yTableNAm"/>
              <w:tabs>
                <w:tab w:val="clear" w:pos="567"/>
              </w:tabs>
              <w:ind w:right="383"/>
              <w:jc w:val="right"/>
            </w:pPr>
            <w:r>
              <w:t>23 421</w:t>
            </w:r>
          </w:p>
        </w:tc>
        <w:tc>
          <w:tcPr>
            <w:tcW w:w="1512" w:type="dxa"/>
            <w:noWrap/>
          </w:tcPr>
          <w:p>
            <w:pPr>
              <w:pStyle w:val="yTableNAm"/>
              <w:tabs>
                <w:tab w:val="clear" w:pos="567"/>
              </w:tabs>
              <w:ind w:right="383"/>
              <w:jc w:val="right"/>
            </w:pPr>
            <w:r>
              <w:t>2 310</w:t>
            </w:r>
          </w:p>
        </w:tc>
      </w:tr>
      <w:tr>
        <w:trPr>
          <w:cantSplit/>
        </w:trPr>
        <w:tc>
          <w:tcPr>
            <w:tcW w:w="1701" w:type="dxa"/>
            <w:noWrap/>
          </w:tcPr>
          <w:p>
            <w:pPr>
              <w:pStyle w:val="yTableNAm"/>
            </w:pPr>
            <w:r>
              <w:t>Over 34 but not over 35</w:t>
            </w:r>
          </w:p>
        </w:tc>
        <w:tc>
          <w:tcPr>
            <w:tcW w:w="1512" w:type="dxa"/>
            <w:noWrap/>
          </w:tcPr>
          <w:p>
            <w:pPr>
              <w:pStyle w:val="yTableNAm"/>
              <w:tabs>
                <w:tab w:val="clear" w:pos="567"/>
              </w:tabs>
              <w:ind w:right="383"/>
              <w:jc w:val="right"/>
            </w:pPr>
            <w:r>
              <w:t>11 639</w:t>
            </w:r>
          </w:p>
        </w:tc>
        <w:tc>
          <w:tcPr>
            <w:tcW w:w="1512" w:type="dxa"/>
            <w:noWrap/>
          </w:tcPr>
          <w:p>
            <w:pPr>
              <w:pStyle w:val="yTableNAm"/>
              <w:tabs>
                <w:tab w:val="clear" w:pos="567"/>
              </w:tabs>
              <w:ind w:right="383"/>
              <w:jc w:val="right"/>
            </w:pPr>
            <w:r>
              <w:t>24 308</w:t>
            </w:r>
          </w:p>
        </w:tc>
        <w:tc>
          <w:tcPr>
            <w:tcW w:w="1512" w:type="dxa"/>
            <w:noWrap/>
          </w:tcPr>
          <w:p>
            <w:pPr>
              <w:pStyle w:val="yTableNAm"/>
              <w:tabs>
                <w:tab w:val="clear" w:pos="567"/>
              </w:tabs>
              <w:ind w:right="383"/>
              <w:jc w:val="right"/>
            </w:pPr>
            <w:r>
              <w:t>2 419</w:t>
            </w:r>
          </w:p>
        </w:tc>
      </w:tr>
      <w:tr>
        <w:trPr>
          <w:cantSplit/>
        </w:trPr>
        <w:tc>
          <w:tcPr>
            <w:tcW w:w="1701" w:type="dxa"/>
            <w:noWrap/>
          </w:tcPr>
          <w:p>
            <w:pPr>
              <w:pStyle w:val="yTableNAm"/>
            </w:pPr>
            <w:r>
              <w:t>Over 35 but not over 36</w:t>
            </w:r>
          </w:p>
        </w:tc>
        <w:tc>
          <w:tcPr>
            <w:tcW w:w="1512" w:type="dxa"/>
            <w:noWrap/>
          </w:tcPr>
          <w:p>
            <w:pPr>
              <w:pStyle w:val="yTableNAm"/>
              <w:tabs>
                <w:tab w:val="clear" w:pos="567"/>
              </w:tabs>
              <w:ind w:right="383"/>
              <w:jc w:val="right"/>
            </w:pPr>
            <w:r>
              <w:t>12 124</w:t>
            </w:r>
          </w:p>
        </w:tc>
        <w:tc>
          <w:tcPr>
            <w:tcW w:w="1512" w:type="dxa"/>
            <w:noWrap/>
          </w:tcPr>
          <w:p>
            <w:pPr>
              <w:pStyle w:val="yTableNAm"/>
              <w:tabs>
                <w:tab w:val="clear" w:pos="567"/>
              </w:tabs>
              <w:ind w:right="383"/>
              <w:jc w:val="right"/>
            </w:pPr>
            <w:r>
              <w:t>25 197</w:t>
            </w:r>
          </w:p>
        </w:tc>
        <w:tc>
          <w:tcPr>
            <w:tcW w:w="1512" w:type="dxa"/>
            <w:noWrap/>
          </w:tcPr>
          <w:p>
            <w:pPr>
              <w:pStyle w:val="yTableNAm"/>
              <w:tabs>
                <w:tab w:val="clear" w:pos="567"/>
              </w:tabs>
              <w:ind w:right="383"/>
              <w:jc w:val="right"/>
            </w:pPr>
            <w:r>
              <w:t>2 529</w:t>
            </w:r>
          </w:p>
        </w:tc>
      </w:tr>
      <w:tr>
        <w:trPr>
          <w:cantSplit/>
        </w:trPr>
        <w:tc>
          <w:tcPr>
            <w:tcW w:w="1701" w:type="dxa"/>
            <w:noWrap/>
          </w:tcPr>
          <w:p>
            <w:pPr>
              <w:pStyle w:val="yTableNAm"/>
            </w:pPr>
            <w:r>
              <w:lastRenderedPageBreak/>
              <w:t>Over 36 but not over 37</w:t>
            </w:r>
          </w:p>
        </w:tc>
        <w:tc>
          <w:tcPr>
            <w:tcW w:w="1512" w:type="dxa"/>
            <w:noWrap/>
          </w:tcPr>
          <w:p>
            <w:pPr>
              <w:pStyle w:val="yTableNAm"/>
              <w:tabs>
                <w:tab w:val="clear" w:pos="567"/>
              </w:tabs>
              <w:ind w:right="383"/>
              <w:jc w:val="right"/>
            </w:pPr>
            <w:r>
              <w:t>12 608</w:t>
            </w:r>
          </w:p>
        </w:tc>
        <w:tc>
          <w:tcPr>
            <w:tcW w:w="1512" w:type="dxa"/>
            <w:noWrap/>
          </w:tcPr>
          <w:p>
            <w:pPr>
              <w:pStyle w:val="yTableNAm"/>
              <w:tabs>
                <w:tab w:val="clear" w:pos="567"/>
              </w:tabs>
              <w:ind w:right="383"/>
              <w:jc w:val="right"/>
            </w:pPr>
            <w:r>
              <w:t>26 087</w:t>
            </w:r>
          </w:p>
        </w:tc>
        <w:tc>
          <w:tcPr>
            <w:tcW w:w="1512" w:type="dxa"/>
            <w:noWrap/>
          </w:tcPr>
          <w:p>
            <w:pPr>
              <w:pStyle w:val="yTableNAm"/>
              <w:tabs>
                <w:tab w:val="clear" w:pos="567"/>
              </w:tabs>
              <w:ind w:right="383"/>
              <w:jc w:val="right"/>
            </w:pPr>
            <w:r>
              <w:t>2 642</w:t>
            </w:r>
          </w:p>
        </w:tc>
      </w:tr>
      <w:tr>
        <w:trPr>
          <w:cantSplit/>
        </w:trPr>
        <w:tc>
          <w:tcPr>
            <w:tcW w:w="1701" w:type="dxa"/>
            <w:noWrap/>
          </w:tcPr>
          <w:p>
            <w:pPr>
              <w:pStyle w:val="yTableNAm"/>
            </w:pPr>
            <w:r>
              <w:t>Over 37 but not over 38</w:t>
            </w:r>
          </w:p>
        </w:tc>
        <w:tc>
          <w:tcPr>
            <w:tcW w:w="1512" w:type="dxa"/>
            <w:noWrap/>
          </w:tcPr>
          <w:p>
            <w:pPr>
              <w:pStyle w:val="yTableNAm"/>
              <w:tabs>
                <w:tab w:val="clear" w:pos="567"/>
              </w:tabs>
              <w:ind w:right="383"/>
              <w:jc w:val="right"/>
            </w:pPr>
            <w:r>
              <w:t>13 067</w:t>
            </w:r>
          </w:p>
        </w:tc>
        <w:tc>
          <w:tcPr>
            <w:tcW w:w="1512" w:type="dxa"/>
            <w:noWrap/>
          </w:tcPr>
          <w:p>
            <w:pPr>
              <w:pStyle w:val="yTableNAm"/>
              <w:tabs>
                <w:tab w:val="clear" w:pos="567"/>
              </w:tabs>
              <w:ind w:right="383"/>
              <w:jc w:val="right"/>
            </w:pPr>
            <w:r>
              <w:t>26 993</w:t>
            </w:r>
          </w:p>
        </w:tc>
        <w:tc>
          <w:tcPr>
            <w:tcW w:w="1512" w:type="dxa"/>
            <w:noWrap/>
          </w:tcPr>
          <w:p>
            <w:pPr>
              <w:pStyle w:val="yTableNAm"/>
              <w:tabs>
                <w:tab w:val="clear" w:pos="567"/>
              </w:tabs>
              <w:ind w:right="383"/>
              <w:jc w:val="right"/>
            </w:pPr>
            <w:r>
              <w:t>2 741</w:t>
            </w:r>
          </w:p>
        </w:tc>
      </w:tr>
      <w:tr>
        <w:trPr>
          <w:cantSplit/>
        </w:trPr>
        <w:tc>
          <w:tcPr>
            <w:tcW w:w="1701" w:type="dxa"/>
            <w:noWrap/>
          </w:tcPr>
          <w:p>
            <w:pPr>
              <w:pStyle w:val="yTableNAm"/>
            </w:pPr>
            <w:r>
              <w:t>Over 38 but not over 39</w:t>
            </w:r>
          </w:p>
        </w:tc>
        <w:tc>
          <w:tcPr>
            <w:tcW w:w="1512" w:type="dxa"/>
            <w:noWrap/>
          </w:tcPr>
          <w:p>
            <w:pPr>
              <w:pStyle w:val="yTableNAm"/>
              <w:tabs>
                <w:tab w:val="clear" w:pos="567"/>
              </w:tabs>
              <w:ind w:right="383"/>
              <w:jc w:val="right"/>
            </w:pPr>
            <w:r>
              <w:t>13 550</w:t>
            </w:r>
          </w:p>
        </w:tc>
        <w:tc>
          <w:tcPr>
            <w:tcW w:w="1512" w:type="dxa"/>
            <w:noWrap/>
          </w:tcPr>
          <w:p>
            <w:pPr>
              <w:pStyle w:val="yTableNAm"/>
              <w:tabs>
                <w:tab w:val="clear" w:pos="567"/>
              </w:tabs>
              <w:ind w:right="383"/>
              <w:jc w:val="right"/>
            </w:pPr>
            <w:r>
              <w:t>27 876</w:t>
            </w:r>
          </w:p>
        </w:tc>
        <w:tc>
          <w:tcPr>
            <w:tcW w:w="1512" w:type="dxa"/>
            <w:noWrap/>
          </w:tcPr>
          <w:p>
            <w:pPr>
              <w:pStyle w:val="yTableNAm"/>
              <w:tabs>
                <w:tab w:val="clear" w:pos="567"/>
              </w:tabs>
              <w:ind w:right="383"/>
              <w:jc w:val="right"/>
            </w:pPr>
            <w:r>
              <w:t>2 852</w:t>
            </w:r>
          </w:p>
        </w:tc>
      </w:tr>
      <w:tr>
        <w:trPr>
          <w:cantSplit/>
        </w:trPr>
        <w:tc>
          <w:tcPr>
            <w:tcW w:w="1701" w:type="dxa"/>
            <w:noWrap/>
          </w:tcPr>
          <w:p>
            <w:pPr>
              <w:pStyle w:val="yTableNAm"/>
            </w:pPr>
            <w:r>
              <w:t>Over 39 but not over 40</w:t>
            </w:r>
          </w:p>
        </w:tc>
        <w:tc>
          <w:tcPr>
            <w:tcW w:w="1512" w:type="dxa"/>
            <w:noWrap/>
          </w:tcPr>
          <w:p>
            <w:pPr>
              <w:pStyle w:val="yTableNAm"/>
              <w:tabs>
                <w:tab w:val="clear" w:pos="567"/>
              </w:tabs>
              <w:ind w:right="383"/>
              <w:jc w:val="right"/>
            </w:pPr>
            <w:r>
              <w:t>14 023</w:t>
            </w:r>
          </w:p>
        </w:tc>
        <w:tc>
          <w:tcPr>
            <w:tcW w:w="1512" w:type="dxa"/>
            <w:noWrap/>
          </w:tcPr>
          <w:p>
            <w:pPr>
              <w:pStyle w:val="yTableNAm"/>
              <w:tabs>
                <w:tab w:val="clear" w:pos="567"/>
              </w:tabs>
              <w:ind w:right="383"/>
              <w:jc w:val="right"/>
            </w:pPr>
            <w:r>
              <w:t>28 767</w:t>
            </w:r>
          </w:p>
        </w:tc>
        <w:tc>
          <w:tcPr>
            <w:tcW w:w="1512" w:type="dxa"/>
            <w:noWrap/>
          </w:tcPr>
          <w:p>
            <w:pPr>
              <w:pStyle w:val="yTableNAm"/>
              <w:tabs>
                <w:tab w:val="clear" w:pos="567"/>
              </w:tabs>
              <w:ind w:right="383"/>
              <w:jc w:val="right"/>
            </w:pPr>
            <w:r>
              <w:t>2 961</w:t>
            </w:r>
          </w:p>
        </w:tc>
      </w:tr>
      <w:tr>
        <w:trPr>
          <w:cantSplit/>
        </w:trPr>
        <w:tc>
          <w:tcPr>
            <w:tcW w:w="1701" w:type="dxa"/>
            <w:noWrap/>
          </w:tcPr>
          <w:p>
            <w:pPr>
              <w:pStyle w:val="yTableNAm"/>
            </w:pPr>
            <w:r>
              <w:t>Over 40 but not over 41</w:t>
            </w:r>
          </w:p>
        </w:tc>
        <w:tc>
          <w:tcPr>
            <w:tcW w:w="1512" w:type="dxa"/>
            <w:noWrap/>
          </w:tcPr>
          <w:p>
            <w:pPr>
              <w:pStyle w:val="yTableNAm"/>
              <w:tabs>
                <w:tab w:val="clear" w:pos="567"/>
              </w:tabs>
              <w:ind w:right="383"/>
              <w:jc w:val="right"/>
            </w:pPr>
            <w:r>
              <w:t>14 565</w:t>
            </w:r>
          </w:p>
        </w:tc>
        <w:tc>
          <w:tcPr>
            <w:tcW w:w="1512" w:type="dxa"/>
            <w:noWrap/>
          </w:tcPr>
          <w:p>
            <w:pPr>
              <w:pStyle w:val="yTableNAm"/>
              <w:tabs>
                <w:tab w:val="clear" w:pos="567"/>
              </w:tabs>
              <w:ind w:right="383"/>
              <w:jc w:val="right"/>
            </w:pPr>
            <w:r>
              <w:t>29 711</w:t>
            </w:r>
          </w:p>
        </w:tc>
        <w:tc>
          <w:tcPr>
            <w:tcW w:w="1512" w:type="dxa"/>
            <w:noWrap/>
          </w:tcPr>
          <w:p>
            <w:pPr>
              <w:pStyle w:val="yTableNAm"/>
              <w:tabs>
                <w:tab w:val="clear" w:pos="567"/>
              </w:tabs>
              <w:ind w:right="383"/>
              <w:jc w:val="right"/>
            </w:pPr>
            <w:r>
              <w:t>3 107</w:t>
            </w:r>
          </w:p>
        </w:tc>
      </w:tr>
      <w:tr>
        <w:trPr>
          <w:cantSplit/>
        </w:trPr>
        <w:tc>
          <w:tcPr>
            <w:tcW w:w="1701" w:type="dxa"/>
            <w:noWrap/>
          </w:tcPr>
          <w:p>
            <w:pPr>
              <w:pStyle w:val="yTableNAm"/>
            </w:pPr>
            <w:r>
              <w:t>Over 41 but not over 42</w:t>
            </w:r>
          </w:p>
        </w:tc>
        <w:tc>
          <w:tcPr>
            <w:tcW w:w="1512" w:type="dxa"/>
            <w:noWrap/>
          </w:tcPr>
          <w:p>
            <w:pPr>
              <w:pStyle w:val="yTableNAm"/>
              <w:tabs>
                <w:tab w:val="clear" w:pos="567"/>
              </w:tabs>
              <w:ind w:right="383"/>
              <w:jc w:val="right"/>
            </w:pPr>
            <w:r>
              <w:t>15 093</w:t>
            </w:r>
          </w:p>
        </w:tc>
        <w:tc>
          <w:tcPr>
            <w:tcW w:w="1512" w:type="dxa"/>
            <w:noWrap/>
          </w:tcPr>
          <w:p>
            <w:pPr>
              <w:pStyle w:val="yTableNAm"/>
              <w:tabs>
                <w:tab w:val="clear" w:pos="567"/>
              </w:tabs>
              <w:ind w:right="383"/>
              <w:jc w:val="right"/>
            </w:pPr>
            <w:r>
              <w:t>30 667</w:t>
            </w:r>
          </w:p>
        </w:tc>
        <w:tc>
          <w:tcPr>
            <w:tcW w:w="1512" w:type="dxa"/>
            <w:noWrap/>
          </w:tcPr>
          <w:p>
            <w:pPr>
              <w:pStyle w:val="yTableNAm"/>
              <w:tabs>
                <w:tab w:val="clear" w:pos="567"/>
              </w:tabs>
              <w:ind w:right="383"/>
              <w:jc w:val="right"/>
            </w:pPr>
            <w:r>
              <w:t>3 243</w:t>
            </w:r>
          </w:p>
        </w:tc>
      </w:tr>
      <w:tr>
        <w:trPr>
          <w:cantSplit/>
        </w:trPr>
        <w:tc>
          <w:tcPr>
            <w:tcW w:w="1701" w:type="dxa"/>
            <w:noWrap/>
          </w:tcPr>
          <w:p>
            <w:pPr>
              <w:pStyle w:val="yTableNAm"/>
            </w:pPr>
            <w:r>
              <w:t>Over 42 but not over 43</w:t>
            </w:r>
          </w:p>
        </w:tc>
        <w:tc>
          <w:tcPr>
            <w:tcW w:w="1512" w:type="dxa"/>
            <w:noWrap/>
          </w:tcPr>
          <w:p>
            <w:pPr>
              <w:pStyle w:val="yTableNAm"/>
              <w:tabs>
                <w:tab w:val="clear" w:pos="567"/>
              </w:tabs>
              <w:ind w:right="383"/>
              <w:jc w:val="right"/>
            </w:pPr>
            <w:r>
              <w:t>15 628</w:t>
            </w:r>
          </w:p>
        </w:tc>
        <w:tc>
          <w:tcPr>
            <w:tcW w:w="1512" w:type="dxa"/>
            <w:noWrap/>
          </w:tcPr>
          <w:p>
            <w:pPr>
              <w:pStyle w:val="yTableNAm"/>
              <w:tabs>
                <w:tab w:val="clear" w:pos="567"/>
              </w:tabs>
              <w:ind w:right="383"/>
              <w:jc w:val="right"/>
            </w:pPr>
            <w:r>
              <w:t>31 629</w:t>
            </w:r>
          </w:p>
        </w:tc>
        <w:tc>
          <w:tcPr>
            <w:tcW w:w="1512" w:type="dxa"/>
            <w:noWrap/>
          </w:tcPr>
          <w:p>
            <w:pPr>
              <w:pStyle w:val="yTableNAm"/>
              <w:tabs>
                <w:tab w:val="clear" w:pos="567"/>
              </w:tabs>
              <w:ind w:right="383"/>
              <w:jc w:val="right"/>
            </w:pPr>
            <w:r>
              <w:t>3 374</w:t>
            </w:r>
          </w:p>
        </w:tc>
      </w:tr>
      <w:tr>
        <w:trPr>
          <w:cantSplit/>
        </w:trPr>
        <w:tc>
          <w:tcPr>
            <w:tcW w:w="1701" w:type="dxa"/>
            <w:noWrap/>
          </w:tcPr>
          <w:p>
            <w:pPr>
              <w:pStyle w:val="yTableNAm"/>
            </w:pPr>
            <w:r>
              <w:t>Over 43 but not over 44</w:t>
            </w:r>
          </w:p>
        </w:tc>
        <w:tc>
          <w:tcPr>
            <w:tcW w:w="1512" w:type="dxa"/>
            <w:noWrap/>
          </w:tcPr>
          <w:p>
            <w:pPr>
              <w:pStyle w:val="yTableNAm"/>
              <w:tabs>
                <w:tab w:val="clear" w:pos="567"/>
              </w:tabs>
              <w:ind w:right="383"/>
              <w:jc w:val="right"/>
            </w:pPr>
            <w:r>
              <w:t>16 165</w:t>
            </w:r>
          </w:p>
        </w:tc>
        <w:tc>
          <w:tcPr>
            <w:tcW w:w="1512" w:type="dxa"/>
            <w:noWrap/>
          </w:tcPr>
          <w:p>
            <w:pPr>
              <w:pStyle w:val="yTableNAm"/>
              <w:tabs>
                <w:tab w:val="clear" w:pos="567"/>
              </w:tabs>
              <w:ind w:right="383"/>
              <w:jc w:val="right"/>
            </w:pPr>
            <w:r>
              <w:t>32 563</w:t>
            </w:r>
          </w:p>
        </w:tc>
        <w:tc>
          <w:tcPr>
            <w:tcW w:w="1512" w:type="dxa"/>
            <w:noWrap/>
          </w:tcPr>
          <w:p>
            <w:pPr>
              <w:pStyle w:val="yTableNAm"/>
              <w:tabs>
                <w:tab w:val="clear" w:pos="567"/>
              </w:tabs>
              <w:ind w:right="383"/>
              <w:jc w:val="right"/>
            </w:pPr>
            <w:r>
              <w:t>3 517</w:t>
            </w:r>
          </w:p>
        </w:tc>
      </w:tr>
      <w:tr>
        <w:trPr>
          <w:cantSplit/>
        </w:trPr>
        <w:tc>
          <w:tcPr>
            <w:tcW w:w="1701" w:type="dxa"/>
            <w:noWrap/>
          </w:tcPr>
          <w:p>
            <w:pPr>
              <w:pStyle w:val="yTableNAm"/>
            </w:pPr>
            <w:r>
              <w:t>Over 44 but not over 45</w:t>
            </w:r>
          </w:p>
        </w:tc>
        <w:tc>
          <w:tcPr>
            <w:tcW w:w="1512" w:type="dxa"/>
            <w:noWrap/>
          </w:tcPr>
          <w:p>
            <w:pPr>
              <w:pStyle w:val="yTableNAm"/>
              <w:tabs>
                <w:tab w:val="clear" w:pos="567"/>
              </w:tabs>
              <w:ind w:right="383"/>
              <w:jc w:val="right"/>
            </w:pPr>
            <w:r>
              <w:t>16 698</w:t>
            </w:r>
          </w:p>
        </w:tc>
        <w:tc>
          <w:tcPr>
            <w:tcW w:w="1512" w:type="dxa"/>
            <w:noWrap/>
          </w:tcPr>
          <w:p>
            <w:pPr>
              <w:pStyle w:val="yTableNAm"/>
              <w:tabs>
                <w:tab w:val="clear" w:pos="567"/>
              </w:tabs>
              <w:ind w:right="383"/>
              <w:jc w:val="right"/>
            </w:pPr>
            <w:r>
              <w:t>33 532</w:t>
            </w:r>
          </w:p>
        </w:tc>
        <w:tc>
          <w:tcPr>
            <w:tcW w:w="1512" w:type="dxa"/>
            <w:noWrap/>
          </w:tcPr>
          <w:p>
            <w:pPr>
              <w:pStyle w:val="yTableNAm"/>
              <w:tabs>
                <w:tab w:val="clear" w:pos="567"/>
              </w:tabs>
              <w:ind w:right="383"/>
              <w:jc w:val="right"/>
            </w:pPr>
            <w:r>
              <w:t>3 651</w:t>
            </w:r>
          </w:p>
        </w:tc>
      </w:tr>
      <w:tr>
        <w:trPr>
          <w:cantSplit/>
        </w:trPr>
        <w:tc>
          <w:tcPr>
            <w:tcW w:w="1701" w:type="dxa"/>
            <w:noWrap/>
          </w:tcPr>
          <w:p>
            <w:pPr>
              <w:pStyle w:val="yTableNAm"/>
            </w:pPr>
            <w:r>
              <w:t>Over 45 but not over 46</w:t>
            </w:r>
          </w:p>
        </w:tc>
        <w:tc>
          <w:tcPr>
            <w:tcW w:w="1512" w:type="dxa"/>
            <w:noWrap/>
          </w:tcPr>
          <w:p>
            <w:pPr>
              <w:pStyle w:val="yTableNAm"/>
              <w:tabs>
                <w:tab w:val="clear" w:pos="567"/>
              </w:tabs>
              <w:ind w:right="383"/>
              <w:jc w:val="right"/>
            </w:pPr>
            <w:r>
              <w:t>17 233</w:t>
            </w:r>
          </w:p>
        </w:tc>
        <w:tc>
          <w:tcPr>
            <w:tcW w:w="1512" w:type="dxa"/>
            <w:noWrap/>
          </w:tcPr>
          <w:p>
            <w:pPr>
              <w:pStyle w:val="yTableNAm"/>
              <w:tabs>
                <w:tab w:val="clear" w:pos="567"/>
              </w:tabs>
              <w:ind w:right="383"/>
              <w:jc w:val="right"/>
            </w:pPr>
            <w:r>
              <w:t>34 468</w:t>
            </w:r>
          </w:p>
        </w:tc>
        <w:tc>
          <w:tcPr>
            <w:tcW w:w="1512" w:type="dxa"/>
            <w:noWrap/>
          </w:tcPr>
          <w:p>
            <w:pPr>
              <w:pStyle w:val="yTableNAm"/>
              <w:tabs>
                <w:tab w:val="clear" w:pos="567"/>
              </w:tabs>
              <w:ind w:right="383"/>
              <w:jc w:val="right"/>
            </w:pPr>
            <w:r>
              <w:t>3 782</w:t>
            </w:r>
          </w:p>
        </w:tc>
      </w:tr>
      <w:tr>
        <w:trPr>
          <w:cantSplit/>
        </w:trPr>
        <w:tc>
          <w:tcPr>
            <w:tcW w:w="1701" w:type="dxa"/>
            <w:noWrap/>
          </w:tcPr>
          <w:p>
            <w:pPr>
              <w:pStyle w:val="yTableNAm"/>
            </w:pPr>
            <w:r>
              <w:t>Over 46 but not over 47</w:t>
            </w:r>
          </w:p>
        </w:tc>
        <w:tc>
          <w:tcPr>
            <w:tcW w:w="1512" w:type="dxa"/>
            <w:noWrap/>
          </w:tcPr>
          <w:p>
            <w:pPr>
              <w:pStyle w:val="yTableNAm"/>
              <w:tabs>
                <w:tab w:val="clear" w:pos="567"/>
              </w:tabs>
              <w:ind w:right="383"/>
              <w:jc w:val="right"/>
            </w:pPr>
            <w:r>
              <w:t>17 768</w:t>
            </w:r>
          </w:p>
        </w:tc>
        <w:tc>
          <w:tcPr>
            <w:tcW w:w="1512" w:type="dxa"/>
            <w:noWrap/>
          </w:tcPr>
          <w:p>
            <w:pPr>
              <w:pStyle w:val="yTableNAm"/>
              <w:tabs>
                <w:tab w:val="clear" w:pos="567"/>
              </w:tabs>
              <w:ind w:right="383"/>
              <w:jc w:val="right"/>
            </w:pPr>
            <w:r>
              <w:t>35 418</w:t>
            </w:r>
          </w:p>
        </w:tc>
        <w:tc>
          <w:tcPr>
            <w:tcW w:w="1512" w:type="dxa"/>
            <w:noWrap/>
          </w:tcPr>
          <w:p>
            <w:pPr>
              <w:pStyle w:val="yTableNAm"/>
              <w:tabs>
                <w:tab w:val="clear" w:pos="567"/>
              </w:tabs>
              <w:ind w:right="383"/>
              <w:jc w:val="right"/>
            </w:pPr>
            <w:r>
              <w:t>3 920</w:t>
            </w:r>
          </w:p>
        </w:tc>
      </w:tr>
      <w:tr>
        <w:trPr>
          <w:cantSplit/>
        </w:trPr>
        <w:tc>
          <w:tcPr>
            <w:tcW w:w="1701" w:type="dxa"/>
            <w:noWrap/>
          </w:tcPr>
          <w:p>
            <w:pPr>
              <w:pStyle w:val="yTableNAm"/>
            </w:pPr>
            <w:r>
              <w:t>Over 47 but not over 48</w:t>
            </w:r>
          </w:p>
        </w:tc>
        <w:tc>
          <w:tcPr>
            <w:tcW w:w="1512" w:type="dxa"/>
            <w:noWrap/>
          </w:tcPr>
          <w:p>
            <w:pPr>
              <w:pStyle w:val="yTableNAm"/>
              <w:tabs>
                <w:tab w:val="clear" w:pos="567"/>
              </w:tabs>
              <w:ind w:right="383"/>
              <w:jc w:val="right"/>
            </w:pPr>
            <w:r>
              <w:t>18 299</w:t>
            </w:r>
          </w:p>
        </w:tc>
        <w:tc>
          <w:tcPr>
            <w:tcW w:w="1512" w:type="dxa"/>
            <w:noWrap/>
          </w:tcPr>
          <w:p>
            <w:pPr>
              <w:pStyle w:val="yTableNAm"/>
              <w:tabs>
                <w:tab w:val="clear" w:pos="567"/>
              </w:tabs>
              <w:ind w:right="383"/>
              <w:jc w:val="right"/>
            </w:pPr>
            <w:r>
              <w:t>36 377</w:t>
            </w:r>
          </w:p>
        </w:tc>
        <w:tc>
          <w:tcPr>
            <w:tcW w:w="1512" w:type="dxa"/>
            <w:noWrap/>
          </w:tcPr>
          <w:p>
            <w:pPr>
              <w:pStyle w:val="yTableNAm"/>
              <w:tabs>
                <w:tab w:val="clear" w:pos="567"/>
              </w:tabs>
              <w:ind w:right="383"/>
              <w:jc w:val="right"/>
            </w:pPr>
            <w:r>
              <w:t>4 057</w:t>
            </w:r>
          </w:p>
        </w:tc>
      </w:tr>
      <w:tr>
        <w:trPr>
          <w:cantSplit/>
        </w:trPr>
        <w:tc>
          <w:tcPr>
            <w:tcW w:w="1701" w:type="dxa"/>
            <w:noWrap/>
          </w:tcPr>
          <w:p>
            <w:pPr>
              <w:pStyle w:val="yTableNAm"/>
            </w:pPr>
            <w:r>
              <w:lastRenderedPageBreak/>
              <w:t>Over 48 but not over 49</w:t>
            </w:r>
          </w:p>
        </w:tc>
        <w:tc>
          <w:tcPr>
            <w:tcW w:w="1512" w:type="dxa"/>
            <w:noWrap/>
          </w:tcPr>
          <w:p>
            <w:pPr>
              <w:pStyle w:val="yTableNAm"/>
              <w:tabs>
                <w:tab w:val="clear" w:pos="567"/>
              </w:tabs>
              <w:ind w:right="383"/>
              <w:jc w:val="right"/>
            </w:pPr>
            <w:r>
              <w:t>18 845</w:t>
            </w:r>
          </w:p>
        </w:tc>
        <w:tc>
          <w:tcPr>
            <w:tcW w:w="1512" w:type="dxa"/>
            <w:noWrap/>
          </w:tcPr>
          <w:p>
            <w:pPr>
              <w:pStyle w:val="yTableNAm"/>
              <w:tabs>
                <w:tab w:val="clear" w:pos="567"/>
              </w:tabs>
              <w:ind w:right="383"/>
              <w:jc w:val="right"/>
            </w:pPr>
            <w:r>
              <w:t>37 321</w:t>
            </w:r>
          </w:p>
        </w:tc>
        <w:tc>
          <w:tcPr>
            <w:tcW w:w="1512" w:type="dxa"/>
            <w:noWrap/>
          </w:tcPr>
          <w:p>
            <w:pPr>
              <w:pStyle w:val="yTableNAm"/>
              <w:tabs>
                <w:tab w:val="clear" w:pos="567"/>
              </w:tabs>
              <w:ind w:right="383"/>
              <w:jc w:val="right"/>
            </w:pPr>
            <w:r>
              <w:t>4 189</w:t>
            </w:r>
          </w:p>
        </w:tc>
      </w:tr>
      <w:tr>
        <w:trPr>
          <w:cantSplit/>
        </w:trPr>
        <w:tc>
          <w:tcPr>
            <w:tcW w:w="1701" w:type="dxa"/>
            <w:noWrap/>
          </w:tcPr>
          <w:p>
            <w:pPr>
              <w:pStyle w:val="yTableNAm"/>
            </w:pPr>
            <w:r>
              <w:t>Over 49 but not over 50</w:t>
            </w:r>
          </w:p>
        </w:tc>
        <w:tc>
          <w:tcPr>
            <w:tcW w:w="1512" w:type="dxa"/>
            <w:noWrap/>
          </w:tcPr>
          <w:p>
            <w:pPr>
              <w:pStyle w:val="yTableNAm"/>
              <w:tabs>
                <w:tab w:val="clear" w:pos="567"/>
              </w:tabs>
              <w:ind w:right="383"/>
              <w:jc w:val="right"/>
            </w:pPr>
            <w:r>
              <w:t>19 372</w:t>
            </w:r>
          </w:p>
        </w:tc>
        <w:tc>
          <w:tcPr>
            <w:tcW w:w="1512" w:type="dxa"/>
            <w:noWrap/>
          </w:tcPr>
          <w:p>
            <w:pPr>
              <w:pStyle w:val="yTableNAm"/>
              <w:tabs>
                <w:tab w:val="clear" w:pos="567"/>
              </w:tabs>
              <w:ind w:right="383"/>
              <w:jc w:val="right"/>
            </w:pPr>
            <w:r>
              <w:t>38 268</w:t>
            </w:r>
          </w:p>
        </w:tc>
        <w:tc>
          <w:tcPr>
            <w:tcW w:w="1512" w:type="dxa"/>
            <w:noWrap/>
          </w:tcPr>
          <w:p>
            <w:pPr>
              <w:pStyle w:val="yTableNAm"/>
              <w:tabs>
                <w:tab w:val="clear" w:pos="567"/>
              </w:tabs>
              <w:ind w:right="383"/>
              <w:jc w:val="right"/>
            </w:pPr>
            <w:r>
              <w:t>4 334</w:t>
            </w:r>
          </w:p>
        </w:tc>
      </w:tr>
      <w:tr>
        <w:trPr>
          <w:cantSplit/>
        </w:trPr>
        <w:tc>
          <w:tcPr>
            <w:tcW w:w="1701" w:type="dxa"/>
            <w:noWrap/>
          </w:tcPr>
          <w:p>
            <w:pPr>
              <w:pStyle w:val="yTableNAm"/>
            </w:pPr>
            <w:r>
              <w:t>Over 50</w:t>
            </w:r>
          </w:p>
        </w:tc>
        <w:tc>
          <w:tcPr>
            <w:tcW w:w="1512" w:type="dxa"/>
            <w:noWrap/>
          </w:tcPr>
          <w:p>
            <w:pPr>
              <w:pStyle w:val="yTableNAm"/>
              <w:tabs>
                <w:tab w:val="clear" w:pos="567"/>
              </w:tabs>
              <w:ind w:right="383"/>
              <w:jc w:val="right"/>
            </w:pPr>
            <w:r>
              <w:t>19 673</w:t>
            </w:r>
          </w:p>
        </w:tc>
        <w:tc>
          <w:tcPr>
            <w:tcW w:w="1512" w:type="dxa"/>
            <w:noWrap/>
          </w:tcPr>
          <w:p>
            <w:pPr>
              <w:pStyle w:val="yTableNAm"/>
              <w:tabs>
                <w:tab w:val="clear" w:pos="567"/>
              </w:tabs>
              <w:ind w:right="383"/>
              <w:jc w:val="right"/>
            </w:pPr>
            <w:r>
              <w:t>38 770</w:t>
            </w:r>
          </w:p>
        </w:tc>
        <w:tc>
          <w:tcPr>
            <w:tcW w:w="1512" w:type="dxa"/>
            <w:noWrap/>
          </w:tcPr>
          <w:p>
            <w:pPr>
              <w:pStyle w:val="yTableNAm"/>
              <w:tabs>
                <w:tab w:val="clear" w:pos="567"/>
              </w:tabs>
              <w:ind w:right="383"/>
              <w:jc w:val="right"/>
            </w:pPr>
            <w:r>
              <w:t>4 413</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lastRenderedPageBreak/>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lastRenderedPageBreak/>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lastRenderedPageBreak/>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lastRenderedPageBreak/>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 SL 2023/45 r. 49(1).]</w:t>
      </w:r>
    </w:p>
    <w:p>
      <w:pPr>
        <w:pStyle w:val="yHeading5"/>
      </w:pPr>
      <w:bookmarkStart w:id="34" w:name="_Toc199494279"/>
      <w:r>
        <w:rPr>
          <w:rStyle w:val="CharSClsNo"/>
        </w:rPr>
        <w:t>2</w:t>
      </w:r>
      <w:r>
        <w:t>.</w:t>
      </w:r>
      <w:r>
        <w:rPr>
          <w:b w:val="0"/>
        </w:rPr>
        <w:tab/>
      </w:r>
      <w:r>
        <w:t>Other fees and charges</w:t>
      </w:r>
      <w:bookmarkEnd w:id="34"/>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lastRenderedPageBreak/>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$171.05</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keepNext/>
            </w:pPr>
            <w:r>
              <w:t>6.</w:t>
            </w:r>
          </w:p>
        </w:tc>
        <w:tc>
          <w:tcPr>
            <w:tcW w:w="3969" w:type="dxa"/>
            <w:tcBorders>
              <w:bottom w:val="nil"/>
            </w:tcBorders>
          </w:tcPr>
          <w:p>
            <w:pPr>
              <w:pStyle w:val="yTableNAm"/>
              <w:keepNext/>
            </w:pPr>
            <w:r>
              <w:t xml:space="preserve">Towage permit — </w:t>
            </w:r>
          </w:p>
        </w:tc>
        <w:tc>
          <w:tcPr>
            <w:tcW w:w="2126" w:type="dxa"/>
            <w:tcBorders>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 xml:space="preserve">$345.55/hour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$358.15</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keepNext/>
            </w:pPr>
          </w:p>
        </w:tc>
        <w:tc>
          <w:tcPr>
            <w:tcW w:w="3969" w:type="dxa"/>
            <w:tcBorders>
              <w:top w:val="nil"/>
              <w:bottom w:val="nil"/>
            </w:tcBorders>
          </w:tcPr>
          <w:p>
            <w:pPr>
              <w:pStyle w:val="yTableNAm"/>
              <w:keepNext/>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$212.10/hour</w:t>
            </w:r>
          </w:p>
        </w:tc>
      </w:tr>
      <w:tr>
        <w:tblPrEx>
          <w:tblCellMar>
            <w:bottom w:w="0" w:type="dxa"/>
          </w:tblCellMar>
        </w:tblPrEx>
        <w:trPr>
          <w:cantSplit/>
        </w:trPr>
        <w:tc>
          <w:tcPr>
            <w:tcW w:w="709" w:type="dxa"/>
          </w:tcPr>
          <w:p>
            <w:pPr>
              <w:pStyle w:val="yTableNAm"/>
            </w:pPr>
            <w:r>
              <w:lastRenderedPageBreak/>
              <w:t>15.</w:t>
            </w:r>
          </w:p>
        </w:tc>
        <w:tc>
          <w:tcPr>
            <w:tcW w:w="3969" w:type="dxa"/>
          </w:tcPr>
          <w:p>
            <w:pPr>
              <w:pStyle w:val="yTableNAm"/>
            </w:pPr>
            <w:r>
              <w:t>Photocopying</w:t>
            </w:r>
          </w:p>
        </w:tc>
        <w:tc>
          <w:tcPr>
            <w:tcW w:w="2126" w:type="dxa"/>
            <w:vAlign w:val="bottom"/>
          </w:tcPr>
          <w:p>
            <w:pPr>
              <w:pStyle w:val="yTableNAm"/>
            </w:pPr>
            <w:r>
              <w:t>$1.75/page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keepNext/>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 31 May 2019 p. 1727</w:t>
      </w:r>
      <w:r>
        <w:noBreakHyphen/>
        <w:t>8; SL 2021/92 r. 31; SL 2022/67 r. 32; SL 2023/45 r. 49(2).]</w:t>
      </w:r>
    </w:p>
    <w:p>
      <w:pPr>
        <w:pStyle w:val="yHeading5"/>
      </w:pPr>
      <w:bookmarkStart w:id="35" w:name="_Toc199494280"/>
      <w:r>
        <w:rPr>
          <w:rStyle w:val="CharSClsNo"/>
        </w:rPr>
        <w:lastRenderedPageBreak/>
        <w:t>3</w:t>
      </w:r>
      <w:r>
        <w:t>.</w:t>
      </w:r>
      <w:r>
        <w:rPr>
          <w:b w:val="0"/>
        </w:rPr>
        <w:tab/>
      </w:r>
      <w:r>
        <w:t>Fees for hire and drive vessels</w:t>
      </w:r>
      <w:bookmarkEnd w:id="35"/>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36" w:name="_Toc199494281"/>
      <w:r>
        <w:rPr>
          <w:rStyle w:val="CharSClsNo"/>
        </w:rPr>
        <w:t>4</w:t>
      </w:r>
      <w:r>
        <w:t>.</w:t>
      </w:r>
      <w:r>
        <w:rPr>
          <w:b w:val="0"/>
        </w:rPr>
        <w:tab/>
      </w:r>
      <w:r>
        <w:t>Annual exemption fee</w:t>
      </w:r>
      <w:bookmarkEnd w:id="36"/>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keepNext/>
      </w:pPr>
      <w:r>
        <w:lastRenderedPageBreak/>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38" w:name="_Toc199494282"/>
      <w:r>
        <w:rPr>
          <w:rStyle w:val="CharSchNo"/>
        </w:rPr>
        <w:lastRenderedPageBreak/>
        <w:t>Schedule 2</w:t>
      </w:r>
      <w:bookmarkEnd w:id="38"/>
    </w:p>
    <w:p>
      <w:pPr>
        <w:pStyle w:val="yHeading2"/>
      </w:pPr>
      <w:bookmarkStart w:id="39" w:name="_Toc199494283"/>
      <w:r>
        <w:rPr>
          <w:rStyle w:val="CharSchText"/>
        </w:rPr>
        <w:t>Survey requirements and intervals</w:t>
      </w:r>
      <w:bookmarkEnd w:id="39"/>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lastRenderedPageBreak/>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lastRenderedPageBreak/>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lastRenderedPageBreak/>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lastRenderedPageBreak/>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lastRenderedPageBreak/>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lastRenderedPageBreak/>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40" w:name="_Toc199494284"/>
      <w:r>
        <w:lastRenderedPageBreak/>
        <w:t>Notes</w:t>
      </w:r>
      <w:bookmarkEnd w:id="40"/>
    </w:p>
    <w:p>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 </w:t>
      </w:r>
    </w:p>
    <w:p>
      <w:pPr>
        <w:pStyle w:val="nHeading3"/>
      </w:pPr>
      <w:bookmarkStart w:id="41" w:name="_Toc199494285"/>
      <w:r>
        <w:t>Compilation table</w:t>
      </w:r>
      <w:bookmarkEnd w:id="41"/>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W.A. Marine (Surveys and Certificates of Survey) Regulations 1983</w:t>
            </w:r>
          </w:p>
        </w:tc>
        <w:tc>
          <w:tcPr>
            <w:tcW w:w="1276" w:type="dxa"/>
            <w:tcBorders>
              <w:top w:val="single" w:sz="8" w:space="0" w:color="auto"/>
            </w:tcBorders>
          </w:tcPr>
          <w:p>
            <w:pPr>
              <w:pStyle w:val="nTable"/>
              <w:spacing w:after="40"/>
            </w:pPr>
            <w:r>
              <w:t>1 Jul 1983 p. 2195</w:t>
            </w:r>
            <w:r>
              <w:noBreakHyphen/>
              <w:t>208</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1983</w:t>
            </w:r>
          </w:p>
        </w:tc>
        <w:tc>
          <w:tcPr>
            <w:tcW w:w="1276" w:type="dxa"/>
          </w:tcPr>
          <w:p>
            <w:pPr>
              <w:pStyle w:val="nTable"/>
              <w:spacing w:after="40"/>
            </w:pPr>
            <w:r>
              <w:t>5 Aug 1983 p. 2839</w:t>
            </w:r>
            <w:r>
              <w:noBreakHyphen/>
              <w:t>40</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1985</w:t>
            </w:r>
          </w:p>
        </w:tc>
        <w:tc>
          <w:tcPr>
            <w:tcW w:w="1276" w:type="dxa"/>
          </w:tcPr>
          <w:p>
            <w:pPr>
              <w:pStyle w:val="nTable"/>
              <w:spacing w:after="40"/>
            </w:pPr>
            <w:r>
              <w:t>30 Aug 1985 p. 3081</w:t>
            </w:r>
            <w:r>
              <w:noBreakHyphen/>
              <w:t>2</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1986</w:t>
            </w:r>
          </w:p>
        </w:tc>
        <w:tc>
          <w:tcPr>
            <w:tcW w:w="1276" w:type="dxa"/>
          </w:tcPr>
          <w:p>
            <w:pPr>
              <w:pStyle w:val="nTable"/>
              <w:spacing w:after="40"/>
            </w:pPr>
            <w:r>
              <w:t>8 Aug 1986 p. 2834</w:t>
            </w:r>
            <w:r>
              <w:noBreakHyphen/>
              <w:t>6</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1987</w:t>
            </w:r>
          </w:p>
        </w:tc>
        <w:tc>
          <w:tcPr>
            <w:tcW w:w="1276" w:type="dxa"/>
          </w:tcPr>
          <w:p>
            <w:pPr>
              <w:pStyle w:val="nTable"/>
              <w:spacing w:after="40"/>
            </w:pPr>
            <w:r>
              <w:t>16 Oct 1987 p. 3898</w:t>
            </w:r>
            <w:r>
              <w:noBreakHyphen/>
              <w:t>9</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1988</w:t>
            </w:r>
          </w:p>
        </w:tc>
        <w:tc>
          <w:tcPr>
            <w:tcW w:w="1276" w:type="dxa"/>
          </w:tcPr>
          <w:p>
            <w:pPr>
              <w:pStyle w:val="nTable"/>
              <w:spacing w:after="40"/>
            </w:pPr>
            <w:r>
              <w:t>12 Aug 1988 p. 2713</w:t>
            </w:r>
            <w:r>
              <w:noBreakHyphen/>
              <w:t>14</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1989</w:t>
            </w:r>
          </w:p>
        </w:tc>
        <w:tc>
          <w:tcPr>
            <w:tcW w:w="1276" w:type="dxa"/>
          </w:tcPr>
          <w:p>
            <w:pPr>
              <w:pStyle w:val="nTable"/>
              <w:spacing w:after="40"/>
            </w:pPr>
            <w:r>
              <w:t>23 Jun 1989 p. 1812</w:t>
            </w:r>
            <w:r>
              <w:noBreakHyphen/>
              <w:t>13</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1989</w:t>
            </w:r>
          </w:p>
        </w:tc>
        <w:tc>
          <w:tcPr>
            <w:tcW w:w="1276" w:type="dxa"/>
          </w:tcPr>
          <w:p>
            <w:pPr>
              <w:pStyle w:val="nTable"/>
              <w:spacing w:after="40"/>
            </w:pPr>
            <w:r>
              <w:t>30 Jun 1989 p. 1924</w:t>
            </w:r>
            <w:r>
              <w:noBreakHyphen/>
              <w:t>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3) 1989</w:t>
            </w:r>
          </w:p>
        </w:tc>
        <w:tc>
          <w:tcPr>
            <w:tcW w:w="1276" w:type="dxa"/>
          </w:tcPr>
          <w:p>
            <w:pPr>
              <w:pStyle w:val="nTable"/>
              <w:spacing w:after="40"/>
            </w:pPr>
            <w:r>
              <w:t>3 Nov 1989 p. 3964</w:t>
            </w:r>
            <w:r>
              <w:noBreakHyphen/>
              <w:t>5</w:t>
            </w:r>
          </w:p>
        </w:tc>
        <w:tc>
          <w:tcPr>
            <w:tcW w:w="2693" w:type="dxa"/>
          </w:tcPr>
          <w:p>
            <w:pPr>
              <w:pStyle w:val="nTable"/>
              <w:spacing w:after="40"/>
            </w:pPr>
            <w:r>
              <w:t>3 Nov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1990</w:t>
            </w:r>
          </w:p>
        </w:tc>
        <w:tc>
          <w:tcPr>
            <w:tcW w:w="1276" w:type="dxa"/>
          </w:tcPr>
          <w:p>
            <w:pPr>
              <w:pStyle w:val="nTable"/>
              <w:spacing w:after="40"/>
            </w:pPr>
            <w:r>
              <w:t>1 Aug 1990 p. 3645</w:t>
            </w:r>
            <w:r>
              <w:noBreakHyphen/>
              <w:t>6</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1991</w:t>
            </w:r>
          </w:p>
        </w:tc>
        <w:tc>
          <w:tcPr>
            <w:tcW w:w="1276" w:type="dxa"/>
          </w:tcPr>
          <w:p>
            <w:pPr>
              <w:pStyle w:val="nTable"/>
              <w:spacing w:after="40"/>
            </w:pPr>
            <w:r>
              <w:t>26 Jul 1991 p. 3930</w:t>
            </w:r>
            <w:r>
              <w:noBreakHyphen/>
              <w:t>3</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lastRenderedPageBreak/>
              <w:t>W.A. Marine (Surveys and Certificates of Survey) Amendment Regulations (No. 2) 1991</w:t>
            </w:r>
          </w:p>
        </w:tc>
        <w:tc>
          <w:tcPr>
            <w:tcW w:w="1276" w:type="dxa"/>
          </w:tcPr>
          <w:p>
            <w:pPr>
              <w:pStyle w:val="nTable"/>
              <w:spacing w:after="40"/>
            </w:pPr>
            <w:r>
              <w:t>13 Dec 1991 p. 6235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(No. 2) 1992</w:t>
            </w:r>
            <w:r>
              <w:t xml:space="preserve"> Pt. 8</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1992</w:t>
            </w:r>
            <w:r>
              <w:t xml:space="preserve"> Pt. 12</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1993</w:t>
            </w:r>
          </w:p>
        </w:tc>
        <w:tc>
          <w:tcPr>
            <w:tcW w:w="1276" w:type="dxa"/>
          </w:tcPr>
          <w:p>
            <w:pPr>
              <w:pStyle w:val="nTable"/>
              <w:keepNext/>
              <w:spacing w:after="40"/>
            </w:pPr>
            <w:r>
              <w:t>29 Jun 1993 p. 3188</w:t>
            </w:r>
            <w:r>
              <w:noBreakHyphen/>
              <w:t>91</w:t>
            </w:r>
          </w:p>
        </w:tc>
        <w:tc>
          <w:tcPr>
            <w:tcW w:w="2693" w:type="dxa"/>
          </w:tcPr>
          <w:p>
            <w:pPr>
              <w:pStyle w:val="nTable"/>
              <w:keepNext/>
              <w:spacing w:after="40"/>
            </w:pPr>
            <w:r>
              <w:t>1 Jul 1993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1994</w:t>
            </w:r>
            <w:r>
              <w:t xml:space="preserve"> Pt. 8</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1995</w:t>
            </w:r>
            <w:r>
              <w:t xml:space="preserve"> Pt. 6</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1996</w:t>
            </w:r>
            <w:r>
              <w:t xml:space="preserve"> Pt. 6</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1997</w:t>
            </w:r>
            <w:r>
              <w:t xml:space="preserve"> Div. 5</w:t>
            </w:r>
          </w:p>
        </w:tc>
        <w:tc>
          <w:tcPr>
            <w:tcW w:w="1276" w:type="dxa"/>
          </w:tcPr>
          <w:p>
            <w:pPr>
              <w:pStyle w:val="nTable"/>
              <w:keepNext/>
              <w:keepLines/>
              <w:spacing w:after="40"/>
            </w:pPr>
            <w:r>
              <w:t>27 Jun 1997 p. 3141</w:t>
            </w:r>
            <w:r>
              <w:noBreakHyphen/>
              <w:t>6</w:t>
            </w:r>
          </w:p>
        </w:tc>
        <w:tc>
          <w:tcPr>
            <w:tcW w:w="2693" w:type="dxa"/>
          </w:tcPr>
          <w:p>
            <w:pPr>
              <w:pStyle w:val="nTable"/>
              <w:keepNext/>
              <w:keepLines/>
              <w:spacing w:after="40"/>
            </w:pPr>
            <w:r>
              <w:t>1 Jul 1997 (see r. 2)</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1998</w:t>
            </w:r>
            <w:r>
              <w:t xml:space="preserve"> Div. 5</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1998</w:t>
            </w:r>
          </w:p>
        </w:tc>
        <w:tc>
          <w:tcPr>
            <w:tcW w:w="1276" w:type="dxa"/>
          </w:tcPr>
          <w:p>
            <w:pPr>
              <w:pStyle w:val="nTable"/>
              <w:spacing w:after="40"/>
            </w:pPr>
            <w:r>
              <w:t>4 Aug 1998 p. 3990</w:t>
            </w:r>
            <w:r>
              <w:noBreakHyphen/>
              <w:t>1</w:t>
            </w:r>
          </w:p>
        </w:tc>
        <w:tc>
          <w:tcPr>
            <w:tcW w:w="2693" w:type="dxa"/>
          </w:tcPr>
          <w:p>
            <w:pPr>
              <w:pStyle w:val="nTable"/>
              <w:spacing w:after="40"/>
            </w:pPr>
            <w:r>
              <w:t>4 Aug 1998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Western Australian Marine (Surveys and Certificates of Survey) Amendment Regulations 1999</w:t>
            </w:r>
          </w:p>
        </w:tc>
        <w:tc>
          <w:tcPr>
            <w:tcW w:w="1276" w:type="dxa"/>
          </w:tcPr>
          <w:p>
            <w:pPr>
              <w:pStyle w:val="nTable"/>
              <w:spacing w:after="40"/>
            </w:pPr>
            <w:r>
              <w:t>22 Jun 1999 p. 2691</w:t>
            </w:r>
            <w:r>
              <w:noBreakHyphen/>
              <w:t>2</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2000</w:t>
            </w:r>
            <w:r>
              <w:t xml:space="preserve"> r. 6</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Amendment Regulations 2001</w:t>
            </w:r>
            <w:r>
              <w:t xml:space="preserve"> r. 6</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(Surveys and Certificates of Survey) Amendment Regulations 2002</w:t>
            </w:r>
            <w:r>
              <w:rPr>
                <w:vertAlign w:val="superscript"/>
              </w:rPr>
              <w:t> 2</w:t>
            </w:r>
          </w:p>
        </w:tc>
        <w:tc>
          <w:tcPr>
            <w:tcW w:w="1276" w:type="dxa"/>
          </w:tcPr>
          <w:p>
            <w:pPr>
              <w:pStyle w:val="nTable"/>
              <w:spacing w:after="40"/>
            </w:pPr>
            <w:r>
              <w:t>22 Mar 2002 p. 1656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Amendment Regulations 2002</w:t>
            </w:r>
            <w:r>
              <w:t xml:space="preserve"> r. 6</w:t>
            </w:r>
          </w:p>
        </w:tc>
        <w:tc>
          <w:tcPr>
            <w:tcW w:w="1276" w:type="dxa"/>
          </w:tcPr>
          <w:p>
            <w:pPr>
              <w:pStyle w:val="nTable"/>
              <w:spacing w:after="40"/>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
              </w:rPr>
            </w:pPr>
            <w:r>
              <w:rPr>
                <w:i/>
              </w:rPr>
              <w:lastRenderedPageBreak/>
              <w:t>W.A. Marine (Surveys and Certificates of Survey) Amendment Regulations 2003</w:t>
            </w:r>
          </w:p>
        </w:tc>
        <w:tc>
          <w:tcPr>
            <w:tcW w:w="1276" w:type="dxa"/>
          </w:tcPr>
          <w:p>
            <w:pPr>
              <w:pStyle w:val="nTable"/>
              <w:spacing w:after="40"/>
            </w:pPr>
            <w:r>
              <w:rPr>
                <w:color w:val="000000"/>
              </w:rPr>
              <w:t>27 Jun 2003 p. 2529</w:t>
            </w:r>
            <w:r>
              <w:rPr>
                <w:color w:val="000000"/>
              </w:rPr>
              <w:noBreakHyphen/>
              <w:t>31</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2004</w:t>
            </w:r>
          </w:p>
        </w:tc>
        <w:tc>
          <w:tcPr>
            <w:tcW w:w="1276" w:type="dxa"/>
          </w:tcPr>
          <w:p>
            <w:pPr>
              <w:pStyle w:val="nTable"/>
              <w:spacing w:after="40"/>
              <w:rPr>
                <w:color w:val="000000"/>
              </w:rPr>
            </w:pPr>
            <w:r>
              <w:rPr>
                <w:color w:val="000000"/>
              </w:rPr>
              <w:t>25 Jun 2004 p. 2250</w:t>
            </w:r>
            <w:r>
              <w:rPr>
                <w:color w:val="000000"/>
              </w:rPr>
              <w:noBreakHyphen/>
              <w:t>60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2005</w:t>
            </w:r>
          </w:p>
        </w:tc>
        <w:tc>
          <w:tcPr>
            <w:tcW w:w="1276" w:type="dxa"/>
          </w:tcPr>
          <w:p>
            <w:pPr>
              <w:pStyle w:val="nTable"/>
              <w:spacing w:after="40"/>
              <w:rPr>
                <w:color w:val="000000"/>
              </w:rPr>
            </w:pPr>
            <w:r>
              <w:rPr>
                <w:color w:val="000000"/>
              </w:rPr>
              <w:t>24 Jun 2005 p. 2784</w:t>
            </w:r>
            <w:r>
              <w:rPr>
                <w:color w:val="000000"/>
              </w:rP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2006</w:t>
            </w:r>
          </w:p>
        </w:tc>
        <w:tc>
          <w:tcPr>
            <w:tcW w:w="1276" w:type="dxa"/>
          </w:tcPr>
          <w:p>
            <w:pPr>
              <w:pStyle w:val="nTable"/>
              <w:spacing w:after="40"/>
              <w:rPr>
                <w:color w:val="000000"/>
              </w:rPr>
            </w:pPr>
            <w:r>
              <w:rPr>
                <w:color w:val="000000"/>
              </w:rPr>
              <w:t>23 Jun 2006 p. 2214</w:t>
            </w:r>
            <w:r>
              <w:rPr>
                <w:color w:val="000000"/>
              </w:rPr>
              <w:noBreakHyphen/>
              <w:t>19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2007</w:t>
            </w:r>
          </w:p>
        </w:tc>
        <w:tc>
          <w:tcPr>
            <w:tcW w:w="1276" w:type="dxa"/>
          </w:tcPr>
          <w:p>
            <w:pPr>
              <w:pStyle w:val="nTable"/>
              <w:spacing w:after="40"/>
              <w:rPr>
                <w:color w:val="000000"/>
              </w:rPr>
            </w:pPr>
            <w:r>
              <w:rPr>
                <w:color w:val="000000"/>
              </w:rPr>
              <w:t>22 Jun 2007 p. 2853</w:t>
            </w:r>
            <w:r>
              <w:rPr>
                <w:color w:val="000000"/>
              </w:rP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2008</w:t>
            </w:r>
          </w:p>
        </w:tc>
        <w:tc>
          <w:tcPr>
            <w:tcW w:w="1276" w:type="dxa"/>
          </w:tcPr>
          <w:p>
            <w:pPr>
              <w:pStyle w:val="nTable"/>
              <w:spacing w:after="40"/>
              <w:rPr>
                <w:color w:val="000000"/>
              </w:rPr>
            </w:pPr>
            <w:r>
              <w:rPr>
                <w:color w:val="000000"/>
              </w:rPr>
              <w:t>24 Jun 2008 p. 2898</w:t>
            </w:r>
            <w:r>
              <w:rPr>
                <w:color w:val="000000"/>
              </w:rPr>
              <w:noBreakHyphen/>
              <w:t>903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(No. 2) 2008</w:t>
            </w:r>
          </w:p>
        </w:tc>
        <w:tc>
          <w:tcPr>
            <w:tcW w:w="1276" w:type="dxa"/>
          </w:tcPr>
          <w:p>
            <w:pPr>
              <w:pStyle w:val="nTable"/>
              <w:spacing w:after="40"/>
              <w:rPr>
                <w:color w:val="000000"/>
              </w:rPr>
            </w:pPr>
            <w:r>
              <w:rPr>
                <w:color w:val="000000"/>
              </w:rPr>
              <w:t>24 Oct 2008 p. 4678</w:t>
            </w:r>
            <w:r>
              <w:rPr>
                <w:color w:val="000000"/>
              </w:rPr>
              <w:noBreakHyphen/>
              <w:t>82</w:t>
            </w:r>
          </w:p>
        </w:tc>
        <w:tc>
          <w:tcPr>
            <w:tcW w:w="2693" w:type="dxa"/>
          </w:tcPr>
          <w:p>
            <w:pPr>
              <w:pStyle w:val="nTable"/>
              <w:spacing w:after="40"/>
            </w:pPr>
            <w:r>
              <w:t>r</w:t>
            </w:r>
            <w:r>
              <w:rPr>
                <w:snapToGrid w:val="0"/>
              </w:rPr>
              <w:t>.</w:t>
            </w:r>
            <w:r>
              <w:t> 1 and 2: 24 Oct 2008 (see r. 2(a));</w:t>
            </w:r>
            <w:r>
              <w:br/>
              <w:t>Regulations other than r. 1 and 2: 25 Oct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2009</w:t>
            </w:r>
          </w:p>
        </w:tc>
        <w:tc>
          <w:tcPr>
            <w:tcW w:w="1276" w:type="dxa"/>
          </w:tcPr>
          <w:p>
            <w:pPr>
              <w:pStyle w:val="nTable"/>
              <w:spacing w:after="40"/>
              <w:rPr>
                <w:color w:val="000000"/>
              </w:rPr>
            </w:pPr>
            <w:r>
              <w:rPr>
                <w:color w:val="000000"/>
              </w:rPr>
              <w:t>12 Jun 2009 p. 2121</w:t>
            </w:r>
            <w:r>
              <w:rPr>
                <w:color w:val="000000"/>
              </w:rPr>
              <w:noBreakHyphen/>
              <w:t>6</w:t>
            </w:r>
          </w:p>
        </w:tc>
        <w:tc>
          <w:tcPr>
            <w:tcW w:w="2693" w:type="dxa"/>
          </w:tcPr>
          <w:p>
            <w:pPr>
              <w:pStyle w:val="nTable"/>
              <w:spacing w:after="40"/>
            </w:pPr>
            <w:r>
              <w:t>r</w:t>
            </w:r>
            <w:r>
              <w:rPr>
                <w:snapToGrid w:val="0"/>
              </w:rPr>
              <w:t>.</w:t>
            </w:r>
            <w:r>
              <w:t>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11</w:t>
            </w:r>
          </w:p>
        </w:tc>
        <w:tc>
          <w:tcPr>
            <w:tcW w:w="1276" w:type="dxa"/>
          </w:tcPr>
          <w:p>
            <w:pPr>
              <w:pStyle w:val="nTable"/>
              <w:spacing w:after="40"/>
            </w:pPr>
            <w:r>
              <w:t>11 Dec 2009 p. 5087</w:t>
            </w:r>
            <w:r>
              <w:noBreakHyphen/>
              <w:t>109</w:t>
            </w:r>
          </w:p>
        </w:tc>
        <w:tc>
          <w:tcPr>
            <w:tcW w:w="2693" w:type="dxa"/>
          </w:tcPr>
          <w:p>
            <w:pPr>
              <w:pStyle w:val="nTable"/>
              <w:spacing w:after="40"/>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2010</w:t>
            </w:r>
          </w:p>
        </w:tc>
        <w:tc>
          <w:tcPr>
            <w:tcW w:w="1276" w:type="dxa"/>
          </w:tcPr>
          <w:p>
            <w:pPr>
              <w:pStyle w:val="nTable"/>
              <w:spacing w:after="40"/>
            </w:pPr>
            <w:r>
              <w:t>18 Jun 2010 p. 2684-9</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W.A. Marine (Surveys and Certificates of Survey) Amendment Regulations 2011</w:t>
            </w:r>
          </w:p>
        </w:tc>
        <w:tc>
          <w:tcPr>
            <w:tcW w:w="1276" w:type="dxa"/>
          </w:tcPr>
          <w:p>
            <w:pPr>
              <w:pStyle w:val="nTable"/>
              <w:spacing w:after="40"/>
            </w:pPr>
            <w:r>
              <w:t>20 May 2011 p. 1853</w:t>
            </w:r>
          </w:p>
        </w:tc>
        <w:tc>
          <w:tcPr>
            <w:tcW w:w="2693" w:type="dxa"/>
          </w:tcPr>
          <w:p>
            <w:pPr>
              <w:pStyle w:val="nTable"/>
              <w:spacing w:after="40"/>
            </w:pPr>
            <w:r>
              <w:t>r. 1 and 2: 20 May 2011 (see r. 2(a));</w:t>
            </w:r>
            <w:r>
              <w:br/>
              <w:t>Regulations other than r. 1 and 2: 21 May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(No. 2) 2011</w:t>
            </w:r>
          </w:p>
        </w:tc>
        <w:tc>
          <w:tcPr>
            <w:tcW w:w="1276" w:type="dxa"/>
            <w:shd w:val="clear" w:color="auto" w:fill="auto"/>
          </w:tcPr>
          <w:p>
            <w:pPr>
              <w:pStyle w:val="nTable"/>
              <w:spacing w:after="40"/>
            </w:pPr>
            <w:r>
              <w:t>21 Jun 2011 p. 2233-9</w:t>
            </w:r>
          </w:p>
        </w:tc>
        <w:tc>
          <w:tcPr>
            <w:tcW w:w="2693" w:type="dxa"/>
            <w:shd w:val="clear" w:color="auto" w:fill="auto"/>
          </w:tcPr>
          <w:p>
            <w:pPr>
              <w:pStyle w:val="nTable"/>
              <w:spacing w:after="40"/>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2012</w:t>
            </w:r>
          </w:p>
        </w:tc>
        <w:tc>
          <w:tcPr>
            <w:tcW w:w="1276" w:type="dxa"/>
            <w:shd w:val="clear" w:color="auto" w:fill="auto"/>
          </w:tcPr>
          <w:p>
            <w:pPr>
              <w:pStyle w:val="nTable"/>
              <w:spacing w:after="40"/>
            </w:pPr>
            <w:r>
              <w:t>29 Jun 2012 p. 2954-60</w:t>
            </w:r>
          </w:p>
        </w:tc>
        <w:tc>
          <w:tcPr>
            <w:tcW w:w="2693" w:type="dxa"/>
            <w:shd w:val="clear" w:color="auto" w:fill="auto"/>
          </w:tcPr>
          <w:p>
            <w:pPr>
              <w:pStyle w:val="nTable"/>
              <w:spacing w:after="40"/>
            </w:pPr>
            <w:r>
              <w:t>r. 1 and 2: 29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2013</w:t>
            </w:r>
          </w:p>
        </w:tc>
        <w:tc>
          <w:tcPr>
            <w:tcW w:w="1276" w:type="dxa"/>
            <w:shd w:val="clear" w:color="auto" w:fill="auto"/>
          </w:tcPr>
          <w:p>
            <w:pPr>
              <w:pStyle w:val="nTable"/>
              <w:spacing w:after="40"/>
            </w:pPr>
            <w:r>
              <w:t>28 Jun 2013 p. 2773-6</w:t>
            </w:r>
          </w:p>
        </w:tc>
        <w:tc>
          <w:tcPr>
            <w:tcW w:w="2693" w:type="dxa"/>
            <w:shd w:val="clear" w:color="auto" w:fill="auto"/>
          </w:tcPr>
          <w:p>
            <w:pPr>
              <w:pStyle w:val="nTable"/>
              <w:spacing w:after="40"/>
              <w:rPr>
                <w:b/>
              </w:rPr>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2014</w:t>
            </w:r>
          </w:p>
        </w:tc>
        <w:tc>
          <w:tcPr>
            <w:tcW w:w="1276" w:type="dxa"/>
            <w:shd w:val="clear" w:color="auto" w:fill="auto"/>
          </w:tcPr>
          <w:p>
            <w:pPr>
              <w:pStyle w:val="nTable"/>
              <w:spacing w:after="40"/>
            </w:pPr>
            <w:r>
              <w:t>30 May 2014 p. 1689</w:t>
            </w:r>
          </w:p>
        </w:tc>
        <w:tc>
          <w:tcPr>
            <w:tcW w:w="2693" w:type="dxa"/>
            <w:shd w:val="clear" w:color="auto" w:fill="auto"/>
          </w:tcPr>
          <w:p>
            <w:pPr>
              <w:pStyle w:val="nTable"/>
              <w:spacing w:after="40"/>
            </w:pPr>
            <w:r>
              <w:t>r. 1 and 2: 30 May 2014 (see r. 2(a));</w:t>
            </w:r>
            <w: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2015</w:t>
            </w:r>
          </w:p>
        </w:tc>
        <w:tc>
          <w:tcPr>
            <w:tcW w:w="1276" w:type="dxa"/>
            <w:shd w:val="clear" w:color="auto" w:fill="auto"/>
          </w:tcPr>
          <w:p>
            <w:pPr>
              <w:pStyle w:val="nTable"/>
              <w:spacing w:after="40"/>
            </w:pPr>
            <w:r>
              <w:t>12 Jun 2015 p. 2031</w:t>
            </w:r>
          </w:p>
        </w:tc>
        <w:tc>
          <w:tcPr>
            <w:tcW w:w="2693" w:type="dxa"/>
            <w:shd w:val="clear" w:color="auto" w:fill="auto"/>
          </w:tcPr>
          <w:p>
            <w:pPr>
              <w:pStyle w:val="nTable"/>
              <w:spacing w:after="40"/>
            </w:pPr>
            <w:r>
              <w:t>r. 1 and 2: 12 Jun 2015 (see r. 2(a));</w:t>
            </w:r>
            <w: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pPr>
              <w:pStyle w:val="nTable"/>
              <w:spacing w:after="40"/>
            </w:pPr>
            <w:r>
              <w:t>31 May 2019 p. 1721</w:t>
            </w:r>
            <w:r>
              <w:noBreakHyphen/>
              <w:t>8</w:t>
            </w:r>
          </w:p>
        </w:tc>
        <w:tc>
          <w:tcPr>
            <w:tcW w:w="2693" w:type="dxa"/>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2021</w:t>
            </w:r>
            <w:r>
              <w:t xml:space="preserve"> Pt. 10</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bottom w:val="nil"/>
            </w:tcBorders>
            <w:shd w:val="clear" w:color="auto" w:fill="auto"/>
          </w:tcPr>
          <w:p>
            <w:pPr>
              <w:pStyle w:val="nTable"/>
              <w:spacing w:after="40"/>
              <w:ind w:right="113"/>
              <w:rPr>
                <w:i/>
              </w:rPr>
            </w:pPr>
            <w:r>
              <w:rPr>
                <w:i/>
              </w:rPr>
              <w:lastRenderedPageBreak/>
              <w:t>Transport Regulations Amendment (Fees and Charges) Regulations (No. 2) 2022</w:t>
            </w:r>
            <w:r>
              <w:t xml:space="preserve"> Pt. 10</w:t>
            </w:r>
          </w:p>
        </w:tc>
        <w:tc>
          <w:tcPr>
            <w:tcW w:w="1276" w:type="dxa"/>
            <w:tcBorders>
              <w:bottom w:val="nil"/>
            </w:tcBorders>
            <w:shd w:val="clear" w:color="auto" w:fill="auto"/>
          </w:tcPr>
          <w:p>
            <w:pPr>
              <w:pStyle w:val="nTable"/>
              <w:spacing w:after="40"/>
            </w:pPr>
            <w:r>
              <w:t>SL 2022/67 3 Jun 2022</w:t>
            </w:r>
          </w:p>
        </w:tc>
        <w:tc>
          <w:tcPr>
            <w:tcW w:w="2693" w:type="dxa"/>
            <w:tcBorders>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2023</w:t>
            </w:r>
            <w:r>
              <w:t xml:space="preserve"> Pt. 13</w:t>
            </w:r>
          </w:p>
        </w:tc>
        <w:tc>
          <w:tcPr>
            <w:tcW w:w="1276" w:type="dxa"/>
            <w:tcBorders>
              <w:bottom w:val="single" w:sz="4" w:space="0" w:color="auto"/>
            </w:tcBorders>
            <w:shd w:val="clear" w:color="auto" w:fill="auto"/>
          </w:tcPr>
          <w:p>
            <w:pPr>
              <w:pStyle w:val="nTable"/>
              <w:spacing w:after="40"/>
            </w:pPr>
            <w:r>
              <w:t>SL 2023/45 19 May 2023</w:t>
            </w:r>
          </w:p>
        </w:tc>
        <w:tc>
          <w:tcPr>
            <w:tcW w:w="2693" w:type="dxa"/>
            <w:tcBorders>
              <w:bottom w:val="single" w:sz="4" w:space="0" w:color="auto"/>
            </w:tcBorders>
            <w:shd w:val="clear" w:color="auto" w:fill="auto"/>
          </w:tcPr>
          <w:p>
            <w:pPr>
              <w:pStyle w:val="nTable"/>
              <w:spacing w:after="40"/>
            </w:pPr>
            <w:r>
              <w:t>1 Jul 2023 (see r. 2(c))</w:t>
            </w:r>
          </w:p>
        </w:tc>
      </w:tr>
    </w:tbl>
    <w:p>
      <w:pPr>
        <w:pStyle w:val="nHeading3"/>
      </w:pPr>
      <w:bookmarkStart w:id="42" w:name="_Toc199494286"/>
      <w:r>
        <w:t>Other notes</w:t>
      </w:r>
      <w:bookmarkEnd w:id="42"/>
    </w:p>
    <w:p>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44" w:name="_Toc199494287"/>
      <w:r>
        <w:rPr>
          <w:sz w:val="28"/>
        </w:rPr>
        <w:lastRenderedPageBreak/>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95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319"/>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 w:name="WAFER_202206241224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58_GUID" w:val="faac2425-9231-49fd-b321-099373a10a6c"/>
    <w:docVar w:name="WAFER_2023051614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18_GUID" w:val="60132d84-295e-4dba-add1-ce51057b0dc9"/>
    <w:docVar w:name="WAFER_2023062911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2543_GUID" w:val="a864ab90-c28e-4b94-9cad-44b162196aa5"/>
    <w:docVar w:name="WAFER_20231229085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319_GUID" w:val="e1028007-fe21-4ec4-92a3-2aeaaf9f7c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69"/>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5EC33-CD3C-41F8-AA5A-1036A2FF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10861</Words>
  <Characters>51378</Characters>
  <Application>Microsoft Office Word</Application>
  <DocSecurity>0</DocSecurity>
  <Lines>2140</Lines>
  <Paragraphs>1270</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1983 - 05-r0-01</dc:title>
  <dc:subject/>
  <dc:creator/>
  <cp:keywords/>
  <dc:description/>
  <cp:lastModifiedBy>Master Repository Process</cp:lastModifiedBy>
  <cp:revision>4</cp:revision>
  <cp:lastPrinted>2019-06-21T07:58:00Z</cp:lastPrinted>
  <dcterms:created xsi:type="dcterms:W3CDTF">2025-05-30T02:43:00Z</dcterms:created>
  <dcterms:modified xsi:type="dcterms:W3CDTF">2025-05-30T02:44:00Z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AsAtDate">
    <vt:lpwstr>01 Jul 2023</vt:lpwstr>
  </property>
  <property fmtid="{D5CDD505-2E9C-101B-9397-08002B2CF9AE}" pid="8" name="Suffix">
    <vt:lpwstr>05-r0-01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