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Freedom of Information Act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_Toc199941578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_Toc199941579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Act</w:t>
      </w:r>
      <w:r>
        <w:tab/>
      </w:r>
      <w:r>
        <w:fldChar w:fldCharType="begin"/>
      </w:r>
      <w:r>
        <w:instrText xml:space="preserve"> PAGEREF _Toc199941580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Agencies, duties of when applying Act</w:t>
      </w:r>
      <w:r>
        <w:tab/>
      </w:r>
      <w:r>
        <w:fldChar w:fldCharType="begin"/>
      </w:r>
      <w:r>
        <w:instrText xml:space="preserve"> PAGEREF _Toc199941581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_Toc199941582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Access rights etc. in Parts 2 and 4 do not apply to documents that are already available</w:t>
      </w:r>
      <w:r>
        <w:tab/>
      </w:r>
      <w:r>
        <w:fldChar w:fldCharType="begin"/>
      </w:r>
      <w:r>
        <w:instrText xml:space="preserve"> PAGEREF _Toc199941583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Access rights in Parts 2 and 4, application of to private collections</w:t>
      </w:r>
      <w:r>
        <w:tab/>
      </w:r>
      <w:r>
        <w:fldChar w:fldCharType="begin"/>
      </w:r>
      <w:r>
        <w:instrText xml:space="preserve"> PAGEREF _Toc199941584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Access rights etc. in Parts 2 and 4, effect of on other Acts etc.</w:t>
      </w:r>
      <w:r>
        <w:tab/>
      </w:r>
      <w:r>
        <w:fldChar w:fldCharType="begin"/>
      </w:r>
      <w:r>
        <w:instrText xml:space="preserve"> PAGEREF _Toc199941585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Terms used (Glossary)</w:t>
      </w:r>
      <w:r>
        <w:tab/>
      </w:r>
      <w:r>
        <w:fldChar w:fldCharType="begin"/>
      </w:r>
      <w:r>
        <w:instrText xml:space="preserve"> PAGEREF _Toc199941586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Access to documents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Right of access and applications for access</w:t>
      </w:r>
    </w:p>
    <w:p>
      <w:pPr>
        <w:pStyle w:val="TOC8"/>
        <w:rPr>
          <w:rFonts w:asciiTheme="minorHAnsi" w:eastAsiaTheme="minorEastAsia" w:hAnsiTheme="minorHAnsi" w:cstheme="minorBidi"/>
          <w:szCs w:val="22"/>
        </w:rPr>
      </w:pPr>
      <w:r>
        <w:t>10</w:t>
      </w:r>
      <w:r>
        <w:rPr>
          <w:snapToGrid w:val="0"/>
        </w:rPr>
        <w:t>.</w:t>
      </w:r>
      <w:r>
        <w:rPr>
          <w:snapToGrid w:val="0"/>
        </w:rPr>
        <w:tab/>
        <w:t>Right of access to documents</w:t>
      </w:r>
      <w:r>
        <w:tab/>
      </w:r>
      <w:r>
        <w:fldChar w:fldCharType="begin"/>
      </w:r>
      <w:r>
        <w:instrText xml:space="preserve"> PAGEREF _Toc199941589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for access</w:t>
      </w:r>
      <w:r>
        <w:tab/>
      </w:r>
      <w:r>
        <w:fldChar w:fldCharType="begin"/>
      </w:r>
      <w:r>
        <w:instrText xml:space="preserve"> PAGEREF _Toc199941590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Access application, form etc. of</w:t>
      </w:r>
      <w:r>
        <w:tab/>
      </w:r>
      <w:r>
        <w:fldChar w:fldCharType="begin"/>
      </w:r>
      <w:r>
        <w:instrText xml:space="preserve"> PAGEREF _Toc199941591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Procedure for dealing with access applications</w:t>
      </w:r>
    </w:p>
    <w:p>
      <w:pPr>
        <w:pStyle w:val="TOC8"/>
        <w:rPr>
          <w:rFonts w:asciiTheme="minorHAnsi" w:eastAsiaTheme="minorEastAsia" w:hAnsiTheme="minorHAnsi" w:cstheme="minorBidi"/>
          <w:szCs w:val="22"/>
        </w:rPr>
      </w:pPr>
      <w:r>
        <w:t>13</w:t>
      </w:r>
      <w:r>
        <w:rPr>
          <w:snapToGrid w:val="0"/>
        </w:rPr>
        <w:t>.</w:t>
      </w:r>
      <w:r>
        <w:rPr>
          <w:snapToGrid w:val="0"/>
        </w:rPr>
        <w:tab/>
        <w:t>Agency’s duties as to access application etc.</w:t>
      </w:r>
      <w:r>
        <w:tab/>
      </w:r>
      <w:r>
        <w:fldChar w:fldCharType="begin"/>
      </w:r>
      <w:r>
        <w:instrText xml:space="preserve"> PAGEREF _Toc199941593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Ambit of application may be reduced by agreement</w:t>
      </w:r>
      <w:r>
        <w:tab/>
      </w:r>
      <w:r>
        <w:fldChar w:fldCharType="begin"/>
      </w:r>
      <w:r>
        <w:instrText xml:space="preserve"> PAGEREF _Toc199941594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Document held etc. by another agency, transferring application etc. in case of</w:t>
      </w:r>
      <w:r>
        <w:tab/>
      </w:r>
      <w:r>
        <w:fldChar w:fldCharType="begin"/>
      </w:r>
      <w:r>
        <w:instrText xml:space="preserve"> PAGEREF _Toc199941595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Charge for access, calculation of etc.</w:t>
      </w:r>
      <w:r>
        <w:tab/>
      </w:r>
      <w:r>
        <w:fldChar w:fldCharType="begin"/>
      </w:r>
      <w:r>
        <w:instrText xml:space="preserve"> PAGEREF _Toc199941596 \h </w:instrText>
      </w:r>
      <w:r>
        <w:fldChar w:fldCharType="separate"/>
      </w:r>
      <w:r>
        <w:t>9</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Charge for access, applicant may request estimate of etc.</w:t>
      </w:r>
      <w:r>
        <w:tab/>
      </w:r>
      <w:r>
        <w:fldChar w:fldCharType="begin"/>
      </w:r>
      <w:r>
        <w:instrText xml:space="preserve"> PAGEREF _Toc199941597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Deposit for charges, agency may require etc.</w:t>
      </w:r>
      <w:r>
        <w:tab/>
      </w:r>
      <w:r>
        <w:fldChar w:fldCharType="begin"/>
      </w:r>
      <w:r>
        <w:instrText xml:space="preserve"> PAGEREF _Toc199941598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Notice given under s. 17(3) or 18, effect of on s. 13(1); applicant failing to respond to notice, effect of</w:t>
      </w:r>
      <w:r>
        <w:tab/>
      </w:r>
      <w:r>
        <w:fldChar w:fldCharType="begin"/>
      </w:r>
      <w:r>
        <w:instrText xml:space="preserve"> PAGEREF _Toc199941599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Agency may refuse to deal with application in certain cases</w:t>
      </w:r>
      <w:r>
        <w:tab/>
      </w:r>
      <w:r>
        <w:fldChar w:fldCharType="begin"/>
      </w:r>
      <w:r>
        <w:instrText xml:space="preserve"> PAGEREF _Toc199941600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personal information about applicant, consideration of</w:t>
      </w:r>
      <w:r>
        <w:tab/>
      </w:r>
      <w:r>
        <w:fldChar w:fldCharType="begin"/>
      </w:r>
      <w:r>
        <w:instrText xml:space="preserve"> PAGEREF _Toc199941601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Access, when agency must give</w:t>
      </w:r>
      <w:r>
        <w:tab/>
      </w:r>
      <w:r>
        <w:fldChar w:fldCharType="begin"/>
      </w:r>
      <w:r>
        <w:instrText xml:space="preserve"> PAGEREF _Toc199941602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Refusing access, grounds for</w:t>
      </w:r>
      <w:r>
        <w:tab/>
      </w:r>
      <w:r>
        <w:fldChar w:fldCharType="begin"/>
      </w:r>
      <w:r>
        <w:instrText xml:space="preserve"> PAGEREF _Toc199941603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Exempt matter, deleting before access given</w:t>
      </w:r>
      <w:r>
        <w:tab/>
      </w:r>
      <w:r>
        <w:fldChar w:fldCharType="begin"/>
      </w:r>
      <w:r>
        <w:instrText xml:space="preserve"> PAGEREF _Toc199941604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Deferring access, grounds for</w:t>
      </w:r>
      <w:r>
        <w:tab/>
      </w:r>
      <w:r>
        <w:fldChar w:fldCharType="begin"/>
      </w:r>
      <w:r>
        <w:instrText xml:space="preserve"> PAGEREF _Toc199941605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Documents that cannot be found or do not exist, notice of</w:t>
      </w:r>
      <w:r>
        <w:tab/>
      </w:r>
      <w:r>
        <w:fldChar w:fldCharType="begin"/>
      </w:r>
      <w:r>
        <w:instrText xml:space="preserve"> PAGEREF _Toc199941606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Ways in which access can be given</w:t>
      </w:r>
      <w:r>
        <w:tab/>
      </w:r>
      <w:r>
        <w:fldChar w:fldCharType="begin"/>
      </w:r>
      <w:r>
        <w:instrText xml:space="preserve"> PAGEREF _Toc199941607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Medical and psychiatric information about applicant, giving access to</w:t>
      </w:r>
      <w:r>
        <w:tab/>
      </w:r>
      <w:r>
        <w:fldChar w:fldCharType="begin"/>
      </w:r>
      <w:r>
        <w:instrText xml:space="preserve"> PAGEREF _Toc199941608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Personal information about applicant, agency’s duties when giving access to</w:t>
      </w:r>
      <w:r>
        <w:tab/>
      </w:r>
      <w:r>
        <w:fldChar w:fldCharType="begin"/>
      </w:r>
      <w:r>
        <w:instrText xml:space="preserve"> PAGEREF _Toc199941609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Notice under s. 13(1)(b) of decision, form etc. of</w:t>
      </w:r>
      <w:r>
        <w:tab/>
      </w:r>
      <w:r>
        <w:fldChar w:fldCharType="begin"/>
      </w:r>
      <w:r>
        <w:instrText xml:space="preserve"> PAGEREF _Toc199941610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Certain exempt matter (Sch. 1 cl. 1, 2 or 5), giving information about existence etc. of</w:t>
      </w:r>
      <w:r>
        <w:tab/>
      </w:r>
      <w:r>
        <w:fldChar w:fldCharType="begin"/>
      </w:r>
      <w:r>
        <w:instrText xml:space="preserve"> PAGEREF _Toc199941611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Consultation with third parties</w:t>
      </w:r>
    </w:p>
    <w:p>
      <w:pPr>
        <w:pStyle w:val="TOC8"/>
        <w:rPr>
          <w:rFonts w:asciiTheme="minorHAnsi" w:eastAsiaTheme="minorEastAsia" w:hAnsiTheme="minorHAnsi" w:cstheme="minorBidi"/>
          <w:szCs w:val="22"/>
        </w:rPr>
      </w:pPr>
      <w:r>
        <w:t>32</w:t>
      </w:r>
      <w:r>
        <w:rPr>
          <w:snapToGrid w:val="0"/>
        </w:rPr>
        <w:t>.</w:t>
      </w:r>
      <w:r>
        <w:rPr>
          <w:snapToGrid w:val="0"/>
        </w:rPr>
        <w:tab/>
        <w:t>Personal information about third party, when access to may be given</w:t>
      </w:r>
      <w:r>
        <w:tab/>
      </w:r>
      <w:r>
        <w:fldChar w:fldCharType="begin"/>
      </w:r>
      <w:r>
        <w:instrText xml:space="preserve"> PAGEREF _Toc199941613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Commercial etc. information of third party, when access to may be given</w:t>
      </w:r>
      <w:r>
        <w:tab/>
      </w:r>
      <w:r>
        <w:fldChar w:fldCharType="begin"/>
      </w:r>
      <w:r>
        <w:instrText xml:space="preserve"> PAGEREF _Toc199941614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Consultation under s. 32 or 33, procedure after</w:t>
      </w:r>
      <w:r>
        <w:tab/>
      </w:r>
      <w:r>
        <w:fldChar w:fldCharType="begin"/>
      </w:r>
      <w:r>
        <w:instrText xml:space="preserve"> PAGEREF _Toc199941615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Consultation under s. 32 or 33, Commissioner may waive</w:t>
      </w:r>
      <w:r>
        <w:tab/>
      </w:r>
      <w:r>
        <w:fldChar w:fldCharType="begin"/>
      </w:r>
      <w:r>
        <w:instrText xml:space="preserve"> PAGEREF _Toc199941616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Exemption certificates</w:t>
      </w:r>
    </w:p>
    <w:p>
      <w:pPr>
        <w:pStyle w:val="TOC8"/>
        <w:rPr>
          <w:rFonts w:asciiTheme="minorHAnsi" w:eastAsiaTheme="minorEastAsia" w:hAnsiTheme="minorHAnsi" w:cstheme="minorBidi"/>
          <w:szCs w:val="22"/>
        </w:rPr>
      </w:pPr>
      <w:r>
        <w:t>36</w:t>
      </w:r>
      <w:r>
        <w:rPr>
          <w:snapToGrid w:val="0"/>
        </w:rPr>
        <w:t>.</w:t>
      </w:r>
      <w:r>
        <w:rPr>
          <w:snapToGrid w:val="0"/>
        </w:rPr>
        <w:tab/>
        <w:t>Premier may issue certificate</w:t>
      </w:r>
      <w:r>
        <w:tab/>
      </w:r>
      <w:r>
        <w:fldChar w:fldCharType="begin"/>
      </w:r>
      <w:r>
        <w:instrText xml:space="preserve"> PAGEREF _Toc199941618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Effect of certificate</w:t>
      </w:r>
      <w:r>
        <w:tab/>
      </w:r>
      <w:r>
        <w:fldChar w:fldCharType="begin"/>
      </w:r>
      <w:r>
        <w:instrText xml:space="preserve"> PAGEREF _Toc199941619 \h </w:instrText>
      </w:r>
      <w:r>
        <w:fldChar w:fldCharType="separate"/>
      </w:r>
      <w:r>
        <w:t>24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Duration of certificate</w:t>
      </w:r>
      <w:r>
        <w:tab/>
      </w:r>
      <w:r>
        <w:fldChar w:fldCharType="begin"/>
      </w:r>
      <w:r>
        <w:instrText xml:space="preserve"> PAGEREF _Toc199941620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Internal review of decisions as to access</w:t>
      </w:r>
    </w:p>
    <w:p>
      <w:pPr>
        <w:pStyle w:val="TOC8"/>
        <w:rPr>
          <w:rFonts w:asciiTheme="minorHAnsi" w:eastAsiaTheme="minorEastAsia" w:hAnsiTheme="minorHAnsi" w:cstheme="minorBidi"/>
          <w:szCs w:val="22"/>
        </w:rPr>
      </w:pPr>
      <w:r>
        <w:t>39</w:t>
      </w:r>
      <w:r>
        <w:rPr>
          <w:snapToGrid w:val="0"/>
        </w:rPr>
        <w:t>.</w:t>
      </w:r>
      <w:r>
        <w:rPr>
          <w:snapToGrid w:val="0"/>
        </w:rPr>
        <w:tab/>
        <w:t>Review of decision under this Part, right to</w:t>
      </w:r>
      <w:r>
        <w:tab/>
      </w:r>
      <w:r>
        <w:fldChar w:fldCharType="begin"/>
      </w:r>
      <w:r>
        <w:instrText xml:space="preserve"> PAGEREF _Toc199941622 \h </w:instrText>
      </w:r>
      <w:r>
        <w:fldChar w:fldCharType="separate"/>
      </w:r>
      <w:r>
        <w:t>24</w:t>
      </w:r>
      <w:r>
        <w:fldChar w:fldCharType="end"/>
      </w:r>
    </w:p>
    <w:p>
      <w:pPr>
        <w:pStyle w:val="TOC8"/>
        <w:rPr>
          <w:rFonts w:asciiTheme="minorHAnsi" w:eastAsiaTheme="minorEastAsia" w:hAnsiTheme="minorHAnsi" w:cstheme="minorBidi"/>
          <w:szCs w:val="22"/>
        </w:rPr>
      </w:pPr>
      <w:r>
        <w:lastRenderedPageBreak/>
        <w:t>40</w:t>
      </w:r>
      <w:r>
        <w:rPr>
          <w:snapToGrid w:val="0"/>
        </w:rPr>
        <w:t>.</w:t>
      </w:r>
      <w:r>
        <w:rPr>
          <w:snapToGrid w:val="0"/>
        </w:rPr>
        <w:tab/>
        <w:t>Application for review</w:t>
      </w:r>
      <w:r>
        <w:tab/>
      </w:r>
      <w:r>
        <w:fldChar w:fldCharType="begin"/>
      </w:r>
      <w:r>
        <w:instrText xml:space="preserve"> PAGEREF _Toc199941623 \h </w:instrText>
      </w:r>
      <w:r>
        <w:fldChar w:fldCharType="separate"/>
      </w:r>
      <w:r>
        <w:t>25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Who is to deal with application for review</w:t>
      </w:r>
      <w:r>
        <w:tab/>
      </w:r>
      <w:r>
        <w:fldChar w:fldCharType="begin"/>
      </w:r>
      <w:r>
        <w:instrText xml:space="preserve"> PAGEREF _Toc199941624 \h </w:instrText>
      </w:r>
      <w:r>
        <w:fldChar w:fldCharType="separate"/>
      </w:r>
      <w:r>
        <w:t>26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How application for review to be dealt with</w:t>
      </w:r>
      <w:r>
        <w:tab/>
      </w:r>
      <w:r>
        <w:fldChar w:fldCharType="begin"/>
      </w:r>
      <w:r>
        <w:instrText xml:space="preserve"> PAGEREF _Toc199941625 \h </w:instrText>
      </w:r>
      <w:r>
        <w:fldChar w:fldCharType="separate"/>
      </w:r>
      <w:r>
        <w:t>26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Decision can be confirmed, varied or reversed on review</w:t>
      </w:r>
      <w:r>
        <w:tab/>
      </w:r>
      <w:r>
        <w:fldChar w:fldCharType="begin"/>
      </w:r>
      <w:r>
        <w:instrText xml:space="preserve"> PAGEREF _Toc199941626 \h </w:instrText>
      </w:r>
      <w:r>
        <w:fldChar w:fldCharType="separate"/>
      </w:r>
      <w:r>
        <w:t>26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charge for review</w:t>
      </w:r>
      <w:r>
        <w:tab/>
      </w:r>
      <w:r>
        <w:fldChar w:fldCharType="begin"/>
      </w:r>
      <w:r>
        <w:instrText xml:space="preserve"> PAGEREF _Toc199941627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Amendment of personal information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Applications for amendment</w:t>
      </w:r>
    </w:p>
    <w:p>
      <w:pPr>
        <w:pStyle w:val="TOC8"/>
        <w:rPr>
          <w:rFonts w:asciiTheme="minorHAnsi" w:eastAsiaTheme="minorEastAsia" w:hAnsiTheme="minorHAnsi" w:cstheme="minorBidi"/>
          <w:szCs w:val="22"/>
        </w:rPr>
      </w:pPr>
      <w:r>
        <w:t>45</w:t>
      </w:r>
      <w:r>
        <w:rPr>
          <w:snapToGrid w:val="0"/>
        </w:rPr>
        <w:t>.</w:t>
      </w:r>
      <w:r>
        <w:rPr>
          <w:snapToGrid w:val="0"/>
        </w:rPr>
        <w:tab/>
        <w:t>Right to apply for information to be amended</w:t>
      </w:r>
      <w:r>
        <w:tab/>
      </w:r>
      <w:r>
        <w:fldChar w:fldCharType="begin"/>
      </w:r>
      <w:r>
        <w:instrText xml:space="preserve"> PAGEREF _Toc199941630 \h </w:instrText>
      </w:r>
      <w:r>
        <w:fldChar w:fldCharType="separate"/>
      </w:r>
      <w:r>
        <w:t>27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Application for amendment, form etc. of</w:t>
      </w:r>
      <w:r>
        <w:tab/>
      </w:r>
      <w:r>
        <w:fldChar w:fldCharType="begin"/>
      </w:r>
      <w:r>
        <w:instrText xml:space="preserve"> PAGEREF _Toc199941631 \h </w:instrText>
      </w:r>
      <w:r>
        <w:fldChar w:fldCharType="separate"/>
      </w:r>
      <w:r>
        <w:t>27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Document held etc. by another agency, transferring application in case of</w:t>
      </w:r>
      <w:r>
        <w:tab/>
      </w:r>
      <w:r>
        <w:fldChar w:fldCharType="begin"/>
      </w:r>
      <w:r>
        <w:instrText xml:space="preserve"> PAGEREF _Toc199941632 \h </w:instrText>
      </w:r>
      <w:r>
        <w:fldChar w:fldCharType="separate"/>
      </w:r>
      <w:r>
        <w:t>28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Amending information, ways of</w:t>
      </w:r>
      <w:r>
        <w:tab/>
      </w:r>
      <w:r>
        <w:fldChar w:fldCharType="begin"/>
      </w:r>
      <w:r>
        <w:instrText xml:space="preserve"> PAGEREF _Toc199941633 \h </w:instrText>
      </w:r>
      <w:r>
        <w:fldChar w:fldCharType="separate"/>
      </w:r>
      <w:r>
        <w:t>29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Decision on application, notice of</w:t>
      </w:r>
      <w:r>
        <w:tab/>
      </w:r>
      <w:r>
        <w:fldChar w:fldCharType="begin"/>
      </w:r>
      <w:r>
        <w:instrText xml:space="preserve"> PAGEREF _Toc199941634 \h </w:instrText>
      </w:r>
      <w:r>
        <w:fldChar w:fldCharType="separate"/>
      </w:r>
      <w:r>
        <w:t>30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If application for amendment refused, applicant may request notation etc. disputing accuracy of information etc.</w:t>
      </w:r>
      <w:r>
        <w:tab/>
      </w:r>
      <w:r>
        <w:fldChar w:fldCharType="begin"/>
      </w:r>
      <w:r>
        <w:instrText xml:space="preserve"> PAGEREF _Toc199941635 \h </w:instrText>
      </w:r>
      <w:r>
        <w:fldChar w:fldCharType="separate"/>
      </w:r>
      <w:r>
        <w:t>31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Claim that information is inaccurate etc., agency to give notice of in some cases</w:t>
      </w:r>
      <w:r>
        <w:tab/>
      </w:r>
      <w:r>
        <w:fldChar w:fldCharType="begin"/>
      </w:r>
      <w:r>
        <w:instrText xml:space="preserve"> PAGEREF _Toc199941636 \h </w:instrText>
      </w:r>
      <w:r>
        <w:fldChar w:fldCharType="separate"/>
      </w:r>
      <w:r>
        <w:t>32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Reasons for not amending information, agency may add to notation</w:t>
      </w:r>
      <w:r>
        <w:tab/>
      </w:r>
      <w:r>
        <w:fldChar w:fldCharType="begin"/>
      </w:r>
      <w:r>
        <w:instrText xml:space="preserve"> PAGEREF _Toc199941637 \h </w:instrText>
      </w:r>
      <w:r>
        <w:fldChar w:fldCharType="separate"/>
      </w:r>
      <w:r>
        <w:t>32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No charge for application or request</w:t>
      </w:r>
      <w:r>
        <w:tab/>
      </w:r>
      <w:r>
        <w:fldChar w:fldCharType="begin"/>
      </w:r>
      <w:r>
        <w:instrText xml:space="preserve"> PAGEREF _Toc199941638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Internal review of decisions as to amendment of information</w:t>
      </w:r>
    </w:p>
    <w:p>
      <w:pPr>
        <w:pStyle w:val="TOC8"/>
        <w:rPr>
          <w:rFonts w:asciiTheme="minorHAnsi" w:eastAsiaTheme="minorEastAsia" w:hAnsiTheme="minorHAnsi" w:cstheme="minorBidi"/>
          <w:szCs w:val="22"/>
        </w:rPr>
      </w:pPr>
      <w:r>
        <w:t>54</w:t>
      </w:r>
      <w:r>
        <w:rPr>
          <w:snapToGrid w:val="0"/>
        </w:rPr>
        <w:t>.</w:t>
      </w:r>
      <w:r>
        <w:rPr>
          <w:snapToGrid w:val="0"/>
        </w:rPr>
        <w:tab/>
        <w:t>Review of decision under Div. 1, right to etc.</w:t>
      </w:r>
      <w:r>
        <w:tab/>
      </w:r>
      <w:r>
        <w:fldChar w:fldCharType="begin"/>
      </w:r>
      <w:r>
        <w:instrText xml:space="preserve"> PAGEREF _Toc199941640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External review of decisions; appeals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Information Commissioner</w:t>
      </w:r>
    </w:p>
    <w:p>
      <w:pPr>
        <w:pStyle w:val="TOC8"/>
        <w:rPr>
          <w:rFonts w:asciiTheme="minorHAnsi" w:eastAsiaTheme="minorEastAsia" w:hAnsiTheme="minorHAnsi" w:cstheme="minorBidi"/>
          <w:szCs w:val="22"/>
        </w:rPr>
      </w:pPr>
      <w:r>
        <w:t>55</w:t>
      </w:r>
      <w:r>
        <w:rPr>
          <w:snapToGrid w:val="0"/>
        </w:rPr>
        <w:t>.</w:t>
      </w:r>
      <w:r>
        <w:rPr>
          <w:snapToGrid w:val="0"/>
        </w:rPr>
        <w:tab/>
        <w:t>Office established etc.</w:t>
      </w:r>
      <w:r>
        <w:tab/>
      </w:r>
      <w:r>
        <w:fldChar w:fldCharType="begin"/>
      </w:r>
      <w:r>
        <w:instrText xml:space="preserve"> PAGEREF _Toc199941643 \h </w:instrText>
      </w:r>
      <w:r>
        <w:fldChar w:fldCharType="separate"/>
      </w:r>
      <w:r>
        <w:t>34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Appointment, terms and conditions</w:t>
      </w:r>
      <w:r>
        <w:tab/>
      </w:r>
      <w:r>
        <w:fldChar w:fldCharType="begin"/>
      </w:r>
      <w:r>
        <w:instrText xml:space="preserve"> PAGEREF _Toc199941644 \h </w:instrText>
      </w:r>
      <w:r>
        <w:fldChar w:fldCharType="separate"/>
      </w:r>
      <w:r>
        <w:t>34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Resignation</w:t>
      </w:r>
      <w:r>
        <w:tab/>
      </w:r>
      <w:r>
        <w:fldChar w:fldCharType="begin"/>
      </w:r>
      <w:r>
        <w:instrText xml:space="preserve"> PAGEREF _Toc199941645 \h </w:instrText>
      </w:r>
      <w:r>
        <w:fldChar w:fldCharType="separate"/>
      </w:r>
      <w:r>
        <w:t>35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Suspension and removal</w:t>
      </w:r>
      <w:r>
        <w:tab/>
      </w:r>
      <w:r>
        <w:fldChar w:fldCharType="begin"/>
      </w:r>
      <w:r>
        <w:instrText xml:space="preserve"> PAGEREF _Toc199941646 \h </w:instrText>
      </w:r>
      <w:r>
        <w:fldChar w:fldCharType="separate"/>
      </w:r>
      <w:r>
        <w:t>35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Acting Information Commissioner, appointing etc.</w:t>
      </w:r>
      <w:r>
        <w:tab/>
      </w:r>
      <w:r>
        <w:fldChar w:fldCharType="begin"/>
      </w:r>
      <w:r>
        <w:instrText xml:space="preserve"> PAGEREF _Toc199941647 \h </w:instrText>
      </w:r>
      <w:r>
        <w:fldChar w:fldCharType="separate"/>
      </w:r>
      <w:r>
        <w:t>36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Oath or affirmation of office</w:t>
      </w:r>
      <w:r>
        <w:tab/>
      </w:r>
      <w:r>
        <w:fldChar w:fldCharType="begin"/>
      </w:r>
      <w:r>
        <w:instrText xml:space="preserve"> PAGEREF _Toc199941648 \h </w:instrText>
      </w:r>
      <w:r>
        <w:fldChar w:fldCharType="separate"/>
      </w:r>
      <w:r>
        <w:t>36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Staff, appointment of etc.</w:t>
      </w:r>
      <w:r>
        <w:tab/>
      </w:r>
      <w:r>
        <w:fldChar w:fldCharType="begin"/>
      </w:r>
      <w:r>
        <w:instrText xml:space="preserve"> PAGEREF _Toc199941649 \h </w:instrText>
      </w:r>
      <w:r>
        <w:fldChar w:fldCharType="separate"/>
      </w:r>
      <w:r>
        <w:t>37</w:t>
      </w:r>
      <w:r>
        <w:fldChar w:fldCharType="end"/>
      </w:r>
    </w:p>
    <w:p>
      <w:pPr>
        <w:pStyle w:val="TOC8"/>
        <w:rPr>
          <w:rFonts w:asciiTheme="minorHAnsi" w:eastAsiaTheme="minorEastAsia" w:hAnsiTheme="minorHAnsi" w:cstheme="minorBidi"/>
          <w:szCs w:val="22"/>
        </w:rPr>
      </w:pPr>
      <w:r>
        <w:lastRenderedPageBreak/>
        <w:t>62</w:t>
      </w:r>
      <w:r>
        <w:rPr>
          <w:snapToGrid w:val="0"/>
        </w:rPr>
        <w:t>.</w:t>
      </w:r>
      <w:r>
        <w:rPr>
          <w:snapToGrid w:val="0"/>
        </w:rPr>
        <w:tab/>
        <w:t>Commissioner and staff, additional provisions about</w:t>
      </w:r>
      <w:r>
        <w:tab/>
      </w:r>
      <w:r>
        <w:fldChar w:fldCharType="begin"/>
      </w:r>
      <w:r>
        <w:instrText xml:space="preserve"> PAGEREF _Toc199941650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of Information Commissioner</w:t>
      </w:r>
    </w:p>
    <w:p>
      <w:pPr>
        <w:pStyle w:val="TOC8"/>
        <w:rPr>
          <w:rFonts w:asciiTheme="minorHAnsi" w:eastAsiaTheme="minorEastAsia" w:hAnsiTheme="minorHAnsi" w:cstheme="minorBidi"/>
          <w:szCs w:val="22"/>
        </w:rPr>
      </w:pPr>
      <w:r>
        <w:t>63</w:t>
      </w:r>
      <w:r>
        <w:rPr>
          <w:snapToGrid w:val="0"/>
        </w:rPr>
        <w:t>.</w:t>
      </w:r>
      <w:r>
        <w:rPr>
          <w:snapToGrid w:val="0"/>
        </w:rPr>
        <w:tab/>
        <w:t>Functions</w:t>
      </w:r>
      <w:r>
        <w:tab/>
      </w:r>
      <w:r>
        <w:fldChar w:fldCharType="begin"/>
      </w:r>
      <w:r>
        <w:instrText xml:space="preserve"> PAGEREF _Toc199941652 \h </w:instrText>
      </w:r>
      <w:r>
        <w:fldChar w:fldCharType="separate"/>
      </w:r>
      <w:r>
        <w:t>39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Powers</w:t>
      </w:r>
      <w:r>
        <w:tab/>
      </w:r>
      <w:r>
        <w:fldChar w:fldCharType="begin"/>
      </w:r>
      <w:r>
        <w:instrText xml:space="preserve"> PAGEREF _Toc199941653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Complaints and procedure for dealing with them</w:t>
      </w:r>
    </w:p>
    <w:p>
      <w:pPr>
        <w:pStyle w:val="TOC8"/>
        <w:rPr>
          <w:rFonts w:asciiTheme="minorHAnsi" w:eastAsiaTheme="minorEastAsia" w:hAnsiTheme="minorHAnsi" w:cstheme="minorBidi"/>
          <w:szCs w:val="22"/>
        </w:rPr>
      </w:pPr>
      <w:r>
        <w:t>65</w:t>
      </w:r>
      <w:r>
        <w:rPr>
          <w:snapToGrid w:val="0"/>
        </w:rPr>
        <w:t>.</w:t>
      </w:r>
      <w:r>
        <w:rPr>
          <w:snapToGrid w:val="0"/>
        </w:rPr>
        <w:tab/>
        <w:t>Complaint against agency’s decision, making</w:t>
      </w:r>
      <w:r>
        <w:tab/>
      </w:r>
      <w:r>
        <w:fldChar w:fldCharType="begin"/>
      </w:r>
      <w:r>
        <w:instrText xml:space="preserve"> PAGEREF _Toc199941655 \h </w:instrText>
      </w:r>
      <w:r>
        <w:fldChar w:fldCharType="separate"/>
      </w:r>
      <w:r>
        <w:t>40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Complaint, form etc. of</w:t>
      </w:r>
      <w:r>
        <w:tab/>
      </w:r>
      <w:r>
        <w:fldChar w:fldCharType="begin"/>
      </w:r>
      <w:r>
        <w:instrText xml:space="preserve"> PAGEREF _Toc199941656 \h </w:instrText>
      </w:r>
      <w:r>
        <w:fldChar w:fldCharType="separate"/>
      </w:r>
      <w:r>
        <w:t>41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Commissioner may decide not to deal with a complaint</w:t>
      </w:r>
      <w:r>
        <w:tab/>
      </w:r>
      <w:r>
        <w:fldChar w:fldCharType="begin"/>
      </w:r>
      <w:r>
        <w:instrText xml:space="preserve"> PAGEREF _Toc199941657 \h </w:instrText>
      </w:r>
      <w:r>
        <w:fldChar w:fldCharType="separate"/>
      </w:r>
      <w:r>
        <w:t>42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Complaint, agency etc. to be notified of</w:t>
      </w:r>
      <w:r>
        <w:tab/>
      </w:r>
      <w:r>
        <w:fldChar w:fldCharType="begin"/>
      </w:r>
      <w:r>
        <w:instrText xml:space="preserve"> PAGEREF _Toc199941658 \h </w:instrText>
      </w:r>
      <w:r>
        <w:fldChar w:fldCharType="separate"/>
      </w:r>
      <w:r>
        <w:t>42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Complaint, who are parties to etc.</w:t>
      </w:r>
      <w:r>
        <w:tab/>
      </w:r>
      <w:r>
        <w:fldChar w:fldCharType="begin"/>
      </w:r>
      <w:r>
        <w:instrText xml:space="preserve"> PAGEREF _Toc199941659 \h </w:instrText>
      </w:r>
      <w:r>
        <w:fldChar w:fldCharType="separate"/>
      </w:r>
      <w:r>
        <w:t>43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Complaint, procedure for dealing with</w:t>
      </w:r>
      <w:r>
        <w:tab/>
      </w:r>
      <w:r>
        <w:fldChar w:fldCharType="begin"/>
      </w:r>
      <w:r>
        <w:instrText xml:space="preserve"> PAGEREF _Toc199941660 \h </w:instrText>
      </w:r>
      <w:r>
        <w:fldChar w:fldCharType="separate"/>
      </w:r>
      <w:r>
        <w:t>43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Complaint, conciliation etc. of</w:t>
      </w:r>
      <w:r>
        <w:tab/>
      </w:r>
      <w:r>
        <w:fldChar w:fldCharType="begin"/>
      </w:r>
      <w:r>
        <w:instrText xml:space="preserve"> PAGEREF _Toc199941661 \h </w:instrText>
      </w:r>
      <w:r>
        <w:fldChar w:fldCharType="separate"/>
      </w:r>
      <w:r>
        <w:t>44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Information etc. relevant to complaint, Commissioner’s powers to obtain etc.</w:t>
      </w:r>
      <w:r>
        <w:tab/>
      </w:r>
      <w:r>
        <w:fldChar w:fldCharType="begin"/>
      </w:r>
      <w:r>
        <w:instrText xml:space="preserve"> PAGEREF _Toc199941662 \h </w:instrText>
      </w:r>
      <w:r>
        <w:fldChar w:fldCharType="separate"/>
      </w:r>
      <w:r>
        <w:t>45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Examination on oath, powers as to</w:t>
      </w:r>
      <w:r>
        <w:tab/>
      </w:r>
      <w:r>
        <w:fldChar w:fldCharType="begin"/>
      </w:r>
      <w:r>
        <w:instrText xml:space="preserve"> PAGEREF _Toc199941663 \h </w:instrText>
      </w:r>
      <w:r>
        <w:fldChar w:fldCharType="separate"/>
      </w:r>
      <w:r>
        <w:t>45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Exempt matter etc., Commissioner to ensure non</w:t>
      </w:r>
      <w:r>
        <w:rPr>
          <w:snapToGrid w:val="0"/>
        </w:rPr>
        <w:noBreakHyphen/>
        <w:t>disclosure of</w:t>
      </w:r>
      <w:r>
        <w:tab/>
      </w:r>
      <w:r>
        <w:fldChar w:fldCharType="begin"/>
      </w:r>
      <w:r>
        <w:instrText xml:space="preserve"> PAGEREF _Toc199941664 \h </w:instrText>
      </w:r>
      <w:r>
        <w:fldChar w:fldCharType="separate"/>
      </w:r>
      <w:r>
        <w:t>46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Document held by agency, Commissioner may require production of</w:t>
      </w:r>
      <w:r>
        <w:tab/>
      </w:r>
      <w:r>
        <w:fldChar w:fldCharType="begin"/>
      </w:r>
      <w:r>
        <w:instrText xml:space="preserve"> PAGEREF _Toc199941665 \h </w:instrText>
      </w:r>
      <w:r>
        <w:fldChar w:fldCharType="separate"/>
      </w:r>
      <w:r>
        <w:t>46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Commissioner’s other powers and duties when dealing with complaint</w:t>
      </w:r>
      <w:r>
        <w:tab/>
      </w:r>
      <w:r>
        <w:fldChar w:fldCharType="begin"/>
      </w:r>
      <w:r>
        <w:instrText xml:space="preserve"> PAGEREF _Toc199941666 \h </w:instrText>
      </w:r>
      <w:r>
        <w:fldChar w:fldCharType="separate"/>
      </w:r>
      <w:r>
        <w:t>47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Exemption certificate, review of grounds for etc.</w:t>
      </w:r>
      <w:r>
        <w:tab/>
      </w:r>
      <w:r>
        <w:fldChar w:fldCharType="begin"/>
      </w:r>
      <w:r>
        <w:instrText xml:space="preserve"> PAGEREF _Toc199941667 \h </w:instrText>
      </w:r>
      <w:r>
        <w:fldChar w:fldCharType="separate"/>
      </w:r>
      <w:r>
        <w:t>48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Question of law on complaint, referral of to Supreme Court</w:t>
      </w:r>
      <w:r>
        <w:tab/>
      </w:r>
      <w:r>
        <w:fldChar w:fldCharType="begin"/>
      </w:r>
      <w:r>
        <w:instrText xml:space="preserve"> PAGEREF _Toc199941668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provisions as to the Information Commissioner and staff</w:t>
      </w:r>
    </w:p>
    <w:p>
      <w:pPr>
        <w:pStyle w:val="TOC8"/>
        <w:rPr>
          <w:rFonts w:asciiTheme="minorHAnsi" w:eastAsiaTheme="minorEastAsia" w:hAnsiTheme="minorHAnsi" w:cstheme="minorBidi"/>
          <w:szCs w:val="22"/>
        </w:rPr>
      </w:pPr>
      <w:r>
        <w:t>79</w:t>
      </w:r>
      <w:r>
        <w:rPr>
          <w:snapToGrid w:val="0"/>
        </w:rPr>
        <w:t>.</w:t>
      </w:r>
      <w:r>
        <w:rPr>
          <w:snapToGrid w:val="0"/>
        </w:rPr>
        <w:tab/>
        <w:t>Delegation by Commissioner to staff</w:t>
      </w:r>
      <w:r>
        <w:tab/>
      </w:r>
      <w:r>
        <w:fldChar w:fldCharType="begin"/>
      </w:r>
      <w:r>
        <w:instrText xml:space="preserve"> PAGEREF _Toc199941670 \h </w:instrText>
      </w:r>
      <w:r>
        <w:fldChar w:fldCharType="separate"/>
      </w:r>
      <w:r>
        <w:t>50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Protection from personal liability</w:t>
      </w:r>
      <w:r>
        <w:tab/>
      </w:r>
      <w:r>
        <w:fldChar w:fldCharType="begin"/>
      </w:r>
      <w:r>
        <w:instrText xml:space="preserve"> PAGEREF _Toc199941671 \h </w:instrText>
      </w:r>
      <w:r>
        <w:fldChar w:fldCharType="separate"/>
      </w:r>
      <w:r>
        <w:t>50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Disclosure restriction under other law does not apply to disclosing to Commissioner; privileges of parties</w:t>
      </w:r>
      <w:r>
        <w:tab/>
      </w:r>
      <w:r>
        <w:fldChar w:fldCharType="begin"/>
      </w:r>
      <w:r>
        <w:instrText xml:space="preserve"> PAGEREF _Toc199941672 \h </w:instrText>
      </w:r>
      <w:r>
        <w:fldChar w:fldCharType="separate"/>
      </w:r>
      <w:r>
        <w:t>51</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Disclosure etc. of information obtained under Act restricted</w:t>
      </w:r>
      <w:r>
        <w:tab/>
      </w:r>
      <w:r>
        <w:fldChar w:fldCharType="begin"/>
      </w:r>
      <w:r>
        <w:instrText xml:space="preserve"> PAGEREF _Toc199941673 \h </w:instrText>
      </w:r>
      <w:r>
        <w:fldChar w:fldCharType="separate"/>
      </w:r>
      <w:r>
        <w:t>51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Failure to give information etc. when required, offence</w:t>
      </w:r>
      <w:r>
        <w:tab/>
      </w:r>
      <w:r>
        <w:fldChar w:fldCharType="begin"/>
      </w:r>
      <w:r>
        <w:instrText xml:space="preserve"> PAGEREF _Toc199941674 \h </w:instrText>
      </w:r>
      <w:r>
        <w:fldChar w:fldCharType="separate"/>
      </w:r>
      <w:r>
        <w:t>52</w:t>
      </w:r>
      <w:r>
        <w:fldChar w:fldCharType="end"/>
      </w:r>
    </w:p>
    <w:p>
      <w:pPr>
        <w:pStyle w:val="TOC8"/>
        <w:rPr>
          <w:rFonts w:asciiTheme="minorHAnsi" w:eastAsiaTheme="minorEastAsia" w:hAnsiTheme="minorHAnsi" w:cstheme="minorBidi"/>
          <w:szCs w:val="22"/>
        </w:rPr>
      </w:pPr>
      <w:r>
        <w:lastRenderedPageBreak/>
        <w:t>84</w:t>
      </w:r>
      <w:r>
        <w:rPr>
          <w:snapToGrid w:val="0"/>
        </w:rPr>
        <w:t>.</w:t>
      </w:r>
      <w:r>
        <w:rPr>
          <w:snapToGrid w:val="0"/>
        </w:rPr>
        <w:tab/>
        <w:t>Costs of parties to complaints</w:t>
      </w:r>
      <w:r>
        <w:tab/>
      </w:r>
      <w:r>
        <w:fldChar w:fldCharType="begin"/>
      </w:r>
      <w:r>
        <w:instrText xml:space="preserve"> PAGEREF _Toc199941675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Appeals to the Supreme Court</w:t>
      </w:r>
    </w:p>
    <w:p>
      <w:pPr>
        <w:pStyle w:val="TOC8"/>
        <w:rPr>
          <w:rFonts w:asciiTheme="minorHAnsi" w:eastAsiaTheme="minorEastAsia" w:hAnsiTheme="minorHAnsi" w:cstheme="minorBidi"/>
          <w:szCs w:val="22"/>
        </w:rPr>
      </w:pPr>
      <w:r>
        <w:t>85</w:t>
      </w:r>
      <w:r>
        <w:rPr>
          <w:snapToGrid w:val="0"/>
        </w:rPr>
        <w:t>.</w:t>
      </w:r>
      <w:r>
        <w:rPr>
          <w:snapToGrid w:val="0"/>
        </w:rPr>
        <w:tab/>
        <w:t>What may be appealed etc.</w:t>
      </w:r>
      <w:r>
        <w:tab/>
      </w:r>
      <w:r>
        <w:fldChar w:fldCharType="begin"/>
      </w:r>
      <w:r>
        <w:instrText xml:space="preserve"> PAGEREF _Toc199941677 \h </w:instrText>
      </w:r>
      <w:r>
        <w:fldChar w:fldCharType="separate"/>
      </w:r>
      <w:r>
        <w:t>52</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Parties to an appeal</w:t>
      </w:r>
      <w:r>
        <w:tab/>
      </w:r>
      <w:r>
        <w:fldChar w:fldCharType="begin"/>
      </w:r>
      <w:r>
        <w:instrText xml:space="preserve"> PAGEREF _Toc199941678 \h </w:instrText>
      </w:r>
      <w:r>
        <w:fldChar w:fldCharType="separate"/>
      </w:r>
      <w:r>
        <w:t>53</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Court’s powers on appeal</w:t>
      </w:r>
      <w:r>
        <w:tab/>
      </w:r>
      <w:r>
        <w:fldChar w:fldCharType="begin"/>
      </w:r>
      <w:r>
        <w:instrText xml:space="preserve"> PAGEREF _Toc199941679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 provisions as to proceedings in the Supreme Court</w:t>
      </w:r>
    </w:p>
    <w:p>
      <w:pPr>
        <w:pStyle w:val="TOC8"/>
        <w:rPr>
          <w:rFonts w:asciiTheme="minorHAnsi" w:eastAsiaTheme="minorEastAsia" w:hAnsiTheme="minorHAnsi" w:cstheme="minorBidi"/>
          <w:szCs w:val="22"/>
        </w:rPr>
      </w:pPr>
      <w:r>
        <w:t>88</w:t>
      </w:r>
      <w:r>
        <w:rPr>
          <w:snapToGrid w:val="0"/>
        </w:rPr>
        <w:t>.</w:t>
      </w:r>
      <w:r>
        <w:rPr>
          <w:snapToGrid w:val="0"/>
        </w:rPr>
        <w:tab/>
        <w:t>Term used: review proceedings</w:t>
      </w:r>
      <w:r>
        <w:tab/>
      </w:r>
      <w:r>
        <w:fldChar w:fldCharType="begin"/>
      </w:r>
      <w:r>
        <w:instrText xml:space="preserve"> PAGEREF _Toc199941681 \h </w:instrText>
      </w:r>
      <w:r>
        <w:fldChar w:fldCharType="separate"/>
      </w:r>
      <w:r>
        <w:t>54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Terms etc., Court may impose; costs</w:t>
      </w:r>
      <w:r>
        <w:tab/>
      </w:r>
      <w:r>
        <w:fldChar w:fldCharType="begin"/>
      </w:r>
      <w:r>
        <w:instrText xml:space="preserve"> PAGEREF _Toc199941682 \h </w:instrText>
      </w:r>
      <w:r>
        <w:fldChar w:fldCharType="separate"/>
      </w:r>
      <w:r>
        <w:t>54</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Exempt matter etc., Court to ensure non</w:t>
      </w:r>
      <w:r>
        <w:rPr>
          <w:snapToGrid w:val="0"/>
        </w:rPr>
        <w:noBreakHyphen/>
        <w:t>disclosure of</w:t>
      </w:r>
      <w:r>
        <w:tab/>
      </w:r>
      <w:r>
        <w:fldChar w:fldCharType="begin"/>
      </w:r>
      <w:r>
        <w:instrText xml:space="preserve"> PAGEREF _Toc199941683 \h </w:instrText>
      </w:r>
      <w:r>
        <w:fldChar w:fldCharType="separate"/>
      </w:r>
      <w:r>
        <w:t>55</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Document held by agency, Court may require production of etc.</w:t>
      </w:r>
      <w:r>
        <w:tab/>
      </w:r>
      <w:r>
        <w:fldChar w:fldCharType="begin"/>
      </w:r>
      <w:r>
        <w:instrText xml:space="preserve"> PAGEREF _Toc199941684 \h </w:instrText>
      </w:r>
      <w:r>
        <w:fldChar w:fldCharType="separate"/>
      </w:r>
      <w:r>
        <w:t>56</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Disclosure restriction under other law does not apply to disclosing to Court</w:t>
      </w:r>
      <w:r>
        <w:tab/>
      </w:r>
      <w:r>
        <w:fldChar w:fldCharType="begin"/>
      </w:r>
      <w:r>
        <w:instrText xml:space="preserve"> PAGEREF _Toc199941685 \h </w:instrText>
      </w:r>
      <w:r>
        <w:fldChar w:fldCharType="separate"/>
      </w:r>
      <w:r>
        <w:t>56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Other procedure, Court may determine</w:t>
      </w:r>
      <w:r>
        <w:tab/>
      </w:r>
      <w:r>
        <w:fldChar w:fldCharType="begin"/>
      </w:r>
      <w:r>
        <w:instrText xml:space="preserve"> PAGEREF _Toc199941686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Publication of information about agencies</w:t>
      </w:r>
    </w:p>
    <w:p>
      <w:pPr>
        <w:pStyle w:val="TOC8"/>
        <w:rPr>
          <w:rFonts w:asciiTheme="minorHAnsi" w:eastAsiaTheme="minorEastAsia" w:hAnsiTheme="minorHAnsi" w:cstheme="minorBidi"/>
          <w:szCs w:val="22"/>
        </w:rPr>
      </w:pPr>
      <w:r>
        <w:t>94</w:t>
      </w:r>
      <w:r>
        <w:rPr>
          <w:snapToGrid w:val="0"/>
        </w:rPr>
        <w:t>.</w:t>
      </w:r>
      <w:r>
        <w:rPr>
          <w:snapToGrid w:val="0"/>
        </w:rPr>
        <w:tab/>
        <w:t>Term used: information statement</w:t>
      </w:r>
      <w:r>
        <w:tab/>
      </w:r>
      <w:r>
        <w:fldChar w:fldCharType="begin"/>
      </w:r>
      <w:r>
        <w:instrText xml:space="preserve"> PAGEREF _Toc199941688 \h </w:instrText>
      </w:r>
      <w:r>
        <w:fldChar w:fldCharType="separate"/>
      </w:r>
      <w:r>
        <w:t>57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Term used: internal manual</w:t>
      </w:r>
      <w:r>
        <w:tab/>
      </w:r>
      <w:r>
        <w:fldChar w:fldCharType="begin"/>
      </w:r>
      <w:r>
        <w:instrText xml:space="preserve"> PAGEREF _Toc199941689 \h </w:instrText>
      </w:r>
      <w:r>
        <w:fldChar w:fldCharType="separate"/>
      </w:r>
      <w:r>
        <w:t>58</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Information statement, each agency to publish annually</w:t>
      </w:r>
      <w:r>
        <w:tab/>
      </w:r>
      <w:r>
        <w:fldChar w:fldCharType="begin"/>
      </w:r>
      <w:r>
        <w:instrText xml:space="preserve"> PAGEREF _Toc199941690 \h </w:instrText>
      </w:r>
      <w:r>
        <w:fldChar w:fldCharType="separate"/>
      </w:r>
      <w:r>
        <w:t>59</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Information statement and internal manual, each agency to make available etc.</w:t>
      </w:r>
      <w:r>
        <w:tab/>
      </w:r>
      <w:r>
        <w:fldChar w:fldCharType="begin"/>
      </w:r>
      <w:r>
        <w:instrText xml:space="preserve"> PAGEREF _Toc199941691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98</w:t>
      </w:r>
      <w:r>
        <w:rPr>
          <w:snapToGrid w:val="0"/>
        </w:rPr>
        <w:t>.</w:t>
      </w:r>
      <w:r>
        <w:rPr>
          <w:snapToGrid w:val="0"/>
        </w:rPr>
        <w:tab/>
        <w:t>Child or handicapped person, applications on behalf of</w:t>
      </w:r>
      <w:r>
        <w:tab/>
      </w:r>
      <w:r>
        <w:fldChar w:fldCharType="begin"/>
      </w:r>
      <w:r>
        <w:instrText xml:space="preserve"> PAGEREF _Toc199941693 \h </w:instrText>
      </w:r>
      <w:r>
        <w:fldChar w:fldCharType="separate"/>
      </w:r>
      <w:r>
        <w:t>61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Defunct agency, performance of functions on behalf of</w:t>
      </w:r>
      <w:r>
        <w:tab/>
      </w:r>
      <w:r>
        <w:fldChar w:fldCharType="begin"/>
      </w:r>
      <w:r>
        <w:instrText xml:space="preserve"> PAGEREF _Toc199941694 \h </w:instrText>
      </w:r>
      <w:r>
        <w:fldChar w:fldCharType="separate"/>
      </w:r>
      <w:r>
        <w:t>61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Who in agency makes its decisions</w:t>
      </w:r>
      <w:r>
        <w:tab/>
      </w:r>
      <w:r>
        <w:fldChar w:fldCharType="begin"/>
      </w:r>
      <w:r>
        <w:instrText xml:space="preserve"> PAGEREF _Toc199941695 \h </w:instrText>
      </w:r>
      <w:r>
        <w:fldChar w:fldCharType="separate"/>
      </w:r>
      <w:r>
        <w:t>61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Notice sent by post or fax, presumed time of service of</w:t>
      </w:r>
      <w:r>
        <w:tab/>
      </w:r>
      <w:r>
        <w:fldChar w:fldCharType="begin"/>
      </w:r>
      <w:r>
        <w:instrText xml:space="preserve"> PAGEREF _Toc199941696 \h </w:instrText>
      </w:r>
      <w:r>
        <w:fldChar w:fldCharType="separate"/>
      </w:r>
      <w:r>
        <w:t>62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Burden of proof</w:t>
      </w:r>
      <w:r>
        <w:tab/>
      </w:r>
      <w:r>
        <w:fldChar w:fldCharType="begin"/>
      </w:r>
      <w:r>
        <w:instrText xml:space="preserve"> PAGEREF _Toc199941697 \h </w:instrText>
      </w:r>
      <w:r>
        <w:fldChar w:fldCharType="separate"/>
      </w:r>
      <w:r>
        <w:t>62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No review of decisions etc. except under this Act</w:t>
      </w:r>
      <w:r>
        <w:tab/>
      </w:r>
      <w:r>
        <w:fldChar w:fldCharType="begin"/>
      </w:r>
      <w:r>
        <w:instrText xml:space="preserve"> PAGEREF _Toc199941698 \h </w:instrText>
      </w:r>
      <w:r>
        <w:fldChar w:fldCharType="separate"/>
      </w:r>
      <w:r>
        <w:t>62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Defamation or breach of confidence action, certain people protected from</w:t>
      </w:r>
      <w:r>
        <w:tab/>
      </w:r>
      <w:r>
        <w:fldChar w:fldCharType="begin"/>
      </w:r>
      <w:r>
        <w:instrText xml:space="preserve"> PAGEREF _Toc199941699 \h </w:instrText>
      </w:r>
      <w:r>
        <w:fldChar w:fldCharType="separate"/>
      </w:r>
      <w:r>
        <w:t>63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Criminal liability, certain people protected from</w:t>
      </w:r>
      <w:r>
        <w:tab/>
      </w:r>
      <w:r>
        <w:fldChar w:fldCharType="begin"/>
      </w:r>
      <w:r>
        <w:instrText xml:space="preserve"> PAGEREF _Toc199941700 \h </w:instrText>
      </w:r>
      <w:r>
        <w:fldChar w:fldCharType="separate"/>
      </w:r>
      <w:r>
        <w:t>63</w:t>
      </w:r>
      <w:r>
        <w:fldChar w:fldCharType="end"/>
      </w:r>
    </w:p>
    <w:p>
      <w:pPr>
        <w:pStyle w:val="TOC8"/>
        <w:rPr>
          <w:rFonts w:asciiTheme="minorHAnsi" w:eastAsiaTheme="minorEastAsia" w:hAnsiTheme="minorHAnsi" w:cstheme="minorBidi"/>
          <w:szCs w:val="22"/>
        </w:rPr>
      </w:pPr>
      <w:r>
        <w:lastRenderedPageBreak/>
        <w:t>106</w:t>
      </w:r>
      <w:r>
        <w:rPr>
          <w:snapToGrid w:val="0"/>
        </w:rPr>
        <w:t>.</w:t>
      </w:r>
      <w:r>
        <w:rPr>
          <w:snapToGrid w:val="0"/>
        </w:rPr>
        <w:tab/>
        <w:t>Personal liability, certain people protected from</w:t>
      </w:r>
      <w:r>
        <w:tab/>
      </w:r>
      <w:r>
        <w:fldChar w:fldCharType="begin"/>
      </w:r>
      <w:r>
        <w:instrText xml:space="preserve"> PAGEREF _Toc199941701 \h </w:instrText>
      </w:r>
      <w:r>
        <w:fldChar w:fldCharType="separate"/>
      </w:r>
      <w:r>
        <w:t>64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Failure to consult under Part 2 Div. 3, Crown etc. not liable in case of</w:t>
      </w:r>
      <w:r>
        <w:tab/>
      </w:r>
      <w:r>
        <w:fldChar w:fldCharType="begin"/>
      </w:r>
      <w:r>
        <w:instrText xml:space="preserve"> PAGEREF _Toc199941702 \h </w:instrText>
      </w:r>
      <w:r>
        <w:fldChar w:fldCharType="separate"/>
      </w:r>
      <w:r>
        <w:t>64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Exempt matter does not have to be published</w:t>
      </w:r>
      <w:r>
        <w:tab/>
      </w:r>
      <w:r>
        <w:fldChar w:fldCharType="begin"/>
      </w:r>
      <w:r>
        <w:instrText xml:space="preserve"> PAGEREF _Toc199941703 \h </w:instrText>
      </w:r>
      <w:r>
        <w:fldChar w:fldCharType="separate"/>
      </w:r>
      <w:r>
        <w:t>64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Personal information of another etc., obtaining access to by deceit etc. is offence</w:t>
      </w:r>
      <w:r>
        <w:tab/>
      </w:r>
      <w:r>
        <w:fldChar w:fldCharType="begin"/>
      </w:r>
      <w:r>
        <w:instrText xml:space="preserve"> PAGEREF _Toc199941704 \h </w:instrText>
      </w:r>
      <w:r>
        <w:fldChar w:fldCharType="separate"/>
      </w:r>
      <w:r>
        <w:t>64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Destroying document to prevent access, offence</w:t>
      </w:r>
      <w:r>
        <w:tab/>
      </w:r>
      <w:r>
        <w:fldChar w:fldCharType="begin"/>
      </w:r>
      <w:r>
        <w:instrText xml:space="preserve"> PAGEREF _Toc199941705 \h </w:instrText>
      </w:r>
      <w:r>
        <w:fldChar w:fldCharType="separate"/>
      </w:r>
      <w:r>
        <w:t>65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Annual report to Parliament</w:t>
      </w:r>
      <w:r>
        <w:tab/>
      </w:r>
      <w:r>
        <w:fldChar w:fldCharType="begin"/>
      </w:r>
      <w:r>
        <w:instrText xml:space="preserve"> PAGEREF _Toc199941706 \h </w:instrText>
      </w:r>
      <w:r>
        <w:fldChar w:fldCharType="separate"/>
      </w:r>
      <w:r>
        <w:t>65</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Regulations</w:t>
      </w:r>
      <w:r>
        <w:tab/>
      </w:r>
      <w:r>
        <w:fldChar w:fldCharType="begin"/>
      </w:r>
      <w:r>
        <w:instrText xml:space="preserve"> PAGEREF _Toc199941707 \h </w:instrText>
      </w:r>
      <w:r>
        <w:fldChar w:fldCharType="separate"/>
      </w:r>
      <w:r>
        <w:t>67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Review of Act</w:t>
      </w:r>
      <w:r>
        <w:tab/>
      </w:r>
      <w:r>
        <w:fldChar w:fldCharType="begin"/>
      </w:r>
      <w:r>
        <w:instrText xml:space="preserve"> PAGEREF _Toc199941708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1 — Exempt matter</w:t>
      </w:r>
    </w:p>
    <w:p>
      <w:pPr>
        <w:pStyle w:val="TOC8"/>
        <w:rPr>
          <w:rFonts w:asciiTheme="minorHAnsi" w:eastAsiaTheme="minorEastAsia" w:hAnsiTheme="minorHAnsi" w:cstheme="minorBidi"/>
          <w:szCs w:val="22"/>
        </w:rPr>
      </w:pPr>
      <w:r>
        <w:t>1.</w:t>
      </w:r>
      <w:r>
        <w:tab/>
        <w:t>Cabinet and Executive Council, deliberations etc. of</w:t>
      </w:r>
      <w:r>
        <w:tab/>
      </w:r>
      <w:r>
        <w:fldChar w:fldCharType="begin"/>
      </w:r>
      <w:r>
        <w:instrText xml:space="preserve"> PAGEREF _Toc199941710 \h </w:instrText>
      </w:r>
      <w:r>
        <w:fldChar w:fldCharType="separate"/>
      </w:r>
      <w:r>
        <w:t>69</w:t>
      </w:r>
      <w:r>
        <w:fldChar w:fldCharType="end"/>
      </w:r>
    </w:p>
    <w:p>
      <w:pPr>
        <w:pStyle w:val="TOC8"/>
        <w:rPr>
          <w:rFonts w:asciiTheme="minorHAnsi" w:eastAsiaTheme="minorEastAsia" w:hAnsiTheme="minorHAnsi" w:cstheme="minorBidi"/>
          <w:szCs w:val="22"/>
        </w:rPr>
      </w:pPr>
      <w:r>
        <w:t>2.</w:t>
      </w:r>
      <w:r>
        <w:tab/>
        <w:t>Inter</w:t>
      </w:r>
      <w:r>
        <w:noBreakHyphen/>
        <w:t>governmental relations, matter that could damage etc.</w:t>
      </w:r>
      <w:r>
        <w:tab/>
      </w:r>
      <w:r>
        <w:fldChar w:fldCharType="begin"/>
      </w:r>
      <w:r>
        <w:instrText xml:space="preserve"> PAGEREF _Toc199941711 \h </w:instrText>
      </w:r>
      <w:r>
        <w:fldChar w:fldCharType="separate"/>
      </w:r>
      <w:r>
        <w:t>70</w:t>
      </w:r>
      <w:r>
        <w:fldChar w:fldCharType="end"/>
      </w:r>
    </w:p>
    <w:p>
      <w:pPr>
        <w:pStyle w:val="TOC8"/>
        <w:rPr>
          <w:rFonts w:asciiTheme="minorHAnsi" w:eastAsiaTheme="minorEastAsia" w:hAnsiTheme="minorHAnsi" w:cstheme="minorBidi"/>
          <w:szCs w:val="22"/>
        </w:rPr>
      </w:pPr>
      <w:r>
        <w:t>3.</w:t>
      </w:r>
      <w:r>
        <w:tab/>
        <w:t>Personal information</w:t>
      </w:r>
      <w:r>
        <w:tab/>
      </w:r>
      <w:r>
        <w:fldChar w:fldCharType="begin"/>
      </w:r>
      <w:r>
        <w:instrText xml:space="preserve"> PAGEREF _Toc199941712 \h </w:instrText>
      </w:r>
      <w:r>
        <w:fldChar w:fldCharType="separate"/>
      </w:r>
      <w:r>
        <w:t>71</w:t>
      </w:r>
      <w:r>
        <w:fldChar w:fldCharType="end"/>
      </w:r>
    </w:p>
    <w:p>
      <w:pPr>
        <w:pStyle w:val="TOC8"/>
        <w:rPr>
          <w:rFonts w:asciiTheme="minorHAnsi" w:eastAsiaTheme="minorEastAsia" w:hAnsiTheme="minorHAnsi" w:cstheme="minorBidi"/>
          <w:szCs w:val="22"/>
        </w:rPr>
      </w:pPr>
      <w:r>
        <w:t>4.</w:t>
      </w:r>
      <w:r>
        <w:tab/>
        <w:t>Trade secrets, commercial and business information</w:t>
      </w:r>
      <w:r>
        <w:tab/>
      </w:r>
      <w:r>
        <w:fldChar w:fldCharType="begin"/>
      </w:r>
      <w:r>
        <w:instrText xml:space="preserve"> PAGEREF _Toc199941713 \h </w:instrText>
      </w:r>
      <w:r>
        <w:fldChar w:fldCharType="separate"/>
      </w:r>
      <w:r>
        <w:t>72</w:t>
      </w:r>
      <w:r>
        <w:fldChar w:fldCharType="end"/>
      </w:r>
    </w:p>
    <w:p>
      <w:pPr>
        <w:pStyle w:val="TOC8"/>
        <w:rPr>
          <w:rFonts w:asciiTheme="minorHAnsi" w:eastAsiaTheme="minorEastAsia" w:hAnsiTheme="minorHAnsi" w:cstheme="minorBidi"/>
          <w:szCs w:val="22"/>
        </w:rPr>
      </w:pPr>
      <w:r>
        <w:t>4A.</w:t>
      </w:r>
      <w:r>
        <w:tab/>
        <w:t xml:space="preserve">Information given to Treasurer etc. under </w:t>
      </w:r>
      <w:r>
        <w:rPr>
          <w:i/>
        </w:rPr>
        <w:t>Bank of Western Australia Act 1995</w:t>
      </w:r>
      <w:r>
        <w:tab/>
      </w:r>
      <w:r>
        <w:fldChar w:fldCharType="begin"/>
      </w:r>
      <w:r>
        <w:instrText xml:space="preserve"> PAGEREF _Toc199941714 \h </w:instrText>
      </w:r>
      <w:r>
        <w:fldChar w:fldCharType="separate"/>
      </w:r>
      <w:r>
        <w:t>72</w:t>
      </w:r>
      <w:r>
        <w:fldChar w:fldCharType="end"/>
      </w:r>
    </w:p>
    <w:p>
      <w:pPr>
        <w:pStyle w:val="TOC8"/>
        <w:rPr>
          <w:rFonts w:asciiTheme="minorHAnsi" w:eastAsiaTheme="minorEastAsia" w:hAnsiTheme="minorHAnsi" w:cstheme="minorBidi"/>
          <w:szCs w:val="22"/>
        </w:rPr>
      </w:pPr>
      <w:r>
        <w:t>5.</w:t>
      </w:r>
      <w:r>
        <w:tab/>
        <w:t>Law enforcement, public safety and property security, matter prejudicial etc. to</w:t>
      </w:r>
      <w:r>
        <w:tab/>
      </w:r>
      <w:r>
        <w:fldChar w:fldCharType="begin"/>
      </w:r>
      <w:r>
        <w:instrText xml:space="preserve"> PAGEREF _Toc199941715 \h </w:instrText>
      </w:r>
      <w:r>
        <w:fldChar w:fldCharType="separate"/>
      </w:r>
      <w:r>
        <w:t>73</w:t>
      </w:r>
      <w:r>
        <w:fldChar w:fldCharType="end"/>
      </w:r>
    </w:p>
    <w:p>
      <w:pPr>
        <w:pStyle w:val="TOC8"/>
        <w:rPr>
          <w:rFonts w:asciiTheme="minorHAnsi" w:eastAsiaTheme="minorEastAsia" w:hAnsiTheme="minorHAnsi" w:cstheme="minorBidi"/>
          <w:szCs w:val="22"/>
        </w:rPr>
      </w:pPr>
      <w:r>
        <w:t>6.</w:t>
      </w:r>
      <w:r>
        <w:tab/>
        <w:t>Deliberative processes of Government etc., matter revealing</w:t>
      </w:r>
      <w:r>
        <w:tab/>
      </w:r>
      <w:r>
        <w:fldChar w:fldCharType="begin"/>
      </w:r>
      <w:r>
        <w:instrText xml:space="preserve"> PAGEREF _Toc199941716 \h </w:instrText>
      </w:r>
      <w:r>
        <w:fldChar w:fldCharType="separate"/>
      </w:r>
      <w:r>
        <w:t>75</w:t>
      </w:r>
      <w:r>
        <w:fldChar w:fldCharType="end"/>
      </w:r>
    </w:p>
    <w:p>
      <w:pPr>
        <w:pStyle w:val="TOC8"/>
        <w:rPr>
          <w:rFonts w:asciiTheme="minorHAnsi" w:eastAsiaTheme="minorEastAsia" w:hAnsiTheme="minorHAnsi" w:cstheme="minorBidi"/>
          <w:szCs w:val="22"/>
        </w:rPr>
      </w:pPr>
      <w:r>
        <w:t>7.</w:t>
      </w:r>
      <w:r>
        <w:tab/>
        <w:t>Legal professional privilege, matter subject to</w:t>
      </w:r>
      <w:r>
        <w:tab/>
      </w:r>
      <w:r>
        <w:fldChar w:fldCharType="begin"/>
      </w:r>
      <w:r>
        <w:instrText xml:space="preserve"> PAGEREF _Toc199941717 \h </w:instrText>
      </w:r>
      <w:r>
        <w:fldChar w:fldCharType="separate"/>
      </w:r>
      <w:r>
        <w:t>75</w:t>
      </w:r>
      <w:r>
        <w:fldChar w:fldCharType="end"/>
      </w:r>
    </w:p>
    <w:p>
      <w:pPr>
        <w:pStyle w:val="TOC8"/>
        <w:rPr>
          <w:rFonts w:asciiTheme="minorHAnsi" w:eastAsiaTheme="minorEastAsia" w:hAnsiTheme="minorHAnsi" w:cstheme="minorBidi"/>
          <w:szCs w:val="22"/>
        </w:rPr>
      </w:pPr>
      <w:r>
        <w:t>8.</w:t>
      </w:r>
      <w:r>
        <w:tab/>
        <w:t>Confidential communications</w:t>
      </w:r>
      <w:r>
        <w:tab/>
      </w:r>
      <w:r>
        <w:fldChar w:fldCharType="begin"/>
      </w:r>
      <w:r>
        <w:instrText xml:space="preserve"> PAGEREF _Toc199941718 \h </w:instrText>
      </w:r>
      <w:r>
        <w:fldChar w:fldCharType="separate"/>
      </w:r>
      <w:r>
        <w:t>75</w:t>
      </w:r>
      <w:r>
        <w:fldChar w:fldCharType="end"/>
      </w:r>
    </w:p>
    <w:p>
      <w:pPr>
        <w:pStyle w:val="TOC8"/>
        <w:rPr>
          <w:rFonts w:asciiTheme="minorHAnsi" w:eastAsiaTheme="minorEastAsia" w:hAnsiTheme="minorHAnsi" w:cstheme="minorBidi"/>
          <w:szCs w:val="22"/>
        </w:rPr>
      </w:pPr>
      <w:r>
        <w:t>9.</w:t>
      </w:r>
      <w:r>
        <w:tab/>
        <w:t>State’s economy, matter adversely affecting management of etc.</w:t>
      </w:r>
      <w:r>
        <w:tab/>
      </w:r>
      <w:r>
        <w:fldChar w:fldCharType="begin"/>
      </w:r>
      <w:r>
        <w:instrText xml:space="preserve"> PAGEREF _Toc199941719 \h </w:instrText>
      </w:r>
      <w:r>
        <w:fldChar w:fldCharType="separate"/>
      </w:r>
      <w:r>
        <w:t>76</w:t>
      </w:r>
      <w:r>
        <w:fldChar w:fldCharType="end"/>
      </w:r>
    </w:p>
    <w:p>
      <w:pPr>
        <w:pStyle w:val="TOC8"/>
        <w:rPr>
          <w:rFonts w:asciiTheme="minorHAnsi" w:eastAsiaTheme="minorEastAsia" w:hAnsiTheme="minorHAnsi" w:cstheme="minorBidi"/>
          <w:szCs w:val="22"/>
        </w:rPr>
      </w:pPr>
      <w:r>
        <w:t>10.</w:t>
      </w:r>
      <w:r>
        <w:tab/>
        <w:t>State’s financial or property affairs, matter adversely affecting etc.</w:t>
      </w:r>
      <w:r>
        <w:tab/>
      </w:r>
      <w:r>
        <w:fldChar w:fldCharType="begin"/>
      </w:r>
      <w:r>
        <w:instrText xml:space="preserve"> PAGEREF _Toc199941720 \h </w:instrText>
      </w:r>
      <w:r>
        <w:fldChar w:fldCharType="separate"/>
      </w:r>
      <w:r>
        <w:t>76</w:t>
      </w:r>
      <w:r>
        <w:fldChar w:fldCharType="end"/>
      </w:r>
    </w:p>
    <w:p>
      <w:pPr>
        <w:pStyle w:val="TOC8"/>
        <w:rPr>
          <w:rFonts w:asciiTheme="minorHAnsi" w:eastAsiaTheme="minorEastAsia" w:hAnsiTheme="minorHAnsi" w:cstheme="minorBidi"/>
          <w:szCs w:val="22"/>
        </w:rPr>
      </w:pPr>
      <w:r>
        <w:t>11.</w:t>
      </w:r>
      <w:r>
        <w:tab/>
        <w:t>Effective operation of agencies, matter impairing etc.</w:t>
      </w:r>
      <w:r>
        <w:tab/>
      </w:r>
      <w:r>
        <w:fldChar w:fldCharType="begin"/>
      </w:r>
      <w:r>
        <w:instrText xml:space="preserve"> PAGEREF _Toc199941721 \h </w:instrText>
      </w:r>
      <w:r>
        <w:fldChar w:fldCharType="separate"/>
      </w:r>
      <w:r>
        <w:t>77</w:t>
      </w:r>
      <w:r>
        <w:fldChar w:fldCharType="end"/>
      </w:r>
    </w:p>
    <w:p>
      <w:pPr>
        <w:pStyle w:val="TOC8"/>
        <w:rPr>
          <w:rFonts w:asciiTheme="minorHAnsi" w:eastAsiaTheme="minorEastAsia" w:hAnsiTheme="minorHAnsi" w:cstheme="minorBidi"/>
          <w:szCs w:val="22"/>
        </w:rPr>
      </w:pPr>
      <w:r>
        <w:t>12.</w:t>
      </w:r>
      <w:r>
        <w:tab/>
        <w:t>Contempt of Parliament or court, matter that would be</w:t>
      </w:r>
      <w:r>
        <w:tab/>
      </w:r>
      <w:r>
        <w:fldChar w:fldCharType="begin"/>
      </w:r>
      <w:r>
        <w:instrText xml:space="preserve"> PAGEREF _Toc199941722 \h </w:instrText>
      </w:r>
      <w:r>
        <w:fldChar w:fldCharType="separate"/>
      </w:r>
      <w:r>
        <w:t>78</w:t>
      </w:r>
      <w:r>
        <w:fldChar w:fldCharType="end"/>
      </w:r>
    </w:p>
    <w:p>
      <w:pPr>
        <w:pStyle w:val="TOC8"/>
        <w:rPr>
          <w:rFonts w:asciiTheme="minorHAnsi" w:eastAsiaTheme="minorEastAsia" w:hAnsiTheme="minorHAnsi" w:cstheme="minorBidi"/>
          <w:szCs w:val="22"/>
        </w:rPr>
      </w:pPr>
      <w:r>
        <w:t>13.</w:t>
      </w:r>
      <w:r>
        <w:tab/>
        <w:t>Adoption or artificial conception information</w:t>
      </w:r>
      <w:r>
        <w:tab/>
      </w:r>
      <w:r>
        <w:fldChar w:fldCharType="begin"/>
      </w:r>
      <w:r>
        <w:instrText xml:space="preserve"> PAGEREF _Toc199941723 \h </w:instrText>
      </w:r>
      <w:r>
        <w:fldChar w:fldCharType="separate"/>
      </w:r>
      <w:r>
        <w:t>78</w:t>
      </w:r>
      <w:r>
        <w:fldChar w:fldCharType="end"/>
      </w:r>
    </w:p>
    <w:p>
      <w:pPr>
        <w:pStyle w:val="TOC8"/>
        <w:rPr>
          <w:rFonts w:asciiTheme="minorHAnsi" w:eastAsiaTheme="minorEastAsia" w:hAnsiTheme="minorHAnsi" w:cstheme="minorBidi"/>
          <w:szCs w:val="22"/>
        </w:rPr>
      </w:pPr>
      <w:r>
        <w:t>14.</w:t>
      </w:r>
      <w:r>
        <w:tab/>
        <w:t>Information protected by certain statutory provisions</w:t>
      </w:r>
      <w:r>
        <w:tab/>
      </w:r>
      <w:r>
        <w:fldChar w:fldCharType="begin"/>
      </w:r>
      <w:r>
        <w:instrText xml:space="preserve"> PAGEREF _Toc199941724 \h </w:instrText>
      </w:r>
      <w:r>
        <w:fldChar w:fldCharType="separate"/>
      </w:r>
      <w:r>
        <w:t>78</w:t>
      </w:r>
      <w:r>
        <w:fldChar w:fldCharType="end"/>
      </w:r>
    </w:p>
    <w:p>
      <w:pPr>
        <w:pStyle w:val="TOC8"/>
        <w:rPr>
          <w:rFonts w:asciiTheme="minorHAnsi" w:eastAsiaTheme="minorEastAsia" w:hAnsiTheme="minorHAnsi" w:cstheme="minorBidi"/>
          <w:szCs w:val="22"/>
        </w:rPr>
      </w:pPr>
      <w:r>
        <w:t>15.</w:t>
      </w:r>
      <w:r>
        <w:tab/>
        <w:t>Precious metal transactions, information as to</w:t>
      </w:r>
      <w:r>
        <w:tab/>
      </w:r>
      <w:r>
        <w:fldChar w:fldCharType="begin"/>
      </w:r>
      <w:r>
        <w:instrText xml:space="preserve"> PAGEREF _Toc199941725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 — Exempt agencies</w:t>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_Toc199941728 \h </w:instrText>
      </w:r>
      <w:r>
        <w:fldChar w:fldCharType="separate"/>
      </w:r>
      <w:r>
        <w:t>83</w:t>
      </w:r>
      <w:r>
        <w:fldChar w:fldCharType="end"/>
      </w:r>
    </w:p>
    <w:p>
      <w:pPr>
        <w:pStyle w:val="TOC8"/>
        <w:rPr>
          <w:rFonts w:asciiTheme="minorHAnsi" w:eastAsiaTheme="minorEastAsia" w:hAnsiTheme="minorHAnsi" w:cstheme="minorBidi"/>
          <w:szCs w:val="22"/>
        </w:rPr>
      </w:pPr>
      <w:r>
        <w:t>2.</w:t>
      </w:r>
      <w:r>
        <w:tab/>
        <w:t>Separate agencies, which are</w:t>
      </w:r>
      <w:r>
        <w:tab/>
      </w:r>
      <w:r>
        <w:fldChar w:fldCharType="begin"/>
      </w:r>
      <w:r>
        <w:instrText xml:space="preserve"> PAGEREF _Toc199941729 \h </w:instrText>
      </w:r>
      <w:r>
        <w:fldChar w:fldCharType="separate"/>
      </w:r>
      <w:r>
        <w:t>86</w:t>
      </w:r>
      <w:r>
        <w:fldChar w:fldCharType="end"/>
      </w:r>
    </w:p>
    <w:p>
      <w:pPr>
        <w:pStyle w:val="TOC8"/>
        <w:rPr>
          <w:rFonts w:asciiTheme="minorHAnsi" w:eastAsiaTheme="minorEastAsia" w:hAnsiTheme="minorHAnsi" w:cstheme="minorBidi"/>
          <w:szCs w:val="22"/>
        </w:rPr>
      </w:pPr>
      <w:r>
        <w:t>3.</w:t>
      </w:r>
      <w:r>
        <w:tab/>
        <w:t>Courts are agencies but judges etc. are not</w:t>
      </w:r>
      <w:r>
        <w:tab/>
      </w:r>
      <w:r>
        <w:fldChar w:fldCharType="begin"/>
      </w:r>
      <w:r>
        <w:instrText xml:space="preserve"> PAGEREF _Toc199941730 \h </w:instrText>
      </w:r>
      <w:r>
        <w:fldChar w:fldCharType="separate"/>
      </w:r>
      <w:r>
        <w:t>87</w:t>
      </w:r>
      <w:r>
        <w:fldChar w:fldCharType="end"/>
      </w:r>
    </w:p>
    <w:p>
      <w:pPr>
        <w:pStyle w:val="TOC8"/>
        <w:rPr>
          <w:rFonts w:asciiTheme="minorHAnsi" w:eastAsiaTheme="minorEastAsia" w:hAnsiTheme="minorHAnsi" w:cstheme="minorBidi"/>
          <w:szCs w:val="22"/>
        </w:rPr>
      </w:pPr>
      <w:r>
        <w:t>4.</w:t>
      </w:r>
      <w:r>
        <w:tab/>
        <w:t>Documents of an agency, which are</w:t>
      </w:r>
      <w:r>
        <w:tab/>
      </w:r>
      <w:r>
        <w:fldChar w:fldCharType="begin"/>
      </w:r>
      <w:r>
        <w:instrText xml:space="preserve"> PAGEREF _Toc199941731 \h </w:instrText>
      </w:r>
      <w:r>
        <w:fldChar w:fldCharType="separate"/>
      </w:r>
      <w:r>
        <w:t>87</w:t>
      </w:r>
      <w:r>
        <w:fldChar w:fldCharType="end"/>
      </w:r>
    </w:p>
    <w:p>
      <w:pPr>
        <w:pStyle w:val="TOC8"/>
        <w:rPr>
          <w:rFonts w:asciiTheme="minorHAnsi" w:eastAsiaTheme="minorEastAsia" w:hAnsiTheme="minorHAnsi" w:cstheme="minorBidi"/>
          <w:szCs w:val="22"/>
        </w:rPr>
      </w:pPr>
      <w:r>
        <w:t>5.</w:t>
      </w:r>
      <w:r>
        <w:tab/>
        <w:t>Documents of a court, which are</w:t>
      </w:r>
      <w:r>
        <w:tab/>
      </w:r>
      <w:r>
        <w:fldChar w:fldCharType="begin"/>
      </w:r>
      <w:r>
        <w:instrText xml:space="preserve"> PAGEREF _Toc199941732 \h </w:instrText>
      </w:r>
      <w:r>
        <w:fldChar w:fldCharType="separate"/>
      </w:r>
      <w:r>
        <w:t>88</w:t>
      </w:r>
      <w:r>
        <w:fldChar w:fldCharType="end"/>
      </w:r>
    </w:p>
    <w:p>
      <w:pPr>
        <w:pStyle w:val="TOC8"/>
        <w:rPr>
          <w:rFonts w:asciiTheme="minorHAnsi" w:eastAsiaTheme="minorEastAsia" w:hAnsiTheme="minorHAnsi" w:cstheme="minorBidi"/>
          <w:szCs w:val="22"/>
        </w:rPr>
      </w:pPr>
      <w:r>
        <w:t>6.</w:t>
      </w:r>
      <w:r>
        <w:tab/>
        <w:t>Documents of units of Police Force and of Department of Corrective Services</w:t>
      </w:r>
      <w:r>
        <w:tab/>
      </w:r>
      <w:r>
        <w:fldChar w:fldCharType="begin"/>
      </w:r>
      <w:r>
        <w:instrText xml:space="preserve"> PAGEREF _Toc199941733 \h </w:instrText>
      </w:r>
      <w:r>
        <w:fldChar w:fldCharType="separate"/>
      </w:r>
      <w:r>
        <w:t>88</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Documents of Authority etc. under gas pipelines access legislation</w:t>
      </w:r>
      <w:r>
        <w:tab/>
      </w:r>
      <w:r>
        <w:fldChar w:fldCharType="begin"/>
      </w:r>
      <w:r>
        <w:instrText xml:space="preserve"> PAGEREF _Toc199941734 \h </w:instrText>
      </w:r>
      <w:r>
        <w:fldChar w:fldCharType="separate"/>
      </w:r>
      <w:r>
        <w:t>89</w:t>
      </w:r>
      <w:r>
        <w:fldChar w:fldCharType="end"/>
      </w:r>
    </w:p>
    <w:p>
      <w:pPr>
        <w:pStyle w:val="TOC8"/>
        <w:rPr>
          <w:rFonts w:asciiTheme="minorHAnsi" w:eastAsiaTheme="minorEastAsia" w:hAnsiTheme="minorHAnsi" w:cstheme="minorBidi"/>
          <w:szCs w:val="22"/>
        </w:rPr>
      </w:pPr>
      <w:r>
        <w:t>8.</w:t>
      </w:r>
      <w:r>
        <w:tab/>
        <w:t>Charges for dealing with applications</w:t>
      </w:r>
      <w:r>
        <w:tab/>
      </w:r>
      <w:r>
        <w:fldChar w:fldCharType="begin"/>
      </w:r>
      <w:r>
        <w:instrText xml:space="preserve"> PAGEREF _Toc199941735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_Toc199941737 \h </w:instrText>
      </w:r>
      <w:r>
        <w:fldChar w:fldCharType="separate"/>
      </w:r>
      <w:r>
        <w:t>90</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_Toc199941738 \h </w:instrText>
      </w:r>
      <w:r>
        <w:fldChar w:fldCharType="separate"/>
      </w:r>
      <w:r>
        <w:t>94</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_Toc199941739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Freedom of Information Act 1992</w:t>
      </w:r>
    </w:p>
    <w:p>
      <w:pPr>
        <w:pStyle w:val="LongTitle"/>
        <w:rPr>
          <w:snapToGrid w:val="0"/>
        </w:rPr>
      </w:pPr>
      <w:r>
        <w:rPr>
          <w:snapToGrid w:val="0"/>
        </w:rPr>
        <w:t>An Act to provide for public access to documents, and to enable the public to ensure that personal information in documents is accurate, complete, up to date and not misleading, and for related purposes.</w:t>
      </w:r>
    </w:p>
    <w:p>
      <w:pPr>
        <w:pStyle w:val="Heading2"/>
      </w:pPr>
      <w:bookmarkStart w:id="2" w:name="_Toc199941577"/>
      <w:r>
        <w:rPr>
          <w:rStyle w:val="CharPartNo"/>
        </w:rPr>
        <w:lastRenderedPageBreak/>
        <w:t>Part 1</w:t>
      </w:r>
      <w:r>
        <w:rPr>
          <w:rStyle w:val="CharDivNo"/>
        </w:rPr>
        <w:t> </w:t>
      </w:r>
      <w:r>
        <w:t>—</w:t>
      </w:r>
      <w:r>
        <w:rPr>
          <w:rStyle w:val="CharDivText"/>
        </w:rPr>
        <w:t> </w:t>
      </w:r>
      <w:r>
        <w:rPr>
          <w:rStyle w:val="CharPartText"/>
        </w:rPr>
        <w:t>Preliminary</w:t>
      </w:r>
      <w:bookmarkEnd w:id="2"/>
    </w:p>
    <w:p>
      <w:pPr>
        <w:pStyle w:val="Heading5"/>
        <w:rPr>
          <w:snapToGrid w:val="0"/>
        </w:rPr>
      </w:pPr>
      <w:bookmarkStart w:id="3" w:name="_Toc199941578"/>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Freedom of Information Act 1992</w:t>
      </w:r>
      <w:r>
        <w:rPr>
          <w:snapToGrid w:val="0"/>
        </w:rPr>
        <w:t>.</w:t>
      </w:r>
    </w:p>
    <w:p>
      <w:pPr>
        <w:pStyle w:val="Heading5"/>
        <w:rPr>
          <w:snapToGrid w:val="0"/>
        </w:rPr>
      </w:pPr>
      <w:bookmarkStart w:id="4" w:name="_Toc199941579"/>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5" w:name="_Toc199941580"/>
      <w:r>
        <w:rPr>
          <w:rStyle w:val="CharSectno"/>
        </w:rPr>
        <w:t>3</w:t>
      </w:r>
      <w:r>
        <w:rPr>
          <w:snapToGrid w:val="0"/>
        </w:rPr>
        <w:t>.</w:t>
      </w:r>
      <w:r>
        <w:rPr>
          <w:snapToGrid w:val="0"/>
        </w:rPr>
        <w:tab/>
        <w:t>Objects of Act</w:t>
      </w:r>
      <w:bookmarkEnd w:id="5"/>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6" w:name="_Toc199941581"/>
      <w:r>
        <w:rPr>
          <w:rStyle w:val="CharSectno"/>
        </w:rPr>
        <w:lastRenderedPageBreak/>
        <w:t>4</w:t>
      </w:r>
      <w:r>
        <w:rPr>
          <w:snapToGrid w:val="0"/>
        </w:rPr>
        <w:t>.</w:t>
      </w:r>
      <w:r>
        <w:rPr>
          <w:snapToGrid w:val="0"/>
        </w:rPr>
        <w:tab/>
        <w:t>Agencies, duties of when applying Act</w:t>
      </w:r>
      <w:bookmarkEnd w:id="6"/>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7" w:name="_Toc199941582"/>
      <w:r>
        <w:rPr>
          <w:rStyle w:val="CharSectno"/>
        </w:rPr>
        <w:t>5</w:t>
      </w:r>
      <w:r>
        <w:rPr>
          <w:snapToGrid w:val="0"/>
        </w:rPr>
        <w:t>.</w:t>
      </w:r>
      <w:r>
        <w:rPr>
          <w:snapToGrid w:val="0"/>
        </w:rPr>
        <w:tab/>
        <w:t>Crown bound</w:t>
      </w:r>
      <w:bookmarkEnd w:id="7"/>
    </w:p>
    <w:p>
      <w:pPr>
        <w:pStyle w:val="Subsection"/>
        <w:rPr>
          <w:snapToGrid w:val="0"/>
        </w:rPr>
      </w:pPr>
      <w:r>
        <w:rPr>
          <w:snapToGrid w:val="0"/>
        </w:rPr>
        <w:tab/>
      </w:r>
      <w:r>
        <w:rPr>
          <w:snapToGrid w:val="0"/>
        </w:rPr>
        <w:tab/>
        <w:t>This Act binds the Crown.</w:t>
      </w:r>
    </w:p>
    <w:p>
      <w:pPr>
        <w:pStyle w:val="Heading5"/>
        <w:rPr>
          <w:snapToGrid w:val="0"/>
        </w:rPr>
      </w:pPr>
      <w:bookmarkStart w:id="8" w:name="_Toc199941583"/>
      <w:r>
        <w:rPr>
          <w:rStyle w:val="CharSectno"/>
        </w:rPr>
        <w:t>6</w:t>
      </w:r>
      <w:r>
        <w:rPr>
          <w:snapToGrid w:val="0"/>
        </w:rPr>
        <w:t>.</w:t>
      </w:r>
      <w:r>
        <w:rPr>
          <w:snapToGrid w:val="0"/>
        </w:rPr>
        <w:tab/>
        <w:t>Access rights etc. in Parts 2 and 4 do not apply to documents that are already available</w:t>
      </w:r>
      <w:bookmarkEnd w:id="8"/>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No. 53 of 2000 s. 6.]</w:t>
      </w:r>
    </w:p>
    <w:p>
      <w:pPr>
        <w:pStyle w:val="Heading5"/>
        <w:rPr>
          <w:snapToGrid w:val="0"/>
        </w:rPr>
      </w:pPr>
      <w:bookmarkStart w:id="9" w:name="_Toc199941584"/>
      <w:r>
        <w:rPr>
          <w:rStyle w:val="CharSectno"/>
        </w:rPr>
        <w:lastRenderedPageBreak/>
        <w:t>7</w:t>
      </w:r>
      <w:r>
        <w:rPr>
          <w:snapToGrid w:val="0"/>
        </w:rPr>
        <w:t>.</w:t>
      </w:r>
      <w:r>
        <w:rPr>
          <w:snapToGrid w:val="0"/>
        </w:rPr>
        <w:tab/>
        <w:t>Access rights in Parts 2 and 4, application of to private collections</w:t>
      </w:r>
      <w:bookmarkEnd w:id="9"/>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r>
        <w:tab/>
        <w:t>[Section 7 amended: No. 53 of 2000 s. 7.]</w:t>
      </w:r>
    </w:p>
    <w:p>
      <w:pPr>
        <w:pStyle w:val="Heading5"/>
        <w:rPr>
          <w:snapToGrid w:val="0"/>
        </w:rPr>
      </w:pPr>
      <w:bookmarkStart w:id="10" w:name="_Toc199941585"/>
      <w:r>
        <w:rPr>
          <w:rStyle w:val="CharSectno"/>
        </w:rPr>
        <w:t>8</w:t>
      </w:r>
      <w:r>
        <w:rPr>
          <w:snapToGrid w:val="0"/>
        </w:rPr>
        <w:t>.</w:t>
      </w:r>
      <w:r>
        <w:rPr>
          <w:snapToGrid w:val="0"/>
        </w:rPr>
        <w:tab/>
        <w:t>Access rights etc. in Parts 2 and 4, effect of on other Acts etc.</w:t>
      </w:r>
      <w:bookmarkEnd w:id="10"/>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 No. 53 of 2000 s. 8.]</w:t>
      </w:r>
    </w:p>
    <w:p>
      <w:pPr>
        <w:pStyle w:val="Heading5"/>
        <w:rPr>
          <w:snapToGrid w:val="0"/>
        </w:rPr>
      </w:pPr>
      <w:bookmarkStart w:id="11" w:name="_Toc199941586"/>
      <w:r>
        <w:rPr>
          <w:rStyle w:val="CharSectno"/>
        </w:rPr>
        <w:t>9</w:t>
      </w:r>
      <w:r>
        <w:rPr>
          <w:snapToGrid w:val="0"/>
        </w:rPr>
        <w:t>.</w:t>
      </w:r>
      <w:r>
        <w:rPr>
          <w:snapToGrid w:val="0"/>
        </w:rPr>
        <w:tab/>
        <w:t>Terms used (Glossary)</w:t>
      </w:r>
      <w:bookmarkEnd w:id="11"/>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12" w:name="_Toc199941587"/>
      <w:r>
        <w:rPr>
          <w:rStyle w:val="CharPartNo"/>
        </w:rPr>
        <w:lastRenderedPageBreak/>
        <w:t>Part 2</w:t>
      </w:r>
      <w:r>
        <w:t> — </w:t>
      </w:r>
      <w:r>
        <w:rPr>
          <w:rStyle w:val="CharPartText"/>
        </w:rPr>
        <w:t>Access to documents</w:t>
      </w:r>
      <w:bookmarkEnd w:id="12"/>
    </w:p>
    <w:p>
      <w:pPr>
        <w:pStyle w:val="Heading3"/>
      </w:pPr>
      <w:bookmarkStart w:id="13" w:name="_Toc199941588"/>
      <w:r>
        <w:rPr>
          <w:rStyle w:val="CharDivNo"/>
        </w:rPr>
        <w:t>Division 1</w:t>
      </w:r>
      <w:r>
        <w:rPr>
          <w:snapToGrid w:val="0"/>
        </w:rPr>
        <w:t> — </w:t>
      </w:r>
      <w:r>
        <w:rPr>
          <w:rStyle w:val="CharDivText"/>
        </w:rPr>
        <w:t>Right of access and applications for access</w:t>
      </w:r>
      <w:bookmarkEnd w:id="13"/>
    </w:p>
    <w:p>
      <w:pPr>
        <w:pStyle w:val="Heading5"/>
        <w:rPr>
          <w:snapToGrid w:val="0"/>
        </w:rPr>
      </w:pPr>
      <w:bookmarkStart w:id="14" w:name="_Toc199941589"/>
      <w:r>
        <w:rPr>
          <w:rStyle w:val="CharSectno"/>
        </w:rPr>
        <w:t>10</w:t>
      </w:r>
      <w:r>
        <w:rPr>
          <w:snapToGrid w:val="0"/>
        </w:rPr>
        <w:t>.</w:t>
      </w:r>
      <w:r>
        <w:rPr>
          <w:snapToGrid w:val="0"/>
        </w:rPr>
        <w:tab/>
        <w:t>Right of access to documents</w:t>
      </w:r>
      <w:bookmarkEnd w:id="14"/>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15" w:name="_Toc199941590"/>
      <w:r>
        <w:rPr>
          <w:rStyle w:val="CharSectno"/>
        </w:rPr>
        <w:t>11</w:t>
      </w:r>
      <w:r>
        <w:rPr>
          <w:snapToGrid w:val="0"/>
        </w:rPr>
        <w:t>.</w:t>
      </w:r>
      <w:r>
        <w:rPr>
          <w:snapToGrid w:val="0"/>
        </w:rPr>
        <w:tab/>
        <w:t>Application for access</w:t>
      </w:r>
      <w:bookmarkEnd w:id="15"/>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16" w:name="_Toc199941591"/>
      <w:r>
        <w:rPr>
          <w:rStyle w:val="CharSectno"/>
        </w:rPr>
        <w:t>12</w:t>
      </w:r>
      <w:r>
        <w:rPr>
          <w:snapToGrid w:val="0"/>
        </w:rPr>
        <w:t>.</w:t>
      </w:r>
      <w:r>
        <w:rPr>
          <w:snapToGrid w:val="0"/>
        </w:rPr>
        <w:tab/>
        <w:t>Access application, form etc. of</w:t>
      </w:r>
      <w:bookmarkEnd w:id="16"/>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lastRenderedPageBreak/>
        <w:tab/>
        <w:t>(b)</w:t>
      </w:r>
      <w:r>
        <w:rPr>
          <w:snapToGrid w:val="0"/>
        </w:rPr>
        <w:tab/>
        <w:t>give enough information to enable the requested documents to be identified;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17" w:name="_Toc199941592"/>
      <w:r>
        <w:rPr>
          <w:rStyle w:val="CharDivNo"/>
        </w:rPr>
        <w:t>Division 2</w:t>
      </w:r>
      <w:r>
        <w:rPr>
          <w:snapToGrid w:val="0"/>
        </w:rPr>
        <w:t> — </w:t>
      </w:r>
      <w:r>
        <w:rPr>
          <w:rStyle w:val="CharDivText"/>
        </w:rPr>
        <w:t>Procedure for dealing with access applications</w:t>
      </w:r>
      <w:bookmarkEnd w:id="17"/>
    </w:p>
    <w:p>
      <w:pPr>
        <w:pStyle w:val="Heading5"/>
        <w:rPr>
          <w:snapToGrid w:val="0"/>
        </w:rPr>
      </w:pPr>
      <w:bookmarkStart w:id="18" w:name="_Toc199941593"/>
      <w:r>
        <w:rPr>
          <w:rStyle w:val="CharSectno"/>
        </w:rPr>
        <w:t>13</w:t>
      </w:r>
      <w:r>
        <w:rPr>
          <w:snapToGrid w:val="0"/>
        </w:rPr>
        <w:t>.</w:t>
      </w:r>
      <w:r>
        <w:rPr>
          <w:snapToGrid w:val="0"/>
        </w:rPr>
        <w:tab/>
        <w:t>Agency’s duties as to access application etc.</w:t>
      </w:r>
      <w:bookmarkEnd w:id="18"/>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giving the applicant written notice of the decision in the form required by section 30.</w:t>
      </w:r>
    </w:p>
    <w:p>
      <w:pPr>
        <w:pStyle w:val="Subsection"/>
        <w:rPr>
          <w:snapToGrid w:val="0"/>
        </w:rPr>
      </w:pPr>
      <w:r>
        <w:rPr>
          <w:snapToGrid w:val="0"/>
        </w:rPr>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(4)</w:t>
      </w:r>
      <w:r>
        <w:rPr>
          <w:snapToGrid w:val="0"/>
        </w:rPr>
        <w:tab/>
        <w:t>On the application of the applicant, the Commissioner may reduce the time allowed to the agency to comply with subsection (1).</w:t>
      </w:r>
    </w:p>
    <w:p>
      <w:pPr>
        <w:pStyle w:val="Subsection"/>
        <w:rPr>
          <w:snapToGrid w:val="0"/>
        </w:rPr>
      </w:pPr>
      <w:r>
        <w:rPr>
          <w:snapToGrid w:val="0"/>
        </w:rPr>
        <w:tab/>
        <w:t>(5)</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lastRenderedPageBreak/>
        <w:tab/>
        <w:t>(9)</w:t>
      </w:r>
      <w:r>
        <w:rPr>
          <w:snapToGrid w:val="0"/>
        </w:rPr>
        <w:tab/>
        <w:t>This Division has effect subject to Division 3.</w:t>
      </w:r>
    </w:p>
    <w:p>
      <w:pPr>
        <w:pStyle w:val="Heading5"/>
        <w:rPr>
          <w:snapToGrid w:val="0"/>
        </w:rPr>
      </w:pPr>
      <w:bookmarkStart w:id="19" w:name="_Toc199941594"/>
      <w:r>
        <w:rPr>
          <w:rStyle w:val="CharSectno"/>
        </w:rPr>
        <w:t>14</w:t>
      </w:r>
      <w:r>
        <w:rPr>
          <w:snapToGrid w:val="0"/>
        </w:rPr>
        <w:t>.</w:t>
      </w:r>
      <w:r>
        <w:rPr>
          <w:snapToGrid w:val="0"/>
        </w:rPr>
        <w:tab/>
        <w:t>Ambit of application may be reduced by agreement</w:t>
      </w:r>
      <w:bookmarkEnd w:id="19"/>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20" w:name="_Toc199941595"/>
      <w:r>
        <w:rPr>
          <w:rStyle w:val="CharSectno"/>
        </w:rPr>
        <w:t>15</w:t>
      </w:r>
      <w:r>
        <w:rPr>
          <w:snapToGrid w:val="0"/>
        </w:rPr>
        <w:t>.</w:t>
      </w:r>
      <w:r>
        <w:rPr>
          <w:snapToGrid w:val="0"/>
        </w:rPr>
        <w:tab/>
        <w:t>Document held etc. by another agency, transferring application etc. in case of</w:t>
      </w:r>
      <w:bookmarkEnd w:id="20"/>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 xml:space="preserve">The agency to which the access application is transferred under subsection (2) is required to make decisions as to access in respect of the documents of which it receives copies but not in </w:t>
      </w:r>
      <w:r>
        <w:rPr>
          <w:snapToGrid w:val="0"/>
        </w:rPr>
        <w:lastRenderedPageBreak/>
        <w:t>respect of other documents that it holds which may fall within the scope of the documents requested in the original application.</w:t>
      </w:r>
    </w:p>
    <w:p>
      <w:pPr>
        <w:pStyle w:val="Subsection"/>
        <w:rPr>
          <w:snapToGrid w:val="0"/>
        </w:rPr>
      </w:pPr>
      <w:r>
        <w:rPr>
          <w:snapToGrid w:val="0"/>
        </w:rPr>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21" w:name="_Toc199941596"/>
      <w:r>
        <w:rPr>
          <w:rStyle w:val="CharSectno"/>
        </w:rPr>
        <w:t>16</w:t>
      </w:r>
      <w:r>
        <w:rPr>
          <w:snapToGrid w:val="0"/>
        </w:rPr>
        <w:t>.</w:t>
      </w:r>
      <w:r>
        <w:rPr>
          <w:snapToGrid w:val="0"/>
        </w:rPr>
        <w:tab/>
        <w:t>Charge for access, calculation of etc.</w:t>
      </w:r>
      <w:bookmarkEnd w:id="21"/>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 xml:space="preserve">a charge may be made for the reasonable costs incurred by an agency in supplying copies of documents, in making arrangements for viewing documents or in </w:t>
      </w:r>
      <w:r>
        <w:rPr>
          <w:snapToGrid w:val="0"/>
        </w:rPr>
        <w:lastRenderedPageBreak/>
        <w:t>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No. 57 of 1997 s. 62(1).]</w:t>
      </w:r>
    </w:p>
    <w:p>
      <w:pPr>
        <w:pStyle w:val="Heading5"/>
        <w:rPr>
          <w:snapToGrid w:val="0"/>
        </w:rPr>
      </w:pPr>
      <w:bookmarkStart w:id="22" w:name="_Toc199941597"/>
      <w:r>
        <w:rPr>
          <w:rStyle w:val="CharSectno"/>
        </w:rPr>
        <w:t>17</w:t>
      </w:r>
      <w:r>
        <w:rPr>
          <w:snapToGrid w:val="0"/>
        </w:rPr>
        <w:t>.</w:t>
      </w:r>
      <w:r>
        <w:rPr>
          <w:snapToGrid w:val="0"/>
        </w:rPr>
        <w:tab/>
        <w:t>Charge for access, applicant may request estimate of etc.</w:t>
      </w:r>
      <w:bookmarkEnd w:id="22"/>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23" w:name="_Toc199941598"/>
      <w:r>
        <w:rPr>
          <w:rStyle w:val="CharSectno"/>
        </w:rPr>
        <w:t>18</w:t>
      </w:r>
      <w:r>
        <w:rPr>
          <w:snapToGrid w:val="0"/>
        </w:rPr>
        <w:t>.</w:t>
      </w:r>
      <w:r>
        <w:rPr>
          <w:snapToGrid w:val="0"/>
        </w:rPr>
        <w:tab/>
        <w:t>Deposit for charges, agency may require etc.</w:t>
      </w:r>
      <w:bookmarkEnd w:id="23"/>
    </w:p>
    <w:p>
      <w:pPr>
        <w:pStyle w:val="Subsection"/>
        <w:rPr>
          <w:snapToGrid w:val="0"/>
        </w:rPr>
      </w:pPr>
      <w:r>
        <w:rPr>
          <w:snapToGrid w:val="0"/>
        </w:rPr>
        <w:tab/>
        <w:t>(1)</w:t>
      </w:r>
      <w:r>
        <w:rPr>
          <w:snapToGrid w:val="0"/>
        </w:rPr>
        <w:tab/>
        <w:t xml:space="preserve">The agency may, in a notice given to an applicant under section 17(3), require the applicant to pay a deposit of a </w:t>
      </w:r>
      <w:r>
        <w:rPr>
          <w:snapToGrid w:val="0"/>
        </w:rPr>
        <w:lastRenderedPageBreak/>
        <w:t>prescribed amount or at a prescribed rate on account of the charges for dealing with the application.</w:t>
      </w:r>
    </w:p>
    <w:p>
      <w:pPr>
        <w:pStyle w:val="Subsection"/>
        <w:rPr>
          <w:snapToGrid w:val="0"/>
        </w:rPr>
      </w:pPr>
      <w:r>
        <w:rPr>
          <w:snapToGrid w:val="0"/>
        </w:rPr>
        <w:tab/>
        <w:t>(2)</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24" w:name="_Toc199941599"/>
      <w:r>
        <w:rPr>
          <w:rStyle w:val="CharSectno"/>
        </w:rPr>
        <w:t>19</w:t>
      </w:r>
      <w:r>
        <w:rPr>
          <w:snapToGrid w:val="0"/>
        </w:rPr>
        <w:t>.</w:t>
      </w:r>
      <w:r>
        <w:rPr>
          <w:snapToGrid w:val="0"/>
        </w:rPr>
        <w:tab/>
        <w:t>Notice given under s. 17(3) or 18, effect of on s. 13(1); applicant failing to respond to notice, effect of</w:t>
      </w:r>
      <w:bookmarkEnd w:id="24"/>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lastRenderedPageBreak/>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25" w:name="_Toc199941600"/>
      <w:r>
        <w:rPr>
          <w:rStyle w:val="CharSectno"/>
        </w:rPr>
        <w:t>20</w:t>
      </w:r>
      <w:r>
        <w:rPr>
          <w:snapToGrid w:val="0"/>
        </w:rPr>
        <w:t>.</w:t>
      </w:r>
      <w:r>
        <w:rPr>
          <w:snapToGrid w:val="0"/>
        </w:rPr>
        <w:tab/>
        <w:t>Agency may refuse to deal with application in certain cases</w:t>
      </w:r>
      <w:bookmarkEnd w:id="25"/>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keepNext/>
        <w:rPr>
          <w:snapToGrid w:val="0"/>
        </w:rPr>
      </w:pPr>
      <w:r>
        <w:rPr>
          <w:snapToGrid w:val="0"/>
        </w:rPr>
        <w:lastRenderedPageBreak/>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26" w:name="_Toc199941601"/>
      <w:r>
        <w:rPr>
          <w:rStyle w:val="CharSectno"/>
        </w:rPr>
        <w:t>21</w:t>
      </w:r>
      <w:r>
        <w:rPr>
          <w:snapToGrid w:val="0"/>
        </w:rPr>
        <w:t>.</w:t>
      </w:r>
      <w:r>
        <w:rPr>
          <w:snapToGrid w:val="0"/>
        </w:rPr>
        <w:tab/>
        <w:t>Application for personal information about applicant, consideration of</w:t>
      </w:r>
      <w:bookmarkEnd w:id="26"/>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27" w:name="_Toc199941602"/>
      <w:r>
        <w:rPr>
          <w:rStyle w:val="CharSectno"/>
        </w:rPr>
        <w:t>22</w:t>
      </w:r>
      <w:r>
        <w:rPr>
          <w:snapToGrid w:val="0"/>
        </w:rPr>
        <w:t>.</w:t>
      </w:r>
      <w:r>
        <w:rPr>
          <w:snapToGrid w:val="0"/>
        </w:rPr>
        <w:tab/>
        <w:t>Access, when agency must give</w:t>
      </w:r>
      <w:bookmarkEnd w:id="27"/>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28" w:name="_Toc199941603"/>
      <w:r>
        <w:rPr>
          <w:rStyle w:val="CharSectno"/>
        </w:rPr>
        <w:t>23</w:t>
      </w:r>
      <w:r>
        <w:rPr>
          <w:snapToGrid w:val="0"/>
        </w:rPr>
        <w:t>.</w:t>
      </w:r>
      <w:r>
        <w:rPr>
          <w:snapToGrid w:val="0"/>
        </w:rPr>
        <w:tab/>
        <w:t>Refusing access, grounds for</w:t>
      </w:r>
      <w:bookmarkEnd w:id="28"/>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lastRenderedPageBreak/>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29" w:name="_Toc199941604"/>
      <w:r>
        <w:rPr>
          <w:rStyle w:val="CharSectno"/>
        </w:rPr>
        <w:t>24</w:t>
      </w:r>
      <w:r>
        <w:rPr>
          <w:snapToGrid w:val="0"/>
        </w:rPr>
        <w:t>.</w:t>
      </w:r>
      <w:r>
        <w:rPr>
          <w:snapToGrid w:val="0"/>
        </w:rPr>
        <w:tab/>
        <w:t>Exempt matter, deleting before access given</w:t>
      </w:r>
      <w:bookmarkEnd w:id="2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lastRenderedPageBreak/>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30" w:name="_Toc199941605"/>
      <w:r>
        <w:rPr>
          <w:rStyle w:val="CharSectno"/>
        </w:rPr>
        <w:t>25</w:t>
      </w:r>
      <w:r>
        <w:rPr>
          <w:snapToGrid w:val="0"/>
        </w:rPr>
        <w:t>.</w:t>
      </w:r>
      <w:r>
        <w:rPr>
          <w:snapToGrid w:val="0"/>
        </w:rPr>
        <w:tab/>
        <w:t>Deferring access, grounds for</w:t>
      </w:r>
      <w:bookmarkEnd w:id="30"/>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31" w:name="_Toc199941606"/>
      <w:r>
        <w:rPr>
          <w:rStyle w:val="CharSectno"/>
        </w:rPr>
        <w:t>26</w:t>
      </w:r>
      <w:r>
        <w:rPr>
          <w:snapToGrid w:val="0"/>
        </w:rPr>
        <w:t>.</w:t>
      </w:r>
      <w:r>
        <w:rPr>
          <w:snapToGrid w:val="0"/>
        </w:rPr>
        <w:tab/>
        <w:t>Documents that cannot be found or do not exist, notice of</w:t>
      </w:r>
      <w:bookmarkEnd w:id="31"/>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32" w:name="_Toc199941607"/>
      <w:r>
        <w:rPr>
          <w:rStyle w:val="CharSectno"/>
        </w:rPr>
        <w:lastRenderedPageBreak/>
        <w:t>27</w:t>
      </w:r>
      <w:r>
        <w:rPr>
          <w:snapToGrid w:val="0"/>
        </w:rPr>
        <w:t>.</w:t>
      </w:r>
      <w:r>
        <w:rPr>
          <w:snapToGrid w:val="0"/>
        </w:rPr>
        <w:tab/>
        <w:t>Ways in which access can be given</w:t>
      </w:r>
      <w:bookmarkEnd w:id="32"/>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lastRenderedPageBreak/>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33" w:name="_Toc199941608"/>
      <w:r>
        <w:rPr>
          <w:rStyle w:val="CharSectno"/>
        </w:rPr>
        <w:t>28</w:t>
      </w:r>
      <w:r>
        <w:rPr>
          <w:snapToGrid w:val="0"/>
        </w:rPr>
        <w:t>.</w:t>
      </w:r>
      <w:r>
        <w:rPr>
          <w:snapToGrid w:val="0"/>
        </w:rPr>
        <w:tab/>
        <w:t>Medical and psychiatric information about applicant, giving access to</w:t>
      </w:r>
      <w:bookmarkEnd w:id="3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34" w:name="_Toc199941609"/>
      <w:r>
        <w:rPr>
          <w:rStyle w:val="CharSectno"/>
        </w:rPr>
        <w:lastRenderedPageBreak/>
        <w:t>29</w:t>
      </w:r>
      <w:r>
        <w:rPr>
          <w:snapToGrid w:val="0"/>
        </w:rPr>
        <w:t>.</w:t>
      </w:r>
      <w:r>
        <w:rPr>
          <w:snapToGrid w:val="0"/>
        </w:rPr>
        <w:tab/>
        <w:t>Personal information about applicant, agency’s duties when giving access to</w:t>
      </w:r>
      <w:bookmarkEnd w:id="34"/>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35" w:name="_Toc199941610"/>
      <w:r>
        <w:rPr>
          <w:rStyle w:val="CharSectno"/>
        </w:rPr>
        <w:t>30</w:t>
      </w:r>
      <w:r>
        <w:rPr>
          <w:snapToGrid w:val="0"/>
        </w:rPr>
        <w:t>.</w:t>
      </w:r>
      <w:r>
        <w:rPr>
          <w:snapToGrid w:val="0"/>
        </w:rPr>
        <w:tab/>
        <w:t>Notice under s. 13(1)(b) of decision, form etc. of</w:t>
      </w:r>
      <w:bookmarkEnd w:id="35"/>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lastRenderedPageBreak/>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36" w:name="_Toc199941611"/>
      <w:r>
        <w:rPr>
          <w:rStyle w:val="CharSectno"/>
        </w:rPr>
        <w:t>31</w:t>
      </w:r>
      <w:r>
        <w:rPr>
          <w:snapToGrid w:val="0"/>
        </w:rPr>
        <w:t>.</w:t>
      </w:r>
      <w:r>
        <w:rPr>
          <w:snapToGrid w:val="0"/>
        </w:rPr>
        <w:tab/>
        <w:t>Certain exempt matter (Sch. 1 cl. 1, 2 or 5), giving information about existence etc. of</w:t>
      </w:r>
      <w:bookmarkEnd w:id="36"/>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37" w:name="_Toc199941612"/>
      <w:r>
        <w:rPr>
          <w:rStyle w:val="CharDivNo"/>
        </w:rPr>
        <w:lastRenderedPageBreak/>
        <w:t>Division 3</w:t>
      </w:r>
      <w:r>
        <w:rPr>
          <w:snapToGrid w:val="0"/>
        </w:rPr>
        <w:t> — </w:t>
      </w:r>
      <w:r>
        <w:rPr>
          <w:rStyle w:val="CharDivText"/>
        </w:rPr>
        <w:t>Consultation with third parties</w:t>
      </w:r>
      <w:bookmarkEnd w:id="37"/>
    </w:p>
    <w:p>
      <w:pPr>
        <w:pStyle w:val="Heading5"/>
        <w:rPr>
          <w:snapToGrid w:val="0"/>
        </w:rPr>
      </w:pPr>
      <w:bookmarkStart w:id="38" w:name="_Toc199941613"/>
      <w:r>
        <w:rPr>
          <w:rStyle w:val="CharSectno"/>
        </w:rPr>
        <w:t>32</w:t>
      </w:r>
      <w:r>
        <w:rPr>
          <w:snapToGrid w:val="0"/>
        </w:rPr>
        <w:t>.</w:t>
      </w:r>
      <w:r>
        <w:rPr>
          <w:snapToGrid w:val="0"/>
        </w:rPr>
        <w:tab/>
        <w:t>Personal information about third party, when access to may be given</w:t>
      </w:r>
      <w:bookmarkEnd w:id="38"/>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39" w:name="_Toc199941614"/>
      <w:r>
        <w:rPr>
          <w:rStyle w:val="CharSectno"/>
        </w:rPr>
        <w:lastRenderedPageBreak/>
        <w:t>33</w:t>
      </w:r>
      <w:r>
        <w:rPr>
          <w:snapToGrid w:val="0"/>
        </w:rPr>
        <w:t>.</w:t>
      </w:r>
      <w:r>
        <w:rPr>
          <w:snapToGrid w:val="0"/>
        </w:rPr>
        <w:tab/>
        <w:t>Commercial etc. information of third party, when access to may be given</w:t>
      </w:r>
      <w:bookmarkEnd w:id="39"/>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40" w:name="_Toc199941615"/>
      <w:r>
        <w:rPr>
          <w:rStyle w:val="CharSectno"/>
        </w:rPr>
        <w:t>34</w:t>
      </w:r>
      <w:r>
        <w:rPr>
          <w:snapToGrid w:val="0"/>
        </w:rPr>
        <w:t>.</w:t>
      </w:r>
      <w:r>
        <w:rPr>
          <w:snapToGrid w:val="0"/>
        </w:rPr>
        <w:tab/>
        <w:t>Consultation under s. 32 or 33, procedure after</w:t>
      </w:r>
      <w:bookmarkEnd w:id="40"/>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lastRenderedPageBreak/>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 xml:space="preserve">the time prescribed by Division 3 of Part 4 for third parties to make complaints against a decision made under Division 5 of this Part confirming the agency’s </w:t>
      </w:r>
      <w:r>
        <w:rPr>
          <w:snapToGrid w:val="0"/>
        </w:rPr>
        <w:lastRenderedPageBreak/>
        <w:t>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41" w:name="_Toc199941616"/>
      <w:r>
        <w:rPr>
          <w:rStyle w:val="CharSectno"/>
        </w:rPr>
        <w:t>35</w:t>
      </w:r>
      <w:r>
        <w:rPr>
          <w:snapToGrid w:val="0"/>
        </w:rPr>
        <w:t>.</w:t>
      </w:r>
      <w:r>
        <w:rPr>
          <w:snapToGrid w:val="0"/>
        </w:rPr>
        <w:tab/>
        <w:t>Consultation under s. 32 or 33, Commissioner may waive</w:t>
      </w:r>
      <w:bookmarkEnd w:id="41"/>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Heading3"/>
      </w:pPr>
      <w:bookmarkStart w:id="42" w:name="_Toc199941617"/>
      <w:r>
        <w:rPr>
          <w:rStyle w:val="CharDivNo"/>
        </w:rPr>
        <w:t>Division 4</w:t>
      </w:r>
      <w:r>
        <w:rPr>
          <w:snapToGrid w:val="0"/>
        </w:rPr>
        <w:t> — </w:t>
      </w:r>
      <w:r>
        <w:rPr>
          <w:rStyle w:val="CharDivText"/>
        </w:rPr>
        <w:t>Exemption certificates</w:t>
      </w:r>
      <w:bookmarkEnd w:id="42"/>
    </w:p>
    <w:p>
      <w:pPr>
        <w:pStyle w:val="Heading5"/>
        <w:rPr>
          <w:snapToGrid w:val="0"/>
        </w:rPr>
      </w:pPr>
      <w:bookmarkStart w:id="43" w:name="_Toc199941618"/>
      <w:r>
        <w:rPr>
          <w:rStyle w:val="CharSectno"/>
        </w:rPr>
        <w:t>36</w:t>
      </w:r>
      <w:r>
        <w:rPr>
          <w:snapToGrid w:val="0"/>
        </w:rPr>
        <w:t>.</w:t>
      </w:r>
      <w:r>
        <w:rPr>
          <w:snapToGrid w:val="0"/>
        </w:rPr>
        <w:tab/>
        <w:t>Premier may issue certificate</w:t>
      </w:r>
      <w:bookmarkEnd w:id="43"/>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 xml:space="preserve">An exemption certificate may be issued in a form that neither confirms nor denies the existence of a document but states that if it did exist it would contain matter that would be exempt </w:t>
      </w:r>
      <w:r>
        <w:rPr>
          <w:snapToGrid w:val="0"/>
        </w:rPr>
        <w:lastRenderedPageBreak/>
        <w:t>matter under a specified provision of clause 1 or 2 of Schedule 1.</w:t>
      </w:r>
    </w:p>
    <w:p>
      <w:pPr>
        <w:pStyle w:val="Heading5"/>
        <w:rPr>
          <w:snapToGrid w:val="0"/>
        </w:rPr>
      </w:pPr>
      <w:bookmarkStart w:id="44" w:name="_Toc199941619"/>
      <w:r>
        <w:rPr>
          <w:rStyle w:val="CharSectno"/>
        </w:rPr>
        <w:t>37</w:t>
      </w:r>
      <w:r>
        <w:rPr>
          <w:snapToGrid w:val="0"/>
        </w:rPr>
        <w:t>.</w:t>
      </w:r>
      <w:r>
        <w:rPr>
          <w:snapToGrid w:val="0"/>
        </w:rPr>
        <w:tab/>
        <w:t>Effect of certificate</w:t>
      </w:r>
      <w:bookmarkEnd w:id="44"/>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45" w:name="_Toc199941620"/>
      <w:r>
        <w:rPr>
          <w:rStyle w:val="CharSectno"/>
        </w:rPr>
        <w:t>38</w:t>
      </w:r>
      <w:r>
        <w:rPr>
          <w:snapToGrid w:val="0"/>
        </w:rPr>
        <w:t>.</w:t>
      </w:r>
      <w:r>
        <w:rPr>
          <w:snapToGrid w:val="0"/>
        </w:rPr>
        <w:tab/>
        <w:t>Duration of certificate</w:t>
      </w:r>
      <w:bookmarkEnd w:id="45"/>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46" w:name="_Toc199941621"/>
      <w:r>
        <w:rPr>
          <w:rStyle w:val="CharDivNo"/>
        </w:rPr>
        <w:t>Division 5</w:t>
      </w:r>
      <w:r>
        <w:rPr>
          <w:snapToGrid w:val="0"/>
        </w:rPr>
        <w:t> — </w:t>
      </w:r>
      <w:r>
        <w:rPr>
          <w:rStyle w:val="CharDivText"/>
        </w:rPr>
        <w:t>Internal review of decisions as to access</w:t>
      </w:r>
      <w:bookmarkEnd w:id="46"/>
    </w:p>
    <w:p>
      <w:pPr>
        <w:pStyle w:val="Heading5"/>
        <w:rPr>
          <w:snapToGrid w:val="0"/>
        </w:rPr>
      </w:pPr>
      <w:bookmarkStart w:id="47" w:name="_Toc199941622"/>
      <w:r>
        <w:rPr>
          <w:rStyle w:val="CharSectno"/>
        </w:rPr>
        <w:t>39</w:t>
      </w:r>
      <w:r>
        <w:rPr>
          <w:snapToGrid w:val="0"/>
        </w:rPr>
        <w:t>.</w:t>
      </w:r>
      <w:r>
        <w:rPr>
          <w:snapToGrid w:val="0"/>
        </w:rPr>
        <w:tab/>
        <w:t>Review of decision under this Part, right to</w:t>
      </w:r>
      <w:bookmarkEnd w:id="47"/>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(2)</w:t>
      </w:r>
      <w:r>
        <w:rPr>
          <w:snapToGrid w:val="0"/>
        </w:rPr>
        <w:tab/>
        <w:t>A person is aggrieved by a decision —</w:t>
      </w:r>
    </w:p>
    <w:p>
      <w:pPr>
        <w:pStyle w:val="Indenta"/>
        <w:spacing w:before="70"/>
        <w:rPr>
          <w:snapToGrid w:val="0"/>
        </w:rPr>
      </w:pPr>
      <w:r>
        <w:rPr>
          <w:snapToGrid w:val="0"/>
        </w:rPr>
        <w:lastRenderedPageBreak/>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48" w:name="_Toc199941623"/>
      <w:r>
        <w:rPr>
          <w:rStyle w:val="CharSectno"/>
        </w:rPr>
        <w:t>40</w:t>
      </w:r>
      <w:r>
        <w:rPr>
          <w:snapToGrid w:val="0"/>
        </w:rPr>
        <w:t>.</w:t>
      </w:r>
      <w:r>
        <w:rPr>
          <w:snapToGrid w:val="0"/>
        </w:rPr>
        <w:tab/>
        <w:t>Application for review</w:t>
      </w:r>
      <w:bookmarkEnd w:id="48"/>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lastRenderedPageBreak/>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49" w:name="_Toc199941624"/>
      <w:r>
        <w:rPr>
          <w:rStyle w:val="CharSectno"/>
        </w:rPr>
        <w:t>41</w:t>
      </w:r>
      <w:r>
        <w:rPr>
          <w:snapToGrid w:val="0"/>
        </w:rPr>
        <w:t>.</w:t>
      </w:r>
      <w:r>
        <w:rPr>
          <w:snapToGrid w:val="0"/>
        </w:rPr>
        <w:tab/>
        <w:t>Who is to deal with application for review</w:t>
      </w:r>
      <w:bookmarkEnd w:id="49"/>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50" w:name="_Toc199941625"/>
      <w:r>
        <w:rPr>
          <w:rStyle w:val="CharSectno"/>
        </w:rPr>
        <w:t>42</w:t>
      </w:r>
      <w:r>
        <w:rPr>
          <w:snapToGrid w:val="0"/>
        </w:rPr>
        <w:t>.</w:t>
      </w:r>
      <w:r>
        <w:rPr>
          <w:snapToGrid w:val="0"/>
        </w:rPr>
        <w:tab/>
        <w:t>How application for review to be dealt with</w:t>
      </w:r>
      <w:bookmarkEnd w:id="50"/>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51" w:name="_Toc199941626"/>
      <w:r>
        <w:rPr>
          <w:rStyle w:val="CharSectno"/>
        </w:rPr>
        <w:t>43</w:t>
      </w:r>
      <w:r>
        <w:rPr>
          <w:snapToGrid w:val="0"/>
        </w:rPr>
        <w:t>.</w:t>
      </w:r>
      <w:r>
        <w:rPr>
          <w:snapToGrid w:val="0"/>
        </w:rPr>
        <w:tab/>
        <w:t>Decision can be confirmed, varied or reversed on review</w:t>
      </w:r>
      <w:bookmarkEnd w:id="51"/>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52" w:name="_Toc199941627"/>
      <w:r>
        <w:rPr>
          <w:rStyle w:val="CharSectno"/>
        </w:rPr>
        <w:t>44</w:t>
      </w:r>
      <w:r>
        <w:rPr>
          <w:snapToGrid w:val="0"/>
        </w:rPr>
        <w:t>.</w:t>
      </w:r>
      <w:r>
        <w:rPr>
          <w:snapToGrid w:val="0"/>
        </w:rPr>
        <w:tab/>
        <w:t>No charge for review</w:t>
      </w:r>
      <w:bookmarkEnd w:id="52"/>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53" w:name="_Toc199941628"/>
      <w:r>
        <w:rPr>
          <w:rStyle w:val="CharPartNo"/>
        </w:rPr>
        <w:lastRenderedPageBreak/>
        <w:t>Part 3</w:t>
      </w:r>
      <w:r>
        <w:t> — </w:t>
      </w:r>
      <w:r>
        <w:rPr>
          <w:rStyle w:val="CharPartText"/>
        </w:rPr>
        <w:t>Amendment of personal information</w:t>
      </w:r>
      <w:bookmarkEnd w:id="53"/>
    </w:p>
    <w:p>
      <w:pPr>
        <w:pStyle w:val="Heading3"/>
      </w:pPr>
      <w:bookmarkStart w:id="54" w:name="_Toc199941629"/>
      <w:r>
        <w:rPr>
          <w:rStyle w:val="CharDivNo"/>
        </w:rPr>
        <w:t>Division 1</w:t>
      </w:r>
      <w:r>
        <w:rPr>
          <w:snapToGrid w:val="0"/>
        </w:rPr>
        <w:t> — </w:t>
      </w:r>
      <w:r>
        <w:rPr>
          <w:rStyle w:val="CharDivText"/>
        </w:rPr>
        <w:t>Applications for amendment</w:t>
      </w:r>
      <w:bookmarkEnd w:id="54"/>
    </w:p>
    <w:p>
      <w:pPr>
        <w:pStyle w:val="Heading5"/>
        <w:rPr>
          <w:snapToGrid w:val="0"/>
        </w:rPr>
      </w:pPr>
      <w:bookmarkStart w:id="55" w:name="_Toc199941630"/>
      <w:r>
        <w:rPr>
          <w:rStyle w:val="CharSectno"/>
        </w:rPr>
        <w:t>45</w:t>
      </w:r>
      <w:r>
        <w:rPr>
          <w:snapToGrid w:val="0"/>
        </w:rPr>
        <w:t>.</w:t>
      </w:r>
      <w:r>
        <w:rPr>
          <w:snapToGrid w:val="0"/>
        </w:rPr>
        <w:tab/>
        <w:t>Right to apply for information to be amended</w:t>
      </w:r>
      <w:bookmarkEnd w:id="55"/>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56" w:name="_Toc199941631"/>
      <w:r>
        <w:rPr>
          <w:rStyle w:val="CharSectno"/>
        </w:rPr>
        <w:t>46</w:t>
      </w:r>
      <w:r>
        <w:rPr>
          <w:snapToGrid w:val="0"/>
        </w:rPr>
        <w:t>.</w:t>
      </w:r>
      <w:r>
        <w:rPr>
          <w:snapToGrid w:val="0"/>
        </w:rPr>
        <w:tab/>
        <w:t>Application for amendment, form etc. of</w:t>
      </w:r>
      <w:bookmarkEnd w:id="56"/>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lastRenderedPageBreak/>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give an address in Australia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57" w:name="_Toc199941632"/>
      <w:r>
        <w:rPr>
          <w:rStyle w:val="CharSectno"/>
        </w:rPr>
        <w:t>47</w:t>
      </w:r>
      <w:r>
        <w:rPr>
          <w:snapToGrid w:val="0"/>
        </w:rPr>
        <w:t>.</w:t>
      </w:r>
      <w:r>
        <w:rPr>
          <w:snapToGrid w:val="0"/>
        </w:rPr>
        <w:tab/>
        <w:t>Document held etc. by another agency, transferring application in case of</w:t>
      </w:r>
      <w:bookmarkEnd w:id="57"/>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lastRenderedPageBreak/>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58" w:name="_Toc199941633"/>
      <w:r>
        <w:rPr>
          <w:rStyle w:val="CharSectno"/>
        </w:rPr>
        <w:t>48</w:t>
      </w:r>
      <w:r>
        <w:rPr>
          <w:snapToGrid w:val="0"/>
        </w:rPr>
        <w:t>.</w:t>
      </w:r>
      <w:r>
        <w:rPr>
          <w:snapToGrid w:val="0"/>
        </w:rPr>
        <w:tab/>
        <w:t>Amending information, ways of</w:t>
      </w:r>
      <w:bookmarkEnd w:id="58"/>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lastRenderedPageBreak/>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No. 53 of 2000 s. 9.]</w:t>
      </w:r>
    </w:p>
    <w:p>
      <w:pPr>
        <w:pStyle w:val="Heading5"/>
        <w:rPr>
          <w:snapToGrid w:val="0"/>
        </w:rPr>
      </w:pPr>
      <w:bookmarkStart w:id="59" w:name="_Toc199941634"/>
      <w:r>
        <w:rPr>
          <w:rStyle w:val="CharSectno"/>
        </w:rPr>
        <w:t>49</w:t>
      </w:r>
      <w:r>
        <w:rPr>
          <w:snapToGrid w:val="0"/>
        </w:rPr>
        <w:t>.</w:t>
      </w:r>
      <w:r>
        <w:rPr>
          <w:snapToGrid w:val="0"/>
        </w:rPr>
        <w:tab/>
        <w:t>Decision on application, notice of</w:t>
      </w:r>
      <w:bookmarkEnd w:id="59"/>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 xml:space="preserve">the reasons for the decision and the findings on any material questions of fact underlying those reasons, </w:t>
      </w:r>
      <w:r>
        <w:rPr>
          <w:snapToGrid w:val="0"/>
        </w:rPr>
        <w:lastRenderedPageBreak/>
        <w:t>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60" w:name="_Toc199941635"/>
      <w:r>
        <w:rPr>
          <w:rStyle w:val="CharSectno"/>
        </w:rPr>
        <w:t>50</w:t>
      </w:r>
      <w:r>
        <w:rPr>
          <w:snapToGrid w:val="0"/>
        </w:rPr>
        <w:t>.</w:t>
      </w:r>
      <w:r>
        <w:rPr>
          <w:snapToGrid w:val="0"/>
        </w:rPr>
        <w:tab/>
        <w:t>If application for amendment refused, applicant may request notation etc. disputing accuracy of information etc.</w:t>
      </w:r>
      <w:bookmarkEnd w:id="60"/>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lastRenderedPageBreak/>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61" w:name="_Toc199941636"/>
      <w:r>
        <w:rPr>
          <w:rStyle w:val="CharSectno"/>
        </w:rPr>
        <w:t>51</w:t>
      </w:r>
      <w:r>
        <w:rPr>
          <w:snapToGrid w:val="0"/>
        </w:rPr>
        <w:t>.</w:t>
      </w:r>
      <w:r>
        <w:rPr>
          <w:snapToGrid w:val="0"/>
        </w:rPr>
        <w:tab/>
        <w:t>Claim that information is inaccurate etc., agency to give notice of in some cases</w:t>
      </w:r>
      <w:bookmarkEnd w:id="61"/>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62" w:name="_Toc199941637"/>
      <w:r>
        <w:rPr>
          <w:rStyle w:val="CharSectno"/>
        </w:rPr>
        <w:t>52</w:t>
      </w:r>
      <w:r>
        <w:rPr>
          <w:snapToGrid w:val="0"/>
        </w:rPr>
        <w:t>.</w:t>
      </w:r>
      <w:r>
        <w:rPr>
          <w:snapToGrid w:val="0"/>
        </w:rPr>
        <w:tab/>
        <w:t>Reasons for not amending information, agency may add to notation</w:t>
      </w:r>
      <w:bookmarkEnd w:id="62"/>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63" w:name="_Toc199941638"/>
      <w:r>
        <w:rPr>
          <w:rStyle w:val="CharSectno"/>
        </w:rPr>
        <w:t>53</w:t>
      </w:r>
      <w:r>
        <w:rPr>
          <w:snapToGrid w:val="0"/>
        </w:rPr>
        <w:t>.</w:t>
      </w:r>
      <w:r>
        <w:rPr>
          <w:snapToGrid w:val="0"/>
        </w:rPr>
        <w:tab/>
        <w:t>No charge for application or request</w:t>
      </w:r>
      <w:bookmarkEnd w:id="63"/>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64" w:name="_Toc199941639"/>
      <w:r>
        <w:rPr>
          <w:rStyle w:val="CharDivNo"/>
        </w:rPr>
        <w:lastRenderedPageBreak/>
        <w:t>Division 2</w:t>
      </w:r>
      <w:r>
        <w:rPr>
          <w:snapToGrid w:val="0"/>
        </w:rPr>
        <w:t> — </w:t>
      </w:r>
      <w:r>
        <w:rPr>
          <w:rStyle w:val="CharDivText"/>
        </w:rPr>
        <w:t>Internal review of decisions as to amendment of information</w:t>
      </w:r>
      <w:bookmarkEnd w:id="64"/>
    </w:p>
    <w:p>
      <w:pPr>
        <w:pStyle w:val="Heading5"/>
        <w:rPr>
          <w:snapToGrid w:val="0"/>
        </w:rPr>
      </w:pPr>
      <w:bookmarkStart w:id="65" w:name="_Toc199941640"/>
      <w:r>
        <w:rPr>
          <w:rStyle w:val="CharSectno"/>
        </w:rPr>
        <w:t>54</w:t>
      </w:r>
      <w:r>
        <w:rPr>
          <w:snapToGrid w:val="0"/>
        </w:rPr>
        <w:t>.</w:t>
      </w:r>
      <w:r>
        <w:rPr>
          <w:snapToGrid w:val="0"/>
        </w:rPr>
        <w:tab/>
        <w:t>Review of decision under Div. 1, right to etc.</w:t>
      </w:r>
      <w:bookmarkEnd w:id="65"/>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66" w:name="_Toc199941641"/>
      <w:r>
        <w:rPr>
          <w:rStyle w:val="CharPartNo"/>
        </w:rPr>
        <w:lastRenderedPageBreak/>
        <w:t>Part 4</w:t>
      </w:r>
      <w:r>
        <w:t> — </w:t>
      </w:r>
      <w:r>
        <w:rPr>
          <w:rStyle w:val="CharPartText"/>
        </w:rPr>
        <w:t>External review of decisions; appeals</w:t>
      </w:r>
      <w:bookmarkEnd w:id="66"/>
    </w:p>
    <w:p>
      <w:pPr>
        <w:pStyle w:val="Heading3"/>
      </w:pPr>
      <w:bookmarkStart w:id="67" w:name="_Toc199941642"/>
      <w:r>
        <w:rPr>
          <w:rStyle w:val="CharDivNo"/>
        </w:rPr>
        <w:t>Division 1</w:t>
      </w:r>
      <w:r>
        <w:rPr>
          <w:snapToGrid w:val="0"/>
        </w:rPr>
        <w:t> — </w:t>
      </w:r>
      <w:r>
        <w:rPr>
          <w:rStyle w:val="CharDivText"/>
        </w:rPr>
        <w:t>Information Commissioner</w:t>
      </w:r>
      <w:bookmarkEnd w:id="67"/>
    </w:p>
    <w:p>
      <w:pPr>
        <w:pStyle w:val="Heading5"/>
        <w:rPr>
          <w:snapToGrid w:val="0"/>
        </w:rPr>
      </w:pPr>
      <w:bookmarkStart w:id="68" w:name="_Toc199941643"/>
      <w:r>
        <w:rPr>
          <w:rStyle w:val="CharSectno"/>
        </w:rPr>
        <w:t>55</w:t>
      </w:r>
      <w:r>
        <w:rPr>
          <w:snapToGrid w:val="0"/>
        </w:rPr>
        <w:t>.</w:t>
      </w:r>
      <w:r>
        <w:rPr>
          <w:snapToGrid w:val="0"/>
        </w:rPr>
        <w:tab/>
        <w:t>Office established etc.</w:t>
      </w:r>
      <w:bookmarkEnd w:id="68"/>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(2)</w:t>
      </w:r>
      <w:r>
        <w:rPr>
          <w:snapToGrid w:val="0"/>
        </w:rPr>
        <w:tab/>
        <w:t>The office is not an office in the Public Service.</w:t>
      </w:r>
    </w:p>
    <w:p>
      <w:pPr>
        <w:pStyle w:val="Heading5"/>
        <w:rPr>
          <w:snapToGrid w:val="0"/>
        </w:rPr>
      </w:pPr>
      <w:bookmarkStart w:id="69" w:name="_Toc199941644"/>
      <w:r>
        <w:rPr>
          <w:rStyle w:val="CharSectno"/>
        </w:rPr>
        <w:t>56</w:t>
      </w:r>
      <w:r>
        <w:rPr>
          <w:snapToGrid w:val="0"/>
        </w:rPr>
        <w:t>.</w:t>
      </w:r>
      <w:r>
        <w:rPr>
          <w:snapToGrid w:val="0"/>
        </w:rPr>
        <w:tab/>
        <w:t>Appointment, terms and conditions</w:t>
      </w:r>
      <w:bookmarkEnd w:id="69"/>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(2)</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snapToGrid w:val="0"/>
          <w:vertAlign w:val="superscript"/>
        </w:rPr>
        <w:t> 1</w:t>
      </w:r>
      <w:r>
        <w:rPr>
          <w:snapToGrid w:val="0"/>
        </w:rPr>
        <w:t xml:space="preserve"> and this subsection appropriates the Consolidated Account</w:t>
      </w:r>
      <w:r>
        <w:rPr>
          <w:snapToGrid w:val="0"/>
          <w:vertAlign w:val="superscript"/>
        </w:rPr>
        <w:t> 1</w:t>
      </w:r>
      <w:r>
        <w:rPr>
          <w:snapToGrid w:val="0"/>
        </w:rPr>
        <w:t xml:space="preserve"> accordingly.</w:t>
      </w:r>
    </w:p>
    <w:p>
      <w:pPr>
        <w:pStyle w:val="Subsection"/>
        <w:rPr>
          <w:snapToGrid w:val="0"/>
        </w:rPr>
      </w:pPr>
      <w:r>
        <w:rPr>
          <w:snapToGrid w:val="0"/>
        </w:rPr>
        <w:tab/>
        <w:t>(4)</w:t>
      </w:r>
      <w:r>
        <w:rPr>
          <w:snapToGrid w:val="0"/>
        </w:rPr>
        <w:tab/>
        <w:t>The rate of remuneration of the Commissioner is not to be reduced during a term of office without the Commissioner’s consent.</w:t>
      </w:r>
    </w:p>
    <w:p>
      <w:pPr>
        <w:pStyle w:val="Subsection"/>
        <w:rPr>
          <w:snapToGrid w:val="0"/>
        </w:rPr>
      </w:pPr>
      <w:r>
        <w:rPr>
          <w:snapToGrid w:val="0"/>
        </w:rPr>
        <w:tab/>
        <w:t>(5)</w:t>
      </w:r>
      <w:r>
        <w:rPr>
          <w:snapToGrid w:val="0"/>
        </w:rPr>
        <w:tab/>
        <w:t>The Commissioner is entitled to such leave of absence as the Governor determines.</w:t>
      </w:r>
    </w:p>
    <w:p>
      <w:pPr>
        <w:pStyle w:val="Subsection"/>
        <w:rPr>
          <w:snapToGrid w:val="0"/>
        </w:rPr>
      </w:pPr>
      <w:r>
        <w:rPr>
          <w:snapToGrid w:val="0"/>
        </w:rPr>
        <w:tab/>
        <w:t>(6)</w:t>
      </w:r>
      <w:r>
        <w:rPr>
          <w:snapToGrid w:val="0"/>
        </w:rPr>
        <w:tab/>
        <w:t>Subject to this Division the Governor may determine other terms and conditions of service (if any) that apply to the Commissioner.</w:t>
      </w:r>
    </w:p>
    <w:p>
      <w:pPr>
        <w:pStyle w:val="Footnotesection"/>
      </w:pPr>
      <w:r>
        <w:tab/>
        <w:t>[Section 56 amended: No. 49 of 1996 s. 54.]</w:t>
      </w:r>
    </w:p>
    <w:p>
      <w:pPr>
        <w:pStyle w:val="Heading5"/>
        <w:rPr>
          <w:snapToGrid w:val="0"/>
        </w:rPr>
      </w:pPr>
      <w:bookmarkStart w:id="70" w:name="_Toc199941645"/>
      <w:r>
        <w:rPr>
          <w:rStyle w:val="CharSectno"/>
        </w:rPr>
        <w:lastRenderedPageBreak/>
        <w:t>57</w:t>
      </w:r>
      <w:r>
        <w:rPr>
          <w:snapToGrid w:val="0"/>
        </w:rPr>
        <w:t>.</w:t>
      </w:r>
      <w:r>
        <w:rPr>
          <w:snapToGrid w:val="0"/>
        </w:rPr>
        <w:tab/>
        <w:t>Resignation</w:t>
      </w:r>
      <w:bookmarkEnd w:id="70"/>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71" w:name="_Toc199941646"/>
      <w:r>
        <w:rPr>
          <w:rStyle w:val="CharSectno"/>
        </w:rPr>
        <w:t>58</w:t>
      </w:r>
      <w:r>
        <w:rPr>
          <w:snapToGrid w:val="0"/>
        </w:rPr>
        <w:t>.</w:t>
      </w:r>
      <w:r>
        <w:rPr>
          <w:snapToGrid w:val="0"/>
        </w:rPr>
        <w:tab/>
        <w:t>Suspension and removal</w:t>
      </w:r>
      <w:bookmarkEnd w:id="71"/>
    </w:p>
    <w:p>
      <w:pPr>
        <w:pStyle w:val="Subsection"/>
        <w:rPr>
          <w:snapToGrid w:val="0"/>
        </w:rPr>
      </w:pPr>
      <w:r>
        <w:rPr>
          <w:snapToGrid w:val="0"/>
        </w:rPr>
        <w:tab/>
        <w:t>(1)</w:t>
      </w:r>
      <w:r>
        <w:rPr>
          <w:snapToGrid w:val="0"/>
        </w:rPr>
        <w:tab/>
        <w:t>If the Governor is satisfied that the Commissioner —</w:t>
      </w:r>
    </w:p>
    <w:p>
      <w:pPr>
        <w:pStyle w:val="Indenta"/>
        <w:spacing w:before="60"/>
        <w:rPr>
          <w:snapToGrid w:val="0"/>
        </w:rPr>
      </w:pPr>
      <w:r>
        <w:rPr>
          <w:snapToGrid w:val="0"/>
        </w:rPr>
        <w:tab/>
        <w:t>(a)</w:t>
      </w:r>
      <w:r>
        <w:rPr>
          <w:snapToGrid w:val="0"/>
        </w:rPr>
        <w:tab/>
        <w:t>is physically or mentally incapable of performing the duties of the office of Commissioner; or</w:t>
      </w:r>
    </w:p>
    <w:p>
      <w:pPr>
        <w:pStyle w:val="Indenta"/>
        <w:spacing w:before="60"/>
        <w:rPr>
          <w:snapToGrid w:val="0"/>
        </w:rPr>
      </w:pPr>
      <w:r>
        <w:rPr>
          <w:snapToGrid w:val="0"/>
        </w:rPr>
        <w:tab/>
        <w:t>(b)</w:t>
      </w:r>
      <w:r>
        <w:rPr>
          <w:snapToGrid w:val="0"/>
        </w:rPr>
        <w:tab/>
        <w:t>has shown incompetence or neglect in performing those duties; or</w:t>
      </w:r>
    </w:p>
    <w:p>
      <w:pPr>
        <w:pStyle w:val="Indenta"/>
        <w:spacing w:before="60"/>
        <w:rPr>
          <w:snapToGrid w:val="0"/>
        </w:rPr>
      </w:pPr>
      <w:r>
        <w:rPr>
          <w:snapToGrid w:val="0"/>
        </w:rPr>
        <w:tab/>
        <w:t>(c)</w:t>
      </w:r>
      <w:r>
        <w:rPr>
          <w:snapToGrid w:val="0"/>
        </w:rPr>
        <w:tab/>
        <w:t>has been guilty of misbehaviour,</w:t>
      </w:r>
    </w:p>
    <w:p>
      <w:pPr>
        <w:pStyle w:val="Subsection"/>
        <w:spacing w:before="120"/>
        <w:rPr>
          <w:snapToGrid w:val="0"/>
        </w:rPr>
      </w:pPr>
      <w:r>
        <w:rPr>
          <w:snapToGrid w:val="0"/>
        </w:rPr>
        <w:tab/>
      </w:r>
      <w:r>
        <w:rPr>
          <w:snapToGrid w:val="0"/>
        </w:rPr>
        <w:tab/>
        <w:t>the Governor may suspend the Commissioner from office.</w:t>
      </w:r>
    </w:p>
    <w:p>
      <w:pPr>
        <w:pStyle w:val="Subsection"/>
        <w:rPr>
          <w:snapToGrid w:val="0"/>
        </w:rPr>
      </w:pPr>
      <w:r>
        <w:rPr>
          <w:snapToGrid w:val="0"/>
        </w:rPr>
        <w:tab/>
        <w:t>(2)</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(3)</w:t>
      </w:r>
      <w:r>
        <w:rPr>
          <w:snapToGrid w:val="0"/>
        </w:rPr>
        <w:tab/>
        <w:t>After being suspended from office under subsection (1) the Commissioner is entitled to be restored to office unless —</w:t>
      </w:r>
    </w:p>
    <w:p>
      <w:pPr>
        <w:pStyle w:val="Indenta"/>
        <w:spacing w:before="60"/>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(4)</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72" w:name="_Toc199941647"/>
      <w:r>
        <w:rPr>
          <w:rStyle w:val="CharSectno"/>
        </w:rPr>
        <w:lastRenderedPageBreak/>
        <w:t>59</w:t>
      </w:r>
      <w:r>
        <w:rPr>
          <w:snapToGrid w:val="0"/>
        </w:rPr>
        <w:t>.</w:t>
      </w:r>
      <w:r>
        <w:rPr>
          <w:snapToGrid w:val="0"/>
        </w:rPr>
        <w:tab/>
        <w:t>Acting Information Commissioner, appointing etc.</w:t>
      </w:r>
      <w:bookmarkEnd w:id="72"/>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(2)</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 or</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(3)</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(4)</w:t>
      </w:r>
      <w:r>
        <w:rPr>
          <w:snapToGrid w:val="0"/>
        </w:rPr>
        <w:tab/>
        <w:t>The Acting Commissioner is entitled to such remuneration and allowances and leave of absence as the Governor may determine.</w:t>
      </w:r>
    </w:p>
    <w:p>
      <w:pPr>
        <w:pStyle w:val="Subsection"/>
        <w:rPr>
          <w:snapToGrid w:val="0"/>
        </w:rPr>
      </w:pPr>
      <w:r>
        <w:rPr>
          <w:snapToGrid w:val="0"/>
        </w:rPr>
        <w:tab/>
        <w:t>(5)</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73" w:name="_Toc199941648"/>
      <w:r>
        <w:rPr>
          <w:rStyle w:val="CharSectno"/>
        </w:rPr>
        <w:t>60</w:t>
      </w:r>
      <w:r>
        <w:rPr>
          <w:snapToGrid w:val="0"/>
        </w:rPr>
        <w:t>.</w:t>
      </w:r>
      <w:r>
        <w:rPr>
          <w:snapToGrid w:val="0"/>
        </w:rPr>
        <w:tab/>
        <w:t>Oath or affirmation of office</w:t>
      </w:r>
      <w:bookmarkEnd w:id="73"/>
    </w:p>
    <w:p>
      <w:pPr>
        <w:pStyle w:val="Subsection"/>
        <w:rPr>
          <w:snapToGrid w:val="0"/>
        </w:rPr>
      </w:pPr>
      <w:r>
        <w:rPr>
          <w:snapToGrid w:val="0"/>
        </w:rPr>
        <w:tab/>
        <w:t>(1)</w:t>
      </w:r>
      <w:r>
        <w:rPr>
          <w:snapToGrid w:val="0"/>
        </w:rPr>
        <w:tab/>
        <w:t xml:space="preserve">Before commencing to perform the functions of the office of Commissioner or Acting Commissioner a person has to take an oath or make an affirmation that he or she will faithfully and </w:t>
      </w:r>
      <w:r>
        <w:rPr>
          <w:snapToGrid w:val="0"/>
        </w:rPr>
        <w:lastRenderedPageBreak/>
        <w:t>impartially perform the functions of the office, and that he or she will not, except in accordance with this Act, divulge any information received under this Act.</w:t>
      </w:r>
    </w:p>
    <w:p>
      <w:pPr>
        <w:pStyle w:val="Subsection"/>
        <w:rPr>
          <w:snapToGrid w:val="0"/>
        </w:rPr>
      </w:pPr>
      <w:r>
        <w:rPr>
          <w:snapToGrid w:val="0"/>
        </w:rPr>
        <w:tab/>
        <w:t>(2)</w:t>
      </w:r>
      <w:r>
        <w:rPr>
          <w:snapToGrid w:val="0"/>
        </w:rPr>
        <w:tab/>
        <w:t>The oath or affirmation is to be administered by the Speaker of the Legislative Assembly.</w:t>
      </w:r>
    </w:p>
    <w:p>
      <w:pPr>
        <w:pStyle w:val="Subsection"/>
        <w:rPr>
          <w:snapToGrid w:val="0"/>
        </w:rPr>
      </w:pPr>
      <w:r>
        <w:rPr>
          <w:snapToGrid w:val="0"/>
        </w:rPr>
        <w:tab/>
        <w:t>(3)</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(4)</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74" w:name="_Toc199941649"/>
      <w:r>
        <w:rPr>
          <w:rStyle w:val="CharSectno"/>
        </w:rPr>
        <w:t>61</w:t>
      </w:r>
      <w:r>
        <w:rPr>
          <w:snapToGrid w:val="0"/>
        </w:rPr>
        <w:t>.</w:t>
      </w:r>
      <w:r>
        <w:rPr>
          <w:snapToGrid w:val="0"/>
        </w:rPr>
        <w:tab/>
        <w:t>Staff, appointment of etc.</w:t>
      </w:r>
      <w:bookmarkEnd w:id="74"/>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(2)</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(4)</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(5)</w:t>
      </w:r>
      <w:r>
        <w:rPr>
          <w:snapToGrid w:val="0"/>
        </w:rPr>
        <w:tab/>
        <w:t xml:space="preserve">Before commencing to carry out his or her duties under this Act a person who is appointed under subsection (1), or whose services are used under subsection (4), has to take an oath or </w:t>
      </w:r>
      <w:r>
        <w:rPr>
          <w:snapToGrid w:val="0"/>
        </w:rPr>
        <w:lastRenderedPageBreak/>
        <w:t>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(6)</w:t>
      </w:r>
      <w:r>
        <w:rPr>
          <w:snapToGrid w:val="0"/>
        </w:rPr>
        <w:tab/>
        <w:t>The oath or affirmation has to be administered by the Commissioner.</w:t>
      </w:r>
    </w:p>
    <w:p>
      <w:pPr>
        <w:pStyle w:val="Footnotesection"/>
      </w:pPr>
      <w:r>
        <w:tab/>
        <w:t>[Section 61 amended: No. 32 of 1994 s. 19.]</w:t>
      </w:r>
    </w:p>
    <w:p>
      <w:pPr>
        <w:pStyle w:val="Heading5"/>
        <w:rPr>
          <w:snapToGrid w:val="0"/>
        </w:rPr>
      </w:pPr>
      <w:bookmarkStart w:id="75" w:name="_Toc199941650"/>
      <w:r>
        <w:rPr>
          <w:rStyle w:val="CharSectno"/>
        </w:rPr>
        <w:t>62</w:t>
      </w:r>
      <w:r>
        <w:rPr>
          <w:snapToGrid w:val="0"/>
        </w:rPr>
        <w:t>.</w:t>
      </w:r>
      <w:r>
        <w:rPr>
          <w:snapToGrid w:val="0"/>
        </w:rPr>
        <w:tab/>
        <w:t>Commissioner and staff, additional provisions about</w:t>
      </w:r>
      <w:bookmarkEnd w:id="75"/>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(4)</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(5)</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spacing w:before="60"/>
        <w:rPr>
          <w:snapToGrid w:val="0"/>
        </w:rPr>
      </w:pPr>
      <w:r>
        <w:rPr>
          <w:snapToGrid w:val="0"/>
        </w:rPr>
        <w:tab/>
        <w:t>(a)</w:t>
      </w:r>
      <w:r>
        <w:rPr>
          <w:snapToGrid w:val="0"/>
        </w:rPr>
        <w:tab/>
        <w:t>the person ceases to hold office as Commissioner on the completion of a periodical appointment; and</w:t>
      </w:r>
    </w:p>
    <w:p>
      <w:pPr>
        <w:pStyle w:val="Indenta"/>
        <w:spacing w:before="60"/>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lastRenderedPageBreak/>
        <w:tab/>
        <w:t>(6)</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No. 57 of 1997 s. 62(2).]</w:t>
      </w:r>
    </w:p>
    <w:p>
      <w:pPr>
        <w:pStyle w:val="Heading3"/>
      </w:pPr>
      <w:bookmarkStart w:id="76" w:name="_Toc199941651"/>
      <w:r>
        <w:rPr>
          <w:rStyle w:val="CharDivNo"/>
        </w:rPr>
        <w:t>Division 2</w:t>
      </w:r>
      <w:r>
        <w:rPr>
          <w:snapToGrid w:val="0"/>
        </w:rPr>
        <w:t> — </w:t>
      </w:r>
      <w:r>
        <w:rPr>
          <w:rStyle w:val="CharDivText"/>
        </w:rPr>
        <w:t>Functions of Information Commissioner</w:t>
      </w:r>
      <w:bookmarkEnd w:id="76"/>
    </w:p>
    <w:p>
      <w:pPr>
        <w:pStyle w:val="Heading5"/>
        <w:rPr>
          <w:snapToGrid w:val="0"/>
        </w:rPr>
      </w:pPr>
      <w:bookmarkStart w:id="77" w:name="_Toc199941652"/>
      <w:r>
        <w:rPr>
          <w:rStyle w:val="CharSectno"/>
        </w:rPr>
        <w:t>63</w:t>
      </w:r>
      <w:r>
        <w:rPr>
          <w:snapToGrid w:val="0"/>
        </w:rPr>
        <w:t>.</w:t>
      </w:r>
      <w:r>
        <w:rPr>
          <w:snapToGrid w:val="0"/>
        </w:rPr>
        <w:tab/>
        <w:t>Functions</w:t>
      </w:r>
      <w:bookmarkEnd w:id="77"/>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(2)</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rPr>
      </w:pPr>
      <w:r>
        <w:rPr>
          <w:snapToGrid w:val="0"/>
          <w:spacing w:val="-4"/>
        </w:rPr>
        <w:tab/>
        <w:t>(3)</w:t>
      </w:r>
      <w:r>
        <w:rPr>
          <w:snapToGrid w:val="0"/>
          <w:spacing w:val="-4"/>
        </w:rPr>
        <w:tab/>
      </w:r>
      <w:r>
        <w:rPr>
          <w:snapToGrid w:val="0"/>
        </w:rPr>
        <w:t xml:space="preserve">If in dealing with a complaint the Commissioner forms the opinion that there is evidence that an officer of an agency has been guilty of a breach of duty, or of misconduct, in the administration of </w:t>
      </w:r>
      <w:r>
        <w:t>this</w:t>
      </w:r>
      <w:r>
        <w:rPr>
          <w:snapToGrid w:val="0"/>
        </w:rPr>
        <w:t xml:space="preserve"> Act, the Commissioner may take such steps as he or she considers appropriate to bring the evidence to the notice of —</w:t>
      </w:r>
    </w:p>
    <w:p>
      <w:pPr>
        <w:pStyle w:val="Indenta"/>
        <w:rPr>
          <w:snapToGrid w:val="0"/>
        </w:rPr>
      </w:pPr>
      <w:r>
        <w:rPr>
          <w:snapToGrid w:val="0"/>
        </w:rPr>
        <w:lastRenderedPageBreak/>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the </w:t>
      </w:r>
      <w:r>
        <w:rPr>
          <w:i/>
        </w:rPr>
        <w:t>Declared Places (Mentally Impaired Accused) Act 2015</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No. 43 of 1999 s. 20; No. 47 of 1999 s. 12; No. 4 of 2015 s. 86(2).]</w:t>
      </w:r>
    </w:p>
    <w:p>
      <w:pPr>
        <w:pStyle w:val="Heading5"/>
        <w:rPr>
          <w:snapToGrid w:val="0"/>
        </w:rPr>
      </w:pPr>
      <w:bookmarkStart w:id="78" w:name="_Toc199941653"/>
      <w:r>
        <w:rPr>
          <w:rStyle w:val="CharSectno"/>
        </w:rPr>
        <w:t>64</w:t>
      </w:r>
      <w:r>
        <w:rPr>
          <w:snapToGrid w:val="0"/>
        </w:rPr>
        <w:t>.</w:t>
      </w:r>
      <w:r>
        <w:rPr>
          <w:snapToGrid w:val="0"/>
        </w:rPr>
        <w:tab/>
        <w:t>Powers</w:t>
      </w:r>
      <w:bookmarkEnd w:id="78"/>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79" w:name="_Toc199941654"/>
      <w:r>
        <w:rPr>
          <w:rStyle w:val="CharDivNo"/>
        </w:rPr>
        <w:t>Division 3</w:t>
      </w:r>
      <w:r>
        <w:rPr>
          <w:snapToGrid w:val="0"/>
        </w:rPr>
        <w:t> — </w:t>
      </w:r>
      <w:r>
        <w:rPr>
          <w:rStyle w:val="CharDivText"/>
        </w:rPr>
        <w:t>Complaints and procedure for dealing with them</w:t>
      </w:r>
      <w:bookmarkEnd w:id="79"/>
    </w:p>
    <w:p>
      <w:pPr>
        <w:pStyle w:val="Heading5"/>
        <w:rPr>
          <w:snapToGrid w:val="0"/>
        </w:rPr>
      </w:pPr>
      <w:bookmarkStart w:id="80" w:name="_Toc199941655"/>
      <w:r>
        <w:rPr>
          <w:rStyle w:val="CharSectno"/>
        </w:rPr>
        <w:t>65</w:t>
      </w:r>
      <w:r>
        <w:rPr>
          <w:snapToGrid w:val="0"/>
        </w:rPr>
        <w:t>.</w:t>
      </w:r>
      <w:r>
        <w:rPr>
          <w:snapToGrid w:val="0"/>
        </w:rPr>
        <w:tab/>
        <w:t>Complaint against agency’s decision, making</w:t>
      </w:r>
      <w:bookmarkEnd w:id="80"/>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keepNext/>
        <w:rPr>
          <w:snapToGrid w:val="0"/>
        </w:rPr>
      </w:pPr>
      <w:r>
        <w:rPr>
          <w:snapToGrid w:val="0"/>
        </w:rPr>
        <w:lastRenderedPageBreak/>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(4)</w:t>
      </w:r>
      <w:r>
        <w:rPr>
          <w:snapToGrid w:val="0"/>
        </w:rPr>
        <w:tab/>
        <w:t>A complaint under subsection (3) may be made by the applicant for amendment.</w:t>
      </w:r>
    </w:p>
    <w:p>
      <w:pPr>
        <w:pStyle w:val="Heading5"/>
        <w:rPr>
          <w:snapToGrid w:val="0"/>
        </w:rPr>
      </w:pPr>
      <w:bookmarkStart w:id="81" w:name="_Toc199941656"/>
      <w:r>
        <w:rPr>
          <w:rStyle w:val="CharSectno"/>
        </w:rPr>
        <w:t>66</w:t>
      </w:r>
      <w:r>
        <w:rPr>
          <w:snapToGrid w:val="0"/>
        </w:rPr>
        <w:t>.</w:t>
      </w:r>
      <w:r>
        <w:rPr>
          <w:snapToGrid w:val="0"/>
        </w:rPr>
        <w:tab/>
        <w:t>Complaint, form etc. of</w:t>
      </w:r>
      <w:bookmarkEnd w:id="81"/>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give an address in Australia to which notices under the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(2)</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(3)</w:t>
      </w:r>
      <w:r>
        <w:rPr>
          <w:snapToGrid w:val="0"/>
        </w:rPr>
        <w:tab/>
        <w:t>A third party may lodge a complaint within 30 days after being given written notice of the decision.</w:t>
      </w:r>
    </w:p>
    <w:p>
      <w:pPr>
        <w:pStyle w:val="Subsection"/>
        <w:rPr>
          <w:snapToGrid w:val="0"/>
        </w:rPr>
      </w:pPr>
      <w:r>
        <w:rPr>
          <w:snapToGrid w:val="0"/>
        </w:rPr>
        <w:tab/>
        <w:t>(4)</w:t>
      </w:r>
      <w:r>
        <w:rPr>
          <w:snapToGrid w:val="0"/>
        </w:rPr>
        <w:tab/>
        <w:t>The Commissioner may allow a complaint to be lodged after the period mentioned in subsection (2) or (3) has expired.</w:t>
      </w:r>
    </w:p>
    <w:p>
      <w:pPr>
        <w:pStyle w:val="Subsection"/>
        <w:rPr>
          <w:snapToGrid w:val="0"/>
        </w:rPr>
      </w:pPr>
      <w:r>
        <w:rPr>
          <w:snapToGrid w:val="0"/>
        </w:rPr>
        <w:lastRenderedPageBreak/>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82" w:name="_Toc199941657"/>
      <w:r>
        <w:rPr>
          <w:rStyle w:val="CharSectno"/>
        </w:rPr>
        <w:t>67</w:t>
      </w:r>
      <w:r>
        <w:rPr>
          <w:snapToGrid w:val="0"/>
        </w:rPr>
        <w:t>.</w:t>
      </w:r>
      <w:r>
        <w:rPr>
          <w:snapToGrid w:val="0"/>
        </w:rPr>
        <w:tab/>
        <w:t>Commissioner may decide not to deal with a complaint</w:t>
      </w:r>
      <w:bookmarkEnd w:id="82"/>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83" w:name="_Toc199941658"/>
      <w:r>
        <w:rPr>
          <w:rStyle w:val="CharSectno"/>
        </w:rPr>
        <w:t>68</w:t>
      </w:r>
      <w:r>
        <w:rPr>
          <w:snapToGrid w:val="0"/>
        </w:rPr>
        <w:t>.</w:t>
      </w:r>
      <w:r>
        <w:rPr>
          <w:snapToGrid w:val="0"/>
        </w:rPr>
        <w:tab/>
        <w:t>Complaint, agency etc. to be notified of</w:t>
      </w:r>
      <w:bookmarkEnd w:id="83"/>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 xml:space="preserve">in the case of a complaint made by the access applicant where the agency has decided to refuse access to a document, or give access to an edited copy of a document, on the grounds that matter in the document is </w:t>
      </w:r>
      <w:r>
        <w:rPr>
          <w:snapToGrid w:val="0"/>
        </w:rPr>
        <w:lastRenderedPageBreak/>
        <w:t>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84" w:name="_Toc199941659"/>
      <w:r>
        <w:rPr>
          <w:rStyle w:val="CharSectno"/>
        </w:rPr>
        <w:t>69</w:t>
      </w:r>
      <w:r>
        <w:rPr>
          <w:snapToGrid w:val="0"/>
        </w:rPr>
        <w:t>.</w:t>
      </w:r>
      <w:r>
        <w:rPr>
          <w:snapToGrid w:val="0"/>
        </w:rPr>
        <w:tab/>
        <w:t>Complaint, who are parties to etc.</w:t>
      </w:r>
      <w:bookmarkEnd w:id="84"/>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(3)</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(4)</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85" w:name="_Toc199941660"/>
      <w:r>
        <w:rPr>
          <w:rStyle w:val="CharSectno"/>
        </w:rPr>
        <w:t>70</w:t>
      </w:r>
      <w:r>
        <w:rPr>
          <w:snapToGrid w:val="0"/>
        </w:rPr>
        <w:t>.</w:t>
      </w:r>
      <w:r>
        <w:rPr>
          <w:snapToGrid w:val="0"/>
        </w:rPr>
        <w:tab/>
        <w:t>Complaint, procedure for dealing with</w:t>
      </w:r>
      <w:bookmarkEnd w:id="85"/>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(3)</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lastRenderedPageBreak/>
        <w:tab/>
        <w:t>(4)</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If a party is required or permitted to appear before the Commissioner the party may be represented by a legal practitioner or by any other person.</w:t>
      </w:r>
    </w:p>
    <w:p>
      <w:pPr>
        <w:pStyle w:val="Heading5"/>
        <w:rPr>
          <w:snapToGrid w:val="0"/>
        </w:rPr>
      </w:pPr>
      <w:bookmarkStart w:id="86" w:name="_Toc199941661"/>
      <w:r>
        <w:rPr>
          <w:rStyle w:val="CharSectno"/>
        </w:rPr>
        <w:t>71</w:t>
      </w:r>
      <w:r>
        <w:rPr>
          <w:snapToGrid w:val="0"/>
        </w:rPr>
        <w:t>.</w:t>
      </w:r>
      <w:r>
        <w:rPr>
          <w:snapToGrid w:val="0"/>
        </w:rPr>
        <w:tab/>
        <w:t>Complaint, conciliation etc. of</w:t>
      </w:r>
      <w:bookmarkEnd w:id="86"/>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Without limiting subsection (2), the Commissioner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87" w:name="_Toc199941662"/>
      <w:r>
        <w:rPr>
          <w:rStyle w:val="CharSectno"/>
        </w:rPr>
        <w:lastRenderedPageBreak/>
        <w:t>72</w:t>
      </w:r>
      <w:r>
        <w:rPr>
          <w:snapToGrid w:val="0"/>
        </w:rPr>
        <w:t>.</w:t>
      </w:r>
      <w:r>
        <w:rPr>
          <w:snapToGrid w:val="0"/>
        </w:rPr>
        <w:tab/>
        <w:t>Information etc. relevant to complaint, Commissioner’s powers to obtain etc.</w:t>
      </w:r>
      <w:bookmarkEnd w:id="87"/>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spacing w:before="200"/>
        <w:rPr>
          <w:snapToGrid w:val="0"/>
        </w:rPr>
      </w:pPr>
      <w:bookmarkStart w:id="88" w:name="_Toc199941663"/>
      <w:r>
        <w:rPr>
          <w:rStyle w:val="CharSectno"/>
        </w:rPr>
        <w:t>73</w:t>
      </w:r>
      <w:r>
        <w:rPr>
          <w:snapToGrid w:val="0"/>
        </w:rPr>
        <w:t>.</w:t>
      </w:r>
      <w:r>
        <w:rPr>
          <w:snapToGrid w:val="0"/>
        </w:rPr>
        <w:tab/>
        <w:t>Examination on oath, powers as to</w:t>
      </w:r>
      <w:bookmarkEnd w:id="88"/>
    </w:p>
    <w:p>
      <w:pPr>
        <w:pStyle w:val="Subsection"/>
        <w:spacing w:before="140"/>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Heading5"/>
        <w:spacing w:before="200"/>
        <w:rPr>
          <w:snapToGrid w:val="0"/>
        </w:rPr>
      </w:pPr>
      <w:bookmarkStart w:id="89" w:name="_Toc199941664"/>
      <w:r>
        <w:rPr>
          <w:rStyle w:val="CharSectno"/>
        </w:rPr>
        <w:lastRenderedPageBreak/>
        <w:t>74</w:t>
      </w:r>
      <w:r>
        <w:rPr>
          <w:snapToGrid w:val="0"/>
        </w:rPr>
        <w:t>.</w:t>
      </w:r>
      <w:r>
        <w:rPr>
          <w:snapToGrid w:val="0"/>
        </w:rPr>
        <w:tab/>
        <w:t>Exempt matter etc., Commissioner to ensure non</w:t>
      </w:r>
      <w:r>
        <w:rPr>
          <w:snapToGrid w:val="0"/>
        </w:rPr>
        <w:noBreakHyphen/>
        <w:t>disclosure of</w:t>
      </w:r>
      <w:bookmarkEnd w:id="89"/>
    </w:p>
    <w:p>
      <w:pPr>
        <w:pStyle w:val="Subsection"/>
        <w:spacing w:before="140"/>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The Commissioner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Heading5"/>
        <w:spacing w:before="200"/>
        <w:rPr>
          <w:snapToGrid w:val="0"/>
        </w:rPr>
      </w:pPr>
      <w:bookmarkStart w:id="90" w:name="_Toc199941665"/>
      <w:r>
        <w:rPr>
          <w:rStyle w:val="CharSectno"/>
        </w:rPr>
        <w:t>75</w:t>
      </w:r>
      <w:r>
        <w:rPr>
          <w:snapToGrid w:val="0"/>
        </w:rPr>
        <w:t>.</w:t>
      </w:r>
      <w:r>
        <w:rPr>
          <w:snapToGrid w:val="0"/>
        </w:rPr>
        <w:tab/>
        <w:t>Document held by agency, Commissioner may require production of</w:t>
      </w:r>
      <w:bookmarkEnd w:id="90"/>
    </w:p>
    <w:p>
      <w:pPr>
        <w:pStyle w:val="Subsection"/>
        <w:spacing w:before="140"/>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91" w:name="_Toc199941666"/>
      <w:r>
        <w:rPr>
          <w:rStyle w:val="CharSectno"/>
        </w:rPr>
        <w:lastRenderedPageBreak/>
        <w:t>76</w:t>
      </w:r>
      <w:r>
        <w:rPr>
          <w:snapToGrid w:val="0"/>
        </w:rPr>
        <w:t>.</w:t>
      </w:r>
      <w:r>
        <w:rPr>
          <w:snapToGrid w:val="0"/>
        </w:rPr>
        <w:tab/>
        <w:t>Commissioner’s other powers and duties when dealing with complaint</w:t>
      </w:r>
      <w:bookmarkEnd w:id="91"/>
    </w:p>
    <w:p>
      <w:pPr>
        <w:pStyle w:val="Subsection"/>
        <w:keepNext/>
        <w:spacing w:before="150"/>
        <w:rPr>
          <w:snapToGrid w:val="0"/>
        </w:rPr>
      </w:pPr>
      <w:r>
        <w:rPr>
          <w:snapToGrid w:val="0"/>
        </w:rPr>
        <w:tab/>
        <w:t>(1)</w:t>
      </w:r>
      <w:r>
        <w:rPr>
          <w:snapToGrid w:val="0"/>
        </w:rPr>
        <w:tab/>
        <w:t>In dealing with a complaint the Commissioner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The Commissioner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tab/>
        <w:t>(3)</w:t>
      </w:r>
      <w:r>
        <w:rPr>
          <w:snapToGrid w:val="0"/>
        </w:rPr>
        <w:tab/>
        <w:t>The Commissioner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If it is established that a document is an exempt document, the Commissioner does not have power to make a decision to the effect that access is to be given to the document.</w:t>
      </w:r>
    </w:p>
    <w:p>
      <w:pPr>
        <w:pStyle w:val="Subsection"/>
        <w:spacing w:before="150"/>
        <w:rPr>
          <w:snapToGrid w:val="0"/>
        </w:rPr>
      </w:pPr>
      <w:r>
        <w:rPr>
          <w:snapToGrid w:val="0"/>
        </w:rPr>
        <w:tab/>
        <w:t>(5)</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The Commissioner has to give a copy of the decision to each party.</w:t>
      </w:r>
    </w:p>
    <w:p>
      <w:pPr>
        <w:pStyle w:val="Subsection"/>
        <w:rPr>
          <w:snapToGrid w:val="0"/>
        </w:rPr>
      </w:pPr>
      <w:r>
        <w:rPr>
          <w:snapToGrid w:val="0"/>
        </w:rPr>
        <w:tab/>
        <w:t>(7)</w:t>
      </w:r>
      <w:r>
        <w:rPr>
          <w:snapToGrid w:val="0"/>
        </w:rPr>
        <w:tab/>
        <w:t>The decision of the Commissioner is to be regarded as the decision of the agency and has effect accordingly.</w:t>
      </w:r>
    </w:p>
    <w:p>
      <w:pPr>
        <w:pStyle w:val="Subsection"/>
        <w:rPr>
          <w:snapToGrid w:val="0"/>
        </w:rPr>
      </w:pPr>
      <w:r>
        <w:rPr>
          <w:snapToGrid w:val="0"/>
        </w:rPr>
        <w:lastRenderedPageBreak/>
        <w:tab/>
        <w:t>(8)</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92" w:name="_Toc199941667"/>
      <w:r>
        <w:rPr>
          <w:rStyle w:val="CharSectno"/>
        </w:rPr>
        <w:t>77</w:t>
      </w:r>
      <w:r>
        <w:rPr>
          <w:snapToGrid w:val="0"/>
        </w:rPr>
        <w:t>.</w:t>
      </w:r>
      <w:r>
        <w:rPr>
          <w:snapToGrid w:val="0"/>
        </w:rPr>
        <w:tab/>
        <w:t>Exemption certificate, review of grounds for etc.</w:t>
      </w:r>
      <w:bookmarkEnd w:id="92"/>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lastRenderedPageBreak/>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93" w:name="_Toc199941668"/>
      <w:r>
        <w:rPr>
          <w:rStyle w:val="CharSectno"/>
        </w:rPr>
        <w:t>78</w:t>
      </w:r>
      <w:r>
        <w:rPr>
          <w:snapToGrid w:val="0"/>
        </w:rPr>
        <w:t>.</w:t>
      </w:r>
      <w:r>
        <w:rPr>
          <w:snapToGrid w:val="0"/>
        </w:rPr>
        <w:tab/>
        <w:t>Question of law on complaint, referral of to Supreme Court</w:t>
      </w:r>
      <w:bookmarkEnd w:id="93"/>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(2)</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lastRenderedPageBreak/>
        <w:tab/>
        <w:t>(4)</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94" w:name="_Toc199941669"/>
      <w:r>
        <w:rPr>
          <w:rStyle w:val="CharDivNo"/>
        </w:rPr>
        <w:t>Division 4</w:t>
      </w:r>
      <w:r>
        <w:rPr>
          <w:snapToGrid w:val="0"/>
        </w:rPr>
        <w:t> — </w:t>
      </w:r>
      <w:r>
        <w:rPr>
          <w:rStyle w:val="CharDivText"/>
        </w:rPr>
        <w:t>General provisions as to the Information Commissioner and staff</w:t>
      </w:r>
      <w:bookmarkEnd w:id="94"/>
    </w:p>
    <w:p>
      <w:pPr>
        <w:pStyle w:val="Heading5"/>
        <w:rPr>
          <w:snapToGrid w:val="0"/>
        </w:rPr>
      </w:pPr>
      <w:bookmarkStart w:id="95" w:name="_Toc199941670"/>
      <w:r>
        <w:rPr>
          <w:rStyle w:val="CharSectno"/>
        </w:rPr>
        <w:t>79</w:t>
      </w:r>
      <w:r>
        <w:rPr>
          <w:snapToGrid w:val="0"/>
        </w:rPr>
        <w:t>.</w:t>
      </w:r>
      <w:r>
        <w:rPr>
          <w:snapToGrid w:val="0"/>
        </w:rPr>
        <w:tab/>
        <w:t>Delegation by Commissioner to staff</w:t>
      </w:r>
      <w:bookmarkEnd w:id="95"/>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96" w:name="_Toc199941671"/>
      <w:r>
        <w:rPr>
          <w:rStyle w:val="CharSectno"/>
        </w:rPr>
        <w:t>80</w:t>
      </w:r>
      <w:r>
        <w:rPr>
          <w:snapToGrid w:val="0"/>
        </w:rPr>
        <w:t>.</w:t>
      </w:r>
      <w:r>
        <w:rPr>
          <w:snapToGrid w:val="0"/>
        </w:rPr>
        <w:tab/>
        <w:t>Protection from personal liability</w:t>
      </w:r>
      <w:bookmarkEnd w:id="96"/>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97" w:name="_Toc199941672"/>
      <w:r>
        <w:rPr>
          <w:rStyle w:val="CharSectno"/>
        </w:rPr>
        <w:lastRenderedPageBreak/>
        <w:t>81</w:t>
      </w:r>
      <w:r>
        <w:rPr>
          <w:snapToGrid w:val="0"/>
        </w:rPr>
        <w:t>.</w:t>
      </w:r>
      <w:r>
        <w:rPr>
          <w:snapToGrid w:val="0"/>
        </w:rPr>
        <w:tab/>
        <w:t>Disclosure restriction under other law does not apply to disclosing to Commissioner; privileges of parties</w:t>
      </w:r>
      <w:bookmarkEnd w:id="97"/>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98" w:name="_Toc199941673"/>
      <w:r>
        <w:rPr>
          <w:rStyle w:val="CharSectno"/>
        </w:rPr>
        <w:t>82</w:t>
      </w:r>
      <w:r>
        <w:rPr>
          <w:snapToGrid w:val="0"/>
        </w:rPr>
        <w:t>.</w:t>
      </w:r>
      <w:r>
        <w:rPr>
          <w:snapToGrid w:val="0"/>
        </w:rPr>
        <w:tab/>
        <w:t>Disclosure etc. of information obtained under Act restricted</w:t>
      </w:r>
      <w:bookmarkEnd w:id="98"/>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No. 50 of 2003 s. 64(2).]</w:t>
      </w:r>
    </w:p>
    <w:p>
      <w:pPr>
        <w:pStyle w:val="Heading5"/>
        <w:rPr>
          <w:snapToGrid w:val="0"/>
        </w:rPr>
      </w:pPr>
      <w:bookmarkStart w:id="99" w:name="_Toc199941674"/>
      <w:r>
        <w:rPr>
          <w:rStyle w:val="CharSectno"/>
        </w:rPr>
        <w:lastRenderedPageBreak/>
        <w:t>83</w:t>
      </w:r>
      <w:r>
        <w:rPr>
          <w:snapToGrid w:val="0"/>
        </w:rPr>
        <w:t>.</w:t>
      </w:r>
      <w:r>
        <w:rPr>
          <w:snapToGrid w:val="0"/>
        </w:rPr>
        <w:tab/>
        <w:t>Failure to give information etc. when required, offence</w:t>
      </w:r>
      <w:bookmarkEnd w:id="99"/>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No. 50 of 2003 s. 64(3).]</w:t>
      </w:r>
    </w:p>
    <w:p>
      <w:pPr>
        <w:pStyle w:val="Heading5"/>
        <w:rPr>
          <w:snapToGrid w:val="0"/>
        </w:rPr>
      </w:pPr>
      <w:bookmarkStart w:id="100" w:name="_Toc199941675"/>
      <w:r>
        <w:rPr>
          <w:rStyle w:val="CharSectno"/>
        </w:rPr>
        <w:t>84</w:t>
      </w:r>
      <w:r>
        <w:rPr>
          <w:snapToGrid w:val="0"/>
        </w:rPr>
        <w:t>.</w:t>
      </w:r>
      <w:r>
        <w:rPr>
          <w:snapToGrid w:val="0"/>
        </w:rPr>
        <w:tab/>
        <w:t>Costs of parties to complaints</w:t>
      </w:r>
      <w:bookmarkEnd w:id="100"/>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101" w:name="_Toc199941676"/>
      <w:r>
        <w:rPr>
          <w:rStyle w:val="CharDivNo"/>
        </w:rPr>
        <w:t>Division 5</w:t>
      </w:r>
      <w:r>
        <w:rPr>
          <w:snapToGrid w:val="0"/>
        </w:rPr>
        <w:t> — </w:t>
      </w:r>
      <w:r>
        <w:rPr>
          <w:rStyle w:val="CharDivText"/>
        </w:rPr>
        <w:t>Appeals to the Supreme Court</w:t>
      </w:r>
      <w:bookmarkEnd w:id="101"/>
    </w:p>
    <w:p>
      <w:pPr>
        <w:pStyle w:val="Heading5"/>
        <w:rPr>
          <w:snapToGrid w:val="0"/>
        </w:rPr>
      </w:pPr>
      <w:bookmarkStart w:id="102" w:name="_Toc199941677"/>
      <w:r>
        <w:rPr>
          <w:rStyle w:val="CharSectno"/>
        </w:rPr>
        <w:t>85</w:t>
      </w:r>
      <w:r>
        <w:rPr>
          <w:snapToGrid w:val="0"/>
        </w:rPr>
        <w:t>.</w:t>
      </w:r>
      <w:r>
        <w:rPr>
          <w:snapToGrid w:val="0"/>
        </w:rPr>
        <w:tab/>
        <w:t>What may be appealed etc.</w:t>
      </w:r>
      <w:bookmarkEnd w:id="102"/>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lastRenderedPageBreak/>
        <w:tab/>
        <w:t>(3)</w:t>
      </w:r>
      <w:r>
        <w:rPr>
          <w:snapToGrid w:val="0"/>
        </w:rPr>
        <w:tab/>
        <w:t>There is no appeal under subsection (1) in relation to a decision of the Commissioner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tab/>
        <w:t>(7)</w:t>
      </w:r>
      <w:r>
        <w:rPr>
          <w:snapToGrid w:val="0"/>
        </w:rPr>
        <w:tab/>
        <w:t>An appeal may be lodged within the time prescribed or allowed under Rules of Court.</w:t>
      </w:r>
    </w:p>
    <w:p>
      <w:pPr>
        <w:pStyle w:val="Footnotesection"/>
        <w:spacing w:before="100"/>
        <w:ind w:left="890" w:hanging="890"/>
      </w:pPr>
      <w:r>
        <w:tab/>
        <w:t>[Section 85 amended: No. 73 of 1994 s. 4.]</w:t>
      </w:r>
    </w:p>
    <w:p>
      <w:pPr>
        <w:pStyle w:val="Heading5"/>
        <w:rPr>
          <w:snapToGrid w:val="0"/>
        </w:rPr>
      </w:pPr>
      <w:bookmarkStart w:id="103" w:name="_Toc199941678"/>
      <w:r>
        <w:rPr>
          <w:rStyle w:val="CharSectno"/>
        </w:rPr>
        <w:t>86</w:t>
      </w:r>
      <w:r>
        <w:rPr>
          <w:snapToGrid w:val="0"/>
        </w:rPr>
        <w:t>.</w:t>
      </w:r>
      <w:r>
        <w:rPr>
          <w:snapToGrid w:val="0"/>
        </w:rPr>
        <w:tab/>
        <w:t>Parties to an appeal</w:t>
      </w:r>
      <w:bookmarkEnd w:id="103"/>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keepNext/>
        <w:spacing w:before="120"/>
        <w:rPr>
          <w:snapToGrid w:val="0"/>
        </w:rPr>
      </w:pPr>
      <w:r>
        <w:rPr>
          <w:snapToGrid w:val="0"/>
        </w:rPr>
        <w:lastRenderedPageBreak/>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No. 73 of 1994 s. 4.]</w:t>
      </w:r>
    </w:p>
    <w:p>
      <w:pPr>
        <w:pStyle w:val="Heading5"/>
        <w:rPr>
          <w:snapToGrid w:val="0"/>
        </w:rPr>
      </w:pPr>
      <w:bookmarkStart w:id="104" w:name="_Toc199941679"/>
      <w:r>
        <w:rPr>
          <w:rStyle w:val="CharSectno"/>
        </w:rPr>
        <w:t>87</w:t>
      </w:r>
      <w:r>
        <w:rPr>
          <w:snapToGrid w:val="0"/>
        </w:rPr>
        <w:t>.</w:t>
      </w:r>
      <w:r>
        <w:rPr>
          <w:snapToGrid w:val="0"/>
        </w:rPr>
        <w:tab/>
        <w:t>Court’s powers on appeal</w:t>
      </w:r>
      <w:bookmarkEnd w:id="104"/>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confirm the Commissioner’s decision; or</w:t>
      </w:r>
    </w:p>
    <w:p>
      <w:pPr>
        <w:pStyle w:val="Indenta"/>
        <w:spacing w:before="60"/>
        <w:rPr>
          <w:snapToGrid w:val="0"/>
        </w:rPr>
      </w:pPr>
      <w:r>
        <w:rPr>
          <w:snapToGrid w:val="0"/>
        </w:rPr>
        <w:tab/>
        <w:t>(b)</w:t>
      </w:r>
      <w:r>
        <w:rPr>
          <w:snapToGrid w:val="0"/>
        </w:rPr>
        <w:tab/>
        <w:t>vary the Commissioner’s decision; or</w:t>
      </w:r>
    </w:p>
    <w:p>
      <w:pPr>
        <w:pStyle w:val="Indenta"/>
        <w:spacing w:before="60"/>
        <w:rPr>
          <w:snapToGrid w:val="0"/>
        </w:rPr>
      </w:pPr>
      <w:r>
        <w:rPr>
          <w:snapToGrid w:val="0"/>
        </w:rPr>
        <w:tab/>
        <w:t>(c)</w:t>
      </w:r>
      <w:r>
        <w:rPr>
          <w:snapToGrid w:val="0"/>
        </w:rPr>
        <w:tab/>
        <w:t>set aside the Commissioner’s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No. 73 of 1994 s. 4.]</w:t>
      </w:r>
    </w:p>
    <w:p>
      <w:pPr>
        <w:pStyle w:val="Heading3"/>
        <w:keepNext w:val="0"/>
      </w:pPr>
      <w:bookmarkStart w:id="105" w:name="_Toc199941680"/>
      <w:r>
        <w:rPr>
          <w:rStyle w:val="CharDivNo"/>
        </w:rPr>
        <w:t>Division 6</w:t>
      </w:r>
      <w:r>
        <w:rPr>
          <w:snapToGrid w:val="0"/>
        </w:rPr>
        <w:t> — </w:t>
      </w:r>
      <w:r>
        <w:rPr>
          <w:rStyle w:val="CharDivText"/>
        </w:rPr>
        <w:t>General provisions as to proceedings in the Supreme Court</w:t>
      </w:r>
      <w:bookmarkEnd w:id="105"/>
    </w:p>
    <w:p>
      <w:pPr>
        <w:pStyle w:val="Heading5"/>
        <w:keepNext w:val="0"/>
        <w:rPr>
          <w:snapToGrid w:val="0"/>
        </w:rPr>
      </w:pPr>
      <w:bookmarkStart w:id="106" w:name="_Toc199941681"/>
      <w:r>
        <w:rPr>
          <w:rStyle w:val="CharSectno"/>
        </w:rPr>
        <w:t>88</w:t>
      </w:r>
      <w:r>
        <w:rPr>
          <w:snapToGrid w:val="0"/>
        </w:rPr>
        <w:t>.</w:t>
      </w:r>
      <w:r>
        <w:rPr>
          <w:snapToGrid w:val="0"/>
        </w:rPr>
        <w:tab/>
        <w:t>Term used: review proceedings</w:t>
      </w:r>
      <w:bookmarkEnd w:id="106"/>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107" w:name="_Toc199941682"/>
      <w:r>
        <w:rPr>
          <w:rStyle w:val="CharSectno"/>
        </w:rPr>
        <w:t>89</w:t>
      </w:r>
      <w:r>
        <w:rPr>
          <w:snapToGrid w:val="0"/>
        </w:rPr>
        <w:t>.</w:t>
      </w:r>
      <w:r>
        <w:rPr>
          <w:snapToGrid w:val="0"/>
        </w:rPr>
        <w:tab/>
        <w:t>Terms etc., Court may impose; costs</w:t>
      </w:r>
      <w:bookmarkEnd w:id="107"/>
    </w:p>
    <w:p>
      <w:pPr>
        <w:pStyle w:val="Subsection"/>
        <w:rPr>
          <w:snapToGrid w:val="0"/>
        </w:rPr>
      </w:pPr>
      <w:r>
        <w:rPr>
          <w:snapToGrid w:val="0"/>
        </w:rPr>
        <w:tab/>
        <w:t>(1)</w:t>
      </w:r>
      <w:r>
        <w:rPr>
          <w:snapToGrid w:val="0"/>
        </w:rPr>
        <w:tab/>
        <w:t xml:space="preserve">Subject to subsections (2) and (3), an order or decision made by the Supreme Court in review proceedings may be made on such </w:t>
      </w:r>
      <w:r>
        <w:rPr>
          <w:snapToGrid w:val="0"/>
        </w:rPr>
        <w:lastRenderedPageBreak/>
        <w:t>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108" w:name="_Toc199941683"/>
      <w:r>
        <w:rPr>
          <w:rStyle w:val="CharSectno"/>
        </w:rPr>
        <w:t>90</w:t>
      </w:r>
      <w:r>
        <w:rPr>
          <w:snapToGrid w:val="0"/>
        </w:rPr>
        <w:t>.</w:t>
      </w:r>
      <w:r>
        <w:rPr>
          <w:snapToGrid w:val="0"/>
        </w:rPr>
        <w:tab/>
        <w:t>Exempt matter etc., Court to ensure non</w:t>
      </w:r>
      <w:r>
        <w:rPr>
          <w:snapToGrid w:val="0"/>
        </w:rPr>
        <w:noBreakHyphen/>
        <w:t>disclosure of</w:t>
      </w:r>
      <w:bookmarkEnd w:id="108"/>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109" w:name="_Toc199941684"/>
      <w:r>
        <w:rPr>
          <w:rStyle w:val="CharSectno"/>
        </w:rPr>
        <w:lastRenderedPageBreak/>
        <w:t>91</w:t>
      </w:r>
      <w:r>
        <w:rPr>
          <w:snapToGrid w:val="0"/>
        </w:rPr>
        <w:t>.</w:t>
      </w:r>
      <w:r>
        <w:rPr>
          <w:snapToGrid w:val="0"/>
        </w:rPr>
        <w:tab/>
        <w:t>Document held by agency, Court may require production of etc.</w:t>
      </w:r>
      <w:bookmarkEnd w:id="109"/>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110" w:name="_Toc199941685"/>
      <w:r>
        <w:rPr>
          <w:rStyle w:val="CharSectno"/>
        </w:rPr>
        <w:t>92</w:t>
      </w:r>
      <w:r>
        <w:rPr>
          <w:snapToGrid w:val="0"/>
        </w:rPr>
        <w:t>.</w:t>
      </w:r>
      <w:r>
        <w:rPr>
          <w:snapToGrid w:val="0"/>
        </w:rPr>
        <w:tab/>
        <w:t>Disclosure restriction under other law does not apply to disclosing to Court</w:t>
      </w:r>
      <w:bookmarkEnd w:id="110"/>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111" w:name="_Toc199941686"/>
      <w:r>
        <w:rPr>
          <w:rStyle w:val="CharSectno"/>
        </w:rPr>
        <w:t>93</w:t>
      </w:r>
      <w:r>
        <w:rPr>
          <w:snapToGrid w:val="0"/>
        </w:rPr>
        <w:t>.</w:t>
      </w:r>
      <w:r>
        <w:rPr>
          <w:snapToGrid w:val="0"/>
        </w:rPr>
        <w:tab/>
        <w:t>Other procedure, Court may determine</w:t>
      </w:r>
      <w:bookmarkEnd w:id="111"/>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112" w:name="_Toc199941687"/>
      <w:r>
        <w:rPr>
          <w:rStyle w:val="CharPartNo"/>
        </w:rPr>
        <w:lastRenderedPageBreak/>
        <w:t>Part 5</w:t>
      </w:r>
      <w:r>
        <w:rPr>
          <w:rStyle w:val="CharDivNo"/>
        </w:rPr>
        <w:t> </w:t>
      </w:r>
      <w:r>
        <w:t>—</w:t>
      </w:r>
      <w:r>
        <w:rPr>
          <w:rStyle w:val="CharDivText"/>
        </w:rPr>
        <w:t> </w:t>
      </w:r>
      <w:r>
        <w:rPr>
          <w:rStyle w:val="CharPartText"/>
        </w:rPr>
        <w:t>Publication of information about agencies</w:t>
      </w:r>
      <w:bookmarkEnd w:id="112"/>
    </w:p>
    <w:p>
      <w:pPr>
        <w:pStyle w:val="Heading5"/>
        <w:rPr>
          <w:snapToGrid w:val="0"/>
        </w:rPr>
      </w:pPr>
      <w:bookmarkStart w:id="113" w:name="_Toc199941688"/>
      <w:r>
        <w:rPr>
          <w:rStyle w:val="CharSectno"/>
        </w:rPr>
        <w:t>94</w:t>
      </w:r>
      <w:r>
        <w:rPr>
          <w:snapToGrid w:val="0"/>
        </w:rPr>
        <w:t>.</w:t>
      </w:r>
      <w:r>
        <w:rPr>
          <w:snapToGrid w:val="0"/>
        </w:rPr>
        <w:tab/>
        <w:t>Term used: information statement</w:t>
      </w:r>
      <w:bookmarkEnd w:id="113"/>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lastRenderedPageBreak/>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114" w:name="_Toc199941689"/>
      <w:r>
        <w:rPr>
          <w:rStyle w:val="CharSectno"/>
        </w:rPr>
        <w:t>95</w:t>
      </w:r>
      <w:r>
        <w:rPr>
          <w:snapToGrid w:val="0"/>
        </w:rPr>
        <w:t>.</w:t>
      </w:r>
      <w:r>
        <w:rPr>
          <w:snapToGrid w:val="0"/>
        </w:rPr>
        <w:tab/>
        <w:t>Term used: internal manual</w:t>
      </w:r>
      <w:bookmarkEnd w:id="114"/>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115" w:name="_Toc199941690"/>
      <w:r>
        <w:rPr>
          <w:rStyle w:val="CharSectno"/>
        </w:rPr>
        <w:lastRenderedPageBreak/>
        <w:t>96</w:t>
      </w:r>
      <w:r>
        <w:rPr>
          <w:snapToGrid w:val="0"/>
        </w:rPr>
        <w:t>.</w:t>
      </w:r>
      <w:r>
        <w:rPr>
          <w:snapToGrid w:val="0"/>
        </w:rPr>
        <w:tab/>
        <w:t>Information statement, each agency to publish annually</w:t>
      </w:r>
      <w:bookmarkEnd w:id="115"/>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No. 47 of 1999 s. 13.]</w:t>
      </w:r>
    </w:p>
    <w:p>
      <w:pPr>
        <w:pStyle w:val="Heading5"/>
        <w:rPr>
          <w:snapToGrid w:val="0"/>
        </w:rPr>
      </w:pPr>
      <w:bookmarkStart w:id="116" w:name="_Toc199941691"/>
      <w:r>
        <w:rPr>
          <w:rStyle w:val="CharSectno"/>
        </w:rPr>
        <w:t>97</w:t>
      </w:r>
      <w:r>
        <w:rPr>
          <w:snapToGrid w:val="0"/>
        </w:rPr>
        <w:t>.</w:t>
      </w:r>
      <w:r>
        <w:rPr>
          <w:snapToGrid w:val="0"/>
        </w:rPr>
        <w:tab/>
        <w:t>Information statement and internal manual, each agency to make available etc.</w:t>
      </w:r>
      <w:bookmarkEnd w:id="116"/>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An agency has to provide a copy of its information statement to the Commissioner as soon as is practicable after the statement is published under section 96.</w:t>
      </w:r>
    </w:p>
    <w:p>
      <w:pPr>
        <w:pStyle w:val="Subsection"/>
      </w:pPr>
      <w:r>
        <w:lastRenderedPageBreak/>
        <w:tab/>
        <w:t>(3)</w:t>
      </w:r>
      <w:r>
        <w:tab/>
        <w:t>A subcontractor does not have to comply with subsections (1) and (2) if the relevant contractor has complied with those subsections on behalf of the subcontractor.</w:t>
      </w:r>
    </w:p>
    <w:p>
      <w:pPr>
        <w:pStyle w:val="Footnotesection"/>
      </w:pPr>
      <w:r>
        <w:tab/>
        <w:t>[Section 97 amended: No. 47 of 1999 s. 14.]</w:t>
      </w:r>
    </w:p>
    <w:p>
      <w:pPr>
        <w:pStyle w:val="Heading2"/>
      </w:pPr>
      <w:bookmarkStart w:id="117" w:name="_Toc199941692"/>
      <w:r>
        <w:rPr>
          <w:rStyle w:val="CharPartNo"/>
        </w:rPr>
        <w:lastRenderedPageBreak/>
        <w:t>Part 6</w:t>
      </w:r>
      <w:r>
        <w:rPr>
          <w:rStyle w:val="CharDivNo"/>
        </w:rPr>
        <w:t> </w:t>
      </w:r>
      <w:r>
        <w:t>—</w:t>
      </w:r>
      <w:r>
        <w:rPr>
          <w:rStyle w:val="CharDivText"/>
        </w:rPr>
        <w:t> </w:t>
      </w:r>
      <w:r>
        <w:rPr>
          <w:rStyle w:val="CharPartText"/>
        </w:rPr>
        <w:t>Miscellaneous</w:t>
      </w:r>
      <w:bookmarkEnd w:id="117"/>
    </w:p>
    <w:p>
      <w:pPr>
        <w:pStyle w:val="Heading5"/>
        <w:rPr>
          <w:snapToGrid w:val="0"/>
        </w:rPr>
      </w:pPr>
      <w:bookmarkStart w:id="118" w:name="_Toc199941693"/>
      <w:r>
        <w:rPr>
          <w:rStyle w:val="CharSectno"/>
        </w:rPr>
        <w:t>98</w:t>
      </w:r>
      <w:r>
        <w:rPr>
          <w:snapToGrid w:val="0"/>
        </w:rPr>
        <w:t>.</w:t>
      </w:r>
      <w:r>
        <w:rPr>
          <w:snapToGrid w:val="0"/>
        </w:rPr>
        <w:tab/>
        <w:t>Child or handicapped person, applications on behalf of</w:t>
      </w:r>
      <w:bookmarkEnd w:id="118"/>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119" w:name="_Toc199941694"/>
      <w:r>
        <w:rPr>
          <w:rStyle w:val="CharSectno"/>
        </w:rPr>
        <w:t>99</w:t>
      </w:r>
      <w:r>
        <w:rPr>
          <w:snapToGrid w:val="0"/>
        </w:rPr>
        <w:t>.</w:t>
      </w:r>
      <w:r>
        <w:rPr>
          <w:snapToGrid w:val="0"/>
        </w:rPr>
        <w:tab/>
        <w:t>Defunct agency, performance of functions on behalf of</w:t>
      </w:r>
      <w:bookmarkEnd w:id="119"/>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120" w:name="_Toc199941695"/>
      <w:r>
        <w:rPr>
          <w:rStyle w:val="CharSectno"/>
        </w:rPr>
        <w:t>100</w:t>
      </w:r>
      <w:r>
        <w:rPr>
          <w:snapToGrid w:val="0"/>
        </w:rPr>
        <w:t>.</w:t>
      </w:r>
      <w:r>
        <w:rPr>
          <w:snapToGrid w:val="0"/>
        </w:rPr>
        <w:tab/>
        <w:t>Who in agency makes its decisions</w:t>
      </w:r>
      <w:bookmarkEnd w:id="120"/>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121" w:name="_Toc199941696"/>
      <w:r>
        <w:rPr>
          <w:rStyle w:val="CharSectno"/>
        </w:rPr>
        <w:lastRenderedPageBreak/>
        <w:t>101</w:t>
      </w:r>
      <w:r>
        <w:rPr>
          <w:snapToGrid w:val="0"/>
        </w:rPr>
        <w:t>.</w:t>
      </w:r>
      <w:r>
        <w:rPr>
          <w:snapToGrid w:val="0"/>
        </w:rPr>
        <w:tab/>
        <w:t>Notice sent by post or fax, presumed time of service of</w:t>
      </w:r>
      <w:bookmarkEnd w:id="121"/>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122" w:name="_Toc199941697"/>
      <w:r>
        <w:rPr>
          <w:rStyle w:val="CharSectno"/>
        </w:rPr>
        <w:t>102</w:t>
      </w:r>
      <w:r>
        <w:rPr>
          <w:snapToGrid w:val="0"/>
        </w:rPr>
        <w:t>.</w:t>
      </w:r>
      <w:r>
        <w:rPr>
          <w:snapToGrid w:val="0"/>
        </w:rPr>
        <w:tab/>
        <w:t>Burden of proof</w:t>
      </w:r>
      <w:bookmarkEnd w:id="122"/>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123" w:name="_Toc199941698"/>
      <w:r>
        <w:rPr>
          <w:rStyle w:val="CharSectno"/>
        </w:rPr>
        <w:t>103</w:t>
      </w:r>
      <w:r>
        <w:rPr>
          <w:snapToGrid w:val="0"/>
        </w:rPr>
        <w:t>.</w:t>
      </w:r>
      <w:r>
        <w:rPr>
          <w:snapToGrid w:val="0"/>
        </w:rPr>
        <w:tab/>
        <w:t>No review of decisions etc. except under this Act</w:t>
      </w:r>
      <w:bookmarkEnd w:id="123"/>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Next/>
        <w:keepLines/>
        <w:rPr>
          <w:snapToGrid w:val="0"/>
        </w:rPr>
      </w:pPr>
      <w:r>
        <w:rPr>
          <w:snapToGrid w:val="0"/>
        </w:rPr>
        <w:lastRenderedPageBreak/>
        <w:tab/>
        <w:t>(c)</w:t>
      </w:r>
      <w:r>
        <w:rPr>
          <w:snapToGrid w:val="0"/>
        </w:rPr>
        <w:tab/>
        <w:t>an act, omission, decision or proceeding of the Commissioner, or any other thing done by the Commissioner.</w:t>
      </w:r>
    </w:p>
    <w:p>
      <w:pPr>
        <w:pStyle w:val="Heading5"/>
        <w:rPr>
          <w:snapToGrid w:val="0"/>
        </w:rPr>
      </w:pPr>
      <w:bookmarkStart w:id="124" w:name="_Toc199941699"/>
      <w:r>
        <w:rPr>
          <w:rStyle w:val="CharSectno"/>
        </w:rPr>
        <w:t>104</w:t>
      </w:r>
      <w:r>
        <w:rPr>
          <w:snapToGrid w:val="0"/>
        </w:rPr>
        <w:t>.</w:t>
      </w:r>
      <w:r>
        <w:rPr>
          <w:snapToGrid w:val="0"/>
        </w:rPr>
        <w:tab/>
        <w:t>Defamation or breach of confidence action, certain people protected from</w:t>
      </w:r>
      <w:bookmarkEnd w:id="124"/>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125" w:name="_Toc199941700"/>
      <w:r>
        <w:rPr>
          <w:rStyle w:val="CharSectno"/>
        </w:rPr>
        <w:t>105</w:t>
      </w:r>
      <w:r>
        <w:rPr>
          <w:snapToGrid w:val="0"/>
        </w:rPr>
        <w:t>.</w:t>
      </w:r>
      <w:r>
        <w:rPr>
          <w:snapToGrid w:val="0"/>
        </w:rPr>
        <w:tab/>
        <w:t>Criminal liability, certain people protected from</w:t>
      </w:r>
      <w:bookmarkEnd w:id="125"/>
    </w:p>
    <w:p>
      <w:pPr>
        <w:pStyle w:val="Subsection"/>
        <w:rPr>
          <w:snapToGrid w:val="0"/>
        </w:rPr>
      </w:pPr>
      <w:r>
        <w:rPr>
          <w:snapToGrid w:val="0"/>
        </w:rPr>
        <w:tab/>
      </w:r>
      <w:r>
        <w:rPr>
          <w:snapToGrid w:val="0"/>
        </w:rPr>
        <w:tab/>
        <w:t xml:space="preserve">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w:t>
      </w:r>
      <w:r>
        <w:rPr>
          <w:snapToGrid w:val="0"/>
        </w:rPr>
        <w:lastRenderedPageBreak/>
        <w:t>document is guilty of an offence merely because of the making of the decision or the giving of access.</w:t>
      </w:r>
    </w:p>
    <w:p>
      <w:pPr>
        <w:pStyle w:val="Heading5"/>
        <w:rPr>
          <w:snapToGrid w:val="0"/>
        </w:rPr>
      </w:pPr>
      <w:bookmarkStart w:id="126" w:name="_Toc199941701"/>
      <w:r>
        <w:rPr>
          <w:rStyle w:val="CharSectno"/>
        </w:rPr>
        <w:t>106</w:t>
      </w:r>
      <w:r>
        <w:rPr>
          <w:snapToGrid w:val="0"/>
        </w:rPr>
        <w:t>.</w:t>
      </w:r>
      <w:r>
        <w:rPr>
          <w:snapToGrid w:val="0"/>
        </w:rPr>
        <w:tab/>
        <w:t>Personal liability, certain people protected from</w:t>
      </w:r>
      <w:bookmarkEnd w:id="126"/>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127" w:name="_Toc199941702"/>
      <w:r>
        <w:rPr>
          <w:rStyle w:val="CharSectno"/>
        </w:rPr>
        <w:t>107</w:t>
      </w:r>
      <w:r>
        <w:rPr>
          <w:snapToGrid w:val="0"/>
        </w:rPr>
        <w:t>.</w:t>
      </w:r>
      <w:r>
        <w:rPr>
          <w:snapToGrid w:val="0"/>
        </w:rPr>
        <w:tab/>
        <w:t>Failure to consult under Part 2 Div. 3, Crown etc. not liable in case of</w:t>
      </w:r>
      <w:bookmarkEnd w:id="127"/>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128" w:name="_Toc199941703"/>
      <w:r>
        <w:rPr>
          <w:rStyle w:val="CharSectno"/>
        </w:rPr>
        <w:t>108</w:t>
      </w:r>
      <w:r>
        <w:rPr>
          <w:snapToGrid w:val="0"/>
        </w:rPr>
        <w:t>.</w:t>
      </w:r>
      <w:r>
        <w:rPr>
          <w:snapToGrid w:val="0"/>
        </w:rPr>
        <w:tab/>
        <w:t>Exempt matter does not have to be published</w:t>
      </w:r>
      <w:bookmarkEnd w:id="128"/>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129" w:name="_Toc199941704"/>
      <w:r>
        <w:rPr>
          <w:rStyle w:val="CharSectno"/>
        </w:rPr>
        <w:t>109</w:t>
      </w:r>
      <w:r>
        <w:rPr>
          <w:snapToGrid w:val="0"/>
        </w:rPr>
        <w:t>.</w:t>
      </w:r>
      <w:r>
        <w:rPr>
          <w:snapToGrid w:val="0"/>
        </w:rPr>
        <w:tab/>
        <w:t>Personal information of another etc., obtaining access to by deceit etc. is offence</w:t>
      </w:r>
      <w:bookmarkEnd w:id="129"/>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spacing w:before="60"/>
        <w:rPr>
          <w:snapToGrid w:val="0"/>
        </w:rPr>
      </w:pPr>
      <w:r>
        <w:rPr>
          <w:snapToGrid w:val="0"/>
        </w:rPr>
        <w:lastRenderedPageBreak/>
        <w:tab/>
        <w:t>(b)</w:t>
      </w:r>
      <w:r>
        <w:rPr>
          <w:snapToGrid w:val="0"/>
        </w:rPr>
        <w:tab/>
        <w:t>information about the business, professional, commercial or financial affairs of another person,</w:t>
      </w:r>
    </w:p>
    <w:p>
      <w:pPr>
        <w:pStyle w:val="Subsection"/>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No. 50 of 2003 s. 64(3).]</w:t>
      </w:r>
    </w:p>
    <w:p>
      <w:pPr>
        <w:pStyle w:val="Heading5"/>
        <w:rPr>
          <w:snapToGrid w:val="0"/>
        </w:rPr>
      </w:pPr>
      <w:bookmarkStart w:id="130" w:name="_Toc199941705"/>
      <w:r>
        <w:rPr>
          <w:rStyle w:val="CharSectno"/>
        </w:rPr>
        <w:t>110</w:t>
      </w:r>
      <w:r>
        <w:rPr>
          <w:snapToGrid w:val="0"/>
        </w:rPr>
        <w:t>.</w:t>
      </w:r>
      <w:r>
        <w:rPr>
          <w:snapToGrid w:val="0"/>
        </w:rPr>
        <w:tab/>
        <w:t>Destroying document to prevent access, offence</w:t>
      </w:r>
      <w:bookmarkEnd w:id="130"/>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No. 50 of 2003 s. 64(4).]</w:t>
      </w:r>
    </w:p>
    <w:p>
      <w:pPr>
        <w:pStyle w:val="Heading5"/>
        <w:rPr>
          <w:snapToGrid w:val="0"/>
        </w:rPr>
      </w:pPr>
      <w:bookmarkStart w:id="131" w:name="_Toc199941706"/>
      <w:r>
        <w:rPr>
          <w:rStyle w:val="CharSectno"/>
        </w:rPr>
        <w:t>111</w:t>
      </w:r>
      <w:r>
        <w:rPr>
          <w:snapToGrid w:val="0"/>
        </w:rPr>
        <w:t>.</w:t>
      </w:r>
      <w:r>
        <w:rPr>
          <w:snapToGrid w:val="0"/>
        </w:rPr>
        <w:tab/>
        <w:t>Annual report to Parliament</w:t>
      </w:r>
      <w:bookmarkEnd w:id="131"/>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(2)</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 and</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keepNext/>
        <w:rPr>
          <w:snapToGrid w:val="0"/>
        </w:rPr>
      </w:pPr>
      <w:r>
        <w:rPr>
          <w:snapToGrid w:val="0"/>
        </w:rPr>
        <w:lastRenderedPageBreak/>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number of times each of the clauses in Schedule 1 was used to characterize documents as exempt documents; and</w:t>
      </w:r>
    </w:p>
    <w:p>
      <w:pPr>
        <w:pStyle w:val="Indenta"/>
        <w:rPr>
          <w:snapToGrid w:val="0"/>
        </w:rPr>
      </w:pPr>
      <w:r>
        <w:rPr>
          <w:snapToGrid w:val="0"/>
        </w:rPr>
        <w:tab/>
        <w:t>(d)</w:t>
      </w:r>
      <w:r>
        <w:rPr>
          <w:snapToGrid w:val="0"/>
        </w:rPr>
        <w:tab/>
        <w:t>the number of applications for internal review under Part 2 and the results of the reviews; and</w:t>
      </w:r>
    </w:p>
    <w:p>
      <w:pPr>
        <w:pStyle w:val="Indenta"/>
        <w:rPr>
          <w:snapToGrid w:val="0"/>
        </w:rPr>
      </w:pPr>
      <w:r>
        <w:rPr>
          <w:snapToGrid w:val="0"/>
        </w:rPr>
        <w:tab/>
        <w:t>(e)</w:t>
      </w:r>
      <w:r>
        <w:rPr>
          <w:snapToGrid w:val="0"/>
        </w:rPr>
        <w:tab/>
        <w:t>the number of applications for amendment of personal information received and dealt with; and</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number of applications for internal review under Part 3 and the results of the reviews; and</w:t>
      </w:r>
    </w:p>
    <w:p>
      <w:pPr>
        <w:pStyle w:val="Indenta"/>
        <w:rPr>
          <w:snapToGrid w:val="0"/>
        </w:rPr>
      </w:pPr>
      <w:r>
        <w:rPr>
          <w:snapToGrid w:val="0"/>
        </w:rPr>
        <w:tab/>
        <w:t>(h)</w:t>
      </w:r>
      <w:r>
        <w:rPr>
          <w:snapToGrid w:val="0"/>
        </w:rPr>
        <w:tab/>
        <w:t>the number of complaints made to the Commissioner and the results of the complaints; and</w:t>
      </w:r>
    </w:p>
    <w:p>
      <w:pPr>
        <w:pStyle w:val="Indenta"/>
        <w:rPr>
          <w:snapToGrid w:val="0"/>
        </w:rPr>
      </w:pPr>
      <w:r>
        <w:rPr>
          <w:snapToGrid w:val="0"/>
        </w:rPr>
        <w:tab/>
        <w:t>(i)</w:t>
      </w:r>
      <w:r>
        <w:rPr>
          <w:snapToGrid w:val="0"/>
        </w:rPr>
        <w:tab/>
        <w:t>the number of other applications made to the Commissioner and the results of those applications; and</w:t>
      </w:r>
    </w:p>
    <w:p>
      <w:pPr>
        <w:pStyle w:val="Indenta"/>
        <w:rPr>
          <w:snapToGrid w:val="0"/>
        </w:rPr>
      </w:pPr>
      <w:r>
        <w:rPr>
          <w:snapToGrid w:val="0"/>
        </w:rPr>
        <w:tab/>
        <w:t>(j)</w:t>
      </w:r>
      <w:r>
        <w:rPr>
          <w:snapToGrid w:val="0"/>
        </w:rPr>
        <w:tab/>
        <w:t>the number of appeals to the Supreme Court and the results of those appeals; and</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keepNext/>
        <w:rPr>
          <w:snapToGrid w:val="0"/>
        </w:rPr>
      </w:pPr>
      <w:r>
        <w:rPr>
          <w:snapToGrid w:val="0"/>
        </w:rPr>
        <w:lastRenderedPageBreak/>
        <w:tab/>
        <w:t>(3)</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(4)</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(5)</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132" w:name="_Toc199941707"/>
      <w:r>
        <w:rPr>
          <w:rStyle w:val="CharSectno"/>
        </w:rPr>
        <w:t>112</w:t>
      </w:r>
      <w:r>
        <w:rPr>
          <w:snapToGrid w:val="0"/>
        </w:rPr>
        <w:t>.</w:t>
      </w:r>
      <w:r>
        <w:rPr>
          <w:snapToGrid w:val="0"/>
        </w:rPr>
        <w:tab/>
        <w:t>Regulations</w:t>
      </w:r>
      <w:bookmarkEnd w:id="13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lastRenderedPageBreak/>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133" w:name="_Toc199941708"/>
      <w:r>
        <w:rPr>
          <w:rStyle w:val="CharSectno"/>
        </w:rPr>
        <w:t>113</w:t>
      </w:r>
      <w:r>
        <w:rPr>
          <w:snapToGrid w:val="0"/>
        </w:rPr>
        <w:t>.</w:t>
      </w:r>
      <w:r>
        <w:rPr>
          <w:snapToGrid w:val="0"/>
        </w:rPr>
        <w:tab/>
        <w:t>Review of Act</w:t>
      </w:r>
      <w:bookmarkEnd w:id="133"/>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outlineLvl w:val="0"/>
      </w:pPr>
      <w:bookmarkStart w:id="134" w:name="_Toc199941709"/>
      <w:r>
        <w:rPr>
          <w:rStyle w:val="CharSchNo"/>
        </w:rPr>
        <w:lastRenderedPageBreak/>
        <w:t>Schedule 1</w:t>
      </w:r>
      <w:r>
        <w:t xml:space="preserve"> — </w:t>
      </w:r>
      <w:r>
        <w:rPr>
          <w:rStyle w:val="CharSchText"/>
        </w:rPr>
        <w:t>Exempt matter</w:t>
      </w:r>
      <w:bookmarkEnd w:id="134"/>
    </w:p>
    <w:p>
      <w:pPr>
        <w:pStyle w:val="yShoulderClause"/>
        <w:rPr>
          <w:snapToGrid w:val="0"/>
        </w:rPr>
      </w:pPr>
      <w:r>
        <w:rPr>
          <w:snapToGrid w:val="0"/>
        </w:rPr>
        <w:t>[Glossary cl. 1]</w:t>
      </w:r>
    </w:p>
    <w:p>
      <w:pPr>
        <w:pStyle w:val="yFootnotesection"/>
      </w:pPr>
      <w:r>
        <w:tab/>
        <w:t>[Heading amended: No. 19 of 2010 s. 4.]</w:t>
      </w:r>
    </w:p>
    <w:p>
      <w:pPr>
        <w:pStyle w:val="yHeading5"/>
      </w:pPr>
      <w:bookmarkStart w:id="135" w:name="_Toc199941710"/>
      <w:r>
        <w:rPr>
          <w:rStyle w:val="CharSClsNo"/>
        </w:rPr>
        <w:t>1</w:t>
      </w:r>
      <w:r>
        <w:t>.</w:t>
      </w:r>
      <w:r>
        <w:tab/>
        <w:t>Cabinet and Executive Council, deliberations etc. of</w:t>
      </w:r>
      <w:bookmarkEnd w:id="135"/>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lastRenderedPageBreak/>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 No. 57 of 1997 s. 62(3); No. 19 of 2010 s. 59.]</w:t>
      </w:r>
    </w:p>
    <w:p>
      <w:pPr>
        <w:pStyle w:val="yHeading5"/>
      </w:pPr>
      <w:bookmarkStart w:id="136" w:name="_Toc199941711"/>
      <w:r>
        <w:rPr>
          <w:rStyle w:val="CharSClsNo"/>
        </w:rPr>
        <w:t>2</w:t>
      </w:r>
      <w:r>
        <w:t>.</w:t>
      </w:r>
      <w:r>
        <w:tab/>
        <w:t>Inter</w:t>
      </w:r>
      <w:r>
        <w:noBreakHyphen/>
        <w:t>governmental relations, matter that could damage etc.</w:t>
      </w:r>
      <w:bookmarkEnd w:id="136"/>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lastRenderedPageBreak/>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 No. 19 of 2010 s. 59.]</w:t>
      </w:r>
    </w:p>
    <w:p>
      <w:pPr>
        <w:pStyle w:val="yHeading5"/>
      </w:pPr>
      <w:bookmarkStart w:id="137" w:name="_Toc199941712"/>
      <w:r>
        <w:rPr>
          <w:rStyle w:val="CharSClsNo"/>
        </w:rPr>
        <w:t>3</w:t>
      </w:r>
      <w:r>
        <w:t>.</w:t>
      </w:r>
      <w:r>
        <w:tab/>
        <w:t>Personal information</w:t>
      </w:r>
      <w:bookmarkEnd w:id="137"/>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 No. 19 of 2010 s. 59.]</w:t>
      </w:r>
    </w:p>
    <w:p>
      <w:pPr>
        <w:pStyle w:val="yHeading5"/>
      </w:pPr>
      <w:bookmarkStart w:id="138" w:name="_Toc199941713"/>
      <w:r>
        <w:rPr>
          <w:rStyle w:val="CharSClsNo"/>
        </w:rPr>
        <w:lastRenderedPageBreak/>
        <w:t>4</w:t>
      </w:r>
      <w:r>
        <w:t>.</w:t>
      </w:r>
      <w:r>
        <w:tab/>
        <w:t>Trade secrets, commercial and business information</w:t>
      </w:r>
      <w:bookmarkEnd w:id="138"/>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 No. 19 of 2010 s. 59.]</w:t>
      </w:r>
    </w:p>
    <w:p>
      <w:pPr>
        <w:pStyle w:val="yHeading5"/>
      </w:pPr>
      <w:bookmarkStart w:id="139" w:name="_Toc199941714"/>
      <w:r>
        <w:rPr>
          <w:rStyle w:val="CharSClsNo"/>
        </w:rPr>
        <w:t>4A</w:t>
      </w:r>
      <w:r>
        <w:t>.</w:t>
      </w:r>
      <w:r>
        <w:tab/>
        <w:t xml:space="preserve">Information given to Treasurer etc. under </w:t>
      </w:r>
      <w:r>
        <w:rPr>
          <w:i/>
        </w:rPr>
        <w:t>Bank of Western Australia Act 1995</w:t>
      </w:r>
      <w:bookmarkEnd w:id="139"/>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Bank of Western Australia Act 1995</w:t>
      </w:r>
      <w:r>
        <w:t xml:space="preserve"> section 22; or</w:t>
      </w:r>
    </w:p>
    <w:p>
      <w:pPr>
        <w:pStyle w:val="yIndenta"/>
      </w:pPr>
      <w:r>
        <w:lastRenderedPageBreak/>
        <w:tab/>
        <w:t>(b)</w:t>
      </w:r>
      <w:r>
        <w:tab/>
        <w:t xml:space="preserve">the Minister under the </w:t>
      </w:r>
      <w:r>
        <w:rPr>
          <w:i/>
        </w:rPr>
        <w:t>Bank of Western Australia Act 1995</w:t>
      </w:r>
      <w:r>
        <w:t xml:space="preserve"> section 42O.</w:t>
      </w:r>
    </w:p>
    <w:p>
      <w:pPr>
        <w:pStyle w:val="yFootnotesection"/>
      </w:pPr>
      <w:r>
        <w:tab/>
        <w:t>[Clause 4A inserted: No. 14 of 2012 s. 9.]</w:t>
      </w:r>
    </w:p>
    <w:p>
      <w:pPr>
        <w:pStyle w:val="yHeading5"/>
      </w:pPr>
      <w:bookmarkStart w:id="140" w:name="_Toc199941715"/>
      <w:r>
        <w:rPr>
          <w:rStyle w:val="CharSClsNo"/>
        </w:rPr>
        <w:t>5</w:t>
      </w:r>
      <w:r>
        <w:t>.</w:t>
      </w:r>
      <w:r>
        <w:tab/>
        <w:t>Law enforcement, public safety and property security, matter prejudicial etc. to</w:t>
      </w:r>
      <w:bookmarkEnd w:id="140"/>
    </w:p>
    <w:p>
      <w:pPr>
        <w:pStyle w:val="ySubsection"/>
        <w:keepNext/>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pPr>
      <w:r>
        <w:tab/>
        <w:t>(3A)</w:t>
      </w:r>
      <w:r>
        <w:tab/>
        <w:t>A Commissioner of Police report is exempt matter.</w:t>
      </w:r>
    </w:p>
    <w:p>
      <w:pPr>
        <w:pStyle w:val="ySubsection"/>
        <w:keepNext/>
        <w:rPr>
          <w:snapToGrid w:val="0"/>
        </w:rPr>
      </w:pPr>
      <w:r>
        <w:rPr>
          <w:snapToGrid w:val="0"/>
        </w:rPr>
        <w:lastRenderedPageBreak/>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pPr>
      <w:r>
        <w:tab/>
      </w:r>
      <w:r>
        <w:rPr>
          <w:rStyle w:val="CharDefText"/>
        </w:rPr>
        <w:t>Commissioner of Police report</w:t>
      </w:r>
      <w:r>
        <w:t xml:space="preserve"> means a written report referred to in —</w:t>
      </w:r>
    </w:p>
    <w:p>
      <w:pPr>
        <w:pStyle w:val="yDefpara"/>
      </w:pPr>
      <w:r>
        <w:tab/>
        <w:t>(a)</w:t>
      </w:r>
      <w:r>
        <w:tab/>
        <w:t xml:space="preserve">the </w:t>
      </w:r>
      <w:r>
        <w:rPr>
          <w:i/>
        </w:rPr>
        <w:t>Sentence Administration Act 1995</w:t>
      </w:r>
      <w:r>
        <w:t xml:space="preserve"> section 66H(1) or (4); and</w:t>
      </w:r>
    </w:p>
    <w:p>
      <w:pPr>
        <w:pStyle w:val="yDefpara"/>
      </w:pPr>
      <w:r>
        <w:tab/>
        <w:t>(b)</w:t>
      </w:r>
      <w:r>
        <w:tab/>
        <w:t xml:space="preserve">the </w:t>
      </w:r>
      <w:r>
        <w:rPr>
          <w:i/>
        </w:rPr>
        <w:t>Young Offenders Act 1994</w:t>
      </w:r>
      <w:r>
        <w:t xml:space="preserve"> section 150D(1) or (4);</w:t>
      </w:r>
    </w:p>
    <w:p>
      <w:pPr>
        <w:pStyle w:val="yDefstart"/>
      </w:pPr>
      <w: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 No. 31 of 1993 s. 43; No. 11 of 1996 s. 41; No. 56 of 2004 s. 4; No. 19 of 2010 s. 59; No. 14 of 2022 s. 45.]</w:t>
      </w:r>
    </w:p>
    <w:p>
      <w:pPr>
        <w:pStyle w:val="yHeading5"/>
      </w:pPr>
      <w:bookmarkStart w:id="141" w:name="_Toc199941716"/>
      <w:r>
        <w:rPr>
          <w:rStyle w:val="CharSClsNo"/>
        </w:rPr>
        <w:lastRenderedPageBreak/>
        <w:t>6</w:t>
      </w:r>
      <w:r>
        <w:t>.</w:t>
      </w:r>
      <w:r>
        <w:tab/>
        <w:t>Deliberative processes of Government etc., matter revealing</w:t>
      </w:r>
      <w:bookmarkEnd w:id="141"/>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 No. 19 of 2010 s. 59.]</w:t>
      </w:r>
    </w:p>
    <w:p>
      <w:pPr>
        <w:pStyle w:val="yHeading5"/>
      </w:pPr>
      <w:bookmarkStart w:id="142" w:name="_Toc199941717"/>
      <w:r>
        <w:rPr>
          <w:rStyle w:val="CharSClsNo"/>
        </w:rPr>
        <w:t>7</w:t>
      </w:r>
      <w:r>
        <w:t>.</w:t>
      </w:r>
      <w:r>
        <w:tab/>
        <w:t>Legal professional privilege, matter subject to</w:t>
      </w:r>
      <w:bookmarkEnd w:id="142"/>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 No. 19 of 2010 s. 59.]</w:t>
      </w:r>
    </w:p>
    <w:p>
      <w:pPr>
        <w:pStyle w:val="yHeading5"/>
      </w:pPr>
      <w:bookmarkStart w:id="143" w:name="_Toc199941718"/>
      <w:r>
        <w:rPr>
          <w:rStyle w:val="CharSClsNo"/>
        </w:rPr>
        <w:t>8</w:t>
      </w:r>
      <w:r>
        <w:t>.</w:t>
      </w:r>
      <w:r>
        <w:tab/>
        <w:t>Confidential communications</w:t>
      </w:r>
      <w:bookmarkEnd w:id="143"/>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keepNext/>
        <w:spacing w:before="60"/>
        <w:rPr>
          <w:snapToGrid w:val="0"/>
        </w:rPr>
      </w:pPr>
      <w:r>
        <w:rPr>
          <w:snapToGrid w:val="0"/>
        </w:rPr>
        <w:lastRenderedPageBreak/>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pPr>
        <w:pStyle w:val="yFootnotesection"/>
      </w:pPr>
      <w:r>
        <w:tab/>
        <w:t>[Clause 8 amended: No. 19 of 2010 s. 59.]</w:t>
      </w:r>
    </w:p>
    <w:p>
      <w:pPr>
        <w:pStyle w:val="yHeading5"/>
      </w:pPr>
      <w:bookmarkStart w:id="144" w:name="_Toc199941719"/>
      <w:r>
        <w:rPr>
          <w:rStyle w:val="CharSClsNo"/>
        </w:rPr>
        <w:t>9</w:t>
      </w:r>
      <w:r>
        <w:t>.</w:t>
      </w:r>
      <w:r>
        <w:tab/>
        <w:t>State’s economy, matter adversely affecting management of etc.</w:t>
      </w:r>
      <w:bookmarkEnd w:id="144"/>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 No. 19 of 2010 s. 59.]</w:t>
      </w:r>
    </w:p>
    <w:p>
      <w:pPr>
        <w:pStyle w:val="yHeading5"/>
      </w:pPr>
      <w:bookmarkStart w:id="145" w:name="_Toc199941720"/>
      <w:r>
        <w:rPr>
          <w:rStyle w:val="CharSClsNo"/>
        </w:rPr>
        <w:t>10</w:t>
      </w:r>
      <w:r>
        <w:t>.</w:t>
      </w:r>
      <w:r>
        <w:tab/>
        <w:t>State’s financial or property affairs, matter adversely affecting etc.</w:t>
      </w:r>
      <w:bookmarkEnd w:id="145"/>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lastRenderedPageBreak/>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 No. 19 of 2010 s. 59.]</w:t>
      </w:r>
    </w:p>
    <w:p>
      <w:pPr>
        <w:pStyle w:val="yHeading5"/>
      </w:pPr>
      <w:bookmarkStart w:id="146" w:name="_Toc199941721"/>
      <w:r>
        <w:rPr>
          <w:rStyle w:val="CharSClsNo"/>
        </w:rPr>
        <w:t>11</w:t>
      </w:r>
      <w:r>
        <w:t>.</w:t>
      </w:r>
      <w:r>
        <w:tab/>
        <w:t>Effective operation of agencies, matter impairing etc.</w:t>
      </w:r>
      <w:bookmarkEnd w:id="146"/>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lastRenderedPageBreak/>
        <w:tab/>
        <w:t>(2)</w:t>
      </w:r>
      <w:r>
        <w:rPr>
          <w:snapToGrid w:val="0"/>
        </w:rPr>
        <w:tab/>
        <w:t>Matter is not exempt matter under subclause (1) if its disclosure would, on balance, be in the public interest.</w:t>
      </w:r>
    </w:p>
    <w:p>
      <w:pPr>
        <w:pStyle w:val="yFootnotesection"/>
      </w:pPr>
      <w:r>
        <w:tab/>
        <w:t>[Clause 11 amended: No. 19 of 2010 s. 59.]</w:t>
      </w:r>
    </w:p>
    <w:p>
      <w:pPr>
        <w:pStyle w:val="yHeading5"/>
      </w:pPr>
      <w:bookmarkStart w:id="147" w:name="_Toc199941722"/>
      <w:r>
        <w:rPr>
          <w:rStyle w:val="CharSClsNo"/>
        </w:rPr>
        <w:t>12</w:t>
      </w:r>
      <w:r>
        <w:t>.</w:t>
      </w:r>
      <w:r>
        <w:tab/>
        <w:t>Contempt of Parliament or court, matter that would be</w:t>
      </w:r>
      <w:bookmarkEnd w:id="147"/>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pPr>
      <w:r>
        <w:tab/>
        <w:t>[Clause 12 amended: No. 19 of 2010 s. 59.]</w:t>
      </w:r>
    </w:p>
    <w:p>
      <w:pPr>
        <w:pStyle w:val="yHeading5"/>
      </w:pPr>
      <w:bookmarkStart w:id="148" w:name="_Toc199941723"/>
      <w:r>
        <w:rPr>
          <w:rStyle w:val="CharSClsNo"/>
        </w:rPr>
        <w:t>13</w:t>
      </w:r>
      <w:r>
        <w:t>.</w:t>
      </w:r>
      <w:r>
        <w:tab/>
        <w:t>Adoption or artificial conception information</w:t>
      </w:r>
      <w:bookmarkEnd w:id="148"/>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 No. 19 of 2010 s. 59.]</w:t>
      </w:r>
    </w:p>
    <w:p>
      <w:pPr>
        <w:pStyle w:val="yHeading5"/>
      </w:pPr>
      <w:bookmarkStart w:id="149" w:name="_Toc199941724"/>
      <w:r>
        <w:rPr>
          <w:rStyle w:val="CharSClsNo"/>
        </w:rPr>
        <w:t>14</w:t>
      </w:r>
      <w:r>
        <w:t>.</w:t>
      </w:r>
      <w:r>
        <w:tab/>
        <w:t>Information protected by certain statutory provisions</w:t>
      </w:r>
      <w:bookmarkEnd w:id="149"/>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lastRenderedPageBreak/>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pPr>
      <w:r>
        <w:tab/>
        <w:t>(a)</w:t>
      </w:r>
      <w:r>
        <w:tab/>
        <w:t>Part 3A;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pPr>
        <w:pStyle w:val="yIndenta"/>
        <w:keepNext/>
        <w:keepLines/>
        <w:spacing w:before="70"/>
      </w:pPr>
      <w:r>
        <w:lastRenderedPageBreak/>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pPr>
        <w:pStyle w:val="yFootnotesection"/>
      </w:pPr>
      <w:r>
        <w:tab/>
        <w:t>[Clause 14 amended: No. 94 of 1994 s. 3; No. 50 of 1995 s. 3; No. 75 of 1995 s. 80(4); No. 13 of 1998 s. 34(2); No. 43 of 1999 s. 20; No. 29 of 2003 s. 28; No. 75 of 2003 s. 56(1); No. 26 of 2008 s. 13; No. 33 of 2010 s. 57; No. 19 of 2010 s. 59; No. 54 of 2012 s. 44; No. 23 of 2022 s. 44.]</w:t>
      </w:r>
    </w:p>
    <w:p>
      <w:pPr>
        <w:pStyle w:val="yHeading5"/>
      </w:pPr>
      <w:bookmarkStart w:id="150" w:name="_Toc199941725"/>
      <w:r>
        <w:rPr>
          <w:rStyle w:val="CharSClsNo"/>
        </w:rPr>
        <w:t>15</w:t>
      </w:r>
      <w:r>
        <w:t>.</w:t>
      </w:r>
      <w:r>
        <w:tab/>
        <w:t>Precious metal transactions, information as to</w:t>
      </w:r>
      <w:bookmarkEnd w:id="150"/>
    </w:p>
    <w:p>
      <w:pPr>
        <w:pStyle w:val="ySubsection"/>
        <w:keepNext/>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 No. 19 of 2010 s. 59.]</w:t>
      </w:r>
    </w:p>
    <w:p>
      <w:pPr>
        <w:pStyle w:val="yScheduleHeading"/>
        <w:outlineLvl w:val="9"/>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outlineLvl w:val="0"/>
      </w:pPr>
      <w:bookmarkStart w:id="152" w:name="_Toc199941726"/>
      <w:r>
        <w:rPr>
          <w:rStyle w:val="CharSchNo"/>
        </w:rPr>
        <w:lastRenderedPageBreak/>
        <w:t>Schedule 2</w:t>
      </w:r>
      <w:r>
        <w:t xml:space="preserve"> — </w:t>
      </w:r>
      <w:r>
        <w:rPr>
          <w:rStyle w:val="CharSchText"/>
        </w:rPr>
        <w:t>Exempt agencies</w:t>
      </w:r>
      <w:bookmarkEnd w:id="152"/>
    </w:p>
    <w:p>
      <w:pPr>
        <w:pStyle w:val="yShoulderClause"/>
        <w:rPr>
          <w:snapToGrid w:val="0"/>
        </w:rPr>
      </w:pPr>
      <w:r>
        <w:rPr>
          <w:snapToGrid w:val="0"/>
        </w:rPr>
        <w:t>[Glossary cl. 1]</w:t>
      </w:r>
    </w:p>
    <w:p>
      <w:pPr>
        <w:pStyle w:val="yFootnotesection"/>
      </w:pPr>
      <w:r>
        <w:tab/>
        <w:t>[Heading amended: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pPr>
      <w:r>
        <w:tab/>
        <w:t xml:space="preserve">The Public Sector Commissioner, but only in relation to documents originating with or received by the Public Sector Commissioner in relation to his or her functions under the </w:t>
      </w:r>
      <w:r>
        <w:rPr>
          <w:i/>
        </w:rPr>
        <w:t>Corruption, Crime and Misconduct Act 2003</w:t>
      </w:r>
      <w:r>
        <w:t>.</w:t>
      </w:r>
    </w:p>
    <w:p>
      <w:pPr>
        <w:pStyle w:val="yNumberedItem"/>
        <w:rPr>
          <w:snapToGrid w:val="0"/>
        </w:rPr>
      </w:pPr>
      <w:r>
        <w:rPr>
          <w:snapToGrid w:val="0"/>
        </w:rPr>
        <w:tab/>
        <w:t>The Director of Public Prosecutions.</w:t>
      </w:r>
    </w:p>
    <w:p>
      <w:pPr>
        <w:pStyle w:val="yNumberedItem"/>
        <w:rPr>
          <w:szCs w:val="22"/>
        </w:rPr>
      </w:pPr>
      <w:r>
        <w:rPr>
          <w:szCs w:val="22"/>
        </w:rPr>
        <w:tab/>
        <w:t>The Electoral Distribution Commissioners.</w:t>
      </w:r>
    </w:p>
    <w:p>
      <w:pPr>
        <w:pStyle w:val="yNumberedItem"/>
      </w:pPr>
      <w:r>
        <w:tab/>
        <w:t>The High Risk Serious Offenders Board.</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pPr>
      <w:r>
        <w:tab/>
        <w:t xml:space="preserve">The State Solicitor, but only in relation to documents originating with or received by the State Solicitor in connection with functions under the </w:t>
      </w:r>
      <w:r>
        <w:rPr>
          <w:i/>
        </w:rPr>
        <w:t>High Risk Serious Offenders Act 2020</w:t>
      </w:r>
      <w:r>
        <w:t>.</w:t>
      </w:r>
    </w:p>
    <w:p>
      <w:pPr>
        <w:pStyle w:val="yNumberedItem"/>
        <w:rPr>
          <w:snapToGrid w:val="0"/>
        </w:rPr>
      </w:pPr>
      <w:r>
        <w:rPr>
          <w:snapToGrid w:val="0"/>
        </w:rPr>
        <w:tab/>
        <w:t>The Supervised Release Review Board.</w:t>
      </w:r>
    </w:p>
    <w:p>
      <w:pPr>
        <w:pStyle w:val="yNumberedItem"/>
        <w:rPr>
          <w:snapToGrid w:val="0"/>
        </w:rPr>
      </w:pPr>
      <w:r>
        <w:rPr>
          <w:snapToGrid w:val="0"/>
        </w:rPr>
        <w:lastRenderedPageBreak/>
        <w:tab/>
        <w:t>The State Government Insurance Corporation</w:t>
      </w:r>
      <w:r>
        <w:rPr>
          <w:snapToGrid w:val="0"/>
          <w:vertAlign w:val="superscript"/>
        </w:rPr>
        <w:t> 3</w:t>
      </w:r>
      <w:r>
        <w:rPr>
          <w:snapToGrid w:val="0"/>
        </w:rPr>
        <w:t>.</w:t>
      </w:r>
    </w:p>
    <w:p>
      <w:pPr>
        <w:pStyle w:val="yNumberedItem"/>
      </w:pPr>
      <w:r>
        <w:tab/>
        <w:t>The Western Australian Charitable Trusts Commission.</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snapToGrid w:val="0"/>
          <w:vertAlign w:val="superscript"/>
        </w:rPr>
        <w:t> 4</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No. 31 of 1993 s. 44; No. 6 of 1994 s. 13; No. 36 of 1994 s. 35; No. 104 of 1994 s. 236; No. 14 of 1995 s. 44(1); No. 11 of 1996 s. 41; No. 29 of 1996 s. 26; No. 21 of 2002 s. 72; No. 48 of 2003 s. 62; No. 75 of 2003 s. 56(1); No. 78 of 2003 s. 74(2); No. 41 of 2006 s. 90; No. 43 of 2006 s. 6; No. 14 of 2014 s. 11; No. 35 of 2014 s. 33; No. 29 of 2020 s. 101; No. 38 of 2022 s. 58(2).]</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outlineLvl w:val="0"/>
      </w:pPr>
      <w:bookmarkStart w:id="153" w:name="_Toc199941727"/>
      <w:r>
        <w:rPr>
          <w:rStyle w:val="CharSchNo"/>
        </w:rPr>
        <w:lastRenderedPageBreak/>
        <w:t>Glossary</w:t>
      </w:r>
      <w:bookmarkEnd w:id="153"/>
    </w:p>
    <w:p>
      <w:pPr>
        <w:pStyle w:val="yShoulderClause"/>
        <w:rPr>
          <w:snapToGrid w:val="0"/>
        </w:rPr>
      </w:pPr>
      <w:r>
        <w:rPr>
          <w:snapToGrid w:val="0"/>
        </w:rPr>
        <w:t>[Section</w:t>
      </w:r>
      <w:r>
        <w:rPr>
          <w:rStyle w:val="CharSchText"/>
        </w:rPr>
        <w:t> </w:t>
      </w:r>
      <w:r>
        <w:rPr>
          <w:snapToGrid w:val="0"/>
        </w:rPr>
        <w:t>9]</w:t>
      </w:r>
    </w:p>
    <w:p>
      <w:pPr>
        <w:pStyle w:val="yHeading5"/>
      </w:pPr>
      <w:bookmarkStart w:id="154" w:name="_Toc199941728"/>
      <w:r>
        <w:rPr>
          <w:rStyle w:val="CharSClsNo"/>
        </w:rPr>
        <w:t>1</w:t>
      </w:r>
      <w:r>
        <w:t>.</w:t>
      </w:r>
      <w:r>
        <w:tab/>
        <w:t>Terms used</w:t>
      </w:r>
      <w:bookmarkEnd w:id="154"/>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the </w:t>
      </w:r>
      <w:r>
        <w:rPr>
          <w:rStyle w:val="CharDefText"/>
        </w:rPr>
        <w:t>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lastRenderedPageBreak/>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(ea)</w:t>
      </w:r>
      <w:r>
        <w:tab/>
        <w:t>in relation to a regional subsidiary — the person who manages the affairs of the regional subsidiary;</w:t>
      </w:r>
    </w:p>
    <w:p>
      <w:pPr>
        <w:pStyle w:val="yDefpara"/>
      </w:pPr>
      <w:r>
        <w:tab/>
        <w:t>(e)</w:t>
      </w:r>
      <w:r>
        <w:tab/>
        <w:t>in relation to an agency that consists of one person (not being an incorporated body) — that person;</w:t>
      </w:r>
    </w:p>
    <w:p>
      <w:pPr>
        <w:pStyle w:val="yDefpara"/>
      </w:pPr>
      <w:r>
        <w:lastRenderedPageBreak/>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pPr>
      <w:r>
        <w:tab/>
        <w:t>(i)</w:t>
      </w:r>
      <w:r>
        <w:tab/>
        <w:t>if it is an incorporated body that has no members — the person who manages the affairs of the body; or</w:t>
      </w:r>
    </w:p>
    <w:p>
      <w:pPr>
        <w:pStyle w:val="yDefsubpara"/>
      </w:pPr>
      <w:r>
        <w:tab/>
        <w:t>(ii)</w:t>
      </w:r>
      <w: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the Police Force of Western Australia; or</w:t>
      </w:r>
    </w:p>
    <w:p>
      <w:pPr>
        <w:pStyle w:val="yDefpara"/>
      </w:pPr>
      <w:r>
        <w:tab/>
        <w:t>(d)</w:t>
      </w:r>
      <w:r>
        <w:tab/>
        <w:t>a local government, regional local government or regional subsidiary;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pPr>
      <w:r>
        <w:tab/>
        <w:t>(i)</w:t>
      </w:r>
      <w:r>
        <w:tab/>
        <w:t>a body or office established under a written law; or</w:t>
      </w:r>
    </w:p>
    <w:p>
      <w:pPr>
        <w:pStyle w:val="yDefsubpara"/>
      </w:pPr>
      <w:r>
        <w:tab/>
        <w:t>(ii)</w:t>
      </w:r>
      <w: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keepNext/>
      </w:pPr>
      <w:r>
        <w:rPr>
          <w:b/>
        </w:rPr>
        <w:lastRenderedPageBreak/>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No. 31 of 1993 s. 45(a); No. 32 of 1994 s. 19; No. 14 of 1996 s. 4; No. 43 of 1999 s. 20; No. 47 of 1999 s. 15; No. 53 of 2000 s. 10(1); No. 28 of 2003 s. 67; No. 4 of 2015 s. 86(3); No. 26 of 2016 s. 58.]</w:t>
      </w:r>
    </w:p>
    <w:p>
      <w:pPr>
        <w:pStyle w:val="yHeading5"/>
      </w:pPr>
      <w:bookmarkStart w:id="155" w:name="_Toc199941729"/>
      <w:r>
        <w:rPr>
          <w:rStyle w:val="CharSClsNo"/>
        </w:rPr>
        <w:t>2</w:t>
      </w:r>
      <w:r>
        <w:t>.</w:t>
      </w:r>
      <w:r>
        <w:tab/>
        <w:t>Separate agencies, which are</w:t>
      </w:r>
      <w:bookmarkEnd w:id="155"/>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lastRenderedPageBreak/>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pPr>
      <w:r>
        <w:tab/>
        <w:t>(3A)</w:t>
      </w:r>
      <w:r>
        <w:tab/>
        <w:t xml:space="preserve">In connection with its functions under the </w:t>
      </w:r>
      <w:r>
        <w:rPr>
          <w:i/>
        </w:rPr>
        <w:t>High Risk Serious Offenders Act 2020</w:t>
      </w:r>
      <w:r>
        <w:t>,</w:t>
      </w:r>
      <w:r>
        <w:rPr>
          <w:i/>
        </w:rPr>
        <w:t xml:space="preserve"> </w:t>
      </w:r>
      <w:r>
        <w:t xml:space="preserve">the State Solicitor is to be regarded as a separate agency and is not to be regarded as a part of the department in which the State Solicitor is employed. </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 No. 31 of 1993 s. 45(b); No. 11 of 1996 s. 41; No. 29 of 2020 s. 102(1).]</w:t>
      </w:r>
    </w:p>
    <w:p>
      <w:pPr>
        <w:pStyle w:val="yHeading5"/>
      </w:pPr>
      <w:bookmarkStart w:id="156" w:name="_Toc199941730"/>
      <w:r>
        <w:rPr>
          <w:rStyle w:val="CharSClsNo"/>
        </w:rPr>
        <w:t>3</w:t>
      </w:r>
      <w:r>
        <w:t>.</w:t>
      </w:r>
      <w:r>
        <w:tab/>
        <w:t>Courts are agencies but judges etc. are not</w:t>
      </w:r>
      <w:bookmarkEnd w:id="156"/>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pPr>
      <w:bookmarkStart w:id="157" w:name="_Toc199941731"/>
      <w:r>
        <w:rPr>
          <w:rStyle w:val="CharSClsNo"/>
        </w:rPr>
        <w:t>4</w:t>
      </w:r>
      <w:r>
        <w:t>.</w:t>
      </w:r>
      <w:r>
        <w:tab/>
        <w:t>Documents of an agency, which are</w:t>
      </w:r>
      <w:bookmarkEnd w:id="157"/>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keepNext/>
        <w:rPr>
          <w:snapToGrid w:val="0"/>
        </w:rPr>
      </w:pPr>
      <w:r>
        <w:rPr>
          <w:snapToGrid w:val="0"/>
        </w:rPr>
        <w:lastRenderedPageBreak/>
        <w:tab/>
        <w:t>(2)</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pPr>
      <w:bookmarkStart w:id="158" w:name="_Toc199941732"/>
      <w:r>
        <w:rPr>
          <w:rStyle w:val="CharSClsNo"/>
        </w:rPr>
        <w:t>5</w:t>
      </w:r>
      <w:r>
        <w:t>.</w:t>
      </w:r>
      <w:r>
        <w:tab/>
        <w:t>Documents of a court, which are</w:t>
      </w:r>
      <w:bookmarkEnd w:id="158"/>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pPr>
      <w:bookmarkStart w:id="159" w:name="_Toc199941733"/>
      <w:r>
        <w:rPr>
          <w:rStyle w:val="CharSClsNo"/>
        </w:rPr>
        <w:t>6</w:t>
      </w:r>
      <w:r>
        <w:t>.</w:t>
      </w:r>
      <w:r>
        <w:tab/>
        <w:t>Documents of units of Police Force and of Department of Corrective Services</w:t>
      </w:r>
      <w:bookmarkEnd w:id="159"/>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Subsection"/>
        <w:keepNext/>
      </w:pPr>
      <w:r>
        <w:tab/>
        <w:t>(3)</w:t>
      </w:r>
      <w:r>
        <w:tab/>
        <w:t xml:space="preserve">A document originating with or received by the State Solicitor in connection with functions under the </w:t>
      </w:r>
      <w:r>
        <w:rPr>
          <w:i/>
        </w:rPr>
        <w:t xml:space="preserve">High Risk Serious Offenders </w:t>
      </w:r>
      <w:r>
        <w:rPr>
          <w:i/>
        </w:rPr>
        <w:lastRenderedPageBreak/>
        <w:t xml:space="preserve">Act 2020 </w:t>
      </w:r>
      <w:r>
        <w:t xml:space="preserve">is not to be regarded as a document of the department in which the State Solicitor is employed. </w:t>
      </w:r>
    </w:p>
    <w:p>
      <w:pPr>
        <w:pStyle w:val="yFootnotesection"/>
      </w:pPr>
      <w:r>
        <w:tab/>
        <w:t>[Clause 6 amended: No. 31 of 1993 s. 45(b); No. 11 of 1996 s. 41; No. 29 of 2020 s. 102(2).]</w:t>
      </w:r>
    </w:p>
    <w:p>
      <w:pPr>
        <w:pStyle w:val="yEdnotesection"/>
      </w:pPr>
      <w:r>
        <w:t>[</w:t>
      </w:r>
      <w:r>
        <w:rPr>
          <w:b/>
        </w:rPr>
        <w:t>7</w:t>
      </w:r>
      <w:r>
        <w:rPr>
          <w:b/>
          <w:bCs/>
        </w:rPr>
        <w:t>.</w:t>
      </w:r>
      <w:r>
        <w:tab/>
        <w:t>Deleted: No. 53 of 2000 s. 10(2).]</w:t>
      </w:r>
    </w:p>
    <w:p>
      <w:pPr>
        <w:pStyle w:val="yHeading5"/>
        <w:rPr>
          <w:snapToGrid w:val="0"/>
        </w:rPr>
      </w:pPr>
      <w:bookmarkStart w:id="160" w:name="_Toc199941734"/>
      <w:r>
        <w:rPr>
          <w:rStyle w:val="CharSClsNo"/>
        </w:rPr>
        <w:t>7A</w:t>
      </w:r>
      <w:r>
        <w:rPr>
          <w:snapToGrid w:val="0"/>
        </w:rPr>
        <w:t>.</w:t>
      </w:r>
      <w:r>
        <w:rPr>
          <w:snapToGrid w:val="0"/>
        </w:rPr>
        <w:tab/>
        <w:t>Documents of Authority etc. under gas pipelines access legislation</w:t>
      </w:r>
      <w:bookmarkEnd w:id="160"/>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No. 65 of 1998 Sch. 3 cl. 14; amended: No. 67 of 2003 Sch. 2 cl. 30; No. 16 of 2009 s. 70.]</w:t>
      </w:r>
    </w:p>
    <w:p>
      <w:pPr>
        <w:pStyle w:val="yHeading5"/>
      </w:pPr>
      <w:bookmarkStart w:id="161" w:name="_Toc199941735"/>
      <w:r>
        <w:rPr>
          <w:rStyle w:val="CharSClsNo"/>
        </w:rPr>
        <w:t>8</w:t>
      </w:r>
      <w:r>
        <w:t>.</w:t>
      </w:r>
      <w:r>
        <w:tab/>
        <w:t>Charges for dealing with applications</w:t>
      </w:r>
      <w:bookmarkEnd w:id="161"/>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0"/>
          <w:headerReference w:type="default" r:id="rId31"/>
          <w:headerReference w:type="first" r:id="rId32"/>
          <w:pgSz w:w="11907" w:h="16840" w:code="9"/>
          <w:pgMar w:top="2376" w:right="2405" w:bottom="3542" w:left="2405" w:header="706" w:footer="3544" w:gutter="0"/>
          <w:cols w:space="720"/>
          <w:noEndnote/>
          <w:docGrid w:linePitch="326"/>
        </w:sectPr>
      </w:pPr>
    </w:p>
    <w:p>
      <w:pPr>
        <w:pStyle w:val="nHeading2"/>
      </w:pPr>
      <w:bookmarkStart w:id="162" w:name="_Toc199941736"/>
      <w:r>
        <w:lastRenderedPageBreak/>
        <w:t>Notes</w:t>
      </w:r>
      <w:bookmarkEnd w:id="162"/>
    </w:p>
    <w:p>
      <w:pPr>
        <w:pStyle w:val="nStatement"/>
      </w:pPr>
      <w:r>
        <w:t xml:space="preserve">This is a compilation of the </w:t>
      </w:r>
      <w:r>
        <w:rPr>
          <w:i/>
          <w:noProof/>
        </w:rPr>
        <w:t>Freedom of Information Act 1992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63" w:name="_Toc199941737"/>
      <w:r>
        <w:t>Compilation table</w:t>
      </w:r>
      <w:bookmarkEnd w:id="163"/>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8"/>
        <w:gridCol w:w="26"/>
        <w:gridCol w:w="2526"/>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6"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Act 1992</w:t>
            </w:r>
          </w:p>
        </w:tc>
        <w:tc>
          <w:tcPr>
            <w:tcW w:w="1134" w:type="dxa"/>
            <w:gridSpan w:val="2"/>
          </w:tcPr>
          <w:p>
            <w:pPr>
              <w:pStyle w:val="nTable"/>
              <w:spacing w:after="40"/>
            </w:pPr>
            <w:r>
              <w:t>76 of 1992</w:t>
            </w:r>
          </w:p>
        </w:tc>
        <w:tc>
          <w:tcPr>
            <w:tcW w:w="1136" w:type="dxa"/>
            <w:gridSpan w:val="2"/>
          </w:tcPr>
          <w:p>
            <w:pPr>
              <w:pStyle w:val="nTable"/>
              <w:spacing w:after="40"/>
            </w:pPr>
            <w:r>
              <w:t>15 Dec 1992</w:t>
            </w:r>
          </w:p>
        </w:tc>
        <w:tc>
          <w:tcPr>
            <w:tcW w:w="2552" w:type="dxa"/>
            <w:gridSpan w:val="2"/>
          </w:tcPr>
          <w:p>
            <w:pPr>
              <w:pStyle w:val="nTable"/>
              <w:spacing w:after="40"/>
            </w:pPr>
            <w:r>
              <w:t>s. 1 and 2: 15 Dec 1992;</w:t>
            </w:r>
            <w:r>
              <w:br/>
              <w:t xml:space="preserve">Pt. 4 Div. 1 and 2: 11 Jun 1993 (see s. 2 and </w:t>
            </w:r>
            <w:r>
              <w:rPr>
                <w:i/>
              </w:rPr>
              <w:t>Gazette</w:t>
            </w:r>
            <w:r>
              <w:t xml:space="preserve"> 11 Jun 1993 p. 2867); </w:t>
            </w:r>
            <w:r>
              <w:br/>
              <w:t xml:space="preserve">Act other than s. 1 and 2 and Pt. 4 Div. 1 and 2: 1 Nov 1993 (see s. 2 and </w:t>
            </w:r>
            <w:r>
              <w:rPr>
                <w:i/>
              </w:rPr>
              <w:t>Gazette</w:t>
            </w:r>
            <w:r>
              <w:t xml:space="preserve"> 29 Oct 1993 p. 5881)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(Ministry of Justice) Act 1993</w:t>
            </w:r>
            <w:r>
              <w:t xml:space="preserve"> Pt. 10</w:t>
            </w:r>
            <w:r>
              <w:rPr>
                <w:vertAlign w:val="superscript"/>
              </w:rPr>
              <w:t> 5</w:t>
            </w:r>
          </w:p>
        </w:tc>
        <w:tc>
          <w:tcPr>
            <w:tcW w:w="1134" w:type="dxa"/>
            <w:gridSpan w:val="2"/>
          </w:tcPr>
          <w:p>
            <w:pPr>
              <w:pStyle w:val="nTable"/>
              <w:spacing w:after="40"/>
            </w:pPr>
            <w:r>
              <w:t>31 of 1993</w:t>
            </w:r>
          </w:p>
        </w:tc>
        <w:tc>
          <w:tcPr>
            <w:tcW w:w="1136" w:type="dxa"/>
            <w:gridSpan w:val="2"/>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 &amp; I Bank Amendment Act 1994</w:t>
            </w:r>
            <w:r>
              <w:t xml:space="preserve"> s. 13</w:t>
            </w:r>
          </w:p>
        </w:tc>
        <w:tc>
          <w:tcPr>
            <w:tcW w:w="1134" w:type="dxa"/>
            <w:gridSpan w:val="2"/>
          </w:tcPr>
          <w:p>
            <w:pPr>
              <w:pStyle w:val="nTable"/>
              <w:spacing w:after="40"/>
            </w:pPr>
            <w:r>
              <w:t>6 of 1994</w:t>
            </w:r>
          </w:p>
        </w:tc>
        <w:tc>
          <w:tcPr>
            <w:tcW w:w="1136" w:type="dxa"/>
            <w:gridSpan w:val="2"/>
          </w:tcPr>
          <w:p>
            <w:pPr>
              <w:pStyle w:val="nTable"/>
              <w:spacing w:after="40"/>
            </w:pPr>
            <w:r>
              <w:t>11 Apr 1994</w:t>
            </w:r>
          </w:p>
        </w:tc>
        <w:tc>
          <w:tcPr>
            <w:tcW w:w="2552" w:type="dxa"/>
            <w:gridSpan w:val="2"/>
          </w:tcPr>
          <w:p>
            <w:pPr>
              <w:pStyle w:val="nTable"/>
              <w:spacing w:after="40"/>
            </w:pPr>
            <w:r>
              <w:t xml:space="preserve">26 Apr 1994 (see s. 2(2) and </w:t>
            </w:r>
            <w:r>
              <w:rPr>
                <w:i/>
              </w:rPr>
              <w:t>Gazette</w:t>
            </w:r>
            <w:r>
              <w:t xml:space="preserve"> 26 Apr 1994 p. 1743)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Perth International Centre for Application of Solar Energy Act 1994</w:t>
            </w:r>
            <w:r>
              <w:t xml:space="preserve"> s. 35</w:t>
            </w:r>
          </w:p>
        </w:tc>
        <w:tc>
          <w:tcPr>
            <w:tcW w:w="1134" w:type="dxa"/>
            <w:gridSpan w:val="2"/>
          </w:tcPr>
          <w:p>
            <w:pPr>
              <w:pStyle w:val="nTable"/>
              <w:spacing w:after="40"/>
            </w:pPr>
            <w:r>
              <w:t>36 of 1994</w:t>
            </w:r>
          </w:p>
        </w:tc>
        <w:tc>
          <w:tcPr>
            <w:tcW w:w="1136" w:type="dxa"/>
            <w:gridSpan w:val="2"/>
          </w:tcPr>
          <w:p>
            <w:pPr>
              <w:pStyle w:val="nTable"/>
              <w:spacing w:after="40"/>
            </w:pPr>
            <w:r>
              <w:t>8 Jul 1994</w:t>
            </w:r>
          </w:p>
        </w:tc>
        <w:tc>
          <w:tcPr>
            <w:tcW w:w="2552" w:type="dxa"/>
            <w:gridSpan w:val="2"/>
          </w:tcPr>
          <w:p>
            <w:pPr>
              <w:pStyle w:val="nTable"/>
              <w:spacing w:after="40"/>
            </w:pPr>
            <w:r>
              <w:t xml:space="preserve">22 Jul 1994 (see s. 2 and </w:t>
            </w:r>
            <w:r>
              <w:rPr>
                <w:i/>
              </w:rPr>
              <w:t>Gazette</w:t>
            </w:r>
            <w:r>
              <w:t xml:space="preserve"> 22 Jul 1994 p. 3727)</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1994</w:t>
            </w:r>
            <w:r>
              <w:t xml:space="preserve"> s. 4</w:t>
            </w:r>
          </w:p>
        </w:tc>
        <w:tc>
          <w:tcPr>
            <w:tcW w:w="1134" w:type="dxa"/>
            <w:gridSpan w:val="2"/>
          </w:tcPr>
          <w:p>
            <w:pPr>
              <w:pStyle w:val="nTable"/>
              <w:keepNext/>
              <w:spacing w:after="40"/>
            </w:pPr>
            <w:r>
              <w:t>73 of 1994</w:t>
            </w:r>
          </w:p>
        </w:tc>
        <w:tc>
          <w:tcPr>
            <w:tcW w:w="1136" w:type="dxa"/>
            <w:gridSpan w:val="2"/>
          </w:tcPr>
          <w:p>
            <w:pPr>
              <w:pStyle w:val="nTable"/>
              <w:keepNext/>
              <w:spacing w:after="40"/>
            </w:pPr>
            <w:r>
              <w:t>9 Dec 1994</w:t>
            </w:r>
          </w:p>
        </w:tc>
        <w:tc>
          <w:tcPr>
            <w:tcW w:w="2552" w:type="dxa"/>
            <w:gridSpan w:val="2"/>
          </w:tcPr>
          <w:p>
            <w:pPr>
              <w:pStyle w:val="nTable"/>
              <w:keepNext/>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1994</w:t>
            </w:r>
          </w:p>
        </w:tc>
        <w:tc>
          <w:tcPr>
            <w:tcW w:w="1134" w:type="dxa"/>
            <w:gridSpan w:val="2"/>
          </w:tcPr>
          <w:p>
            <w:pPr>
              <w:pStyle w:val="nTable"/>
              <w:spacing w:after="40"/>
            </w:pPr>
            <w:r>
              <w:t>94 of 1994</w:t>
            </w:r>
          </w:p>
        </w:tc>
        <w:tc>
          <w:tcPr>
            <w:tcW w:w="1136" w:type="dxa"/>
            <w:gridSpan w:val="2"/>
          </w:tcPr>
          <w:p>
            <w:pPr>
              <w:pStyle w:val="nTable"/>
              <w:spacing w:after="40"/>
            </w:pPr>
            <w:r>
              <w:t>5 Jan 1995</w:t>
            </w:r>
          </w:p>
        </w:tc>
        <w:tc>
          <w:tcPr>
            <w:tcW w:w="2552" w:type="dxa"/>
            <w:gridSpan w:val="2"/>
          </w:tcPr>
          <w:p>
            <w:pPr>
              <w:pStyle w:val="nTable"/>
              <w:spacing w:after="40"/>
            </w:pPr>
            <w:r>
              <w:t>1 Nov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Young Offenders Act 1994</w:t>
            </w:r>
            <w:r>
              <w:t xml:space="preserve"> s. 236</w:t>
            </w:r>
          </w:p>
        </w:tc>
        <w:tc>
          <w:tcPr>
            <w:tcW w:w="1134" w:type="dxa"/>
            <w:gridSpan w:val="2"/>
          </w:tcPr>
          <w:p>
            <w:pPr>
              <w:pStyle w:val="nTable"/>
              <w:spacing w:after="40"/>
            </w:pPr>
            <w:r>
              <w:t>104 of 1994</w:t>
            </w:r>
          </w:p>
        </w:tc>
        <w:tc>
          <w:tcPr>
            <w:tcW w:w="1136" w:type="dxa"/>
            <w:gridSpan w:val="2"/>
          </w:tcPr>
          <w:p>
            <w:pPr>
              <w:pStyle w:val="nTable"/>
              <w:spacing w:after="40"/>
            </w:pPr>
            <w:r>
              <w:t>11 Jan 1995</w:t>
            </w:r>
          </w:p>
        </w:tc>
        <w:tc>
          <w:tcPr>
            <w:tcW w:w="2552" w:type="dxa"/>
            <w:gridSpan w:val="2"/>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Bank of Western Australia Act 1995</w:t>
            </w:r>
            <w:r>
              <w:t xml:space="preserve"> s. 44</w:t>
            </w:r>
          </w:p>
        </w:tc>
        <w:tc>
          <w:tcPr>
            <w:tcW w:w="1134" w:type="dxa"/>
            <w:gridSpan w:val="2"/>
          </w:tcPr>
          <w:p>
            <w:pPr>
              <w:pStyle w:val="nTable"/>
              <w:spacing w:after="40"/>
            </w:pPr>
            <w:r>
              <w:t>14 of 1995</w:t>
            </w:r>
          </w:p>
        </w:tc>
        <w:tc>
          <w:tcPr>
            <w:tcW w:w="1136" w:type="dxa"/>
            <w:gridSpan w:val="2"/>
          </w:tcPr>
          <w:p>
            <w:pPr>
              <w:pStyle w:val="nTable"/>
              <w:spacing w:after="40"/>
            </w:pPr>
            <w:r>
              <w:t>4 Jul 1995</w:t>
            </w:r>
          </w:p>
        </w:tc>
        <w:tc>
          <w:tcPr>
            <w:tcW w:w="2552" w:type="dxa"/>
            <w:gridSpan w:val="2"/>
          </w:tcPr>
          <w:p>
            <w:pPr>
              <w:pStyle w:val="nTable"/>
              <w:spacing w:after="40"/>
            </w:pPr>
            <w:r>
              <w:t xml:space="preserve">1 Dec 1995 (see s. 2(3) and 9(1) and </w:t>
            </w:r>
            <w:r>
              <w:rPr>
                <w:i/>
              </w:rPr>
              <w:t>Gazette</w:t>
            </w:r>
            <w:r>
              <w:t xml:space="preserve"> 29 Nov 1995 p. 5529)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1995</w:t>
            </w:r>
          </w:p>
        </w:tc>
        <w:tc>
          <w:tcPr>
            <w:tcW w:w="1134" w:type="dxa"/>
            <w:gridSpan w:val="2"/>
          </w:tcPr>
          <w:p>
            <w:pPr>
              <w:pStyle w:val="nTable"/>
              <w:spacing w:after="40"/>
            </w:pPr>
            <w:r>
              <w:t>50 of 1995</w:t>
            </w:r>
          </w:p>
        </w:tc>
        <w:tc>
          <w:tcPr>
            <w:tcW w:w="1136" w:type="dxa"/>
            <w:gridSpan w:val="2"/>
          </w:tcPr>
          <w:p>
            <w:pPr>
              <w:pStyle w:val="nTable"/>
              <w:spacing w:after="40"/>
            </w:pPr>
            <w:r>
              <w:t>6 Nov 1995</w:t>
            </w:r>
          </w:p>
        </w:tc>
        <w:tc>
          <w:tcPr>
            <w:tcW w:w="2552" w:type="dxa"/>
            <w:gridSpan w:val="2"/>
          </w:tcPr>
          <w:p>
            <w:pPr>
              <w:pStyle w:val="nTable"/>
              <w:spacing w:after="40"/>
            </w:pPr>
            <w:r>
              <w:t>1 Nov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Health Services (Conciliation and Review) Act 1995</w:t>
            </w:r>
            <w:r>
              <w:t xml:space="preserve"> s. 80(4)</w:t>
            </w:r>
          </w:p>
        </w:tc>
        <w:tc>
          <w:tcPr>
            <w:tcW w:w="1134" w:type="dxa"/>
            <w:gridSpan w:val="2"/>
          </w:tcPr>
          <w:p>
            <w:pPr>
              <w:pStyle w:val="nTable"/>
              <w:spacing w:after="40"/>
            </w:pPr>
            <w:r>
              <w:t>75 of 1995</w:t>
            </w:r>
          </w:p>
        </w:tc>
        <w:tc>
          <w:tcPr>
            <w:tcW w:w="1136" w:type="dxa"/>
            <w:gridSpan w:val="2"/>
          </w:tcPr>
          <w:p>
            <w:pPr>
              <w:pStyle w:val="nTable"/>
              <w:spacing w:after="40"/>
            </w:pPr>
            <w:r>
              <w:t>9 Jan 1996</w:t>
            </w:r>
          </w:p>
        </w:tc>
        <w:tc>
          <w:tcPr>
            <w:tcW w:w="2552" w:type="dxa"/>
            <w:gridSpan w:val="2"/>
          </w:tcPr>
          <w:p>
            <w:pPr>
              <w:pStyle w:val="nTable"/>
              <w:spacing w:after="40"/>
            </w:pPr>
            <w:r>
              <w:t xml:space="preserve">16 Aug 1996 (see s. 2 and </w:t>
            </w:r>
            <w:r>
              <w:rPr>
                <w:i/>
              </w:rPr>
              <w:t>Gazette</w:t>
            </w:r>
            <w:r>
              <w:t xml:space="preserve"> 16 Aug 1996 p. 4007)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16 Jan 1996</w:t>
            </w:r>
            <w:r>
              <w:t xml:space="preserve"> (includes amendments listed above except those in the </w:t>
            </w:r>
            <w:r>
              <w:rPr>
                <w:i/>
              </w:rPr>
              <w:t>Health Services (Conciliation and Review) Act 1995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Witness Protection (Western Australia) Act 1996</w:t>
            </w:r>
            <w:r>
              <w:t xml:space="preserve"> s. 41</w:t>
            </w:r>
          </w:p>
        </w:tc>
        <w:tc>
          <w:tcPr>
            <w:tcW w:w="1134" w:type="dxa"/>
            <w:gridSpan w:val="2"/>
          </w:tcPr>
          <w:p>
            <w:pPr>
              <w:pStyle w:val="nTable"/>
              <w:spacing w:after="40"/>
            </w:pPr>
            <w:r>
              <w:t>11 of 1996</w:t>
            </w:r>
          </w:p>
        </w:tc>
        <w:tc>
          <w:tcPr>
            <w:tcW w:w="1136" w:type="dxa"/>
            <w:gridSpan w:val="2"/>
          </w:tcPr>
          <w:p>
            <w:pPr>
              <w:pStyle w:val="nTable"/>
              <w:spacing w:after="40"/>
            </w:pPr>
            <w:r>
              <w:t>28 Jun 1996</w:t>
            </w:r>
          </w:p>
        </w:tc>
        <w:tc>
          <w:tcPr>
            <w:tcW w:w="2552" w:type="dxa"/>
            <w:gridSpan w:val="2"/>
          </w:tcPr>
          <w:p>
            <w:pPr>
              <w:pStyle w:val="nTable"/>
              <w:spacing w:after="40"/>
            </w:pPr>
            <w:r>
              <w:t xml:space="preserve">7 Dec 1996 (see s. 2 and </w:t>
            </w:r>
            <w:r>
              <w:rPr>
                <w:i/>
              </w:rPr>
              <w:t>Gazette</w:t>
            </w:r>
            <w:r>
              <w:t xml:space="preserve"> 6 Dec 1996 p. 6699)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2"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6" w:type="dxa"/>
            <w:gridSpan w:val="2"/>
          </w:tcPr>
          <w:p>
            <w:pPr>
              <w:pStyle w:val="nTable"/>
              <w:keepNext/>
              <w:spacing w:after="40"/>
            </w:pPr>
            <w:r>
              <w:t>28 Aug 1996</w:t>
            </w:r>
          </w:p>
        </w:tc>
        <w:tc>
          <w:tcPr>
            <w:tcW w:w="2552" w:type="dxa"/>
            <w:gridSpan w:val="2"/>
          </w:tcPr>
          <w:p>
            <w:pPr>
              <w:pStyle w:val="nTable"/>
              <w:keepNext/>
              <w:spacing w:after="40"/>
            </w:pPr>
            <w:r>
              <w:t xml:space="preserve">30 Aug 1996 (see s. 2 and </w:t>
            </w:r>
            <w:r>
              <w:rPr>
                <w:i/>
              </w:rPr>
              <w:t>Gazette</w:t>
            </w:r>
            <w:r>
              <w:t xml:space="preserve"> 30 Aug 1996 p. 4365)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54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8 Jul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62</w:t>
            </w:r>
          </w:p>
        </w:tc>
        <w:tc>
          <w:tcPr>
            <w:tcW w:w="1134" w:type="dxa"/>
            <w:gridSpan w:val="2"/>
          </w:tcPr>
          <w:p>
            <w:pPr>
              <w:pStyle w:val="nTable"/>
              <w:spacing w:after="40"/>
            </w:pPr>
            <w:r>
              <w:t>57 of 1997</w:t>
            </w:r>
          </w:p>
        </w:tc>
        <w:tc>
          <w:tcPr>
            <w:tcW w:w="1136"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Industry and Technology Development Act 1998</w:t>
            </w:r>
            <w:r>
              <w:t xml:space="preserve"> s. 34(2)</w:t>
            </w:r>
          </w:p>
        </w:tc>
        <w:tc>
          <w:tcPr>
            <w:tcW w:w="1134" w:type="dxa"/>
            <w:gridSpan w:val="2"/>
          </w:tcPr>
          <w:p>
            <w:pPr>
              <w:pStyle w:val="nTable"/>
              <w:spacing w:after="40"/>
            </w:pPr>
            <w:r>
              <w:t>13 of 1998</w:t>
            </w:r>
          </w:p>
        </w:tc>
        <w:tc>
          <w:tcPr>
            <w:tcW w:w="1136" w:type="dxa"/>
            <w:gridSpan w:val="2"/>
          </w:tcPr>
          <w:p>
            <w:pPr>
              <w:pStyle w:val="nTable"/>
              <w:spacing w:after="40"/>
            </w:pPr>
            <w:r>
              <w:t>20 May 1998</w:t>
            </w:r>
          </w:p>
        </w:tc>
        <w:tc>
          <w:tcPr>
            <w:tcW w:w="2552" w:type="dxa"/>
            <w:gridSpan w:val="2"/>
          </w:tcPr>
          <w:p>
            <w:pPr>
              <w:pStyle w:val="nTable"/>
              <w:spacing w:after="40"/>
            </w:pPr>
            <w:r>
              <w:t xml:space="preserve">1 Jul 1998 (see s.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Pipelines Access (Western Australia) Act 1998</w:t>
            </w:r>
            <w:r>
              <w:t xml:space="preserve"> Sch. 3 Div. 6</w:t>
            </w:r>
          </w:p>
        </w:tc>
        <w:tc>
          <w:tcPr>
            <w:tcW w:w="1134" w:type="dxa"/>
            <w:gridSpan w:val="2"/>
          </w:tcPr>
          <w:p>
            <w:pPr>
              <w:pStyle w:val="nTable"/>
              <w:spacing w:after="40"/>
            </w:pPr>
            <w:r>
              <w:t>65 of 1998</w:t>
            </w:r>
          </w:p>
        </w:tc>
        <w:tc>
          <w:tcPr>
            <w:tcW w:w="1136" w:type="dxa"/>
            <w:gridSpan w:val="2"/>
          </w:tcPr>
          <w:p>
            <w:pPr>
              <w:pStyle w:val="nTable"/>
              <w:spacing w:after="40"/>
            </w:pPr>
            <w:r>
              <w:t>15 Jan 1999</w:t>
            </w:r>
          </w:p>
        </w:tc>
        <w:tc>
          <w:tcPr>
            <w:tcW w:w="2552" w:type="dxa"/>
            <w:gridSpan w:val="2"/>
          </w:tcPr>
          <w:p>
            <w:pPr>
              <w:pStyle w:val="nTable"/>
              <w:spacing w:after="40"/>
            </w:pPr>
            <w:r>
              <w:t xml:space="preserve">9 Feb 1999 (see s. 2 and </w:t>
            </w:r>
            <w:r>
              <w:rPr>
                <w:i/>
              </w:rPr>
              <w:t>Gazette</w:t>
            </w:r>
            <w:r>
              <w:t xml:space="preserve"> 8 Feb 1999 p. 441)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Prisons Amendment Act 1999</w:t>
            </w:r>
            <w:r>
              <w:t xml:space="preserve"> Sch. 1 cl. 4</w:t>
            </w:r>
          </w:p>
        </w:tc>
        <w:tc>
          <w:tcPr>
            <w:tcW w:w="1134" w:type="dxa"/>
            <w:gridSpan w:val="2"/>
          </w:tcPr>
          <w:p>
            <w:pPr>
              <w:pStyle w:val="nTable"/>
              <w:spacing w:after="40"/>
            </w:pPr>
            <w:r>
              <w:t>43 of 1999</w:t>
            </w:r>
          </w:p>
        </w:tc>
        <w:tc>
          <w:tcPr>
            <w:tcW w:w="1136" w:type="dxa"/>
            <w:gridSpan w:val="2"/>
          </w:tcPr>
          <w:p>
            <w:pPr>
              <w:pStyle w:val="nTable"/>
              <w:spacing w:after="40"/>
            </w:pPr>
            <w:r>
              <w:t>8 Dec 1999</w:t>
            </w:r>
          </w:p>
        </w:tc>
        <w:tc>
          <w:tcPr>
            <w:tcW w:w="2552" w:type="dxa"/>
            <w:gridSpan w:val="2"/>
          </w:tcPr>
          <w:p>
            <w:pPr>
              <w:pStyle w:val="nTable"/>
              <w:spacing w:after="40"/>
            </w:pPr>
            <w:r>
              <w:t xml:space="preserve">Sch. 1 cl. 4(1) and (3): 18 Dec 1999 (see s. 2(2) and </w:t>
            </w:r>
            <w:r>
              <w:rPr>
                <w:i/>
              </w:rPr>
              <w:t>Gazette</w:t>
            </w:r>
            <w:r>
              <w:t xml:space="preserve"> 17 Dec 1999 p. 6175); </w:t>
            </w:r>
            <w:r>
              <w:br/>
              <w:t xml:space="preserve">Sch. 1 cl. 4(2):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Court Security and Custodial Services (Consequential Provisions) Act 1999</w:t>
            </w:r>
            <w:r>
              <w:t xml:space="preserve"> Pt. 6</w:t>
            </w:r>
          </w:p>
        </w:tc>
        <w:tc>
          <w:tcPr>
            <w:tcW w:w="1134" w:type="dxa"/>
            <w:gridSpan w:val="2"/>
          </w:tcPr>
          <w:p>
            <w:pPr>
              <w:pStyle w:val="nTable"/>
              <w:spacing w:after="40"/>
            </w:pPr>
            <w:r>
              <w:t>47 of 1999</w:t>
            </w:r>
          </w:p>
        </w:tc>
        <w:tc>
          <w:tcPr>
            <w:tcW w:w="1136" w:type="dxa"/>
            <w:gridSpan w:val="2"/>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lastRenderedPageBreak/>
              <w:t xml:space="preserve">Reprint of the </w:t>
            </w:r>
            <w:r>
              <w:rPr>
                <w:b/>
                <w:i/>
              </w:rPr>
              <w:t>Freedom of Information Act 1992</w:t>
            </w:r>
            <w:r>
              <w:rPr>
                <w:b/>
              </w:rPr>
              <w:t xml:space="preserve"> 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State Records (Consequential Provisions) Act 2000</w:t>
            </w:r>
            <w:r>
              <w:t xml:space="preserve"> Pt. 4</w:t>
            </w:r>
          </w:p>
        </w:tc>
        <w:tc>
          <w:tcPr>
            <w:tcW w:w="1134" w:type="dxa"/>
            <w:gridSpan w:val="2"/>
          </w:tcPr>
          <w:p>
            <w:pPr>
              <w:pStyle w:val="nTable"/>
              <w:spacing w:after="40"/>
            </w:pPr>
            <w:r>
              <w:t>53 of 2000</w:t>
            </w:r>
          </w:p>
        </w:tc>
        <w:tc>
          <w:tcPr>
            <w:tcW w:w="1136" w:type="dxa"/>
            <w:gridSpan w:val="2"/>
          </w:tcPr>
          <w:p>
            <w:pPr>
              <w:pStyle w:val="nTable"/>
              <w:spacing w:after="40"/>
            </w:pPr>
            <w:r>
              <w:t>28 Nov 2000</w:t>
            </w:r>
          </w:p>
        </w:tc>
        <w:tc>
          <w:tcPr>
            <w:tcW w:w="2552" w:type="dxa"/>
            <w:gridSpan w:val="2"/>
          </w:tcPr>
          <w:p>
            <w:pPr>
              <w:pStyle w:val="nTable"/>
              <w:spacing w:after="40"/>
            </w:pPr>
            <w:r>
              <w:t xml:space="preserve">1 Dec 2001 (see s. 2 and </w:t>
            </w:r>
            <w:r>
              <w:rPr>
                <w:i/>
              </w:rPr>
              <w:t>Gazette</w:t>
            </w:r>
            <w:r>
              <w:t xml:space="preserve"> 30 Nov 2001 p. 6067)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Investigation (Exceptional Powers) and Fortification Removal Act 2002</w:t>
            </w:r>
            <w:r>
              <w:t xml:space="preserve"> s. 72</w:t>
            </w:r>
          </w:p>
        </w:tc>
        <w:tc>
          <w:tcPr>
            <w:tcW w:w="1134" w:type="dxa"/>
            <w:gridSpan w:val="2"/>
          </w:tcPr>
          <w:p>
            <w:pPr>
              <w:pStyle w:val="nTable"/>
              <w:spacing w:after="40"/>
            </w:pPr>
            <w:r>
              <w:t>21 of 2002</w:t>
            </w:r>
          </w:p>
        </w:tc>
        <w:tc>
          <w:tcPr>
            <w:tcW w:w="1136" w:type="dxa"/>
            <w:gridSpan w:val="2"/>
          </w:tcPr>
          <w:p>
            <w:pPr>
              <w:pStyle w:val="nTable"/>
              <w:spacing w:after="40"/>
            </w:pPr>
            <w:r>
              <w:t>15 Jul 2002</w:t>
            </w:r>
          </w:p>
        </w:tc>
        <w:tc>
          <w:tcPr>
            <w:tcW w:w="2552" w:type="dxa"/>
            <w:gridSpan w:val="2"/>
          </w:tcPr>
          <w:p>
            <w:pPr>
              <w:pStyle w:val="nTable"/>
              <w:spacing w:after="40"/>
            </w:pPr>
            <w:r>
              <w:t>15 Jul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23</w:t>
            </w:r>
          </w:p>
        </w:tc>
        <w:tc>
          <w:tcPr>
            <w:tcW w:w="1134" w:type="dxa"/>
            <w:gridSpan w:val="2"/>
          </w:tcPr>
          <w:p>
            <w:pPr>
              <w:pStyle w:val="nTable"/>
              <w:spacing w:after="40"/>
            </w:pPr>
            <w:r>
              <w:t>28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Public Interest Disclosure Act 2003 </w:t>
            </w:r>
            <w:r>
              <w:t>s. 28</w:t>
            </w:r>
          </w:p>
        </w:tc>
        <w:tc>
          <w:tcPr>
            <w:tcW w:w="1134" w:type="dxa"/>
            <w:gridSpan w:val="2"/>
          </w:tcPr>
          <w:p>
            <w:pPr>
              <w:pStyle w:val="nTable"/>
              <w:spacing w:after="40"/>
            </w:pPr>
            <w:r>
              <w:t>29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Corruption and Crime Commission Act 2003</w:t>
            </w:r>
            <w:r>
              <w:t xml:space="preserve"> s. 62</w:t>
            </w:r>
            <w:r>
              <w:rPr>
                <w:vertAlign w:val="superscript"/>
              </w:rPr>
              <w:t> 6</w:t>
            </w:r>
          </w:p>
        </w:tc>
        <w:tc>
          <w:tcPr>
            <w:tcW w:w="1134" w:type="dxa"/>
            <w:gridSpan w:val="2"/>
          </w:tcPr>
          <w:p>
            <w:pPr>
              <w:pStyle w:val="nTable"/>
              <w:spacing w:after="40"/>
            </w:pPr>
            <w:r>
              <w:t>48 of 2003</w:t>
            </w:r>
          </w:p>
        </w:tc>
        <w:tc>
          <w:tcPr>
            <w:tcW w:w="1136" w:type="dxa"/>
            <w:gridSpan w:val="2"/>
          </w:tcPr>
          <w:p>
            <w:pPr>
              <w:pStyle w:val="nTable"/>
              <w:spacing w:after="40"/>
            </w:pPr>
            <w:r>
              <w:t>3 Jul 2003</w:t>
            </w:r>
          </w:p>
        </w:tc>
        <w:tc>
          <w:tcPr>
            <w:tcW w:w="2552" w:type="dxa"/>
            <w:gridSpan w:val="2"/>
          </w:tcPr>
          <w:p>
            <w:pPr>
              <w:pStyle w:val="nTable"/>
              <w:spacing w:after="40"/>
              <w:ind w:right="65"/>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64</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52" w:type="dxa"/>
            <w:gridSpan w:val="2"/>
          </w:tcPr>
          <w:p>
            <w:pPr>
              <w:pStyle w:val="nTable"/>
              <w:spacing w:after="40"/>
              <w:ind w:right="65"/>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Economic Regulation Authority Act 2003</w:t>
            </w:r>
            <w:r>
              <w:t xml:space="preserve"> Sch. 2 Div. 7</w:t>
            </w:r>
          </w:p>
        </w:tc>
        <w:tc>
          <w:tcPr>
            <w:tcW w:w="1134" w:type="dxa"/>
            <w:gridSpan w:val="2"/>
          </w:tcPr>
          <w:p>
            <w:pPr>
              <w:pStyle w:val="nTable"/>
              <w:spacing w:after="40"/>
            </w:pPr>
            <w:r>
              <w:t>67 of 2003</w:t>
            </w:r>
          </w:p>
        </w:tc>
        <w:tc>
          <w:tcPr>
            <w:tcW w:w="1136" w:type="dxa"/>
            <w:gridSpan w:val="2"/>
          </w:tcPr>
          <w:p>
            <w:pPr>
              <w:pStyle w:val="nTable"/>
              <w:spacing w:after="40"/>
            </w:pPr>
            <w:r>
              <w:t>5 Dec 2003</w:t>
            </w:r>
          </w:p>
        </w:tc>
        <w:tc>
          <w:tcPr>
            <w:tcW w:w="2552" w:type="dxa"/>
            <w:gridSpan w:val="2"/>
          </w:tcPr>
          <w:p>
            <w:pPr>
              <w:pStyle w:val="nTable"/>
              <w:spacing w:after="40"/>
              <w:ind w:right="65"/>
              <w:rPr>
                <w:spacing w:val="-2"/>
              </w:rPr>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Inspector of Custodial Services Act 2003</w:t>
            </w:r>
            <w:r>
              <w:t xml:space="preserve"> s. 56(1)</w:t>
            </w:r>
          </w:p>
        </w:tc>
        <w:tc>
          <w:tcPr>
            <w:tcW w:w="1134" w:type="dxa"/>
            <w:gridSpan w:val="2"/>
          </w:tcPr>
          <w:p>
            <w:pPr>
              <w:pStyle w:val="nTable"/>
              <w:spacing w:after="40"/>
            </w:pPr>
            <w:r>
              <w:t>75 of 2003</w:t>
            </w:r>
          </w:p>
        </w:tc>
        <w:tc>
          <w:tcPr>
            <w:tcW w:w="1136" w:type="dxa"/>
            <w:gridSpan w:val="2"/>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Corruption and Crime Commission Amendment and Repeal Act 2003 </w:t>
            </w:r>
            <w:r>
              <w:rPr>
                <w:spacing w:val="-2"/>
              </w:rPr>
              <w:t>s. 74(2)</w:t>
            </w:r>
          </w:p>
        </w:tc>
        <w:tc>
          <w:tcPr>
            <w:tcW w:w="1134" w:type="dxa"/>
            <w:gridSpan w:val="2"/>
          </w:tcPr>
          <w:p>
            <w:pPr>
              <w:pStyle w:val="nTable"/>
              <w:spacing w:after="40"/>
            </w:pPr>
            <w:r>
              <w:t>78 of 2003</w:t>
            </w:r>
          </w:p>
        </w:tc>
        <w:tc>
          <w:tcPr>
            <w:tcW w:w="1136" w:type="dxa"/>
            <w:gridSpan w:val="2"/>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4: The </w:t>
            </w:r>
            <w:r>
              <w:rPr>
                <w:b/>
                <w:i/>
              </w:rPr>
              <w:t>Freedom of Information Act 1992</w:t>
            </w:r>
            <w:r>
              <w:rPr>
                <w:b/>
              </w:rPr>
              <w:t xml:space="preserve"> as at 10 Sep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Freedom of Information Amendment Act 2004</w:t>
            </w:r>
          </w:p>
        </w:tc>
        <w:tc>
          <w:tcPr>
            <w:tcW w:w="1134" w:type="dxa"/>
            <w:gridSpan w:val="2"/>
          </w:tcPr>
          <w:p>
            <w:pPr>
              <w:pStyle w:val="nTable"/>
              <w:spacing w:after="40"/>
            </w:pPr>
            <w:r>
              <w:t>56 of 2004</w:t>
            </w:r>
          </w:p>
        </w:tc>
        <w:tc>
          <w:tcPr>
            <w:tcW w:w="1136" w:type="dxa"/>
            <w:gridSpan w:val="2"/>
          </w:tcPr>
          <w:p>
            <w:pPr>
              <w:pStyle w:val="nTable"/>
              <w:spacing w:after="40"/>
            </w:pPr>
            <w:r>
              <w:t>19 Nov 2004</w:t>
            </w:r>
          </w:p>
        </w:tc>
        <w:tc>
          <w:tcPr>
            <w:tcW w:w="2552" w:type="dxa"/>
            <w:gridSpan w:val="2"/>
          </w:tcPr>
          <w:p>
            <w:pPr>
              <w:pStyle w:val="nTable"/>
              <w:spacing w:after="40"/>
            </w:pPr>
            <w:r>
              <w:t>19 Nov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s. 90</w:t>
            </w:r>
          </w:p>
        </w:tc>
        <w:tc>
          <w:tcPr>
            <w:tcW w:w="1134" w:type="dxa"/>
            <w:gridSpan w:val="2"/>
          </w:tcPr>
          <w:p>
            <w:pPr>
              <w:pStyle w:val="nTable"/>
              <w:spacing w:after="40"/>
            </w:pPr>
            <w:r>
              <w:t>41 of 2006</w:t>
            </w:r>
          </w:p>
        </w:tc>
        <w:tc>
          <w:tcPr>
            <w:tcW w:w="1136" w:type="dxa"/>
            <w:gridSpan w:val="2"/>
          </w:tcPr>
          <w:p>
            <w:pPr>
              <w:pStyle w:val="nTable"/>
              <w:spacing w:after="40"/>
            </w:pPr>
            <w:r>
              <w:t>22 Sep 2006</w:t>
            </w:r>
          </w:p>
        </w:tc>
        <w:tc>
          <w:tcPr>
            <w:tcW w:w="2552" w:type="dxa"/>
            <w:gridSpan w:val="2"/>
          </w:tcPr>
          <w:p>
            <w:pPr>
              <w:pStyle w:val="nTable"/>
              <w:spacing w:after="40"/>
            </w:pPr>
            <w:r>
              <w:t xml:space="preserve">28 Jan 2007 (see s. 2(1) and </w:t>
            </w:r>
            <w:r>
              <w:rPr>
                <w:i/>
              </w:rPr>
              <w:t>Gazette</w:t>
            </w:r>
            <w:r>
              <w:t xml:space="preserve"> 29 Dec 2006 p. 5867)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Perth International Centre for Application of Solar Energy Repeal Act 2006 </w:t>
            </w:r>
            <w:r>
              <w:rPr>
                <w:snapToGrid w:val="0"/>
              </w:rPr>
              <w:t>s. 6</w:t>
            </w:r>
          </w:p>
        </w:tc>
        <w:tc>
          <w:tcPr>
            <w:tcW w:w="1134" w:type="dxa"/>
            <w:gridSpan w:val="2"/>
          </w:tcPr>
          <w:p>
            <w:pPr>
              <w:pStyle w:val="nTable"/>
              <w:spacing w:after="40"/>
            </w:pPr>
            <w:r>
              <w:rPr>
                <w:snapToGrid w:val="0"/>
              </w:rPr>
              <w:t>43 of 2006</w:t>
            </w:r>
          </w:p>
        </w:tc>
        <w:tc>
          <w:tcPr>
            <w:tcW w:w="1136" w:type="dxa"/>
            <w:gridSpan w:val="2"/>
          </w:tcPr>
          <w:p>
            <w:pPr>
              <w:pStyle w:val="nTable"/>
              <w:spacing w:after="40"/>
            </w:pPr>
            <w:r>
              <w:rPr>
                <w:snapToGrid w:val="0"/>
              </w:rPr>
              <w:t>3 Oct 2006</w:t>
            </w:r>
          </w:p>
        </w:tc>
        <w:tc>
          <w:tcPr>
            <w:tcW w:w="2552" w:type="dxa"/>
            <w:gridSpan w:val="2"/>
          </w:tcPr>
          <w:p>
            <w:pPr>
              <w:pStyle w:val="nTable"/>
              <w:spacing w:after="40"/>
            </w:pPr>
            <w:r>
              <w:rPr>
                <w:snapToGrid w:val="0"/>
              </w:rPr>
              <w:t>31 Oct 2006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lastRenderedPageBreak/>
              <w:t>Children and Community Services Amendment (Reporting Sexual Abuse of Children) Act 2008</w:t>
            </w:r>
            <w:r>
              <w:rPr>
                <w:iCs/>
                <w:snapToGrid w:val="0"/>
              </w:rPr>
              <w:t xml:space="preserve"> s. 13</w:t>
            </w:r>
          </w:p>
        </w:tc>
        <w:tc>
          <w:tcPr>
            <w:tcW w:w="1134" w:type="dxa"/>
            <w:gridSpan w:val="2"/>
          </w:tcPr>
          <w:p>
            <w:pPr>
              <w:pStyle w:val="nTable"/>
              <w:spacing w:after="40"/>
              <w:rPr>
                <w:snapToGrid w:val="0"/>
              </w:rPr>
            </w:pPr>
            <w:r>
              <w:t>26 of 2008</w:t>
            </w:r>
          </w:p>
        </w:tc>
        <w:tc>
          <w:tcPr>
            <w:tcW w:w="1136" w:type="dxa"/>
            <w:gridSpan w:val="2"/>
          </w:tcPr>
          <w:p>
            <w:pPr>
              <w:pStyle w:val="nTable"/>
              <w:spacing w:after="40"/>
              <w:rPr>
                <w:snapToGrid w:val="0"/>
              </w:rPr>
            </w:pPr>
            <w:r>
              <w:t>19 Jun 2008</w:t>
            </w:r>
          </w:p>
        </w:tc>
        <w:tc>
          <w:tcPr>
            <w:tcW w:w="2552" w:type="dxa"/>
            <w:gridSpan w:val="2"/>
          </w:tcPr>
          <w:p>
            <w:pPr>
              <w:pStyle w:val="nTable"/>
              <w:spacing w:after="40"/>
              <w:rPr>
                <w:snapToGrid w:val="0"/>
              </w:rPr>
            </w:pPr>
            <w:r>
              <w:t xml:space="preserve">1 Jan 2009 (see s. 2(b) and </w:t>
            </w:r>
            <w:r>
              <w:rPr>
                <w:i/>
              </w:rPr>
              <w:t>Gazette</w:t>
            </w:r>
            <w:r>
              <w:rPr>
                <w:iCs/>
              </w:rPr>
              <w:t xml:space="preserve"> 9 Dec 2008 p. 5107</w:t>
            </w:r>
            <w:r>
              <w:t>)</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5: The </w:t>
            </w:r>
            <w:r>
              <w:rPr>
                <w:b/>
                <w:i/>
              </w:rPr>
              <w:t>Freedom of Information Act 1992</w:t>
            </w:r>
            <w:r>
              <w:rPr>
                <w:b/>
              </w:rPr>
              <w:t xml:space="preserve"> as at 27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70</w:t>
            </w:r>
          </w:p>
        </w:tc>
        <w:tc>
          <w:tcPr>
            <w:tcW w:w="1134" w:type="dxa"/>
            <w:gridSpan w:val="2"/>
          </w:tcPr>
          <w:p>
            <w:pPr>
              <w:pStyle w:val="nTable"/>
              <w:spacing w:after="40"/>
            </w:pPr>
            <w:r>
              <w:t>16 of 2009</w:t>
            </w:r>
          </w:p>
        </w:tc>
        <w:tc>
          <w:tcPr>
            <w:tcW w:w="1136" w:type="dxa"/>
            <w:gridSpan w:val="2"/>
          </w:tcPr>
          <w:p>
            <w:pPr>
              <w:pStyle w:val="nTable"/>
              <w:spacing w:after="40"/>
            </w:pPr>
            <w:r>
              <w:t>1 Sep 2009</w:t>
            </w:r>
          </w:p>
        </w:tc>
        <w:tc>
          <w:tcPr>
            <w:tcW w:w="2552" w:type="dxa"/>
            <w:gridSpan w:val="2"/>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59</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57</w:t>
            </w:r>
          </w:p>
        </w:tc>
        <w:tc>
          <w:tcPr>
            <w:tcW w:w="1134" w:type="dxa"/>
            <w:gridSpan w:val="2"/>
          </w:tcPr>
          <w:p>
            <w:pPr>
              <w:pStyle w:val="nTable"/>
              <w:spacing w:after="40"/>
              <w:rPr>
                <w:snapToGrid w:val="0"/>
              </w:rPr>
            </w:pPr>
            <w:r>
              <w:rPr>
                <w:snapToGrid w:val="0"/>
              </w:rPr>
              <w:t>33 of 2010</w:t>
            </w:r>
          </w:p>
        </w:tc>
        <w:tc>
          <w:tcPr>
            <w:tcW w:w="1136" w:type="dxa"/>
            <w:gridSpan w:val="2"/>
          </w:tcPr>
          <w:p>
            <w:pPr>
              <w:pStyle w:val="nTable"/>
              <w:spacing w:after="40"/>
              <w:rPr>
                <w:snapToGrid w:val="0"/>
              </w:rPr>
            </w:pPr>
            <w:r>
              <w:rPr>
                <w:snapToGrid w:val="0"/>
              </w:rPr>
              <w:t>30 Aug 2010</w:t>
            </w:r>
          </w:p>
        </w:tc>
        <w:tc>
          <w:tcPr>
            <w:tcW w:w="2552"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Bank of Western Australia Amendment Act 2012</w:t>
            </w:r>
            <w:r>
              <w:rPr>
                <w:snapToGrid w:val="0"/>
              </w:rPr>
              <w:t xml:space="preserve"> Pt. 3</w:t>
            </w:r>
          </w:p>
        </w:tc>
        <w:tc>
          <w:tcPr>
            <w:tcW w:w="1134" w:type="dxa"/>
            <w:gridSpan w:val="2"/>
            <w:shd w:val="clear" w:color="auto" w:fill="auto"/>
          </w:tcPr>
          <w:p>
            <w:pPr>
              <w:pStyle w:val="nTable"/>
              <w:spacing w:after="40"/>
              <w:rPr>
                <w:snapToGrid w:val="0"/>
              </w:rPr>
            </w:pPr>
            <w:r>
              <w:rPr>
                <w:snapToGrid w:val="0"/>
              </w:rPr>
              <w:t>14 of 2012</w:t>
            </w:r>
          </w:p>
        </w:tc>
        <w:tc>
          <w:tcPr>
            <w:tcW w:w="1136" w:type="dxa"/>
            <w:gridSpan w:val="2"/>
            <w:shd w:val="clear" w:color="auto" w:fill="auto"/>
          </w:tcPr>
          <w:p>
            <w:pPr>
              <w:pStyle w:val="nTable"/>
              <w:spacing w:after="40"/>
              <w:rPr>
                <w:snapToGrid w:val="0"/>
              </w:rPr>
            </w:pPr>
            <w:r>
              <w:rPr>
                <w:snapToGrid w:val="0"/>
              </w:rPr>
              <w:t>3 Jul 2012</w:t>
            </w:r>
          </w:p>
        </w:tc>
        <w:tc>
          <w:tcPr>
            <w:tcW w:w="2552" w:type="dxa"/>
            <w:gridSpan w:val="2"/>
            <w:shd w:val="clear" w:color="auto" w:fill="auto"/>
          </w:tcPr>
          <w:p>
            <w:pPr>
              <w:pStyle w:val="nTable"/>
              <w:spacing w:after="40"/>
              <w:rPr>
                <w:snapToGrid w:val="0"/>
              </w:rPr>
            </w:pPr>
            <w:r>
              <w:rPr>
                <w:snapToGrid w:val="0"/>
              </w:rPr>
              <w:t xml:space="preserve">11 Aug 2012 (see s. 2(b) and </w:t>
            </w:r>
            <w:r>
              <w:rPr>
                <w:i/>
                <w:snapToGrid w:val="0"/>
              </w:rPr>
              <w:t>Gazette</w:t>
            </w:r>
            <w:r>
              <w:rPr>
                <w:snapToGrid w:val="0"/>
              </w:rPr>
              <w:t xml:space="preserve"> 10 Aug 2012 p. 3803)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color w:val="000000"/>
              </w:rPr>
              <w:t>Community Protection (Offender Reporting) Amendment Act (No. 2) 2012</w:t>
            </w:r>
            <w:r>
              <w:rPr>
                <w:snapToGrid w:val="0"/>
              </w:rPr>
              <w:t xml:space="preserve"> Pt. 3</w:t>
            </w:r>
          </w:p>
        </w:tc>
        <w:tc>
          <w:tcPr>
            <w:tcW w:w="1134" w:type="dxa"/>
            <w:gridSpan w:val="2"/>
            <w:shd w:val="clear" w:color="auto" w:fill="auto"/>
          </w:tcPr>
          <w:p>
            <w:pPr>
              <w:pStyle w:val="nTable"/>
              <w:spacing w:after="40"/>
              <w:rPr>
                <w:snapToGrid w:val="0"/>
              </w:rPr>
            </w:pPr>
            <w:r>
              <w:t>54 of 2012</w:t>
            </w:r>
          </w:p>
        </w:tc>
        <w:tc>
          <w:tcPr>
            <w:tcW w:w="1136" w:type="dxa"/>
            <w:gridSpan w:val="2"/>
            <w:shd w:val="clear" w:color="auto" w:fill="auto"/>
          </w:tcPr>
          <w:p>
            <w:pPr>
              <w:pStyle w:val="nTable"/>
              <w:spacing w:after="40"/>
              <w:rPr>
                <w:snapToGrid w:val="0"/>
              </w:rPr>
            </w:pPr>
            <w:r>
              <w:t>3 Dec 2012</w:t>
            </w:r>
          </w:p>
        </w:tc>
        <w:tc>
          <w:tcPr>
            <w:tcW w:w="2552" w:type="dxa"/>
            <w:gridSpan w:val="2"/>
            <w:shd w:val="clear" w:color="auto" w:fill="auto"/>
          </w:tcPr>
          <w:p>
            <w:pPr>
              <w:pStyle w:val="nTable"/>
              <w:spacing w:after="40"/>
              <w:rPr>
                <w:snapToGrid w:val="0"/>
              </w:rPr>
            </w:pPr>
            <w:r>
              <w:rPr>
                <w:snapToGrid w:val="0"/>
              </w:rPr>
              <w:t xml:space="preserve">23 Feb 2013 (see s. 2(b) and </w:t>
            </w:r>
            <w:r>
              <w:rPr>
                <w:i/>
                <w:snapToGrid w:val="0"/>
              </w:rPr>
              <w:t>Gazette</w:t>
            </w:r>
            <w:r>
              <w:rPr>
                <w:snapToGrid w:val="0"/>
              </w:rPr>
              <w:t xml:space="preserve"> 22 Feb 2013 p. 1045)</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spacing w:after="40"/>
              <w:rPr>
                <w:snapToGrid w:val="0"/>
              </w:rPr>
            </w:pPr>
            <w:r>
              <w:rPr>
                <w:b/>
              </w:rPr>
              <w:t xml:space="preserve">Reprint 6: The </w:t>
            </w:r>
            <w:r>
              <w:rPr>
                <w:b/>
                <w:i/>
              </w:rPr>
              <w:t>Freedom of Information Act 1992</w:t>
            </w:r>
            <w:r>
              <w:rPr>
                <w:b/>
              </w:rPr>
              <w:t xml:space="preserve"> as at 1 Feb 2013</w:t>
            </w:r>
            <w:r>
              <w:t xml:space="preserve"> (includes amendments listed above except those in the </w:t>
            </w:r>
            <w:r>
              <w:rPr>
                <w:i/>
                <w:snapToGrid w:val="0"/>
                <w:color w:val="000000"/>
              </w:rPr>
              <w:t>Community Protection (Offender Reporting) Amendment Act (No. 2) 2012</w:t>
            </w:r>
            <w:r>
              <w:rPr>
                <w:snapToGrid w:val="0"/>
              </w:rPr>
              <w:t xml:space="preserve"> Pt. 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snapToGrid w:val="0"/>
              </w:rPr>
              <w:t>Electoral Amendment Act 2014</w:t>
            </w:r>
            <w:r>
              <w:rPr>
                <w:snapToGrid w:val="0"/>
              </w:rPr>
              <w:t xml:space="preserve"> Pt. 3</w:t>
            </w:r>
          </w:p>
        </w:tc>
        <w:tc>
          <w:tcPr>
            <w:tcW w:w="1134" w:type="dxa"/>
            <w:gridSpan w:val="2"/>
          </w:tcPr>
          <w:p>
            <w:pPr>
              <w:pStyle w:val="nTable"/>
              <w:keepNext/>
              <w:spacing w:after="40"/>
            </w:pPr>
            <w:r>
              <w:t>14 of 2014</w:t>
            </w:r>
          </w:p>
        </w:tc>
        <w:tc>
          <w:tcPr>
            <w:tcW w:w="1136" w:type="dxa"/>
            <w:gridSpan w:val="2"/>
          </w:tcPr>
          <w:p>
            <w:pPr>
              <w:pStyle w:val="nTable"/>
              <w:keepNext/>
              <w:spacing w:after="40"/>
            </w:pPr>
            <w:r>
              <w:t>2 Jul 2014</w:t>
            </w:r>
          </w:p>
        </w:tc>
        <w:tc>
          <w:tcPr>
            <w:tcW w:w="2552" w:type="dxa"/>
            <w:gridSpan w:val="2"/>
          </w:tcPr>
          <w:p>
            <w:pPr>
              <w:pStyle w:val="nTable"/>
              <w:keepNext/>
              <w:spacing w:after="40"/>
            </w:pPr>
            <w:r>
              <w:t>3 Jul 2014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Corruption and Crime Commission Amendment (Misconduct) Act 2014</w:t>
            </w:r>
            <w:r>
              <w:rPr>
                <w:snapToGrid w:val="0"/>
              </w:rPr>
              <w:t xml:space="preserve"> s. 33</w:t>
            </w:r>
          </w:p>
        </w:tc>
        <w:tc>
          <w:tcPr>
            <w:tcW w:w="1134" w:type="dxa"/>
            <w:gridSpan w:val="2"/>
          </w:tcPr>
          <w:p>
            <w:pPr>
              <w:pStyle w:val="nTable"/>
              <w:keepNext/>
              <w:spacing w:after="40"/>
            </w:pPr>
            <w:r>
              <w:rPr>
                <w:snapToGrid w:val="0"/>
              </w:rPr>
              <w:t>35 of 2014</w:t>
            </w:r>
          </w:p>
        </w:tc>
        <w:tc>
          <w:tcPr>
            <w:tcW w:w="1136" w:type="dxa"/>
            <w:gridSpan w:val="2"/>
          </w:tcPr>
          <w:p>
            <w:pPr>
              <w:pStyle w:val="nTable"/>
              <w:keepNext/>
              <w:spacing w:after="40"/>
            </w:pPr>
            <w:r>
              <w:t>9 Dec 2014</w:t>
            </w:r>
          </w:p>
        </w:tc>
        <w:tc>
          <w:tcPr>
            <w:tcW w:w="2552" w:type="dxa"/>
            <w:gridSpan w:val="2"/>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rPr>
              <w:t>Declared Places (Mentally Impaired Accused) Act 2015</w:t>
            </w:r>
            <w:r>
              <w:t xml:space="preserve"> s. 86</w:t>
            </w:r>
          </w:p>
        </w:tc>
        <w:tc>
          <w:tcPr>
            <w:tcW w:w="1134" w:type="dxa"/>
            <w:gridSpan w:val="2"/>
          </w:tcPr>
          <w:p>
            <w:pPr>
              <w:pStyle w:val="nTable"/>
              <w:keepNext/>
              <w:spacing w:after="40"/>
            </w:pPr>
            <w:r>
              <w:rPr>
                <w:snapToGrid w:val="0"/>
              </w:rPr>
              <w:t>4 of 2015</w:t>
            </w:r>
          </w:p>
        </w:tc>
        <w:tc>
          <w:tcPr>
            <w:tcW w:w="1136" w:type="dxa"/>
            <w:gridSpan w:val="2"/>
          </w:tcPr>
          <w:p>
            <w:pPr>
              <w:pStyle w:val="nTable"/>
              <w:keepNext/>
              <w:spacing w:after="40"/>
            </w:pPr>
            <w:r>
              <w:t>3 Mar 2015</w:t>
            </w:r>
          </w:p>
        </w:tc>
        <w:tc>
          <w:tcPr>
            <w:tcW w:w="2552" w:type="dxa"/>
            <w:gridSpan w:val="2"/>
          </w:tcPr>
          <w:p>
            <w:pPr>
              <w:pStyle w:val="nTable"/>
              <w:keepNext/>
              <w:spacing w:after="40"/>
            </w:pPr>
            <w:r>
              <w:t xml:space="preserve">17 Jun 2015 (see s. 2(b) and </w:t>
            </w:r>
            <w:r>
              <w:rPr>
                <w:i/>
              </w:rPr>
              <w:t>Gazette</w:t>
            </w:r>
            <w:r>
              <w:t xml:space="preserve"> 16 Jun 2015 p. 2071)</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keepNext/>
              <w:spacing w:after="40"/>
            </w:pPr>
            <w:r>
              <w:rPr>
                <w:b/>
              </w:rPr>
              <w:t xml:space="preserve">Reprint 7: The </w:t>
            </w:r>
            <w:r>
              <w:rPr>
                <w:b/>
                <w:i/>
                <w:noProof/>
              </w:rPr>
              <w:t>Freedom of Information Act 1992</w:t>
            </w:r>
            <w:r>
              <w:rPr>
                <w:b/>
              </w:rPr>
              <w:t xml:space="preserve"> as at 11 Nov 2016</w:t>
            </w:r>
            <w:r>
              <w:t xml:space="preserve"> (includes amendments listed above)</w:t>
            </w:r>
          </w:p>
        </w:tc>
      </w:tr>
      <w:tr>
        <w:trPr>
          <w:cantSplit/>
        </w:trPr>
        <w:tc>
          <w:tcPr>
            <w:tcW w:w="2296" w:type="dxa"/>
            <w:gridSpan w:val="2"/>
            <w:tcBorders>
              <w:top w:val="nil"/>
              <w:bottom w:val="nil"/>
            </w:tcBorders>
            <w:shd w:val="clear" w:color="auto" w:fill="auto"/>
          </w:tcPr>
          <w:p>
            <w:pPr>
              <w:pStyle w:val="nTable"/>
              <w:spacing w:after="40"/>
              <w:rPr>
                <w:b/>
              </w:rPr>
            </w:pPr>
            <w:r>
              <w:rPr>
                <w:i/>
                <w:snapToGrid w:val="0"/>
              </w:rPr>
              <w:t>Local Government Legislation Amendment Act 2016</w:t>
            </w:r>
            <w:r>
              <w:rPr>
                <w:snapToGrid w:val="0"/>
              </w:rPr>
              <w:t xml:space="preserve"> Pt. 3 Div. 16</w:t>
            </w:r>
          </w:p>
        </w:tc>
        <w:tc>
          <w:tcPr>
            <w:tcW w:w="1134" w:type="dxa"/>
            <w:gridSpan w:val="2"/>
            <w:tcBorders>
              <w:top w:val="nil"/>
              <w:bottom w:val="nil"/>
            </w:tcBorders>
            <w:shd w:val="clear" w:color="auto" w:fill="auto"/>
          </w:tcPr>
          <w:p>
            <w:pPr>
              <w:pStyle w:val="nTable"/>
              <w:spacing w:after="40"/>
              <w:rPr>
                <w:b/>
              </w:rPr>
            </w:pPr>
            <w:r>
              <w:t>26 of 2016</w:t>
            </w:r>
          </w:p>
        </w:tc>
        <w:tc>
          <w:tcPr>
            <w:tcW w:w="1134" w:type="dxa"/>
            <w:gridSpan w:val="2"/>
            <w:tcBorders>
              <w:top w:val="nil"/>
              <w:bottom w:val="nil"/>
            </w:tcBorders>
            <w:shd w:val="clear" w:color="auto" w:fill="auto"/>
          </w:tcPr>
          <w:p>
            <w:pPr>
              <w:pStyle w:val="nTable"/>
              <w:spacing w:after="40"/>
              <w:rPr>
                <w:b/>
              </w:rPr>
            </w:pPr>
            <w:r>
              <w:t>21 Sep 2016</w:t>
            </w:r>
          </w:p>
        </w:tc>
        <w:tc>
          <w:tcPr>
            <w:tcW w:w="2526" w:type="dxa"/>
            <w:tcBorders>
              <w:top w:val="nil"/>
              <w:bottom w:val="nil"/>
            </w:tcBorders>
            <w:shd w:val="clear" w:color="auto" w:fill="auto"/>
          </w:tcPr>
          <w:p>
            <w:pPr>
              <w:pStyle w:val="nTable"/>
              <w:spacing w:after="40"/>
              <w:rPr>
                <w:b/>
              </w:rPr>
            </w:pPr>
            <w:r>
              <w:rPr>
                <w:snapToGrid w:val="0"/>
              </w:rPr>
              <w:t xml:space="preserve">21 Jan 2017 (see s. 2(b) and </w:t>
            </w:r>
            <w:r>
              <w:rPr>
                <w:i/>
                <w:snapToGrid w:val="0"/>
              </w:rPr>
              <w:t>Gazette</w:t>
            </w:r>
            <w:r>
              <w:rPr>
                <w:snapToGrid w:val="0"/>
              </w:rPr>
              <w:t xml:space="preserve"> 20 Jan 2017 p. 648)</w:t>
            </w:r>
          </w:p>
        </w:tc>
      </w:tr>
      <w:tr>
        <w:trPr>
          <w:cantSplit/>
        </w:trPr>
        <w:tc>
          <w:tcPr>
            <w:tcW w:w="2296" w:type="dxa"/>
            <w:gridSpan w:val="2"/>
            <w:tcBorders>
              <w:top w:val="nil"/>
              <w:bottom w:val="nil"/>
            </w:tcBorders>
            <w:shd w:val="clear" w:color="auto" w:fill="auto"/>
          </w:tcPr>
          <w:p>
            <w:pPr>
              <w:pStyle w:val="nTable"/>
              <w:keepNext/>
              <w:spacing w:after="40"/>
              <w:rPr>
                <w:i/>
                <w:snapToGrid w:val="0"/>
              </w:rPr>
            </w:pPr>
            <w:r>
              <w:rPr>
                <w:i/>
              </w:rPr>
              <w:lastRenderedPageBreak/>
              <w:t>High Risk Serious Offenders Act 2020</w:t>
            </w:r>
            <w:r>
              <w:t xml:space="preserve"> Pt. 9 Div. 3</w:t>
            </w:r>
          </w:p>
        </w:tc>
        <w:tc>
          <w:tcPr>
            <w:tcW w:w="1134" w:type="dxa"/>
            <w:gridSpan w:val="2"/>
            <w:tcBorders>
              <w:top w:val="nil"/>
              <w:bottom w:val="nil"/>
            </w:tcBorders>
            <w:shd w:val="clear" w:color="auto" w:fill="auto"/>
          </w:tcPr>
          <w:p>
            <w:pPr>
              <w:pStyle w:val="nTable"/>
              <w:keepNext/>
              <w:spacing w:after="40"/>
            </w:pPr>
            <w:r>
              <w:t>29 of 2020</w:t>
            </w:r>
          </w:p>
        </w:tc>
        <w:tc>
          <w:tcPr>
            <w:tcW w:w="1134" w:type="dxa"/>
            <w:gridSpan w:val="2"/>
            <w:tcBorders>
              <w:top w:val="nil"/>
              <w:bottom w:val="nil"/>
            </w:tcBorders>
            <w:shd w:val="clear" w:color="auto" w:fill="auto"/>
          </w:tcPr>
          <w:p>
            <w:pPr>
              <w:pStyle w:val="nTable"/>
              <w:keepNext/>
              <w:spacing w:after="40"/>
            </w:pPr>
            <w:r>
              <w:t>9 Jul 2020</w:t>
            </w:r>
          </w:p>
        </w:tc>
        <w:tc>
          <w:tcPr>
            <w:tcW w:w="2526" w:type="dxa"/>
            <w:tcBorders>
              <w:top w:val="nil"/>
              <w:bottom w:val="nil"/>
            </w:tcBorders>
            <w:shd w:val="clear" w:color="auto" w:fill="auto"/>
          </w:tcPr>
          <w:p>
            <w:pPr>
              <w:pStyle w:val="nTable"/>
              <w:keepNext/>
              <w:spacing w:after="40"/>
              <w:rPr>
                <w:snapToGrid w:val="0"/>
              </w:rPr>
            </w:pPr>
            <w:r>
              <w:t>26 Aug 2020 (see s. 2(1)(c) and SL 2020/131 cl. 2)</w:t>
            </w:r>
          </w:p>
        </w:tc>
      </w:tr>
      <w:tr>
        <w:trPr>
          <w:cantSplit/>
        </w:trPr>
        <w:tc>
          <w:tcPr>
            <w:tcW w:w="2296" w:type="dxa"/>
            <w:gridSpan w:val="2"/>
            <w:tcBorders>
              <w:top w:val="nil"/>
              <w:bottom w:val="nil"/>
            </w:tcBorders>
            <w:shd w:val="clear" w:color="auto" w:fill="auto"/>
          </w:tcPr>
          <w:p>
            <w:pPr>
              <w:pStyle w:val="nTable"/>
              <w:keepNext/>
              <w:spacing w:after="40"/>
              <w:rPr>
                <w:i/>
              </w:rPr>
            </w:pPr>
            <w:r>
              <w:rPr>
                <w:i/>
              </w:rPr>
              <w:t xml:space="preserve">Sentencing Legislation Amendment (Persons Linked to Terrorism) Act 2022 </w:t>
            </w:r>
            <w:r>
              <w:t>Pt. 5</w:t>
            </w:r>
          </w:p>
        </w:tc>
        <w:tc>
          <w:tcPr>
            <w:tcW w:w="1134" w:type="dxa"/>
            <w:gridSpan w:val="2"/>
            <w:tcBorders>
              <w:top w:val="nil"/>
              <w:bottom w:val="nil"/>
            </w:tcBorders>
            <w:shd w:val="clear" w:color="auto" w:fill="auto"/>
          </w:tcPr>
          <w:p>
            <w:pPr>
              <w:pStyle w:val="nTable"/>
              <w:keepNext/>
              <w:spacing w:after="40"/>
            </w:pPr>
            <w:r>
              <w:t>14 of 2022</w:t>
            </w:r>
          </w:p>
        </w:tc>
        <w:tc>
          <w:tcPr>
            <w:tcW w:w="1134" w:type="dxa"/>
            <w:gridSpan w:val="2"/>
            <w:tcBorders>
              <w:top w:val="nil"/>
              <w:bottom w:val="nil"/>
            </w:tcBorders>
            <w:shd w:val="clear" w:color="auto" w:fill="auto"/>
          </w:tcPr>
          <w:p>
            <w:pPr>
              <w:pStyle w:val="nTable"/>
              <w:keepNext/>
              <w:spacing w:after="40"/>
            </w:pPr>
            <w:r>
              <w:t>18 May 2022</w:t>
            </w:r>
          </w:p>
        </w:tc>
        <w:tc>
          <w:tcPr>
            <w:tcW w:w="2526" w:type="dxa"/>
            <w:tcBorders>
              <w:top w:val="nil"/>
              <w:bottom w:val="nil"/>
            </w:tcBorders>
            <w:shd w:val="clear" w:color="auto" w:fill="auto"/>
          </w:tcPr>
          <w:p>
            <w:pPr>
              <w:pStyle w:val="nTable"/>
              <w:keepNext/>
              <w:spacing w:after="40"/>
            </w:pPr>
            <w:r>
              <w:t>11 Nov 2022 (see s. 2(b) and SL 2022/182 cl. 2)</w:t>
            </w:r>
          </w:p>
        </w:tc>
      </w:tr>
      <w:tr>
        <w:trPr>
          <w:cantSplit/>
        </w:trPr>
        <w:tc>
          <w:tcPr>
            <w:tcW w:w="2296" w:type="dxa"/>
            <w:gridSpan w:val="2"/>
            <w:tcBorders>
              <w:top w:val="nil"/>
              <w:bottom w:val="nil"/>
            </w:tcBorders>
            <w:shd w:val="clear" w:color="auto" w:fill="auto"/>
          </w:tcPr>
          <w:p>
            <w:pPr>
              <w:pStyle w:val="nTable"/>
              <w:spacing w:after="40"/>
            </w:pPr>
            <w:r>
              <w:rPr>
                <w:i/>
              </w:rPr>
              <w:t>Health and Disability Services (Complaints) Amendment Act 2022</w:t>
            </w:r>
            <w:r>
              <w:t xml:space="preserve"> s. 44</w:t>
            </w:r>
          </w:p>
        </w:tc>
        <w:tc>
          <w:tcPr>
            <w:tcW w:w="1134" w:type="dxa"/>
            <w:gridSpan w:val="2"/>
            <w:tcBorders>
              <w:top w:val="nil"/>
              <w:bottom w:val="nil"/>
            </w:tcBorders>
            <w:shd w:val="clear" w:color="auto" w:fill="auto"/>
          </w:tcPr>
          <w:p>
            <w:pPr>
              <w:pStyle w:val="nTable"/>
              <w:spacing w:after="40"/>
            </w:pPr>
            <w:r>
              <w:t>35 of 2022</w:t>
            </w:r>
          </w:p>
        </w:tc>
        <w:tc>
          <w:tcPr>
            <w:tcW w:w="1134" w:type="dxa"/>
            <w:gridSpan w:val="2"/>
            <w:tcBorders>
              <w:top w:val="nil"/>
              <w:bottom w:val="nil"/>
            </w:tcBorders>
            <w:shd w:val="clear" w:color="auto" w:fill="auto"/>
          </w:tcPr>
          <w:p>
            <w:pPr>
              <w:pStyle w:val="nTable"/>
              <w:spacing w:after="40"/>
            </w:pPr>
            <w:r>
              <w:t>28 Oct 2022</w:t>
            </w:r>
          </w:p>
        </w:tc>
        <w:tc>
          <w:tcPr>
            <w:tcW w:w="2526" w:type="dxa"/>
            <w:tcBorders>
              <w:top w:val="nil"/>
              <w:bottom w:val="nil"/>
            </w:tcBorders>
            <w:shd w:val="clear" w:color="auto" w:fill="auto"/>
          </w:tcPr>
          <w:p>
            <w:pPr>
              <w:pStyle w:val="nTable"/>
              <w:spacing w:after="40"/>
            </w:pPr>
            <w:r>
              <w:t>27 Jul 2023 (see s. 2(b) and SL 2023/112 cl. 2)</w:t>
            </w:r>
          </w:p>
        </w:tc>
      </w:tr>
      <w:tr>
        <w:tblPrEx>
          <w:tblBorders>
            <w:top w:val="none" w:sz="0" w:space="0" w:color="auto"/>
            <w:bottom w:val="none" w:sz="0" w:space="0" w:color="auto"/>
            <w:insideH w:val="none" w:sz="0" w:space="0" w:color="auto"/>
          </w:tblBorders>
        </w:tblPrEx>
        <w:trPr>
          <w:cantSplit/>
        </w:trPr>
        <w:tc>
          <w:tcPr>
            <w:tcW w:w="2296" w:type="dxa"/>
            <w:gridSpan w:val="2"/>
            <w:tcBorders>
              <w:bottom w:val="single" w:sz="2" w:space="0" w:color="auto"/>
            </w:tcBorders>
            <w:shd w:val="clear" w:color="auto" w:fill="auto"/>
          </w:tcPr>
          <w:p>
            <w:pPr>
              <w:pStyle w:val="nTable"/>
              <w:keepNext/>
              <w:spacing w:after="40"/>
              <w:rPr>
                <w:i/>
              </w:rPr>
            </w:pPr>
            <w:r>
              <w:rPr>
                <w:i/>
              </w:rPr>
              <w:t>Charitable Trusts Act 2022</w:t>
            </w:r>
            <w:r>
              <w:t xml:space="preserve"> s. 58</w:t>
            </w:r>
          </w:p>
        </w:tc>
        <w:tc>
          <w:tcPr>
            <w:tcW w:w="1134" w:type="dxa"/>
            <w:gridSpan w:val="2"/>
            <w:tcBorders>
              <w:bottom w:val="single" w:sz="2" w:space="0" w:color="auto"/>
            </w:tcBorders>
            <w:shd w:val="clear" w:color="auto" w:fill="auto"/>
          </w:tcPr>
          <w:p>
            <w:pPr>
              <w:pStyle w:val="nTable"/>
              <w:keepNext/>
              <w:spacing w:after="40"/>
            </w:pPr>
            <w:r>
              <w:t>38 of 2022</w:t>
            </w:r>
          </w:p>
        </w:tc>
        <w:tc>
          <w:tcPr>
            <w:tcW w:w="1134" w:type="dxa"/>
            <w:gridSpan w:val="2"/>
            <w:tcBorders>
              <w:bottom w:val="single" w:sz="2" w:space="0" w:color="auto"/>
            </w:tcBorders>
            <w:shd w:val="clear" w:color="auto" w:fill="auto"/>
          </w:tcPr>
          <w:p>
            <w:pPr>
              <w:pStyle w:val="nTable"/>
              <w:keepNext/>
              <w:spacing w:after="40"/>
            </w:pPr>
            <w:r>
              <w:t>1 Nov 2022</w:t>
            </w:r>
          </w:p>
        </w:tc>
        <w:tc>
          <w:tcPr>
            <w:tcW w:w="2526" w:type="dxa"/>
            <w:tcBorders>
              <w:bottom w:val="single" w:sz="2" w:space="0" w:color="auto"/>
            </w:tcBorders>
            <w:shd w:val="clear" w:color="auto" w:fill="auto"/>
          </w:tcPr>
          <w:p>
            <w:pPr>
              <w:pStyle w:val="nTable"/>
              <w:keepNext/>
              <w:spacing w:after="40"/>
            </w:pPr>
            <w:r>
              <w:t>21 Nov 2022 (see s. 2(b) and SL 2022/194 cl. 2)</w:t>
            </w:r>
          </w:p>
        </w:tc>
      </w:tr>
    </w:tbl>
    <w:p>
      <w:pPr>
        <w:pStyle w:val="nHeading3"/>
      </w:pPr>
      <w:bookmarkStart w:id="164" w:name="_Toc199941738"/>
      <w:r>
        <w:t>Uncommenced provisions table</w:t>
      </w:r>
      <w:bookmarkEnd w:id="164"/>
    </w:p>
    <w:p>
      <w:pPr>
        <w:pStyle w:val="nStatement"/>
        <w:keepNext/>
        <w:spacing w:after="240"/>
      </w:pPr>
      <w:r>
        <w:t xml:space="preserve">To view the text of the uncommenced provisions see </w:t>
      </w:r>
      <w:r>
        <w:rPr>
          <w:i/>
        </w:rPr>
        <w:t>Acts as passed</w:t>
      </w:r>
      <w:r>
        <w:t xml:space="preserve">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382"/>
        <w:gridCol w:w="1134"/>
        <w:gridCol w:w="1134"/>
        <w:gridCol w:w="2410"/>
      </w:tblGrid>
      <w:tr>
        <w:trPr>
          <w:tblHeader/>
        </w:trPr>
        <w:tc>
          <w:tcPr>
            <w:tcW w:w="2382"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10" w:type="dxa"/>
          </w:tcPr>
          <w:p>
            <w:pPr>
              <w:pStyle w:val="nTable"/>
              <w:spacing w:after="40"/>
              <w:rPr>
                <w:b/>
              </w:rPr>
            </w:pPr>
            <w:r>
              <w:rPr>
                <w:b/>
              </w:rPr>
              <w:t>Commencement</w:t>
            </w:r>
          </w:p>
        </w:tc>
      </w:tr>
      <w:tr>
        <w:trPr>
          <w:cantSplit/>
        </w:trPr>
        <w:tc>
          <w:tcPr>
            <w:tcW w:w="2382" w:type="dxa"/>
            <w:tcBorders>
              <w:top w:val="single" w:sz="8" w:space="0" w:color="auto"/>
              <w:bottom w:val="nil"/>
            </w:tcBorders>
          </w:tcPr>
          <w:p>
            <w:pPr>
              <w:pStyle w:val="nTable"/>
              <w:spacing w:after="40"/>
              <w:ind w:right="113"/>
              <w:rPr>
                <w:vertAlign w:val="superscript"/>
              </w:rPr>
            </w:pPr>
            <w:r>
              <w:rPr>
                <w:i/>
                <w:snapToGrid w:val="0"/>
              </w:rPr>
              <w:t xml:space="preserve">Acts Amendment (ICWA) Act 1996 </w:t>
            </w:r>
            <w:r>
              <w:rPr>
                <w:snapToGrid w:val="0"/>
              </w:rPr>
              <w:t>Sch. 1 it. 4</w:t>
            </w:r>
          </w:p>
        </w:tc>
        <w:tc>
          <w:tcPr>
            <w:tcW w:w="1134" w:type="dxa"/>
            <w:tcBorders>
              <w:top w:val="single" w:sz="8" w:space="0" w:color="auto"/>
              <w:bottom w:val="nil"/>
            </w:tcBorders>
          </w:tcPr>
          <w:p>
            <w:pPr>
              <w:pStyle w:val="nTable"/>
              <w:keepNext/>
              <w:spacing w:after="40"/>
            </w:pPr>
            <w:r>
              <w:t>45 of 1996</w:t>
            </w:r>
          </w:p>
        </w:tc>
        <w:tc>
          <w:tcPr>
            <w:tcW w:w="1134" w:type="dxa"/>
            <w:tcBorders>
              <w:top w:val="single" w:sz="8" w:space="0" w:color="auto"/>
              <w:bottom w:val="nil"/>
            </w:tcBorders>
          </w:tcPr>
          <w:p>
            <w:pPr>
              <w:pStyle w:val="nTable"/>
              <w:keepNext/>
              <w:spacing w:after="40"/>
            </w:pPr>
            <w:r>
              <w:t>25 Oct 1996</w:t>
            </w:r>
          </w:p>
        </w:tc>
        <w:tc>
          <w:tcPr>
            <w:tcW w:w="2410" w:type="dxa"/>
            <w:tcBorders>
              <w:top w:val="single" w:sz="8" w:space="0" w:color="auto"/>
              <w:bottom w:val="nil"/>
            </w:tcBorders>
          </w:tcPr>
          <w:p>
            <w:pPr>
              <w:pStyle w:val="nTable"/>
              <w:keepNext/>
              <w:spacing w:after="40"/>
            </w:pPr>
            <w:r>
              <w:t>To be proclaimed (see s. 2)</w:t>
            </w:r>
          </w:p>
        </w:tc>
      </w:tr>
      <w:tr>
        <w:trPr>
          <w:cantSplit/>
        </w:trPr>
        <w:tc>
          <w:tcPr>
            <w:tcW w:w="2382" w:type="dxa"/>
            <w:tcBorders>
              <w:top w:val="nil"/>
              <w:bottom w:val="nil"/>
            </w:tcBorders>
          </w:tcPr>
          <w:p>
            <w:pPr>
              <w:pStyle w:val="nTable"/>
              <w:spacing w:after="40"/>
              <w:ind w:right="113"/>
              <w:rPr>
                <w:i/>
                <w:snapToGrid w:val="0"/>
              </w:rPr>
            </w:pPr>
            <w:r>
              <w:rPr>
                <w:i/>
                <w:snapToGrid w:val="0"/>
              </w:rPr>
              <w:t>State Superannuation (Transitional and Consequential Provisions) Act 2000</w:t>
            </w:r>
            <w:r>
              <w:rPr>
                <w:snapToGrid w:val="0"/>
              </w:rPr>
              <w:t xml:space="preserve"> s. 75</w:t>
            </w:r>
          </w:p>
        </w:tc>
        <w:tc>
          <w:tcPr>
            <w:tcW w:w="1134" w:type="dxa"/>
            <w:tcBorders>
              <w:top w:val="nil"/>
              <w:bottom w:val="nil"/>
            </w:tcBorders>
          </w:tcPr>
          <w:p>
            <w:pPr>
              <w:pStyle w:val="nTable"/>
              <w:keepNext/>
              <w:spacing w:after="40"/>
            </w:pPr>
            <w:r>
              <w:t>43 of 2000</w:t>
            </w:r>
          </w:p>
        </w:tc>
        <w:tc>
          <w:tcPr>
            <w:tcW w:w="1134" w:type="dxa"/>
            <w:tcBorders>
              <w:top w:val="nil"/>
              <w:bottom w:val="nil"/>
            </w:tcBorders>
          </w:tcPr>
          <w:p>
            <w:pPr>
              <w:pStyle w:val="nTable"/>
              <w:keepNext/>
              <w:spacing w:after="40"/>
            </w:pPr>
            <w:r>
              <w:t>2 Nov 2000</w:t>
            </w:r>
          </w:p>
        </w:tc>
        <w:tc>
          <w:tcPr>
            <w:tcW w:w="2410" w:type="dxa"/>
            <w:tcBorders>
              <w:top w:val="nil"/>
              <w:bottom w:val="nil"/>
            </w:tcBorders>
          </w:tcPr>
          <w:p>
            <w:pPr>
              <w:pStyle w:val="nTable"/>
              <w:keepNext/>
              <w:spacing w:after="40"/>
            </w:pPr>
            <w:r>
              <w:t>To be proclaimed (see s. 2(2))</w:t>
            </w:r>
          </w:p>
        </w:tc>
      </w:tr>
      <w:tr>
        <w:tc>
          <w:tcPr>
            <w:tcW w:w="2382" w:type="dxa"/>
            <w:tcBorders>
              <w:top w:val="nil"/>
              <w:bottom w:val="single" w:sz="4" w:space="0" w:color="auto"/>
            </w:tcBorders>
          </w:tcPr>
          <w:p>
            <w:pPr>
              <w:pStyle w:val="nTable"/>
              <w:spacing w:after="40"/>
            </w:pPr>
            <w:r>
              <w:rPr>
                <w:i/>
              </w:rPr>
              <w:t>Criminal Law (Mental Impairment) Act 2023</w:t>
            </w:r>
            <w:r>
              <w:t xml:space="preserve"> s. 410</w:t>
            </w:r>
          </w:p>
        </w:tc>
        <w:tc>
          <w:tcPr>
            <w:tcW w:w="1134" w:type="dxa"/>
            <w:tcBorders>
              <w:top w:val="nil"/>
              <w:bottom w:val="single" w:sz="4" w:space="0" w:color="auto"/>
            </w:tcBorders>
          </w:tcPr>
          <w:p>
            <w:pPr>
              <w:pStyle w:val="nTable"/>
              <w:spacing w:after="40"/>
            </w:pPr>
            <w:r>
              <w:t>10 of 2023</w:t>
            </w:r>
          </w:p>
        </w:tc>
        <w:tc>
          <w:tcPr>
            <w:tcW w:w="1134" w:type="dxa"/>
            <w:tcBorders>
              <w:top w:val="nil"/>
              <w:bottom w:val="single" w:sz="4" w:space="0" w:color="auto"/>
            </w:tcBorders>
          </w:tcPr>
          <w:p>
            <w:pPr>
              <w:pStyle w:val="nTable"/>
              <w:spacing w:after="40"/>
            </w:pPr>
            <w:r>
              <w:t>13 Apr 2023</w:t>
            </w:r>
          </w:p>
        </w:tc>
        <w:tc>
          <w:tcPr>
            <w:tcW w:w="2410" w:type="dxa"/>
            <w:tcBorders>
              <w:top w:val="nil"/>
              <w:bottom w:val="single" w:sz="4" w:space="0" w:color="auto"/>
            </w:tcBorders>
          </w:tcPr>
          <w:p>
            <w:pPr>
              <w:pStyle w:val="nTable"/>
              <w:spacing w:after="40"/>
            </w:pPr>
            <w:r>
              <w:t>To be proclaimed (see s. 2(b))</w:t>
            </w:r>
          </w:p>
        </w:tc>
      </w:tr>
    </w:tbl>
    <w:p>
      <w:pPr>
        <w:pStyle w:val="nHeading3"/>
      </w:pPr>
      <w:bookmarkStart w:id="165" w:name="_Toc199941739"/>
      <w:r>
        <w:t>Other notes</w:t>
      </w:r>
      <w:bookmarkEnd w:id="165"/>
    </w:p>
    <w:p>
      <w:pPr>
        <w:pStyle w:val="nNote"/>
        <w:spacing w:before="160"/>
      </w:pPr>
      <w:r>
        <w:rPr>
          <w:vertAlign w:val="superscript"/>
        </w:rPr>
        <w:t>1</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Note"/>
        <w:keepNext/>
        <w:rPr>
          <w:snapToGrid w:val="0"/>
        </w:rPr>
      </w:pPr>
      <w:r>
        <w:rPr>
          <w:snapToGrid w:val="0"/>
          <w:vertAlign w:val="superscript"/>
        </w:rPr>
        <w:lastRenderedPageBreak/>
        <w:t>3</w:t>
      </w:r>
      <w:r>
        <w:rPr>
          <w:snapToGrid w:val="0"/>
        </w:rPr>
        <w:tab/>
        <w:t>The State Government Insurance Corporation ceased to exist on 1 July 2012.</w:t>
      </w:r>
    </w:p>
    <w:p>
      <w:pPr>
        <w:pStyle w:val="nNote"/>
        <w:keepNext/>
        <w:rPr>
          <w:snapToGrid w:val="0"/>
        </w:rPr>
      </w:pPr>
      <w:r>
        <w:rPr>
          <w:snapToGrid w:val="0"/>
          <w:vertAlign w:val="superscript"/>
        </w:rPr>
        <w:t>4</w:t>
      </w:r>
      <w:r>
        <w:rPr>
          <w:snapToGrid w:val="0"/>
        </w:rPr>
        <w:tab/>
        <w:t xml:space="preserve">Repealed by the </w:t>
      </w:r>
      <w:r>
        <w:rPr>
          <w:i/>
        </w:rPr>
        <w:t>Corruption and Crime Commission Amendment and Repeal Act 2003</w:t>
      </w:r>
      <w:r>
        <w:rPr>
          <w:snapToGrid w:val="0"/>
        </w:rPr>
        <w:t>.</w:t>
      </w:r>
    </w:p>
    <w:p>
      <w:pPr>
        <w:pStyle w:val="nNote"/>
        <w:keepNext/>
        <w:rPr>
          <w:snapToGrid w:val="0"/>
        </w:rPr>
      </w:pPr>
      <w:r>
        <w:rPr>
          <w:snapToGrid w:val="0"/>
          <w:vertAlign w:val="superscript"/>
        </w:rPr>
        <w:t>5</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Note"/>
        <w:rPr>
          <w:snapToGrid w:val="0"/>
        </w:rPr>
      </w:pPr>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
      <w:pPr>
        <w:sectPr>
          <w:headerReference w:type="even" r:id="rId33"/>
          <w:headerReference w:type="default" r:id="rId34"/>
          <w:pgSz w:w="11907" w:h="16840" w:code="9"/>
          <w:pgMar w:top="2376" w:right="2405" w:bottom="3542" w:left="2405" w:header="706" w:footer="3544" w:gutter="0"/>
          <w:cols w:space="720"/>
          <w:noEndnote/>
          <w:docGrid w:linePitch="326"/>
        </w:sectPr>
      </w:pPr>
    </w:p>
    <w:p>
      <w:pPr>
        <w:pStyle w:val="nHeading2"/>
        <w:rPr>
          <w:sz w:val="28"/>
        </w:rPr>
      </w:pPr>
      <w:bookmarkStart w:id="167" w:name="_Toc199941740"/>
      <w:r>
        <w:rPr>
          <w:sz w:val="28"/>
        </w:rPr>
        <w:lastRenderedPageBreak/>
        <w:t>Defined terms</w:t>
      </w:r>
      <w:bookmarkEnd w:id="1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spacing w:line="210" w:lineRule="exact"/>
      </w:pPr>
      <w:r>
        <w:t>access applicant</w:t>
      </w:r>
      <w:r>
        <w:tab/>
        <w:t>Gl.</w:t>
      </w:r>
    </w:p>
    <w:p>
      <w:pPr>
        <w:pStyle w:val="DefinedTerms"/>
        <w:spacing w:line="210" w:lineRule="exact"/>
      </w:pPr>
      <w:r>
        <w:t>access regulation functions</w:t>
      </w:r>
      <w:r>
        <w:tab/>
        <w:t>Gl.</w:t>
      </w:r>
    </w:p>
    <w:p>
      <w:pPr>
        <w:pStyle w:val="DefinedTerms"/>
        <w:spacing w:line="210" w:lineRule="exact"/>
      </w:pPr>
      <w:r>
        <w:t>agency</w:t>
      </w:r>
      <w:r>
        <w:tab/>
        <w:t>99(3), Gl.</w:t>
      </w:r>
    </w:p>
    <w:p>
      <w:pPr>
        <w:pStyle w:val="DefinedTerms"/>
        <w:spacing w:line="210" w:lineRule="exact"/>
      </w:pPr>
      <w:r>
        <w:t>applicant</w:t>
      </w:r>
      <w:r>
        <w:tab/>
        <w:t>Gl.</w:t>
      </w:r>
    </w:p>
    <w:p>
      <w:pPr>
        <w:pStyle w:val="DefinedTerms"/>
        <w:spacing w:line="210" w:lineRule="exact"/>
      </w:pPr>
      <w:r>
        <w:t>applicant for amendment</w:t>
      </w:r>
      <w:r>
        <w:tab/>
        <w:t>Gl.</w:t>
      </w:r>
    </w:p>
    <w:p>
      <w:pPr>
        <w:pStyle w:val="DefinedTerms"/>
        <w:spacing w:line="210" w:lineRule="exact"/>
      </w:pPr>
      <w:r>
        <w:t>arbitrator</w:t>
      </w:r>
      <w:r>
        <w:tab/>
        <w:t>Gl.</w:t>
      </w:r>
    </w:p>
    <w:p>
      <w:pPr>
        <w:pStyle w:val="DefinedTerms"/>
        <w:spacing w:line="210" w:lineRule="exact"/>
      </w:pPr>
      <w:r>
        <w:t>Authority</w:t>
      </w:r>
      <w:r>
        <w:tab/>
        <w:t>Gl.</w:t>
      </w:r>
    </w:p>
    <w:p>
      <w:pPr>
        <w:pStyle w:val="DefinedTerms"/>
        <w:spacing w:line="210" w:lineRule="exact"/>
      </w:pPr>
      <w:r>
        <w:t>Board</w:t>
      </w:r>
      <w:r>
        <w:tab/>
        <w:t>Gl.</w:t>
      </w:r>
    </w:p>
    <w:p>
      <w:pPr>
        <w:pStyle w:val="DefinedTerms"/>
        <w:spacing w:line="210" w:lineRule="exact"/>
      </w:pPr>
      <w:r>
        <w:t>Commonwealth intelligence or security agency</w:t>
      </w:r>
      <w:r>
        <w:tab/>
        <w:t>Sch. 1 cl. 5(5)</w:t>
      </w:r>
    </w:p>
    <w:p>
      <w:pPr>
        <w:pStyle w:val="DefinedTerms"/>
        <w:spacing w:line="210" w:lineRule="exact"/>
      </w:pPr>
      <w:r>
        <w:t>confidential information</w:t>
      </w:r>
      <w:r>
        <w:tab/>
        <w:t>82(1)</w:t>
      </w:r>
    </w:p>
    <w:p>
      <w:pPr>
        <w:pStyle w:val="DefinedTerms"/>
        <w:spacing w:line="210" w:lineRule="exact"/>
      </w:pPr>
      <w:r>
        <w:t>contractor</w:t>
      </w:r>
      <w:r>
        <w:tab/>
        <w:t>Gl.</w:t>
      </w:r>
    </w:p>
    <w:p>
      <w:pPr>
        <w:pStyle w:val="DefinedTerms"/>
        <w:spacing w:line="210" w:lineRule="exact"/>
      </w:pPr>
      <w:r>
        <w:t>contravention</w:t>
      </w:r>
      <w:r>
        <w:tab/>
        <w:t>Sch. 1 cl. 5(5)</w:t>
      </w:r>
    </w:p>
    <w:p>
      <w:pPr>
        <w:pStyle w:val="DefinedTerms"/>
        <w:spacing w:line="210" w:lineRule="exact"/>
      </w:pPr>
      <w:r>
        <w:t>Corrective Services</w:t>
      </w:r>
      <w:r>
        <w:tab/>
        <w:t>Gl.</w:t>
      </w:r>
    </w:p>
    <w:p>
      <w:pPr>
        <w:pStyle w:val="DefinedTerms"/>
        <w:spacing w:line="210" w:lineRule="exact"/>
      </w:pPr>
      <w:r>
        <w:t>court</w:t>
      </w:r>
      <w:r>
        <w:tab/>
        <w:t>Gl.</w:t>
      </w:r>
    </w:p>
    <w:p>
      <w:pPr>
        <w:pStyle w:val="DefinedTerms"/>
        <w:spacing w:line="210" w:lineRule="exact"/>
      </w:pPr>
      <w:r>
        <w:t>document</w:t>
      </w:r>
      <w:r>
        <w:tab/>
        <w:t>Gl.</w:t>
      </w:r>
    </w:p>
    <w:p>
      <w:pPr>
        <w:pStyle w:val="DefinedTerms"/>
        <w:spacing w:line="210" w:lineRule="exact"/>
      </w:pPr>
      <w:r>
        <w:t>edited copy</w:t>
      </w:r>
      <w:r>
        <w:tab/>
        <w:t>Gl.</w:t>
      </w:r>
    </w:p>
    <w:p>
      <w:pPr>
        <w:pStyle w:val="DefinedTerms"/>
        <w:spacing w:line="210" w:lineRule="exact"/>
      </w:pPr>
      <w:r>
        <w:t>Executive body</w:t>
      </w:r>
      <w:r>
        <w:tab/>
        <w:t>Sch. 1 cl. 1(6)</w:t>
      </w:r>
    </w:p>
    <w:p>
      <w:pPr>
        <w:pStyle w:val="DefinedTerms"/>
        <w:spacing w:line="210" w:lineRule="exact"/>
      </w:pPr>
      <w:r>
        <w:t>exempt agency</w:t>
      </w:r>
      <w:r>
        <w:tab/>
        <w:t>Gl.</w:t>
      </w:r>
    </w:p>
    <w:p>
      <w:pPr>
        <w:pStyle w:val="DefinedTerms"/>
        <w:spacing w:line="210" w:lineRule="exact"/>
      </w:pPr>
      <w:r>
        <w:t>exempt document</w:t>
      </w:r>
      <w:r>
        <w:tab/>
        <w:t>Gl.</w:t>
      </w:r>
    </w:p>
    <w:p>
      <w:pPr>
        <w:pStyle w:val="DefinedTerms"/>
        <w:spacing w:line="210" w:lineRule="exact"/>
      </w:pPr>
      <w:r>
        <w:t>exempt matter</w:t>
      </w:r>
      <w:r>
        <w:tab/>
        <w:t>Gl.</w:t>
      </w:r>
    </w:p>
    <w:p>
      <w:pPr>
        <w:pStyle w:val="DefinedTerms"/>
        <w:spacing w:line="210" w:lineRule="exact"/>
      </w:pPr>
      <w:r>
        <w:t>exemption certificate</w:t>
      </w:r>
      <w:r>
        <w:tab/>
        <w:t>Gl.</w:t>
      </w:r>
    </w:p>
    <w:p>
      <w:pPr>
        <w:pStyle w:val="DefinedTerms"/>
        <w:spacing w:line="210" w:lineRule="exact"/>
      </w:pPr>
      <w:r>
        <w:t>Gold Corporation</w:t>
      </w:r>
      <w:r>
        <w:tab/>
        <w:t>Sch. 1 cl. 15(2)</w:t>
      </w:r>
    </w:p>
    <w:p>
      <w:pPr>
        <w:pStyle w:val="DefinedTerms"/>
        <w:spacing w:line="210" w:lineRule="exact"/>
      </w:pPr>
      <w:r>
        <w:t>information statement</w:t>
      </w:r>
      <w:r>
        <w:tab/>
        <w:t>94</w:t>
      </w:r>
    </w:p>
    <w:p>
      <w:pPr>
        <w:pStyle w:val="DefinedTerms"/>
        <w:spacing w:line="210" w:lineRule="exact"/>
      </w:pPr>
      <w:r>
        <w:t>internal manual</w:t>
      </w:r>
      <w:r>
        <w:tab/>
        <w:t>95</w:t>
      </w:r>
    </w:p>
    <w:p>
      <w:pPr>
        <w:pStyle w:val="DefinedTerms"/>
        <w:spacing w:line="210" w:lineRule="exact"/>
      </w:pPr>
      <w:r>
        <w:t>law</w:t>
      </w:r>
      <w:r>
        <w:tab/>
        <w:t>Sch. 1 cl. 5(5)</w:t>
      </w:r>
    </w:p>
    <w:p>
      <w:pPr>
        <w:pStyle w:val="DefinedTerms"/>
        <w:spacing w:line="210" w:lineRule="exact"/>
      </w:pPr>
      <w:r>
        <w:t>misbehaviour</w:t>
      </w:r>
      <w:r>
        <w:tab/>
        <w:t>58(2)</w:t>
      </w:r>
    </w:p>
    <w:p>
      <w:pPr>
        <w:pStyle w:val="DefinedTerms"/>
        <w:spacing w:line="210" w:lineRule="exact"/>
      </w:pPr>
      <w:r>
        <w:t>officer</w:t>
      </w:r>
      <w:r>
        <w:tab/>
        <w:t>Gl.</w:t>
      </w:r>
    </w:p>
    <w:p>
      <w:pPr>
        <w:pStyle w:val="DefinedTerms"/>
        <w:spacing w:line="210" w:lineRule="exact"/>
      </w:pPr>
      <w:r>
        <w:t>other government</w:t>
      </w:r>
      <w:r>
        <w:tab/>
        <w:t>Sch. 1 cl. 2(3)</w:t>
      </w:r>
    </w:p>
    <w:p>
      <w:pPr>
        <w:pStyle w:val="DefinedTerms"/>
        <w:spacing w:line="210" w:lineRule="exact"/>
      </w:pPr>
      <w:r>
        <w:t>permitted period</w:t>
      </w:r>
      <w:r>
        <w:tab/>
        <w:t>13(3)</w:t>
      </w:r>
    </w:p>
    <w:p>
      <w:pPr>
        <w:pStyle w:val="DefinedTerms"/>
        <w:spacing w:line="210" w:lineRule="exact"/>
      </w:pPr>
      <w:r>
        <w:t>person</w:t>
      </w:r>
      <w:r>
        <w:tab/>
        <w:t>45(1)</w:t>
      </w:r>
    </w:p>
    <w:p>
      <w:pPr>
        <w:pStyle w:val="DefinedTerms"/>
        <w:spacing w:line="210" w:lineRule="exact"/>
      </w:pPr>
      <w:r>
        <w:t>personal information</w:t>
      </w:r>
      <w:r>
        <w:tab/>
        <w:t>Gl.</w:t>
      </w:r>
    </w:p>
    <w:p>
      <w:pPr>
        <w:pStyle w:val="DefinedTerms"/>
        <w:spacing w:line="210" w:lineRule="exact"/>
      </w:pPr>
      <w:r>
        <w:t>principal officer</w:t>
      </w:r>
      <w:r>
        <w:tab/>
        <w:t>Gl.</w:t>
      </w:r>
    </w:p>
    <w:p>
      <w:pPr>
        <w:pStyle w:val="DefinedTerms"/>
        <w:spacing w:line="210" w:lineRule="exact"/>
      </w:pPr>
      <w:r>
        <w:t>public body or office</w:t>
      </w:r>
      <w:r>
        <w:tab/>
        <w:t>Gl.</w:t>
      </w:r>
    </w:p>
    <w:p>
      <w:pPr>
        <w:pStyle w:val="DefinedTerms"/>
        <w:spacing w:line="210" w:lineRule="exact"/>
      </w:pPr>
      <w:r>
        <w:t>record</w:t>
      </w:r>
      <w:r>
        <w:tab/>
        <w:t>Gl.</w:t>
      </w:r>
    </w:p>
    <w:p>
      <w:pPr>
        <w:pStyle w:val="DefinedTerms"/>
        <w:spacing w:line="210" w:lineRule="exact"/>
      </w:pPr>
      <w:r>
        <w:t>relative</w:t>
      </w:r>
      <w:r>
        <w:tab/>
        <w:t>Gl.</w:t>
      </w:r>
    </w:p>
    <w:p>
      <w:pPr>
        <w:pStyle w:val="DefinedTerms"/>
        <w:spacing w:line="210" w:lineRule="exact"/>
      </w:pPr>
      <w:r>
        <w:t>relevant office</w:t>
      </w:r>
      <w:r>
        <w:tab/>
        <w:t>62(1)</w:t>
      </w:r>
    </w:p>
    <w:p>
      <w:pPr>
        <w:pStyle w:val="DefinedTerms"/>
        <w:spacing w:line="210" w:lineRule="exact"/>
      </w:pPr>
      <w:r>
        <w:t>requested documents</w:t>
      </w:r>
      <w:r>
        <w:tab/>
        <w:t>Gl.</w:t>
      </w:r>
    </w:p>
    <w:p>
      <w:pPr>
        <w:pStyle w:val="DefinedTerms"/>
        <w:spacing w:line="210" w:lineRule="exact"/>
      </w:pPr>
      <w:r>
        <w:t>review proceedings</w:t>
      </w:r>
      <w:r>
        <w:tab/>
        <w:t>88</w:t>
      </w:r>
    </w:p>
    <w:p>
      <w:pPr>
        <w:pStyle w:val="DefinedTerms"/>
        <w:spacing w:line="210" w:lineRule="exact"/>
      </w:pPr>
      <w:r>
        <w:t>State archive</w:t>
      </w:r>
      <w:r>
        <w:tab/>
        <w:t>Gl.</w:t>
      </w:r>
    </w:p>
    <w:p>
      <w:pPr>
        <w:pStyle w:val="DefinedTerms"/>
        <w:spacing w:line="210" w:lineRule="exact"/>
      </w:pPr>
      <w:r>
        <w:t>subcontractor</w:t>
      </w:r>
      <w:r>
        <w:tab/>
        <w:t>Gl.</w:t>
      </w:r>
    </w:p>
    <w:p>
      <w:pPr>
        <w:pStyle w:val="DefinedTerms"/>
        <w:spacing w:line="210" w:lineRule="exact"/>
      </w:pPr>
      <w:r>
        <w:t>third party</w:t>
      </w:r>
      <w:r>
        <w:tab/>
        <w:t>32(1), 33(1), Gl.</w:t>
      </w:r>
    </w:p>
    <w:p>
      <w:pPr>
        <w:rPr>
          <w:sz w:val="20"/>
        </w:rPr>
      </w:pPr>
      <w:r>
        <w:br w:type="page"/>
      </w:r>
    </w:p>
    <w:p>
      <w:pPr>
        <w:pStyle w:val="DefinedTerms"/>
        <w:spacing w:line="210" w:lineRule="exact"/>
      </w:pPr>
    </w:p>
    <w:p>
      <w:pPr>
        <w:sectPr>
          <w:headerReference w:type="even" r:id="rId35"/>
          <w:headerReference w:type="default" r:id="rId36"/>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07BB3C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6F489A9" w14:textId="539E35CA" w:rsidR="00EE28CC" w:rsidRDefault="00EE28C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E51DE62" w14:textId="77777777" w:rsidR="00EE28CC" w:rsidRDefault="00EE28C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5CCFBBD" w14:textId="118A413C" w:rsidR="00EE28CC" w:rsidRDefault="00EE28C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3E26CF5" w14:textId="77777777" w:rsidR="00EE28CC" w:rsidRDefault="00EE28C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07-k0-01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07-k0-01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07-k0-01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07-k0-01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07-k0-01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07-k0-01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1" w:name="Schedule"/>
    <w:bookmarkEnd w:id="1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Exempt matter</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Exempt matter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 agencies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Exempt agencies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6" w:name="Compilation"/>
    <w:bookmarkEnd w:id="166"/>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8" w:name="DefinedTerms"/>
    <w:bookmarkEnd w:id="168"/>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9" w:name="Coversheet"/>
    <w:bookmarkEnd w:id="1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6AB9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D6001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C4C0A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70F5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7035E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7224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04BF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DA43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E98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86A8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7F630C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103613"/>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 w:name="WAFER_20150304144520" w:val="ResetPageSize,UpdateArrangement,UpdateNTable"/>
    <w:docVar w:name="WAFER_20150304144520_GUID" w:val="2d555939-4ecb-44ad-8b14-b82a222158ac"/>
    <w:docVar w:name="WAFER_20151105100606" w:val="UpdateStyles,UsedStyles"/>
    <w:docVar w:name="WAFER_20151105100606_GUID" w:val="29c4d8da-2165-49b4-9f20-6f02079ae9cc"/>
    <w:docVar w:name="WAFER_20160823134408" w:val="RemoveTocBookmarks,RemoveUnusedBookmarks,RemoveLanguageTags,UsedStyles,ResetPageSize,RemoveCustomizations"/>
    <w:docVar w:name="WAFER_20160823134408_GUID" w:val="2fdc6f93-fcd5-4f18-b47b-439dbc1d6090"/>
    <w:docVar w:name="WAFER_20200213141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1501_GUID" w:val="0f138085-2bbb-46fb-9194-32ffce198673"/>
    <w:docVar w:name="WAFER_202007100911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157_GUID" w:val="e1d0bbd6-b6e5-4374-a114-d9c5f8d411c2"/>
    <w:docVar w:name="WAFER_20200812113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534_GUID" w:val="c34cd021-6b48-4a8a-ba16-f1c2432c4a7d"/>
    <w:docVar w:name="WAFER_20200826094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509_GUID" w:val="43f7b6bf-377b-4a95-8e98-f1e42aca3e6a"/>
    <w:docVar w:name="WAFER_202205191459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08_GUID" w:val="f0959b04-4263-47cb-a4a1-02682d1021ad"/>
    <w:docVar w:name="WAFER_202210271455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45524_GUID" w:val="59c8f273-0391-47ca-8bf2-133e11c06493"/>
    <w:docVar w:name="WAFER_202211011008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100845_GUID" w:val="d8ec6904-abcd-4a06-b272-4e0d698ffb29"/>
    <w:docVar w:name="WAFER_202211030936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37_GUID" w:val="0ba6bb64-0bd8-4d35-b3ae-e416916b02ef"/>
    <w:docVar w:name="WAFER_20230412115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242_GUID" w:val="b351a66e-7a3c-493b-848b-7f31b6ddaf3b"/>
    <w:docVar w:name="WAFER_202307241617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61747_GUID" w:val="266530ed-f813-4319-a0c4-6075816b604d"/>
    <w:docVar w:name="WAFER_202312221036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3613_GUID" w:val="6205c7a2-bc6a-412a-8ae7-a1e3f034e2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5"/>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589778451">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1EC0D1-EC4B-4E36-8F77-6AE7A4C84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26447</Words>
  <Characters>125359</Characters>
  <Application>Microsoft Office Word</Application>
  <DocSecurity>0</DocSecurity>
  <Lines>3388</Lines>
  <Paragraphs>1971</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149835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1992 - 07-k0-01</dc:title>
  <dc:subject/>
  <dc:creator/>
  <cp:keywords/>
  <dc:description/>
  <cp:lastModifiedBy>Master Repository Process</cp:lastModifiedBy>
  <cp:revision>4</cp:revision>
  <cp:lastPrinted>2016-11-29T03:04:00Z</cp:lastPrinted>
  <dcterms:created xsi:type="dcterms:W3CDTF">2025-06-04T06:59:00Z</dcterms:created>
  <dcterms:modified xsi:type="dcterms:W3CDTF">2025-06-04T06:59:00Z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DocumentType">
    <vt:lpwstr>Act</vt:lpwstr>
  </property>
  <property fmtid="{D5CDD505-2E9C-101B-9397-08002B2CF9AE}" pid="4" name="OwlsUID">
    <vt:i4>290</vt:i4>
  </property>
  <property fmtid="{D5CDD505-2E9C-101B-9397-08002B2CF9AE}" pid="5" name="ReprintedAsAt">
    <vt:filetime>2016-11-10T16:00:00Z</vt:filetime>
  </property>
  <property fmtid="{D5CDD505-2E9C-101B-9397-08002B2CF9AE}" pid="6" name="ReprintNo">
    <vt:lpwstr>7</vt:lpwstr>
  </property>
  <property fmtid="{D5CDD505-2E9C-101B-9397-08002B2CF9AE}" pid="7" name="AsAtDate">
    <vt:lpwstr>27 Jul 2023</vt:lpwstr>
  </property>
  <property fmtid="{D5CDD505-2E9C-101B-9397-08002B2CF9AE}" pid="8" name="Suffix">
    <vt:lpwstr>07-k0-01</vt:lpwstr>
  </property>
  <property fmtid="{D5CDD505-2E9C-101B-9397-08002B2CF9AE}" pid="9" name="Official">
    <vt:lpwstr/>
  </property>
  <property fmtid="{D5CDD505-2E9C-101B-9397-08002B2CF9AE}" pid="10" name="CommencementDate">
    <vt:lpwstr>20230727</vt:lpwstr>
  </property>
  <property fmtid="{D5CDD505-2E9C-101B-9397-08002B2CF9AE}" pid="11" name="CommencementYear">
    <vt:lpwstr>2023</vt:lpwstr>
  </property>
</Properties>
</file>