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434"/>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693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_Toc199942882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_Toc199942883 \h </w:instrText>
      </w:r>
      <w:r>
        <w:fldChar w:fldCharType="separate"/>
      </w:r>
      <w:r>
        <w:t>2</w:t>
      </w:r>
      <w:r>
        <w:fldChar w:fldCharType="end"/>
      </w:r>
    </w:p>
    <w:p>
      <w:pPr>
        <w:pStyle w:val="TOC8"/>
        <w:rPr>
          <w:rFonts w:asciiTheme="minorHAnsi" w:eastAsiaTheme="minorEastAsia" w:hAnsiTheme="minorHAnsi" w:cstheme="minorBidi"/>
          <w:szCs w:val="22"/>
        </w:rPr>
      </w:pPr>
      <w:r>
        <w:t>3A.</w:t>
      </w:r>
      <w:r>
        <w:tab/>
        <w:t>Act to be read with other legislation about health and disability complaints</w:t>
      </w:r>
      <w:r>
        <w:tab/>
      </w:r>
      <w:r>
        <w:fldChar w:fldCharType="begin"/>
      </w:r>
      <w:r>
        <w:instrText xml:space="preserve"> PAGEREF _Toc199942884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_Toc199942885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Guiding principles for the provision of health services</w:t>
      </w:r>
      <w:r>
        <w:tab/>
      </w:r>
      <w:r>
        <w:fldChar w:fldCharType="begin"/>
      </w:r>
      <w:r>
        <w:instrText xml:space="preserve"> PAGEREF _Toc199942886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_Toc199942887 \h </w:instrText>
      </w:r>
      <w:r>
        <w:fldChar w:fldCharType="separate"/>
      </w:r>
      <w:r>
        <w:t>7</w:t>
      </w:r>
      <w:r>
        <w:fldChar w:fldCharType="end"/>
      </w:r>
    </w:p>
    <w:p>
      <w:pPr>
        <w:pStyle w:val="TOC2"/>
        <w:tabs>
          <w:tab w:val="right" w:leader="dot" w:pos="6936"/>
        </w:tabs>
        <w:rPr>
          <w:rFonts w:asciiTheme="minorHAnsi" w:eastAsiaTheme="minorEastAsia" w:hAnsiTheme="minorHAnsi" w:cstheme="minorBidi"/>
          <w:b w:val="0"/>
          <w:sz w:val="22"/>
          <w:szCs w:val="22"/>
        </w:rPr>
      </w:pPr>
      <w:r>
        <w:t>Part 2 — Administrative arrangements</w:t>
      </w:r>
    </w:p>
    <w:p>
      <w:pPr>
        <w:pStyle w:val="TOC8"/>
        <w:rPr>
          <w:rFonts w:asciiTheme="minorHAnsi" w:eastAsiaTheme="minorEastAsia" w:hAnsiTheme="minorHAnsi" w:cstheme="minorBidi"/>
          <w:szCs w:val="22"/>
        </w:rPr>
      </w:pPr>
      <w:r>
        <w:t>6</w:t>
      </w:r>
      <w:r>
        <w:rPr>
          <w:snapToGrid w:val="0"/>
        </w:rPr>
        <w:t>.</w:t>
      </w:r>
      <w:r>
        <w:rPr>
          <w:snapToGrid w:val="0"/>
        </w:rPr>
        <w:tab/>
        <w:t>Health and Disability Services Complaints Office</w:t>
      </w:r>
      <w:r>
        <w:tab/>
      </w:r>
      <w:r>
        <w:fldChar w:fldCharType="begin"/>
      </w:r>
      <w:r>
        <w:instrText xml:space="preserve"> PAGEREF _Toc199942889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of Office</w:t>
      </w:r>
      <w:r>
        <w:tab/>
      </w:r>
      <w:r>
        <w:fldChar w:fldCharType="begin"/>
      </w:r>
      <w:r>
        <w:instrText xml:space="preserve"> PAGEREF _Toc199942890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salary etc. of Director</w:t>
      </w:r>
      <w:r>
        <w:tab/>
      </w:r>
      <w:r>
        <w:fldChar w:fldCharType="begin"/>
      </w:r>
      <w:r>
        <w:instrText xml:space="preserve"> PAGEREF _Toc199942891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Director’s appointment and signature</w:t>
      </w:r>
      <w:r>
        <w:tab/>
      </w:r>
      <w:r>
        <w:fldChar w:fldCharType="begin"/>
      </w:r>
      <w:r>
        <w:instrText xml:space="preserve"> PAGEREF _Toc199942892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functions</w:t>
      </w:r>
      <w:r>
        <w:tab/>
      </w:r>
      <w:r>
        <w:fldChar w:fldCharType="begin"/>
      </w:r>
      <w:r>
        <w:instrText xml:space="preserve"> PAGEREF _Toc199942893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Director directions</w:t>
      </w:r>
      <w:r>
        <w:tab/>
      </w:r>
      <w:r>
        <w:fldChar w:fldCharType="begin"/>
      </w:r>
      <w:r>
        <w:instrText xml:space="preserve"> PAGEREF _Toc199942894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have access to information</w:t>
      </w:r>
      <w:r>
        <w:tab/>
      </w:r>
      <w:r>
        <w:fldChar w:fldCharType="begin"/>
      </w:r>
      <w:r>
        <w:instrText xml:space="preserve"> PAGEREF _Toc199942895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_Toc199942896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_Toc199942897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Consultants</w:t>
      </w:r>
      <w:r>
        <w:tab/>
      </w:r>
      <w:r>
        <w:fldChar w:fldCharType="begin"/>
      </w:r>
      <w:r>
        <w:instrText xml:space="preserve"> PAGEREF _Toc199942898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other government staff etc.</w:t>
      </w:r>
      <w:r>
        <w:tab/>
      </w:r>
      <w:r>
        <w:fldChar w:fldCharType="begin"/>
      </w:r>
      <w:r>
        <w:instrText xml:space="preserve"> PAGEREF _Toc199942899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Oath of office by Director and staff</w:t>
      </w:r>
      <w:r>
        <w:tab/>
      </w:r>
      <w:r>
        <w:fldChar w:fldCharType="begin"/>
      </w:r>
      <w:r>
        <w:instrText xml:space="preserve"> PAGEREF _Toc199942900 \h </w:instrText>
      </w:r>
      <w:r>
        <w:fldChar w:fldCharType="separate"/>
      </w:r>
      <w:r>
        <w:t>13</w:t>
      </w:r>
      <w:r>
        <w:fldChar w:fldCharType="end"/>
      </w:r>
    </w:p>
    <w:p>
      <w:pPr>
        <w:pStyle w:val="TOC8"/>
        <w:rPr>
          <w:rFonts w:asciiTheme="minorHAnsi" w:eastAsiaTheme="minorEastAsia" w:hAnsiTheme="minorHAnsi" w:cstheme="minorBidi"/>
          <w:szCs w:val="22"/>
        </w:rPr>
      </w:pPr>
      <w:r>
        <w:t>17A.</w:t>
      </w:r>
      <w:r>
        <w:tab/>
        <w:t>Identity cards</w:t>
      </w:r>
      <w:r>
        <w:tab/>
      </w:r>
      <w:r>
        <w:fldChar w:fldCharType="begin"/>
      </w:r>
      <w:r>
        <w:instrText xml:space="preserve"> PAGEREF _Toc199942901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Delegation by Director</w:t>
      </w:r>
      <w:r>
        <w:tab/>
      </w:r>
      <w:r>
        <w:fldChar w:fldCharType="begin"/>
      </w:r>
      <w:r>
        <w:instrText xml:space="preserve"> PAGEREF _Toc199942902 \h </w:instrText>
      </w:r>
      <w:r>
        <w:fldChar w:fldCharType="separate"/>
      </w:r>
      <w:r>
        <w:t>14</w:t>
      </w:r>
      <w:r>
        <w:fldChar w:fldCharType="end"/>
      </w:r>
    </w:p>
    <w:p>
      <w:pPr>
        <w:pStyle w:val="TOC2"/>
        <w:tabs>
          <w:tab w:val="right" w:leader="dot" w:pos="6936"/>
        </w:tabs>
        <w:rPr>
          <w:rFonts w:asciiTheme="minorHAnsi" w:eastAsiaTheme="minorEastAsia" w:hAnsiTheme="minorHAnsi" w:cstheme="minorBidi"/>
          <w:b w:val="0"/>
          <w:sz w:val="22"/>
          <w:szCs w:val="22"/>
        </w:rPr>
      </w:pPr>
      <w:r>
        <w:t>Part 3 — Complaints generally</w:t>
      </w:r>
    </w:p>
    <w:p>
      <w:pPr>
        <w:pStyle w:val="TOC4"/>
        <w:tabs>
          <w:tab w:val="right" w:leader="dot" w:pos="6936"/>
        </w:tabs>
        <w:rPr>
          <w:rFonts w:asciiTheme="minorHAnsi" w:eastAsiaTheme="minorEastAsia" w:hAnsiTheme="minorHAnsi" w:cstheme="minorBidi"/>
          <w:b w:val="0"/>
          <w:szCs w:val="22"/>
        </w:rPr>
      </w:pPr>
      <w:r>
        <w:t>Division 1</w:t>
      </w:r>
      <w:r>
        <w:rPr>
          <w:snapToGrid w:val="0"/>
        </w:rPr>
        <w:t> — </w:t>
      </w:r>
      <w:r>
        <w:t>Right to complain conferred</w:t>
      </w:r>
    </w:p>
    <w:p>
      <w:pPr>
        <w:pStyle w:val="TOC8"/>
        <w:rPr>
          <w:rFonts w:asciiTheme="minorHAnsi" w:eastAsiaTheme="minorEastAsia" w:hAnsiTheme="minorHAnsi" w:cstheme="minorBidi"/>
          <w:szCs w:val="22"/>
        </w:rPr>
      </w:pPr>
      <w:r>
        <w:t>19</w:t>
      </w:r>
      <w:r>
        <w:rPr>
          <w:snapToGrid w:val="0"/>
        </w:rPr>
        <w:t>.</w:t>
      </w:r>
      <w:r>
        <w:rPr>
          <w:snapToGrid w:val="0"/>
        </w:rPr>
        <w:tab/>
        <w:t>Who may complain</w:t>
      </w:r>
      <w:r>
        <w:tab/>
      </w:r>
      <w:r>
        <w:fldChar w:fldCharType="begin"/>
      </w:r>
      <w:r>
        <w:instrText xml:space="preserve"> PAGEREF _Toc199942905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Representatives of users</w:t>
      </w:r>
      <w:r>
        <w:tab/>
      </w:r>
      <w:r>
        <w:fldChar w:fldCharType="begin"/>
      </w:r>
      <w:r>
        <w:instrText xml:space="preserve"> PAGEREF _Toc199942906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Representative not to be paid</w:t>
      </w:r>
      <w:r>
        <w:tab/>
      </w:r>
      <w:r>
        <w:fldChar w:fldCharType="begin"/>
      </w:r>
      <w:r>
        <w:instrText xml:space="preserve"> PAGEREF _Toc199942907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Provider may complain for user</w:t>
      </w:r>
      <w:r>
        <w:tab/>
      </w:r>
      <w:r>
        <w:fldChar w:fldCharType="begin"/>
      </w:r>
      <w:r>
        <w:instrText xml:space="preserve"> PAGEREF _Toc199942908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Complaints to public providers, referral under administrative instructions</w:t>
      </w:r>
      <w:r>
        <w:tab/>
      </w:r>
      <w:r>
        <w:fldChar w:fldCharType="begin"/>
      </w:r>
      <w:r>
        <w:instrText xml:space="preserve"> PAGEREF _Toc199942909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Time limit for complaints</w:t>
      </w:r>
      <w:r>
        <w:tab/>
      </w:r>
      <w:r>
        <w:fldChar w:fldCharType="begin"/>
      </w:r>
      <w:r>
        <w:instrText xml:space="preserve"> PAGEREF _Toc199942910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What complaints can be about</w:t>
      </w:r>
      <w:r>
        <w:tab/>
      </w:r>
      <w:r>
        <w:fldChar w:fldCharType="begin"/>
      </w:r>
      <w:r>
        <w:instrText xml:space="preserve"> PAGEREF _Toc199942911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Complaints that must be rejected</w:t>
      </w:r>
      <w:r>
        <w:tab/>
      </w:r>
      <w:r>
        <w:fldChar w:fldCharType="begin"/>
      </w:r>
      <w:r>
        <w:instrText xml:space="preserve"> PAGEREF _Toc199942912 \h </w:instrText>
      </w:r>
      <w:r>
        <w:fldChar w:fldCharType="separate"/>
      </w:r>
      <w:r>
        <w:t>19</w:t>
      </w:r>
      <w:r>
        <w:fldChar w:fldCharType="end"/>
      </w:r>
    </w:p>
    <w:p>
      <w:pPr>
        <w:pStyle w:val="TOC4"/>
        <w:tabs>
          <w:tab w:val="right" w:leader="dot" w:pos="6936"/>
        </w:tabs>
        <w:rPr>
          <w:rFonts w:asciiTheme="minorHAnsi" w:eastAsiaTheme="minorEastAsia" w:hAnsiTheme="minorHAnsi" w:cstheme="minorBidi"/>
          <w:b w:val="0"/>
          <w:szCs w:val="22"/>
        </w:rPr>
      </w:pPr>
      <w:r>
        <w:t>Division 2</w:t>
      </w:r>
      <w:r>
        <w:rPr>
          <w:snapToGrid w:val="0"/>
        </w:rPr>
        <w:t> — </w:t>
      </w:r>
      <w:r>
        <w:t>Initial procedures</w:t>
      </w:r>
    </w:p>
    <w:p>
      <w:pPr>
        <w:pStyle w:val="TOC8"/>
        <w:rPr>
          <w:rFonts w:asciiTheme="minorHAnsi" w:eastAsiaTheme="minorEastAsia" w:hAnsiTheme="minorHAnsi" w:cstheme="minorBidi"/>
          <w:szCs w:val="22"/>
        </w:rPr>
      </w:pPr>
      <w:r>
        <w:t>27</w:t>
      </w:r>
      <w:r>
        <w:rPr>
          <w:snapToGrid w:val="0"/>
        </w:rPr>
        <w:t>.</w:t>
      </w:r>
      <w:r>
        <w:rPr>
          <w:snapToGrid w:val="0"/>
        </w:rPr>
        <w:tab/>
        <w:t>How to complain</w:t>
      </w:r>
      <w:r>
        <w:tab/>
      </w:r>
      <w:r>
        <w:fldChar w:fldCharType="begin"/>
      </w:r>
      <w:r>
        <w:instrText xml:space="preserve"> PAGEREF _Toc199942914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Referral of complaint where Act inapplicable</w:t>
      </w:r>
      <w:r>
        <w:tab/>
      </w:r>
      <w:r>
        <w:fldChar w:fldCharType="begin"/>
      </w:r>
      <w:r>
        <w:instrText xml:space="preserve"> PAGEREF _Toc199942915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Withdrawal of complaint</w:t>
      </w:r>
      <w:r>
        <w:tab/>
      </w:r>
      <w:r>
        <w:fldChar w:fldCharType="begin"/>
      </w:r>
      <w:r>
        <w:instrText xml:space="preserve"> PAGEREF _Toc199942916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User or carer must try to resolve matter</w:t>
      </w:r>
      <w:r>
        <w:tab/>
      </w:r>
      <w:r>
        <w:fldChar w:fldCharType="begin"/>
      </w:r>
      <w:r>
        <w:instrText xml:space="preserve"> PAGEREF _Toc199942917 \h </w:instrText>
      </w:r>
      <w:r>
        <w:fldChar w:fldCharType="separate"/>
      </w:r>
      <w:r>
        <w:t>21</w:t>
      </w:r>
      <w:r>
        <w:fldChar w:fldCharType="end"/>
      </w:r>
    </w:p>
    <w:p>
      <w:pPr>
        <w:pStyle w:val="TOC8"/>
        <w:rPr>
          <w:rFonts w:asciiTheme="minorHAnsi" w:eastAsiaTheme="minorEastAsia" w:hAnsiTheme="minorHAnsi" w:cstheme="minorBidi"/>
          <w:szCs w:val="22"/>
        </w:rPr>
      </w:pPr>
      <w:r>
        <w:t>31.</w:t>
      </w:r>
      <w:r>
        <w:tab/>
        <w:t xml:space="preserve">Complaints not dealt with by National Board under </w:t>
      </w:r>
      <w:r>
        <w:rPr>
          <w:i/>
          <w:iCs/>
        </w:rPr>
        <w:t>Health Practitioner Regulation National Law (Western Australia)</w:t>
      </w:r>
      <w:r>
        <w:tab/>
      </w:r>
      <w:r>
        <w:fldChar w:fldCharType="begin"/>
      </w:r>
      <w:r>
        <w:instrText xml:space="preserve"> PAGEREF _Toc199942918 \h </w:instrText>
      </w:r>
      <w:r>
        <w:fldChar w:fldCharType="separate"/>
      </w:r>
      <w:r>
        <w:t>22</w:t>
      </w:r>
      <w:r>
        <w:fldChar w:fldCharType="end"/>
      </w:r>
    </w:p>
    <w:p>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_Toc199942919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Referral to other bodies</w:t>
      </w:r>
      <w:r>
        <w:tab/>
      </w:r>
      <w:r>
        <w:fldChar w:fldCharType="begin"/>
      </w:r>
      <w:r>
        <w:instrText xml:space="preserve"> PAGEREF _Toc199942920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Director’s duties if complaint referred under s. 32</w:t>
      </w:r>
      <w:r>
        <w:tab/>
      </w:r>
      <w:r>
        <w:fldChar w:fldCharType="begin"/>
      </w:r>
      <w:r>
        <w:instrText xml:space="preserve"> PAGEREF _Toc199942921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Preliminary assessment by Director</w:t>
      </w:r>
      <w:r>
        <w:tab/>
      </w:r>
      <w:r>
        <w:fldChar w:fldCharType="begin"/>
      </w:r>
      <w:r>
        <w:instrText xml:space="preserve"> PAGEREF _Toc199942922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to provider and others</w:t>
      </w:r>
      <w:r>
        <w:tab/>
      </w:r>
      <w:r>
        <w:fldChar w:fldCharType="begin"/>
      </w:r>
      <w:r>
        <w:instrText xml:space="preserve"> PAGEREF _Toc199942923 \h </w:instrText>
      </w:r>
      <w:r>
        <w:fldChar w:fldCharType="separate"/>
      </w:r>
      <w:r>
        <w:t>25</w:t>
      </w:r>
      <w:r>
        <w:fldChar w:fldCharType="end"/>
      </w:r>
    </w:p>
    <w:p>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_Toc199942924 \h </w:instrText>
      </w:r>
      <w:r>
        <w:fldChar w:fldCharType="separate"/>
      </w:r>
      <w:r>
        <w:t>26</w:t>
      </w:r>
      <w:r>
        <w:fldChar w:fldCharType="end"/>
      </w:r>
    </w:p>
    <w:p>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_Toc199942925 \h </w:instrText>
      </w:r>
      <w:r>
        <w:fldChar w:fldCharType="separate"/>
      </w:r>
      <w:r>
        <w:t>26</w:t>
      </w:r>
      <w:r>
        <w:fldChar w:fldCharType="end"/>
      </w:r>
    </w:p>
    <w:p>
      <w:pPr>
        <w:pStyle w:val="TOC2"/>
        <w:tabs>
          <w:tab w:val="right" w:leader="dot" w:pos="6936"/>
        </w:tabs>
        <w:rPr>
          <w:rFonts w:asciiTheme="minorHAnsi" w:eastAsiaTheme="minorEastAsia" w:hAnsiTheme="minorHAnsi" w:cstheme="minorBidi"/>
          <w:b w:val="0"/>
          <w:sz w:val="22"/>
          <w:szCs w:val="22"/>
        </w:rPr>
      </w:pPr>
      <w:r>
        <w:t>Part 3A — Settlement and conciliation of certain complaints</w:t>
      </w:r>
    </w:p>
    <w:p>
      <w:pPr>
        <w:pStyle w:val="TOC4"/>
        <w:tabs>
          <w:tab w:val="right" w:leader="dot" w:pos="6936"/>
        </w:tabs>
        <w:rPr>
          <w:rFonts w:asciiTheme="minorHAnsi" w:eastAsiaTheme="minorEastAsia" w:hAnsiTheme="minorHAnsi" w:cstheme="minorBidi"/>
          <w:b w:val="0"/>
          <w:szCs w:val="22"/>
        </w:rPr>
      </w:pPr>
      <w:r>
        <w:t>Division 1 — Negotiated settlement</w:t>
      </w:r>
    </w:p>
    <w:p>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_Toc199942928 \h </w:instrText>
      </w:r>
      <w:r>
        <w:fldChar w:fldCharType="separate"/>
      </w:r>
      <w:r>
        <w:t>28</w:t>
      </w:r>
      <w:r>
        <w:fldChar w:fldCharType="end"/>
      </w:r>
    </w:p>
    <w:p>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_Toc199942929 \h </w:instrText>
      </w:r>
      <w:r>
        <w:fldChar w:fldCharType="separate"/>
      </w:r>
      <w:r>
        <w:t>29</w:t>
      </w:r>
      <w:r>
        <w:fldChar w:fldCharType="end"/>
      </w:r>
    </w:p>
    <w:p>
      <w:pPr>
        <w:pStyle w:val="TOC4"/>
        <w:tabs>
          <w:tab w:val="right" w:leader="dot" w:pos="6936"/>
        </w:tabs>
        <w:rPr>
          <w:rFonts w:asciiTheme="minorHAnsi" w:eastAsiaTheme="minorEastAsia" w:hAnsiTheme="minorHAnsi" w:cstheme="minorBidi"/>
          <w:b w:val="0"/>
          <w:szCs w:val="22"/>
        </w:rPr>
      </w:pPr>
      <w:r>
        <w:t>Division 2 — Conciliation</w:t>
      </w:r>
    </w:p>
    <w:p>
      <w:pPr>
        <w:pStyle w:val="TOC8"/>
        <w:rPr>
          <w:rFonts w:asciiTheme="minorHAnsi" w:eastAsiaTheme="minorEastAsia" w:hAnsiTheme="minorHAnsi" w:cstheme="minorBidi"/>
          <w:szCs w:val="22"/>
        </w:rPr>
      </w:pPr>
      <w:r>
        <w:t>36</w:t>
      </w:r>
      <w:r>
        <w:rPr>
          <w:snapToGrid w:val="0"/>
        </w:rPr>
        <w:t>.</w:t>
      </w:r>
      <w:r>
        <w:rPr>
          <w:snapToGrid w:val="0"/>
        </w:rPr>
        <w:tab/>
        <w:t>Assignment of conciliator</w:t>
      </w:r>
      <w:r>
        <w:tab/>
      </w:r>
      <w:r>
        <w:fldChar w:fldCharType="begin"/>
      </w:r>
      <w:r>
        <w:instrText xml:space="preserve"> PAGEREF _Toc199942931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Notice of referral for conciliation</w:t>
      </w:r>
      <w:r>
        <w:tab/>
      </w:r>
      <w:r>
        <w:fldChar w:fldCharType="begin"/>
      </w:r>
      <w:r>
        <w:instrText xml:space="preserve"> PAGEREF _Toc199942932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Role of conciliator</w:t>
      </w:r>
      <w:r>
        <w:tab/>
      </w:r>
      <w:r>
        <w:fldChar w:fldCharType="begin"/>
      </w:r>
      <w:r>
        <w:instrText xml:space="preserve"> PAGEREF _Toc199942933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in conciliation process</w:t>
      </w:r>
      <w:r>
        <w:tab/>
      </w:r>
      <w:r>
        <w:fldChar w:fldCharType="begin"/>
      </w:r>
      <w:r>
        <w:instrText xml:space="preserve"> PAGEREF _Toc199942934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Reports by conciliator</w:t>
      </w:r>
      <w:r>
        <w:tab/>
      </w:r>
      <w:r>
        <w:fldChar w:fldCharType="begin"/>
      </w:r>
      <w:r>
        <w:instrText xml:space="preserve"> PAGEREF _Toc199942935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Parties may resolve complaint</w:t>
      </w:r>
      <w:r>
        <w:tab/>
      </w:r>
      <w:r>
        <w:fldChar w:fldCharType="begin"/>
      </w:r>
      <w:r>
        <w:instrText xml:space="preserve"> PAGEREF _Toc199942936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statements made</w:t>
      </w:r>
      <w:r>
        <w:tab/>
      </w:r>
      <w:r>
        <w:fldChar w:fldCharType="begin"/>
      </w:r>
      <w:r>
        <w:instrText xml:space="preserve"> PAGEREF _Toc199942937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Director’s duties after conciliator’s recommendation</w:t>
      </w:r>
      <w:r>
        <w:tab/>
      </w:r>
      <w:r>
        <w:fldChar w:fldCharType="begin"/>
      </w:r>
      <w:r>
        <w:instrText xml:space="preserve"> PAGEREF _Toc199942938 \h </w:instrText>
      </w:r>
      <w:r>
        <w:fldChar w:fldCharType="separate"/>
      </w:r>
      <w:r>
        <w:t>32</w:t>
      </w:r>
      <w:r>
        <w:fldChar w:fldCharType="end"/>
      </w:r>
    </w:p>
    <w:p>
      <w:pPr>
        <w:pStyle w:val="TOC2"/>
        <w:tabs>
          <w:tab w:val="right" w:leader="dot" w:pos="6936"/>
        </w:tabs>
        <w:rPr>
          <w:rFonts w:asciiTheme="minorHAnsi" w:eastAsiaTheme="minorEastAsia" w:hAnsiTheme="minorHAnsi" w:cstheme="minorBidi"/>
          <w:b w:val="0"/>
          <w:sz w:val="22"/>
          <w:szCs w:val="22"/>
        </w:rPr>
      </w:pPr>
      <w:r>
        <w:t>Part 3B — Investigations generally</w:t>
      </w:r>
    </w:p>
    <w:p>
      <w:pPr>
        <w:pStyle w:val="TOC8"/>
        <w:rPr>
          <w:rFonts w:asciiTheme="minorHAnsi" w:eastAsiaTheme="minorEastAsia" w:hAnsiTheme="minorHAnsi" w:cstheme="minorBidi"/>
          <w:szCs w:val="22"/>
        </w:rPr>
      </w:pPr>
      <w:r>
        <w:t>44</w:t>
      </w:r>
      <w:r>
        <w:rPr>
          <w:snapToGrid w:val="0"/>
        </w:rPr>
        <w:t>.</w:t>
      </w:r>
      <w:r>
        <w:rPr>
          <w:snapToGrid w:val="0"/>
        </w:rPr>
        <w:tab/>
        <w:t>Notice of investigation by Director</w:t>
      </w:r>
      <w:r>
        <w:tab/>
      </w:r>
      <w:r>
        <w:fldChar w:fldCharType="begin"/>
      </w:r>
      <w:r>
        <w:instrText xml:space="preserve"> PAGEREF _Toc199942940 \h </w:instrText>
      </w:r>
      <w:r>
        <w:fldChar w:fldCharType="separate"/>
      </w:r>
      <w:r>
        <w:t>34</w:t>
      </w:r>
      <w:r>
        <w:fldChar w:fldCharType="end"/>
      </w:r>
    </w:p>
    <w:p>
      <w:pPr>
        <w:pStyle w:val="TOC8"/>
        <w:rPr>
          <w:rFonts w:asciiTheme="minorHAnsi" w:eastAsiaTheme="minorEastAsia" w:hAnsiTheme="minorHAnsi" w:cstheme="minorBidi"/>
          <w:szCs w:val="22"/>
        </w:rPr>
      </w:pPr>
      <w:r>
        <w:t>44A.</w:t>
      </w:r>
      <w:r>
        <w:tab/>
        <w:t>Director may conduct Director</w:t>
      </w:r>
      <w:r>
        <w:noBreakHyphen/>
        <w:t>initiated investigation</w:t>
      </w:r>
      <w:r>
        <w:tab/>
      </w:r>
      <w:r>
        <w:fldChar w:fldCharType="begin"/>
      </w:r>
      <w:r>
        <w:instrText xml:space="preserve"> PAGEREF _Toc199942941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Further power to investigate</w:t>
      </w:r>
      <w:r>
        <w:tab/>
      </w:r>
      <w:r>
        <w:fldChar w:fldCharType="begin"/>
      </w:r>
      <w:r>
        <w:instrText xml:space="preserve"> PAGEREF _Toc199942942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Conciliator must not investigate</w:t>
      </w:r>
      <w:r>
        <w:tab/>
      </w:r>
      <w:r>
        <w:fldChar w:fldCharType="begin"/>
      </w:r>
      <w:r>
        <w:instrText xml:space="preserve"> PAGEREF _Toc199942943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Purpose of investigation, and procedure</w:t>
      </w:r>
      <w:r>
        <w:tab/>
      </w:r>
      <w:r>
        <w:fldChar w:fldCharType="begin"/>
      </w:r>
      <w:r>
        <w:instrText xml:space="preserve"> PAGEREF _Toc199942944 \h </w:instrText>
      </w:r>
      <w:r>
        <w:fldChar w:fldCharType="separate"/>
      </w:r>
      <w:r>
        <w:t>35</w:t>
      </w:r>
      <w:r>
        <w:fldChar w:fldCharType="end"/>
      </w:r>
    </w:p>
    <w:p>
      <w:pPr>
        <w:pStyle w:val="TOC2"/>
        <w:tabs>
          <w:tab w:val="right" w:leader="dot" w:pos="6936"/>
        </w:tabs>
        <w:rPr>
          <w:rFonts w:asciiTheme="minorHAnsi" w:eastAsiaTheme="minorEastAsia" w:hAnsiTheme="minorHAnsi" w:cstheme="minorBidi"/>
          <w:b w:val="0"/>
          <w:sz w:val="22"/>
          <w:szCs w:val="22"/>
        </w:rPr>
      </w:pPr>
      <w:r>
        <w:t>Part 3C — Remedial action</w:t>
      </w:r>
    </w:p>
    <w:p>
      <w:pPr>
        <w:pStyle w:val="TOC8"/>
        <w:rPr>
          <w:rFonts w:asciiTheme="minorHAnsi" w:eastAsiaTheme="minorEastAsia" w:hAnsiTheme="minorHAnsi" w:cstheme="minorBidi"/>
          <w:szCs w:val="22"/>
        </w:rPr>
      </w:pPr>
      <w:r>
        <w:t>50</w:t>
      </w:r>
      <w:r>
        <w:rPr>
          <w:snapToGrid w:val="0"/>
        </w:rPr>
        <w:t>.</w:t>
      </w:r>
      <w:r>
        <w:rPr>
          <w:snapToGrid w:val="0"/>
        </w:rPr>
        <w:tab/>
        <w:t>Remedial action where complaint justified</w:t>
      </w:r>
      <w:r>
        <w:tab/>
      </w:r>
      <w:r>
        <w:fldChar w:fldCharType="begin"/>
      </w:r>
      <w:r>
        <w:instrText xml:space="preserve"> PAGEREF _Toc199942946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Provider must report on remedial action</w:t>
      </w:r>
      <w:r>
        <w:tab/>
      </w:r>
      <w:r>
        <w:fldChar w:fldCharType="begin"/>
      </w:r>
      <w:r>
        <w:instrText xml:space="preserve"> PAGEREF _Toc199942947 \h </w:instrText>
      </w:r>
      <w:r>
        <w:fldChar w:fldCharType="separate"/>
      </w:r>
      <w:r>
        <w:t>37</w:t>
      </w:r>
      <w:r>
        <w:fldChar w:fldCharType="end"/>
      </w:r>
    </w:p>
    <w:p>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_Toc199942948 \h </w:instrText>
      </w:r>
      <w:r>
        <w:fldChar w:fldCharType="separate"/>
      </w:r>
      <w:r>
        <w:t>37</w:t>
      </w:r>
      <w:r>
        <w:fldChar w:fldCharType="end"/>
      </w:r>
    </w:p>
    <w:p>
      <w:pPr>
        <w:pStyle w:val="TOC2"/>
        <w:tabs>
          <w:tab w:val="right" w:leader="dot" w:pos="6936"/>
        </w:tabs>
        <w:rPr>
          <w:rFonts w:asciiTheme="minorHAnsi" w:eastAsiaTheme="minorEastAsia" w:hAnsiTheme="minorHAnsi" w:cstheme="minorBidi"/>
          <w:b w:val="0"/>
          <w:sz w:val="22"/>
          <w:szCs w:val="22"/>
        </w:rPr>
      </w:pPr>
      <w:r>
        <w:t>Part 3D — Interim prohibition orders, prohibition orders and interstate orders</w:t>
      </w:r>
    </w:p>
    <w:p>
      <w:pPr>
        <w:pStyle w:val="TOC4"/>
        <w:tabs>
          <w:tab w:val="right" w:leader="dot" w:pos="6936"/>
        </w:tabs>
        <w:rPr>
          <w:rFonts w:asciiTheme="minorHAnsi" w:eastAsiaTheme="minorEastAsia" w:hAnsiTheme="minorHAnsi" w:cstheme="minorBidi"/>
          <w:b w:val="0"/>
          <w:szCs w:val="22"/>
        </w:rPr>
      </w:pPr>
      <w:r>
        <w:t>Division 1 — Interim prohibition orders</w:t>
      </w:r>
    </w:p>
    <w:p>
      <w:pPr>
        <w:pStyle w:val="TOC8"/>
        <w:rPr>
          <w:rFonts w:asciiTheme="minorHAnsi" w:eastAsiaTheme="minorEastAsia" w:hAnsiTheme="minorHAnsi" w:cstheme="minorBidi"/>
          <w:szCs w:val="22"/>
        </w:rPr>
      </w:pPr>
      <w:r>
        <w:t>52B.</w:t>
      </w:r>
      <w:r>
        <w:tab/>
        <w:t>Director may make interim prohibition order</w:t>
      </w:r>
      <w:r>
        <w:tab/>
      </w:r>
      <w:r>
        <w:fldChar w:fldCharType="begin"/>
      </w:r>
      <w:r>
        <w:instrText xml:space="preserve"> PAGEREF _Toc199942951 \h </w:instrText>
      </w:r>
      <w:r>
        <w:fldChar w:fldCharType="separate"/>
      </w:r>
      <w:r>
        <w:t>39</w:t>
      </w:r>
      <w:r>
        <w:fldChar w:fldCharType="end"/>
      </w:r>
    </w:p>
    <w:p>
      <w:pPr>
        <w:pStyle w:val="TOC8"/>
        <w:rPr>
          <w:rFonts w:asciiTheme="minorHAnsi" w:eastAsiaTheme="minorEastAsia" w:hAnsiTheme="minorHAnsi" w:cstheme="minorBidi"/>
          <w:szCs w:val="22"/>
        </w:rPr>
      </w:pPr>
      <w:r>
        <w:t>52C.</w:t>
      </w:r>
      <w:r>
        <w:tab/>
        <w:t>Notice of interim prohibition order</w:t>
      </w:r>
      <w:r>
        <w:tab/>
      </w:r>
      <w:r>
        <w:fldChar w:fldCharType="begin"/>
      </w:r>
      <w:r>
        <w:instrText xml:space="preserve"> PAGEREF _Toc199942952 \h </w:instrText>
      </w:r>
      <w:r>
        <w:fldChar w:fldCharType="separate"/>
      </w:r>
      <w:r>
        <w:t>40</w:t>
      </w:r>
      <w:r>
        <w:fldChar w:fldCharType="end"/>
      </w:r>
    </w:p>
    <w:p>
      <w:pPr>
        <w:pStyle w:val="TOC8"/>
        <w:rPr>
          <w:rFonts w:asciiTheme="minorHAnsi" w:eastAsiaTheme="minorEastAsia" w:hAnsiTheme="minorHAnsi" w:cstheme="minorBidi"/>
          <w:szCs w:val="22"/>
        </w:rPr>
      </w:pPr>
      <w:r>
        <w:t>52D.</w:t>
      </w:r>
      <w:r>
        <w:tab/>
        <w:t>When interim prohibition order takes effect</w:t>
      </w:r>
      <w:r>
        <w:tab/>
      </w:r>
      <w:r>
        <w:fldChar w:fldCharType="begin"/>
      </w:r>
      <w:r>
        <w:instrText xml:space="preserve"> PAGEREF _Toc199942953 \h </w:instrText>
      </w:r>
      <w:r>
        <w:fldChar w:fldCharType="separate"/>
      </w:r>
      <w:r>
        <w:t>40</w:t>
      </w:r>
      <w:r>
        <w:fldChar w:fldCharType="end"/>
      </w:r>
    </w:p>
    <w:p>
      <w:pPr>
        <w:pStyle w:val="TOC8"/>
        <w:rPr>
          <w:rFonts w:asciiTheme="minorHAnsi" w:eastAsiaTheme="minorEastAsia" w:hAnsiTheme="minorHAnsi" w:cstheme="minorBidi"/>
          <w:szCs w:val="22"/>
        </w:rPr>
      </w:pPr>
      <w:r>
        <w:t>52E.</w:t>
      </w:r>
      <w:r>
        <w:tab/>
        <w:t>Variation of interim prohibition order</w:t>
      </w:r>
      <w:r>
        <w:tab/>
      </w:r>
      <w:r>
        <w:fldChar w:fldCharType="begin"/>
      </w:r>
      <w:r>
        <w:instrText xml:space="preserve"> PAGEREF _Toc199942954 \h </w:instrText>
      </w:r>
      <w:r>
        <w:fldChar w:fldCharType="separate"/>
      </w:r>
      <w:r>
        <w:t>40</w:t>
      </w:r>
      <w:r>
        <w:fldChar w:fldCharType="end"/>
      </w:r>
    </w:p>
    <w:p>
      <w:pPr>
        <w:pStyle w:val="TOC8"/>
        <w:rPr>
          <w:rFonts w:asciiTheme="minorHAnsi" w:eastAsiaTheme="minorEastAsia" w:hAnsiTheme="minorHAnsi" w:cstheme="minorBidi"/>
          <w:szCs w:val="22"/>
        </w:rPr>
      </w:pPr>
      <w:r>
        <w:t>52F.</w:t>
      </w:r>
      <w:r>
        <w:tab/>
        <w:t>Revocation of interim prohibition order</w:t>
      </w:r>
      <w:r>
        <w:tab/>
      </w:r>
      <w:r>
        <w:fldChar w:fldCharType="begin"/>
      </w:r>
      <w:r>
        <w:instrText xml:space="preserve"> PAGEREF _Toc199942955 \h </w:instrText>
      </w:r>
      <w:r>
        <w:fldChar w:fldCharType="separate"/>
      </w:r>
      <w:r>
        <w:t>41</w:t>
      </w:r>
      <w:r>
        <w:fldChar w:fldCharType="end"/>
      </w:r>
    </w:p>
    <w:p>
      <w:pPr>
        <w:pStyle w:val="TOC8"/>
        <w:rPr>
          <w:rFonts w:asciiTheme="minorHAnsi" w:eastAsiaTheme="minorEastAsia" w:hAnsiTheme="minorHAnsi" w:cstheme="minorBidi"/>
          <w:szCs w:val="22"/>
        </w:rPr>
      </w:pPr>
      <w:r>
        <w:t>52G.</w:t>
      </w:r>
      <w:r>
        <w:tab/>
        <w:t>Offence for failure to comply with interim prohibition order</w:t>
      </w:r>
      <w:r>
        <w:tab/>
      </w:r>
      <w:r>
        <w:fldChar w:fldCharType="begin"/>
      </w:r>
      <w:r>
        <w:instrText xml:space="preserve"> PAGEREF _Toc199942956 \h </w:instrText>
      </w:r>
      <w:r>
        <w:fldChar w:fldCharType="separate"/>
      </w:r>
      <w:r>
        <w:t>42</w:t>
      </w:r>
      <w:r>
        <w:fldChar w:fldCharType="end"/>
      </w:r>
    </w:p>
    <w:p>
      <w:pPr>
        <w:pStyle w:val="TOC4"/>
        <w:tabs>
          <w:tab w:val="right" w:leader="dot" w:pos="6936"/>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52H.</w:t>
      </w:r>
      <w:r>
        <w:tab/>
        <w:t>Director may make prohibition order</w:t>
      </w:r>
      <w:r>
        <w:tab/>
      </w:r>
      <w:r>
        <w:fldChar w:fldCharType="begin"/>
      </w:r>
      <w:r>
        <w:instrText xml:space="preserve"> PAGEREF _Toc199942958 \h </w:instrText>
      </w:r>
      <w:r>
        <w:fldChar w:fldCharType="separate"/>
      </w:r>
      <w:r>
        <w:t>42</w:t>
      </w:r>
      <w:r>
        <w:fldChar w:fldCharType="end"/>
      </w:r>
    </w:p>
    <w:p>
      <w:pPr>
        <w:pStyle w:val="TOC8"/>
        <w:rPr>
          <w:rFonts w:asciiTheme="minorHAnsi" w:eastAsiaTheme="minorEastAsia" w:hAnsiTheme="minorHAnsi" w:cstheme="minorBidi"/>
          <w:szCs w:val="22"/>
        </w:rPr>
      </w:pPr>
      <w:r>
        <w:t>52I.</w:t>
      </w:r>
      <w:r>
        <w:tab/>
        <w:t>Show cause process for prohibition orders</w:t>
      </w:r>
      <w:r>
        <w:tab/>
      </w:r>
      <w:r>
        <w:fldChar w:fldCharType="begin"/>
      </w:r>
      <w:r>
        <w:instrText xml:space="preserve"> PAGEREF _Toc199942959 \h </w:instrText>
      </w:r>
      <w:r>
        <w:fldChar w:fldCharType="separate"/>
      </w:r>
      <w:r>
        <w:t>43</w:t>
      </w:r>
      <w:r>
        <w:fldChar w:fldCharType="end"/>
      </w:r>
    </w:p>
    <w:p>
      <w:pPr>
        <w:pStyle w:val="TOC8"/>
        <w:rPr>
          <w:rFonts w:asciiTheme="minorHAnsi" w:eastAsiaTheme="minorEastAsia" w:hAnsiTheme="minorHAnsi" w:cstheme="minorBidi"/>
          <w:szCs w:val="22"/>
        </w:rPr>
      </w:pPr>
      <w:r>
        <w:t>52J.</w:t>
      </w:r>
      <w:r>
        <w:tab/>
        <w:t>Notice of prohibition order</w:t>
      </w:r>
      <w:r>
        <w:tab/>
      </w:r>
      <w:r>
        <w:fldChar w:fldCharType="begin"/>
      </w:r>
      <w:r>
        <w:instrText xml:space="preserve"> PAGEREF _Toc199942960 \h </w:instrText>
      </w:r>
      <w:r>
        <w:fldChar w:fldCharType="separate"/>
      </w:r>
      <w:r>
        <w:t>43</w:t>
      </w:r>
      <w:r>
        <w:fldChar w:fldCharType="end"/>
      </w:r>
    </w:p>
    <w:p>
      <w:pPr>
        <w:pStyle w:val="TOC8"/>
        <w:rPr>
          <w:rFonts w:asciiTheme="minorHAnsi" w:eastAsiaTheme="minorEastAsia" w:hAnsiTheme="minorHAnsi" w:cstheme="minorBidi"/>
          <w:szCs w:val="22"/>
        </w:rPr>
      </w:pPr>
      <w:r>
        <w:t>52K.</w:t>
      </w:r>
      <w:r>
        <w:tab/>
        <w:t>When prohibition order takes effect</w:t>
      </w:r>
      <w:r>
        <w:tab/>
      </w:r>
      <w:r>
        <w:fldChar w:fldCharType="begin"/>
      </w:r>
      <w:r>
        <w:instrText xml:space="preserve"> PAGEREF _Toc199942961 \h </w:instrText>
      </w:r>
      <w:r>
        <w:fldChar w:fldCharType="separate"/>
      </w:r>
      <w:r>
        <w:t>44</w:t>
      </w:r>
      <w:r>
        <w:fldChar w:fldCharType="end"/>
      </w:r>
    </w:p>
    <w:p>
      <w:pPr>
        <w:pStyle w:val="TOC8"/>
        <w:rPr>
          <w:rFonts w:asciiTheme="minorHAnsi" w:eastAsiaTheme="minorEastAsia" w:hAnsiTheme="minorHAnsi" w:cstheme="minorBidi"/>
          <w:szCs w:val="22"/>
        </w:rPr>
      </w:pPr>
      <w:r>
        <w:t>52L.</w:t>
      </w:r>
      <w:r>
        <w:tab/>
        <w:t>Variation of prohibition order</w:t>
      </w:r>
      <w:r>
        <w:tab/>
      </w:r>
      <w:r>
        <w:fldChar w:fldCharType="begin"/>
      </w:r>
      <w:r>
        <w:instrText xml:space="preserve"> PAGEREF _Toc199942962 \h </w:instrText>
      </w:r>
      <w:r>
        <w:fldChar w:fldCharType="separate"/>
      </w:r>
      <w:r>
        <w:t>44</w:t>
      </w:r>
      <w:r>
        <w:fldChar w:fldCharType="end"/>
      </w:r>
    </w:p>
    <w:p>
      <w:pPr>
        <w:pStyle w:val="TOC8"/>
        <w:rPr>
          <w:rFonts w:asciiTheme="minorHAnsi" w:eastAsiaTheme="minorEastAsia" w:hAnsiTheme="minorHAnsi" w:cstheme="minorBidi"/>
          <w:szCs w:val="22"/>
        </w:rPr>
      </w:pPr>
      <w:r>
        <w:lastRenderedPageBreak/>
        <w:t>52M.</w:t>
      </w:r>
      <w:r>
        <w:tab/>
        <w:t>Revocation of prohibition order</w:t>
      </w:r>
      <w:r>
        <w:tab/>
      </w:r>
      <w:r>
        <w:fldChar w:fldCharType="begin"/>
      </w:r>
      <w:r>
        <w:instrText xml:space="preserve"> PAGEREF _Toc199942963 \h </w:instrText>
      </w:r>
      <w:r>
        <w:fldChar w:fldCharType="separate"/>
      </w:r>
      <w:r>
        <w:t>44</w:t>
      </w:r>
      <w:r>
        <w:fldChar w:fldCharType="end"/>
      </w:r>
    </w:p>
    <w:p>
      <w:pPr>
        <w:pStyle w:val="TOC8"/>
        <w:rPr>
          <w:rFonts w:asciiTheme="minorHAnsi" w:eastAsiaTheme="minorEastAsia" w:hAnsiTheme="minorHAnsi" w:cstheme="minorBidi"/>
          <w:szCs w:val="22"/>
        </w:rPr>
      </w:pPr>
      <w:r>
        <w:t>52N.</w:t>
      </w:r>
      <w:r>
        <w:tab/>
        <w:t>Offence for failure to comply with prohibition order</w:t>
      </w:r>
      <w:r>
        <w:tab/>
      </w:r>
      <w:r>
        <w:fldChar w:fldCharType="begin"/>
      </w:r>
      <w:r>
        <w:instrText xml:space="preserve"> PAGEREF _Toc199942964 \h </w:instrText>
      </w:r>
      <w:r>
        <w:fldChar w:fldCharType="separate"/>
      </w:r>
      <w:r>
        <w:t>45</w:t>
      </w:r>
      <w:r>
        <w:fldChar w:fldCharType="end"/>
      </w:r>
    </w:p>
    <w:p>
      <w:pPr>
        <w:pStyle w:val="TOC4"/>
        <w:tabs>
          <w:tab w:val="right" w:leader="dot" w:pos="6936"/>
        </w:tabs>
        <w:rPr>
          <w:rFonts w:asciiTheme="minorHAnsi" w:eastAsiaTheme="minorEastAsia" w:hAnsiTheme="minorHAnsi" w:cstheme="minorBidi"/>
          <w:b w:val="0"/>
          <w:szCs w:val="22"/>
        </w:rPr>
      </w:pPr>
      <w:r>
        <w:t>Division 3 — Publication of information about orders</w:t>
      </w:r>
    </w:p>
    <w:p>
      <w:pPr>
        <w:pStyle w:val="TOC8"/>
        <w:rPr>
          <w:rFonts w:asciiTheme="minorHAnsi" w:eastAsiaTheme="minorEastAsia" w:hAnsiTheme="minorHAnsi" w:cstheme="minorBidi"/>
          <w:szCs w:val="22"/>
        </w:rPr>
      </w:pPr>
      <w:r>
        <w:t>52O.</w:t>
      </w:r>
      <w:r>
        <w:tab/>
        <w:t>Publication of information about interim prohibition orders and prohibition orders</w:t>
      </w:r>
      <w:r>
        <w:tab/>
      </w:r>
      <w:r>
        <w:fldChar w:fldCharType="begin"/>
      </w:r>
      <w:r>
        <w:instrText xml:space="preserve"> PAGEREF _Toc199942966 \h </w:instrText>
      </w:r>
      <w:r>
        <w:fldChar w:fldCharType="separate"/>
      </w:r>
      <w:r>
        <w:t>46</w:t>
      </w:r>
      <w:r>
        <w:fldChar w:fldCharType="end"/>
      </w:r>
    </w:p>
    <w:p>
      <w:pPr>
        <w:pStyle w:val="TOC4"/>
        <w:tabs>
          <w:tab w:val="right" w:leader="dot" w:pos="6936"/>
        </w:tabs>
        <w:rPr>
          <w:rFonts w:asciiTheme="minorHAnsi" w:eastAsiaTheme="minorEastAsia" w:hAnsiTheme="minorHAnsi" w:cstheme="minorBidi"/>
          <w:b w:val="0"/>
          <w:szCs w:val="22"/>
        </w:rPr>
      </w:pPr>
      <w:r>
        <w:t>Division 4 — Review by State Administrative Tribunal</w:t>
      </w:r>
    </w:p>
    <w:p>
      <w:pPr>
        <w:pStyle w:val="TOC8"/>
        <w:rPr>
          <w:rFonts w:asciiTheme="minorHAnsi" w:eastAsiaTheme="minorEastAsia" w:hAnsiTheme="minorHAnsi" w:cstheme="minorBidi"/>
          <w:szCs w:val="22"/>
        </w:rPr>
      </w:pPr>
      <w:r>
        <w:t>52P.</w:t>
      </w:r>
      <w:r>
        <w:tab/>
        <w:t>Review of decisions to make interim prohibition orders and prohibition orders</w:t>
      </w:r>
      <w:r>
        <w:tab/>
      </w:r>
      <w:r>
        <w:fldChar w:fldCharType="begin"/>
      </w:r>
      <w:r>
        <w:instrText xml:space="preserve"> PAGEREF _Toc199942968 \h </w:instrText>
      </w:r>
      <w:r>
        <w:fldChar w:fldCharType="separate"/>
      </w:r>
      <w:r>
        <w:t>46</w:t>
      </w:r>
      <w:r>
        <w:fldChar w:fldCharType="end"/>
      </w:r>
    </w:p>
    <w:p>
      <w:pPr>
        <w:pStyle w:val="TOC4"/>
        <w:tabs>
          <w:tab w:val="right" w:leader="dot" w:pos="6936"/>
        </w:tabs>
        <w:rPr>
          <w:rFonts w:asciiTheme="minorHAnsi" w:eastAsiaTheme="minorEastAsia" w:hAnsiTheme="minorHAnsi" w:cstheme="minorBidi"/>
          <w:b w:val="0"/>
          <w:szCs w:val="22"/>
        </w:rPr>
      </w:pPr>
      <w:r>
        <w:t>Division 5 — Interstate orders</w:t>
      </w:r>
    </w:p>
    <w:p>
      <w:pPr>
        <w:pStyle w:val="TOC8"/>
        <w:rPr>
          <w:rFonts w:asciiTheme="minorHAnsi" w:eastAsiaTheme="minorEastAsia" w:hAnsiTheme="minorHAnsi" w:cstheme="minorBidi"/>
          <w:szCs w:val="22"/>
        </w:rPr>
      </w:pPr>
      <w:r>
        <w:t>52Q.</w:t>
      </w:r>
      <w:r>
        <w:tab/>
        <w:t>Offence for failure to comply with interstate order</w:t>
      </w:r>
      <w:r>
        <w:tab/>
      </w:r>
      <w:r>
        <w:fldChar w:fldCharType="begin"/>
      </w:r>
      <w:r>
        <w:instrText xml:space="preserve"> PAGEREF _Toc199942970 \h </w:instrText>
      </w:r>
      <w:r>
        <w:fldChar w:fldCharType="separate"/>
      </w:r>
      <w:r>
        <w:t>47</w:t>
      </w:r>
      <w:r>
        <w:fldChar w:fldCharType="end"/>
      </w:r>
    </w:p>
    <w:p>
      <w:pPr>
        <w:pStyle w:val="TOC2"/>
        <w:tabs>
          <w:tab w:val="right" w:leader="dot" w:pos="6936"/>
        </w:tabs>
        <w:rPr>
          <w:rFonts w:asciiTheme="minorHAnsi" w:eastAsiaTheme="minorEastAsia" w:hAnsiTheme="minorHAnsi" w:cstheme="minorBidi"/>
          <w:b w:val="0"/>
          <w:sz w:val="22"/>
          <w:szCs w:val="22"/>
        </w:rPr>
      </w:pPr>
      <w:r>
        <w:t>Part 3E — Public health warning statements relating to health care workers</w:t>
      </w:r>
    </w:p>
    <w:p>
      <w:pPr>
        <w:pStyle w:val="TOC8"/>
        <w:rPr>
          <w:rFonts w:asciiTheme="minorHAnsi" w:eastAsiaTheme="minorEastAsia" w:hAnsiTheme="minorHAnsi" w:cstheme="minorBidi"/>
          <w:szCs w:val="22"/>
        </w:rPr>
      </w:pPr>
      <w:r>
        <w:t>52R.</w:t>
      </w:r>
      <w:r>
        <w:tab/>
        <w:t>Public health warning statements</w:t>
      </w:r>
      <w:r>
        <w:tab/>
      </w:r>
      <w:r>
        <w:fldChar w:fldCharType="begin"/>
      </w:r>
      <w:r>
        <w:instrText xml:space="preserve"> PAGEREF _Toc199942972 \h </w:instrText>
      </w:r>
      <w:r>
        <w:fldChar w:fldCharType="separate"/>
      </w:r>
      <w:r>
        <w:t>48</w:t>
      </w:r>
      <w:r>
        <w:fldChar w:fldCharType="end"/>
      </w:r>
    </w:p>
    <w:p>
      <w:pPr>
        <w:pStyle w:val="TOC8"/>
        <w:rPr>
          <w:rFonts w:asciiTheme="minorHAnsi" w:eastAsiaTheme="minorEastAsia" w:hAnsiTheme="minorHAnsi" w:cstheme="minorBidi"/>
          <w:szCs w:val="22"/>
        </w:rPr>
      </w:pPr>
      <w:r>
        <w:t>52S.</w:t>
      </w:r>
      <w:r>
        <w:tab/>
        <w:t>Revoking public health warning statements</w:t>
      </w:r>
      <w:r>
        <w:tab/>
      </w:r>
      <w:r>
        <w:fldChar w:fldCharType="begin"/>
      </w:r>
      <w:r>
        <w:instrText xml:space="preserve"> PAGEREF _Toc199942973 \h </w:instrText>
      </w:r>
      <w:r>
        <w:fldChar w:fldCharType="separate"/>
      </w:r>
      <w:r>
        <w:t>49</w:t>
      </w:r>
      <w:r>
        <w:fldChar w:fldCharType="end"/>
      </w:r>
    </w:p>
    <w:p>
      <w:pPr>
        <w:pStyle w:val="TOC8"/>
        <w:rPr>
          <w:rFonts w:asciiTheme="minorHAnsi" w:eastAsiaTheme="minorEastAsia" w:hAnsiTheme="minorHAnsi" w:cstheme="minorBidi"/>
          <w:szCs w:val="22"/>
        </w:rPr>
      </w:pPr>
      <w:r>
        <w:t>52T.</w:t>
      </w:r>
      <w:r>
        <w:tab/>
        <w:t>Correcting public health warning statements</w:t>
      </w:r>
      <w:r>
        <w:tab/>
      </w:r>
      <w:r>
        <w:fldChar w:fldCharType="begin"/>
      </w:r>
      <w:r>
        <w:instrText xml:space="preserve"> PAGEREF _Toc199942974 \h </w:instrText>
      </w:r>
      <w:r>
        <w:fldChar w:fldCharType="separate"/>
      </w:r>
      <w:r>
        <w:t>50</w:t>
      </w:r>
      <w:r>
        <w:fldChar w:fldCharType="end"/>
      </w:r>
    </w:p>
    <w:p>
      <w:pPr>
        <w:pStyle w:val="TOC8"/>
        <w:rPr>
          <w:rFonts w:asciiTheme="minorHAnsi" w:eastAsiaTheme="minorEastAsia" w:hAnsiTheme="minorHAnsi" w:cstheme="minorBidi"/>
          <w:szCs w:val="22"/>
        </w:rPr>
      </w:pPr>
      <w:r>
        <w:t>52U.</w:t>
      </w:r>
      <w:r>
        <w:tab/>
        <w:t>Review of decision to publish public health warning statement</w:t>
      </w:r>
      <w:r>
        <w:tab/>
      </w:r>
      <w:r>
        <w:fldChar w:fldCharType="begin"/>
      </w:r>
      <w:r>
        <w:instrText xml:space="preserve"> PAGEREF _Toc199942975 \h </w:instrText>
      </w:r>
      <w:r>
        <w:fldChar w:fldCharType="separate"/>
      </w:r>
      <w:r>
        <w:t>50</w:t>
      </w:r>
      <w:r>
        <w:fldChar w:fldCharType="end"/>
      </w:r>
    </w:p>
    <w:p>
      <w:pPr>
        <w:pStyle w:val="TOC2"/>
        <w:tabs>
          <w:tab w:val="right" w:leader="dot" w:pos="6936"/>
        </w:tabs>
        <w:rPr>
          <w:rFonts w:asciiTheme="minorHAnsi" w:eastAsiaTheme="minorEastAsia" w:hAnsiTheme="minorHAnsi" w:cstheme="minorBidi"/>
          <w:b w:val="0"/>
          <w:sz w:val="22"/>
          <w:szCs w:val="22"/>
        </w:rPr>
      </w:pPr>
      <w:r>
        <w:t>Part 3F — Miscellaneous provisions relating to complaints, investigations and reports to Parliament</w:t>
      </w:r>
    </w:p>
    <w:p>
      <w:pPr>
        <w:pStyle w:val="TOC8"/>
        <w:rPr>
          <w:rFonts w:asciiTheme="minorHAnsi" w:eastAsiaTheme="minorEastAsia" w:hAnsiTheme="minorHAnsi" w:cstheme="minorBidi"/>
          <w:szCs w:val="22"/>
        </w:rPr>
      </w:pPr>
      <w:r>
        <w:t>52</w:t>
      </w:r>
      <w:r>
        <w:rPr>
          <w:snapToGrid w:val="0"/>
        </w:rPr>
        <w:t>.</w:t>
      </w:r>
      <w:r>
        <w:rPr>
          <w:snapToGrid w:val="0"/>
        </w:rPr>
        <w:tab/>
        <w:t>Director to stop proceedings in some cases</w:t>
      </w:r>
      <w:r>
        <w:tab/>
      </w:r>
      <w:r>
        <w:fldChar w:fldCharType="begin"/>
      </w:r>
      <w:r>
        <w:instrText xml:space="preserve"> PAGEREF _Toc199942977 \h </w:instrText>
      </w:r>
      <w:r>
        <w:fldChar w:fldCharType="separate"/>
      </w:r>
      <w:r>
        <w:t>51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Reports to, and at request of, Parliament</w:t>
      </w:r>
      <w:r>
        <w:tab/>
      </w:r>
      <w:r>
        <w:fldChar w:fldCharType="begin"/>
      </w:r>
      <w:r>
        <w:instrText xml:space="preserve"> PAGEREF _Toc199942978 \h </w:instrText>
      </w:r>
      <w:r>
        <w:fldChar w:fldCharType="separate"/>
      </w:r>
      <w:r>
        <w:t>52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Action if a House not sitting</w:t>
      </w:r>
      <w:r>
        <w:tab/>
      </w:r>
      <w:r>
        <w:fldChar w:fldCharType="begin"/>
      </w:r>
      <w:r>
        <w:instrText xml:space="preserve"> PAGEREF _Toc199942979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Saving</w:t>
      </w:r>
      <w:r>
        <w:tab/>
      </w:r>
      <w:r>
        <w:fldChar w:fldCharType="begin"/>
      </w:r>
      <w:r>
        <w:instrText xml:space="preserve"> PAGEREF _Toc199942980 \h </w:instrText>
      </w:r>
      <w:r>
        <w:fldChar w:fldCharType="separate"/>
      </w:r>
      <w:r>
        <w:t>53</w:t>
      </w:r>
      <w:r>
        <w:fldChar w:fldCharType="end"/>
      </w:r>
    </w:p>
    <w:p>
      <w:pPr>
        <w:pStyle w:val="TOC2"/>
        <w:tabs>
          <w:tab w:val="right" w:leader="dot" w:pos="6936"/>
        </w:tabs>
        <w:rPr>
          <w:rFonts w:asciiTheme="minorHAnsi" w:eastAsiaTheme="minorEastAsia" w:hAnsiTheme="minorHAnsi" w:cstheme="minorBidi"/>
          <w:b w:val="0"/>
          <w:sz w:val="22"/>
          <w:szCs w:val="22"/>
        </w:rPr>
      </w:pPr>
      <w:r>
        <w:t>Part 4 — Director’s powers to obtain information and entry to premises</w:t>
      </w:r>
    </w:p>
    <w:p>
      <w:pPr>
        <w:pStyle w:val="TOC8"/>
        <w:rPr>
          <w:rFonts w:asciiTheme="minorHAnsi" w:eastAsiaTheme="minorEastAsia" w:hAnsiTheme="minorHAnsi" w:cstheme="minorBidi"/>
          <w:szCs w:val="22"/>
        </w:rPr>
      </w:pPr>
      <w:r>
        <w:t>59</w:t>
      </w:r>
      <w:r>
        <w:rPr>
          <w:snapToGrid w:val="0"/>
        </w:rPr>
        <w:t>.</w:t>
      </w:r>
      <w:r>
        <w:rPr>
          <w:snapToGrid w:val="0"/>
        </w:rPr>
        <w:tab/>
        <w:t>Restriction on powers</w:t>
      </w:r>
      <w:r>
        <w:tab/>
      </w:r>
      <w:r>
        <w:fldChar w:fldCharType="begin"/>
      </w:r>
      <w:r>
        <w:instrText xml:space="preserve"> PAGEREF _Toc199942982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60</w:t>
      </w:r>
      <w:r>
        <w:rPr>
          <w:snapToGrid w:val="0"/>
        </w:rPr>
        <w:t>.</w:t>
      </w:r>
      <w:r>
        <w:rPr>
          <w:snapToGrid w:val="0"/>
        </w:rPr>
        <w:tab/>
        <w:t>Power to summons and related powers</w:t>
      </w:r>
      <w:r>
        <w:tab/>
      </w:r>
      <w:r>
        <w:fldChar w:fldCharType="begin"/>
      </w:r>
      <w:r>
        <w:instrText xml:space="preserve"> PAGEREF _Toc199942983 \h </w:instrText>
      </w:r>
      <w:r>
        <w:fldChar w:fldCharType="separate"/>
      </w:r>
      <w:r>
        <w:t>54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False statements</w:t>
      </w:r>
      <w:r>
        <w:tab/>
      </w:r>
      <w:r>
        <w:fldChar w:fldCharType="begin"/>
      </w:r>
      <w:r>
        <w:instrText xml:space="preserve"> PAGEREF _Toc199942984 \h </w:instrText>
      </w:r>
      <w:r>
        <w:fldChar w:fldCharType="separate"/>
      </w:r>
      <w:r>
        <w:t>55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Failure to comply with notice or direction given under s. 60</w:t>
      </w:r>
      <w:r>
        <w:tab/>
      </w:r>
      <w:r>
        <w:fldChar w:fldCharType="begin"/>
      </w:r>
      <w:r>
        <w:instrText xml:space="preserve"> PAGEREF _Toc199942985 \h </w:instrText>
      </w:r>
      <w:r>
        <w:fldChar w:fldCharType="separate"/>
      </w:r>
      <w:r>
        <w:t>56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warrant to enter premises etc.</w:t>
      </w:r>
      <w:r>
        <w:tab/>
      </w:r>
      <w:r>
        <w:fldChar w:fldCharType="begin"/>
      </w:r>
      <w:r>
        <w:instrText xml:space="preserve"> PAGEREF _Toc199942986 \h </w:instrText>
      </w:r>
      <w:r>
        <w:fldChar w:fldCharType="separate"/>
      </w:r>
      <w:r>
        <w:t>56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Issue of warrant</w:t>
      </w:r>
      <w:r>
        <w:tab/>
      </w:r>
      <w:r>
        <w:fldChar w:fldCharType="begin"/>
      </w:r>
      <w:r>
        <w:instrText xml:space="preserve"> PAGEREF _Toc199942987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Execution of warrant</w:t>
      </w:r>
      <w:r>
        <w:tab/>
      </w:r>
      <w:r>
        <w:fldChar w:fldCharType="begin"/>
      </w:r>
      <w:r>
        <w:instrText xml:space="preserve"> PAGEREF _Toc199942988 \h </w:instrText>
      </w:r>
      <w:r>
        <w:fldChar w:fldCharType="separate"/>
      </w:r>
      <w:r>
        <w:t>58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Offences relating to warrants</w:t>
      </w:r>
      <w:r>
        <w:tab/>
      </w:r>
      <w:r>
        <w:fldChar w:fldCharType="begin"/>
      </w:r>
      <w:r>
        <w:instrText xml:space="preserve"> PAGEREF _Toc199942989 \h </w:instrText>
      </w:r>
      <w:r>
        <w:fldChar w:fldCharType="separate"/>
      </w:r>
      <w:r>
        <w:t>59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Information etc. that may be withheld</w:t>
      </w:r>
      <w:r>
        <w:tab/>
      </w:r>
      <w:r>
        <w:fldChar w:fldCharType="begin"/>
      </w:r>
      <w:r>
        <w:instrText xml:space="preserve"> PAGEREF _Toc199942990 \h </w:instrText>
      </w:r>
      <w:r>
        <w:fldChar w:fldCharType="separate"/>
      </w:r>
      <w:r>
        <w:t>60</w:t>
      </w:r>
      <w:r>
        <w:fldChar w:fldCharType="end"/>
      </w:r>
    </w:p>
    <w:p>
      <w:pPr>
        <w:pStyle w:val="TOC2"/>
        <w:tabs>
          <w:tab w:val="right" w:leader="dot" w:pos="693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68</w:t>
      </w:r>
      <w:r>
        <w:rPr>
          <w:snapToGrid w:val="0"/>
        </w:rPr>
        <w:t>.</w:t>
      </w:r>
      <w:r>
        <w:rPr>
          <w:snapToGrid w:val="0"/>
        </w:rPr>
        <w:tab/>
        <w:t>Register of complaints</w:t>
      </w:r>
      <w:r>
        <w:tab/>
      </w:r>
      <w:r>
        <w:fldChar w:fldCharType="begin"/>
      </w:r>
      <w:r>
        <w:instrText xml:space="preserve"> PAGEREF _Toc199942992 \h </w:instrText>
      </w:r>
      <w:r>
        <w:fldChar w:fldCharType="separate"/>
      </w:r>
      <w:r>
        <w:t>61</w:t>
      </w:r>
      <w:r>
        <w:fldChar w:fldCharType="end"/>
      </w:r>
    </w:p>
    <w:p>
      <w:pPr>
        <w:pStyle w:val="TOC8"/>
        <w:rPr>
          <w:rFonts w:asciiTheme="minorHAnsi" w:eastAsiaTheme="minorEastAsia" w:hAnsiTheme="minorHAnsi" w:cstheme="minorBidi"/>
          <w:szCs w:val="22"/>
        </w:rPr>
      </w:pPr>
      <w:r>
        <w:t>68A.</w:t>
      </w:r>
      <w:r>
        <w:tab/>
        <w:t>Disclosure of information to other Commonwealth, State or Territory entities</w:t>
      </w:r>
      <w:r>
        <w:tab/>
      </w:r>
      <w:r>
        <w:fldChar w:fldCharType="begin"/>
      </w:r>
      <w:r>
        <w:instrText xml:space="preserve"> PAGEREF _Toc199942993 \h </w:instrText>
      </w:r>
      <w:r>
        <w:fldChar w:fldCharType="separate"/>
      </w:r>
      <w:r>
        <w:t>61</w:t>
      </w:r>
      <w:r>
        <w:fldChar w:fldCharType="end"/>
      </w:r>
    </w:p>
    <w:p>
      <w:pPr>
        <w:pStyle w:val="TOC8"/>
        <w:rPr>
          <w:rFonts w:asciiTheme="minorHAnsi" w:eastAsiaTheme="minorEastAsia" w:hAnsiTheme="minorHAnsi" w:cstheme="minorBidi"/>
          <w:szCs w:val="22"/>
        </w:rPr>
      </w:pPr>
      <w:r>
        <w:t>68B.</w:t>
      </w:r>
      <w:r>
        <w:tab/>
        <w:t>Disclosure to protect health or safety of users and other persons</w:t>
      </w:r>
      <w:r>
        <w:tab/>
      </w:r>
      <w:r>
        <w:fldChar w:fldCharType="begin"/>
      </w:r>
      <w:r>
        <w:instrText xml:space="preserve"> PAGEREF _Toc199942994 \h </w:instrText>
      </w:r>
      <w:r>
        <w:fldChar w:fldCharType="separate"/>
      </w:r>
      <w:r>
        <w:t>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Protection of Director etc. from personal liability</w:t>
      </w:r>
      <w:r>
        <w:tab/>
      </w:r>
      <w:r>
        <w:fldChar w:fldCharType="begin"/>
      </w:r>
      <w:r>
        <w:instrText xml:space="preserve"> PAGEREF _Toc199942995 \h </w:instrText>
      </w:r>
      <w:r>
        <w:fldChar w:fldCharType="separate"/>
      </w:r>
      <w:r>
        <w:t>63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Protection of other persons</w:t>
      </w:r>
      <w:r>
        <w:tab/>
      </w:r>
      <w:r>
        <w:fldChar w:fldCharType="begin"/>
      </w:r>
      <w:r>
        <w:instrText xml:space="preserve"> PAGEREF _Toc199942996 \h </w:instrText>
      </w:r>
      <w:r>
        <w:fldChar w:fldCharType="separate"/>
      </w:r>
      <w:r>
        <w:t>63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Confidentiality</w:t>
      </w:r>
      <w:r>
        <w:tab/>
      </w:r>
      <w:r>
        <w:fldChar w:fldCharType="begin"/>
      </w:r>
      <w:r>
        <w:instrText xml:space="preserve"> PAGEREF _Toc199942997 \h </w:instrText>
      </w:r>
      <w:r>
        <w:fldChar w:fldCharType="separate"/>
      </w:r>
      <w:r>
        <w:t>64</w:t>
      </w:r>
      <w:r>
        <w:fldChar w:fldCharType="end"/>
      </w:r>
    </w:p>
    <w:p>
      <w:pPr>
        <w:pStyle w:val="TOC8"/>
        <w:rPr>
          <w:rFonts w:asciiTheme="minorHAnsi" w:eastAsiaTheme="minorEastAsia" w:hAnsiTheme="minorHAnsi" w:cstheme="minorBidi"/>
          <w:szCs w:val="22"/>
        </w:rPr>
      </w:pPr>
      <w:r>
        <w:t>71A.</w:t>
      </w:r>
      <w:r>
        <w:tab/>
        <w:t>Criminal record checks</w:t>
      </w:r>
      <w:r>
        <w:tab/>
      </w:r>
      <w:r>
        <w:fldChar w:fldCharType="begin"/>
      </w:r>
      <w:r>
        <w:instrText xml:space="preserve"> PAGEREF _Toc199942998 \h </w:instrText>
      </w:r>
      <w:r>
        <w:fldChar w:fldCharType="separate"/>
      </w:r>
      <w:r>
        <w:t>65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statements</w:t>
      </w:r>
      <w:r>
        <w:tab/>
      </w:r>
      <w:r>
        <w:fldChar w:fldCharType="begin"/>
      </w:r>
      <w:r>
        <w:instrText xml:space="preserve"> PAGEREF _Toc199942999 \h </w:instrText>
      </w:r>
      <w:r>
        <w:fldChar w:fldCharType="separate"/>
      </w:r>
      <w:r>
        <w:t>66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Person not to be threatened etc. because of complaining to Director</w:t>
      </w:r>
      <w:r>
        <w:tab/>
      </w:r>
      <w:r>
        <w:fldChar w:fldCharType="begin"/>
      </w:r>
      <w:r>
        <w:instrText xml:space="preserve"> PAGEREF _Toc199943000 \h </w:instrText>
      </w:r>
      <w:r>
        <w:fldChar w:fldCharType="separate"/>
      </w:r>
      <w:r>
        <w:t>66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Application of </w:t>
      </w:r>
      <w:r>
        <w:rPr>
          <w:i/>
          <w:iCs/>
          <w:snapToGrid w:val="0"/>
        </w:rPr>
        <w:t>Parliamentary Commissioner Act 1971</w:t>
      </w:r>
      <w:r>
        <w:tab/>
      </w:r>
      <w:r>
        <w:fldChar w:fldCharType="begin"/>
      </w:r>
      <w:r>
        <w:instrText xml:space="preserve"> PAGEREF _Toc199943001 \h </w:instrText>
      </w:r>
      <w:r>
        <w:fldChar w:fldCharType="separate"/>
      </w:r>
      <w:r>
        <w:t>66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Prescribed provider must give certain information</w:t>
      </w:r>
      <w:r>
        <w:tab/>
      </w:r>
      <w:r>
        <w:fldChar w:fldCharType="begin"/>
      </w:r>
      <w:r>
        <w:instrText xml:space="preserve"> PAGEREF _Toc199943002 \h </w:instrText>
      </w:r>
      <w:r>
        <w:fldChar w:fldCharType="separate"/>
      </w:r>
      <w:r>
        <w:t>66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Prosecutions</w:t>
      </w:r>
      <w:r>
        <w:tab/>
      </w:r>
      <w:r>
        <w:fldChar w:fldCharType="begin"/>
      </w:r>
      <w:r>
        <w:instrText xml:space="preserve"> PAGEREF _Toc199943003 \h </w:instrText>
      </w:r>
      <w:r>
        <w:fldChar w:fldCharType="separate"/>
      </w:r>
      <w:r>
        <w:t>67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_Toc199943004 \h </w:instrText>
      </w:r>
      <w:r>
        <w:fldChar w:fldCharType="separate"/>
      </w:r>
      <w:r>
        <w:t>67</w:t>
      </w:r>
      <w:r>
        <w:fldChar w:fldCharType="end"/>
      </w:r>
    </w:p>
    <w:p>
      <w:pPr>
        <w:pStyle w:val="TOC8"/>
        <w:rPr>
          <w:rFonts w:asciiTheme="minorHAnsi" w:eastAsiaTheme="minorEastAsia" w:hAnsiTheme="minorHAnsi" w:cstheme="minorBidi"/>
          <w:szCs w:val="22"/>
        </w:rPr>
      </w:pPr>
      <w:r>
        <w:t>77A.</w:t>
      </w:r>
      <w:r>
        <w:tab/>
        <w:t>Codes of conduct</w:t>
      </w:r>
      <w:r>
        <w:tab/>
      </w:r>
      <w:r>
        <w:fldChar w:fldCharType="begin"/>
      </w:r>
      <w:r>
        <w:instrText xml:space="preserve"> PAGEREF _Toc199943005 \h </w:instrText>
      </w:r>
      <w:r>
        <w:fldChar w:fldCharType="separate"/>
      </w:r>
      <w:r>
        <w:t>67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Transitional provision</w:t>
      </w:r>
      <w:r>
        <w:tab/>
      </w:r>
      <w:r>
        <w:fldChar w:fldCharType="begin"/>
      </w:r>
      <w:r>
        <w:instrText xml:space="preserve"> PAGEREF _Toc199943006 \h </w:instrText>
      </w:r>
      <w:r>
        <w:fldChar w:fldCharType="separate"/>
      </w:r>
      <w:r>
        <w:t>68</w:t>
      </w:r>
      <w:r>
        <w:fldChar w:fldCharType="end"/>
      </w:r>
    </w:p>
    <w:p>
      <w:pPr>
        <w:pStyle w:val="TOC8"/>
        <w:rPr>
          <w:rFonts w:asciiTheme="minorHAnsi" w:eastAsiaTheme="minorEastAsia" w:hAnsiTheme="minorHAnsi" w:cstheme="minorBidi"/>
          <w:szCs w:val="22"/>
        </w:rPr>
      </w:pPr>
      <w:r>
        <w:t>79.</w:t>
      </w:r>
      <w:r>
        <w:tab/>
        <w:t>Review of Act</w:t>
      </w:r>
      <w:r>
        <w:tab/>
      </w:r>
      <w:r>
        <w:fldChar w:fldCharType="begin"/>
      </w:r>
      <w:r>
        <w:instrText xml:space="preserve"> PAGEREF _Toc199943007 \h </w:instrText>
      </w:r>
      <w:r>
        <w:fldChar w:fldCharType="separate"/>
      </w:r>
      <w:r>
        <w:t>68</w:t>
      </w:r>
      <w:r>
        <w:fldChar w:fldCharType="end"/>
      </w:r>
    </w:p>
    <w:p>
      <w:pPr>
        <w:pStyle w:val="TOC8"/>
        <w:rPr>
          <w:rFonts w:asciiTheme="minorHAnsi" w:eastAsiaTheme="minorEastAsia" w:hAnsiTheme="minorHAnsi" w:cstheme="minorBidi"/>
          <w:szCs w:val="22"/>
        </w:rPr>
      </w:pPr>
      <w:r>
        <w:t>79A.</w:t>
      </w:r>
      <w:r>
        <w:tab/>
        <w:t xml:space="preserve">Review of amendments made by </w:t>
      </w:r>
      <w:r>
        <w:rPr>
          <w:i/>
        </w:rPr>
        <w:t>Health and Disability Services (Complaints) Amendment Act 2022</w:t>
      </w:r>
      <w:r>
        <w:tab/>
      </w:r>
      <w:r>
        <w:fldChar w:fldCharType="begin"/>
      </w:r>
      <w:r>
        <w:instrText xml:space="preserve"> PAGEREF _Toc199943008 \h </w:instrText>
      </w:r>
      <w:r>
        <w:fldChar w:fldCharType="separate"/>
      </w:r>
      <w:r>
        <w:t>68</w:t>
      </w:r>
      <w:r>
        <w:fldChar w:fldCharType="end"/>
      </w:r>
    </w:p>
    <w:p>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_Toc199943009 \h </w:instrText>
      </w:r>
      <w:r>
        <w:fldChar w:fldCharType="separate"/>
      </w:r>
      <w:r>
        <w:t>69</w:t>
      </w:r>
      <w:r>
        <w:fldChar w:fldCharType="end"/>
      </w:r>
    </w:p>
    <w:p>
      <w:pPr>
        <w:pStyle w:val="TOC2"/>
        <w:tabs>
          <w:tab w:val="right" w:leader="dot" w:pos="6936"/>
        </w:tabs>
        <w:rPr>
          <w:rFonts w:asciiTheme="minorHAnsi" w:eastAsiaTheme="minorEastAsia" w:hAnsiTheme="minorHAnsi" w:cstheme="minorBidi"/>
          <w:b w:val="0"/>
          <w:sz w:val="22"/>
          <w:szCs w:val="22"/>
        </w:rPr>
      </w:pPr>
      <w:r>
        <w:lastRenderedPageBreak/>
        <w:t>Schedule 2 — Tenure, salary, conditions of service, etc., of Director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_Toc199943011 \h </w:instrText>
      </w:r>
      <w:r>
        <w:fldChar w:fldCharType="separate"/>
      </w:r>
      <w:r>
        <w:t>70</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_Toc199943012 \h </w:instrText>
      </w:r>
      <w:r>
        <w:fldChar w:fldCharType="separate"/>
      </w:r>
      <w:r>
        <w:t>70</w:t>
      </w:r>
      <w:r>
        <w:fldChar w:fldCharType="end"/>
      </w:r>
    </w:p>
    <w:p>
      <w:pPr>
        <w:pStyle w:val="TOC8"/>
        <w:rPr>
          <w:rFonts w:asciiTheme="minorHAnsi" w:eastAsiaTheme="minorEastAsia" w:hAnsiTheme="minorHAnsi" w:cstheme="minorBidi"/>
          <w:szCs w:val="22"/>
        </w:rPr>
      </w:pPr>
      <w:r>
        <w:t>3.</w:t>
      </w:r>
      <w:r>
        <w:tab/>
        <w:t>Superannuation</w:t>
      </w:r>
      <w:r>
        <w:tab/>
      </w:r>
      <w:r>
        <w:fldChar w:fldCharType="begin"/>
      </w:r>
      <w:r>
        <w:instrText xml:space="preserve"> PAGEREF _Toc199943013 \h </w:instrText>
      </w:r>
      <w:r>
        <w:fldChar w:fldCharType="separate"/>
      </w:r>
      <w:r>
        <w:t>70</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_Toc199943014 \h </w:instrText>
      </w:r>
      <w:r>
        <w:fldChar w:fldCharType="separate"/>
      </w:r>
      <w:r>
        <w:t>71</w:t>
      </w:r>
      <w:r>
        <w:fldChar w:fldCharType="end"/>
      </w:r>
    </w:p>
    <w:p>
      <w:pPr>
        <w:pStyle w:val="TOC8"/>
        <w:rPr>
          <w:rFonts w:asciiTheme="minorHAnsi" w:eastAsiaTheme="minorEastAsia" w:hAnsiTheme="minorHAnsi" w:cstheme="minorBidi"/>
          <w:szCs w:val="22"/>
        </w:rPr>
      </w:pPr>
      <w:r>
        <w:t>5.</w:t>
      </w:r>
      <w:r>
        <w:tab/>
        <w:t>Removal from office</w:t>
      </w:r>
      <w:r>
        <w:tab/>
      </w:r>
      <w:r>
        <w:fldChar w:fldCharType="begin"/>
      </w:r>
      <w:r>
        <w:instrText xml:space="preserve"> PAGEREF _Toc199943015 \h </w:instrText>
      </w:r>
      <w:r>
        <w:fldChar w:fldCharType="separate"/>
      </w:r>
      <w:r>
        <w:t>71</w:t>
      </w:r>
      <w:r>
        <w:fldChar w:fldCharType="end"/>
      </w:r>
    </w:p>
    <w:p>
      <w:pPr>
        <w:pStyle w:val="TOC8"/>
        <w:rPr>
          <w:rFonts w:asciiTheme="minorHAnsi" w:eastAsiaTheme="minorEastAsia" w:hAnsiTheme="minorHAnsi" w:cstheme="minorBidi"/>
          <w:szCs w:val="22"/>
        </w:rPr>
      </w:pPr>
      <w:r>
        <w:t>6.</w:t>
      </w:r>
      <w:r>
        <w:tab/>
        <w:t>Other conditions of service</w:t>
      </w:r>
      <w:r>
        <w:tab/>
      </w:r>
      <w:r>
        <w:fldChar w:fldCharType="begin"/>
      </w:r>
      <w:r>
        <w:instrText xml:space="preserve"> PAGEREF _Toc199943016 \h </w:instrText>
      </w:r>
      <w:r>
        <w:fldChar w:fldCharType="separate"/>
      </w:r>
      <w:r>
        <w:t>72</w:t>
      </w:r>
      <w:r>
        <w:fldChar w:fldCharType="end"/>
      </w:r>
    </w:p>
    <w:p>
      <w:pPr>
        <w:pStyle w:val="TOC2"/>
        <w:tabs>
          <w:tab w:val="right" w:leader="dot" w:pos="693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_Toc199943018 \h </w:instrText>
      </w:r>
      <w:r>
        <w:fldChar w:fldCharType="separate"/>
      </w:r>
      <w:r>
        <w:t>73</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_Toc199943019 \h </w:instrText>
      </w:r>
      <w:r>
        <w:fldChar w:fldCharType="separate"/>
      </w:r>
      <w:r>
        <w:t>76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_Toc199943020 \h </w:instrText>
      </w:r>
      <w:r>
        <w:fldChar w:fldCharType="separate"/>
      </w:r>
      <w:r>
        <w:t>76</w:t>
      </w:r>
      <w:r>
        <w:fldChar w:fldCharType="end"/>
      </w:r>
    </w:p>
    <w:p>
      <w:pPr>
        <w:pStyle w:val="TOC2"/>
        <w:tabs>
          <w:tab w:val="right" w:leader="dot" w:pos="693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551" w:bottom="3544" w:left="2410" w:header="720" w:footer="3544" w:gutter="0"/>
          <w:pgNumType w:fmt="lowerRoman" w:start="1"/>
          <w:cols w:space="720"/>
          <w:noEndnote/>
          <w:titlePg/>
        </w:sectPr>
      </w:pPr>
    </w:p>
    <w:p>
      <w:pPr>
        <w:pStyle w:val="WA"/>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No. 33 of 2010 s. 4.]</w:t>
      </w:r>
    </w:p>
    <w:p>
      <w:pPr>
        <w:pStyle w:val="Heading2"/>
      </w:pPr>
      <w:bookmarkStart w:id="2" w:name="_Toc199942881"/>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199942882"/>
      <w:r>
        <w:rPr>
          <w:rStyle w:val="CharSectno"/>
        </w:rPr>
        <w:t>1</w:t>
      </w:r>
      <w:r>
        <w:rPr>
          <w:snapToGrid w:val="0"/>
        </w:rPr>
        <w:t>.</w:t>
      </w:r>
      <w:r>
        <w:rPr>
          <w:snapToGrid w:val="0"/>
        </w:rPr>
        <w:tab/>
        <w:t>Short title</w:t>
      </w:r>
      <w:bookmarkEnd w:id="3"/>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w:t>
      </w:r>
    </w:p>
    <w:p>
      <w:pPr>
        <w:pStyle w:val="Footnotesection"/>
        <w:spacing w:before="100"/>
        <w:ind w:left="890" w:hanging="890"/>
      </w:pPr>
      <w:r>
        <w:tab/>
        <w:t>[Section 1 amended: No. 33 of 2010 s. 5.]</w:t>
      </w:r>
    </w:p>
    <w:p>
      <w:pPr>
        <w:pStyle w:val="Heading5"/>
        <w:rPr>
          <w:snapToGrid w:val="0"/>
        </w:rPr>
      </w:pPr>
      <w:bookmarkStart w:id="4" w:name="_Toc199942883"/>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The provisions of this Act come into operation on such day as is, or days as are respectively, fixed by proclamation.</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5" w:name="_Toc199942884"/>
      <w:r>
        <w:rPr>
          <w:rStyle w:val="CharSectno"/>
        </w:rPr>
        <w:t>3A</w:t>
      </w:r>
      <w:r>
        <w:t>.</w:t>
      </w:r>
      <w:r>
        <w:tab/>
        <w:t>Act to be read with other legislation about health and disability complaints</w:t>
      </w:r>
      <w:bookmarkEnd w:id="5"/>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No. 25 of 2014 s. 64.]</w:t>
      </w:r>
    </w:p>
    <w:p>
      <w:pPr>
        <w:pStyle w:val="Heading5"/>
        <w:rPr>
          <w:snapToGrid w:val="0"/>
        </w:rPr>
      </w:pPr>
      <w:bookmarkStart w:id="6" w:name="_Toc199942885"/>
      <w:r>
        <w:rPr>
          <w:rStyle w:val="CharSectno"/>
        </w:rPr>
        <w:t>3</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code of conduct</w:t>
      </w:r>
      <w:r>
        <w:t xml:space="preserve"> means a code of conduct prescribed under section 77A;</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lastRenderedPageBreak/>
        <w:tab/>
      </w:r>
      <w:r>
        <w:rPr>
          <w:rStyle w:val="CharDefText"/>
        </w:rPr>
        <w:t>Director</w:t>
      </w:r>
      <w:r>
        <w:t xml:space="preserve"> means a person appointed as Director under section 7(1);</w:t>
      </w:r>
    </w:p>
    <w:p>
      <w:pPr>
        <w:pStyle w:val="Defstart"/>
      </w:pPr>
      <w:r>
        <w:tab/>
      </w:r>
      <w:r>
        <w:rPr>
          <w:rStyle w:val="CharDefText"/>
        </w:rPr>
        <w:t>Director</w:t>
      </w:r>
      <w:r>
        <w:rPr>
          <w:rStyle w:val="CharDefText"/>
        </w:rPr>
        <w:noBreakHyphen/>
        <w:t>initiated investigation</w:t>
      </w:r>
      <w:r>
        <w:t xml:space="preserve"> has the meaning given in section 44A;</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tab/>
      </w:r>
      <w:r>
        <w:rPr>
          <w:rStyle w:val="CharDefText"/>
        </w:rPr>
        <w:t>health care worker</w:t>
      </w:r>
      <w:r>
        <w:t xml:space="preserve"> means an individual who provides a health service (whether or not the individual is a registered provider);</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injury, or suspected disorder or injury; and</w:t>
      </w:r>
    </w:p>
    <w:p>
      <w:pPr>
        <w:pStyle w:val="Defpara"/>
      </w:pPr>
      <w:r>
        <w:tab/>
        <w:t>(b)</w:t>
      </w:r>
      <w:r>
        <w:tab/>
        <w:t xml:space="preserve">health care, including — </w:t>
      </w:r>
    </w:p>
    <w:p>
      <w:pPr>
        <w:pStyle w:val="Defsubpara"/>
      </w:pPr>
      <w:r>
        <w:tab/>
        <w:t>(i)</w:t>
      </w:r>
      <w:r>
        <w:tab/>
        <w:t>palliative health care; and</w:t>
      </w:r>
    </w:p>
    <w:p>
      <w:pPr>
        <w:pStyle w:val="Defsubpara"/>
      </w:pPr>
      <w:r>
        <w:tab/>
        <w:t>(ii)</w:t>
      </w:r>
      <w:r>
        <w:tab/>
        <w:t xml:space="preserve">voluntary assisted dying as defined in the </w:t>
      </w:r>
      <w:r>
        <w:rPr>
          <w:i/>
        </w:rPr>
        <w:t>Voluntary Assisted Dying Act 2019</w:t>
      </w:r>
      <w:r>
        <w:t xml:space="preserve"> section 5;</w:t>
      </w:r>
    </w:p>
    <w:p>
      <w:pPr>
        <w:pStyle w:val="Defpara"/>
      </w:pPr>
      <w:r>
        <w:tab/>
      </w:r>
      <w:r>
        <w:tab/>
        <w:t>and</w:t>
      </w:r>
    </w:p>
    <w:p>
      <w:pPr>
        <w:pStyle w:val="Defpara"/>
      </w:pPr>
      <w:r>
        <w:tab/>
        <w:t>(ba)</w:t>
      </w:r>
      <w:r>
        <w:tab/>
        <w:t>prescribing or dispensing a drug or medicinal preparation; and</w:t>
      </w:r>
    </w:p>
    <w:p>
      <w:pPr>
        <w:pStyle w:val="Defpara"/>
      </w:pPr>
      <w:r>
        <w:tab/>
        <w:t>(bb)</w:t>
      </w:r>
      <w:r>
        <w:tab/>
        <w:t>prescribing or dispensing an aid for therapeutic use;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(ea)</w:t>
      </w:r>
      <w:r>
        <w:tab/>
        <w:t>surgical or related service; and</w:t>
      </w:r>
    </w:p>
    <w:p>
      <w:pPr>
        <w:pStyle w:val="Defpara"/>
      </w:pPr>
      <w:r>
        <w:tab/>
        <w:t>(f)</w:t>
      </w:r>
      <w:r>
        <w:tab/>
        <w:t>welfare service that is complementary to a health service; and</w:t>
      </w:r>
    </w:p>
    <w:p>
      <w:pPr>
        <w:pStyle w:val="Defpara"/>
      </w:pPr>
      <w:r>
        <w:tab/>
        <w:t>(g)</w:t>
      </w:r>
      <w:r>
        <w:tab/>
        <w:t xml:space="preserve">service coming within paragraph (a), (b), (ba), (bb) or (c) that is provided by a person who advertises or holds </w:t>
      </w:r>
      <w:r>
        <w:lastRenderedPageBreak/>
        <w:t>himself or herself out as a person who provides any health care or treatment; and</w:t>
      </w:r>
    </w:p>
    <w:p>
      <w:pPr>
        <w:pStyle w:val="Defpara"/>
      </w:pPr>
      <w:r>
        <w:tab/>
        <w:t>(ga)</w:t>
      </w:r>
      <w:r>
        <w:tab/>
        <w:t xml:space="preserve">service that — </w:t>
      </w:r>
    </w:p>
    <w:p>
      <w:pPr>
        <w:pStyle w:val="Defsubpara"/>
      </w:pPr>
      <w:r>
        <w:tab/>
        <w:t>(i)</w:t>
      </w:r>
      <w:r>
        <w:tab/>
        <w:t>is ancillary to any other service to which this definition applies; and</w:t>
      </w:r>
    </w:p>
    <w:p>
      <w:pPr>
        <w:pStyle w:val="Defsubpara"/>
      </w:pPr>
      <w:r>
        <w:tab/>
        <w:t>(ii)</w:t>
      </w:r>
      <w:r>
        <w:tab/>
        <w:t>affects or may affect persons who are receiving any other service to which this definition applies;</w:t>
      </w:r>
    </w:p>
    <w:p>
      <w:pPr>
        <w:pStyle w:val="Defpara"/>
      </w:pPr>
      <w:r>
        <w:tab/>
      </w:r>
      <w:r>
        <w:tab/>
        <w:t>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tab/>
      </w:r>
      <w:r>
        <w:rPr>
          <w:rStyle w:val="CharDefText"/>
        </w:rPr>
        <w:t>interim prohibition order</w:t>
      </w:r>
      <w:r>
        <w:t xml:space="preserve"> has the meaning given in section 52B(2);</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tab/>
      </w:r>
      <w:r>
        <w:rPr>
          <w:rStyle w:val="CharDefText"/>
        </w:rPr>
        <w:t>Office’s website</w:t>
      </w:r>
      <w:r>
        <w:t xml:space="preserve"> means a website maintained by or on behalf of the Office;</w:t>
      </w:r>
    </w:p>
    <w:p>
      <w:pPr>
        <w:pStyle w:val="Defstart"/>
      </w:pPr>
      <w:r>
        <w:tab/>
      </w:r>
      <w:r>
        <w:rPr>
          <w:rStyle w:val="CharDefText"/>
        </w:rPr>
        <w:t>prohibition order</w:t>
      </w:r>
      <w:r>
        <w:t xml:space="preserve"> has the meaning given in section 52H(2);</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lastRenderedPageBreak/>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tab/>
      </w:r>
      <w:r>
        <w:rPr>
          <w:rStyle w:val="CharDefText"/>
        </w:rPr>
        <w:t>public health warning statement</w:t>
      </w:r>
      <w:r>
        <w:t xml:space="preserve"> means a statement published under section 52R(1) or (2);</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tab/>
      </w:r>
      <w:r>
        <w:rPr>
          <w:rStyle w:val="CharDefText"/>
        </w:rPr>
        <w:t>registration board</w:t>
      </w:r>
      <w:r>
        <w:t xml:space="preserve"> means a National Health Practitioner Board established under the </w:t>
      </w:r>
      <w:r>
        <w:rPr>
          <w:i/>
        </w:rPr>
        <w:t>Health Practitioner Regulation National Law (Western Australia)</w:t>
      </w:r>
      <w:r>
        <w:t>;</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Ednotesubsection"/>
      </w:pPr>
      <w:r>
        <w:lastRenderedPageBreak/>
        <w:tab/>
        <w:t>[(2)</w:t>
      </w:r>
      <w:r>
        <w:tab/>
        <w:t>deleted]</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 xml:space="preserve">in </w:t>
      </w:r>
      <w:r>
        <w:t>paragraph</w:t>
      </w:r>
      <w:r>
        <w:rPr>
          <w:snapToGrid w:val="0"/>
        </w:rPr>
        <w:t>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No. 37 of 2004 s. 31; No. 28 of 2006 s. 257; No. 33 of 2010 s. 7; No. 11 of 2016 s. 292; No. 4 of 2018 s 112(2); No. 27 of 2019 s. 172; No. 35 of 2022 s. 4.]</w:t>
      </w:r>
    </w:p>
    <w:p>
      <w:pPr>
        <w:pStyle w:val="Heading5"/>
        <w:rPr>
          <w:snapToGrid w:val="0"/>
        </w:rPr>
      </w:pPr>
      <w:bookmarkStart w:id="7" w:name="_Toc199942886"/>
      <w:r>
        <w:rPr>
          <w:rStyle w:val="CharSectno"/>
        </w:rPr>
        <w:t>4</w:t>
      </w:r>
      <w:r>
        <w:rPr>
          <w:snapToGrid w:val="0"/>
        </w:rPr>
        <w:t>.</w:t>
      </w:r>
      <w:r>
        <w:rPr>
          <w:snapToGrid w:val="0"/>
        </w:rPr>
        <w:tab/>
        <w:t>Guiding principles for the provision of health services</w:t>
      </w:r>
      <w:bookmarkEnd w:id="7"/>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w:t>
      </w:r>
      <w:r>
        <w:rPr>
          <w:snapToGrid w:val="0"/>
        </w:rPr>
        <w:lastRenderedPageBreak/>
        <w:t>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 xml:space="preserve">In deciding for the purposes of section 48(1) whether unreasonable </w:t>
      </w:r>
      <w:r>
        <w:t xml:space="preserve">conduct, or other conduct, </w:t>
      </w:r>
      <w:r>
        <w:rPr>
          <w:snapToGrid w:val="0"/>
        </w:rPr>
        <w:t>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Footnotesection"/>
      </w:pPr>
      <w:r>
        <w:tab/>
        <w:t>[Section 4 amended: No. 35 of 2022 s. 5.]</w:t>
      </w:r>
    </w:p>
    <w:p>
      <w:pPr>
        <w:pStyle w:val="Heading5"/>
        <w:rPr>
          <w:snapToGrid w:val="0"/>
        </w:rPr>
      </w:pPr>
      <w:bookmarkStart w:id="8" w:name="_Toc199942887"/>
      <w:r>
        <w:rPr>
          <w:rStyle w:val="CharSectno"/>
        </w:rPr>
        <w:t>5</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2"/>
      </w:pPr>
      <w:bookmarkStart w:id="9" w:name="_Toc199942888"/>
      <w:r>
        <w:rPr>
          <w:rStyle w:val="CharPartNo"/>
        </w:rPr>
        <w:lastRenderedPageBreak/>
        <w:t>Part 2</w:t>
      </w:r>
      <w:r>
        <w:rPr>
          <w:rStyle w:val="CharDivNo"/>
        </w:rPr>
        <w:t> </w:t>
      </w:r>
      <w:r>
        <w:t>—</w:t>
      </w:r>
      <w:r>
        <w:rPr>
          <w:rStyle w:val="CharDivText"/>
        </w:rPr>
        <w:t> </w:t>
      </w:r>
      <w:r>
        <w:rPr>
          <w:rStyle w:val="CharPartText"/>
        </w:rPr>
        <w:t>Administrative arrangements</w:t>
      </w:r>
      <w:bookmarkEnd w:id="9"/>
    </w:p>
    <w:p>
      <w:pPr>
        <w:pStyle w:val="Heading5"/>
        <w:rPr>
          <w:snapToGrid w:val="0"/>
        </w:rPr>
      </w:pPr>
      <w:bookmarkStart w:id="10" w:name="_Toc199942889"/>
      <w:r>
        <w:rPr>
          <w:rStyle w:val="CharSectno"/>
        </w:rPr>
        <w:t>6</w:t>
      </w:r>
      <w:r>
        <w:rPr>
          <w:snapToGrid w:val="0"/>
        </w:rPr>
        <w:t>.</w:t>
      </w:r>
      <w:r>
        <w:rPr>
          <w:snapToGrid w:val="0"/>
        </w:rPr>
        <w:tab/>
        <w:t>Health and Disability Services Complaints Office</w:t>
      </w:r>
      <w:bookmarkEnd w:id="10"/>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No. 33 of 2010 s. 8.]</w:t>
      </w:r>
    </w:p>
    <w:p>
      <w:pPr>
        <w:pStyle w:val="Heading5"/>
        <w:rPr>
          <w:snapToGrid w:val="0"/>
        </w:rPr>
      </w:pPr>
      <w:bookmarkStart w:id="11" w:name="_Toc199942890"/>
      <w:r>
        <w:rPr>
          <w:rStyle w:val="CharSectno"/>
        </w:rPr>
        <w:t>7</w:t>
      </w:r>
      <w:r>
        <w:rPr>
          <w:snapToGrid w:val="0"/>
        </w:rPr>
        <w:t>.</w:t>
      </w:r>
      <w:r>
        <w:rPr>
          <w:snapToGrid w:val="0"/>
        </w:rPr>
        <w:tab/>
        <w:t>Director of Office</w:t>
      </w:r>
      <w:bookmarkEnd w:id="11"/>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 w:name="_Toc199942891"/>
      <w:r>
        <w:rPr>
          <w:rStyle w:val="CharSectno"/>
        </w:rPr>
        <w:t>8</w:t>
      </w:r>
      <w:r>
        <w:rPr>
          <w:snapToGrid w:val="0"/>
        </w:rPr>
        <w:t>.</w:t>
      </w:r>
      <w:r>
        <w:rPr>
          <w:snapToGrid w:val="0"/>
        </w:rPr>
        <w:tab/>
        <w:t>Tenure, salary etc. of Director</w:t>
      </w:r>
      <w:bookmarkEnd w:id="12"/>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3" w:name="_Toc199942892"/>
      <w:r>
        <w:rPr>
          <w:rStyle w:val="CharSectno"/>
        </w:rPr>
        <w:t>9</w:t>
      </w:r>
      <w:r>
        <w:rPr>
          <w:snapToGrid w:val="0"/>
        </w:rPr>
        <w:t>.</w:t>
      </w:r>
      <w:r>
        <w:rPr>
          <w:snapToGrid w:val="0"/>
        </w:rPr>
        <w:tab/>
        <w:t>Judicial notice of Director’s appointment and signature</w:t>
      </w:r>
      <w:bookmarkEnd w:id="13"/>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4" w:name="_Toc199942893"/>
      <w:r>
        <w:rPr>
          <w:rStyle w:val="CharSectno"/>
        </w:rPr>
        <w:lastRenderedPageBreak/>
        <w:t>10</w:t>
      </w:r>
      <w:r>
        <w:rPr>
          <w:snapToGrid w:val="0"/>
        </w:rPr>
        <w:t>.</w:t>
      </w:r>
      <w:r>
        <w:rPr>
          <w:snapToGrid w:val="0"/>
        </w:rPr>
        <w:tab/>
        <w:t>Director’s functions</w:t>
      </w:r>
      <w:bookmarkEnd w:id="14"/>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this Act;</w:t>
      </w:r>
    </w:p>
    <w:p>
      <w:pPr>
        <w:pStyle w:val="Indenta"/>
      </w:pPr>
      <w:r>
        <w:tab/>
        <w:t>(aa)</w:t>
      </w:r>
      <w:r>
        <w:tab/>
        <w:t>to conduct investigations under this Act;</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lastRenderedPageBreak/>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No. 44 of 1999 s. 28(2); No. 55 of 2004 s. 493; No. 33 of 2010 s. 9; No. 35 of 2022 s. 6.]</w:t>
      </w:r>
    </w:p>
    <w:p>
      <w:pPr>
        <w:pStyle w:val="Heading5"/>
        <w:rPr>
          <w:snapToGrid w:val="0"/>
        </w:rPr>
      </w:pPr>
      <w:bookmarkStart w:id="15" w:name="_Toc199942894"/>
      <w:r>
        <w:rPr>
          <w:rStyle w:val="CharSectno"/>
        </w:rPr>
        <w:t>11</w:t>
      </w:r>
      <w:r>
        <w:rPr>
          <w:snapToGrid w:val="0"/>
        </w:rPr>
        <w:t>.</w:t>
      </w:r>
      <w:r>
        <w:rPr>
          <w:snapToGrid w:val="0"/>
        </w:rPr>
        <w:tab/>
        <w:t>Minister may give Director directions</w:t>
      </w:r>
      <w:bookmarkEnd w:id="15"/>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lastRenderedPageBreak/>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No. 57 of 2004 s. 36; No. 77 of 2006 Sch. 1 cl. 82(1); No. 35 of 2010 s. 80.]</w:t>
      </w:r>
    </w:p>
    <w:p>
      <w:pPr>
        <w:pStyle w:val="Heading5"/>
        <w:rPr>
          <w:snapToGrid w:val="0"/>
        </w:rPr>
      </w:pPr>
      <w:bookmarkStart w:id="16" w:name="_Toc199942895"/>
      <w:r>
        <w:rPr>
          <w:rStyle w:val="CharSectno"/>
        </w:rPr>
        <w:t>12</w:t>
      </w:r>
      <w:r>
        <w:rPr>
          <w:snapToGrid w:val="0"/>
        </w:rPr>
        <w:t>.</w:t>
      </w:r>
      <w:r>
        <w:rPr>
          <w:snapToGrid w:val="0"/>
        </w:rPr>
        <w:tab/>
        <w:t>Minister to have access to information</w:t>
      </w:r>
      <w:bookmarkEnd w:id="16"/>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lastRenderedPageBreak/>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7" w:name="_Toc199942896"/>
      <w:r>
        <w:rPr>
          <w:rStyle w:val="CharSectno"/>
        </w:rPr>
        <w:t>13</w:t>
      </w:r>
      <w:r>
        <w:rPr>
          <w:snapToGrid w:val="0"/>
        </w:rPr>
        <w:t>.</w:t>
      </w:r>
      <w:r>
        <w:rPr>
          <w:snapToGrid w:val="0"/>
        </w:rPr>
        <w:tab/>
        <w:t>Financial provisions</w:t>
      </w:r>
      <w:bookmarkEnd w:id="17"/>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No. 28 of 2006 s. 258; No. 77 of 2006 Sch. 1 cl. 82(2) and (3); No. 33 of 2010 s. 10.]</w:t>
      </w:r>
    </w:p>
    <w:p>
      <w:pPr>
        <w:pStyle w:val="Heading5"/>
        <w:rPr>
          <w:snapToGrid w:val="0"/>
        </w:rPr>
      </w:pPr>
      <w:bookmarkStart w:id="18" w:name="_Toc199942897"/>
      <w:r>
        <w:rPr>
          <w:rStyle w:val="CharSectno"/>
        </w:rPr>
        <w:lastRenderedPageBreak/>
        <w:t>14</w:t>
      </w:r>
      <w:r>
        <w:rPr>
          <w:snapToGrid w:val="0"/>
        </w:rPr>
        <w:t>.</w:t>
      </w:r>
      <w:r>
        <w:rPr>
          <w:snapToGrid w:val="0"/>
        </w:rPr>
        <w:tab/>
        <w:t>Staff</w:t>
      </w:r>
      <w:bookmarkEnd w:id="18"/>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9" w:name="_Toc199942898"/>
      <w:r>
        <w:rPr>
          <w:rStyle w:val="CharSectno"/>
        </w:rPr>
        <w:t>15</w:t>
      </w:r>
      <w:r>
        <w:rPr>
          <w:snapToGrid w:val="0"/>
        </w:rPr>
        <w:t>.</w:t>
      </w:r>
      <w:r>
        <w:rPr>
          <w:snapToGrid w:val="0"/>
        </w:rPr>
        <w:tab/>
        <w:t>Consultants</w:t>
      </w:r>
      <w:bookmarkEnd w:id="19"/>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20" w:name="_Toc199942899"/>
      <w:r>
        <w:rPr>
          <w:rStyle w:val="CharSectno"/>
        </w:rPr>
        <w:t>16</w:t>
      </w:r>
      <w:r>
        <w:rPr>
          <w:snapToGrid w:val="0"/>
        </w:rPr>
        <w:t>.</w:t>
      </w:r>
      <w:r>
        <w:rPr>
          <w:snapToGrid w:val="0"/>
        </w:rPr>
        <w:tab/>
        <w:t>Use of other government staff etc.</w:t>
      </w:r>
      <w:bookmarkEnd w:id="20"/>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1" w:name="_Toc199942900"/>
      <w:r>
        <w:rPr>
          <w:rStyle w:val="CharSectno"/>
        </w:rPr>
        <w:t>17</w:t>
      </w:r>
      <w:r>
        <w:rPr>
          <w:snapToGrid w:val="0"/>
        </w:rPr>
        <w:t>.</w:t>
      </w:r>
      <w:r>
        <w:rPr>
          <w:snapToGrid w:val="0"/>
        </w:rPr>
        <w:tab/>
        <w:t>Oath of office by Director and staff</w:t>
      </w:r>
      <w:bookmarkEnd w:id="21"/>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lastRenderedPageBreak/>
        <w:tab/>
        <w:t>(2)</w:t>
      </w:r>
      <w:r>
        <w:rPr>
          <w:snapToGrid w:val="0"/>
        </w:rPr>
        <w:tab/>
        <w:t>The Director’s oath or affirmation is to be taken by a Judge and that of a member of the staff is to be taken by the Director.</w:t>
      </w:r>
    </w:p>
    <w:p>
      <w:pPr>
        <w:pStyle w:val="Heading5"/>
      </w:pPr>
      <w:bookmarkStart w:id="22" w:name="_Toc199942901"/>
      <w:r>
        <w:rPr>
          <w:rStyle w:val="CharSectno"/>
        </w:rPr>
        <w:t>17A</w:t>
      </w:r>
      <w:r>
        <w:t>.</w:t>
      </w:r>
      <w:r>
        <w:tab/>
        <w:t>Identity cards</w:t>
      </w:r>
      <w:bookmarkEnd w:id="22"/>
    </w:p>
    <w:p>
      <w:pPr>
        <w:pStyle w:val="Subsection"/>
      </w:pPr>
      <w:r>
        <w:tab/>
        <w:t>(1)</w:t>
      </w:r>
      <w:r>
        <w:tab/>
        <w:t>The Director may give an identity card to a member of the staff of the Office.</w:t>
      </w:r>
    </w:p>
    <w:p>
      <w:pPr>
        <w:pStyle w:val="Subsection"/>
      </w:pPr>
      <w:r>
        <w:tab/>
        <w:t>(2)</w:t>
      </w:r>
      <w:r>
        <w:tab/>
        <w:t xml:space="preserve">An identity card must — </w:t>
      </w:r>
    </w:p>
    <w:p>
      <w:pPr>
        <w:pStyle w:val="Indenta"/>
      </w:pPr>
      <w:r>
        <w:tab/>
        <w:t>(a)</w:t>
      </w:r>
      <w:r>
        <w:tab/>
        <w:t>identify the person as a member of the staff of the Office; and</w:t>
      </w:r>
    </w:p>
    <w:p>
      <w:pPr>
        <w:pStyle w:val="Indenta"/>
      </w:pPr>
      <w:r>
        <w:tab/>
        <w:t>(b)</w:t>
      </w:r>
      <w:r>
        <w:tab/>
        <w:t>contain a recent photograph of the person.</w:t>
      </w:r>
    </w:p>
    <w:p>
      <w:pPr>
        <w:pStyle w:val="Subsection"/>
      </w:pPr>
      <w:r>
        <w:tab/>
        <w:t>(3)</w:t>
      </w:r>
      <w:r>
        <w:tab/>
        <w:t>A person must, within 14 days after ceasing to be a member of the staff of the Office, return the person’s identity card to the Director.</w:t>
      </w:r>
    </w:p>
    <w:p>
      <w:pPr>
        <w:pStyle w:val="Penstart"/>
      </w:pPr>
      <w:r>
        <w:tab/>
        <w:t>Penalty for this subsection: a fine of $2 500.</w:t>
      </w:r>
    </w:p>
    <w:p>
      <w:pPr>
        <w:pStyle w:val="Subsection"/>
      </w:pPr>
      <w:r>
        <w:tab/>
        <w:t>(4)</w:t>
      </w:r>
      <w:r>
        <w:tab/>
        <w:t>Subsection (3) does not apply if the person has a reasonable excuse.</w:t>
      </w:r>
    </w:p>
    <w:p>
      <w:pPr>
        <w:pStyle w:val="Footnotesection"/>
      </w:pPr>
      <w:r>
        <w:tab/>
        <w:t>[Section 17A inserted: No. 35 of 2022 s. 7.]</w:t>
      </w:r>
    </w:p>
    <w:p>
      <w:pPr>
        <w:pStyle w:val="Heading5"/>
        <w:rPr>
          <w:snapToGrid w:val="0"/>
        </w:rPr>
      </w:pPr>
      <w:bookmarkStart w:id="23" w:name="_Toc199942902"/>
      <w:r>
        <w:rPr>
          <w:rStyle w:val="CharSectno"/>
        </w:rPr>
        <w:t>18</w:t>
      </w:r>
      <w:r>
        <w:rPr>
          <w:snapToGrid w:val="0"/>
        </w:rPr>
        <w:t>.</w:t>
      </w:r>
      <w:r>
        <w:rPr>
          <w:snapToGrid w:val="0"/>
        </w:rPr>
        <w:tab/>
        <w:t>Delegation by Director</w:t>
      </w:r>
      <w:bookmarkEnd w:id="23"/>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4" w:name="_Toc199942903"/>
      <w:r>
        <w:rPr>
          <w:rStyle w:val="CharPartNo"/>
        </w:rPr>
        <w:lastRenderedPageBreak/>
        <w:t>Part 3</w:t>
      </w:r>
      <w:r>
        <w:t> — </w:t>
      </w:r>
      <w:r>
        <w:rPr>
          <w:rStyle w:val="CharPartText"/>
        </w:rPr>
        <w:t>Complaints generally</w:t>
      </w:r>
      <w:bookmarkEnd w:id="24"/>
    </w:p>
    <w:p>
      <w:pPr>
        <w:pStyle w:val="Footnoteheading"/>
      </w:pPr>
      <w:r>
        <w:tab/>
        <w:t>[Heading amended: No. 35 of 2022 s. 8.]</w:t>
      </w:r>
    </w:p>
    <w:p>
      <w:pPr>
        <w:pStyle w:val="Heading3"/>
      </w:pPr>
      <w:bookmarkStart w:id="25" w:name="_Toc199942904"/>
      <w:r>
        <w:rPr>
          <w:rStyle w:val="CharDivNo"/>
        </w:rPr>
        <w:t>Division 1</w:t>
      </w:r>
      <w:r>
        <w:rPr>
          <w:snapToGrid w:val="0"/>
        </w:rPr>
        <w:t> — </w:t>
      </w:r>
      <w:r>
        <w:rPr>
          <w:rStyle w:val="CharDivText"/>
        </w:rPr>
        <w:t>Right to complain conferred</w:t>
      </w:r>
      <w:bookmarkEnd w:id="25"/>
    </w:p>
    <w:p>
      <w:pPr>
        <w:pStyle w:val="Heading5"/>
        <w:rPr>
          <w:snapToGrid w:val="0"/>
        </w:rPr>
      </w:pPr>
      <w:bookmarkStart w:id="26" w:name="_Toc199942905"/>
      <w:r>
        <w:rPr>
          <w:rStyle w:val="CharSectno"/>
        </w:rPr>
        <w:t>19</w:t>
      </w:r>
      <w:r>
        <w:rPr>
          <w:snapToGrid w:val="0"/>
        </w:rPr>
        <w:t>.</w:t>
      </w:r>
      <w:r>
        <w:rPr>
          <w:snapToGrid w:val="0"/>
        </w:rPr>
        <w:tab/>
        <w:t>Who may complain</w:t>
      </w:r>
      <w:bookmarkEnd w:id="26"/>
    </w:p>
    <w:p>
      <w:pPr>
        <w:pStyle w:val="Subsection"/>
        <w:keepNext/>
        <w:rPr>
          <w:snapToGrid w:val="0"/>
        </w:rPr>
      </w:pPr>
      <w:r>
        <w:rPr>
          <w:snapToGrid w:val="0"/>
        </w:rPr>
        <w:tab/>
        <w:t>(1)</w:t>
      </w:r>
      <w:r>
        <w:rPr>
          <w:snapToGrid w:val="0"/>
        </w:rPr>
        <w:tab/>
        <w:t xml:space="preserve">A complaint alleging one or more of the matters set out in </w:t>
      </w:r>
      <w:r>
        <w:t xml:space="preserve">section 25(1)(a), (b), (c), (d), (e), (f), (g) or (h) </w:t>
      </w:r>
      <w:r>
        <w:rPr>
          <w:snapToGrid w:val="0"/>
        </w:rPr>
        <w:t>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Subsection"/>
      </w:pPr>
      <w:r>
        <w:tab/>
        <w:t>(3)</w:t>
      </w:r>
      <w:r>
        <w:tab/>
        <w:t>A complaint alleging 1 or more of the matters set out in section 25(1)(i), (j) or (k) may be made to the Director by any person.</w:t>
      </w:r>
    </w:p>
    <w:p>
      <w:pPr>
        <w:pStyle w:val="Footnotesection"/>
      </w:pPr>
      <w:r>
        <w:tab/>
        <w:t>[Section 19 amended: No. 37 of 2004 s. 32; No. 35 of 2022 s. 9.]</w:t>
      </w:r>
    </w:p>
    <w:p>
      <w:pPr>
        <w:pStyle w:val="Heading5"/>
        <w:rPr>
          <w:snapToGrid w:val="0"/>
        </w:rPr>
      </w:pPr>
      <w:bookmarkStart w:id="27" w:name="_Toc199942906"/>
      <w:r>
        <w:rPr>
          <w:rStyle w:val="CharSectno"/>
        </w:rPr>
        <w:t>20</w:t>
      </w:r>
      <w:r>
        <w:rPr>
          <w:snapToGrid w:val="0"/>
        </w:rPr>
        <w:t>.</w:t>
      </w:r>
      <w:r>
        <w:rPr>
          <w:snapToGrid w:val="0"/>
        </w:rPr>
        <w:tab/>
        <w:t>Representatives of users</w:t>
      </w:r>
      <w:bookmarkEnd w:id="27"/>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keepNext/>
      </w:pPr>
      <w:r>
        <w:lastRenderedPageBreak/>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No. 28 of 2003 s. 79; No. 33 of 2010 s. 11.]</w:t>
      </w:r>
    </w:p>
    <w:p>
      <w:pPr>
        <w:pStyle w:val="Heading5"/>
        <w:rPr>
          <w:snapToGrid w:val="0"/>
        </w:rPr>
      </w:pPr>
      <w:bookmarkStart w:id="28" w:name="_Toc199942907"/>
      <w:r>
        <w:rPr>
          <w:rStyle w:val="CharSectno"/>
        </w:rPr>
        <w:t>21</w:t>
      </w:r>
      <w:r>
        <w:rPr>
          <w:snapToGrid w:val="0"/>
        </w:rPr>
        <w:t>.</w:t>
      </w:r>
      <w:r>
        <w:rPr>
          <w:snapToGrid w:val="0"/>
        </w:rPr>
        <w:tab/>
        <w:t>Representative not to be paid</w:t>
      </w:r>
      <w:bookmarkEnd w:id="28"/>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29" w:name="_Toc199942908"/>
      <w:r>
        <w:rPr>
          <w:rStyle w:val="CharSectno"/>
        </w:rPr>
        <w:t>22</w:t>
      </w:r>
      <w:r>
        <w:rPr>
          <w:snapToGrid w:val="0"/>
        </w:rPr>
        <w:t>.</w:t>
      </w:r>
      <w:r>
        <w:rPr>
          <w:snapToGrid w:val="0"/>
        </w:rPr>
        <w:tab/>
        <w:t>Provider may complain for user</w:t>
      </w:r>
      <w:bookmarkEnd w:id="29"/>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No. 33 of 2010 s. 12.]</w:t>
      </w:r>
    </w:p>
    <w:p>
      <w:pPr>
        <w:pStyle w:val="Heading5"/>
        <w:spacing w:before="200"/>
        <w:rPr>
          <w:snapToGrid w:val="0"/>
        </w:rPr>
      </w:pPr>
      <w:bookmarkStart w:id="30" w:name="_Toc199942909"/>
      <w:r>
        <w:rPr>
          <w:rStyle w:val="CharSectno"/>
        </w:rPr>
        <w:lastRenderedPageBreak/>
        <w:t>23</w:t>
      </w:r>
      <w:r>
        <w:rPr>
          <w:snapToGrid w:val="0"/>
        </w:rPr>
        <w:t>.</w:t>
      </w:r>
      <w:r>
        <w:rPr>
          <w:snapToGrid w:val="0"/>
        </w:rPr>
        <w:tab/>
        <w:t>Complaints to public providers, referral under administrative instructions</w:t>
      </w:r>
      <w:bookmarkEnd w:id="30"/>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 xml:space="preserve">a complaint has been made to a public provider alleging one or more matters set out in </w:t>
      </w:r>
      <w:r>
        <w:t>section 25(1)(a), (b), (c), (d), (e), (f), (g) or (h);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Footnotesection"/>
      </w:pPr>
      <w:r>
        <w:tab/>
        <w:t>[Section 23 amended: No. 35 of 2022 s. 10.]</w:t>
      </w:r>
    </w:p>
    <w:p>
      <w:pPr>
        <w:pStyle w:val="Heading5"/>
        <w:rPr>
          <w:snapToGrid w:val="0"/>
        </w:rPr>
      </w:pPr>
      <w:bookmarkStart w:id="31" w:name="_Toc199942910"/>
      <w:r>
        <w:rPr>
          <w:rStyle w:val="CharSectno"/>
        </w:rPr>
        <w:t>24</w:t>
      </w:r>
      <w:r>
        <w:rPr>
          <w:snapToGrid w:val="0"/>
        </w:rPr>
        <w:t>.</w:t>
      </w:r>
      <w:r>
        <w:rPr>
          <w:snapToGrid w:val="0"/>
        </w:rPr>
        <w:tab/>
        <w:t>Time limit for complaints</w:t>
      </w:r>
      <w:bookmarkEnd w:id="31"/>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No. 33 of 2010 s. 13.]</w:t>
      </w:r>
    </w:p>
    <w:p>
      <w:pPr>
        <w:pStyle w:val="Heading5"/>
        <w:rPr>
          <w:snapToGrid w:val="0"/>
        </w:rPr>
      </w:pPr>
      <w:bookmarkStart w:id="32" w:name="_Toc199942911"/>
      <w:r>
        <w:rPr>
          <w:rStyle w:val="CharSectno"/>
        </w:rPr>
        <w:lastRenderedPageBreak/>
        <w:t>25</w:t>
      </w:r>
      <w:r>
        <w:rPr>
          <w:snapToGrid w:val="0"/>
        </w:rPr>
        <w:t>.</w:t>
      </w:r>
      <w:r>
        <w:rPr>
          <w:snapToGrid w:val="0"/>
        </w:rPr>
        <w:tab/>
        <w:t>What complaints can be about</w:t>
      </w:r>
      <w:bookmarkEnd w:id="32"/>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Indenta"/>
      </w:pPr>
      <w:r>
        <w:lastRenderedPageBreak/>
        <w:tab/>
        <w:t>(i)</w:t>
      </w:r>
      <w:r>
        <w:tab/>
        <w:t xml:space="preserve">a health care worker has failed to comply with a code of conduct that applies to the health care worker; </w:t>
      </w:r>
    </w:p>
    <w:p>
      <w:pPr>
        <w:pStyle w:val="Indenta"/>
      </w:pPr>
      <w:r>
        <w:tab/>
        <w:t>(j)</w:t>
      </w:r>
      <w:r>
        <w:tab/>
        <w:t xml:space="preserve">a health care worker has failed to comply with an interim prohibition order; </w:t>
      </w:r>
    </w:p>
    <w:p>
      <w:pPr>
        <w:pStyle w:val="Indenta"/>
      </w:pPr>
      <w:r>
        <w:tab/>
        <w:t>(k)</w:t>
      </w:r>
      <w:r>
        <w:tab/>
        <w:t>a health care worker has failed to comply with a prohibition order.</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No. 37 of 2004 s. 33; No. 28 of 2006 s. 259; No. 33 of 2010 s. 14; No. 35 of 2022 s. 11.]</w:t>
      </w:r>
    </w:p>
    <w:p>
      <w:pPr>
        <w:pStyle w:val="Heading5"/>
        <w:rPr>
          <w:snapToGrid w:val="0"/>
        </w:rPr>
      </w:pPr>
      <w:bookmarkStart w:id="33" w:name="_Toc199942912"/>
      <w:r>
        <w:rPr>
          <w:rStyle w:val="CharSectno"/>
        </w:rPr>
        <w:t>26</w:t>
      </w:r>
      <w:r>
        <w:rPr>
          <w:snapToGrid w:val="0"/>
        </w:rPr>
        <w:t>.</w:t>
      </w:r>
      <w:r>
        <w:rPr>
          <w:snapToGrid w:val="0"/>
        </w:rPr>
        <w:tab/>
        <w:t>Complaints that must be rejected</w:t>
      </w:r>
      <w:bookmarkEnd w:id="33"/>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No. 55 of 2004 s. 494.]</w:t>
      </w:r>
    </w:p>
    <w:p>
      <w:pPr>
        <w:pStyle w:val="Heading3"/>
      </w:pPr>
      <w:bookmarkStart w:id="34" w:name="_Toc199942913"/>
      <w:r>
        <w:rPr>
          <w:rStyle w:val="CharDivNo"/>
        </w:rPr>
        <w:lastRenderedPageBreak/>
        <w:t>Division 2</w:t>
      </w:r>
      <w:r>
        <w:rPr>
          <w:snapToGrid w:val="0"/>
        </w:rPr>
        <w:t> — </w:t>
      </w:r>
      <w:r>
        <w:rPr>
          <w:rStyle w:val="CharDivText"/>
        </w:rPr>
        <w:t>Initial procedures</w:t>
      </w:r>
      <w:bookmarkEnd w:id="34"/>
    </w:p>
    <w:p>
      <w:pPr>
        <w:pStyle w:val="Heading5"/>
        <w:rPr>
          <w:snapToGrid w:val="0"/>
        </w:rPr>
      </w:pPr>
      <w:bookmarkStart w:id="35" w:name="_Toc199942914"/>
      <w:r>
        <w:rPr>
          <w:rStyle w:val="CharSectno"/>
        </w:rPr>
        <w:t>27</w:t>
      </w:r>
      <w:r>
        <w:rPr>
          <w:snapToGrid w:val="0"/>
        </w:rPr>
        <w:t>.</w:t>
      </w:r>
      <w:r>
        <w:rPr>
          <w:snapToGrid w:val="0"/>
        </w:rPr>
        <w:tab/>
        <w:t>How to complain</w:t>
      </w:r>
      <w:bookmarkEnd w:id="35"/>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6" w:name="_Toc199942915"/>
      <w:r>
        <w:rPr>
          <w:rStyle w:val="CharSectno"/>
        </w:rPr>
        <w:t>28</w:t>
      </w:r>
      <w:r>
        <w:rPr>
          <w:snapToGrid w:val="0"/>
        </w:rPr>
        <w:t>.</w:t>
      </w:r>
      <w:r>
        <w:rPr>
          <w:snapToGrid w:val="0"/>
        </w:rPr>
        <w:tab/>
        <w:t>Referral of complaint where Act inapplicable</w:t>
      </w:r>
      <w:bookmarkEnd w:id="36"/>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7" w:name="_Toc199942916"/>
      <w:r>
        <w:rPr>
          <w:rStyle w:val="CharSectno"/>
        </w:rPr>
        <w:lastRenderedPageBreak/>
        <w:t>29</w:t>
      </w:r>
      <w:r>
        <w:rPr>
          <w:snapToGrid w:val="0"/>
        </w:rPr>
        <w:t>.</w:t>
      </w:r>
      <w:r>
        <w:rPr>
          <w:snapToGrid w:val="0"/>
        </w:rPr>
        <w:tab/>
        <w:t>Withdrawal of complaint</w:t>
      </w:r>
      <w:bookmarkEnd w:id="37"/>
    </w:p>
    <w:p>
      <w:pPr>
        <w:pStyle w:val="Subsection"/>
        <w:keepNext/>
        <w:rPr>
          <w:snapToGrid w:val="0"/>
        </w:rPr>
      </w:pPr>
      <w:r>
        <w:tab/>
        <w:t>(1)</w:t>
      </w:r>
      <w:r>
        <w:tab/>
        <w:t>A person</w:t>
      </w:r>
      <w:r>
        <w:rPr>
          <w:snapToGrid w:val="0"/>
        </w:rPr>
        <w:t xml:space="preserve">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Subsection"/>
      </w:pPr>
      <w:r>
        <w:tab/>
        <w:t>(2)</w:t>
      </w:r>
      <w:r>
        <w:tab/>
        <w:t>Despite subsection (1)(a), the Director may decide to proceed to deal with the complaint under this Act if the complaint alleges 1 or more of the matters set out in section 25(1)(i), (j) or (k).</w:t>
      </w:r>
    </w:p>
    <w:p>
      <w:pPr>
        <w:pStyle w:val="Subsection"/>
      </w:pPr>
      <w:r>
        <w:tab/>
        <w:t>(3)</w:t>
      </w:r>
      <w:r>
        <w:tab/>
        <w:t xml:space="preserve">If the Director decides under subsection (2) to proceed to deal with the complaint, the Director is not required to — </w:t>
      </w:r>
    </w:p>
    <w:p>
      <w:pPr>
        <w:pStyle w:val="Indenta"/>
      </w:pPr>
      <w:r>
        <w:tab/>
        <w:t>(a)</w:t>
      </w:r>
      <w:r>
        <w:tab/>
        <w:t>give notice of the withdrawal under subsection (1)(b); or</w:t>
      </w:r>
    </w:p>
    <w:p>
      <w:pPr>
        <w:pStyle w:val="Indenta"/>
      </w:pPr>
      <w:r>
        <w:tab/>
        <w:t>(b)</w:t>
      </w:r>
      <w:r>
        <w:tab/>
        <w:t>provide to the person who complained any further information under another provision of this Act that would otherwise require the provision of information to the person.</w:t>
      </w:r>
    </w:p>
    <w:p>
      <w:pPr>
        <w:pStyle w:val="Footnotesection"/>
      </w:pPr>
      <w:r>
        <w:tab/>
        <w:t>[Section 29 amended: No. 35 of 2022 s. 12.]</w:t>
      </w:r>
    </w:p>
    <w:p>
      <w:pPr>
        <w:pStyle w:val="Heading5"/>
        <w:rPr>
          <w:snapToGrid w:val="0"/>
        </w:rPr>
      </w:pPr>
      <w:bookmarkStart w:id="38" w:name="_Toc199942917"/>
      <w:r>
        <w:rPr>
          <w:rStyle w:val="CharSectno"/>
        </w:rPr>
        <w:t>30</w:t>
      </w:r>
      <w:r>
        <w:rPr>
          <w:snapToGrid w:val="0"/>
        </w:rPr>
        <w:t>.</w:t>
      </w:r>
      <w:r>
        <w:rPr>
          <w:snapToGrid w:val="0"/>
        </w:rPr>
        <w:tab/>
        <w:t>User or carer must try to resolve matter</w:t>
      </w:r>
      <w:bookmarkEnd w:id="38"/>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No. 37 of 2004 s. 34; No. 33 of 2010 s. 15.]</w:t>
      </w:r>
    </w:p>
    <w:p>
      <w:pPr>
        <w:pStyle w:val="Heading5"/>
      </w:pPr>
      <w:bookmarkStart w:id="39" w:name="_Toc199942918"/>
      <w:r>
        <w:rPr>
          <w:rStyle w:val="CharSectno"/>
        </w:rPr>
        <w:lastRenderedPageBreak/>
        <w:t>31</w:t>
      </w:r>
      <w:r>
        <w:t>.</w:t>
      </w:r>
      <w:r>
        <w:tab/>
        <w:t xml:space="preserve">Complaints not dealt with by National Board under </w:t>
      </w:r>
      <w:r>
        <w:rPr>
          <w:i/>
          <w:iCs/>
        </w:rPr>
        <w:t>Health Practitioner Regulation National Law (Western Australia)</w:t>
      </w:r>
      <w:bookmarkEnd w:id="39"/>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Act.</w:t>
      </w:r>
    </w:p>
    <w:p>
      <w:pPr>
        <w:pStyle w:val="Footnotesection"/>
      </w:pPr>
      <w:r>
        <w:tab/>
        <w:t>[Section 31 inserted: No. 35 of 2010 s. 81; amended: No. 35 of 2022 s. 13.]</w:t>
      </w:r>
    </w:p>
    <w:p>
      <w:pPr>
        <w:pStyle w:val="Heading5"/>
      </w:pPr>
      <w:bookmarkStart w:id="40" w:name="_Toc199942919"/>
      <w:r>
        <w:rPr>
          <w:rStyle w:val="CharSectno"/>
        </w:rPr>
        <w:t>32A</w:t>
      </w:r>
      <w:r>
        <w:t>.</w:t>
      </w:r>
      <w:r>
        <w:tab/>
        <w:t>Notice that complaint being dealt with by National Board</w:t>
      </w:r>
      <w:bookmarkEnd w:id="40"/>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or the person who complained to the Director that the Board is dealing with it.</w:t>
      </w:r>
    </w:p>
    <w:p>
      <w:pPr>
        <w:pStyle w:val="Footnotesection"/>
      </w:pPr>
      <w:r>
        <w:tab/>
        <w:t>[Section 32A inserted: No. 35 of 2010 s. 81; amended: No. 35 of 2022 s. 14.]</w:t>
      </w:r>
    </w:p>
    <w:p>
      <w:pPr>
        <w:pStyle w:val="Heading5"/>
        <w:rPr>
          <w:snapToGrid w:val="0"/>
        </w:rPr>
      </w:pPr>
      <w:bookmarkStart w:id="41" w:name="_Toc199942920"/>
      <w:r>
        <w:rPr>
          <w:rStyle w:val="CharSectno"/>
        </w:rPr>
        <w:t>32</w:t>
      </w:r>
      <w:r>
        <w:rPr>
          <w:snapToGrid w:val="0"/>
        </w:rPr>
        <w:t>.</w:t>
      </w:r>
      <w:r>
        <w:rPr>
          <w:snapToGrid w:val="0"/>
        </w:rPr>
        <w:tab/>
        <w:t>Referral to other bodies</w:t>
      </w:r>
      <w:bookmarkEnd w:id="41"/>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2" w:name="_Toc199942921"/>
      <w:r>
        <w:rPr>
          <w:rStyle w:val="CharSectno"/>
        </w:rPr>
        <w:lastRenderedPageBreak/>
        <w:t>33</w:t>
      </w:r>
      <w:r>
        <w:rPr>
          <w:snapToGrid w:val="0"/>
        </w:rPr>
        <w:t>.</w:t>
      </w:r>
      <w:r>
        <w:rPr>
          <w:snapToGrid w:val="0"/>
        </w:rPr>
        <w:tab/>
        <w:t>Director’s duties if complaint referred under s. 32</w:t>
      </w:r>
      <w:bookmarkEnd w:id="42"/>
    </w:p>
    <w:p>
      <w:pPr>
        <w:pStyle w:val="Subsection"/>
        <w:keepNext/>
        <w:rPr>
          <w:snapToGrid w:val="0"/>
        </w:rPr>
      </w:pPr>
      <w:r>
        <w:rPr>
          <w:snapToGrid w:val="0"/>
        </w:rPr>
        <w:tab/>
      </w:r>
      <w:r>
        <w:rPr>
          <w:snapToGrid w:val="0"/>
        </w:rPr>
        <w:tab/>
        <w:t xml:space="preserve">If the Director has referred a complaint </w:t>
      </w:r>
      <w:r>
        <w:t>to a person or body</w:t>
      </w:r>
      <w:r>
        <w:rPr>
          <w:snapToGrid w:val="0"/>
        </w:rPr>
        <w:t xml:space="preserve"> under section 32, the Director must —</w:t>
      </w:r>
    </w:p>
    <w:p>
      <w:pPr>
        <w:pStyle w:val="Indenta"/>
        <w:rPr>
          <w:snapToGrid w:val="0"/>
        </w:rPr>
      </w:pPr>
      <w:r>
        <w:rPr>
          <w:snapToGrid w:val="0"/>
        </w:rPr>
        <w:tab/>
        <w:t>(a)</w:t>
      </w:r>
      <w:r>
        <w:rPr>
          <w:snapToGrid w:val="0"/>
        </w:rPr>
        <w:tab/>
        <w:t xml:space="preserve">within 28 days notify the user </w:t>
      </w:r>
      <w:r>
        <w:t>or the person who complained to the Director</w:t>
      </w:r>
      <w:r>
        <w:rPr>
          <w:snapToGrid w:val="0"/>
        </w:rPr>
        <w:t xml:space="preserve"> and the provider of the referral; and</w:t>
      </w:r>
    </w:p>
    <w:p>
      <w:pPr>
        <w:pStyle w:val="Indenta"/>
        <w:rPr>
          <w:snapToGrid w:val="0"/>
        </w:rPr>
      </w:pPr>
      <w:r>
        <w:rPr>
          <w:snapToGrid w:val="0"/>
        </w:rPr>
        <w:tab/>
        <w:t>(b)</w:t>
      </w:r>
      <w:r>
        <w:rPr>
          <w:snapToGrid w:val="0"/>
        </w:rPr>
        <w:tab/>
        <w:t xml:space="preserve">give to the user </w:t>
      </w:r>
      <w:r>
        <w:t>or the person who complained to the Director</w:t>
      </w:r>
      <w:r>
        <w:rPr>
          <w:snapToGrid w:val="0"/>
        </w:rPr>
        <w:t xml:space="preserve"> and the provider a copy of each written communication that the Director gives to the person or body concerning the complaint, on the day on which that communication is given.</w:t>
      </w:r>
    </w:p>
    <w:p>
      <w:pPr>
        <w:pStyle w:val="Footnotesection"/>
      </w:pPr>
      <w:r>
        <w:tab/>
        <w:t>[Section 33 amended: No. 35 of 2010 s. 82; No. 35 of 2022 s. 15.]</w:t>
      </w:r>
    </w:p>
    <w:p>
      <w:pPr>
        <w:pStyle w:val="Heading5"/>
        <w:rPr>
          <w:snapToGrid w:val="0"/>
        </w:rPr>
      </w:pPr>
      <w:bookmarkStart w:id="43" w:name="_Toc199942922"/>
      <w:r>
        <w:rPr>
          <w:rStyle w:val="CharSectno"/>
        </w:rPr>
        <w:t>34</w:t>
      </w:r>
      <w:r>
        <w:rPr>
          <w:snapToGrid w:val="0"/>
        </w:rPr>
        <w:t>.</w:t>
      </w:r>
      <w:r>
        <w:rPr>
          <w:snapToGrid w:val="0"/>
        </w:rPr>
        <w:tab/>
        <w:t>Preliminary assessment by Director</w:t>
      </w:r>
      <w:bookmarkEnd w:id="4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lastRenderedPageBreak/>
        <w:tab/>
        <w:t>(4)</w:t>
      </w:r>
      <w:r>
        <w:tab/>
        <w:t>If the Director decides to accept a complaint alleging 1 or more of the matters set out in section 25(1)(a), (b), (c), (d), (e), (f), (g) or (h) in whole or in part, the Director must then —</w:t>
      </w:r>
    </w:p>
    <w:p>
      <w:pPr>
        <w:pStyle w:val="Indenta"/>
      </w:pPr>
      <w:r>
        <w:tab/>
        <w:t>(a)</w:t>
      </w:r>
      <w:r>
        <w:tab/>
        <w:t>attempt to settle it in accordance with Part 3A Division 1; or</w:t>
      </w:r>
    </w:p>
    <w:p>
      <w:pPr>
        <w:pStyle w:val="Indenta"/>
      </w:pPr>
      <w:r>
        <w:tab/>
        <w:t>(b)</w:t>
      </w:r>
      <w:r>
        <w:tab/>
        <w:t>refer it for conciliation under Part 3A Division 2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Part 3A Division 1 or 2; and</w:t>
      </w:r>
    </w:p>
    <w:p>
      <w:pPr>
        <w:pStyle w:val="Indenti"/>
      </w:pPr>
      <w:r>
        <w:tab/>
        <w:t>(ii)</w:t>
      </w:r>
      <w:r>
        <w:tab/>
        <w:t>an investigation is warranted, taking into account the likely costs and benefits of the investigation.</w:t>
      </w:r>
    </w:p>
    <w:p>
      <w:pPr>
        <w:pStyle w:val="Subsection"/>
      </w:pPr>
      <w:r>
        <w:tab/>
        <w:t>(5)</w:t>
      </w:r>
      <w:r>
        <w:tab/>
        <w:t xml:space="preserve">If the Director decides to accept a complaint alleging a matter referred to in section 25(1)(i) in whole or in part, the Director must then — </w:t>
      </w:r>
    </w:p>
    <w:p>
      <w:pPr>
        <w:pStyle w:val="Indenta"/>
      </w:pPr>
      <w:r>
        <w:tab/>
        <w:t>(a)</w:t>
      </w:r>
      <w:r>
        <w:tab/>
        <w:t xml:space="preserve">attempt to settle it in accordance with Part 3A Division 1; or </w:t>
      </w:r>
    </w:p>
    <w:p>
      <w:pPr>
        <w:pStyle w:val="Indenta"/>
      </w:pPr>
      <w:r>
        <w:tab/>
        <w:t>(b)</w:t>
      </w:r>
      <w:r>
        <w:tab/>
        <w:t>refer it for conciliation under Part 3A Division 2; or</w:t>
      </w:r>
    </w:p>
    <w:p>
      <w:pPr>
        <w:pStyle w:val="Indenta"/>
      </w:pPr>
      <w:r>
        <w:tab/>
        <w:t>(c)</w:t>
      </w:r>
      <w:r>
        <w:tab/>
        <w:t>investigate it.</w:t>
      </w:r>
    </w:p>
    <w:p>
      <w:pPr>
        <w:pStyle w:val="Subsection"/>
      </w:pPr>
      <w:r>
        <w:tab/>
        <w:t>(5A)</w:t>
      </w:r>
      <w:r>
        <w:tab/>
        <w:t>If the Director decides to accept a complaint alleging a matter referred to in section 25(1)(j) or (k) in whole or in part, the Director must then investigate it.</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Part 3A Division 1 or 2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lastRenderedPageBreak/>
        <w:tab/>
        <w:t>(7)</w:t>
      </w:r>
      <w:r>
        <w:tab/>
        <w:t>While performing functions under this section in relation to a complaint, the Director must not try to settle the complaint.</w:t>
      </w:r>
    </w:p>
    <w:p>
      <w:pPr>
        <w:pStyle w:val="Footnotesection"/>
      </w:pPr>
      <w:r>
        <w:tab/>
        <w:t>[Section 34 amended: No. 35 of 2010 s. 83(1) and (4); No. 33 of 2010 s. 16 (as amended: No. 35 of 2010 s. 83(3)); No. 35 of 2022 s. 16.]</w:t>
      </w:r>
    </w:p>
    <w:p>
      <w:pPr>
        <w:pStyle w:val="Heading5"/>
        <w:rPr>
          <w:snapToGrid w:val="0"/>
        </w:rPr>
      </w:pPr>
      <w:bookmarkStart w:id="44" w:name="_Toc199942923"/>
      <w:r>
        <w:rPr>
          <w:rStyle w:val="CharSectno"/>
        </w:rPr>
        <w:t>35</w:t>
      </w:r>
      <w:r>
        <w:rPr>
          <w:snapToGrid w:val="0"/>
        </w:rPr>
        <w:t>.</w:t>
      </w:r>
      <w:r>
        <w:rPr>
          <w:snapToGrid w:val="0"/>
        </w:rPr>
        <w:tab/>
        <w:t>Notice to provider and others</w:t>
      </w:r>
      <w:bookmarkEnd w:id="44"/>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lastRenderedPageBreak/>
        <w:tab/>
        <w:t>[Section 35 amended: No. 33 of 2010 s. 17(1)(b) and (2) (as amended: No. 35 of 2010 s. 84(2)); No. 35 of 2010 s. 84.]</w:t>
      </w:r>
    </w:p>
    <w:p>
      <w:pPr>
        <w:pStyle w:val="Heading5"/>
      </w:pPr>
      <w:bookmarkStart w:id="45" w:name="_Toc199942924"/>
      <w:r>
        <w:rPr>
          <w:rStyle w:val="CharSectno"/>
        </w:rPr>
        <w:t>36A</w:t>
      </w:r>
      <w:r>
        <w:t>.</w:t>
      </w:r>
      <w:r>
        <w:tab/>
        <w:t>Response by provider</w:t>
      </w:r>
      <w:bookmarkEnd w:id="45"/>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Act.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No. 33 of 2010 s. 18</w:t>
      </w:r>
      <w:r>
        <w:t>; amended: No. 35 of 2022 s. 17</w:t>
      </w:r>
      <w:r>
        <w:rPr>
          <w:snapToGrid/>
        </w:rPr>
        <w:t>.]</w:t>
      </w:r>
    </w:p>
    <w:p>
      <w:pPr>
        <w:pStyle w:val="Heading5"/>
      </w:pPr>
      <w:bookmarkStart w:id="46" w:name="_Toc199942925"/>
      <w:r>
        <w:rPr>
          <w:rStyle w:val="CharSectno"/>
        </w:rPr>
        <w:t>36BA</w:t>
      </w:r>
      <w:r>
        <w:t>.</w:t>
      </w:r>
      <w:r>
        <w:tab/>
        <w:t>Protection of provider’s statements</w:t>
      </w:r>
      <w:bookmarkEnd w:id="46"/>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 xml:space="preserve">section 20(3), evidence referred to in subsection (1) may be disclosed to the Parliamentary Commissioner for Administrative </w:t>
      </w:r>
      <w:r>
        <w:lastRenderedPageBreak/>
        <w:t>Investigations for the purposes of an investigation under that Act.</w:t>
      </w:r>
    </w:p>
    <w:p>
      <w:pPr>
        <w:pStyle w:val="Footnotesection"/>
        <w:spacing w:before="100"/>
        <w:ind w:left="890" w:hanging="890"/>
        <w:rPr>
          <w:snapToGrid/>
        </w:rPr>
      </w:pPr>
      <w:r>
        <w:rPr>
          <w:snapToGrid/>
        </w:rPr>
        <w:tab/>
        <w:t>[Section 36BA inserted: No. 33 of 2010 s. 18.]</w:t>
      </w:r>
    </w:p>
    <w:p>
      <w:pPr>
        <w:pStyle w:val="Heading2"/>
      </w:pPr>
      <w:bookmarkStart w:id="47" w:name="_Toc199942926"/>
      <w:r>
        <w:rPr>
          <w:rStyle w:val="CharPartNo"/>
        </w:rPr>
        <w:lastRenderedPageBreak/>
        <w:t>Part 3A</w:t>
      </w:r>
      <w:r>
        <w:t> — </w:t>
      </w:r>
      <w:r>
        <w:rPr>
          <w:rStyle w:val="CharPartText"/>
        </w:rPr>
        <w:t>Settlement and conciliation of certain complaints</w:t>
      </w:r>
      <w:bookmarkEnd w:id="47"/>
    </w:p>
    <w:p>
      <w:pPr>
        <w:pStyle w:val="Footnoteheading"/>
      </w:pPr>
      <w:r>
        <w:tab/>
        <w:t>[Heading inserted: No. 35 of 2022 s. 18.]</w:t>
      </w:r>
    </w:p>
    <w:p>
      <w:pPr>
        <w:pStyle w:val="Heading3"/>
      </w:pPr>
      <w:bookmarkStart w:id="48" w:name="_Toc199942927"/>
      <w:r>
        <w:rPr>
          <w:rStyle w:val="CharDivNo"/>
        </w:rPr>
        <w:t>Division 1</w:t>
      </w:r>
      <w:r>
        <w:t> — </w:t>
      </w:r>
      <w:r>
        <w:rPr>
          <w:rStyle w:val="CharDivText"/>
        </w:rPr>
        <w:t>Negotiated settlement</w:t>
      </w:r>
      <w:bookmarkEnd w:id="48"/>
    </w:p>
    <w:p>
      <w:pPr>
        <w:pStyle w:val="Footnoteheading"/>
      </w:pPr>
      <w:r>
        <w:tab/>
        <w:t>[Heading inserted: No. 35 of 2022 s. 19.]</w:t>
      </w:r>
    </w:p>
    <w:p>
      <w:pPr>
        <w:pStyle w:val="Heading5"/>
      </w:pPr>
      <w:bookmarkStart w:id="49" w:name="_Toc199942928"/>
      <w:r>
        <w:rPr>
          <w:rStyle w:val="CharSectno"/>
        </w:rPr>
        <w:t>36B</w:t>
      </w:r>
      <w:r>
        <w:t>.</w:t>
      </w:r>
      <w:r>
        <w:tab/>
        <w:t>Resolving complaints by negotiation</w:t>
      </w:r>
      <w:bookmarkEnd w:id="49"/>
    </w:p>
    <w:p>
      <w:pPr>
        <w:pStyle w:val="Subsection"/>
      </w:pPr>
      <w:r>
        <w:tab/>
        <w:t>(1A)</w:t>
      </w:r>
      <w:r>
        <w:tab/>
        <w:t>This section does not apply to a complaint alleging a matter referred to in section 25(1)(j) or (k).</w:t>
      </w:r>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2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2;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lastRenderedPageBreak/>
        <w:tab/>
        <w:t>(5)</w:t>
      </w:r>
      <w:r>
        <w:tab/>
        <w:t>If the Director decides a complaint is not suitable to be dealt with under Division 2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No. 33 of 2010 s. 19; amended: No. 35 of 2022 s. 20.]</w:t>
      </w:r>
    </w:p>
    <w:p>
      <w:pPr>
        <w:pStyle w:val="Heading5"/>
      </w:pPr>
      <w:bookmarkStart w:id="50" w:name="_Toc199942929"/>
      <w:r>
        <w:rPr>
          <w:rStyle w:val="CharSectno"/>
        </w:rPr>
        <w:t>36C</w:t>
      </w:r>
      <w:r>
        <w:t>.</w:t>
      </w:r>
      <w:r>
        <w:tab/>
        <w:t>Protection of statements made</w:t>
      </w:r>
      <w:bookmarkEnd w:id="50"/>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No. 33 of 2010 s. 19.]</w:t>
      </w:r>
    </w:p>
    <w:p>
      <w:pPr>
        <w:pStyle w:val="Heading3"/>
      </w:pPr>
      <w:bookmarkStart w:id="51" w:name="_Toc199942930"/>
      <w:r>
        <w:rPr>
          <w:rStyle w:val="CharDivNo"/>
        </w:rPr>
        <w:t>Division 2</w:t>
      </w:r>
      <w:r>
        <w:t> — </w:t>
      </w:r>
      <w:r>
        <w:rPr>
          <w:rStyle w:val="CharDivText"/>
        </w:rPr>
        <w:t>Conciliation</w:t>
      </w:r>
      <w:bookmarkEnd w:id="51"/>
    </w:p>
    <w:p>
      <w:pPr>
        <w:pStyle w:val="Footnoteheading"/>
      </w:pPr>
      <w:r>
        <w:tab/>
        <w:t>[Heading inserted: No. 35 of 2022 s. 21.]</w:t>
      </w:r>
    </w:p>
    <w:p>
      <w:pPr>
        <w:pStyle w:val="Heading5"/>
        <w:rPr>
          <w:snapToGrid w:val="0"/>
        </w:rPr>
      </w:pPr>
      <w:bookmarkStart w:id="52" w:name="_Toc199942931"/>
      <w:r>
        <w:rPr>
          <w:rStyle w:val="CharSectno"/>
        </w:rPr>
        <w:t>36</w:t>
      </w:r>
      <w:r>
        <w:rPr>
          <w:snapToGrid w:val="0"/>
        </w:rPr>
        <w:t>.</w:t>
      </w:r>
      <w:r>
        <w:rPr>
          <w:snapToGrid w:val="0"/>
        </w:rPr>
        <w:tab/>
        <w:t>Assignment of conciliator</w:t>
      </w:r>
      <w:bookmarkEnd w:id="52"/>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53" w:name="_Toc199942932"/>
      <w:r>
        <w:rPr>
          <w:rStyle w:val="CharSectno"/>
        </w:rPr>
        <w:lastRenderedPageBreak/>
        <w:t>37</w:t>
      </w:r>
      <w:r>
        <w:rPr>
          <w:snapToGrid w:val="0"/>
        </w:rPr>
        <w:t>.</w:t>
      </w:r>
      <w:r>
        <w:rPr>
          <w:snapToGrid w:val="0"/>
        </w:rPr>
        <w:tab/>
        <w:t>Notice of referral for conciliation</w:t>
      </w:r>
      <w:bookmarkEnd w:id="53"/>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No. 74 of 2003 s. 65.]</w:t>
      </w:r>
    </w:p>
    <w:p>
      <w:pPr>
        <w:pStyle w:val="Heading5"/>
        <w:rPr>
          <w:snapToGrid w:val="0"/>
        </w:rPr>
      </w:pPr>
      <w:bookmarkStart w:id="54" w:name="_Toc199942933"/>
      <w:r>
        <w:rPr>
          <w:rStyle w:val="CharSectno"/>
        </w:rPr>
        <w:t>38</w:t>
      </w:r>
      <w:r>
        <w:rPr>
          <w:snapToGrid w:val="0"/>
        </w:rPr>
        <w:t>.</w:t>
      </w:r>
      <w:r>
        <w:rPr>
          <w:snapToGrid w:val="0"/>
        </w:rPr>
        <w:tab/>
        <w:t>Role of conciliator</w:t>
      </w:r>
      <w:bookmarkEnd w:id="54"/>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55" w:name="_Toc199942934"/>
      <w:r>
        <w:rPr>
          <w:rStyle w:val="CharSectno"/>
        </w:rPr>
        <w:t>39</w:t>
      </w:r>
      <w:r>
        <w:rPr>
          <w:snapToGrid w:val="0"/>
        </w:rPr>
        <w:t>.</w:t>
      </w:r>
      <w:r>
        <w:rPr>
          <w:snapToGrid w:val="0"/>
        </w:rPr>
        <w:tab/>
        <w:t>Representation in conciliation process</w:t>
      </w:r>
      <w:bookmarkEnd w:id="55"/>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6" w:name="_Toc199942935"/>
      <w:r>
        <w:rPr>
          <w:rStyle w:val="CharSectno"/>
        </w:rPr>
        <w:lastRenderedPageBreak/>
        <w:t>40</w:t>
      </w:r>
      <w:r>
        <w:rPr>
          <w:snapToGrid w:val="0"/>
        </w:rPr>
        <w:t>.</w:t>
      </w:r>
      <w:r>
        <w:rPr>
          <w:snapToGrid w:val="0"/>
        </w:rPr>
        <w:tab/>
        <w:t>Reports by conciliator</w:t>
      </w:r>
      <w:bookmarkEnd w:id="56"/>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 xml:space="preserve">to the provider and the user </w:t>
      </w:r>
      <w:r>
        <w:t>or the person who made the complaint</w:t>
      </w:r>
      <w:r>
        <w:rPr>
          <w:snapToGrid w:val="0"/>
        </w:rPr>
        <w:t xml:space="preserve">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Footnotesection"/>
      </w:pPr>
      <w:r>
        <w:tab/>
        <w:t>[Section 40 amended: No. 35 of 2022 s. 22.]</w:t>
      </w:r>
    </w:p>
    <w:p>
      <w:pPr>
        <w:pStyle w:val="Heading5"/>
        <w:rPr>
          <w:snapToGrid w:val="0"/>
        </w:rPr>
      </w:pPr>
      <w:bookmarkStart w:id="57" w:name="_Toc199942936"/>
      <w:r>
        <w:rPr>
          <w:rStyle w:val="CharSectno"/>
        </w:rPr>
        <w:lastRenderedPageBreak/>
        <w:t>41</w:t>
      </w:r>
      <w:r>
        <w:rPr>
          <w:snapToGrid w:val="0"/>
        </w:rPr>
        <w:t>.</w:t>
      </w:r>
      <w:r>
        <w:rPr>
          <w:snapToGrid w:val="0"/>
        </w:rPr>
        <w:tab/>
        <w:t>Parties may resolve complaint</w:t>
      </w:r>
      <w:bookmarkEnd w:id="57"/>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No. 33 of 2010 s. 20.]</w:t>
      </w:r>
    </w:p>
    <w:p>
      <w:pPr>
        <w:pStyle w:val="Heading5"/>
        <w:rPr>
          <w:snapToGrid w:val="0"/>
        </w:rPr>
      </w:pPr>
      <w:bookmarkStart w:id="58" w:name="_Toc199942937"/>
      <w:r>
        <w:rPr>
          <w:rStyle w:val="CharSectno"/>
        </w:rPr>
        <w:t>42</w:t>
      </w:r>
      <w:r>
        <w:rPr>
          <w:snapToGrid w:val="0"/>
        </w:rPr>
        <w:t>.</w:t>
      </w:r>
      <w:r>
        <w:rPr>
          <w:snapToGrid w:val="0"/>
        </w:rPr>
        <w:tab/>
        <w:t>Protection of statements made</w:t>
      </w:r>
      <w:bookmarkEnd w:id="58"/>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Ednotedivision"/>
      </w:pPr>
      <w:r>
        <w:tab/>
        <w:t>[Division heading deleted: No. 35 of 2022 s. 23.]</w:t>
      </w:r>
    </w:p>
    <w:p>
      <w:pPr>
        <w:pStyle w:val="Heading5"/>
        <w:rPr>
          <w:snapToGrid w:val="0"/>
        </w:rPr>
      </w:pPr>
      <w:bookmarkStart w:id="59" w:name="_Toc199942938"/>
      <w:r>
        <w:rPr>
          <w:rStyle w:val="CharSectno"/>
        </w:rPr>
        <w:t>43</w:t>
      </w:r>
      <w:r>
        <w:rPr>
          <w:snapToGrid w:val="0"/>
        </w:rPr>
        <w:t>.</w:t>
      </w:r>
      <w:r>
        <w:rPr>
          <w:snapToGrid w:val="0"/>
        </w:rPr>
        <w:tab/>
        <w:t>Director’s duties after conciliator’s recommendation</w:t>
      </w:r>
      <w:bookmarkEnd w:id="59"/>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lastRenderedPageBreak/>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No. 35 of 2010 s. 85.]</w:t>
      </w:r>
    </w:p>
    <w:p>
      <w:pPr>
        <w:pStyle w:val="Heading2"/>
      </w:pPr>
      <w:bookmarkStart w:id="60" w:name="_Toc199942939"/>
      <w:r>
        <w:rPr>
          <w:rStyle w:val="CharPartNo"/>
        </w:rPr>
        <w:lastRenderedPageBreak/>
        <w:t>Part 3B</w:t>
      </w:r>
      <w:r>
        <w:rPr>
          <w:rStyle w:val="CharDivNo"/>
        </w:rPr>
        <w:t> </w:t>
      </w:r>
      <w:r>
        <w:t>—</w:t>
      </w:r>
      <w:r>
        <w:rPr>
          <w:rStyle w:val="CharDivText"/>
        </w:rPr>
        <w:t> </w:t>
      </w:r>
      <w:r>
        <w:rPr>
          <w:rStyle w:val="CharPartText"/>
        </w:rPr>
        <w:t>Investigations generally</w:t>
      </w:r>
      <w:bookmarkEnd w:id="60"/>
    </w:p>
    <w:p>
      <w:pPr>
        <w:pStyle w:val="Footnoteheading"/>
      </w:pPr>
      <w:r>
        <w:tab/>
        <w:t>[Heading inserted: No. 35 of 2022 s. 24.]</w:t>
      </w:r>
    </w:p>
    <w:p>
      <w:pPr>
        <w:pStyle w:val="Heading5"/>
        <w:rPr>
          <w:snapToGrid w:val="0"/>
        </w:rPr>
      </w:pPr>
      <w:bookmarkStart w:id="61" w:name="_Toc199942940"/>
      <w:r>
        <w:rPr>
          <w:rStyle w:val="CharSectno"/>
        </w:rPr>
        <w:t>44</w:t>
      </w:r>
      <w:r>
        <w:rPr>
          <w:snapToGrid w:val="0"/>
        </w:rPr>
        <w:t>.</w:t>
      </w:r>
      <w:r>
        <w:rPr>
          <w:snapToGrid w:val="0"/>
        </w:rPr>
        <w:tab/>
        <w:t>Notice of investigation by Director</w:t>
      </w:r>
      <w:bookmarkEnd w:id="61"/>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No. 33 of 2010 s. 21; No. 35 of 2010 s. 86.]</w:t>
      </w:r>
    </w:p>
    <w:p>
      <w:pPr>
        <w:pStyle w:val="Heading5"/>
      </w:pPr>
      <w:bookmarkStart w:id="62" w:name="_Toc199942941"/>
      <w:r>
        <w:rPr>
          <w:rStyle w:val="CharSectno"/>
        </w:rPr>
        <w:t>44A</w:t>
      </w:r>
      <w:r>
        <w:t>.</w:t>
      </w:r>
      <w:r>
        <w:tab/>
        <w:t>Director may conduct Director</w:t>
      </w:r>
      <w:r>
        <w:noBreakHyphen/>
        <w:t>initiated investigation</w:t>
      </w:r>
      <w:bookmarkEnd w:id="62"/>
    </w:p>
    <w:p>
      <w:pPr>
        <w:pStyle w:val="Subsection"/>
      </w:pPr>
      <w:r>
        <w:tab/>
      </w:r>
      <w:r>
        <w:tab/>
        <w:t xml:space="preserve">The Director may, on the Director’s own initiative, conduct an investigation (a </w:t>
      </w:r>
      <w:r>
        <w:rPr>
          <w:rStyle w:val="CharDefText"/>
        </w:rPr>
        <w:t>Director</w:t>
      </w:r>
      <w:r>
        <w:rPr>
          <w:rStyle w:val="CharDefText"/>
        </w:rPr>
        <w:noBreakHyphen/>
        <w:t>initiated investigation</w:t>
      </w:r>
      <w:r>
        <w:t xml:space="preserve">) into whether or not — </w:t>
      </w:r>
    </w:p>
    <w:p>
      <w:pPr>
        <w:pStyle w:val="Indenta"/>
      </w:pPr>
      <w:r>
        <w:tab/>
        <w:t>(a)</w:t>
      </w:r>
      <w:r>
        <w:tab/>
        <w:t>a health care worker has failed to comply with a code of conduct that applies to the health care worker; or</w:t>
      </w:r>
    </w:p>
    <w:p>
      <w:pPr>
        <w:pStyle w:val="Indenta"/>
      </w:pPr>
      <w:r>
        <w:tab/>
        <w:t>(b)</w:t>
      </w:r>
      <w:r>
        <w:tab/>
        <w:t>an offence under section 52G, 52N or 52Q(2) has been committed.</w:t>
      </w:r>
    </w:p>
    <w:p>
      <w:pPr>
        <w:pStyle w:val="Footnotesection"/>
      </w:pPr>
      <w:r>
        <w:tab/>
        <w:t>[Section 44A inserted: No. 35 of 2022 s. 25.]</w:t>
      </w:r>
    </w:p>
    <w:p>
      <w:pPr>
        <w:pStyle w:val="Heading5"/>
        <w:rPr>
          <w:snapToGrid w:val="0"/>
        </w:rPr>
      </w:pPr>
      <w:bookmarkStart w:id="63" w:name="_Toc199942942"/>
      <w:r>
        <w:rPr>
          <w:rStyle w:val="CharSectno"/>
        </w:rPr>
        <w:t>45</w:t>
      </w:r>
      <w:r>
        <w:rPr>
          <w:snapToGrid w:val="0"/>
        </w:rPr>
        <w:t>.</w:t>
      </w:r>
      <w:r>
        <w:rPr>
          <w:snapToGrid w:val="0"/>
        </w:rPr>
        <w:tab/>
        <w:t>Further power to investigate</w:t>
      </w:r>
      <w:bookmarkEnd w:id="63"/>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lastRenderedPageBreak/>
        <w:t>[</w:t>
      </w:r>
      <w:r>
        <w:rPr>
          <w:b/>
          <w:bCs/>
        </w:rPr>
        <w:t>46.</w:t>
      </w:r>
      <w:r>
        <w:tab/>
        <w:t>Deleted: No. 35 of 2010 s. 87.]</w:t>
      </w:r>
    </w:p>
    <w:p>
      <w:pPr>
        <w:pStyle w:val="Heading5"/>
        <w:rPr>
          <w:snapToGrid w:val="0"/>
        </w:rPr>
      </w:pPr>
      <w:bookmarkStart w:id="64" w:name="_Toc199942943"/>
      <w:r>
        <w:rPr>
          <w:rStyle w:val="CharSectno"/>
        </w:rPr>
        <w:t>47</w:t>
      </w:r>
      <w:r>
        <w:rPr>
          <w:snapToGrid w:val="0"/>
        </w:rPr>
        <w:t>.</w:t>
      </w:r>
      <w:r>
        <w:rPr>
          <w:snapToGrid w:val="0"/>
        </w:rPr>
        <w:tab/>
        <w:t>Conciliator must not investigate</w:t>
      </w:r>
      <w:bookmarkEnd w:id="64"/>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65" w:name="_Toc199942944"/>
      <w:r>
        <w:rPr>
          <w:rStyle w:val="CharSectno"/>
        </w:rPr>
        <w:t>48</w:t>
      </w:r>
      <w:r>
        <w:rPr>
          <w:snapToGrid w:val="0"/>
        </w:rPr>
        <w:t>.</w:t>
      </w:r>
      <w:r>
        <w:rPr>
          <w:snapToGrid w:val="0"/>
        </w:rPr>
        <w:tab/>
        <w:t>Purpose of investigation, and procedure</w:t>
      </w:r>
      <w:bookmarkEnd w:id="65"/>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xml:space="preserve"> 45(a) is to enable the Director to decide whether any unreasonable </w:t>
      </w:r>
      <w:r>
        <w:t xml:space="preserve">conduct, or other conduct, </w:t>
      </w:r>
      <w:r>
        <w:rPr>
          <w:snapToGrid w:val="0"/>
        </w:rPr>
        <w:t>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a Director</w:t>
      </w:r>
      <w:r>
        <w:noBreakHyphen/>
        <w:t>initiated investigation or an investigation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No. 33 of 2010 s. 22; No. 35 of 2022 s. 26.]</w:t>
      </w:r>
    </w:p>
    <w:p>
      <w:pPr>
        <w:pStyle w:val="Heading2"/>
      </w:pPr>
      <w:bookmarkStart w:id="66" w:name="_Toc199942945"/>
      <w:r>
        <w:rPr>
          <w:rStyle w:val="CharPartNo"/>
        </w:rPr>
        <w:lastRenderedPageBreak/>
        <w:t>Part 3C</w:t>
      </w:r>
      <w:r>
        <w:rPr>
          <w:rStyle w:val="CharDivNo"/>
        </w:rPr>
        <w:t> </w:t>
      </w:r>
      <w:r>
        <w:t>—</w:t>
      </w:r>
      <w:r>
        <w:rPr>
          <w:rStyle w:val="CharDivText"/>
        </w:rPr>
        <w:t> </w:t>
      </w:r>
      <w:r>
        <w:rPr>
          <w:rStyle w:val="CharPartText"/>
        </w:rPr>
        <w:t>Remedial action</w:t>
      </w:r>
      <w:bookmarkEnd w:id="66"/>
    </w:p>
    <w:p>
      <w:pPr>
        <w:pStyle w:val="Footnoteheading"/>
      </w:pPr>
      <w:r>
        <w:tab/>
        <w:t>[Heading inserted: No. 35 of 2022 s. 27.]</w:t>
      </w:r>
    </w:p>
    <w:p>
      <w:pPr>
        <w:pStyle w:val="Ednotesection"/>
        <w:ind w:left="0" w:firstLine="0"/>
      </w:pPr>
      <w:r>
        <w:t>[</w:t>
      </w:r>
      <w:r>
        <w:rPr>
          <w:b/>
          <w:bCs/>
        </w:rPr>
        <w:t>49.</w:t>
      </w:r>
      <w:r>
        <w:tab/>
        <w:t>Deleted: No. 35 of 2010 s. 88.]</w:t>
      </w:r>
    </w:p>
    <w:p>
      <w:pPr>
        <w:pStyle w:val="Heading5"/>
        <w:rPr>
          <w:snapToGrid w:val="0"/>
        </w:rPr>
      </w:pPr>
      <w:bookmarkStart w:id="67" w:name="_Toc199942946"/>
      <w:r>
        <w:rPr>
          <w:rStyle w:val="CharSectno"/>
        </w:rPr>
        <w:t>50</w:t>
      </w:r>
      <w:r>
        <w:rPr>
          <w:snapToGrid w:val="0"/>
        </w:rPr>
        <w:t>.</w:t>
      </w:r>
      <w:r>
        <w:rPr>
          <w:snapToGrid w:val="0"/>
        </w:rPr>
        <w:tab/>
        <w:t>Remedial action where complaint justified</w:t>
      </w:r>
      <w:bookmarkEnd w:id="67"/>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No. 33 of 2010 s. 23.]</w:t>
      </w:r>
    </w:p>
    <w:p>
      <w:pPr>
        <w:pStyle w:val="Heading5"/>
        <w:rPr>
          <w:snapToGrid w:val="0"/>
        </w:rPr>
      </w:pPr>
      <w:bookmarkStart w:id="68" w:name="_Toc199942947"/>
      <w:r>
        <w:rPr>
          <w:rStyle w:val="CharSectno"/>
        </w:rPr>
        <w:lastRenderedPageBreak/>
        <w:t>51</w:t>
      </w:r>
      <w:r>
        <w:rPr>
          <w:snapToGrid w:val="0"/>
        </w:rPr>
        <w:t>.</w:t>
      </w:r>
      <w:r>
        <w:rPr>
          <w:snapToGrid w:val="0"/>
        </w:rPr>
        <w:tab/>
        <w:t>Provider must report on remedial action</w:t>
      </w:r>
      <w:bookmarkEnd w:id="68"/>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69" w:name="_Toc199942948"/>
      <w:r>
        <w:rPr>
          <w:rStyle w:val="CharSectno"/>
        </w:rPr>
        <w:t>52A</w:t>
      </w:r>
      <w:r>
        <w:t>.</w:t>
      </w:r>
      <w:r>
        <w:tab/>
        <w:t>Report to Parliament if report not made under s. 51 or remedial action not taken</w:t>
      </w:r>
      <w:bookmarkEnd w:id="69"/>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keepNext/>
      </w:pPr>
      <w:r>
        <w:lastRenderedPageBreak/>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No. 33 of 2010 s. 24.]</w:t>
      </w:r>
    </w:p>
    <w:p>
      <w:pPr>
        <w:pStyle w:val="Heading2"/>
      </w:pPr>
      <w:bookmarkStart w:id="70" w:name="_Toc199942949"/>
      <w:r>
        <w:rPr>
          <w:rStyle w:val="CharPartNo"/>
        </w:rPr>
        <w:lastRenderedPageBreak/>
        <w:t>Part 3D</w:t>
      </w:r>
      <w:r>
        <w:t> — </w:t>
      </w:r>
      <w:r>
        <w:rPr>
          <w:rStyle w:val="CharPartText"/>
        </w:rPr>
        <w:t>Interim prohibition orders, prohibition orders and interstate orders</w:t>
      </w:r>
      <w:bookmarkEnd w:id="70"/>
    </w:p>
    <w:p>
      <w:pPr>
        <w:pStyle w:val="Footnoteheading"/>
      </w:pPr>
      <w:r>
        <w:tab/>
        <w:t>[Heading inserted: No. 35 of 2022 s. 28.]</w:t>
      </w:r>
    </w:p>
    <w:p>
      <w:pPr>
        <w:pStyle w:val="Heading3"/>
      </w:pPr>
      <w:bookmarkStart w:id="71" w:name="_Toc199942950"/>
      <w:r>
        <w:rPr>
          <w:rStyle w:val="CharDivNo"/>
        </w:rPr>
        <w:t>Division 1</w:t>
      </w:r>
      <w:r>
        <w:t> — </w:t>
      </w:r>
      <w:r>
        <w:rPr>
          <w:rStyle w:val="CharDivText"/>
        </w:rPr>
        <w:t>Interim prohibition orders</w:t>
      </w:r>
      <w:bookmarkEnd w:id="71"/>
    </w:p>
    <w:p>
      <w:pPr>
        <w:pStyle w:val="Footnoteheading"/>
      </w:pPr>
      <w:r>
        <w:tab/>
        <w:t>[Heading inserted: No. 35 of 2022 s. 28.]</w:t>
      </w:r>
    </w:p>
    <w:p>
      <w:pPr>
        <w:pStyle w:val="Heading5"/>
      </w:pPr>
      <w:bookmarkStart w:id="72" w:name="_Toc199942951"/>
      <w:r>
        <w:rPr>
          <w:rStyle w:val="CharSectno"/>
        </w:rPr>
        <w:t>52B</w:t>
      </w:r>
      <w:r>
        <w:t>.</w:t>
      </w:r>
      <w:r>
        <w:tab/>
        <w:t>Director may make interim prohibition order</w:t>
      </w:r>
      <w:bookmarkEnd w:id="72"/>
    </w:p>
    <w:p>
      <w:pPr>
        <w:pStyle w:val="Subsection"/>
      </w:pPr>
      <w:r>
        <w:tab/>
        <w:t>(1)</w:t>
      </w:r>
      <w:r>
        <w:tab/>
        <w:t>This section applies if the Director is, in an investigation under this Act, investigating whether or not a health care worker has failed to comply with a code of conduct applying to the health care worker.</w:t>
      </w:r>
    </w:p>
    <w:p>
      <w:pPr>
        <w:pStyle w:val="Subsection"/>
      </w:pPr>
      <w:r>
        <w:tab/>
        <w:t>(2)</w:t>
      </w:r>
      <w:r>
        <w:tab/>
        <w:t xml:space="preserve">The Director may make an order (an </w:t>
      </w:r>
      <w:r>
        <w:rPr>
          <w:rStyle w:val="CharDefText"/>
        </w:rPr>
        <w:t>interim prohibition order</w:t>
      </w:r>
      <w:r>
        <w:t xml:space="preserve">) in relation to the health care worker — </w:t>
      </w:r>
    </w:p>
    <w:p>
      <w:pPr>
        <w:pStyle w:val="Indenta"/>
      </w:pPr>
      <w:r>
        <w:tab/>
        <w:t>(a)</w:t>
      </w:r>
      <w:r>
        <w:tab/>
        <w:t>prohibiting the health care worker from providing any health service, or a health service specified in the order, for a period, of not more than 12 weeks, specified in the order; or</w:t>
      </w:r>
    </w:p>
    <w:p>
      <w:pPr>
        <w:pStyle w:val="Indenta"/>
      </w:pPr>
      <w:r>
        <w:tab/>
        <w:t>(b)</w:t>
      </w:r>
      <w:r>
        <w:tab/>
        <w:t>imposing any conditions the Director considers appropriate on the provision of any health service, or a health service specified in the order, by the health care worker for a period, of not more than 12 weeks, specified in the order.</w:t>
      </w:r>
    </w:p>
    <w:p>
      <w:pPr>
        <w:pStyle w:val="Subsection"/>
      </w:pPr>
      <w:r>
        <w:tab/>
        <w:t>(3)</w:t>
      </w:r>
      <w:r>
        <w:tab/>
        <w:t xml:space="preserve">The Director must not make an interim prohibition order in relation to a health care worker unless — </w:t>
      </w:r>
    </w:p>
    <w:p>
      <w:pPr>
        <w:pStyle w:val="Indenta"/>
      </w:pPr>
      <w:r>
        <w:tab/>
        <w:t>(a)</w:t>
      </w:r>
      <w:r>
        <w:tab/>
        <w:t xml:space="preserve">either — </w:t>
      </w:r>
    </w:p>
    <w:p>
      <w:pPr>
        <w:pStyle w:val="Indenti"/>
      </w:pPr>
      <w:r>
        <w:tab/>
        <w:t>(i)</w:t>
      </w:r>
      <w:r>
        <w:tab/>
        <w:t>the Director reasonably believes that the health care worker has failed to comply with a code of conduct applying to the health care worker; or</w:t>
      </w:r>
    </w:p>
    <w:p>
      <w:pPr>
        <w:pStyle w:val="Indenti"/>
      </w:pPr>
      <w:r>
        <w:tab/>
        <w:t>(ii)</w:t>
      </w:r>
      <w:r>
        <w:tab/>
        <w:t>the health care worker has been convicted of a prescribed offence;</w:t>
      </w:r>
    </w:p>
    <w:p>
      <w:pPr>
        <w:pStyle w:val="Indenta"/>
      </w:pPr>
      <w:r>
        <w:tab/>
      </w:r>
      <w:r>
        <w:tab/>
        <w:t>and</w:t>
      </w:r>
    </w:p>
    <w:p>
      <w:pPr>
        <w:pStyle w:val="Indenta"/>
      </w:pPr>
      <w:r>
        <w:lastRenderedPageBreak/>
        <w:tab/>
        <w:t>(b)</w:t>
      </w:r>
      <w:r>
        <w:tab/>
        <w:t xml:space="preserve">the Director is satisfied that it is necessary to make the interim prohibition order to avoid a serious risk to — </w:t>
      </w:r>
    </w:p>
    <w:p>
      <w:pPr>
        <w:pStyle w:val="Indenti"/>
      </w:pPr>
      <w:r>
        <w:tab/>
        <w:t>(i)</w:t>
      </w:r>
      <w:r>
        <w:tab/>
        <w:t xml:space="preserve">the life, health, safety or welfare of a person; or </w:t>
      </w:r>
    </w:p>
    <w:p>
      <w:pPr>
        <w:pStyle w:val="Indenti"/>
      </w:pPr>
      <w:r>
        <w:tab/>
        <w:t>(ii)</w:t>
      </w:r>
      <w:r>
        <w:tab/>
        <w:t>the health, safety or welfare of the public.</w:t>
      </w:r>
    </w:p>
    <w:p>
      <w:pPr>
        <w:pStyle w:val="Subsection"/>
      </w:pPr>
      <w:r>
        <w:tab/>
        <w:t>(4)</w:t>
      </w:r>
      <w:r>
        <w:tab/>
        <w:t>The Director may, on the expiration of the period specified in the interim prohibition order under subsection (2)(a) or (b), make another interim prohibition order in relation to the health care worker.</w:t>
      </w:r>
    </w:p>
    <w:p>
      <w:pPr>
        <w:pStyle w:val="Footnotesection"/>
      </w:pPr>
      <w:r>
        <w:tab/>
        <w:t>[Section 52B inserted: No. 35 of 2022 s. 28.]</w:t>
      </w:r>
    </w:p>
    <w:p>
      <w:pPr>
        <w:pStyle w:val="Heading5"/>
      </w:pPr>
      <w:bookmarkStart w:id="73" w:name="_Toc199942952"/>
      <w:r>
        <w:rPr>
          <w:rStyle w:val="CharSectno"/>
        </w:rPr>
        <w:t>52C</w:t>
      </w:r>
      <w:r>
        <w:t>.</w:t>
      </w:r>
      <w:r>
        <w:tab/>
        <w:t>Notice of interim prohibition order</w:t>
      </w:r>
      <w:bookmarkEnd w:id="73"/>
    </w:p>
    <w:p>
      <w:pPr>
        <w:pStyle w:val="Subsection"/>
      </w:pPr>
      <w:r>
        <w:tab/>
        <w:t>(1)</w:t>
      </w:r>
      <w:r>
        <w:tab/>
        <w:t>As soon as possible after making an interim prohibition order in relation to a person, the Director must give written notice of the interim prohibition order to the person.</w:t>
      </w:r>
    </w:p>
    <w:p>
      <w:pPr>
        <w:pStyle w:val="Subsection"/>
      </w:pPr>
      <w:r>
        <w:tab/>
        <w:t>(2)</w:t>
      </w:r>
      <w:r>
        <w:tab/>
        <w:t>The notice must contain a statement that the person may apply under section 52P for a review of the decision to make the interim prohibition order.</w:t>
      </w:r>
    </w:p>
    <w:p>
      <w:pPr>
        <w:pStyle w:val="Footnotesection"/>
      </w:pPr>
      <w:r>
        <w:tab/>
        <w:t>[Section 52C inserted: No. 35 of 2022 s. 28.]</w:t>
      </w:r>
    </w:p>
    <w:p>
      <w:pPr>
        <w:pStyle w:val="Heading5"/>
      </w:pPr>
      <w:bookmarkStart w:id="74" w:name="_Toc199942953"/>
      <w:r>
        <w:rPr>
          <w:rStyle w:val="CharSectno"/>
        </w:rPr>
        <w:t>52D</w:t>
      </w:r>
      <w:r>
        <w:t>.</w:t>
      </w:r>
      <w:r>
        <w:tab/>
        <w:t>When interim prohibition order takes effect</w:t>
      </w:r>
      <w:bookmarkEnd w:id="74"/>
      <w:r>
        <w:t xml:space="preserve"> </w:t>
      </w:r>
    </w:p>
    <w:p>
      <w:pPr>
        <w:pStyle w:val="Subsection"/>
      </w:pPr>
      <w:r>
        <w:tab/>
      </w:r>
      <w:r>
        <w:tab/>
        <w:t>An interim prohibition order takes effect on the day on which notice of the interim prohibition order is given to the person to whom it relates.</w:t>
      </w:r>
    </w:p>
    <w:p>
      <w:pPr>
        <w:pStyle w:val="Footnotesection"/>
      </w:pPr>
      <w:r>
        <w:tab/>
        <w:t>[Section 52D inserted: No. 35 of 2022 s. 28.]</w:t>
      </w:r>
    </w:p>
    <w:p>
      <w:pPr>
        <w:pStyle w:val="Heading5"/>
      </w:pPr>
      <w:bookmarkStart w:id="75" w:name="_Toc199942954"/>
      <w:r>
        <w:rPr>
          <w:rStyle w:val="CharSectno"/>
        </w:rPr>
        <w:t>52E</w:t>
      </w:r>
      <w:r>
        <w:t>.</w:t>
      </w:r>
      <w:r>
        <w:tab/>
        <w:t>Variation of interim prohibition order</w:t>
      </w:r>
      <w:bookmarkEnd w:id="75"/>
    </w:p>
    <w:p>
      <w:pPr>
        <w:pStyle w:val="Subsection"/>
      </w:pPr>
      <w:r>
        <w:tab/>
        <w:t>(1)</w:t>
      </w:r>
      <w:r>
        <w:tab/>
        <w:t>The Director must, by order, vary an interim prohibition order if the Director is satisfied that the restrictions contained in the interim prohibition order should be reduced.</w:t>
      </w:r>
    </w:p>
    <w:p>
      <w:pPr>
        <w:pStyle w:val="Subsection"/>
      </w:pPr>
      <w:r>
        <w:tab/>
        <w:t>(2)</w:t>
      </w:r>
      <w:r>
        <w:tab/>
        <w:t xml:space="preserve">The order must specify the following — </w:t>
      </w:r>
    </w:p>
    <w:p>
      <w:pPr>
        <w:pStyle w:val="Indenta"/>
      </w:pPr>
      <w:r>
        <w:tab/>
        <w:t>(a)</w:t>
      </w:r>
      <w:r>
        <w:tab/>
        <w:t xml:space="preserve">the name of the person to whom it relates; </w:t>
      </w:r>
    </w:p>
    <w:p>
      <w:pPr>
        <w:pStyle w:val="Indenta"/>
      </w:pPr>
      <w:r>
        <w:lastRenderedPageBreak/>
        <w:tab/>
        <w:t>(b)</w:t>
      </w:r>
      <w:r>
        <w:tab/>
        <w:t xml:space="preserve">when the variation of the interim prohibition order takes effect under subsection (4); </w:t>
      </w:r>
    </w:p>
    <w:p>
      <w:pPr>
        <w:pStyle w:val="Indenta"/>
      </w:pPr>
      <w:r>
        <w:tab/>
        <w:t>(c)</w:t>
      </w:r>
      <w:r>
        <w:tab/>
        <w:t>the nature of the variation.</w:t>
      </w:r>
    </w:p>
    <w:p>
      <w:pPr>
        <w:pStyle w:val="Subsection"/>
      </w:pPr>
      <w:r>
        <w:tab/>
        <w:t>(3)</w:t>
      </w:r>
      <w:r>
        <w:tab/>
        <w:t>As soon as possible after making the order, the Director must give written notice of the order to the person to whom it relates.</w:t>
      </w:r>
    </w:p>
    <w:p>
      <w:pPr>
        <w:pStyle w:val="Subsection"/>
      </w:pPr>
      <w:r>
        <w:tab/>
        <w:t>(4)</w:t>
      </w:r>
      <w:r>
        <w:tab/>
        <w:t>The order takes effect on the day on which notice of the order is given to the person to whom it relates.</w:t>
      </w:r>
    </w:p>
    <w:p>
      <w:pPr>
        <w:pStyle w:val="Footnotesection"/>
      </w:pPr>
      <w:r>
        <w:tab/>
        <w:t>[Section 52E inserted: No. 35 of 2022 s. 28.]</w:t>
      </w:r>
    </w:p>
    <w:p>
      <w:pPr>
        <w:pStyle w:val="Heading5"/>
      </w:pPr>
      <w:bookmarkStart w:id="76" w:name="_Toc199942955"/>
      <w:r>
        <w:rPr>
          <w:rStyle w:val="CharSectno"/>
        </w:rPr>
        <w:t>52F</w:t>
      </w:r>
      <w:r>
        <w:t>.</w:t>
      </w:r>
      <w:r>
        <w:tab/>
        <w:t>Revocation of interim prohibition order</w:t>
      </w:r>
      <w:bookmarkEnd w:id="76"/>
    </w:p>
    <w:p>
      <w:pPr>
        <w:pStyle w:val="Subsection"/>
      </w:pPr>
      <w:r>
        <w:tab/>
        <w:t>(1)</w:t>
      </w:r>
      <w:r>
        <w:tab/>
        <w:t xml:space="preserve">The Director must, by order, revoke an interim prohibition order if the Director is satisfied that the interim prohibition order is no longer required to avoid a serious risk to — </w:t>
      </w:r>
    </w:p>
    <w:p>
      <w:pPr>
        <w:pStyle w:val="Indenta"/>
      </w:pPr>
      <w:r>
        <w:tab/>
        <w:t>(a)</w:t>
      </w:r>
      <w:r>
        <w:tab/>
        <w:t>the life, health, safety or welfare of a person; or</w:t>
      </w:r>
    </w:p>
    <w:p>
      <w:pPr>
        <w:pStyle w:val="Indenta"/>
      </w:pPr>
      <w:r>
        <w:tab/>
        <w:t>(b)</w:t>
      </w:r>
      <w:r>
        <w:tab/>
        <w:t>the health, safety or welfare of the public.</w:t>
      </w:r>
    </w:p>
    <w:p>
      <w:pPr>
        <w:pStyle w:val="Subsection"/>
      </w:pPr>
      <w:r>
        <w:tab/>
        <w:t>(2)</w:t>
      </w:r>
      <w:r>
        <w:tab/>
        <w:t xml:space="preserve">The order must — </w:t>
      </w:r>
    </w:p>
    <w:p>
      <w:pPr>
        <w:pStyle w:val="Indenta"/>
      </w:pPr>
      <w:r>
        <w:tab/>
        <w:t>(a)</w:t>
      </w:r>
      <w:r>
        <w:tab/>
        <w:t>specify the name of the person to whom it relates; and</w:t>
      </w:r>
    </w:p>
    <w:p>
      <w:pPr>
        <w:pStyle w:val="Indenta"/>
      </w:pPr>
      <w:r>
        <w:tab/>
        <w:t>(b)</w:t>
      </w:r>
      <w:r>
        <w:tab/>
        <w:t>specify the day on which it was made; and</w:t>
      </w:r>
    </w:p>
    <w:p>
      <w:pPr>
        <w:pStyle w:val="Indenta"/>
      </w:pPr>
      <w:r>
        <w:tab/>
        <w:t>(c)</w:t>
      </w:r>
      <w:r>
        <w:tab/>
        <w:t>specify when it takes effect under subsection (4); and</w:t>
      </w:r>
    </w:p>
    <w:p>
      <w:pPr>
        <w:pStyle w:val="Indenta"/>
      </w:pPr>
      <w:r>
        <w:tab/>
        <w:t>(d)</w:t>
      </w:r>
      <w:r>
        <w:tab/>
        <w:t xml:space="preserve">include a statement that the Director is satisfied that the interim prohibition order is no longer required to avoid a serious risk to — </w:t>
      </w:r>
    </w:p>
    <w:p>
      <w:pPr>
        <w:pStyle w:val="Indenti"/>
      </w:pPr>
      <w:r>
        <w:tab/>
        <w:t>(i)</w:t>
      </w:r>
      <w:r>
        <w:tab/>
        <w:t>the life, health, safety or welfare of a person; or</w:t>
      </w:r>
    </w:p>
    <w:p>
      <w:pPr>
        <w:pStyle w:val="Indenti"/>
      </w:pPr>
      <w:r>
        <w:tab/>
        <w:t>(ii)</w:t>
      </w:r>
      <w:r>
        <w:tab/>
        <w:t>the health, safety or welfare of the public;</w:t>
      </w:r>
    </w:p>
    <w:p>
      <w:pPr>
        <w:pStyle w:val="Indenta"/>
      </w:pPr>
      <w:r>
        <w:tab/>
      </w:r>
      <w:r>
        <w:tab/>
        <w:t>and</w:t>
      </w:r>
    </w:p>
    <w:p>
      <w:pPr>
        <w:pStyle w:val="Indenta"/>
      </w:pPr>
      <w:r>
        <w:tab/>
        <w:t>(e)</w:t>
      </w:r>
      <w:r>
        <w:tab/>
        <w:t>include a statement of the reason why the interim prohibition order is revoked.</w:t>
      </w:r>
    </w:p>
    <w:p>
      <w:pPr>
        <w:pStyle w:val="Subsection"/>
        <w:keepNext/>
      </w:pPr>
      <w:r>
        <w:lastRenderedPageBreak/>
        <w:tab/>
        <w:t>(3)</w:t>
      </w:r>
      <w:r>
        <w:tab/>
        <w:t>As soon as possible after making the order, the Director must give written notice of the order to the person to whom it relates.</w:t>
      </w:r>
    </w:p>
    <w:p>
      <w:pPr>
        <w:pStyle w:val="Subsection"/>
      </w:pPr>
      <w:r>
        <w:tab/>
        <w:t>(4)</w:t>
      </w:r>
      <w:r>
        <w:tab/>
        <w:t>The order takes effect on the day on which notice of the order is given to the person to whom it relates.</w:t>
      </w:r>
    </w:p>
    <w:p>
      <w:pPr>
        <w:pStyle w:val="Footnotesection"/>
      </w:pPr>
      <w:r>
        <w:tab/>
        <w:t>[Section 52F inserted: No. 35 of 2022 s. 28.]</w:t>
      </w:r>
    </w:p>
    <w:p>
      <w:pPr>
        <w:pStyle w:val="Heading5"/>
      </w:pPr>
      <w:bookmarkStart w:id="77" w:name="_Toc199942956"/>
      <w:r>
        <w:rPr>
          <w:rStyle w:val="CharSectno"/>
        </w:rPr>
        <w:t>52G</w:t>
      </w:r>
      <w:r>
        <w:t>.</w:t>
      </w:r>
      <w:r>
        <w:tab/>
        <w:t>Offence for failure to comply with interim prohibition order</w:t>
      </w:r>
      <w:bookmarkEnd w:id="77"/>
    </w:p>
    <w:p>
      <w:pPr>
        <w:pStyle w:val="Subsection"/>
      </w:pPr>
      <w:r>
        <w:tab/>
      </w:r>
      <w:r>
        <w:tab/>
        <w:t>A person who fails to comply with an interim prohibition order commits an offence.</w:t>
      </w:r>
    </w:p>
    <w:p>
      <w:pPr>
        <w:pStyle w:val="Penstart"/>
      </w:pPr>
      <w:r>
        <w:tab/>
        <w:t>Penalty: a fine of $30 000.</w:t>
      </w:r>
    </w:p>
    <w:p>
      <w:pPr>
        <w:pStyle w:val="Footnotesection"/>
      </w:pPr>
      <w:r>
        <w:tab/>
        <w:t>[Section 52G inserted: No. 35 of 2022 s. 28.]</w:t>
      </w:r>
    </w:p>
    <w:p>
      <w:pPr>
        <w:pStyle w:val="Heading3"/>
      </w:pPr>
      <w:bookmarkStart w:id="78" w:name="_Toc199942957"/>
      <w:r>
        <w:rPr>
          <w:rStyle w:val="CharDivNo"/>
        </w:rPr>
        <w:t>Division 2</w:t>
      </w:r>
      <w:r>
        <w:t> — </w:t>
      </w:r>
      <w:r>
        <w:rPr>
          <w:rStyle w:val="CharDivText"/>
        </w:rPr>
        <w:t>Prohibition orders</w:t>
      </w:r>
      <w:bookmarkEnd w:id="78"/>
    </w:p>
    <w:p>
      <w:pPr>
        <w:pStyle w:val="Footnoteheading"/>
      </w:pPr>
      <w:r>
        <w:tab/>
        <w:t>[Heading inserted: No. 35 of 2022 s. 28.]</w:t>
      </w:r>
    </w:p>
    <w:p>
      <w:pPr>
        <w:pStyle w:val="Heading5"/>
      </w:pPr>
      <w:bookmarkStart w:id="79" w:name="_Toc199942958"/>
      <w:r>
        <w:rPr>
          <w:rStyle w:val="CharSectno"/>
        </w:rPr>
        <w:t>52H</w:t>
      </w:r>
      <w:r>
        <w:t>.</w:t>
      </w:r>
      <w:r>
        <w:tab/>
        <w:t>Director may make prohibition order</w:t>
      </w:r>
      <w:bookmarkEnd w:id="79"/>
    </w:p>
    <w:p>
      <w:pPr>
        <w:pStyle w:val="Subsection"/>
      </w:pPr>
      <w:r>
        <w:tab/>
        <w:t>(1)</w:t>
      </w:r>
      <w:r>
        <w:tab/>
        <w:t>This section applies if the Director has conducted an investigation under this Act into a possible contravention by a health care worker of a code of conduct applying to the health care worker.</w:t>
      </w:r>
    </w:p>
    <w:p>
      <w:pPr>
        <w:pStyle w:val="Subsection"/>
      </w:pPr>
      <w:r>
        <w:tab/>
        <w:t>(2)</w:t>
      </w:r>
      <w:r>
        <w:tab/>
        <w:t xml:space="preserve">The Director may make an order (a </w:t>
      </w:r>
      <w:r>
        <w:rPr>
          <w:rStyle w:val="CharDefText"/>
        </w:rPr>
        <w:t>prohibition order</w:t>
      </w:r>
      <w:r>
        <w:t xml:space="preserve">) in relation to the health care worker — </w:t>
      </w:r>
    </w:p>
    <w:p>
      <w:pPr>
        <w:pStyle w:val="Indenta"/>
      </w:pPr>
      <w:r>
        <w:tab/>
        <w:t>(a)</w:t>
      </w:r>
      <w:r>
        <w:tab/>
        <w:t>prohibiting the health care worker from providing any health service, or a health service specified in the order, permanently or for the period specified in the order; or</w:t>
      </w:r>
    </w:p>
    <w:p>
      <w:pPr>
        <w:pStyle w:val="Indenta"/>
      </w:pPr>
      <w:r>
        <w:tab/>
        <w:t>(b)</w:t>
      </w:r>
      <w:r>
        <w:tab/>
        <w:t>imposing any conditions the Director considers appropriate on the provision of any health service, or a health service specified in the order, by the health care worker permanently or for the period specified in the order.</w:t>
      </w:r>
    </w:p>
    <w:p>
      <w:pPr>
        <w:pStyle w:val="Subsection"/>
        <w:keepNext/>
      </w:pPr>
      <w:r>
        <w:lastRenderedPageBreak/>
        <w:tab/>
        <w:t>(3)</w:t>
      </w:r>
      <w:r>
        <w:tab/>
        <w:t xml:space="preserve">The Director must not make a prohibition order in relation to a health care worker unless — </w:t>
      </w:r>
    </w:p>
    <w:p>
      <w:pPr>
        <w:pStyle w:val="Indenta"/>
      </w:pPr>
      <w:r>
        <w:tab/>
        <w:t>(a)</w:t>
      </w:r>
      <w:r>
        <w:tab/>
        <w:t xml:space="preserve">either — </w:t>
      </w:r>
    </w:p>
    <w:p>
      <w:pPr>
        <w:pStyle w:val="Indenti"/>
      </w:pPr>
      <w:r>
        <w:tab/>
        <w:t>(i)</w:t>
      </w:r>
      <w:r>
        <w:tab/>
        <w:t>the Director is satisfied that the health care worker has failed to comply with a code of conduct applying to the health care worker; or</w:t>
      </w:r>
    </w:p>
    <w:p>
      <w:pPr>
        <w:pStyle w:val="Indenti"/>
      </w:pPr>
      <w:r>
        <w:tab/>
        <w:t>(ii)</w:t>
      </w:r>
      <w:r>
        <w:tab/>
        <w:t>the health care worker has been convicted of a prescribed offence;</w:t>
      </w:r>
    </w:p>
    <w:p>
      <w:pPr>
        <w:pStyle w:val="Indenta"/>
      </w:pPr>
      <w:r>
        <w:tab/>
      </w:r>
      <w:r>
        <w:tab/>
        <w:t>and</w:t>
      </w:r>
    </w:p>
    <w:p>
      <w:pPr>
        <w:pStyle w:val="Indenta"/>
      </w:pPr>
      <w:r>
        <w:tab/>
        <w:t>(b)</w:t>
      </w:r>
      <w:r>
        <w:tab/>
        <w:t xml:space="preserve">the Director is satisfied that it is necessary to make the prohibition order to avoid a serious risk to — </w:t>
      </w:r>
    </w:p>
    <w:p>
      <w:pPr>
        <w:pStyle w:val="Indenti"/>
      </w:pPr>
      <w:r>
        <w:tab/>
        <w:t>(i)</w:t>
      </w:r>
      <w:r>
        <w:tab/>
        <w:t xml:space="preserve">the life, health, safety or welfare of a person; or </w:t>
      </w:r>
    </w:p>
    <w:p>
      <w:pPr>
        <w:pStyle w:val="Indenti"/>
      </w:pPr>
      <w:r>
        <w:tab/>
        <w:t>(ii)</w:t>
      </w:r>
      <w:r>
        <w:tab/>
        <w:t>the health, safety or welfare of the public.</w:t>
      </w:r>
    </w:p>
    <w:p>
      <w:pPr>
        <w:pStyle w:val="Footnotesection"/>
      </w:pPr>
      <w:r>
        <w:tab/>
        <w:t>[Section 52H inserted: No. 35 of 2022 s. 28.]</w:t>
      </w:r>
    </w:p>
    <w:p>
      <w:pPr>
        <w:pStyle w:val="Heading5"/>
      </w:pPr>
      <w:bookmarkStart w:id="80" w:name="_Toc199942959"/>
      <w:r>
        <w:rPr>
          <w:rStyle w:val="CharSectno"/>
        </w:rPr>
        <w:t>52I</w:t>
      </w:r>
      <w:r>
        <w:t>.</w:t>
      </w:r>
      <w:r>
        <w:tab/>
        <w:t>Show cause process for prohibition orders</w:t>
      </w:r>
      <w:bookmarkEnd w:id="80"/>
    </w:p>
    <w:p>
      <w:pPr>
        <w:pStyle w:val="Subsection"/>
      </w:pPr>
      <w:r>
        <w:tab/>
        <w:t>(1)</w:t>
      </w:r>
      <w:r>
        <w:tab/>
        <w:t>If the Director proposes to make a prohibition order in relation to a person, the Director must give the person written notice of the proposed prohibition order.</w:t>
      </w:r>
    </w:p>
    <w:p>
      <w:pPr>
        <w:pStyle w:val="Subsection"/>
      </w:pPr>
      <w:r>
        <w:tab/>
        <w:t>(2)</w:t>
      </w:r>
      <w:r>
        <w:tab/>
        <w:t>The notice must invite the person to whom it is given to make a written or oral submission to the Director about the proposed prohibition order within a reasonable period specified in the notice.</w:t>
      </w:r>
    </w:p>
    <w:p>
      <w:pPr>
        <w:pStyle w:val="Subsection"/>
      </w:pPr>
      <w:r>
        <w:tab/>
        <w:t>(3)</w:t>
      </w:r>
      <w:r>
        <w:tab/>
        <w:t>The Director must have regard to any submission made in accordance with the notice in deciding whether to make the proposed prohibition order.</w:t>
      </w:r>
    </w:p>
    <w:p>
      <w:pPr>
        <w:pStyle w:val="Footnotesection"/>
      </w:pPr>
      <w:r>
        <w:tab/>
        <w:t>[Section 52I inserted: No. 35 of 2022 s. 28.]</w:t>
      </w:r>
    </w:p>
    <w:p>
      <w:pPr>
        <w:pStyle w:val="Heading5"/>
      </w:pPr>
      <w:bookmarkStart w:id="81" w:name="_Toc199942960"/>
      <w:r>
        <w:rPr>
          <w:rStyle w:val="CharSectno"/>
        </w:rPr>
        <w:t>52J</w:t>
      </w:r>
      <w:r>
        <w:t>.</w:t>
      </w:r>
      <w:r>
        <w:tab/>
        <w:t>Notice of prohibition order</w:t>
      </w:r>
      <w:bookmarkEnd w:id="81"/>
    </w:p>
    <w:p>
      <w:pPr>
        <w:pStyle w:val="Subsection"/>
      </w:pPr>
      <w:r>
        <w:tab/>
        <w:t>(1)</w:t>
      </w:r>
      <w:r>
        <w:tab/>
        <w:t>As soon as possible after making a prohibition order in relation to a person, the Director must give written notice of the prohibition order to the person.</w:t>
      </w:r>
    </w:p>
    <w:p>
      <w:pPr>
        <w:pStyle w:val="Subsection"/>
        <w:keepNext/>
      </w:pPr>
      <w:r>
        <w:lastRenderedPageBreak/>
        <w:tab/>
        <w:t>(2)</w:t>
      </w:r>
      <w:r>
        <w:tab/>
        <w:t>The notice must contain a statement that the person may apply under section 52P for a review of the decision to make the prohibition order.</w:t>
      </w:r>
    </w:p>
    <w:p>
      <w:pPr>
        <w:pStyle w:val="Footnotesection"/>
        <w:jc w:val="both"/>
      </w:pPr>
      <w:r>
        <w:tab/>
        <w:t>[Section 52J inserted: No. 35 of 2022 s. 28.]</w:t>
      </w:r>
    </w:p>
    <w:p>
      <w:pPr>
        <w:pStyle w:val="Heading5"/>
      </w:pPr>
      <w:bookmarkStart w:id="82" w:name="_Toc199942961"/>
      <w:r>
        <w:rPr>
          <w:rStyle w:val="CharSectno"/>
        </w:rPr>
        <w:t>52K</w:t>
      </w:r>
      <w:r>
        <w:t>.</w:t>
      </w:r>
      <w:r>
        <w:tab/>
        <w:t>When prohibition order takes effect</w:t>
      </w:r>
      <w:bookmarkEnd w:id="82"/>
    </w:p>
    <w:p>
      <w:pPr>
        <w:pStyle w:val="Subsection"/>
      </w:pPr>
      <w:r>
        <w:tab/>
      </w:r>
      <w:r>
        <w:tab/>
        <w:t>A prohibition order takes effect on the day on which notice of the prohibition order is given to the person to whom it relates.</w:t>
      </w:r>
    </w:p>
    <w:p>
      <w:pPr>
        <w:pStyle w:val="Footnotesection"/>
      </w:pPr>
      <w:r>
        <w:tab/>
        <w:t>[Section 52K inserted: No. 35 of 2022 s. 28.]</w:t>
      </w:r>
    </w:p>
    <w:p>
      <w:pPr>
        <w:pStyle w:val="Heading5"/>
      </w:pPr>
      <w:bookmarkStart w:id="83" w:name="_Toc199942962"/>
      <w:r>
        <w:rPr>
          <w:rStyle w:val="CharSectno"/>
        </w:rPr>
        <w:t>52L</w:t>
      </w:r>
      <w:r>
        <w:t>.</w:t>
      </w:r>
      <w:r>
        <w:tab/>
        <w:t>Variation of prohibition order</w:t>
      </w:r>
      <w:bookmarkEnd w:id="83"/>
    </w:p>
    <w:p>
      <w:pPr>
        <w:pStyle w:val="Subsection"/>
      </w:pPr>
      <w:r>
        <w:tab/>
        <w:t>(1)</w:t>
      </w:r>
      <w:r>
        <w:tab/>
        <w:t>The Director must, by order, vary a prohibition order if the Director is satisfied that the restrictions contained in the prohibition order should be reduced.</w:t>
      </w:r>
    </w:p>
    <w:p>
      <w:pPr>
        <w:pStyle w:val="Subsection"/>
      </w:pPr>
      <w:r>
        <w:tab/>
        <w:t>(2)</w:t>
      </w:r>
      <w:r>
        <w:tab/>
        <w:t xml:space="preserve">The order must specify the following — </w:t>
      </w:r>
    </w:p>
    <w:p>
      <w:pPr>
        <w:pStyle w:val="Indenta"/>
      </w:pPr>
      <w:r>
        <w:tab/>
        <w:t>(a)</w:t>
      </w:r>
      <w:r>
        <w:tab/>
        <w:t xml:space="preserve">the name of the person to whom it relates; </w:t>
      </w:r>
    </w:p>
    <w:p>
      <w:pPr>
        <w:pStyle w:val="Indenta"/>
      </w:pPr>
      <w:r>
        <w:tab/>
        <w:t>(b)</w:t>
      </w:r>
      <w:r>
        <w:tab/>
        <w:t>when the variation of the prohibition order takes effect under subsection (4);</w:t>
      </w:r>
    </w:p>
    <w:p>
      <w:pPr>
        <w:pStyle w:val="Indenta"/>
      </w:pPr>
      <w:r>
        <w:tab/>
        <w:t>(c)</w:t>
      </w:r>
      <w:r>
        <w:tab/>
        <w:t>the nature of the variation.</w:t>
      </w:r>
    </w:p>
    <w:p>
      <w:pPr>
        <w:pStyle w:val="Subsection"/>
      </w:pPr>
      <w:r>
        <w:tab/>
        <w:t>(3)</w:t>
      </w:r>
      <w:r>
        <w:tab/>
        <w:t>As soon as possible after making the order, the Director must give written notice of the order to the person to whom it relates.</w:t>
      </w:r>
    </w:p>
    <w:p>
      <w:pPr>
        <w:pStyle w:val="Subsection"/>
      </w:pPr>
      <w:r>
        <w:tab/>
        <w:t>(4)</w:t>
      </w:r>
      <w:r>
        <w:tab/>
        <w:t>The order takes effect on the day on which notice of the order is given to the person to whom it relates.</w:t>
      </w:r>
    </w:p>
    <w:p>
      <w:pPr>
        <w:pStyle w:val="Footnotesection"/>
      </w:pPr>
      <w:r>
        <w:tab/>
        <w:t>[Section 52L inserted: No. 35 of 2022 s. 28.]</w:t>
      </w:r>
    </w:p>
    <w:p>
      <w:pPr>
        <w:pStyle w:val="Heading5"/>
      </w:pPr>
      <w:bookmarkStart w:id="84" w:name="_Toc199942963"/>
      <w:r>
        <w:rPr>
          <w:rStyle w:val="CharSectno"/>
        </w:rPr>
        <w:t>52M</w:t>
      </w:r>
      <w:r>
        <w:t>.</w:t>
      </w:r>
      <w:r>
        <w:tab/>
        <w:t>Revocation of prohibition order</w:t>
      </w:r>
      <w:bookmarkEnd w:id="84"/>
    </w:p>
    <w:p>
      <w:pPr>
        <w:pStyle w:val="Subsection"/>
      </w:pPr>
      <w:r>
        <w:tab/>
        <w:t>(1)</w:t>
      </w:r>
      <w:r>
        <w:tab/>
        <w:t xml:space="preserve">The Director must, by order, revoke a prohibition order if the Director is satisfied that the prohibition order is no longer required to avoid a serious risk to — </w:t>
      </w:r>
    </w:p>
    <w:p>
      <w:pPr>
        <w:pStyle w:val="Indenta"/>
      </w:pPr>
      <w:r>
        <w:tab/>
        <w:t>(a)</w:t>
      </w:r>
      <w:r>
        <w:tab/>
        <w:t>the life, health, safety or welfare of a person; or</w:t>
      </w:r>
    </w:p>
    <w:p>
      <w:pPr>
        <w:pStyle w:val="Indenta"/>
        <w:keepNext/>
      </w:pPr>
      <w:r>
        <w:lastRenderedPageBreak/>
        <w:tab/>
        <w:t>(b)</w:t>
      </w:r>
      <w:r>
        <w:tab/>
        <w:t>the health, safety or welfare of the public.</w:t>
      </w:r>
    </w:p>
    <w:p>
      <w:pPr>
        <w:pStyle w:val="Subsection"/>
      </w:pPr>
      <w:r>
        <w:tab/>
        <w:t>(2)</w:t>
      </w:r>
      <w:r>
        <w:tab/>
        <w:t xml:space="preserve">The order must — </w:t>
      </w:r>
    </w:p>
    <w:p>
      <w:pPr>
        <w:pStyle w:val="Indenta"/>
      </w:pPr>
      <w:r>
        <w:tab/>
        <w:t>(a)</w:t>
      </w:r>
      <w:r>
        <w:tab/>
        <w:t>specify the name of the person to whom it relates; and</w:t>
      </w:r>
    </w:p>
    <w:p>
      <w:pPr>
        <w:pStyle w:val="Indenta"/>
      </w:pPr>
      <w:r>
        <w:tab/>
        <w:t>(b)</w:t>
      </w:r>
      <w:r>
        <w:tab/>
        <w:t>specify the day on which it was made; and</w:t>
      </w:r>
    </w:p>
    <w:p>
      <w:pPr>
        <w:pStyle w:val="Indenta"/>
      </w:pPr>
      <w:r>
        <w:tab/>
        <w:t>(c)</w:t>
      </w:r>
      <w:r>
        <w:tab/>
        <w:t>specify when it takes effect under subsection (4); and</w:t>
      </w:r>
    </w:p>
    <w:p>
      <w:pPr>
        <w:pStyle w:val="Indenta"/>
      </w:pPr>
      <w:r>
        <w:tab/>
        <w:t>(d)</w:t>
      </w:r>
      <w:r>
        <w:tab/>
        <w:t xml:space="preserve">include a statement that the Director is satisfied that the prohibition order is no longer required to avoid a serious risk to — </w:t>
      </w:r>
    </w:p>
    <w:p>
      <w:pPr>
        <w:pStyle w:val="Indenti"/>
      </w:pPr>
      <w:r>
        <w:tab/>
        <w:t>(i)</w:t>
      </w:r>
      <w:r>
        <w:tab/>
        <w:t>the life, health, safety or welfare of a person; or</w:t>
      </w:r>
    </w:p>
    <w:p>
      <w:pPr>
        <w:pStyle w:val="Indenti"/>
      </w:pPr>
      <w:r>
        <w:tab/>
        <w:t>(ii)</w:t>
      </w:r>
      <w:r>
        <w:tab/>
        <w:t>the health, safety or welfare of the public;</w:t>
      </w:r>
    </w:p>
    <w:p>
      <w:pPr>
        <w:pStyle w:val="Indenta"/>
      </w:pPr>
      <w:r>
        <w:tab/>
      </w:r>
      <w:r>
        <w:tab/>
        <w:t>and</w:t>
      </w:r>
    </w:p>
    <w:p>
      <w:pPr>
        <w:pStyle w:val="Indenta"/>
      </w:pPr>
      <w:r>
        <w:tab/>
        <w:t>(e)</w:t>
      </w:r>
      <w:r>
        <w:tab/>
        <w:t>include a statement of the reason why the prohibition order is revoked.</w:t>
      </w:r>
    </w:p>
    <w:p>
      <w:pPr>
        <w:pStyle w:val="Subsection"/>
      </w:pPr>
      <w:r>
        <w:tab/>
        <w:t>(3)</w:t>
      </w:r>
      <w:r>
        <w:tab/>
        <w:t>As soon as possible after making the order, the Director must give written notice of the order to the person to whom it relates.</w:t>
      </w:r>
    </w:p>
    <w:p>
      <w:pPr>
        <w:pStyle w:val="Subsection"/>
      </w:pPr>
      <w:r>
        <w:tab/>
        <w:t>(4)</w:t>
      </w:r>
      <w:r>
        <w:tab/>
        <w:t>The order takes effect on the day on which notice of the order is given to the person to whom it relates.</w:t>
      </w:r>
    </w:p>
    <w:p>
      <w:pPr>
        <w:pStyle w:val="Footnotesection"/>
      </w:pPr>
      <w:r>
        <w:tab/>
        <w:t>[Section 52M inserted: No. 35 of 2022 s. 28.]</w:t>
      </w:r>
    </w:p>
    <w:p>
      <w:pPr>
        <w:pStyle w:val="Heading5"/>
      </w:pPr>
      <w:bookmarkStart w:id="85" w:name="_Toc199942964"/>
      <w:r>
        <w:rPr>
          <w:rStyle w:val="CharSectno"/>
        </w:rPr>
        <w:t>52N</w:t>
      </w:r>
      <w:r>
        <w:t>.</w:t>
      </w:r>
      <w:r>
        <w:tab/>
        <w:t>Offence for failure to comply with prohibition order</w:t>
      </w:r>
      <w:bookmarkEnd w:id="85"/>
    </w:p>
    <w:p>
      <w:pPr>
        <w:pStyle w:val="Subsection"/>
      </w:pPr>
      <w:r>
        <w:tab/>
      </w:r>
      <w:r>
        <w:tab/>
        <w:t>A person who fails to comply with a prohibition order commits an offence.</w:t>
      </w:r>
    </w:p>
    <w:p>
      <w:pPr>
        <w:pStyle w:val="Penstart"/>
      </w:pPr>
      <w:r>
        <w:tab/>
        <w:t>Penalty: a fine of $30 000.</w:t>
      </w:r>
    </w:p>
    <w:p>
      <w:pPr>
        <w:pStyle w:val="Footnotesection"/>
      </w:pPr>
      <w:r>
        <w:tab/>
        <w:t>[Section 52N inserted: No. 35 of 2022 s. 28.]</w:t>
      </w:r>
    </w:p>
    <w:p>
      <w:pPr>
        <w:pStyle w:val="Heading3"/>
      </w:pPr>
      <w:bookmarkStart w:id="86" w:name="_Toc199942965"/>
      <w:r>
        <w:rPr>
          <w:rStyle w:val="CharDivNo"/>
        </w:rPr>
        <w:lastRenderedPageBreak/>
        <w:t>Division 3</w:t>
      </w:r>
      <w:r>
        <w:t> — </w:t>
      </w:r>
      <w:r>
        <w:rPr>
          <w:rStyle w:val="CharDivText"/>
        </w:rPr>
        <w:t>Publication of information about orders</w:t>
      </w:r>
      <w:bookmarkEnd w:id="86"/>
    </w:p>
    <w:p>
      <w:pPr>
        <w:pStyle w:val="Footnoteheading"/>
        <w:keepNext/>
      </w:pPr>
      <w:r>
        <w:tab/>
        <w:t>[Heading inserted: No. 35 of 2022 s. 28.]</w:t>
      </w:r>
    </w:p>
    <w:p>
      <w:pPr>
        <w:pStyle w:val="Heading5"/>
      </w:pPr>
      <w:bookmarkStart w:id="87" w:name="_Toc199942966"/>
      <w:r>
        <w:rPr>
          <w:rStyle w:val="CharSectno"/>
        </w:rPr>
        <w:t>52O</w:t>
      </w:r>
      <w:r>
        <w:t>.</w:t>
      </w:r>
      <w:r>
        <w:tab/>
        <w:t>Publication of information about interim prohibition orders and prohibition orders</w:t>
      </w:r>
      <w:bookmarkEnd w:id="87"/>
    </w:p>
    <w:p>
      <w:pPr>
        <w:pStyle w:val="Subsection"/>
      </w:pPr>
      <w:r>
        <w:tab/>
        <w:t>(1)</w:t>
      </w:r>
      <w:r>
        <w:tab/>
        <w:t xml:space="preserve">As soon practicable after making an interim prohibition order or prohibition order, the Director must publish on the Office’s website the following information about the order — </w:t>
      </w:r>
    </w:p>
    <w:p>
      <w:pPr>
        <w:pStyle w:val="Indenta"/>
      </w:pPr>
      <w:r>
        <w:tab/>
        <w:t>(a)</w:t>
      </w:r>
      <w:r>
        <w:tab/>
        <w:t>the name of the person to whom the order relates;</w:t>
      </w:r>
    </w:p>
    <w:p>
      <w:pPr>
        <w:pStyle w:val="Indenta"/>
      </w:pPr>
      <w:r>
        <w:tab/>
        <w:t>(b)</w:t>
      </w:r>
      <w:r>
        <w:tab/>
        <w:t>the details of the order mentioned in section 52B(2)(a) or (b) or 52H(2)(a) or (b), as is relevant, that apply to the person;</w:t>
      </w:r>
    </w:p>
    <w:p>
      <w:pPr>
        <w:pStyle w:val="Indenta"/>
      </w:pPr>
      <w:r>
        <w:tab/>
        <w:t>(c)</w:t>
      </w:r>
      <w:r>
        <w:tab/>
        <w:t>the day on which the order takes effect under section 52D or 52K, as is relevant;</w:t>
      </w:r>
    </w:p>
    <w:p>
      <w:pPr>
        <w:pStyle w:val="Indenta"/>
      </w:pPr>
      <w:r>
        <w:tab/>
        <w:t>(d)</w:t>
      </w:r>
      <w:r>
        <w:tab/>
        <w:t>if the order expires on a day specified in the order — the day on which the order expires.</w:t>
      </w:r>
    </w:p>
    <w:p>
      <w:pPr>
        <w:pStyle w:val="Subsection"/>
      </w:pPr>
      <w:r>
        <w:tab/>
        <w:t>(2)</w:t>
      </w:r>
      <w:r>
        <w:tab/>
        <w:t>As soon as practicable after making an order under section 52E(1), 52F(1), 52L(1) or 52M(1), the Director must publish the order on the Office’s website.</w:t>
      </w:r>
    </w:p>
    <w:p>
      <w:pPr>
        <w:pStyle w:val="Footnotesection"/>
      </w:pPr>
      <w:r>
        <w:tab/>
        <w:t>[Section 52O inserted: No. 35 of 2022 s. 28.]</w:t>
      </w:r>
    </w:p>
    <w:p>
      <w:pPr>
        <w:pStyle w:val="Heading3"/>
      </w:pPr>
      <w:bookmarkStart w:id="88" w:name="_Toc199942967"/>
      <w:r>
        <w:rPr>
          <w:rStyle w:val="CharDivNo"/>
        </w:rPr>
        <w:t>Division 4</w:t>
      </w:r>
      <w:r>
        <w:t> — </w:t>
      </w:r>
      <w:r>
        <w:rPr>
          <w:rStyle w:val="CharDivText"/>
        </w:rPr>
        <w:t>Review by State Administrative Tribunal</w:t>
      </w:r>
      <w:bookmarkEnd w:id="88"/>
    </w:p>
    <w:p>
      <w:pPr>
        <w:pStyle w:val="Footnoteheading"/>
        <w:keepNext/>
      </w:pPr>
      <w:r>
        <w:tab/>
        <w:t>[Heading inserted: No. 35 of 2022 s. 28.]</w:t>
      </w:r>
    </w:p>
    <w:p>
      <w:pPr>
        <w:pStyle w:val="Heading5"/>
      </w:pPr>
      <w:bookmarkStart w:id="89" w:name="_Toc199942968"/>
      <w:r>
        <w:rPr>
          <w:rStyle w:val="CharSectno"/>
        </w:rPr>
        <w:t>52P</w:t>
      </w:r>
      <w:r>
        <w:t>.</w:t>
      </w:r>
      <w:r>
        <w:tab/>
        <w:t>Review of decisions to make interim prohibition orders and prohibition orders</w:t>
      </w:r>
      <w:bookmarkEnd w:id="89"/>
      <w:r>
        <w:t xml:space="preserve"> </w:t>
      </w:r>
    </w:p>
    <w:p>
      <w:pPr>
        <w:pStyle w:val="Subsection"/>
      </w:pPr>
      <w:r>
        <w:tab/>
      </w:r>
      <w:r>
        <w:tab/>
        <w:t>If the Director makes an interim prohibition order or prohibition order in relation to a person, the person may apply to the State Administrative Tribunal for a review of the Director’s decision to make the order.</w:t>
      </w:r>
    </w:p>
    <w:p>
      <w:pPr>
        <w:pStyle w:val="Footnotesection"/>
      </w:pPr>
      <w:r>
        <w:tab/>
        <w:t>[Section 52P inserted: No. 35 of 2022 s. 28.]</w:t>
      </w:r>
    </w:p>
    <w:p>
      <w:pPr>
        <w:pStyle w:val="Heading3"/>
      </w:pPr>
      <w:bookmarkStart w:id="90" w:name="_Toc199942969"/>
      <w:r>
        <w:rPr>
          <w:rStyle w:val="CharDivNo"/>
        </w:rPr>
        <w:lastRenderedPageBreak/>
        <w:t>Division 5</w:t>
      </w:r>
      <w:r>
        <w:t> — </w:t>
      </w:r>
      <w:r>
        <w:rPr>
          <w:rStyle w:val="CharDivText"/>
        </w:rPr>
        <w:t>Interstate orders</w:t>
      </w:r>
      <w:bookmarkEnd w:id="90"/>
    </w:p>
    <w:p>
      <w:pPr>
        <w:pStyle w:val="Footnoteheading"/>
        <w:keepNext/>
      </w:pPr>
      <w:r>
        <w:tab/>
        <w:t>[Heading inserted: No. 35 of 2022 s. 28.]</w:t>
      </w:r>
    </w:p>
    <w:p>
      <w:pPr>
        <w:pStyle w:val="Heading5"/>
      </w:pPr>
      <w:bookmarkStart w:id="91" w:name="_Toc199942970"/>
      <w:r>
        <w:rPr>
          <w:rStyle w:val="CharSectno"/>
        </w:rPr>
        <w:t>52Q</w:t>
      </w:r>
      <w:r>
        <w:t>.</w:t>
      </w:r>
      <w:r>
        <w:tab/>
        <w:t>Offence for failure to comply with interstate order</w:t>
      </w:r>
      <w:bookmarkEnd w:id="91"/>
    </w:p>
    <w:p>
      <w:pPr>
        <w:pStyle w:val="Subsection"/>
      </w:pPr>
      <w:r>
        <w:tab/>
        <w:t>(1)</w:t>
      </w:r>
      <w:r>
        <w:tab/>
        <w:t xml:space="preserve">In this section — </w:t>
      </w:r>
    </w:p>
    <w:p>
      <w:pPr>
        <w:pStyle w:val="Defstart"/>
      </w:pPr>
      <w:r>
        <w:tab/>
      </w:r>
      <w:r>
        <w:rPr>
          <w:rStyle w:val="CharDefText"/>
        </w:rPr>
        <w:t>corresponding law</w:t>
      </w:r>
      <w:r>
        <w:t xml:space="preserve"> means a law of another State, a Territory or the Commonwealth that contains provisions that substantially correspond with the provisions of this Act;</w:t>
      </w:r>
    </w:p>
    <w:p>
      <w:pPr>
        <w:pStyle w:val="Defstart"/>
      </w:pPr>
      <w:r>
        <w:tab/>
      </w:r>
      <w:r>
        <w:rPr>
          <w:rStyle w:val="CharDefText"/>
        </w:rPr>
        <w:t>interstate interim prohibition order</w:t>
      </w:r>
      <w:r>
        <w:t xml:space="preserve"> means an order that is made under a corresponding law and prescribed to be an interstate interim prohibition order;</w:t>
      </w:r>
    </w:p>
    <w:p>
      <w:pPr>
        <w:pStyle w:val="Defstart"/>
      </w:pPr>
      <w:r>
        <w:tab/>
      </w:r>
      <w:r>
        <w:rPr>
          <w:rStyle w:val="CharDefText"/>
        </w:rPr>
        <w:t>interstate order</w:t>
      </w:r>
      <w:r>
        <w:t xml:space="preserve"> means an interstate interim prohibition order or interstate prohibition order;</w:t>
      </w:r>
    </w:p>
    <w:p>
      <w:pPr>
        <w:pStyle w:val="Defstart"/>
      </w:pPr>
      <w:r>
        <w:tab/>
      </w:r>
      <w:r>
        <w:rPr>
          <w:rStyle w:val="CharDefText"/>
        </w:rPr>
        <w:t>interstate prohibition order</w:t>
      </w:r>
      <w:r>
        <w:t xml:space="preserve"> means an order that is made under a corresponding law and prescribed to be an interstate prohibition order.</w:t>
      </w:r>
    </w:p>
    <w:p>
      <w:pPr>
        <w:pStyle w:val="Subsection"/>
      </w:pPr>
      <w:r>
        <w:tab/>
        <w:t>(2)</w:t>
      </w:r>
      <w:r>
        <w:tab/>
        <w:t xml:space="preserve">A person commits an offence if — </w:t>
      </w:r>
    </w:p>
    <w:p>
      <w:pPr>
        <w:pStyle w:val="Indenta"/>
      </w:pPr>
      <w:r>
        <w:tab/>
        <w:t>(a)</w:t>
      </w:r>
      <w:r>
        <w:tab/>
        <w:t>an interstate order is in force in relation to the person; and</w:t>
      </w:r>
    </w:p>
    <w:p>
      <w:pPr>
        <w:pStyle w:val="Indenta"/>
      </w:pPr>
      <w:r>
        <w:tab/>
        <w:t>(b)</w:t>
      </w:r>
      <w:r>
        <w:tab/>
        <w:t>the person engages in conduct in this State that would constitute a failure to comply with the interstate order if it occurred in the jurisdiction in which the interstate order is in force.</w:t>
      </w:r>
    </w:p>
    <w:p>
      <w:pPr>
        <w:pStyle w:val="Penstart"/>
      </w:pPr>
      <w:r>
        <w:tab/>
        <w:t>Penalty for this subsection:</w:t>
      </w:r>
    </w:p>
    <w:p>
      <w:pPr>
        <w:pStyle w:val="Penpara"/>
      </w:pPr>
      <w:r>
        <w:tab/>
        <w:t>(a)</w:t>
      </w:r>
      <w:r>
        <w:tab/>
        <w:t>for an individual, a fine of $30 000;</w:t>
      </w:r>
    </w:p>
    <w:p>
      <w:pPr>
        <w:pStyle w:val="Penpara"/>
      </w:pPr>
      <w:r>
        <w:tab/>
        <w:t>(b)</w:t>
      </w:r>
      <w:r>
        <w:tab/>
        <w:t>for a body corporate, a fine of $60 000.</w:t>
      </w:r>
    </w:p>
    <w:p>
      <w:pPr>
        <w:pStyle w:val="Footnotesection"/>
      </w:pPr>
      <w:r>
        <w:tab/>
        <w:t>[Section 52Q inserted: No. 35 of 2022 s. 28.]</w:t>
      </w:r>
    </w:p>
    <w:p>
      <w:pPr>
        <w:pStyle w:val="Heading2"/>
      </w:pPr>
      <w:bookmarkStart w:id="92" w:name="_Toc199942971"/>
      <w:r>
        <w:rPr>
          <w:rStyle w:val="CharPartNo"/>
        </w:rPr>
        <w:lastRenderedPageBreak/>
        <w:t>Part 3E</w:t>
      </w:r>
      <w:r>
        <w:rPr>
          <w:rStyle w:val="CharDivNo"/>
        </w:rPr>
        <w:t> </w:t>
      </w:r>
      <w:r>
        <w:t>—</w:t>
      </w:r>
      <w:r>
        <w:rPr>
          <w:rStyle w:val="CharDivText"/>
        </w:rPr>
        <w:t> </w:t>
      </w:r>
      <w:r>
        <w:rPr>
          <w:rStyle w:val="CharPartText"/>
        </w:rPr>
        <w:t>Public health warning statements relating to health care workers</w:t>
      </w:r>
      <w:bookmarkEnd w:id="92"/>
    </w:p>
    <w:p>
      <w:pPr>
        <w:pStyle w:val="Footnoteheading"/>
        <w:keepNext/>
      </w:pPr>
      <w:r>
        <w:tab/>
        <w:t>[Heading inserted: No. 35 of 2022 s. 28.]</w:t>
      </w:r>
    </w:p>
    <w:p>
      <w:pPr>
        <w:pStyle w:val="Heading5"/>
      </w:pPr>
      <w:bookmarkStart w:id="93" w:name="_Toc199942972"/>
      <w:r>
        <w:rPr>
          <w:rStyle w:val="CharSectno"/>
        </w:rPr>
        <w:t>52R</w:t>
      </w:r>
      <w:r>
        <w:t>.</w:t>
      </w:r>
      <w:r>
        <w:tab/>
        <w:t>Public health warning statements</w:t>
      </w:r>
      <w:bookmarkEnd w:id="93"/>
    </w:p>
    <w:p>
      <w:pPr>
        <w:pStyle w:val="Subsection"/>
      </w:pPr>
      <w:r>
        <w:tab/>
        <w:t>(1)</w:t>
      </w:r>
      <w:r>
        <w:tab/>
        <w:t xml:space="preserve">The Director may publish a statement setting out the name of a health care worker if the Director has commenced an investigation under this Act in relation to a health care worker and the Director reasonably believes that — </w:t>
      </w:r>
    </w:p>
    <w:p>
      <w:pPr>
        <w:pStyle w:val="Indenta"/>
      </w:pPr>
      <w:r>
        <w:tab/>
        <w:t>(a)</w:t>
      </w:r>
      <w:r>
        <w:tab/>
        <w:t>the health care worker has failed to comply with a code of conduct that applies to the health care worker; and</w:t>
      </w:r>
    </w:p>
    <w:p>
      <w:pPr>
        <w:pStyle w:val="Indenta"/>
      </w:pPr>
      <w:r>
        <w:tab/>
        <w:t>(b)</w:t>
      </w:r>
      <w:r>
        <w:tab/>
        <w:t xml:space="preserve">it is necessary to publish the statement to avoid an imminent and serious risk to — </w:t>
      </w:r>
    </w:p>
    <w:p>
      <w:pPr>
        <w:pStyle w:val="Indenti"/>
      </w:pPr>
      <w:r>
        <w:tab/>
        <w:t>(i)</w:t>
      </w:r>
      <w:r>
        <w:tab/>
        <w:t>the life, health, safety or welfare of a person; or</w:t>
      </w:r>
    </w:p>
    <w:p>
      <w:pPr>
        <w:pStyle w:val="Indenti"/>
      </w:pPr>
      <w:r>
        <w:tab/>
        <w:t>(ii)</w:t>
      </w:r>
      <w:r>
        <w:tab/>
        <w:t>the health, safety or welfare of the public.</w:t>
      </w:r>
    </w:p>
    <w:p>
      <w:pPr>
        <w:pStyle w:val="Subsection"/>
      </w:pPr>
      <w:r>
        <w:tab/>
        <w:t>(2)</w:t>
      </w:r>
      <w:r>
        <w:tab/>
        <w:t xml:space="preserve">The Director may publish a statement setting out the name of a health care worker if — </w:t>
      </w:r>
    </w:p>
    <w:p>
      <w:pPr>
        <w:pStyle w:val="Indenta"/>
      </w:pPr>
      <w:r>
        <w:tab/>
        <w:t>(a)</w:t>
      </w:r>
      <w:r>
        <w:tab/>
        <w:t xml:space="preserve">either — </w:t>
      </w:r>
    </w:p>
    <w:p>
      <w:pPr>
        <w:pStyle w:val="Indenti"/>
      </w:pPr>
      <w:r>
        <w:tab/>
        <w:t>(i)</w:t>
      </w:r>
      <w:r>
        <w:tab/>
        <w:t>after completing an investigation under this Act, the Director is satisfied that the health care worker has failed to comply with a code of conduct applying to the health care worker; or</w:t>
      </w:r>
    </w:p>
    <w:p>
      <w:pPr>
        <w:pStyle w:val="Indenti"/>
      </w:pPr>
      <w:r>
        <w:tab/>
        <w:t>(ii)</w:t>
      </w:r>
      <w:r>
        <w:tab/>
        <w:t>the health care worker has been convicted of a prescribed offence;</w:t>
      </w:r>
    </w:p>
    <w:p>
      <w:pPr>
        <w:pStyle w:val="Indenta"/>
      </w:pPr>
      <w:r>
        <w:tab/>
      </w:r>
      <w:r>
        <w:tab/>
        <w:t>and</w:t>
      </w:r>
    </w:p>
    <w:p>
      <w:pPr>
        <w:pStyle w:val="Indenta"/>
      </w:pPr>
      <w:r>
        <w:tab/>
        <w:t>(b)</w:t>
      </w:r>
      <w:r>
        <w:tab/>
        <w:t xml:space="preserve">the Director reasonably believes that it is necessary to publish the statement to avoid a serious risk to — </w:t>
      </w:r>
    </w:p>
    <w:p>
      <w:pPr>
        <w:pStyle w:val="Indenti"/>
      </w:pPr>
      <w:r>
        <w:tab/>
        <w:t>(i)</w:t>
      </w:r>
      <w:r>
        <w:tab/>
        <w:t>the life, health, safety or welfare of a person; or</w:t>
      </w:r>
    </w:p>
    <w:p>
      <w:pPr>
        <w:pStyle w:val="Indenti"/>
      </w:pPr>
      <w:r>
        <w:tab/>
        <w:t>(ii)</w:t>
      </w:r>
      <w:r>
        <w:tab/>
        <w:t>the health, safety or welfare of the public.</w:t>
      </w:r>
    </w:p>
    <w:p>
      <w:pPr>
        <w:pStyle w:val="Subsection"/>
      </w:pPr>
      <w:r>
        <w:lastRenderedPageBreak/>
        <w:tab/>
        <w:t>(3)</w:t>
      </w:r>
      <w:r>
        <w:tab/>
        <w:t>The Director may set out in a public health warning statement any other details that are reasonably relevant to advise the public of the serious risk identified by the Director.</w:t>
      </w:r>
    </w:p>
    <w:p>
      <w:pPr>
        <w:pStyle w:val="Subsection"/>
      </w:pPr>
      <w:r>
        <w:tab/>
        <w:t>(4)</w:t>
      </w:r>
      <w:r>
        <w:tab/>
        <w:t xml:space="preserve">A public health warning statement — </w:t>
      </w:r>
    </w:p>
    <w:p>
      <w:pPr>
        <w:pStyle w:val="Indenta"/>
      </w:pPr>
      <w:r>
        <w:tab/>
        <w:t>(a)</w:t>
      </w:r>
      <w:r>
        <w:tab/>
        <w:t>must be published on the Office’s website; and</w:t>
      </w:r>
    </w:p>
    <w:p>
      <w:pPr>
        <w:pStyle w:val="Indenta"/>
      </w:pPr>
      <w:r>
        <w:tab/>
        <w:t>(b)</w:t>
      </w:r>
      <w:r>
        <w:tab/>
        <w:t>may be published in any other manner that the Director considers appropriate.</w:t>
      </w:r>
    </w:p>
    <w:p>
      <w:pPr>
        <w:pStyle w:val="Footnotesection"/>
      </w:pPr>
      <w:r>
        <w:tab/>
        <w:t>[Section 52R inserted: No. 35 of 2022 s. 28.]</w:t>
      </w:r>
    </w:p>
    <w:p>
      <w:pPr>
        <w:pStyle w:val="Heading5"/>
      </w:pPr>
      <w:bookmarkStart w:id="94" w:name="_Toc199942973"/>
      <w:r>
        <w:rPr>
          <w:rStyle w:val="CharSectno"/>
        </w:rPr>
        <w:t>52S</w:t>
      </w:r>
      <w:r>
        <w:t>.</w:t>
      </w:r>
      <w:r>
        <w:tab/>
        <w:t>Revoking public health warning statements</w:t>
      </w:r>
      <w:bookmarkEnd w:id="94"/>
    </w:p>
    <w:p>
      <w:pPr>
        <w:pStyle w:val="Subsection"/>
      </w:pPr>
      <w:r>
        <w:tab/>
        <w:t>(1)</w:t>
      </w:r>
      <w:r>
        <w:tab/>
        <w:t xml:space="preserve">The Director may revoke a public health warning statement by publishing a statement that — </w:t>
      </w:r>
    </w:p>
    <w:p>
      <w:pPr>
        <w:pStyle w:val="Indenta"/>
      </w:pPr>
      <w:r>
        <w:tab/>
        <w:t>(a)</w:t>
      </w:r>
      <w:r>
        <w:tab/>
        <w:t>advises the public that the serious risk no longer exists; and</w:t>
      </w:r>
    </w:p>
    <w:p>
      <w:pPr>
        <w:pStyle w:val="Indenta"/>
      </w:pPr>
      <w:r>
        <w:tab/>
        <w:t>(b)</w:t>
      </w:r>
      <w:r>
        <w:tab/>
        <w:t>sets out the reason for the revocation of the statement.</w:t>
      </w:r>
    </w:p>
    <w:p>
      <w:pPr>
        <w:pStyle w:val="Subsection"/>
      </w:pPr>
      <w:r>
        <w:tab/>
        <w:t>(2)</w:t>
      </w:r>
      <w:r>
        <w:tab/>
        <w:t>The Director must revoke a public health warning statement published under section 52R(1) if, on the completion of the investigation concerned, the Director is satisfied that the health care worker did not contravene a code of conduct applying to the health care worker.</w:t>
      </w:r>
    </w:p>
    <w:p>
      <w:pPr>
        <w:pStyle w:val="Subsection"/>
      </w:pPr>
      <w:r>
        <w:tab/>
        <w:t>(3)</w:t>
      </w:r>
      <w:r>
        <w:tab/>
        <w:t>Revocation of a public health warning statement under subsection (2) must be by publication of a statement setting out the reason for the revocation of the statement.</w:t>
      </w:r>
    </w:p>
    <w:p>
      <w:pPr>
        <w:pStyle w:val="Subsection"/>
      </w:pPr>
      <w:r>
        <w:tab/>
        <w:t>(4)</w:t>
      </w:r>
      <w:r>
        <w:tab/>
        <w:t xml:space="preserve">A statement under subsection (1) or (3) — </w:t>
      </w:r>
    </w:p>
    <w:p>
      <w:pPr>
        <w:pStyle w:val="Indenta"/>
      </w:pPr>
      <w:r>
        <w:tab/>
        <w:t>(a)</w:t>
      </w:r>
      <w:r>
        <w:tab/>
        <w:t>must be published on the Office’s website; and</w:t>
      </w:r>
    </w:p>
    <w:p>
      <w:pPr>
        <w:pStyle w:val="Indenta"/>
      </w:pPr>
      <w:r>
        <w:tab/>
        <w:t>(b)</w:t>
      </w:r>
      <w:r>
        <w:tab/>
        <w:t>may be published in any other manner that the Director considers appropriate.</w:t>
      </w:r>
    </w:p>
    <w:p>
      <w:pPr>
        <w:pStyle w:val="Footnotesection"/>
      </w:pPr>
      <w:r>
        <w:tab/>
        <w:t>[Section 52S inserted: No. 35 of 2022 s. 28.]</w:t>
      </w:r>
    </w:p>
    <w:p>
      <w:pPr>
        <w:pStyle w:val="Heading5"/>
      </w:pPr>
      <w:bookmarkStart w:id="95" w:name="_Toc199942974"/>
      <w:r>
        <w:rPr>
          <w:rStyle w:val="CharSectno"/>
        </w:rPr>
        <w:lastRenderedPageBreak/>
        <w:t>52T</w:t>
      </w:r>
      <w:r>
        <w:t>.</w:t>
      </w:r>
      <w:r>
        <w:tab/>
        <w:t>Correcting public health warning statements</w:t>
      </w:r>
      <w:bookmarkEnd w:id="95"/>
    </w:p>
    <w:p>
      <w:pPr>
        <w:pStyle w:val="Subsection"/>
      </w:pPr>
      <w:r>
        <w:tab/>
        <w:t>(1)</w:t>
      </w:r>
      <w:r>
        <w:tab/>
        <w:t>If the Director forms the opinion that a public health warning statement is incorrect, the Director must publish a correction statement setting out the reason for the correction.</w:t>
      </w:r>
    </w:p>
    <w:p>
      <w:pPr>
        <w:pStyle w:val="Subsection"/>
      </w:pPr>
      <w:r>
        <w:tab/>
        <w:t>(2)</w:t>
      </w:r>
      <w:r>
        <w:tab/>
        <w:t xml:space="preserve">A statement under subsection (1) — </w:t>
      </w:r>
    </w:p>
    <w:p>
      <w:pPr>
        <w:pStyle w:val="Indenta"/>
      </w:pPr>
      <w:r>
        <w:tab/>
        <w:t>(a)</w:t>
      </w:r>
      <w:r>
        <w:tab/>
        <w:t>must be published on the Office’s website; and</w:t>
      </w:r>
    </w:p>
    <w:p>
      <w:pPr>
        <w:pStyle w:val="Indenta"/>
      </w:pPr>
      <w:r>
        <w:tab/>
        <w:t>(b)</w:t>
      </w:r>
      <w:r>
        <w:tab/>
        <w:t>may be published in any other manner that the Director considers appropriate.</w:t>
      </w:r>
    </w:p>
    <w:p>
      <w:pPr>
        <w:pStyle w:val="Footnotesection"/>
      </w:pPr>
      <w:r>
        <w:tab/>
        <w:t>[Section 52T inserted: No. 35 of 2022 s. 28.]</w:t>
      </w:r>
    </w:p>
    <w:p>
      <w:pPr>
        <w:pStyle w:val="Heading5"/>
      </w:pPr>
      <w:bookmarkStart w:id="96" w:name="_Toc199942975"/>
      <w:r>
        <w:rPr>
          <w:rStyle w:val="CharSectno"/>
        </w:rPr>
        <w:t>52U</w:t>
      </w:r>
      <w:r>
        <w:t>.</w:t>
      </w:r>
      <w:r>
        <w:tab/>
        <w:t>Review of decision to publish public health warning statement</w:t>
      </w:r>
      <w:bookmarkEnd w:id="96"/>
    </w:p>
    <w:p>
      <w:pPr>
        <w:pStyle w:val="Subsection"/>
      </w:pPr>
      <w:r>
        <w:tab/>
      </w:r>
      <w:r>
        <w:tab/>
        <w:t>If the Director publishes a public health warning statement setting out the name of a person, the person may apply to the State Administrative Tribunal for a review of the Director’s decision to publish the public health warning statement.</w:t>
      </w:r>
    </w:p>
    <w:p>
      <w:pPr>
        <w:pStyle w:val="Footnotesection"/>
      </w:pPr>
      <w:r>
        <w:tab/>
        <w:t>[Section 52U inserted: No. 35 of 2022 s. 28.]</w:t>
      </w:r>
    </w:p>
    <w:p>
      <w:pPr>
        <w:pStyle w:val="Ednotedivision"/>
      </w:pPr>
      <w:r>
        <w:tab/>
        <w:t>[Division heading deleted: No. 35 of 2022 s. 29.]</w:t>
      </w:r>
    </w:p>
    <w:p>
      <w:pPr>
        <w:pStyle w:val="Heading2"/>
      </w:pPr>
      <w:bookmarkStart w:id="97" w:name="_Toc199942976"/>
      <w:r>
        <w:rPr>
          <w:rStyle w:val="CharPartNo"/>
        </w:rPr>
        <w:lastRenderedPageBreak/>
        <w:t>Part 3F</w:t>
      </w:r>
      <w:r>
        <w:rPr>
          <w:rStyle w:val="CharDivNo"/>
        </w:rPr>
        <w:t> </w:t>
      </w:r>
      <w:r>
        <w:t>—</w:t>
      </w:r>
      <w:r>
        <w:rPr>
          <w:rStyle w:val="CharDivText"/>
        </w:rPr>
        <w:t> </w:t>
      </w:r>
      <w:r>
        <w:rPr>
          <w:rStyle w:val="CharPartText"/>
        </w:rPr>
        <w:t>Miscellaneous provisions relating to complaints, investigations and reports to Parliament</w:t>
      </w:r>
      <w:bookmarkEnd w:id="97"/>
    </w:p>
    <w:p>
      <w:pPr>
        <w:pStyle w:val="Footnoteheading"/>
        <w:keepNext/>
      </w:pPr>
      <w:r>
        <w:tab/>
        <w:t>[Heading inserted: No. 35 of 2022 s. 30.]</w:t>
      </w:r>
    </w:p>
    <w:p>
      <w:pPr>
        <w:pStyle w:val="Heading5"/>
        <w:rPr>
          <w:snapToGrid w:val="0"/>
        </w:rPr>
      </w:pPr>
      <w:bookmarkStart w:id="98" w:name="_Toc199942977"/>
      <w:r>
        <w:rPr>
          <w:rStyle w:val="CharSectno"/>
        </w:rPr>
        <w:t>52</w:t>
      </w:r>
      <w:r>
        <w:rPr>
          <w:snapToGrid w:val="0"/>
        </w:rPr>
        <w:t>.</w:t>
      </w:r>
      <w:r>
        <w:rPr>
          <w:snapToGrid w:val="0"/>
        </w:rPr>
        <w:tab/>
        <w:t>Director to stop proceedings in some cases</w:t>
      </w:r>
      <w:bookmarkEnd w:id="98"/>
    </w:p>
    <w:p>
      <w:pPr>
        <w:pStyle w:val="Subsection"/>
      </w:pPr>
      <w:r>
        <w:tab/>
        <w:t>(1A)</w:t>
      </w:r>
      <w:r>
        <w:tab/>
        <w:t>This section does not apply to a complaint alleging 1 or more of the matters set out in section 25(1)(i), (j) or (k).</w:t>
      </w:r>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lastRenderedPageBreak/>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No. 55 of 2004 s. 496; No. 35 of 2022 s. 31.]</w:t>
      </w:r>
    </w:p>
    <w:p>
      <w:pPr>
        <w:pStyle w:val="Ednotesection"/>
      </w:pPr>
      <w:r>
        <w:t>[</w:t>
      </w:r>
      <w:r>
        <w:rPr>
          <w:b/>
          <w:bCs/>
        </w:rPr>
        <w:t>53-55.</w:t>
      </w:r>
      <w:r>
        <w:tab/>
        <w:t>Deleted: No. 35 of 2010 s. 89.]</w:t>
      </w:r>
    </w:p>
    <w:p>
      <w:pPr>
        <w:pStyle w:val="Heading5"/>
        <w:rPr>
          <w:snapToGrid w:val="0"/>
        </w:rPr>
      </w:pPr>
      <w:bookmarkStart w:id="99" w:name="_Toc199942978"/>
      <w:r>
        <w:rPr>
          <w:rStyle w:val="CharSectno"/>
        </w:rPr>
        <w:t>56</w:t>
      </w:r>
      <w:r>
        <w:rPr>
          <w:snapToGrid w:val="0"/>
        </w:rPr>
        <w:t>.</w:t>
      </w:r>
      <w:r>
        <w:rPr>
          <w:snapToGrid w:val="0"/>
        </w:rPr>
        <w:tab/>
        <w:t>Reports to, and at request of, Parliament</w:t>
      </w:r>
      <w:bookmarkEnd w:id="99"/>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lastRenderedPageBreak/>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No. 77 of 2006 Sch. 1 cl. 82(4); No. 33 of 2010 s. 25.]</w:t>
      </w:r>
    </w:p>
    <w:p>
      <w:pPr>
        <w:pStyle w:val="Heading5"/>
        <w:rPr>
          <w:snapToGrid w:val="0"/>
        </w:rPr>
      </w:pPr>
      <w:bookmarkStart w:id="100" w:name="_Toc199942979"/>
      <w:r>
        <w:rPr>
          <w:rStyle w:val="CharSectno"/>
        </w:rPr>
        <w:t>57</w:t>
      </w:r>
      <w:r>
        <w:rPr>
          <w:snapToGrid w:val="0"/>
        </w:rPr>
        <w:t>.</w:t>
      </w:r>
      <w:r>
        <w:rPr>
          <w:snapToGrid w:val="0"/>
        </w:rPr>
        <w:tab/>
        <w:t>Action if a House not sitting</w:t>
      </w:r>
      <w:bookmarkEnd w:id="100"/>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No. 8 of 2009 s. 73.]</w:t>
      </w:r>
    </w:p>
    <w:p>
      <w:pPr>
        <w:pStyle w:val="Heading5"/>
        <w:rPr>
          <w:snapToGrid w:val="0"/>
        </w:rPr>
      </w:pPr>
      <w:bookmarkStart w:id="101" w:name="_Toc199942980"/>
      <w:r>
        <w:rPr>
          <w:rStyle w:val="CharSectno"/>
        </w:rPr>
        <w:t>58</w:t>
      </w:r>
      <w:r>
        <w:rPr>
          <w:snapToGrid w:val="0"/>
        </w:rPr>
        <w:t>.</w:t>
      </w:r>
      <w:r>
        <w:rPr>
          <w:snapToGrid w:val="0"/>
        </w:rPr>
        <w:tab/>
        <w:t>Saving</w:t>
      </w:r>
      <w:bookmarkEnd w:id="101"/>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02" w:name="_Toc199942981"/>
      <w:r>
        <w:rPr>
          <w:rStyle w:val="CharPartNo"/>
        </w:rPr>
        <w:lastRenderedPageBreak/>
        <w:t>Part 4</w:t>
      </w:r>
      <w:r>
        <w:rPr>
          <w:rStyle w:val="CharDivNo"/>
        </w:rPr>
        <w:t> </w:t>
      </w:r>
      <w:r>
        <w:t>—</w:t>
      </w:r>
      <w:r>
        <w:rPr>
          <w:rStyle w:val="CharDivText"/>
        </w:rPr>
        <w:t> </w:t>
      </w:r>
      <w:r>
        <w:rPr>
          <w:rStyle w:val="CharPartText"/>
        </w:rPr>
        <w:t>Director’s powers to obtain information and entry to premises</w:t>
      </w:r>
      <w:bookmarkEnd w:id="102"/>
    </w:p>
    <w:p>
      <w:pPr>
        <w:pStyle w:val="Heading5"/>
        <w:rPr>
          <w:snapToGrid w:val="0"/>
        </w:rPr>
      </w:pPr>
      <w:bookmarkStart w:id="103" w:name="_Toc199942982"/>
      <w:r>
        <w:rPr>
          <w:rStyle w:val="CharSectno"/>
        </w:rPr>
        <w:t>59</w:t>
      </w:r>
      <w:r>
        <w:rPr>
          <w:snapToGrid w:val="0"/>
        </w:rPr>
        <w:t>.</w:t>
      </w:r>
      <w:r>
        <w:rPr>
          <w:snapToGrid w:val="0"/>
        </w:rPr>
        <w:tab/>
        <w:t>Restriction on powers</w:t>
      </w:r>
      <w:bookmarkEnd w:id="10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a Director</w:t>
      </w:r>
      <w:r>
        <w:noBreakHyphen/>
        <w:t>initiated investigation or an investigation under section</w:t>
      </w:r>
      <w:r>
        <w:rPr>
          <w:snapToGrid w:val="0"/>
        </w:rPr>
        <w:t xml:space="preserve"> 45 or 56(3), but not otherwise.</w:t>
      </w:r>
    </w:p>
    <w:p>
      <w:pPr>
        <w:pStyle w:val="Footnotesection"/>
        <w:spacing w:before="100"/>
        <w:ind w:left="890" w:hanging="890"/>
      </w:pPr>
      <w:r>
        <w:tab/>
        <w:t>[Section 59 amended: No. 33 of 2010 s. 26; No. 35 of 2022 s. 32.]</w:t>
      </w:r>
    </w:p>
    <w:p>
      <w:pPr>
        <w:pStyle w:val="Heading5"/>
        <w:rPr>
          <w:snapToGrid w:val="0"/>
        </w:rPr>
      </w:pPr>
      <w:bookmarkStart w:id="104" w:name="_Toc199942983"/>
      <w:r>
        <w:rPr>
          <w:rStyle w:val="CharSectno"/>
        </w:rPr>
        <w:t>60</w:t>
      </w:r>
      <w:r>
        <w:rPr>
          <w:snapToGrid w:val="0"/>
        </w:rPr>
        <w:t>.</w:t>
      </w:r>
      <w:r>
        <w:rPr>
          <w:snapToGrid w:val="0"/>
        </w:rPr>
        <w:tab/>
        <w:t>Power to summons and related powers</w:t>
      </w:r>
      <w:bookmarkEnd w:id="10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 xml:space="preserve">by notice in writing given to a person require the person to produce at a place and time specified in the notice any book, document, </w:t>
      </w:r>
      <w:r>
        <w:t>record or other thing</w:t>
      </w:r>
      <w:r>
        <w:rPr>
          <w:snapToGrid w:val="0"/>
        </w:rPr>
        <w:t xml:space="preserve"> that is in the possession or under the control of the person and that is relevant to an investigation.</w:t>
      </w:r>
    </w:p>
    <w:p>
      <w:pPr>
        <w:pStyle w:val="Subsection"/>
      </w:pPr>
      <w:r>
        <w:tab/>
        <w:t>(1A)</w:t>
      </w:r>
      <w:r>
        <w:tab/>
        <w:t>The Director may direct a person attending in response to a notice under subsection (1) —</w:t>
      </w:r>
    </w:p>
    <w:p>
      <w:pPr>
        <w:pStyle w:val="Indenta"/>
      </w:pPr>
      <w:r>
        <w:tab/>
        <w:t>(a)</w:t>
      </w:r>
      <w:r>
        <w:tab/>
        <w:t>to give such information as is requested in relation to any matter; or</w:t>
      </w:r>
    </w:p>
    <w:p>
      <w:pPr>
        <w:pStyle w:val="Indenta"/>
      </w:pPr>
      <w:r>
        <w:tab/>
        <w:t>(b)</w:t>
      </w:r>
      <w:r>
        <w:tab/>
        <w:t>to answer a question put to the person.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lastRenderedPageBreak/>
        <w:tab/>
        <w:t>(3)</w:t>
      </w:r>
      <w:r>
        <w:rPr>
          <w:snapToGrid w:val="0"/>
        </w:rPr>
        <w:tab/>
        <w:t xml:space="preserve">The Director may inspect any book, document, </w:t>
      </w:r>
      <w:r>
        <w:t xml:space="preserve">record or other thing </w:t>
      </w:r>
      <w:r>
        <w:rPr>
          <w:snapToGrid w:val="0"/>
        </w:rPr>
        <w:t>produced and retain it for such reasonable period as he or she thinks fit, and make copies of it or any of its contents.</w:t>
      </w:r>
    </w:p>
    <w:p>
      <w:pPr>
        <w:pStyle w:val="Subsection"/>
        <w:rPr>
          <w:snapToGrid w:val="0"/>
        </w:rPr>
      </w:pPr>
      <w:r>
        <w:rPr>
          <w:snapToGrid w:val="0"/>
        </w:rPr>
        <w:tab/>
        <w:t>(4)</w:t>
      </w:r>
      <w:r>
        <w:rPr>
          <w:snapToGrid w:val="0"/>
        </w:rPr>
        <w:tab/>
        <w:t xml:space="preserve">A person required to appear or produce documents </w:t>
      </w:r>
      <w:r>
        <w:t>or other things</w:t>
      </w:r>
      <w:r>
        <w:rPr>
          <w:snapToGrid w:val="0"/>
        </w:rPr>
        <w:t xml:space="preserve"> under subsection (1) must do so in person but may be represented by another person.</w:t>
      </w:r>
    </w:p>
    <w:p>
      <w:pPr>
        <w:pStyle w:val="Subsection"/>
      </w:pPr>
      <w:r>
        <w:tab/>
        <w:t>(5)</w:t>
      </w:r>
      <w:r>
        <w:tab/>
        <w:t xml:space="preserve">If the Director gives a notice to a person under subsection (1), the notice must state that — </w:t>
      </w:r>
    </w:p>
    <w:p>
      <w:pPr>
        <w:pStyle w:val="Indenta"/>
      </w:pPr>
      <w:r>
        <w:tab/>
        <w:t>(a)</w:t>
      </w:r>
      <w:r>
        <w:tab/>
        <w:t>under this Act, the person is required to comply with the notice; and</w:t>
      </w:r>
    </w:p>
    <w:p>
      <w:pPr>
        <w:pStyle w:val="Indenta"/>
      </w:pPr>
      <w:r>
        <w:tab/>
        <w:t>(b)</w:t>
      </w:r>
      <w:r>
        <w:tab/>
        <w:t>refusal or failure to do so may constitute an offence under section 62(1).</w:t>
      </w:r>
    </w:p>
    <w:p>
      <w:pPr>
        <w:pStyle w:val="Subsection"/>
      </w:pPr>
      <w:r>
        <w:tab/>
        <w:t>(6)</w:t>
      </w:r>
      <w:r>
        <w:tab/>
        <w:t>If the Director gives a direction to a person under subsection (1A), the Director must inform the person that —</w:t>
      </w:r>
    </w:p>
    <w:p>
      <w:pPr>
        <w:pStyle w:val="Indenta"/>
      </w:pPr>
      <w:r>
        <w:tab/>
        <w:t>(a)</w:t>
      </w:r>
      <w:r>
        <w:tab/>
        <w:t>under this Act, the person is required to comply with the direction; and</w:t>
      </w:r>
    </w:p>
    <w:p>
      <w:pPr>
        <w:pStyle w:val="Indenta"/>
      </w:pPr>
      <w:r>
        <w:tab/>
        <w:t>(b)</w:t>
      </w:r>
      <w:r>
        <w:tab/>
        <w:t>refusal or failure to do so may constitute an offence under section 62(1).</w:t>
      </w:r>
    </w:p>
    <w:p>
      <w:pPr>
        <w:pStyle w:val="Footnotesection"/>
      </w:pPr>
      <w:r>
        <w:tab/>
        <w:t>[Section 60 amended: No. 35 of 2022 s. 33.]</w:t>
      </w:r>
    </w:p>
    <w:p>
      <w:pPr>
        <w:pStyle w:val="Heading5"/>
        <w:rPr>
          <w:snapToGrid w:val="0"/>
        </w:rPr>
      </w:pPr>
      <w:bookmarkStart w:id="105" w:name="_Toc199942984"/>
      <w:r>
        <w:rPr>
          <w:rStyle w:val="CharSectno"/>
        </w:rPr>
        <w:t>61</w:t>
      </w:r>
      <w:r>
        <w:rPr>
          <w:snapToGrid w:val="0"/>
        </w:rPr>
        <w:t>.</w:t>
      </w:r>
      <w:r>
        <w:rPr>
          <w:snapToGrid w:val="0"/>
        </w:rPr>
        <w:tab/>
        <w:t>False statements</w:t>
      </w:r>
      <w:bookmarkEnd w:id="10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a Director</w:t>
      </w:r>
      <w:r>
        <w:noBreakHyphen/>
        <w:t>initiated investigation or an investigation under section</w:t>
      </w:r>
      <w:r>
        <w:rPr>
          <w:snapToGrid w:val="0"/>
        </w:rPr>
        <w:t xml:space="preserve"> 45 or 56(3) that the person knows to be false or misleading in a material respect.</w:t>
      </w:r>
    </w:p>
    <w:p>
      <w:pPr>
        <w:pStyle w:val="Penstart"/>
        <w:rPr>
          <w:snapToGrid w:val="0"/>
        </w:rPr>
      </w:pPr>
      <w:r>
        <w:rPr>
          <w:snapToGrid w:val="0"/>
        </w:rPr>
        <w:tab/>
      </w:r>
      <w:r>
        <w:t>Penalty: a fine of</w:t>
      </w:r>
      <w:r>
        <w:rPr>
          <w:snapToGrid w:val="0"/>
        </w:rPr>
        <w:t xml:space="preserve"> $2 500.</w:t>
      </w:r>
    </w:p>
    <w:p>
      <w:pPr>
        <w:pStyle w:val="Footnotesection"/>
      </w:pPr>
      <w:r>
        <w:tab/>
        <w:t>[Section 61 amended: No. 33 of 2010 s. 27; No. 35 of 2022 s. 34.]</w:t>
      </w:r>
    </w:p>
    <w:p>
      <w:pPr>
        <w:pStyle w:val="Heading5"/>
        <w:rPr>
          <w:snapToGrid w:val="0"/>
        </w:rPr>
      </w:pPr>
      <w:bookmarkStart w:id="106" w:name="_Toc199942985"/>
      <w:r>
        <w:rPr>
          <w:rStyle w:val="CharSectno"/>
        </w:rPr>
        <w:lastRenderedPageBreak/>
        <w:t>62</w:t>
      </w:r>
      <w:r>
        <w:rPr>
          <w:snapToGrid w:val="0"/>
        </w:rPr>
        <w:t>.</w:t>
      </w:r>
      <w:r>
        <w:rPr>
          <w:snapToGrid w:val="0"/>
        </w:rPr>
        <w:tab/>
        <w:t>Failure to comply with notice or direction given under s. 60</w:t>
      </w:r>
      <w:bookmarkEnd w:id="106"/>
      <w:r>
        <w:rPr>
          <w:snapToGrid w:val="0"/>
        </w:rPr>
        <w:t xml:space="preserve"> </w:t>
      </w:r>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 xml:space="preserve">to produce a book, </w:t>
      </w:r>
      <w:r>
        <w:t>document, record or other thing; or</w:t>
      </w:r>
    </w:p>
    <w:p>
      <w:pPr>
        <w:pStyle w:val="Indenta"/>
      </w:pPr>
      <w:r>
        <w:tab/>
        <w:t>(c)</w:t>
      </w:r>
      <w:r>
        <w:tab/>
        <w:t>to give information or answer a question,</w:t>
      </w:r>
    </w:p>
    <w:p>
      <w:pPr>
        <w:pStyle w:val="Subsection"/>
        <w:rPr>
          <w:snapToGrid w:val="0"/>
        </w:rPr>
      </w:pPr>
      <w:r>
        <w:rPr>
          <w:snapToGrid w:val="0"/>
        </w:rPr>
        <w:tab/>
      </w:r>
      <w:r>
        <w:rPr>
          <w:snapToGrid w:val="0"/>
        </w:rPr>
        <w:tab/>
        <w:t xml:space="preserve">as required by a notice </w:t>
      </w:r>
      <w:r>
        <w:t>or a direction</w:t>
      </w:r>
      <w:r>
        <w:rPr>
          <w:snapToGrid w:val="0"/>
        </w:rPr>
        <w:t xml:space="preserve"> under section 60.</w:t>
      </w:r>
    </w:p>
    <w:p>
      <w:pPr>
        <w:pStyle w:val="Penstart"/>
        <w:rPr>
          <w:snapToGrid w:val="0"/>
        </w:rPr>
      </w:pPr>
      <w:r>
        <w:rPr>
          <w:snapToGrid w:val="0"/>
        </w:rPr>
        <w:tab/>
      </w:r>
      <w:r>
        <w:t>Penalty for this subsection: a fine of</w:t>
      </w:r>
      <w:r>
        <w:rPr>
          <w:snapToGrid w:val="0"/>
        </w:rPr>
        <w:t xml:space="preserve">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r>
      <w:r>
        <w:t>Penalty for this subsection: a fine of</w:t>
      </w:r>
      <w:r>
        <w:rPr>
          <w:snapToGrid w:val="0"/>
        </w:rPr>
        <w:t xml:space="preserve"> $2 500.</w:t>
      </w:r>
    </w:p>
    <w:p>
      <w:pPr>
        <w:pStyle w:val="Footnotesection"/>
      </w:pPr>
      <w:r>
        <w:tab/>
        <w:t>[Section 62 amended: No. 35 of 2022 s. 35.]</w:t>
      </w:r>
    </w:p>
    <w:p>
      <w:pPr>
        <w:pStyle w:val="Heading5"/>
        <w:rPr>
          <w:snapToGrid w:val="0"/>
        </w:rPr>
      </w:pPr>
      <w:bookmarkStart w:id="107" w:name="_Toc199942986"/>
      <w:r>
        <w:rPr>
          <w:rStyle w:val="CharSectno"/>
        </w:rPr>
        <w:t>63</w:t>
      </w:r>
      <w:r>
        <w:rPr>
          <w:snapToGrid w:val="0"/>
        </w:rPr>
        <w:t>.</w:t>
      </w:r>
      <w:r>
        <w:rPr>
          <w:snapToGrid w:val="0"/>
        </w:rPr>
        <w:tab/>
        <w:t>Application for warrant to enter premises etc.</w:t>
      </w:r>
      <w:bookmarkEnd w:id="107"/>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lastRenderedPageBreak/>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No. 24 of 2000 s. 17.]</w:t>
      </w:r>
    </w:p>
    <w:p>
      <w:pPr>
        <w:pStyle w:val="Heading5"/>
        <w:rPr>
          <w:snapToGrid w:val="0"/>
        </w:rPr>
      </w:pPr>
      <w:bookmarkStart w:id="108" w:name="_Toc199942987"/>
      <w:r>
        <w:rPr>
          <w:rStyle w:val="CharSectno"/>
        </w:rPr>
        <w:t>64</w:t>
      </w:r>
      <w:r>
        <w:rPr>
          <w:snapToGrid w:val="0"/>
        </w:rPr>
        <w:t>.</w:t>
      </w:r>
      <w:r>
        <w:rPr>
          <w:snapToGrid w:val="0"/>
        </w:rPr>
        <w:tab/>
        <w:t>Issue of warrant</w:t>
      </w:r>
      <w:bookmarkEnd w:id="108"/>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a Director</w:t>
      </w:r>
      <w:r>
        <w:noBreakHyphen/>
        <w:t>initiated investigation or an investigation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pPr>
      <w:r>
        <w:tab/>
        <w:t>(aa)</w:t>
      </w:r>
      <w:r>
        <w:tab/>
        <w:t>to inspect any thing at the premises; and</w:t>
      </w:r>
    </w:p>
    <w:p>
      <w:pPr>
        <w:pStyle w:val="Indenta"/>
      </w:pPr>
      <w:r>
        <w:tab/>
        <w:t>(ab)</w:t>
      </w:r>
      <w:r>
        <w:tab/>
        <w:t>to search the premises or any thing at the premises; and</w:t>
      </w:r>
    </w:p>
    <w:p>
      <w:pPr>
        <w:pStyle w:val="Indenta"/>
      </w:pPr>
      <w:r>
        <w:tab/>
        <w:t>(ac)</w:t>
      </w:r>
      <w:r>
        <w:tab/>
        <w:t>to examine, measure, test, photograph or film any part of the premises or any thing at the premises; and</w:t>
      </w:r>
    </w:p>
    <w:p>
      <w:pPr>
        <w:pStyle w:val="Indenta"/>
      </w:pPr>
      <w:r>
        <w:tab/>
        <w:t>(ad)</w:t>
      </w:r>
      <w:r>
        <w:tab/>
        <w:t>to operate equipment, including (without limitation) a computer, or facilities at the premises or direct a person at the premises to do so; and</w:t>
      </w:r>
    </w:p>
    <w:p>
      <w:pPr>
        <w:pStyle w:val="Indenta"/>
      </w:pPr>
      <w:r>
        <w:tab/>
        <w:t>(ae)</w:t>
      </w:r>
      <w:r>
        <w:tab/>
        <w:t>to take any thing, or a sample of or from any thing, at the premises for analysis or testing;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lastRenderedPageBreak/>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to take with him or her such </w:t>
      </w:r>
      <w:r>
        <w:t>persons, equipment and materials</w:t>
      </w:r>
      <w:r>
        <w:rPr>
          <w:snapToGrid w:val="0"/>
        </w:rPr>
        <w:t xml:space="preserve">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 xml:space="preserve">to inspect and take copies of or extracts </w:t>
      </w:r>
      <w:r>
        <w:t>from, download or print out</w:t>
      </w:r>
      <w:r>
        <w:rPr>
          <w:snapToGrid w:val="0"/>
        </w:rPr>
        <w:t xml:space="preserve"> documents produced in compliance with a requirement made under </w:t>
      </w:r>
      <w:r>
        <w:t>paragraph (d) or any other documents at the premises that may be relevant to the investigation.</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No. 33 of 2010 s. 28; No. 35 of 2022 s. 36.]</w:t>
      </w:r>
    </w:p>
    <w:p>
      <w:pPr>
        <w:pStyle w:val="Heading5"/>
        <w:rPr>
          <w:snapToGrid w:val="0"/>
        </w:rPr>
      </w:pPr>
      <w:bookmarkStart w:id="109" w:name="_Toc199942988"/>
      <w:r>
        <w:rPr>
          <w:rStyle w:val="CharSectno"/>
        </w:rPr>
        <w:t>65</w:t>
      </w:r>
      <w:r>
        <w:rPr>
          <w:snapToGrid w:val="0"/>
        </w:rPr>
        <w:t>.</w:t>
      </w:r>
      <w:r>
        <w:rPr>
          <w:snapToGrid w:val="0"/>
        </w:rPr>
        <w:tab/>
        <w:t>Execution of warrant</w:t>
      </w:r>
      <w:bookmarkEnd w:id="10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pPr>
      <w:r>
        <w:lastRenderedPageBreak/>
        <w:tab/>
        <w:t>(1A)</w:t>
      </w:r>
      <w:r>
        <w:tab/>
        <w:t xml:space="preserve">A member of the staff of the Office executing a warrant must — </w:t>
      </w:r>
    </w:p>
    <w:p>
      <w:pPr>
        <w:pStyle w:val="Indenta"/>
      </w:pPr>
      <w:r>
        <w:tab/>
        <w:t>(a)</w:t>
      </w:r>
      <w:r>
        <w:tab/>
        <w:t>produce an identity card given to the member of staff under section 17A for inspection by the occupier or a person in charge of the premises; or</w:t>
      </w:r>
    </w:p>
    <w:p>
      <w:pPr>
        <w:pStyle w:val="Indenta"/>
      </w:pPr>
      <w:r>
        <w:tab/>
        <w:t>(b)</w:t>
      </w:r>
      <w:r>
        <w:tab/>
        <w:t>display an identity card given to the member of staff under section 17A so it is clearly visible to the occupier or person in charge of the premises.</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65 amended: No. 35 of 2022 s. 37.]</w:t>
      </w:r>
    </w:p>
    <w:p>
      <w:pPr>
        <w:pStyle w:val="Heading5"/>
        <w:rPr>
          <w:snapToGrid w:val="0"/>
        </w:rPr>
      </w:pPr>
      <w:bookmarkStart w:id="110" w:name="_Toc199942989"/>
      <w:r>
        <w:rPr>
          <w:rStyle w:val="CharSectno"/>
        </w:rPr>
        <w:t>66</w:t>
      </w:r>
      <w:r>
        <w:rPr>
          <w:snapToGrid w:val="0"/>
        </w:rPr>
        <w:t>.</w:t>
      </w:r>
      <w:r>
        <w:rPr>
          <w:snapToGrid w:val="0"/>
        </w:rPr>
        <w:tab/>
        <w:t>Offences relating to warrants</w:t>
      </w:r>
      <w:bookmarkEnd w:id="110"/>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lastRenderedPageBreak/>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11" w:name="_Toc199942990"/>
      <w:r>
        <w:rPr>
          <w:rStyle w:val="CharSectno"/>
        </w:rPr>
        <w:t>67</w:t>
      </w:r>
      <w:r>
        <w:rPr>
          <w:snapToGrid w:val="0"/>
        </w:rPr>
        <w:t>.</w:t>
      </w:r>
      <w:r>
        <w:rPr>
          <w:snapToGrid w:val="0"/>
        </w:rPr>
        <w:tab/>
        <w:t>Information etc. that may be withheld</w:t>
      </w:r>
      <w:bookmarkEnd w:id="111"/>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 xml:space="preserve">refusing to answer a question or produce a book, </w:t>
      </w:r>
      <w:r>
        <w:t>document, record or other thing because the answer would relate to, or the book, document, record or thing</w:t>
      </w:r>
      <w:r>
        <w:rPr>
          <w:snapToGrid w:val="0"/>
        </w:rPr>
        <w:t xml:space="preserve"> contains, information in respect of which the person claims legal professional privilege; or</w:t>
      </w:r>
    </w:p>
    <w:p>
      <w:pPr>
        <w:pStyle w:val="Indenta"/>
        <w:rPr>
          <w:snapToGrid w:val="0"/>
        </w:rPr>
      </w:pPr>
      <w:r>
        <w:rPr>
          <w:snapToGrid w:val="0"/>
        </w:rPr>
        <w:tab/>
        <w:t>(b)</w:t>
      </w:r>
      <w:r>
        <w:rPr>
          <w:snapToGrid w:val="0"/>
        </w:rPr>
        <w:tab/>
        <w:t xml:space="preserve">refusing to answer a question or produce a book, </w:t>
      </w:r>
      <w:r>
        <w:t>document, record or thing if the answer, or the information in the book, document, record or thing</w:t>
      </w:r>
      <w:r>
        <w:rPr>
          <w:snapToGrid w:val="0"/>
        </w:rPr>
        <w:t xml:space="preserve">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Footnotesection"/>
      </w:pPr>
      <w:r>
        <w:tab/>
        <w:t>[Section 67 amended: No. 35 of 2022 s. 38.]</w:t>
      </w:r>
    </w:p>
    <w:p>
      <w:pPr>
        <w:pStyle w:val="Heading2"/>
      </w:pPr>
      <w:bookmarkStart w:id="112" w:name="_Toc199942991"/>
      <w:r>
        <w:rPr>
          <w:rStyle w:val="CharPartNo"/>
        </w:rPr>
        <w:lastRenderedPageBreak/>
        <w:t>Part 5</w:t>
      </w:r>
      <w:r>
        <w:rPr>
          <w:rStyle w:val="CharDivNo"/>
        </w:rPr>
        <w:t> </w:t>
      </w:r>
      <w:r>
        <w:t>—</w:t>
      </w:r>
      <w:r>
        <w:rPr>
          <w:rStyle w:val="CharDivText"/>
        </w:rPr>
        <w:t> </w:t>
      </w:r>
      <w:r>
        <w:rPr>
          <w:rStyle w:val="CharPartText"/>
        </w:rPr>
        <w:t>General</w:t>
      </w:r>
      <w:bookmarkEnd w:id="112"/>
    </w:p>
    <w:p>
      <w:pPr>
        <w:pStyle w:val="Heading5"/>
        <w:rPr>
          <w:snapToGrid w:val="0"/>
        </w:rPr>
      </w:pPr>
      <w:bookmarkStart w:id="113" w:name="_Toc199942992"/>
      <w:r>
        <w:rPr>
          <w:rStyle w:val="CharSectno"/>
        </w:rPr>
        <w:t>68</w:t>
      </w:r>
      <w:r>
        <w:rPr>
          <w:snapToGrid w:val="0"/>
        </w:rPr>
        <w:t>.</w:t>
      </w:r>
      <w:r>
        <w:rPr>
          <w:snapToGrid w:val="0"/>
        </w:rPr>
        <w:tab/>
        <w:t>Register of complaints</w:t>
      </w:r>
      <w:bookmarkEnd w:id="113"/>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pPr>
      <w:bookmarkStart w:id="114" w:name="_Toc199942993"/>
      <w:r>
        <w:rPr>
          <w:rStyle w:val="CharSectno"/>
        </w:rPr>
        <w:t>68A</w:t>
      </w:r>
      <w:r>
        <w:t>.</w:t>
      </w:r>
      <w:r>
        <w:tab/>
        <w:t>Disclosure of information to other Commonwealth, State or Territory entities</w:t>
      </w:r>
      <w:bookmarkEnd w:id="114"/>
    </w:p>
    <w:p>
      <w:pPr>
        <w:pStyle w:val="Subsection"/>
      </w:pPr>
      <w:r>
        <w:tab/>
        <w:t>(1)</w:t>
      </w:r>
      <w:r>
        <w:tab/>
        <w:t xml:space="preserve">In this section — </w:t>
      </w:r>
    </w:p>
    <w:p>
      <w:pPr>
        <w:pStyle w:val="Defstart"/>
      </w:pPr>
      <w:r>
        <w:tab/>
      </w:r>
      <w:r>
        <w:rPr>
          <w:rStyle w:val="CharDefText"/>
        </w:rPr>
        <w:t>protected information</w:t>
      </w:r>
      <w:r>
        <w:t xml:space="preserve"> means information that comes to the knowledge of the Director or a member of the staff of the Office in the course of, or because of, exercising functions under this Act;</w:t>
      </w:r>
    </w:p>
    <w:p>
      <w:pPr>
        <w:pStyle w:val="Defstart"/>
      </w:pPr>
      <w:r>
        <w:tab/>
      </w:r>
      <w:r>
        <w:rPr>
          <w:rStyle w:val="CharDefText"/>
        </w:rPr>
        <w:t>relevant entity</w:t>
      </w:r>
      <w:r>
        <w:t xml:space="preserve"> means — </w:t>
      </w:r>
    </w:p>
    <w:p>
      <w:pPr>
        <w:pStyle w:val="Defpara"/>
      </w:pPr>
      <w:r>
        <w:tab/>
        <w:t>(a)</w:t>
      </w:r>
      <w:r>
        <w:tab/>
        <w:t xml:space="preserve">the Australian Health Practitioner Regulation Agency established under the </w:t>
      </w:r>
      <w:r>
        <w:rPr>
          <w:i/>
        </w:rPr>
        <w:t>Health Practitioner Regulation National Law (Western Australia)</w:t>
      </w:r>
      <w:r>
        <w:t>; or</w:t>
      </w:r>
    </w:p>
    <w:p>
      <w:pPr>
        <w:pStyle w:val="Defpara"/>
      </w:pPr>
      <w:r>
        <w:lastRenderedPageBreak/>
        <w:tab/>
        <w:t>(b)</w:t>
      </w:r>
      <w:r>
        <w:tab/>
        <w:t>a registration board; or</w:t>
      </w:r>
    </w:p>
    <w:p>
      <w:pPr>
        <w:pStyle w:val="Defpara"/>
      </w:pPr>
      <w:r>
        <w:tab/>
        <w:t>(c)</w:t>
      </w:r>
      <w:r>
        <w:tab/>
        <w:t>another entity of the Commonwealth, another State or a Territory that has functions similar to functions of the Director.</w:t>
      </w:r>
    </w:p>
    <w:p>
      <w:pPr>
        <w:pStyle w:val="Subsection"/>
      </w:pPr>
      <w:r>
        <w:tab/>
        <w:t>(2)</w:t>
      </w:r>
      <w:r>
        <w:tab/>
        <w:t xml:space="preserve">In exercising functions under this Act, the Director may disclose protected information to a relevant entity if the Director is satisfied that — </w:t>
      </w:r>
    </w:p>
    <w:p>
      <w:pPr>
        <w:pStyle w:val="Indenta"/>
      </w:pPr>
      <w:r>
        <w:tab/>
        <w:t>(a)</w:t>
      </w:r>
      <w:r>
        <w:tab/>
        <w:t>the protected information will be collected, stored and used by the relevant entity in a way that ensures the privacy of the persons to whom it relates is protected; and</w:t>
      </w:r>
    </w:p>
    <w:p>
      <w:pPr>
        <w:pStyle w:val="Indenta"/>
      </w:pPr>
      <w:r>
        <w:tab/>
        <w:t>(b)</w:t>
      </w:r>
      <w:r>
        <w:tab/>
        <w:t>the provision of the protected information to the relevant entity is necessary to enable the relevant entity to exercise the entity’s functions.</w:t>
      </w:r>
    </w:p>
    <w:p>
      <w:pPr>
        <w:pStyle w:val="Subsection"/>
      </w:pPr>
      <w:r>
        <w:tab/>
        <w:t>(3)</w:t>
      </w:r>
      <w:r>
        <w:tab/>
        <w:t>If the Director makes an interim prohibition order or a prohibition order in relation to a health care worker, the Director may give a copy of the order to a relevant entity.</w:t>
      </w:r>
    </w:p>
    <w:p>
      <w:pPr>
        <w:pStyle w:val="Footnotesection"/>
      </w:pPr>
      <w:r>
        <w:tab/>
        <w:t>[Section 68A inserted: No. 35 of 2022 s. 39.]</w:t>
      </w:r>
    </w:p>
    <w:p>
      <w:pPr>
        <w:pStyle w:val="Heading5"/>
      </w:pPr>
      <w:bookmarkStart w:id="115" w:name="_Toc199942994"/>
      <w:r>
        <w:rPr>
          <w:rStyle w:val="CharSectno"/>
        </w:rPr>
        <w:t>68B</w:t>
      </w:r>
      <w:r>
        <w:t>.</w:t>
      </w:r>
      <w:r>
        <w:tab/>
        <w:t>Disclosure to protect health or safety of users and other persons</w:t>
      </w:r>
      <w:bookmarkEnd w:id="115"/>
    </w:p>
    <w:p>
      <w:pPr>
        <w:pStyle w:val="Subsection"/>
      </w:pPr>
      <w:r>
        <w:tab/>
        <w:t>(1)</w:t>
      </w:r>
      <w:r>
        <w:tab/>
        <w:t xml:space="preserve">This section applies if the Director reasonably believes that — </w:t>
      </w:r>
    </w:p>
    <w:p>
      <w:pPr>
        <w:pStyle w:val="Indenta"/>
      </w:pPr>
      <w:r>
        <w:tab/>
        <w:t>(a)</w:t>
      </w:r>
      <w:r>
        <w:tab/>
        <w:t>a provider poses, or may pose, a risk to public health; or</w:t>
      </w:r>
    </w:p>
    <w:p>
      <w:pPr>
        <w:pStyle w:val="Indenta"/>
      </w:pPr>
      <w:r>
        <w:tab/>
        <w:t>(b)</w:t>
      </w:r>
      <w:r>
        <w:tab/>
        <w:t>the health or safety of a person or class of persons is or may be at risk because of the provision of a health service by a provider.</w:t>
      </w:r>
    </w:p>
    <w:p>
      <w:pPr>
        <w:pStyle w:val="Subsection"/>
      </w:pPr>
      <w:r>
        <w:tab/>
        <w:t>(2)</w:t>
      </w:r>
      <w:r>
        <w:tab/>
        <w:t>The Director may give written notice of the risk and any relevant information about the provider to an entity of this State, another State, a Territory or the Commonwealth that the Director considers may be required to take action in relation to the risk.</w:t>
      </w:r>
    </w:p>
    <w:p>
      <w:pPr>
        <w:pStyle w:val="Footnotesection"/>
      </w:pPr>
      <w:r>
        <w:tab/>
        <w:t>[Section 68B inserted: No. 35 of 2022 s. 39.]</w:t>
      </w:r>
    </w:p>
    <w:p>
      <w:pPr>
        <w:pStyle w:val="Heading5"/>
        <w:rPr>
          <w:snapToGrid w:val="0"/>
        </w:rPr>
      </w:pPr>
      <w:bookmarkStart w:id="116" w:name="_Toc199942995"/>
      <w:r>
        <w:rPr>
          <w:rStyle w:val="CharSectno"/>
        </w:rPr>
        <w:lastRenderedPageBreak/>
        <w:t>69</w:t>
      </w:r>
      <w:r>
        <w:rPr>
          <w:snapToGrid w:val="0"/>
        </w:rPr>
        <w:t>.</w:t>
      </w:r>
      <w:r>
        <w:rPr>
          <w:snapToGrid w:val="0"/>
        </w:rPr>
        <w:tab/>
        <w:t>Protection of Director etc. from personal liability</w:t>
      </w:r>
      <w:bookmarkEnd w:id="116"/>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17" w:name="_Toc199942996"/>
      <w:r>
        <w:rPr>
          <w:rStyle w:val="CharSectno"/>
        </w:rPr>
        <w:t>70</w:t>
      </w:r>
      <w:r>
        <w:rPr>
          <w:snapToGrid w:val="0"/>
        </w:rPr>
        <w:t>.</w:t>
      </w:r>
      <w:r>
        <w:rPr>
          <w:snapToGrid w:val="0"/>
        </w:rPr>
        <w:tab/>
        <w:t>Protection of other persons</w:t>
      </w:r>
      <w:bookmarkEnd w:id="117"/>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 xml:space="preserve">giving or tendering information or evidence for the purpose of conciliation or investigation proceedings under </w:t>
      </w:r>
      <w:r>
        <w:t>this Act;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Footnotesection"/>
      </w:pPr>
      <w:r>
        <w:tab/>
        <w:t>[Section 70 amended: No. 35 of 2022 s. 40.]</w:t>
      </w:r>
    </w:p>
    <w:p>
      <w:pPr>
        <w:pStyle w:val="Heading5"/>
        <w:rPr>
          <w:snapToGrid w:val="0"/>
        </w:rPr>
      </w:pPr>
      <w:bookmarkStart w:id="118" w:name="_Toc199942997"/>
      <w:r>
        <w:rPr>
          <w:rStyle w:val="CharSectno"/>
        </w:rPr>
        <w:lastRenderedPageBreak/>
        <w:t>71</w:t>
      </w:r>
      <w:r>
        <w:rPr>
          <w:snapToGrid w:val="0"/>
        </w:rPr>
        <w:t>.</w:t>
      </w:r>
      <w:r>
        <w:rPr>
          <w:snapToGrid w:val="0"/>
        </w:rPr>
        <w:tab/>
        <w:t>Confidentiality</w:t>
      </w:r>
      <w:bookmarkEnd w:id="118"/>
    </w:p>
    <w:p>
      <w:pPr>
        <w:pStyle w:val="Subsection"/>
        <w:keepNext/>
        <w:keepLines/>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lastRenderedPageBreak/>
        <w:tab/>
        <w:t>(d)</w:t>
      </w:r>
      <w:r>
        <w:rPr>
          <w:snapToGrid w:val="0"/>
        </w:rPr>
        <w:tab/>
        <w:t>being a person who has received a notice under section 33(a), 35(1) or (3), 37, or 50(2) or (3) or a copy of a communication under section 33(b).</w:t>
      </w:r>
    </w:p>
    <w:p>
      <w:pPr>
        <w:pStyle w:val="Footnotesection"/>
      </w:pPr>
      <w:r>
        <w:tab/>
        <w:t>[Section 71 amended: No. 35 of 2010 s. 90.]</w:t>
      </w:r>
    </w:p>
    <w:p>
      <w:pPr>
        <w:pStyle w:val="Heading5"/>
      </w:pPr>
      <w:bookmarkStart w:id="119" w:name="_Toc199942998"/>
      <w:r>
        <w:rPr>
          <w:rStyle w:val="CharSectno"/>
        </w:rPr>
        <w:t>71A</w:t>
      </w:r>
      <w:r>
        <w:t>.</w:t>
      </w:r>
      <w:r>
        <w:tab/>
        <w:t>Criminal record checks</w:t>
      </w:r>
      <w:bookmarkEnd w:id="119"/>
    </w:p>
    <w:p>
      <w:pPr>
        <w:pStyle w:val="Subsection"/>
      </w:pPr>
      <w:r>
        <w:tab/>
        <w:t>(1)</w:t>
      </w:r>
      <w:r>
        <w:tab/>
        <w:t xml:space="preserve">In this section — </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criminal record</w:t>
      </w:r>
      <w:r>
        <w:t>, in relation to a health care worker, means the criminal record of the health care worker kept by the Commissioner of Police;</w:t>
      </w:r>
    </w:p>
    <w:p>
      <w:pPr>
        <w:pStyle w:val="Defstart"/>
      </w:pPr>
      <w:r>
        <w:tab/>
      </w:r>
      <w:r>
        <w:rPr>
          <w:rStyle w:val="CharDefText"/>
        </w:rPr>
        <w:t>relevant decision</w:t>
      </w:r>
      <w:r>
        <w:t xml:space="preserve">, in relation to a health care worker, means a decision whether to — </w:t>
      </w:r>
    </w:p>
    <w:p>
      <w:pPr>
        <w:pStyle w:val="Defpara"/>
      </w:pPr>
      <w:r>
        <w:tab/>
        <w:t>(a)</w:t>
      </w:r>
      <w:r>
        <w:tab/>
        <w:t>make an interim prohibition order in relation to the health care worker; or</w:t>
      </w:r>
    </w:p>
    <w:p>
      <w:pPr>
        <w:pStyle w:val="Defpara"/>
      </w:pPr>
      <w:r>
        <w:tab/>
        <w:t>(b)</w:t>
      </w:r>
      <w:r>
        <w:tab/>
        <w:t>make a prohibition order in relation to the health care worker; or</w:t>
      </w:r>
    </w:p>
    <w:p>
      <w:pPr>
        <w:pStyle w:val="Defpara"/>
      </w:pPr>
      <w:r>
        <w:tab/>
        <w:t>(c)</w:t>
      </w:r>
      <w:r>
        <w:tab/>
        <w:t>publish a public health warning statement in relation to the health care worker.</w:t>
      </w:r>
    </w:p>
    <w:p>
      <w:pPr>
        <w:pStyle w:val="Subsection"/>
      </w:pPr>
      <w:r>
        <w:tab/>
        <w:t>(2)</w:t>
      </w:r>
      <w:r>
        <w:tab/>
        <w:t xml:space="preserve">For the purposes of making a relevant decision in relation to a health care worker, the Director may — </w:t>
      </w:r>
    </w:p>
    <w:p>
      <w:pPr>
        <w:pStyle w:val="Indenta"/>
      </w:pPr>
      <w:r>
        <w:tab/>
        <w:t>(a)</w:t>
      </w:r>
      <w:r>
        <w:tab/>
        <w:t>request that the Commissioner of Police give the Director information concerning any criminal record of the health care worker; and</w:t>
      </w:r>
    </w:p>
    <w:p>
      <w:pPr>
        <w:pStyle w:val="Indenta"/>
      </w:pPr>
      <w:r>
        <w:tab/>
        <w:t>(b)</w:t>
      </w:r>
      <w:r>
        <w:tab/>
        <w:t>for the purpose of the request, give the Commissioner of Police any information concerning the health care worker that is necessary to conduct a check on the criminal record of the health care worker.</w:t>
      </w:r>
    </w:p>
    <w:p>
      <w:pPr>
        <w:pStyle w:val="Subsection"/>
        <w:keepNext/>
      </w:pPr>
      <w:r>
        <w:lastRenderedPageBreak/>
        <w:tab/>
        <w:t>(3)</w:t>
      </w:r>
      <w:r>
        <w:tab/>
        <w:t>On a request under subsection (2), the Commissioner of Police may give the information sought to the Director.</w:t>
      </w:r>
    </w:p>
    <w:p>
      <w:pPr>
        <w:pStyle w:val="Footnotesection"/>
        <w:keepNext/>
      </w:pPr>
      <w:r>
        <w:tab/>
        <w:t>[Section 71A inserted: No. 35 of 2022 s. 41.]</w:t>
      </w:r>
    </w:p>
    <w:p>
      <w:pPr>
        <w:pStyle w:val="Heading5"/>
        <w:rPr>
          <w:snapToGrid w:val="0"/>
        </w:rPr>
      </w:pPr>
      <w:bookmarkStart w:id="120" w:name="_Toc199942999"/>
      <w:r>
        <w:rPr>
          <w:rStyle w:val="CharSectno"/>
        </w:rPr>
        <w:t>72</w:t>
      </w:r>
      <w:r>
        <w:rPr>
          <w:snapToGrid w:val="0"/>
        </w:rPr>
        <w:t>.</w:t>
      </w:r>
      <w:r>
        <w:rPr>
          <w:snapToGrid w:val="0"/>
        </w:rPr>
        <w:tab/>
        <w:t>False statements</w:t>
      </w:r>
      <w:bookmarkEnd w:id="120"/>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21" w:name="_Toc199943000"/>
      <w:r>
        <w:rPr>
          <w:rStyle w:val="CharSectno"/>
        </w:rPr>
        <w:t>73</w:t>
      </w:r>
      <w:r>
        <w:rPr>
          <w:snapToGrid w:val="0"/>
        </w:rPr>
        <w:t>.</w:t>
      </w:r>
      <w:r>
        <w:rPr>
          <w:snapToGrid w:val="0"/>
        </w:rPr>
        <w:tab/>
        <w:t>Person not to be threatened etc. because of complaining to Director</w:t>
      </w:r>
      <w:bookmarkEnd w:id="12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22" w:name="_Toc199943001"/>
      <w:r>
        <w:rPr>
          <w:rStyle w:val="CharSectno"/>
        </w:rPr>
        <w:t>74</w:t>
      </w:r>
      <w:r>
        <w:rPr>
          <w:snapToGrid w:val="0"/>
        </w:rPr>
        <w:t>.</w:t>
      </w:r>
      <w:r>
        <w:rPr>
          <w:snapToGrid w:val="0"/>
        </w:rPr>
        <w:tab/>
        <w:t xml:space="preserve">Application of </w:t>
      </w:r>
      <w:r>
        <w:rPr>
          <w:i/>
          <w:iCs/>
          <w:snapToGrid w:val="0"/>
        </w:rPr>
        <w:t>Parliamentary Commissioner Act 1971</w:t>
      </w:r>
      <w:bookmarkEnd w:id="122"/>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23" w:name="_Toc199943002"/>
      <w:r>
        <w:rPr>
          <w:rStyle w:val="CharSectno"/>
        </w:rPr>
        <w:t>75</w:t>
      </w:r>
      <w:r>
        <w:rPr>
          <w:snapToGrid w:val="0"/>
        </w:rPr>
        <w:t>.</w:t>
      </w:r>
      <w:r>
        <w:rPr>
          <w:snapToGrid w:val="0"/>
        </w:rPr>
        <w:tab/>
        <w:t>Prescribed provider must give certain information</w:t>
      </w:r>
      <w:bookmarkEnd w:id="123"/>
    </w:p>
    <w:p>
      <w:pPr>
        <w:pStyle w:val="Subsection"/>
        <w:rPr>
          <w:snapToGrid w:val="0"/>
        </w:rPr>
      </w:pPr>
      <w:r>
        <w:rPr>
          <w:snapToGrid w:val="0"/>
        </w:rPr>
        <w:tab/>
        <w:t>(1)</w:t>
      </w:r>
      <w:r>
        <w:rPr>
          <w:snapToGrid w:val="0"/>
        </w:rPr>
        <w:tab/>
        <w:t xml:space="preserve">Within the prescribed time after 30 June in each year a prescribed provider or a provider that belongs to a prescribed </w:t>
      </w:r>
      <w:r>
        <w:rPr>
          <w:snapToGrid w:val="0"/>
        </w:rPr>
        <w:lastRenderedPageBreak/>
        <w:t>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24" w:name="_Toc199943003"/>
      <w:r>
        <w:rPr>
          <w:rStyle w:val="CharSectno"/>
        </w:rPr>
        <w:t>76</w:t>
      </w:r>
      <w:r>
        <w:rPr>
          <w:snapToGrid w:val="0"/>
        </w:rPr>
        <w:t>.</w:t>
      </w:r>
      <w:r>
        <w:rPr>
          <w:snapToGrid w:val="0"/>
        </w:rPr>
        <w:tab/>
        <w:t>Prosecutions</w:t>
      </w:r>
      <w:bookmarkEnd w:id="124"/>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25" w:name="_Toc199943004"/>
      <w:r>
        <w:rPr>
          <w:rStyle w:val="CharSectno"/>
        </w:rPr>
        <w:t>77</w:t>
      </w:r>
      <w:r>
        <w:rPr>
          <w:snapToGrid w:val="0"/>
        </w:rPr>
        <w:t>.</w:t>
      </w:r>
      <w:r>
        <w:rPr>
          <w:snapToGrid w:val="0"/>
        </w:rPr>
        <w:tab/>
        <w:t>Regulations</w:t>
      </w:r>
      <w:bookmarkEnd w:id="125"/>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pPr>
      <w:bookmarkStart w:id="126" w:name="_Toc199943005"/>
      <w:r>
        <w:rPr>
          <w:rStyle w:val="CharSectno"/>
        </w:rPr>
        <w:t>77A</w:t>
      </w:r>
      <w:r>
        <w:t>.</w:t>
      </w:r>
      <w:r>
        <w:tab/>
        <w:t>Codes of conduct</w:t>
      </w:r>
      <w:bookmarkEnd w:id="126"/>
    </w:p>
    <w:p>
      <w:pPr>
        <w:pStyle w:val="Subsection"/>
      </w:pPr>
      <w:r>
        <w:tab/>
      </w:r>
      <w:r>
        <w:tab/>
        <w:t xml:space="preserve">Regulations made under section 77 may prescribe 1 or more codes of conduct relating to the provision of health services by the following — </w:t>
      </w:r>
    </w:p>
    <w:p>
      <w:pPr>
        <w:pStyle w:val="Indenta"/>
      </w:pPr>
      <w:r>
        <w:tab/>
        <w:t>(a)</w:t>
      </w:r>
      <w:r>
        <w:tab/>
        <w:t xml:space="preserve">health care workers who are not registered providers; </w:t>
      </w:r>
    </w:p>
    <w:p>
      <w:pPr>
        <w:pStyle w:val="Indenta"/>
      </w:pPr>
      <w:r>
        <w:lastRenderedPageBreak/>
        <w:tab/>
        <w:t>(b)</w:t>
      </w:r>
      <w:r>
        <w:tab/>
        <w:t>health care workers who are registered providers and who provide health services that are unrelated to their registration.</w:t>
      </w:r>
    </w:p>
    <w:p>
      <w:pPr>
        <w:pStyle w:val="Footnotesection"/>
      </w:pPr>
      <w:r>
        <w:tab/>
        <w:t>[Section 77A inserted: No. 35 of 2022 s. 42.]</w:t>
      </w:r>
    </w:p>
    <w:p>
      <w:pPr>
        <w:pStyle w:val="Heading5"/>
        <w:rPr>
          <w:snapToGrid w:val="0"/>
        </w:rPr>
      </w:pPr>
      <w:bookmarkStart w:id="127" w:name="_Toc199943006"/>
      <w:r>
        <w:rPr>
          <w:rStyle w:val="CharSectno"/>
        </w:rPr>
        <w:t>78</w:t>
      </w:r>
      <w:r>
        <w:rPr>
          <w:snapToGrid w:val="0"/>
        </w:rPr>
        <w:t>.</w:t>
      </w:r>
      <w:r>
        <w:rPr>
          <w:snapToGrid w:val="0"/>
        </w:rPr>
        <w:tab/>
        <w:t>Transitional provision</w:t>
      </w:r>
      <w:bookmarkEnd w:id="127"/>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28" w:name="_Toc199943007"/>
      <w:r>
        <w:rPr>
          <w:rStyle w:val="CharSectno"/>
        </w:rPr>
        <w:t>79</w:t>
      </w:r>
      <w:r>
        <w:t>.</w:t>
      </w:r>
      <w:r>
        <w:tab/>
        <w:t>Review of Act</w:t>
      </w:r>
      <w:bookmarkEnd w:id="128"/>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No. 33 of 2010 s. 29.]</w:t>
      </w:r>
    </w:p>
    <w:p>
      <w:pPr>
        <w:pStyle w:val="Heading5"/>
      </w:pPr>
      <w:bookmarkStart w:id="129" w:name="_Toc199943008"/>
      <w:r>
        <w:rPr>
          <w:rStyle w:val="CharSectno"/>
        </w:rPr>
        <w:t>79A</w:t>
      </w:r>
      <w:r>
        <w:t>.</w:t>
      </w:r>
      <w:r>
        <w:tab/>
        <w:t xml:space="preserve">Review of amendments made by </w:t>
      </w:r>
      <w:r>
        <w:rPr>
          <w:i/>
          <w:noProof/>
        </w:rPr>
        <w:t>Health and Disability Services (Complaints) Amendment Act 2022</w:t>
      </w:r>
      <w:bookmarkEnd w:id="129"/>
    </w:p>
    <w:p>
      <w:pPr>
        <w:pStyle w:val="Subsection"/>
      </w:pPr>
      <w:r>
        <w:tab/>
        <w:t>(1)</w:t>
      </w:r>
      <w:r>
        <w:tab/>
      </w:r>
      <w:r>
        <w:rPr>
          <w:rFonts w:eastAsiaTheme="minorHAnsi"/>
          <w:szCs w:val="24"/>
        </w:rPr>
        <w:t xml:space="preserve">The Minister must review the operation and effectiveness of the amendments made to this Act by the </w:t>
      </w:r>
      <w:r>
        <w:rPr>
          <w:i/>
          <w:noProof/>
        </w:rPr>
        <w:t>Health and Disability Services (Complaints) Amendment Act 2022</w:t>
      </w:r>
      <w:r>
        <w:rPr>
          <w:rFonts w:eastAsiaTheme="minorHAnsi"/>
          <w:szCs w:val="24"/>
        </w:rPr>
        <w:t>, and prepare a report based on the review, as soon as practicable after the 5</w:t>
      </w:r>
      <w:r>
        <w:rPr>
          <w:rFonts w:eastAsiaTheme="minorHAnsi"/>
          <w:szCs w:val="24"/>
          <w:vertAlign w:val="superscript"/>
        </w:rPr>
        <w:t>th</w:t>
      </w:r>
      <w:r>
        <w:rPr>
          <w:rFonts w:eastAsiaTheme="minorHAnsi"/>
          <w:szCs w:val="24"/>
        </w:rPr>
        <w:t xml:space="preserve"> anniversary of the day on which the </w:t>
      </w:r>
      <w:r>
        <w:rPr>
          <w:i/>
          <w:noProof/>
        </w:rPr>
        <w:t xml:space="preserve">Health and Disability </w:t>
      </w:r>
      <w:r>
        <w:rPr>
          <w:i/>
          <w:noProof/>
        </w:rPr>
        <w:lastRenderedPageBreak/>
        <w:t>Services (Complaints) Amendment Act 2022</w:t>
      </w:r>
      <w:r>
        <w:rPr>
          <w:rFonts w:eastAsiaTheme="minorHAnsi"/>
          <w:szCs w:val="24"/>
        </w:rPr>
        <w:t xml:space="preserve"> section 43 comes into operation.</w:t>
      </w:r>
    </w:p>
    <w:p>
      <w:pPr>
        <w:pStyle w:val="Subsection"/>
        <w:keepNext/>
      </w:pPr>
      <w:r>
        <w:tab/>
        <w:t>(2)</w:t>
      </w:r>
      <w:r>
        <w:tab/>
      </w:r>
      <w:r>
        <w:rPr>
          <w:rFonts w:eastAsiaTheme="minorHAnsi"/>
          <w:szCs w:val="24"/>
        </w:rPr>
        <w:t>The Minister must cause the report to be laid before each House of Parliament as soon as practicable after it is prepared, but not later than 12 months after the 5</w:t>
      </w:r>
      <w:r>
        <w:rPr>
          <w:rFonts w:eastAsiaTheme="minorHAnsi"/>
          <w:szCs w:val="24"/>
          <w:vertAlign w:val="superscript"/>
        </w:rPr>
        <w:t>th</w:t>
      </w:r>
      <w:r>
        <w:rPr>
          <w:rFonts w:eastAsiaTheme="minorHAnsi"/>
          <w:szCs w:val="24"/>
        </w:rPr>
        <w:t> anniversary.</w:t>
      </w:r>
    </w:p>
    <w:p>
      <w:pPr>
        <w:pStyle w:val="Footnotesection"/>
      </w:pPr>
      <w:r>
        <w:tab/>
        <w:t>[Section 79A inserted: No. 35 of 2022 s. 43.]</w:t>
      </w:r>
    </w:p>
    <w:p>
      <w:pPr>
        <w:pStyle w:val="Heading5"/>
      </w:pPr>
      <w:bookmarkStart w:id="130" w:name="_Toc199943009"/>
      <w:r>
        <w:rPr>
          <w:rStyle w:val="CharSectno"/>
        </w:rPr>
        <w:t>80</w:t>
      </w:r>
      <w:r>
        <w:t>.</w:t>
      </w:r>
      <w:r>
        <w:tab/>
        <w:t>Transitional provisions</w:t>
      </w:r>
      <w:bookmarkEnd w:id="130"/>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No. 33 of 2010 s. 30.]</w:t>
      </w:r>
    </w:p>
    <w:p>
      <w:pPr>
        <w:pStyle w:val="yEdnoteschedule"/>
        <w:rPr>
          <w:snapToGrid/>
        </w:rPr>
      </w:pPr>
      <w:r>
        <w:rPr>
          <w:snapToGrid/>
        </w:rPr>
        <w:t>[Schedule 1 deleted: No. 4 of 2018 s. 112(3).]</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131" w:name="_Toc199943010"/>
      <w:r>
        <w:rPr>
          <w:rStyle w:val="CharSchNo"/>
        </w:rPr>
        <w:lastRenderedPageBreak/>
        <w:t>Schedule 2</w:t>
      </w:r>
      <w:r>
        <w:t> — </w:t>
      </w:r>
      <w:r>
        <w:rPr>
          <w:rStyle w:val="CharSchText"/>
        </w:rPr>
        <w:t>Tenure, salary, conditions of service, etc., of Director</w:t>
      </w:r>
      <w:bookmarkEnd w:id="131"/>
    </w:p>
    <w:p>
      <w:pPr>
        <w:pStyle w:val="yShoulderClause"/>
        <w:rPr>
          <w:snapToGrid w:val="0"/>
        </w:rPr>
      </w:pPr>
      <w:r>
        <w:rPr>
          <w:snapToGrid w:val="0"/>
        </w:rPr>
        <w:t>[s. 8]</w:t>
      </w:r>
    </w:p>
    <w:p>
      <w:pPr>
        <w:pStyle w:val="yFootnoteheading"/>
      </w:pPr>
      <w:r>
        <w:tab/>
        <w:t>[Heading amended: No. 19 of 2010 s. 4.]</w:t>
      </w:r>
    </w:p>
    <w:p>
      <w:pPr>
        <w:pStyle w:val="yHeading5"/>
      </w:pPr>
      <w:bookmarkStart w:id="132" w:name="_Toc199943011"/>
      <w:r>
        <w:rPr>
          <w:rStyle w:val="CharSClsNo"/>
        </w:rPr>
        <w:t>1</w:t>
      </w:r>
      <w:r>
        <w:t>.</w:t>
      </w:r>
      <w:r>
        <w:tab/>
        <w:t>Tenure of office</w:t>
      </w:r>
      <w:bookmarkEnd w:id="132"/>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pPr>
      <w:bookmarkStart w:id="133" w:name="_Toc199943012"/>
      <w:r>
        <w:rPr>
          <w:rStyle w:val="CharSClsNo"/>
        </w:rPr>
        <w:t>2</w:t>
      </w:r>
      <w:r>
        <w:t>.</w:t>
      </w:r>
      <w:r>
        <w:tab/>
        <w:t>Salary and entitlements</w:t>
      </w:r>
      <w:bookmarkEnd w:id="133"/>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No. 39 of 2010 s. 89.]</w:t>
      </w:r>
    </w:p>
    <w:p>
      <w:pPr>
        <w:pStyle w:val="yHeading5"/>
      </w:pPr>
      <w:bookmarkStart w:id="134" w:name="_Toc199943013"/>
      <w:r>
        <w:rPr>
          <w:rStyle w:val="CharSClsNo"/>
        </w:rPr>
        <w:t>3</w:t>
      </w:r>
      <w:r>
        <w:t>.</w:t>
      </w:r>
      <w:r>
        <w:tab/>
        <w:t>Superannuation</w:t>
      </w:r>
      <w:bookmarkEnd w:id="134"/>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1</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1</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pPr>
      <w:bookmarkStart w:id="135" w:name="_Toc199943014"/>
      <w:r>
        <w:rPr>
          <w:rStyle w:val="CharSClsNo"/>
        </w:rPr>
        <w:lastRenderedPageBreak/>
        <w:t>4</w:t>
      </w:r>
      <w:r>
        <w:t>.</w:t>
      </w:r>
      <w:r>
        <w:tab/>
        <w:t>Appointment of public service officer</w:t>
      </w:r>
      <w:bookmarkEnd w:id="135"/>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pPr>
      <w:bookmarkStart w:id="136" w:name="_Toc199943015"/>
      <w:r>
        <w:rPr>
          <w:rStyle w:val="CharSClsNo"/>
        </w:rPr>
        <w:t>5</w:t>
      </w:r>
      <w:r>
        <w:t>.</w:t>
      </w:r>
      <w:r>
        <w:tab/>
        <w:t>Removal from office</w:t>
      </w:r>
      <w:bookmarkEnd w:id="136"/>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No. 18 of 2009 s. 40.]</w:t>
      </w:r>
    </w:p>
    <w:p>
      <w:pPr>
        <w:pStyle w:val="yHeading5"/>
      </w:pPr>
      <w:bookmarkStart w:id="137" w:name="_Toc199943016"/>
      <w:r>
        <w:rPr>
          <w:rStyle w:val="CharSClsNo"/>
        </w:rPr>
        <w:lastRenderedPageBreak/>
        <w:t>6</w:t>
      </w:r>
      <w:r>
        <w:t>.</w:t>
      </w:r>
      <w:r>
        <w:tab/>
        <w:t>Other conditions of service</w:t>
      </w:r>
      <w:bookmarkEnd w:id="137"/>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38" w:name="_Toc199943017"/>
      <w:r>
        <w:lastRenderedPageBreak/>
        <w:t>Notes</w:t>
      </w:r>
      <w:bookmarkEnd w:id="138"/>
    </w:p>
    <w:p>
      <w:pPr>
        <w:pStyle w:val="nStatement"/>
      </w:pPr>
      <w:r>
        <w:t xml:space="preserve">This is a compilation of the </w:t>
      </w:r>
      <w:r>
        <w:rPr>
          <w:i/>
          <w:noProof/>
        </w:rPr>
        <w:t>Health and Disability Services (Complaints)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9" w:name="_Toc199943018"/>
      <w:r>
        <w:t>Compilation table</w:t>
      </w:r>
      <w:bookmarkEnd w:id="139"/>
    </w:p>
    <w:tbl>
      <w:tblPr>
        <w:tblW w:w="7137" w:type="dxa"/>
        <w:tblInd w:w="56" w:type="dxa"/>
        <w:tblLayout w:type="fixed"/>
        <w:tblCellMar>
          <w:left w:w="56" w:type="dxa"/>
          <w:right w:w="56" w:type="dxa"/>
        </w:tblCellMar>
        <w:tblLook w:val="0000" w:firstRow="0" w:lastRow="0" w:firstColumn="0" w:lastColumn="0" w:noHBand="0" w:noVBand="0"/>
      </w:tblPr>
      <w:tblGrid>
        <w:gridCol w:w="35"/>
        <w:gridCol w:w="2217"/>
        <w:gridCol w:w="37"/>
        <w:gridCol w:w="1097"/>
        <w:gridCol w:w="37"/>
        <w:gridCol w:w="1139"/>
        <w:gridCol w:w="2549"/>
        <w:gridCol w:w="26"/>
      </w:tblGrid>
      <w:tr>
        <w:trPr>
          <w:gridBefore w:val="1"/>
          <w:wBefore w:w="35"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35"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2</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35"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35"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35"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35"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35"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35"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35"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35"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35"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35" w:type="dxa"/>
          <w:cantSplit/>
        </w:trPr>
        <w:tc>
          <w:tcPr>
            <w:tcW w:w="2254" w:type="dxa"/>
            <w:gridSpan w:val="2"/>
          </w:tcPr>
          <w:p>
            <w:pPr>
              <w:pStyle w:val="nTable"/>
              <w:spacing w:before="26" w:after="24"/>
              <w:ind w:right="113"/>
              <w:rPr>
                <w:i/>
              </w:rPr>
            </w:pPr>
            <w:r>
              <w:rPr>
                <w:i/>
                <w:iCs/>
              </w:rPr>
              <w:lastRenderedPageBreak/>
              <w:t>State Administrative Tribunal (Conferral of Jurisdiction) Amendment and Repeal Act 2004</w:t>
            </w:r>
            <w:r>
              <w:t xml:space="preserve"> Pt. 2 Div. 59</w:t>
            </w:r>
            <w:r>
              <w:rPr>
                <w:vertAlign w:val="superscript"/>
              </w:rPr>
              <w:t> 3</w:t>
            </w:r>
          </w:p>
        </w:tc>
        <w:tc>
          <w:tcPr>
            <w:tcW w:w="1134" w:type="dxa"/>
            <w:gridSpan w:val="2"/>
          </w:tcPr>
          <w:p>
            <w:pPr>
              <w:pStyle w:val="nTable"/>
              <w:spacing w:before="26" w:after="24"/>
            </w:pPr>
            <w:r>
              <w:t>55 of 2004</w:t>
            </w:r>
          </w:p>
        </w:tc>
        <w:tc>
          <w:tcPr>
            <w:tcW w:w="1139" w:type="dxa"/>
          </w:tcPr>
          <w:p>
            <w:pPr>
              <w:pStyle w:val="nTable"/>
              <w:spacing w:before="26" w:after="24"/>
            </w:pPr>
            <w: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35"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35"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35"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color w:val="000000"/>
              </w:rPr>
              <w:t xml:space="preserve">1 Jul 2007 (see s. 2 and </w:t>
            </w:r>
            <w:r>
              <w:rPr>
                <w:i/>
                <w:iCs/>
                <w:color w:val="000000"/>
              </w:rPr>
              <w:t>Gazette</w:t>
            </w:r>
            <w:r>
              <w:rPr>
                <w:color w:val="000000"/>
              </w:rPr>
              <w:t xml:space="preserve"> 26 Jun 2007 p. 3013)</w:t>
            </w:r>
          </w:p>
        </w:tc>
      </w:tr>
      <w:tr>
        <w:trPr>
          <w:gridBefore w:val="1"/>
          <w:wBefore w:w="35"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4</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35"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35"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35"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35"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lastRenderedPageBreak/>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rPr>
            </w:pPr>
            <w:r>
              <w:rPr>
                <w:snapToGrid w:val="0"/>
              </w:rPr>
              <w:t>25 of 2014</w:t>
            </w:r>
          </w:p>
        </w:tc>
        <w:tc>
          <w:tcPr>
            <w:tcW w:w="1148" w:type="dxa"/>
            <w:gridSpan w:val="2"/>
            <w:tcBorders>
              <w:top w:val="nil"/>
              <w:bottom w:val="nil"/>
            </w:tcBorders>
          </w:tcPr>
          <w:p>
            <w:pPr>
              <w:pStyle w:val="nTable"/>
              <w:spacing w:after="40"/>
              <w:rPr>
                <w:snapToGrid w:val="0"/>
              </w:rPr>
            </w:pPr>
            <w:r>
              <w:t>3 Nov 2014</w:t>
            </w:r>
          </w:p>
        </w:tc>
        <w:tc>
          <w:tcPr>
            <w:tcW w:w="2549"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pPr>
              <w:pStyle w:val="nTable"/>
              <w:spacing w:after="40"/>
              <w:rPr>
                <w:snapToGrid w:val="0"/>
              </w:rPr>
            </w:pPr>
            <w:r>
              <w:t>11 of 2016</w:t>
            </w:r>
          </w:p>
        </w:tc>
        <w:tc>
          <w:tcPr>
            <w:tcW w:w="1148" w:type="dxa"/>
            <w:gridSpan w:val="2"/>
            <w:tcBorders>
              <w:top w:val="nil"/>
              <w:bottom w:val="nil"/>
            </w:tcBorders>
          </w:tcPr>
          <w:p>
            <w:pPr>
              <w:pStyle w:val="nTable"/>
              <w:spacing w:after="40"/>
            </w:pPr>
            <w:r>
              <w:t>26 May 2016</w:t>
            </w:r>
          </w:p>
        </w:tc>
        <w:tc>
          <w:tcPr>
            <w:tcW w:w="2549"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snapToGrid w:val="0"/>
              </w:rPr>
            </w:pPr>
            <w:r>
              <w:rPr>
                <w:i/>
              </w:rPr>
              <w:t>Health Practitioner Regulation National Law (WA) Amendment Act 2018</w:t>
            </w:r>
            <w:r>
              <w:t xml:space="preserve"> s. 112</w:t>
            </w:r>
          </w:p>
        </w:tc>
        <w:tc>
          <w:tcPr>
            <w:tcW w:w="1134" w:type="dxa"/>
            <w:gridSpan w:val="2"/>
            <w:tcBorders>
              <w:top w:val="nil"/>
              <w:bottom w:val="nil"/>
            </w:tcBorders>
          </w:tcPr>
          <w:p>
            <w:pPr>
              <w:pStyle w:val="nTable"/>
              <w:spacing w:after="40"/>
            </w:pPr>
            <w:r>
              <w:t>4 of 2018</w:t>
            </w:r>
          </w:p>
        </w:tc>
        <w:tc>
          <w:tcPr>
            <w:tcW w:w="1148" w:type="dxa"/>
            <w:gridSpan w:val="2"/>
            <w:tcBorders>
              <w:top w:val="nil"/>
              <w:bottom w:val="nil"/>
            </w:tcBorders>
          </w:tcPr>
          <w:p>
            <w:pPr>
              <w:pStyle w:val="nTable"/>
              <w:spacing w:after="40"/>
            </w:pPr>
            <w:r>
              <w:t>19 Apr 2018</w:t>
            </w:r>
          </w:p>
        </w:tc>
        <w:tc>
          <w:tcPr>
            <w:tcW w:w="2549"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rPr>
            </w:pPr>
            <w:r>
              <w:rPr>
                <w:i/>
              </w:rPr>
              <w:t>Voluntary Assisted Dying Act 2019</w:t>
            </w:r>
            <w:r>
              <w:t xml:space="preserve"> Pt. 12 Div. 4</w:t>
            </w:r>
          </w:p>
        </w:tc>
        <w:tc>
          <w:tcPr>
            <w:tcW w:w="1134" w:type="dxa"/>
            <w:gridSpan w:val="2"/>
            <w:tcBorders>
              <w:top w:val="nil"/>
              <w:bottom w:val="nil"/>
            </w:tcBorders>
          </w:tcPr>
          <w:p>
            <w:pPr>
              <w:pStyle w:val="nTable"/>
              <w:spacing w:after="40"/>
            </w:pPr>
            <w:r>
              <w:t>27 of 2019</w:t>
            </w:r>
          </w:p>
        </w:tc>
        <w:tc>
          <w:tcPr>
            <w:tcW w:w="1148" w:type="dxa"/>
            <w:gridSpan w:val="2"/>
            <w:tcBorders>
              <w:top w:val="nil"/>
              <w:bottom w:val="nil"/>
            </w:tcBorders>
          </w:tcPr>
          <w:p>
            <w:pPr>
              <w:pStyle w:val="nTable"/>
              <w:spacing w:after="40"/>
            </w:pPr>
            <w:r>
              <w:t>19 Dec 2019</w:t>
            </w:r>
          </w:p>
        </w:tc>
        <w:tc>
          <w:tcPr>
            <w:tcW w:w="2549" w:type="dxa"/>
            <w:tcBorders>
              <w:top w:val="nil"/>
              <w:bottom w:val="nil"/>
            </w:tcBorders>
          </w:tcPr>
          <w:p>
            <w:pPr>
              <w:pStyle w:val="nTable"/>
              <w:spacing w:after="40"/>
            </w:pPr>
            <w:r>
              <w:t>1 Jul 2021 (see s. 2(b) and SL 2021/83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pPr>
              <w:pStyle w:val="nTable"/>
              <w:spacing w:after="40"/>
            </w:pPr>
            <w:r>
              <w:rPr>
                <w:i/>
              </w:rPr>
              <w:t>Health and Disability Services (Complaints) Amendment Act 2022</w:t>
            </w:r>
            <w:r>
              <w:t xml:space="preserve"> s. 3</w:t>
            </w:r>
            <w:r>
              <w:noBreakHyphen/>
              <w:t>43</w:t>
            </w:r>
          </w:p>
        </w:tc>
        <w:tc>
          <w:tcPr>
            <w:tcW w:w="1134" w:type="dxa"/>
            <w:gridSpan w:val="2"/>
            <w:tcBorders>
              <w:top w:val="nil"/>
              <w:bottom w:val="single" w:sz="4" w:space="0" w:color="auto"/>
            </w:tcBorders>
          </w:tcPr>
          <w:p>
            <w:pPr>
              <w:pStyle w:val="nTable"/>
              <w:spacing w:after="40"/>
            </w:pPr>
            <w:r>
              <w:t>35 of 2022</w:t>
            </w:r>
          </w:p>
        </w:tc>
        <w:tc>
          <w:tcPr>
            <w:tcW w:w="1148" w:type="dxa"/>
            <w:gridSpan w:val="2"/>
            <w:tcBorders>
              <w:top w:val="nil"/>
              <w:bottom w:val="single" w:sz="4" w:space="0" w:color="auto"/>
            </w:tcBorders>
          </w:tcPr>
          <w:p>
            <w:pPr>
              <w:pStyle w:val="nTable"/>
              <w:spacing w:after="40"/>
            </w:pPr>
            <w:r>
              <w:t>28 Oct 2022</w:t>
            </w:r>
          </w:p>
        </w:tc>
        <w:tc>
          <w:tcPr>
            <w:tcW w:w="2549" w:type="dxa"/>
            <w:tcBorders>
              <w:top w:val="nil"/>
              <w:bottom w:val="single" w:sz="4" w:space="0" w:color="auto"/>
            </w:tcBorders>
          </w:tcPr>
          <w:p>
            <w:pPr>
              <w:pStyle w:val="nTable"/>
              <w:spacing w:after="40"/>
            </w:pPr>
            <w:r>
              <w:t>27 Jul 2023 (see s. 2(b) and SL 2023/112 cl. 2)</w:t>
            </w:r>
          </w:p>
        </w:tc>
      </w:tr>
    </w:tbl>
    <w:p>
      <w:pPr>
        <w:pStyle w:val="nHeading3"/>
      </w:pPr>
      <w:bookmarkStart w:id="140" w:name="_Toc199943019"/>
      <w:r>
        <w:lastRenderedPageBreak/>
        <w:t>Uncommenced provisions table</w:t>
      </w:r>
      <w:bookmarkEnd w:id="140"/>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trPr>
          <w:cantSplit/>
          <w:tblHeader/>
        </w:trPr>
        <w:tc>
          <w:tcPr>
            <w:tcW w:w="2267" w:type="dxa"/>
            <w:tcBorders>
              <w:top w:val="single" w:sz="8" w:space="0" w:color="auto"/>
              <w:bottom w:val="single" w:sz="4" w:space="0" w:color="auto"/>
            </w:tcBorders>
          </w:tcPr>
          <w:p>
            <w:pPr>
              <w:pStyle w:val="nTable"/>
              <w:keepNext/>
              <w:spacing w:after="40"/>
              <w:ind w:right="113"/>
              <w:rPr>
                <w:b/>
              </w:rPr>
            </w:pPr>
            <w:r>
              <w:rPr>
                <w:b/>
              </w:rPr>
              <w:t>Short title</w:t>
            </w:r>
          </w:p>
        </w:tc>
        <w:tc>
          <w:tcPr>
            <w:tcW w:w="1135"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0"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7" w:type="dxa"/>
            <w:tcBorders>
              <w:top w:val="single" w:sz="4" w:space="0" w:color="auto"/>
              <w:bottom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w:t>
            </w:r>
          </w:p>
        </w:tc>
        <w:tc>
          <w:tcPr>
            <w:tcW w:w="1135"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0" w:type="dxa"/>
            <w:tcBorders>
              <w:top w:val="single" w:sz="4" w:space="0" w:color="auto"/>
              <w:bottom w:val="single" w:sz="4" w:space="0" w:color="auto"/>
            </w:tcBorders>
          </w:tcPr>
          <w:p>
            <w:pPr>
              <w:pStyle w:val="nTable"/>
              <w:spacing w:after="40"/>
            </w:pPr>
            <w:r>
              <w:t>To be proclaimed (see s. 2(2))</w:t>
            </w:r>
          </w:p>
        </w:tc>
      </w:tr>
    </w:tbl>
    <w:p>
      <w:pPr>
        <w:pStyle w:val="nHeading3"/>
      </w:pPr>
      <w:bookmarkStart w:id="141" w:name="_Toc199943020"/>
      <w:r>
        <w:t>Other notes</w:t>
      </w:r>
      <w:bookmarkEnd w:id="141"/>
    </w:p>
    <w:p>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2</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rPr>
          <w:rStyle w:val="CharDivNo"/>
        </w:rPr>
      </w:pPr>
      <w:r>
        <w:rPr>
          <w:rStyle w:val="CharDivNo"/>
        </w:rPr>
        <w:t>Division 13 — Transitional provisions</w:t>
      </w:r>
    </w:p>
    <w:p>
      <w:pPr>
        <w:pStyle w:val="nzHeading5"/>
      </w:pPr>
      <w:r>
        <w:t>289.</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lastRenderedPageBreak/>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43" w:name="_Toc199943021"/>
      <w:r>
        <w:rPr>
          <w:sz w:val="28"/>
        </w:rPr>
        <w:lastRenderedPageBreak/>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carer</w:t>
      </w:r>
      <w:r>
        <w:tab/>
        <w:t>3(1)</w:t>
      </w:r>
    </w:p>
    <w:p>
      <w:pPr>
        <w:pStyle w:val="DefinedTerms"/>
      </w:pPr>
      <w:r>
        <w:t>code of conduct</w:t>
      </w:r>
      <w:r>
        <w:tab/>
        <w:t>3(1)</w:t>
      </w:r>
    </w:p>
    <w:p>
      <w:pPr>
        <w:pStyle w:val="DefinedTerms"/>
      </w:pPr>
      <w:r>
        <w:t>Commissioner of Police</w:t>
      </w:r>
      <w:r>
        <w:tab/>
        <w:t>71A(1)</w:t>
      </w:r>
    </w:p>
    <w:p>
      <w:pPr>
        <w:pStyle w:val="DefinedTerms"/>
      </w:pPr>
      <w:r>
        <w:t>conciliator</w:t>
      </w:r>
      <w:r>
        <w:tab/>
        <w:t>3(1)</w:t>
      </w:r>
    </w:p>
    <w:p>
      <w:pPr>
        <w:pStyle w:val="DefinedTerms"/>
      </w:pPr>
      <w:r>
        <w:t>corresponding law</w:t>
      </w:r>
      <w:r>
        <w:tab/>
        <w:t>52Q(1)</w:t>
      </w:r>
    </w:p>
    <w:p>
      <w:pPr>
        <w:pStyle w:val="DefinedTerms"/>
      </w:pPr>
      <w:r>
        <w:t>criminal record</w:t>
      </w:r>
      <w:r>
        <w:tab/>
        <w:t>71A(1)</w:t>
      </w:r>
    </w:p>
    <w:p>
      <w:pPr>
        <w:pStyle w:val="DefinedTerms"/>
      </w:pPr>
      <w:r>
        <w:t>Director</w:t>
      </w:r>
      <w:r>
        <w:tab/>
        <w:t>3(1)</w:t>
      </w:r>
    </w:p>
    <w:p>
      <w:pPr>
        <w:pStyle w:val="DefinedTerms"/>
      </w:pPr>
      <w:r>
        <w:t>Director-initiated investigation</w:t>
      </w:r>
      <w:r>
        <w:tab/>
        <w:t>3(1), 44A</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care worker</w:t>
      </w:r>
      <w:r>
        <w:tab/>
        <w:t>3(1)</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interim prohibition order</w:t>
      </w:r>
      <w:r>
        <w:tab/>
        <w:t>3(1), 52B(2)</w:t>
      </w:r>
    </w:p>
    <w:p>
      <w:pPr>
        <w:pStyle w:val="DefinedTerms"/>
      </w:pPr>
      <w:r>
        <w:t>interstate interim prohibition order</w:t>
      </w:r>
      <w:r>
        <w:tab/>
        <w:t>52Q(1)</w:t>
      </w:r>
    </w:p>
    <w:p>
      <w:pPr>
        <w:pStyle w:val="DefinedTerms"/>
      </w:pPr>
      <w:r>
        <w:t>interstate order</w:t>
      </w:r>
      <w:r>
        <w:tab/>
        <w:t>52Q(1)</w:t>
      </w:r>
    </w:p>
    <w:p>
      <w:pPr>
        <w:pStyle w:val="DefinedTerms"/>
      </w:pPr>
      <w:r>
        <w:t>interstate prohibition order</w:t>
      </w:r>
      <w:r>
        <w:tab/>
        <w:t>52Q(1)</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Office’s website</w:t>
      </w:r>
      <w:r>
        <w:tab/>
        <w:t>3(1)</w:t>
      </w:r>
    </w:p>
    <w:p>
      <w:pPr>
        <w:pStyle w:val="DefinedTerms"/>
      </w:pPr>
      <w:r>
        <w:t>person’s representative</w:t>
      </w:r>
      <w:r>
        <w:tab/>
        <w:t>67(2)</w:t>
      </w:r>
    </w:p>
    <w:p>
      <w:pPr>
        <w:pStyle w:val="DefinedTerms"/>
      </w:pPr>
      <w:r>
        <w:t>prohibition order</w:t>
      </w:r>
      <w:r>
        <w:tab/>
        <w:t>3(1), 52H(2)</w:t>
      </w:r>
    </w:p>
    <w:p>
      <w:pPr>
        <w:pStyle w:val="DefinedTerms"/>
      </w:pPr>
      <w:r>
        <w:t>protected information</w:t>
      </w:r>
      <w:r>
        <w:tab/>
        <w:t>68A(1)</w:t>
      </w:r>
    </w:p>
    <w:p>
      <w:pPr>
        <w:pStyle w:val="DefinedTerms"/>
      </w:pPr>
      <w:r>
        <w:t>provide</w:t>
      </w:r>
      <w:r>
        <w:tab/>
        <w:t>3(1)</w:t>
      </w:r>
    </w:p>
    <w:p>
      <w:pPr>
        <w:pStyle w:val="DefinedTerms"/>
      </w:pPr>
      <w:r>
        <w:t>provider</w:t>
      </w:r>
      <w:r>
        <w:tab/>
        <w:t>3(1)</w:t>
      </w:r>
    </w:p>
    <w:p>
      <w:pPr>
        <w:pStyle w:val="DefinedTerms"/>
      </w:pPr>
      <w:r>
        <w:t>public health warning statement</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relevant decision</w:t>
      </w:r>
      <w:r>
        <w:tab/>
        <w:t>71A(1)</w:t>
      </w:r>
    </w:p>
    <w:p>
      <w:pPr>
        <w:pStyle w:val="DefinedTerms"/>
      </w:pPr>
      <w:r>
        <w:t>relevant entity</w:t>
      </w:r>
      <w:r>
        <w:tab/>
        <w:t>68A(1)</w:t>
      </w:r>
    </w:p>
    <w:p>
      <w:pPr>
        <w:pStyle w:val="DefinedTerms"/>
      </w:pPr>
      <w:r>
        <w:t>user</w:t>
      </w:r>
      <w:r>
        <w:tab/>
        <w:t>3(1)</w:t>
      </w:r>
    </w:p>
    <w:p>
      <w:pPr>
        <w:rPr>
          <w:sz w:val="20"/>
        </w:rPr>
      </w:pPr>
      <w:r>
        <w:br w:type="page"/>
      </w:r>
    </w:p>
    <w:p>
      <w:pPr>
        <w:pStyle w:val="DefinedTerms"/>
      </w:pP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5EA5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8889497" w14:textId="33C76818" w:rsidR="006226D8" w:rsidRDefault="006226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AB9437D" w14:textId="77777777" w:rsidR="006226D8" w:rsidRDefault="006226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5EFC10" w14:textId="46C4BDE8" w:rsidR="006226D8" w:rsidRDefault="006226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6F8A9A3" w14:textId="77777777" w:rsidR="006226D8" w:rsidRDefault="006226D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4" w:name="DefinedTerms"/>
    <w:bookmarkEnd w:id="1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D409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3EFB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0E22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24E5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2CB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109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 w:name="WAFER_20191220113646" w:val="RemoveTocBookmarks,RemoveUnusedBookmarks,RemoveLanguageTags,ResetPageSize,RunningHeaders,UpdateStyles,UsedStyles"/>
    <w:docVar w:name="WAFER_20191220113646_GUID" w:val="75928615-6bf3-432a-8974-fa11f02dbfa3"/>
    <w:docVar w:name="WAFER_202002101550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5037_GUID" w:val="acdd8b7f-1226-4ac8-bf88-f4cec8ef2ea2"/>
    <w:docVar w:name="WAFER_20210617121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219_GUID" w:val="7abbb140-9f1b-4d50-8898-b8287454803a"/>
    <w:docVar w:name="WAFER_20210625144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47_GUID" w:val="f8482c34-f358-4a01-9558-bc4394437f74"/>
    <w:docVar w:name="WAFER_202210271455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38_GUID" w:val="c8257abb-ae49-431d-969f-1402ac8129eb"/>
    <w:docVar w:name="WAFER_20230721150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50026_GUID" w:val="4f43d7ac-695f-40ec-856c-c059d0a6ab9c"/>
    <w:docVar w:name="WAFER_20231222110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0937_GUID" w:val="c08afd3d-2d1b-4302-9faf-dc5c841632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Defstart">
    <w:name w:val="nzDefstart"/>
    <w:pPr>
      <w:spacing w:before="40"/>
      <w:ind w:left="1446" w:right="284" w:hanging="879"/>
    </w:pPr>
    <w:rPr>
      <w:snapToGrid w:val="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B52A3-87CC-456F-BD9F-7A300C2D2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19089</Words>
  <Characters>90867</Characters>
  <Application>Microsoft Office Word</Application>
  <DocSecurity>0</DocSecurity>
  <Lines>2596</Lines>
  <Paragraphs>1665</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108291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1995 - 04-l0-01</dc:title>
  <dc:subject/>
  <dc:creator/>
  <cp:keywords/>
  <dc:description/>
  <cp:lastModifiedBy>Master Repository Process</cp:lastModifiedBy>
  <cp:revision>4</cp:revision>
  <cp:lastPrinted>2011-01-11T00:45:00Z</cp:lastPrinted>
  <dcterms:created xsi:type="dcterms:W3CDTF">2025-06-04T07:21:00Z</dcterms:created>
  <dcterms:modified xsi:type="dcterms:W3CDTF">2025-06-04T07:21:00Z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AsAtDate">
    <vt:lpwstr>27 Jul 2023</vt:lpwstr>
  </property>
  <property fmtid="{D5CDD505-2E9C-101B-9397-08002B2CF9AE}" pid="8" name="Suffix">
    <vt:lpwstr>04-l0-01</vt:lpwstr>
  </property>
  <property fmtid="{D5CDD505-2E9C-101B-9397-08002B2CF9AE}" pid="9" name="Official">
    <vt:lpwstr/>
  </property>
  <property fmtid="{D5CDD505-2E9C-101B-9397-08002B2CF9AE}" pid="10" name="CommencementDate">
    <vt:lpwstr>20230727</vt:lpwstr>
  </property>
  <property fmtid="{D5CDD505-2E9C-101B-9397-08002B2CF9AE}" pid="11" name="CommencementYear">
    <vt:lpwstr>2023</vt:lpwstr>
  </property>
</Properties>
</file>