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Planning and Development Act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Planning and Development Act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_Toc199322251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_Toc199322252 \h </w:instrText>
      </w:r>
      <w:r>
        <w:fldChar w:fldCharType="separate"/>
      </w:r>
      <w:r>
        <w:t>2</w:t>
      </w:r>
      <w:r>
        <w:fldChar w:fldCharType="end"/>
      </w:r>
    </w:p>
    <w:p>
      <w:pPr>
        <w:pStyle w:val="TOC8"/>
        <w:rPr>
          <w:rFonts w:asciiTheme="minorHAnsi" w:eastAsiaTheme="minorEastAsia" w:hAnsiTheme="minorHAnsi" w:cstheme="minorBidi"/>
          <w:szCs w:val="22"/>
        </w:rPr>
      </w:pPr>
      <w:r>
        <w:t>3.</w:t>
      </w:r>
      <w:r>
        <w:tab/>
        <w:t>Purposes and interpretation of this Act</w:t>
      </w:r>
      <w:r>
        <w:tab/>
      </w:r>
      <w:r>
        <w:fldChar w:fldCharType="begin"/>
      </w:r>
      <w:r>
        <w:instrText xml:space="preserve"> PAGEREF _Toc199322253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_Toc199322254 \h </w:instrText>
      </w:r>
      <w:r>
        <w:fldChar w:fldCharType="separate"/>
      </w:r>
      <w:r>
        <w:t>3</w:t>
      </w:r>
      <w:r>
        <w:fldChar w:fldCharType="end"/>
      </w:r>
    </w:p>
    <w:p>
      <w:pPr>
        <w:pStyle w:val="TOC8"/>
        <w:rPr>
          <w:rFonts w:asciiTheme="minorHAnsi" w:eastAsiaTheme="minorEastAsia" w:hAnsiTheme="minorHAnsi" w:cstheme="minorBidi"/>
          <w:szCs w:val="22"/>
        </w:rPr>
      </w:pPr>
      <w:r>
        <w:t>5.</w:t>
      </w:r>
      <w:r>
        <w:tab/>
        <w:t>Crown bound</w:t>
      </w:r>
      <w:r>
        <w:tab/>
      </w:r>
      <w:r>
        <w:fldChar w:fldCharType="begin"/>
      </w:r>
      <w:r>
        <w:instrText xml:space="preserve"> PAGEREF _Toc199322255 \h </w:instrText>
      </w:r>
      <w:r>
        <w:fldChar w:fldCharType="separate"/>
      </w:r>
      <w:r>
        <w:t>10</w:t>
      </w:r>
      <w:r>
        <w:fldChar w:fldCharType="end"/>
      </w:r>
    </w:p>
    <w:p>
      <w:pPr>
        <w:pStyle w:val="TOC8"/>
        <w:rPr>
          <w:rFonts w:asciiTheme="minorHAnsi" w:eastAsiaTheme="minorEastAsia" w:hAnsiTheme="minorHAnsi" w:cstheme="minorBidi"/>
          <w:szCs w:val="22"/>
        </w:rPr>
      </w:pPr>
      <w:r>
        <w:t>6.</w:t>
      </w:r>
      <w:r>
        <w:tab/>
        <w:t>Act does not interfere with public works</w:t>
      </w:r>
      <w:r>
        <w:tab/>
      </w:r>
      <w:r>
        <w:fldChar w:fldCharType="begin"/>
      </w:r>
      <w:r>
        <w:instrText xml:space="preserve"> PAGEREF _Toc199322256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The Western Australian Planning Commission</w:t>
      </w:r>
    </w:p>
    <w:p>
      <w:pPr>
        <w:pStyle w:val="TOC4"/>
        <w:tabs>
          <w:tab w:val="right" w:leader="dot" w:pos="7077"/>
        </w:tabs>
        <w:rPr>
          <w:rFonts w:asciiTheme="minorHAnsi" w:eastAsiaTheme="minorEastAsia" w:hAnsiTheme="minorHAnsi" w:cstheme="minorBidi"/>
          <w:b w:val="0"/>
          <w:szCs w:val="22"/>
        </w:rPr>
      </w:pPr>
      <w:r>
        <w:t>Division 1 — Establishment and management</w:t>
      </w:r>
    </w:p>
    <w:p>
      <w:pPr>
        <w:pStyle w:val="TOC8"/>
        <w:rPr>
          <w:rFonts w:asciiTheme="minorHAnsi" w:eastAsiaTheme="minorEastAsia" w:hAnsiTheme="minorHAnsi" w:cstheme="minorBidi"/>
          <w:szCs w:val="22"/>
        </w:rPr>
      </w:pPr>
      <w:r>
        <w:t>7.</w:t>
      </w:r>
      <w:r>
        <w:tab/>
        <w:t>Commission established</w:t>
      </w:r>
      <w:r>
        <w:tab/>
      </w:r>
      <w:r>
        <w:fldChar w:fldCharType="begin"/>
      </w:r>
      <w:r>
        <w:instrText xml:space="preserve"> PAGEREF _Toc199322259 \h </w:instrText>
      </w:r>
      <w:r>
        <w:fldChar w:fldCharType="separate"/>
      </w:r>
      <w:r>
        <w:t>12</w:t>
      </w:r>
      <w:r>
        <w:fldChar w:fldCharType="end"/>
      </w:r>
    </w:p>
    <w:p>
      <w:pPr>
        <w:pStyle w:val="TOC8"/>
        <w:rPr>
          <w:rFonts w:asciiTheme="minorHAnsi" w:eastAsiaTheme="minorEastAsia" w:hAnsiTheme="minorHAnsi" w:cstheme="minorBidi"/>
          <w:szCs w:val="22"/>
        </w:rPr>
      </w:pPr>
      <w:r>
        <w:t>8.</w:t>
      </w:r>
      <w:r>
        <w:tab/>
        <w:t>Status</w:t>
      </w:r>
      <w:r>
        <w:tab/>
      </w:r>
      <w:r>
        <w:fldChar w:fldCharType="begin"/>
      </w:r>
      <w:r>
        <w:instrText xml:space="preserve"> PAGEREF _Toc199322260 \h </w:instrText>
      </w:r>
      <w:r>
        <w:fldChar w:fldCharType="separate"/>
      </w:r>
      <w:r>
        <w:t>12</w:t>
      </w:r>
      <w:r>
        <w:fldChar w:fldCharType="end"/>
      </w:r>
    </w:p>
    <w:p>
      <w:pPr>
        <w:pStyle w:val="TOC8"/>
        <w:rPr>
          <w:rFonts w:asciiTheme="minorHAnsi" w:eastAsiaTheme="minorEastAsia" w:hAnsiTheme="minorHAnsi" w:cstheme="minorBidi"/>
          <w:szCs w:val="22"/>
        </w:rPr>
      </w:pPr>
      <w:r>
        <w:t>9.</w:t>
      </w:r>
      <w:r>
        <w:tab/>
        <w:t>Board of management</w:t>
      </w:r>
      <w:r>
        <w:tab/>
      </w:r>
      <w:r>
        <w:fldChar w:fldCharType="begin"/>
      </w:r>
      <w:r>
        <w:instrText xml:space="preserve"> PAGEREF _Toc199322261 \h </w:instrText>
      </w:r>
      <w:r>
        <w:fldChar w:fldCharType="separate"/>
      </w:r>
      <w:r>
        <w:t>12</w:t>
      </w:r>
      <w:r>
        <w:fldChar w:fldCharType="end"/>
      </w:r>
    </w:p>
    <w:p>
      <w:pPr>
        <w:pStyle w:val="TOC8"/>
        <w:rPr>
          <w:rFonts w:asciiTheme="minorHAnsi" w:eastAsiaTheme="minorEastAsia" w:hAnsiTheme="minorHAnsi" w:cstheme="minorBidi"/>
          <w:szCs w:val="22"/>
        </w:rPr>
      </w:pPr>
      <w:r>
        <w:t>10.</w:t>
      </w:r>
      <w:r>
        <w:tab/>
        <w:t>Membership of board</w:t>
      </w:r>
      <w:r>
        <w:tab/>
      </w:r>
      <w:r>
        <w:fldChar w:fldCharType="begin"/>
      </w:r>
      <w:r>
        <w:instrText xml:space="preserve"> PAGEREF _Toc199322262 \h </w:instrText>
      </w:r>
      <w:r>
        <w:fldChar w:fldCharType="separate"/>
      </w:r>
      <w:r>
        <w:t>12</w:t>
      </w:r>
      <w:r>
        <w:fldChar w:fldCharType="end"/>
      </w:r>
    </w:p>
    <w:p>
      <w:pPr>
        <w:pStyle w:val="TOC8"/>
        <w:rPr>
          <w:rFonts w:asciiTheme="minorHAnsi" w:eastAsiaTheme="minorEastAsia" w:hAnsiTheme="minorHAnsi" w:cstheme="minorBidi"/>
          <w:szCs w:val="22"/>
        </w:rPr>
      </w:pPr>
      <w:r>
        <w:t>11.</w:t>
      </w:r>
      <w:r>
        <w:tab/>
        <w:t>Associate members of board, for regions</w:t>
      </w:r>
      <w:r>
        <w:tab/>
      </w:r>
      <w:r>
        <w:fldChar w:fldCharType="begin"/>
      </w:r>
      <w:r>
        <w:instrText xml:space="preserve"> PAGEREF _Toc199322263 \h </w:instrText>
      </w:r>
      <w:r>
        <w:fldChar w:fldCharType="separate"/>
      </w:r>
      <w:r>
        <w:t>15</w:t>
      </w:r>
      <w:r>
        <w:fldChar w:fldCharType="end"/>
      </w:r>
    </w:p>
    <w:p>
      <w:pPr>
        <w:pStyle w:val="TOC8"/>
        <w:rPr>
          <w:rFonts w:asciiTheme="minorHAnsi" w:eastAsiaTheme="minorEastAsia" w:hAnsiTheme="minorHAnsi" w:cstheme="minorBidi"/>
          <w:szCs w:val="22"/>
        </w:rPr>
      </w:pPr>
      <w:r>
        <w:t>12.</w:t>
      </w:r>
      <w:r>
        <w:tab/>
        <w:t>Board’s constitution and proceedings (Sch. 1)</w:t>
      </w:r>
      <w:r>
        <w:tab/>
      </w:r>
      <w:r>
        <w:fldChar w:fldCharType="begin"/>
      </w:r>
      <w:r>
        <w:instrText xml:space="preserve"> PAGEREF _Toc199322264 \h </w:instrText>
      </w:r>
      <w:r>
        <w:fldChar w:fldCharType="separate"/>
      </w:r>
      <w:r>
        <w:t>15</w:t>
      </w:r>
      <w:r>
        <w:fldChar w:fldCharType="end"/>
      </w:r>
    </w:p>
    <w:p>
      <w:pPr>
        <w:pStyle w:val="TOC8"/>
        <w:rPr>
          <w:rFonts w:asciiTheme="minorHAnsi" w:eastAsiaTheme="minorEastAsia" w:hAnsiTheme="minorHAnsi" w:cstheme="minorBidi"/>
          <w:szCs w:val="22"/>
        </w:rPr>
      </w:pPr>
      <w:r>
        <w:t>13.</w:t>
      </w:r>
      <w:r>
        <w:tab/>
        <w:t>Remuneration and allowances</w:t>
      </w:r>
      <w:r>
        <w:tab/>
      </w:r>
      <w:r>
        <w:fldChar w:fldCharType="begin"/>
      </w:r>
      <w:r>
        <w:instrText xml:space="preserve"> PAGEREF _Toc199322265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2 — Functions and powers</w:t>
      </w:r>
    </w:p>
    <w:p>
      <w:pPr>
        <w:pStyle w:val="TOC8"/>
        <w:rPr>
          <w:rFonts w:asciiTheme="minorHAnsi" w:eastAsiaTheme="minorEastAsia" w:hAnsiTheme="minorHAnsi" w:cstheme="minorBidi"/>
          <w:szCs w:val="22"/>
        </w:rPr>
      </w:pPr>
      <w:r>
        <w:t>14.</w:t>
      </w:r>
      <w:r>
        <w:tab/>
        <w:t>Functions</w:t>
      </w:r>
      <w:r>
        <w:tab/>
      </w:r>
      <w:r>
        <w:fldChar w:fldCharType="begin"/>
      </w:r>
      <w:r>
        <w:instrText xml:space="preserve"> PAGEREF _Toc199322267 \h </w:instrText>
      </w:r>
      <w:r>
        <w:fldChar w:fldCharType="separate"/>
      </w:r>
      <w:r>
        <w:t>16</w:t>
      </w:r>
      <w:r>
        <w:fldChar w:fldCharType="end"/>
      </w:r>
    </w:p>
    <w:p>
      <w:pPr>
        <w:pStyle w:val="TOC8"/>
        <w:rPr>
          <w:rFonts w:asciiTheme="minorHAnsi" w:eastAsiaTheme="minorEastAsia" w:hAnsiTheme="minorHAnsi" w:cstheme="minorBidi"/>
          <w:szCs w:val="22"/>
        </w:rPr>
      </w:pPr>
      <w:r>
        <w:t>15.</w:t>
      </w:r>
      <w:r>
        <w:tab/>
        <w:t>Powers</w:t>
      </w:r>
      <w:r>
        <w:tab/>
      </w:r>
      <w:r>
        <w:fldChar w:fldCharType="begin"/>
      </w:r>
      <w:r>
        <w:instrText xml:space="preserve"> PAGEREF _Toc199322268 \h </w:instrText>
      </w:r>
      <w:r>
        <w:fldChar w:fldCharType="separate"/>
      </w:r>
      <w:r>
        <w:t>18</w:t>
      </w:r>
      <w:r>
        <w:fldChar w:fldCharType="end"/>
      </w:r>
    </w:p>
    <w:p>
      <w:pPr>
        <w:pStyle w:val="TOC8"/>
        <w:rPr>
          <w:rFonts w:asciiTheme="minorHAnsi" w:eastAsiaTheme="minorEastAsia" w:hAnsiTheme="minorHAnsi" w:cstheme="minorBidi"/>
          <w:szCs w:val="22"/>
        </w:rPr>
      </w:pPr>
      <w:r>
        <w:t>16.</w:t>
      </w:r>
      <w:r>
        <w:tab/>
        <w:t>Delegation by Commission</w:t>
      </w:r>
      <w:r>
        <w:tab/>
      </w:r>
      <w:r>
        <w:fldChar w:fldCharType="begin"/>
      </w:r>
      <w:r>
        <w:instrText xml:space="preserve"> PAGEREF _Toc199322269 \h </w:instrText>
      </w:r>
      <w:r>
        <w:fldChar w:fldCharType="separate"/>
      </w:r>
      <w:r>
        <w:t>20</w:t>
      </w:r>
      <w:r>
        <w:fldChar w:fldCharType="end"/>
      </w:r>
    </w:p>
    <w:p>
      <w:pPr>
        <w:pStyle w:val="TOC8"/>
        <w:rPr>
          <w:rFonts w:asciiTheme="minorHAnsi" w:eastAsiaTheme="minorEastAsia" w:hAnsiTheme="minorHAnsi" w:cstheme="minorBidi"/>
          <w:szCs w:val="22"/>
        </w:rPr>
      </w:pPr>
      <w:r>
        <w:t>17.</w:t>
      </w:r>
      <w:r>
        <w:tab/>
        <w:t>Minister may give Commission directions</w:t>
      </w:r>
      <w:r>
        <w:tab/>
      </w:r>
      <w:r>
        <w:fldChar w:fldCharType="begin"/>
      </w:r>
      <w:r>
        <w:instrText xml:space="preserve"> PAGEREF _Toc199322270 \h </w:instrText>
      </w:r>
      <w:r>
        <w:fldChar w:fldCharType="separate"/>
      </w:r>
      <w:r>
        <w:t>21</w:t>
      </w:r>
      <w:r>
        <w:fldChar w:fldCharType="end"/>
      </w:r>
    </w:p>
    <w:p>
      <w:pPr>
        <w:pStyle w:val="TOC8"/>
        <w:rPr>
          <w:rFonts w:asciiTheme="minorHAnsi" w:eastAsiaTheme="minorEastAsia" w:hAnsiTheme="minorHAnsi" w:cstheme="minorBidi"/>
          <w:szCs w:val="22"/>
        </w:rPr>
      </w:pPr>
      <w:r>
        <w:t>18.</w:t>
      </w:r>
      <w:r>
        <w:tab/>
        <w:t>Minister to have access to information</w:t>
      </w:r>
      <w:r>
        <w:tab/>
      </w:r>
      <w:r>
        <w:fldChar w:fldCharType="begin"/>
      </w:r>
      <w:r>
        <w:instrText xml:space="preserve"> PAGEREF _Toc199322271 \h </w:instrText>
      </w:r>
      <w:r>
        <w:fldChar w:fldCharType="separate"/>
      </w:r>
      <w:r>
        <w:t>23</w:t>
      </w:r>
      <w:r>
        <w:fldChar w:fldCharType="end"/>
      </w:r>
    </w:p>
    <w:p>
      <w:pPr>
        <w:pStyle w:val="TOC8"/>
        <w:rPr>
          <w:rFonts w:asciiTheme="minorHAnsi" w:eastAsiaTheme="minorEastAsia" w:hAnsiTheme="minorHAnsi" w:cstheme="minorBidi"/>
          <w:szCs w:val="22"/>
        </w:rPr>
      </w:pPr>
      <w:r>
        <w:t>19.</w:t>
      </w:r>
      <w:r>
        <w:tab/>
        <w:t>Committees (Sch. 2)</w:t>
      </w:r>
      <w:r>
        <w:tab/>
      </w:r>
      <w:r>
        <w:fldChar w:fldCharType="begin"/>
      </w:r>
      <w:r>
        <w:instrText xml:space="preserve"> PAGEREF _Toc199322272 \h </w:instrText>
      </w:r>
      <w:r>
        <w:fldChar w:fldCharType="separate"/>
      </w:r>
      <w:r>
        <w:t>23</w:t>
      </w:r>
      <w:r>
        <w:fldChar w:fldCharType="end"/>
      </w:r>
    </w:p>
    <w:p>
      <w:pPr>
        <w:pStyle w:val="TOC8"/>
        <w:rPr>
          <w:rFonts w:asciiTheme="minorHAnsi" w:eastAsiaTheme="minorEastAsia" w:hAnsiTheme="minorHAnsi" w:cstheme="minorBidi"/>
          <w:szCs w:val="22"/>
        </w:rPr>
      </w:pPr>
      <w:r>
        <w:t>20.</w:t>
      </w:r>
      <w:r>
        <w:tab/>
        <w:t>Fees for Commission’s services</w:t>
      </w:r>
      <w:r>
        <w:tab/>
      </w:r>
      <w:r>
        <w:fldChar w:fldCharType="begin"/>
      </w:r>
      <w:r>
        <w:instrText xml:space="preserve"> PAGEREF _Toc199322273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Administration</w:t>
      </w:r>
    </w:p>
    <w:p>
      <w:pPr>
        <w:pStyle w:val="TOC8"/>
        <w:rPr>
          <w:rFonts w:asciiTheme="minorHAnsi" w:eastAsiaTheme="minorEastAsia" w:hAnsiTheme="minorHAnsi" w:cstheme="minorBidi"/>
          <w:szCs w:val="22"/>
        </w:rPr>
      </w:pPr>
      <w:r>
        <w:t>21.</w:t>
      </w:r>
      <w:r>
        <w:tab/>
        <w:t>Secretary</w:t>
      </w:r>
      <w:r>
        <w:tab/>
      </w:r>
      <w:r>
        <w:fldChar w:fldCharType="begin"/>
      </w:r>
      <w:r>
        <w:instrText xml:space="preserve"> PAGEREF _Toc199322275 \h </w:instrText>
      </w:r>
      <w:r>
        <w:fldChar w:fldCharType="separate"/>
      </w:r>
      <w:r>
        <w:t>24</w:t>
      </w:r>
      <w:r>
        <w:fldChar w:fldCharType="end"/>
      </w:r>
    </w:p>
    <w:p>
      <w:pPr>
        <w:pStyle w:val="TOC8"/>
        <w:rPr>
          <w:rFonts w:asciiTheme="minorHAnsi" w:eastAsiaTheme="minorEastAsia" w:hAnsiTheme="minorHAnsi" w:cstheme="minorBidi"/>
          <w:szCs w:val="22"/>
        </w:rPr>
      </w:pPr>
      <w:r>
        <w:t>22.</w:t>
      </w:r>
      <w:r>
        <w:tab/>
        <w:t>Staff</w:t>
      </w:r>
      <w:r>
        <w:tab/>
      </w:r>
      <w:r>
        <w:fldChar w:fldCharType="begin"/>
      </w:r>
      <w:r>
        <w:instrText xml:space="preserve"> PAGEREF _Toc199322276 \h </w:instrText>
      </w:r>
      <w:r>
        <w:fldChar w:fldCharType="separate"/>
      </w:r>
      <w:r>
        <w:t>24</w:t>
      </w:r>
      <w:r>
        <w:fldChar w:fldCharType="end"/>
      </w:r>
    </w:p>
    <w:p>
      <w:pPr>
        <w:pStyle w:val="TOC8"/>
        <w:rPr>
          <w:rFonts w:asciiTheme="minorHAnsi" w:eastAsiaTheme="minorEastAsia" w:hAnsiTheme="minorHAnsi" w:cstheme="minorBidi"/>
          <w:szCs w:val="22"/>
        </w:rPr>
      </w:pPr>
      <w:r>
        <w:t>23.</w:t>
      </w:r>
      <w:r>
        <w:tab/>
        <w:t>Use of staff and facilities of public authorities</w:t>
      </w:r>
      <w:r>
        <w:tab/>
      </w:r>
      <w:r>
        <w:fldChar w:fldCharType="begin"/>
      </w:r>
      <w:r>
        <w:instrText xml:space="preserve"> PAGEREF _Toc199322277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24.</w:t>
      </w:r>
      <w:r>
        <w:tab/>
        <w:t>Execution of documents</w:t>
      </w:r>
      <w:r>
        <w:tab/>
      </w:r>
      <w:r>
        <w:fldChar w:fldCharType="begin"/>
      </w:r>
      <w:r>
        <w:instrText xml:space="preserve"> PAGEREF _Toc199322279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3 — State planning policies</w:t>
      </w:r>
    </w:p>
    <w:p>
      <w:pPr>
        <w:pStyle w:val="TOC8"/>
        <w:rPr>
          <w:rFonts w:asciiTheme="minorHAnsi" w:eastAsiaTheme="minorEastAsia" w:hAnsiTheme="minorHAnsi" w:cstheme="minorBidi"/>
          <w:szCs w:val="22"/>
        </w:rPr>
      </w:pPr>
      <w:r>
        <w:t>25.</w:t>
      </w:r>
      <w:r>
        <w:tab/>
        <w:t>Statements of planning policy under repealed Act, effect of</w:t>
      </w:r>
      <w:r>
        <w:tab/>
      </w:r>
      <w:r>
        <w:fldChar w:fldCharType="begin"/>
      </w:r>
      <w:r>
        <w:instrText xml:space="preserve"> PAGEREF _Toc199322281 \h </w:instrText>
      </w:r>
      <w:r>
        <w:fldChar w:fldCharType="separate"/>
      </w:r>
      <w:r>
        <w:t>27</w:t>
      </w:r>
      <w:r>
        <w:fldChar w:fldCharType="end"/>
      </w:r>
    </w:p>
    <w:p>
      <w:pPr>
        <w:pStyle w:val="TOC8"/>
        <w:rPr>
          <w:rFonts w:asciiTheme="minorHAnsi" w:eastAsiaTheme="minorEastAsia" w:hAnsiTheme="minorHAnsi" w:cstheme="minorBidi"/>
          <w:szCs w:val="22"/>
        </w:rPr>
      </w:pPr>
      <w:r>
        <w:t>26.</w:t>
      </w:r>
      <w:r>
        <w:tab/>
        <w:t>State planning policies, preparation and content of</w:t>
      </w:r>
      <w:r>
        <w:tab/>
      </w:r>
      <w:r>
        <w:fldChar w:fldCharType="begin"/>
      </w:r>
      <w:r>
        <w:instrText xml:space="preserve"> PAGEREF _Toc199322282 \h </w:instrText>
      </w:r>
      <w:r>
        <w:fldChar w:fldCharType="separate"/>
      </w:r>
      <w:r>
        <w:t>27</w:t>
      </w:r>
      <w:r>
        <w:fldChar w:fldCharType="end"/>
      </w:r>
    </w:p>
    <w:p>
      <w:pPr>
        <w:pStyle w:val="TOC8"/>
        <w:rPr>
          <w:rFonts w:asciiTheme="minorHAnsi" w:eastAsiaTheme="minorEastAsia" w:hAnsiTheme="minorHAnsi" w:cstheme="minorBidi"/>
          <w:szCs w:val="22"/>
        </w:rPr>
      </w:pPr>
      <w:r>
        <w:t>27.</w:t>
      </w:r>
      <w:r>
        <w:tab/>
        <w:t>Matters to be considered when preparing State planning policy</w:t>
      </w:r>
      <w:r>
        <w:tab/>
      </w:r>
      <w:r>
        <w:fldChar w:fldCharType="begin"/>
      </w:r>
      <w:r>
        <w:instrText xml:space="preserve"> PAGEREF _Toc199322283 \h </w:instrText>
      </w:r>
      <w:r>
        <w:fldChar w:fldCharType="separate"/>
      </w:r>
      <w:r>
        <w:t>28</w:t>
      </w:r>
      <w:r>
        <w:fldChar w:fldCharType="end"/>
      </w:r>
    </w:p>
    <w:p>
      <w:pPr>
        <w:pStyle w:val="TOC8"/>
        <w:rPr>
          <w:rFonts w:asciiTheme="minorHAnsi" w:eastAsiaTheme="minorEastAsia" w:hAnsiTheme="minorHAnsi" w:cstheme="minorBidi"/>
          <w:szCs w:val="22"/>
        </w:rPr>
      </w:pPr>
      <w:r>
        <w:t>28.</w:t>
      </w:r>
      <w:r>
        <w:tab/>
        <w:t>Consultation on and public notice of proposed State planning policy</w:t>
      </w:r>
      <w:r>
        <w:tab/>
      </w:r>
      <w:r>
        <w:fldChar w:fldCharType="begin"/>
      </w:r>
      <w:r>
        <w:instrText xml:space="preserve"> PAGEREF _Toc199322284 \h </w:instrText>
      </w:r>
      <w:r>
        <w:fldChar w:fldCharType="separate"/>
      </w:r>
      <w:r>
        <w:t>28</w:t>
      </w:r>
      <w:r>
        <w:fldChar w:fldCharType="end"/>
      </w:r>
    </w:p>
    <w:p>
      <w:pPr>
        <w:pStyle w:val="TOC8"/>
        <w:rPr>
          <w:rFonts w:asciiTheme="minorHAnsi" w:eastAsiaTheme="minorEastAsia" w:hAnsiTheme="minorHAnsi" w:cstheme="minorBidi"/>
          <w:szCs w:val="22"/>
        </w:rPr>
      </w:pPr>
      <w:r>
        <w:t>29.</w:t>
      </w:r>
      <w:r>
        <w:tab/>
        <w:t>Approval of Governor</w:t>
      </w:r>
      <w:r>
        <w:tab/>
      </w:r>
      <w:r>
        <w:fldChar w:fldCharType="begin"/>
      </w:r>
      <w:r>
        <w:instrText xml:space="preserve"> PAGEREF _Toc199322285 \h </w:instrText>
      </w:r>
      <w:r>
        <w:fldChar w:fldCharType="separate"/>
      </w:r>
      <w:r>
        <w:t>30</w:t>
      </w:r>
      <w:r>
        <w:fldChar w:fldCharType="end"/>
      </w:r>
    </w:p>
    <w:p>
      <w:pPr>
        <w:pStyle w:val="TOC8"/>
        <w:rPr>
          <w:rFonts w:asciiTheme="minorHAnsi" w:eastAsiaTheme="minorEastAsia" w:hAnsiTheme="minorHAnsi" w:cstheme="minorBidi"/>
          <w:szCs w:val="22"/>
        </w:rPr>
      </w:pPr>
      <w:r>
        <w:t>30.</w:t>
      </w:r>
      <w:r>
        <w:tab/>
        <w:t>Publicising approved State planning policy</w:t>
      </w:r>
      <w:r>
        <w:tab/>
      </w:r>
      <w:r>
        <w:fldChar w:fldCharType="begin"/>
      </w:r>
      <w:r>
        <w:instrText xml:space="preserve"> PAGEREF _Toc199322286 \h </w:instrText>
      </w:r>
      <w:r>
        <w:fldChar w:fldCharType="separate"/>
      </w:r>
      <w:r>
        <w:t>30</w:t>
      </w:r>
      <w:r>
        <w:fldChar w:fldCharType="end"/>
      </w:r>
    </w:p>
    <w:p>
      <w:pPr>
        <w:pStyle w:val="TOC8"/>
        <w:rPr>
          <w:rFonts w:asciiTheme="minorHAnsi" w:eastAsiaTheme="minorEastAsia" w:hAnsiTheme="minorHAnsi" w:cstheme="minorBidi"/>
          <w:szCs w:val="22"/>
        </w:rPr>
      </w:pPr>
      <w:r>
        <w:t>31.</w:t>
      </w:r>
      <w:r>
        <w:tab/>
        <w:t>Amending or repealing State planning policy</w:t>
      </w:r>
      <w:r>
        <w:tab/>
      </w:r>
      <w:r>
        <w:fldChar w:fldCharType="begin"/>
      </w:r>
      <w:r>
        <w:instrText xml:space="preserve"> PAGEREF _Toc199322287 \h </w:instrText>
      </w:r>
      <w:r>
        <w:fldChar w:fldCharType="separate"/>
      </w:r>
      <w:r>
        <w:t>30</w:t>
      </w:r>
      <w:r>
        <w:fldChar w:fldCharType="end"/>
      </w:r>
    </w:p>
    <w:p>
      <w:pPr>
        <w:pStyle w:val="TOC8"/>
        <w:rPr>
          <w:rFonts w:asciiTheme="minorHAnsi" w:eastAsiaTheme="minorEastAsia" w:hAnsiTheme="minorHAnsi" w:cstheme="minorBidi"/>
          <w:szCs w:val="22"/>
        </w:rPr>
      </w:pPr>
      <w:r>
        <w:t>32.</w:t>
      </w:r>
      <w:r>
        <w:tab/>
        <w:t>Environmental review</w:t>
      </w:r>
      <w:r>
        <w:tab/>
      </w:r>
      <w:r>
        <w:fldChar w:fldCharType="begin"/>
      </w:r>
      <w:r>
        <w:instrText xml:space="preserve"> PAGEREF _Toc199322288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4 — Region planning schemes</w:t>
      </w:r>
    </w:p>
    <w:p>
      <w:pPr>
        <w:pStyle w:val="TOC4"/>
        <w:tabs>
          <w:tab w:val="right" w:leader="dot" w:pos="7077"/>
        </w:tabs>
        <w:rPr>
          <w:rFonts w:asciiTheme="minorHAnsi" w:eastAsiaTheme="minorEastAsia" w:hAnsiTheme="minorHAnsi" w:cstheme="minorBidi"/>
          <w:b w:val="0"/>
          <w:szCs w:val="22"/>
        </w:rPr>
      </w:pPr>
      <w:r>
        <w:t>Division 1 — Continuation and formulation of region planning schemes</w:t>
      </w:r>
    </w:p>
    <w:p>
      <w:pPr>
        <w:pStyle w:val="TOC8"/>
        <w:rPr>
          <w:rFonts w:asciiTheme="minorHAnsi" w:eastAsiaTheme="minorEastAsia" w:hAnsiTheme="minorHAnsi" w:cstheme="minorBidi"/>
          <w:szCs w:val="22"/>
        </w:rPr>
      </w:pPr>
      <w:r>
        <w:t>33.</w:t>
      </w:r>
      <w:r>
        <w:tab/>
        <w:t>Schemes under repealed Act, effect of</w:t>
      </w:r>
      <w:r>
        <w:tab/>
      </w:r>
      <w:r>
        <w:fldChar w:fldCharType="begin"/>
      </w:r>
      <w:r>
        <w:instrText xml:space="preserve"> PAGEREF _Toc199322291 \h </w:instrText>
      </w:r>
      <w:r>
        <w:fldChar w:fldCharType="separate"/>
      </w:r>
      <w:r>
        <w:t>32</w:t>
      </w:r>
      <w:r>
        <w:fldChar w:fldCharType="end"/>
      </w:r>
    </w:p>
    <w:p>
      <w:pPr>
        <w:pStyle w:val="TOC8"/>
        <w:rPr>
          <w:rFonts w:asciiTheme="minorHAnsi" w:eastAsiaTheme="minorEastAsia" w:hAnsiTheme="minorHAnsi" w:cstheme="minorBidi"/>
          <w:szCs w:val="22"/>
        </w:rPr>
      </w:pPr>
      <w:r>
        <w:t>34.</w:t>
      </w:r>
      <w:r>
        <w:tab/>
        <w:t>Region planning schemes, preparation and content of</w:t>
      </w:r>
      <w:r>
        <w:tab/>
      </w:r>
      <w:r>
        <w:fldChar w:fldCharType="begin"/>
      </w:r>
      <w:r>
        <w:instrText xml:space="preserve"> PAGEREF _Toc199322292 \h </w:instrText>
      </w:r>
      <w:r>
        <w:fldChar w:fldCharType="separate"/>
      </w:r>
      <w:r>
        <w:t>32</w:t>
      </w:r>
      <w:r>
        <w:fldChar w:fldCharType="end"/>
      </w:r>
    </w:p>
    <w:p>
      <w:pPr>
        <w:pStyle w:val="TOC8"/>
        <w:rPr>
          <w:rFonts w:asciiTheme="minorHAnsi" w:eastAsiaTheme="minorEastAsia" w:hAnsiTheme="minorHAnsi" w:cstheme="minorBidi"/>
          <w:szCs w:val="22"/>
        </w:rPr>
      </w:pPr>
      <w:r>
        <w:t>35.</w:t>
      </w:r>
      <w:r>
        <w:tab/>
        <w:t>Commission may resolve to prepare or amend region planning scheme</w:t>
      </w:r>
      <w:r>
        <w:tab/>
      </w:r>
      <w:r>
        <w:fldChar w:fldCharType="begin"/>
      </w:r>
      <w:r>
        <w:instrText xml:space="preserve"> PAGEREF _Toc199322293 \h </w:instrText>
      </w:r>
      <w:r>
        <w:fldChar w:fldCharType="separate"/>
      </w:r>
      <w:r>
        <w:t>33</w:t>
      </w:r>
      <w:r>
        <w:fldChar w:fldCharType="end"/>
      </w:r>
    </w:p>
    <w:p>
      <w:pPr>
        <w:pStyle w:val="TOC8"/>
        <w:rPr>
          <w:rFonts w:asciiTheme="minorHAnsi" w:eastAsiaTheme="minorEastAsia" w:hAnsiTheme="minorHAnsi" w:cstheme="minorBidi"/>
          <w:szCs w:val="22"/>
        </w:rPr>
      </w:pPr>
      <w:r>
        <w:t>36.</w:t>
      </w:r>
      <w:r>
        <w:tab/>
        <w:t>Restrictions on making or amending region planning scheme for metropolitan region</w:t>
      </w:r>
      <w:r>
        <w:tab/>
      </w:r>
      <w:r>
        <w:fldChar w:fldCharType="begin"/>
      </w:r>
      <w:r>
        <w:instrText xml:space="preserve"> PAGEREF _Toc199322294 \h </w:instrText>
      </w:r>
      <w:r>
        <w:fldChar w:fldCharType="separate"/>
      </w:r>
      <w:r>
        <w:t>33</w:t>
      </w:r>
      <w:r>
        <w:fldChar w:fldCharType="end"/>
      </w:r>
    </w:p>
    <w:p>
      <w:pPr>
        <w:pStyle w:val="TOC8"/>
        <w:rPr>
          <w:rFonts w:asciiTheme="minorHAnsi" w:eastAsiaTheme="minorEastAsia" w:hAnsiTheme="minorHAnsi" w:cstheme="minorBidi"/>
          <w:szCs w:val="22"/>
        </w:rPr>
      </w:pPr>
      <w:r>
        <w:t>37.</w:t>
      </w:r>
      <w:r>
        <w:tab/>
        <w:t>Region planning scheme may be amended or repealed</w:t>
      </w:r>
      <w:r>
        <w:tab/>
      </w:r>
      <w:r>
        <w:fldChar w:fldCharType="begin"/>
      </w:r>
      <w:r>
        <w:instrText xml:space="preserve"> PAGEREF _Toc199322295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2 — Relevant considerations in preparation or amendment of region planning scheme or amendment and requirement to advertise</w:t>
      </w:r>
    </w:p>
    <w:p>
      <w:pPr>
        <w:pStyle w:val="TOC8"/>
        <w:rPr>
          <w:rFonts w:asciiTheme="minorHAnsi" w:eastAsiaTheme="minorEastAsia" w:hAnsiTheme="minorHAnsi" w:cstheme="minorBidi"/>
          <w:szCs w:val="22"/>
        </w:rPr>
      </w:pPr>
      <w:r>
        <w:t>38.</w:t>
      </w:r>
      <w:r>
        <w:tab/>
        <w:t>Referral of proposed scheme or amendment to EPA</w:t>
      </w:r>
      <w:r>
        <w:tab/>
      </w:r>
      <w:r>
        <w:fldChar w:fldCharType="begin"/>
      </w:r>
      <w:r>
        <w:instrText xml:space="preserve"> PAGEREF _Toc199322297 \h </w:instrText>
      </w:r>
      <w:r>
        <w:fldChar w:fldCharType="separate"/>
      </w:r>
      <w:r>
        <w:t>34</w:t>
      </w:r>
      <w:r>
        <w:fldChar w:fldCharType="end"/>
      </w:r>
    </w:p>
    <w:p>
      <w:pPr>
        <w:pStyle w:val="TOC8"/>
        <w:rPr>
          <w:rFonts w:asciiTheme="minorHAnsi" w:eastAsiaTheme="minorEastAsia" w:hAnsiTheme="minorHAnsi" w:cstheme="minorBidi"/>
          <w:szCs w:val="22"/>
        </w:rPr>
      </w:pPr>
      <w:r>
        <w:lastRenderedPageBreak/>
        <w:t>39.</w:t>
      </w:r>
      <w:r>
        <w:tab/>
        <w:t>Environmental review of proposed scheme or amendment</w:t>
      </w:r>
      <w:r>
        <w:tab/>
      </w:r>
      <w:r>
        <w:fldChar w:fldCharType="begin"/>
      </w:r>
      <w:r>
        <w:instrText xml:space="preserve"> PAGEREF _Toc199322298 \h </w:instrText>
      </w:r>
      <w:r>
        <w:fldChar w:fldCharType="separate"/>
      </w:r>
      <w:r>
        <w:t>35</w:t>
      </w:r>
      <w:r>
        <w:fldChar w:fldCharType="end"/>
      </w:r>
    </w:p>
    <w:p>
      <w:pPr>
        <w:pStyle w:val="TOC8"/>
        <w:rPr>
          <w:rFonts w:asciiTheme="minorHAnsi" w:eastAsiaTheme="minorEastAsia" w:hAnsiTheme="minorHAnsi" w:cstheme="minorBidi"/>
          <w:szCs w:val="22"/>
        </w:rPr>
      </w:pPr>
      <w:r>
        <w:t>43.</w:t>
      </w:r>
      <w:r>
        <w:tab/>
        <w:t>Advertising proposed scheme or amendment</w:t>
      </w:r>
      <w:r>
        <w:tab/>
      </w:r>
      <w:r>
        <w:fldChar w:fldCharType="begin"/>
      </w:r>
      <w:r>
        <w:instrText xml:space="preserve"> PAGEREF _Toc199322299 \h </w:instrText>
      </w:r>
      <w:r>
        <w:fldChar w:fldCharType="separate"/>
      </w:r>
      <w:r>
        <w:t>36</w:t>
      </w:r>
      <w:r>
        <w:fldChar w:fldCharType="end"/>
      </w:r>
    </w:p>
    <w:p>
      <w:pPr>
        <w:pStyle w:val="TOC8"/>
        <w:rPr>
          <w:rFonts w:asciiTheme="minorHAnsi" w:eastAsiaTheme="minorEastAsia" w:hAnsiTheme="minorHAnsi" w:cstheme="minorBidi"/>
          <w:szCs w:val="22"/>
        </w:rPr>
      </w:pPr>
      <w:r>
        <w:t>45.</w:t>
      </w:r>
      <w:r>
        <w:tab/>
        <w:t>Commission’s duties if proposed scheme or amendment is to be assessed under EP Act</w:t>
      </w:r>
      <w:r>
        <w:tab/>
      </w:r>
      <w:r>
        <w:fldChar w:fldCharType="begin"/>
      </w:r>
      <w:r>
        <w:instrText xml:space="preserve"> PAGEREF _Toc199322300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3 — Submission and approval of region planning schemes or amendment other than minor amendments</w:t>
      </w:r>
    </w:p>
    <w:p>
      <w:pPr>
        <w:pStyle w:val="TOC8"/>
        <w:rPr>
          <w:rFonts w:asciiTheme="minorHAnsi" w:eastAsiaTheme="minorEastAsia" w:hAnsiTheme="minorHAnsi" w:cstheme="minorBidi"/>
          <w:szCs w:val="22"/>
        </w:rPr>
      </w:pPr>
      <w:r>
        <w:t>47A.</w:t>
      </w:r>
      <w:r>
        <w:tab/>
        <w:t>Region planning scheme or non</w:t>
      </w:r>
      <w:r>
        <w:noBreakHyphen/>
        <w:t>minor amendment to be submitted and approved under this Division</w:t>
      </w:r>
      <w:r>
        <w:tab/>
      </w:r>
      <w:r>
        <w:fldChar w:fldCharType="begin"/>
      </w:r>
      <w:r>
        <w:instrText xml:space="preserve"> PAGEREF _Toc199322302 \h </w:instrText>
      </w:r>
      <w:r>
        <w:fldChar w:fldCharType="separate"/>
      </w:r>
      <w:r>
        <w:t>38</w:t>
      </w:r>
      <w:r>
        <w:fldChar w:fldCharType="end"/>
      </w:r>
    </w:p>
    <w:p>
      <w:pPr>
        <w:pStyle w:val="TOC8"/>
        <w:rPr>
          <w:rFonts w:asciiTheme="minorHAnsi" w:eastAsiaTheme="minorEastAsia" w:hAnsiTheme="minorHAnsi" w:cstheme="minorBidi"/>
          <w:szCs w:val="22"/>
        </w:rPr>
      </w:pPr>
      <w:r>
        <w:t>48.</w:t>
      </w:r>
      <w:r>
        <w:tab/>
        <w:t>Proposed scheme or amendment and public submissions to be submitted to Minister</w:t>
      </w:r>
      <w:r>
        <w:tab/>
      </w:r>
      <w:r>
        <w:fldChar w:fldCharType="begin"/>
      </w:r>
      <w:r>
        <w:instrText xml:space="preserve"> PAGEREF _Toc199322303 \h </w:instrText>
      </w:r>
      <w:r>
        <w:fldChar w:fldCharType="separate"/>
      </w:r>
      <w:r>
        <w:t>38</w:t>
      </w:r>
      <w:r>
        <w:fldChar w:fldCharType="end"/>
      </w:r>
    </w:p>
    <w:p>
      <w:pPr>
        <w:pStyle w:val="TOC8"/>
        <w:rPr>
          <w:rFonts w:asciiTheme="minorHAnsi" w:eastAsiaTheme="minorEastAsia" w:hAnsiTheme="minorHAnsi" w:cstheme="minorBidi"/>
          <w:szCs w:val="22"/>
        </w:rPr>
      </w:pPr>
      <w:r>
        <w:t>50.</w:t>
      </w:r>
      <w:r>
        <w:tab/>
        <w:t>When Minister may submit proposed scheme or amendment for Governor’s approval</w:t>
      </w:r>
      <w:r>
        <w:tab/>
      </w:r>
      <w:r>
        <w:fldChar w:fldCharType="begin"/>
      </w:r>
      <w:r>
        <w:instrText xml:space="preserve"> PAGEREF _Toc199322304 \h </w:instrText>
      </w:r>
      <w:r>
        <w:fldChar w:fldCharType="separate"/>
      </w:r>
      <w:r>
        <w:t>39</w:t>
      </w:r>
      <w:r>
        <w:fldChar w:fldCharType="end"/>
      </w:r>
    </w:p>
    <w:p>
      <w:pPr>
        <w:pStyle w:val="TOC8"/>
        <w:rPr>
          <w:rFonts w:asciiTheme="minorHAnsi" w:eastAsiaTheme="minorEastAsia" w:hAnsiTheme="minorHAnsi" w:cstheme="minorBidi"/>
          <w:szCs w:val="22"/>
        </w:rPr>
      </w:pPr>
      <w:r>
        <w:t>51.</w:t>
      </w:r>
      <w:r>
        <w:tab/>
        <w:t>Minister may direct proposed scheme or amendment to be republicised</w:t>
      </w:r>
      <w:r>
        <w:tab/>
      </w:r>
      <w:r>
        <w:fldChar w:fldCharType="begin"/>
      </w:r>
      <w:r>
        <w:instrText xml:space="preserve"> PAGEREF _Toc199322305 \h </w:instrText>
      </w:r>
      <w:r>
        <w:fldChar w:fldCharType="separate"/>
      </w:r>
      <w:r>
        <w:t>39</w:t>
      </w:r>
      <w:r>
        <w:fldChar w:fldCharType="end"/>
      </w:r>
    </w:p>
    <w:p>
      <w:pPr>
        <w:pStyle w:val="TOC8"/>
        <w:rPr>
          <w:rFonts w:asciiTheme="minorHAnsi" w:eastAsiaTheme="minorEastAsia" w:hAnsiTheme="minorHAnsi" w:cstheme="minorBidi"/>
          <w:szCs w:val="22"/>
        </w:rPr>
      </w:pPr>
      <w:r>
        <w:t>52.</w:t>
      </w:r>
      <w:r>
        <w:tab/>
        <w:t>Modifications to proposed scheme or amendment, procedure on</w:t>
      </w:r>
      <w:r>
        <w:tab/>
      </w:r>
      <w:r>
        <w:fldChar w:fldCharType="begin"/>
      </w:r>
      <w:r>
        <w:instrText xml:space="preserve"> PAGEREF _Toc199322306 \h </w:instrText>
      </w:r>
      <w:r>
        <w:fldChar w:fldCharType="separate"/>
      </w:r>
      <w:r>
        <w:t>40</w:t>
      </w:r>
      <w:r>
        <w:fldChar w:fldCharType="end"/>
      </w:r>
    </w:p>
    <w:p>
      <w:pPr>
        <w:pStyle w:val="TOC8"/>
        <w:rPr>
          <w:rFonts w:asciiTheme="minorHAnsi" w:eastAsiaTheme="minorEastAsia" w:hAnsiTheme="minorHAnsi" w:cstheme="minorBidi"/>
          <w:szCs w:val="22"/>
        </w:rPr>
      </w:pPr>
      <w:r>
        <w:t>53.</w:t>
      </w:r>
      <w:r>
        <w:tab/>
        <w:t>Approval of Governor</w:t>
      </w:r>
      <w:r>
        <w:tab/>
      </w:r>
      <w:r>
        <w:fldChar w:fldCharType="begin"/>
      </w:r>
      <w:r>
        <w:instrText xml:space="preserve"> PAGEREF _Toc199322307 \h </w:instrText>
      </w:r>
      <w:r>
        <w:fldChar w:fldCharType="separate"/>
      </w:r>
      <w:r>
        <w:t>40</w:t>
      </w:r>
      <w:r>
        <w:fldChar w:fldCharType="end"/>
      </w:r>
    </w:p>
    <w:p>
      <w:pPr>
        <w:pStyle w:val="TOC8"/>
        <w:rPr>
          <w:rFonts w:asciiTheme="minorHAnsi" w:eastAsiaTheme="minorEastAsia" w:hAnsiTheme="minorHAnsi" w:cstheme="minorBidi"/>
          <w:szCs w:val="22"/>
        </w:rPr>
      </w:pPr>
      <w:r>
        <w:t>54.</w:t>
      </w:r>
      <w:r>
        <w:tab/>
        <w:t>Publicising approved scheme or amendment</w:t>
      </w:r>
      <w:r>
        <w:tab/>
      </w:r>
      <w:r>
        <w:fldChar w:fldCharType="begin"/>
      </w:r>
      <w:r>
        <w:instrText xml:space="preserve"> PAGEREF _Toc199322308 \h </w:instrText>
      </w:r>
      <w:r>
        <w:fldChar w:fldCharType="separate"/>
      </w:r>
      <w:r>
        <w:t>41</w:t>
      </w:r>
      <w:r>
        <w:fldChar w:fldCharType="end"/>
      </w:r>
    </w:p>
    <w:p>
      <w:pPr>
        <w:pStyle w:val="TOC8"/>
        <w:rPr>
          <w:rFonts w:asciiTheme="minorHAnsi" w:eastAsiaTheme="minorEastAsia" w:hAnsiTheme="minorHAnsi" w:cstheme="minorBidi"/>
          <w:szCs w:val="22"/>
        </w:rPr>
      </w:pPr>
      <w:r>
        <w:t>55.</w:t>
      </w:r>
      <w:r>
        <w:tab/>
        <w:t>Revoking approval of scheme or amendment</w:t>
      </w:r>
      <w:r>
        <w:tab/>
      </w:r>
      <w:r>
        <w:fldChar w:fldCharType="begin"/>
      </w:r>
      <w:r>
        <w:instrText xml:space="preserve"> PAGEREF _Toc199322309 \h </w:instrText>
      </w:r>
      <w:r>
        <w:fldChar w:fldCharType="separate"/>
      </w:r>
      <w:r>
        <w:t>41</w:t>
      </w:r>
      <w:r>
        <w:fldChar w:fldCharType="end"/>
      </w:r>
    </w:p>
    <w:p>
      <w:pPr>
        <w:pStyle w:val="TOC8"/>
        <w:rPr>
          <w:rFonts w:asciiTheme="minorHAnsi" w:eastAsiaTheme="minorEastAsia" w:hAnsiTheme="minorHAnsi" w:cstheme="minorBidi"/>
          <w:szCs w:val="22"/>
        </w:rPr>
      </w:pPr>
      <w:r>
        <w:t>56.</w:t>
      </w:r>
      <w:r>
        <w:tab/>
        <w:t>Parliament may disallow scheme or amendment</w:t>
      </w:r>
      <w:r>
        <w:tab/>
      </w:r>
      <w:r>
        <w:fldChar w:fldCharType="begin"/>
      </w:r>
      <w:r>
        <w:instrText xml:space="preserve"> PAGEREF _Toc199322310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4 — Submission and approval of minor amendments to region planning schemes</w:t>
      </w:r>
    </w:p>
    <w:p>
      <w:pPr>
        <w:pStyle w:val="TOC8"/>
        <w:rPr>
          <w:rFonts w:asciiTheme="minorHAnsi" w:eastAsiaTheme="minorEastAsia" w:hAnsiTheme="minorHAnsi" w:cstheme="minorBidi"/>
          <w:szCs w:val="22"/>
        </w:rPr>
      </w:pPr>
      <w:r>
        <w:t>56A.</w:t>
      </w:r>
      <w:r>
        <w:tab/>
        <w:t>Term used: minor region planning scheme amendment</w:t>
      </w:r>
      <w:r>
        <w:tab/>
      </w:r>
      <w:r>
        <w:fldChar w:fldCharType="begin"/>
      </w:r>
      <w:r>
        <w:instrText xml:space="preserve"> PAGEREF _Toc199322312 \h </w:instrText>
      </w:r>
      <w:r>
        <w:fldChar w:fldCharType="separate"/>
      </w:r>
      <w:r>
        <w:t>43</w:t>
      </w:r>
      <w:r>
        <w:fldChar w:fldCharType="end"/>
      </w:r>
    </w:p>
    <w:p>
      <w:pPr>
        <w:pStyle w:val="TOC8"/>
        <w:rPr>
          <w:rFonts w:asciiTheme="minorHAnsi" w:eastAsiaTheme="minorEastAsia" w:hAnsiTheme="minorHAnsi" w:cstheme="minorBidi"/>
          <w:szCs w:val="22"/>
        </w:rPr>
      </w:pPr>
      <w:r>
        <w:t>57.</w:t>
      </w:r>
      <w:r>
        <w:tab/>
        <w:t>Proposed minor amendment may be submitted and approved under this Division</w:t>
      </w:r>
      <w:r>
        <w:tab/>
      </w:r>
      <w:r>
        <w:fldChar w:fldCharType="begin"/>
      </w:r>
      <w:r>
        <w:instrText xml:space="preserve"> PAGEREF _Toc199322313 \h </w:instrText>
      </w:r>
      <w:r>
        <w:fldChar w:fldCharType="separate"/>
      </w:r>
      <w:r>
        <w:t>43</w:t>
      </w:r>
      <w:r>
        <w:fldChar w:fldCharType="end"/>
      </w:r>
    </w:p>
    <w:p>
      <w:pPr>
        <w:pStyle w:val="TOC8"/>
        <w:rPr>
          <w:rFonts w:asciiTheme="minorHAnsi" w:eastAsiaTheme="minorEastAsia" w:hAnsiTheme="minorHAnsi" w:cstheme="minorBidi"/>
          <w:szCs w:val="22"/>
        </w:rPr>
      </w:pPr>
      <w:r>
        <w:t>61.</w:t>
      </w:r>
      <w:r>
        <w:tab/>
        <w:t>Minister not to approve proposed minor amendment in some cases</w:t>
      </w:r>
      <w:r>
        <w:tab/>
      </w:r>
      <w:r>
        <w:fldChar w:fldCharType="begin"/>
      </w:r>
      <w:r>
        <w:instrText xml:space="preserve"> PAGEREF _Toc199322314 \h </w:instrText>
      </w:r>
      <w:r>
        <w:fldChar w:fldCharType="separate"/>
      </w:r>
      <w:r>
        <w:t>43</w:t>
      </w:r>
      <w:r>
        <w:fldChar w:fldCharType="end"/>
      </w:r>
    </w:p>
    <w:p>
      <w:pPr>
        <w:pStyle w:val="TOC8"/>
        <w:rPr>
          <w:rFonts w:asciiTheme="minorHAnsi" w:eastAsiaTheme="minorEastAsia" w:hAnsiTheme="minorHAnsi" w:cstheme="minorBidi"/>
          <w:szCs w:val="22"/>
        </w:rPr>
      </w:pPr>
      <w:r>
        <w:t>62.</w:t>
      </w:r>
      <w:r>
        <w:tab/>
        <w:t>Minister may approve or decline to approve minor amendment</w:t>
      </w:r>
      <w:r>
        <w:tab/>
      </w:r>
      <w:r>
        <w:fldChar w:fldCharType="begin"/>
      </w:r>
      <w:r>
        <w:instrText xml:space="preserve"> PAGEREF _Toc199322315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4A — Withdrawal of region planning scheme or amendment</w:t>
      </w:r>
    </w:p>
    <w:p>
      <w:pPr>
        <w:pStyle w:val="TOC8"/>
        <w:rPr>
          <w:rFonts w:asciiTheme="minorHAnsi" w:eastAsiaTheme="minorEastAsia" w:hAnsiTheme="minorHAnsi" w:cstheme="minorBidi"/>
          <w:szCs w:val="22"/>
        </w:rPr>
      </w:pPr>
      <w:r>
        <w:t>62A.</w:t>
      </w:r>
      <w:r>
        <w:tab/>
        <w:t>Minister may withdraw or direct withdrawal of proposed scheme or amendment</w:t>
      </w:r>
      <w:r>
        <w:tab/>
      </w:r>
      <w:r>
        <w:fldChar w:fldCharType="begin"/>
      </w:r>
      <w:r>
        <w:instrText xml:space="preserve"> PAGEREF _Toc199322317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5 — Consolidation of region planning scheme</w:t>
      </w:r>
    </w:p>
    <w:p>
      <w:pPr>
        <w:pStyle w:val="TOC8"/>
        <w:rPr>
          <w:rFonts w:asciiTheme="minorHAnsi" w:eastAsiaTheme="minorEastAsia" w:hAnsiTheme="minorHAnsi" w:cstheme="minorBidi"/>
          <w:szCs w:val="22"/>
        </w:rPr>
      </w:pPr>
      <w:r>
        <w:t>63.</w:t>
      </w:r>
      <w:r>
        <w:tab/>
        <w:t>Minister may direct consolidation</w:t>
      </w:r>
      <w:r>
        <w:tab/>
      </w:r>
      <w:r>
        <w:fldChar w:fldCharType="begin"/>
      </w:r>
      <w:r>
        <w:instrText xml:space="preserve"> PAGEREF _Toc199322319 \h </w:instrText>
      </w:r>
      <w:r>
        <w:fldChar w:fldCharType="separate"/>
      </w:r>
      <w:r>
        <w:t>46</w:t>
      </w:r>
      <w:r>
        <w:fldChar w:fldCharType="end"/>
      </w:r>
    </w:p>
    <w:p>
      <w:pPr>
        <w:pStyle w:val="TOC8"/>
        <w:rPr>
          <w:rFonts w:asciiTheme="minorHAnsi" w:eastAsiaTheme="minorEastAsia" w:hAnsiTheme="minorHAnsi" w:cstheme="minorBidi"/>
          <w:szCs w:val="22"/>
        </w:rPr>
      </w:pPr>
      <w:r>
        <w:lastRenderedPageBreak/>
        <w:t>64.</w:t>
      </w:r>
      <w:r>
        <w:tab/>
        <w:t>Maps, plans, diagrams may be added or substituted</w:t>
      </w:r>
      <w:r>
        <w:tab/>
      </w:r>
      <w:r>
        <w:fldChar w:fldCharType="begin"/>
      </w:r>
      <w:r>
        <w:instrText xml:space="preserve"> PAGEREF _Toc199322320 \h </w:instrText>
      </w:r>
      <w:r>
        <w:fldChar w:fldCharType="separate"/>
      </w:r>
      <w:r>
        <w:t>46</w:t>
      </w:r>
      <w:r>
        <w:fldChar w:fldCharType="end"/>
      </w:r>
    </w:p>
    <w:p>
      <w:pPr>
        <w:pStyle w:val="TOC8"/>
        <w:rPr>
          <w:rFonts w:asciiTheme="minorHAnsi" w:eastAsiaTheme="minorEastAsia" w:hAnsiTheme="minorHAnsi" w:cstheme="minorBidi"/>
          <w:szCs w:val="22"/>
        </w:rPr>
      </w:pPr>
      <w:r>
        <w:t>65.</w:t>
      </w:r>
      <w:r>
        <w:tab/>
        <w:t>Certification and delivery of consolidation</w:t>
      </w:r>
      <w:r>
        <w:tab/>
      </w:r>
      <w:r>
        <w:fldChar w:fldCharType="begin"/>
      </w:r>
      <w:r>
        <w:instrText xml:space="preserve"> PAGEREF _Toc199322321 \h </w:instrText>
      </w:r>
      <w:r>
        <w:fldChar w:fldCharType="separate"/>
      </w:r>
      <w:r>
        <w:t>47</w:t>
      </w:r>
      <w:r>
        <w:fldChar w:fldCharType="end"/>
      </w:r>
    </w:p>
    <w:p>
      <w:pPr>
        <w:pStyle w:val="TOC8"/>
        <w:rPr>
          <w:rFonts w:asciiTheme="minorHAnsi" w:eastAsiaTheme="minorEastAsia" w:hAnsiTheme="minorHAnsi" w:cstheme="minorBidi"/>
          <w:szCs w:val="22"/>
        </w:rPr>
      </w:pPr>
      <w:r>
        <w:t>66.</w:t>
      </w:r>
      <w:r>
        <w:tab/>
        <w:t>Proof of consolidation</w:t>
      </w:r>
      <w:r>
        <w:tab/>
      </w:r>
      <w:r>
        <w:fldChar w:fldCharType="begin"/>
      </w:r>
      <w:r>
        <w:instrText xml:space="preserve"> PAGEREF _Toc199322322 \h </w:instrText>
      </w:r>
      <w:r>
        <w:fldChar w:fldCharType="separate"/>
      </w:r>
      <w:r>
        <w:t>47</w:t>
      </w:r>
      <w:r>
        <w:fldChar w:fldCharType="end"/>
      </w:r>
    </w:p>
    <w:p>
      <w:pPr>
        <w:pStyle w:val="TOC8"/>
        <w:rPr>
          <w:rFonts w:asciiTheme="minorHAnsi" w:eastAsiaTheme="minorEastAsia" w:hAnsiTheme="minorHAnsi" w:cstheme="minorBidi"/>
          <w:szCs w:val="22"/>
        </w:rPr>
      </w:pPr>
      <w:r>
        <w:t>67.</w:t>
      </w:r>
      <w:r>
        <w:tab/>
        <w:t>Consolidation of portion of region planning scheme</w:t>
      </w:r>
      <w:r>
        <w:tab/>
      </w:r>
      <w:r>
        <w:fldChar w:fldCharType="begin"/>
      </w:r>
      <w:r>
        <w:instrText xml:space="preserve"> PAGEREF _Toc199322323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5 — Local planning schemes</w:t>
      </w:r>
    </w:p>
    <w:p>
      <w:pPr>
        <w:pStyle w:val="TOC4"/>
        <w:tabs>
          <w:tab w:val="right" w:leader="dot" w:pos="7077"/>
        </w:tabs>
        <w:rPr>
          <w:rFonts w:asciiTheme="minorHAnsi" w:eastAsiaTheme="minorEastAsia" w:hAnsiTheme="minorHAnsi" w:cstheme="minorBidi"/>
          <w:b w:val="0"/>
          <w:szCs w:val="22"/>
        </w:rPr>
      </w:pPr>
      <w:r>
        <w:t>Division 1 — Continuation and formulation of local planning schemes</w:t>
      </w:r>
    </w:p>
    <w:p>
      <w:pPr>
        <w:pStyle w:val="TOC8"/>
        <w:rPr>
          <w:rFonts w:asciiTheme="minorHAnsi" w:eastAsiaTheme="minorEastAsia" w:hAnsiTheme="minorHAnsi" w:cstheme="minorBidi"/>
          <w:szCs w:val="22"/>
        </w:rPr>
      </w:pPr>
      <w:r>
        <w:t>68.</w:t>
      </w:r>
      <w:r>
        <w:tab/>
        <w:t>Town planning schemes under repealed Act, effect of</w:t>
      </w:r>
      <w:r>
        <w:tab/>
      </w:r>
      <w:r>
        <w:fldChar w:fldCharType="begin"/>
      </w:r>
      <w:r>
        <w:instrText xml:space="preserve"> PAGEREF _Toc199322326 \h </w:instrText>
      </w:r>
      <w:r>
        <w:fldChar w:fldCharType="separate"/>
      </w:r>
      <w:r>
        <w:t>48</w:t>
      </w:r>
      <w:r>
        <w:fldChar w:fldCharType="end"/>
      </w:r>
    </w:p>
    <w:p>
      <w:pPr>
        <w:pStyle w:val="TOC8"/>
        <w:rPr>
          <w:rFonts w:asciiTheme="minorHAnsi" w:eastAsiaTheme="minorEastAsia" w:hAnsiTheme="minorHAnsi" w:cstheme="minorBidi"/>
          <w:szCs w:val="22"/>
        </w:rPr>
      </w:pPr>
      <w:r>
        <w:t>69.</w:t>
      </w:r>
      <w:r>
        <w:tab/>
        <w:t>General objects of schemes</w:t>
      </w:r>
      <w:r>
        <w:tab/>
      </w:r>
      <w:r>
        <w:fldChar w:fldCharType="begin"/>
      </w:r>
      <w:r>
        <w:instrText xml:space="preserve"> PAGEREF _Toc199322327 \h </w:instrText>
      </w:r>
      <w:r>
        <w:fldChar w:fldCharType="separate"/>
      </w:r>
      <w:r>
        <w:t>48</w:t>
      </w:r>
      <w:r>
        <w:fldChar w:fldCharType="end"/>
      </w:r>
    </w:p>
    <w:p>
      <w:pPr>
        <w:pStyle w:val="TOC8"/>
        <w:rPr>
          <w:rFonts w:asciiTheme="minorHAnsi" w:eastAsiaTheme="minorEastAsia" w:hAnsiTheme="minorHAnsi" w:cstheme="minorBidi"/>
          <w:szCs w:val="22"/>
        </w:rPr>
      </w:pPr>
      <w:r>
        <w:t>70.</w:t>
      </w:r>
      <w:r>
        <w:tab/>
        <w:t>Scheme may be made for land outside scheme or be concurrent with another scheme</w:t>
      </w:r>
      <w:r>
        <w:tab/>
      </w:r>
      <w:r>
        <w:fldChar w:fldCharType="begin"/>
      </w:r>
      <w:r>
        <w:instrText xml:space="preserve"> PAGEREF _Toc199322328 \h </w:instrText>
      </w:r>
      <w:r>
        <w:fldChar w:fldCharType="separate"/>
      </w:r>
      <w:r>
        <w:t>49</w:t>
      </w:r>
      <w:r>
        <w:fldChar w:fldCharType="end"/>
      </w:r>
    </w:p>
    <w:p>
      <w:pPr>
        <w:pStyle w:val="TOC8"/>
        <w:rPr>
          <w:rFonts w:asciiTheme="minorHAnsi" w:eastAsiaTheme="minorEastAsia" w:hAnsiTheme="minorHAnsi" w:cstheme="minorBidi"/>
          <w:szCs w:val="22"/>
        </w:rPr>
      </w:pPr>
      <w:r>
        <w:t>71.</w:t>
      </w:r>
      <w:r>
        <w:tab/>
        <w:t>Scheme not to apply to redevelopment area or Swan Valley</w:t>
      </w:r>
      <w:r>
        <w:tab/>
      </w:r>
      <w:r>
        <w:fldChar w:fldCharType="begin"/>
      </w:r>
      <w:r>
        <w:instrText xml:space="preserve"> PAGEREF _Toc199322329 \h </w:instrText>
      </w:r>
      <w:r>
        <w:fldChar w:fldCharType="separate"/>
      </w:r>
      <w:r>
        <w:t>49</w:t>
      </w:r>
      <w:r>
        <w:fldChar w:fldCharType="end"/>
      </w:r>
    </w:p>
    <w:p>
      <w:pPr>
        <w:pStyle w:val="TOC8"/>
        <w:rPr>
          <w:rFonts w:asciiTheme="minorHAnsi" w:eastAsiaTheme="minorEastAsia" w:hAnsiTheme="minorHAnsi" w:cstheme="minorBidi"/>
          <w:szCs w:val="22"/>
        </w:rPr>
      </w:pPr>
      <w:r>
        <w:t>72.</w:t>
      </w:r>
      <w:r>
        <w:tab/>
        <w:t>Local government may prepare or adopt scheme</w:t>
      </w:r>
      <w:r>
        <w:tab/>
      </w:r>
      <w:r>
        <w:fldChar w:fldCharType="begin"/>
      </w:r>
      <w:r>
        <w:instrText xml:space="preserve"> PAGEREF _Toc199322330 \h </w:instrText>
      </w:r>
      <w:r>
        <w:fldChar w:fldCharType="separate"/>
      </w:r>
      <w:r>
        <w:t>50</w:t>
      </w:r>
      <w:r>
        <w:fldChar w:fldCharType="end"/>
      </w:r>
    </w:p>
    <w:p>
      <w:pPr>
        <w:pStyle w:val="TOC8"/>
        <w:rPr>
          <w:rFonts w:asciiTheme="minorHAnsi" w:eastAsiaTheme="minorEastAsia" w:hAnsiTheme="minorHAnsi" w:cstheme="minorBidi"/>
          <w:szCs w:val="22"/>
        </w:rPr>
      </w:pPr>
      <w:r>
        <w:t>73.</w:t>
      </w:r>
      <w:r>
        <w:tab/>
        <w:t>Contents of scheme</w:t>
      </w:r>
      <w:r>
        <w:tab/>
      </w:r>
      <w:r>
        <w:fldChar w:fldCharType="begin"/>
      </w:r>
      <w:r>
        <w:instrText xml:space="preserve"> PAGEREF _Toc199322331 \h </w:instrText>
      </w:r>
      <w:r>
        <w:fldChar w:fldCharType="separate"/>
      </w:r>
      <w:r>
        <w:t>50</w:t>
      </w:r>
      <w:r>
        <w:fldChar w:fldCharType="end"/>
      </w:r>
    </w:p>
    <w:p>
      <w:pPr>
        <w:pStyle w:val="TOC8"/>
        <w:rPr>
          <w:rFonts w:asciiTheme="minorHAnsi" w:eastAsiaTheme="minorEastAsia" w:hAnsiTheme="minorHAnsi" w:cstheme="minorBidi"/>
          <w:szCs w:val="22"/>
        </w:rPr>
      </w:pPr>
      <w:r>
        <w:t>74.</w:t>
      </w:r>
      <w:r>
        <w:tab/>
        <w:t>Repealing scheme</w:t>
      </w:r>
      <w:r>
        <w:tab/>
      </w:r>
      <w:r>
        <w:fldChar w:fldCharType="begin"/>
      </w:r>
      <w:r>
        <w:instrText xml:space="preserve"> PAGEREF _Toc199322332 \h </w:instrText>
      </w:r>
      <w:r>
        <w:fldChar w:fldCharType="separate"/>
      </w:r>
      <w:r>
        <w:t>51</w:t>
      </w:r>
      <w:r>
        <w:fldChar w:fldCharType="end"/>
      </w:r>
    </w:p>
    <w:p>
      <w:pPr>
        <w:pStyle w:val="TOC8"/>
        <w:rPr>
          <w:rFonts w:asciiTheme="minorHAnsi" w:eastAsiaTheme="minorEastAsia" w:hAnsiTheme="minorHAnsi" w:cstheme="minorBidi"/>
          <w:szCs w:val="22"/>
        </w:rPr>
      </w:pPr>
      <w:r>
        <w:t>75.</w:t>
      </w:r>
      <w:r>
        <w:tab/>
        <w:t>Amending scheme</w:t>
      </w:r>
      <w:r>
        <w:tab/>
      </w:r>
      <w:r>
        <w:fldChar w:fldCharType="begin"/>
      </w:r>
      <w:r>
        <w:instrText xml:space="preserve"> PAGEREF _Toc199322333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2 — Minister’s powers in relation to local planning schemes</w:t>
      </w:r>
    </w:p>
    <w:p>
      <w:pPr>
        <w:pStyle w:val="TOC8"/>
        <w:rPr>
          <w:rFonts w:asciiTheme="minorHAnsi" w:eastAsiaTheme="minorEastAsia" w:hAnsiTheme="minorHAnsi" w:cstheme="minorBidi"/>
          <w:szCs w:val="22"/>
        </w:rPr>
      </w:pPr>
      <w:r>
        <w:t>76.</w:t>
      </w:r>
      <w:r>
        <w:tab/>
        <w:t>Minister may order local government to prepare or adopt scheme or amendment</w:t>
      </w:r>
      <w:r>
        <w:tab/>
      </w:r>
      <w:r>
        <w:fldChar w:fldCharType="begin"/>
      </w:r>
      <w:r>
        <w:instrText xml:space="preserve"> PAGEREF _Toc199322335 \h </w:instrText>
      </w:r>
      <w:r>
        <w:fldChar w:fldCharType="separate"/>
      </w:r>
      <w:r>
        <w:t>52</w:t>
      </w:r>
      <w:r>
        <w:fldChar w:fldCharType="end"/>
      </w:r>
    </w:p>
    <w:p>
      <w:pPr>
        <w:pStyle w:val="TOC8"/>
        <w:rPr>
          <w:rFonts w:asciiTheme="minorHAnsi" w:eastAsiaTheme="minorEastAsia" w:hAnsiTheme="minorHAnsi" w:cstheme="minorBidi"/>
          <w:szCs w:val="22"/>
        </w:rPr>
      </w:pPr>
      <w:r>
        <w:t>77A.</w:t>
      </w:r>
      <w:r>
        <w:tab/>
        <w:t>Minister may order local government to amend scheme to be consistent with State planning policy</w:t>
      </w:r>
      <w:r>
        <w:tab/>
      </w:r>
      <w:r>
        <w:fldChar w:fldCharType="begin"/>
      </w:r>
      <w:r>
        <w:instrText xml:space="preserve"> PAGEREF _Toc199322336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3 — Relevant considerations in preparation or amendment of local planning scheme</w:t>
      </w:r>
    </w:p>
    <w:p>
      <w:pPr>
        <w:pStyle w:val="TOC8"/>
        <w:rPr>
          <w:rFonts w:asciiTheme="minorHAnsi" w:eastAsiaTheme="minorEastAsia" w:hAnsiTheme="minorHAnsi" w:cstheme="minorBidi"/>
          <w:szCs w:val="22"/>
        </w:rPr>
      </w:pPr>
      <w:r>
        <w:t>77.</w:t>
      </w:r>
      <w:r>
        <w:tab/>
        <w:t>State planning policies, effect of on scheme</w:t>
      </w:r>
      <w:r>
        <w:tab/>
      </w:r>
      <w:r>
        <w:fldChar w:fldCharType="begin"/>
      </w:r>
      <w:r>
        <w:instrText xml:space="preserve"> PAGEREF _Toc199322338 \h </w:instrText>
      </w:r>
      <w:r>
        <w:fldChar w:fldCharType="separate"/>
      </w:r>
      <w:r>
        <w:t>54</w:t>
      </w:r>
      <w:r>
        <w:fldChar w:fldCharType="end"/>
      </w:r>
    </w:p>
    <w:p>
      <w:pPr>
        <w:pStyle w:val="TOC8"/>
        <w:rPr>
          <w:rFonts w:asciiTheme="minorHAnsi" w:eastAsiaTheme="minorEastAsia" w:hAnsiTheme="minorHAnsi" w:cstheme="minorBidi"/>
          <w:szCs w:val="22"/>
        </w:rPr>
      </w:pPr>
      <w:r>
        <w:t>79.</w:t>
      </w:r>
      <w:r>
        <w:tab/>
        <w:t>Heritage Council’s advice to be sought in some cases</w:t>
      </w:r>
      <w:r>
        <w:tab/>
      </w:r>
      <w:r>
        <w:fldChar w:fldCharType="begin"/>
      </w:r>
      <w:r>
        <w:instrText xml:space="preserve"> PAGEREF _Toc199322339 \h </w:instrText>
      </w:r>
      <w:r>
        <w:fldChar w:fldCharType="separate"/>
      </w:r>
      <w:r>
        <w:t>55</w:t>
      </w:r>
      <w:r>
        <w:fldChar w:fldCharType="end"/>
      </w:r>
    </w:p>
    <w:p>
      <w:pPr>
        <w:pStyle w:val="TOC8"/>
        <w:rPr>
          <w:rFonts w:asciiTheme="minorHAnsi" w:eastAsiaTheme="minorEastAsia" w:hAnsiTheme="minorHAnsi" w:cstheme="minorBidi"/>
          <w:szCs w:val="22"/>
        </w:rPr>
      </w:pPr>
      <w:r>
        <w:t>80.</w:t>
      </w:r>
      <w:r>
        <w:tab/>
        <w:t>Swan and Canning Rivers management programme, effect of</w:t>
      </w:r>
      <w:r>
        <w:tab/>
      </w:r>
      <w:r>
        <w:fldChar w:fldCharType="begin"/>
      </w:r>
      <w:r>
        <w:instrText xml:space="preserve"> PAGEREF _Toc199322340 \h </w:instrText>
      </w:r>
      <w:r>
        <w:fldChar w:fldCharType="separate"/>
      </w:r>
      <w:r>
        <w:t>55</w:t>
      </w:r>
      <w:r>
        <w:fldChar w:fldCharType="end"/>
      </w:r>
    </w:p>
    <w:p>
      <w:pPr>
        <w:pStyle w:val="TOC8"/>
        <w:rPr>
          <w:rFonts w:asciiTheme="minorHAnsi" w:eastAsiaTheme="minorEastAsia" w:hAnsiTheme="minorHAnsi" w:cstheme="minorBidi"/>
          <w:szCs w:val="22"/>
        </w:rPr>
      </w:pPr>
      <w:r>
        <w:t>81.</w:t>
      </w:r>
      <w:r>
        <w:tab/>
        <w:t>Referral of proposed scheme or amendment to EPA</w:t>
      </w:r>
      <w:r>
        <w:tab/>
      </w:r>
      <w:r>
        <w:fldChar w:fldCharType="begin"/>
      </w:r>
      <w:r>
        <w:instrText xml:space="preserve"> PAGEREF _Toc199322341 \h </w:instrText>
      </w:r>
      <w:r>
        <w:fldChar w:fldCharType="separate"/>
      </w:r>
      <w:r>
        <w:t>56</w:t>
      </w:r>
      <w:r>
        <w:fldChar w:fldCharType="end"/>
      </w:r>
    </w:p>
    <w:p>
      <w:pPr>
        <w:pStyle w:val="TOC8"/>
        <w:rPr>
          <w:rFonts w:asciiTheme="minorHAnsi" w:eastAsiaTheme="minorEastAsia" w:hAnsiTheme="minorHAnsi" w:cstheme="minorBidi"/>
          <w:szCs w:val="22"/>
        </w:rPr>
      </w:pPr>
      <w:r>
        <w:t>82.</w:t>
      </w:r>
      <w:r>
        <w:tab/>
        <w:t>Environmental review, when required etc.</w:t>
      </w:r>
      <w:r>
        <w:tab/>
      </w:r>
      <w:r>
        <w:fldChar w:fldCharType="begin"/>
      </w:r>
      <w:r>
        <w:instrText xml:space="preserve"> PAGEREF _Toc199322342 \h </w:instrText>
      </w:r>
      <w:r>
        <w:fldChar w:fldCharType="separate"/>
      </w:r>
      <w:r>
        <w:t>56</w:t>
      </w:r>
      <w:r>
        <w:fldChar w:fldCharType="end"/>
      </w:r>
    </w:p>
    <w:p>
      <w:pPr>
        <w:pStyle w:val="TOC8"/>
        <w:rPr>
          <w:rFonts w:asciiTheme="minorHAnsi" w:eastAsiaTheme="minorEastAsia" w:hAnsiTheme="minorHAnsi" w:cstheme="minorBidi"/>
          <w:szCs w:val="22"/>
        </w:rPr>
      </w:pPr>
      <w:r>
        <w:t>83.</w:t>
      </w:r>
      <w:r>
        <w:tab/>
        <w:t>Consultation requirements</w:t>
      </w:r>
      <w:r>
        <w:tab/>
      </w:r>
      <w:r>
        <w:fldChar w:fldCharType="begin"/>
      </w:r>
      <w:r>
        <w:instrText xml:space="preserve"> PAGEREF _Toc199322343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Advertisement and approval</w:t>
      </w:r>
    </w:p>
    <w:p>
      <w:pPr>
        <w:pStyle w:val="TOC8"/>
        <w:rPr>
          <w:rFonts w:asciiTheme="minorHAnsi" w:eastAsiaTheme="minorEastAsia" w:hAnsiTheme="minorHAnsi" w:cstheme="minorBidi"/>
          <w:szCs w:val="22"/>
        </w:rPr>
      </w:pPr>
      <w:r>
        <w:t>83A.</w:t>
      </w:r>
      <w:r>
        <w:tab/>
        <w:t>Proposed scheme or amendment to be submitted to Minister for approval to advertise</w:t>
      </w:r>
      <w:r>
        <w:tab/>
      </w:r>
      <w:r>
        <w:fldChar w:fldCharType="begin"/>
      </w:r>
      <w:r>
        <w:instrText xml:space="preserve"> PAGEREF _Toc199322345 \h </w:instrText>
      </w:r>
      <w:r>
        <w:fldChar w:fldCharType="separate"/>
      </w:r>
      <w:r>
        <w:t>58</w:t>
      </w:r>
      <w:r>
        <w:fldChar w:fldCharType="end"/>
      </w:r>
    </w:p>
    <w:p>
      <w:pPr>
        <w:pStyle w:val="TOC8"/>
        <w:rPr>
          <w:rFonts w:asciiTheme="minorHAnsi" w:eastAsiaTheme="minorEastAsia" w:hAnsiTheme="minorHAnsi" w:cstheme="minorBidi"/>
          <w:szCs w:val="22"/>
        </w:rPr>
      </w:pPr>
      <w:r>
        <w:t>84.</w:t>
      </w:r>
      <w:r>
        <w:tab/>
        <w:t>Advertising proposed scheme or amendment</w:t>
      </w:r>
      <w:r>
        <w:tab/>
      </w:r>
      <w:r>
        <w:fldChar w:fldCharType="begin"/>
      </w:r>
      <w:r>
        <w:instrText xml:space="preserve"> PAGEREF _Toc199322346 \h </w:instrText>
      </w:r>
      <w:r>
        <w:fldChar w:fldCharType="separate"/>
      </w:r>
      <w:r>
        <w:t>59</w:t>
      </w:r>
      <w:r>
        <w:fldChar w:fldCharType="end"/>
      </w:r>
    </w:p>
    <w:p>
      <w:pPr>
        <w:pStyle w:val="TOC8"/>
        <w:rPr>
          <w:rFonts w:asciiTheme="minorHAnsi" w:eastAsiaTheme="minorEastAsia" w:hAnsiTheme="minorHAnsi" w:cstheme="minorBidi"/>
          <w:szCs w:val="22"/>
        </w:rPr>
      </w:pPr>
      <w:r>
        <w:t>85.</w:t>
      </w:r>
      <w:r>
        <w:tab/>
        <w:t>Local government’s duties if proposed scheme or amendment to be assessed under EP Act</w:t>
      </w:r>
      <w:r>
        <w:tab/>
      </w:r>
      <w:r>
        <w:fldChar w:fldCharType="begin"/>
      </w:r>
      <w:r>
        <w:instrText xml:space="preserve"> PAGEREF _Toc199322347 \h </w:instrText>
      </w:r>
      <w:r>
        <w:fldChar w:fldCharType="separate"/>
      </w:r>
      <w:r>
        <w:t>59</w:t>
      </w:r>
      <w:r>
        <w:fldChar w:fldCharType="end"/>
      </w:r>
    </w:p>
    <w:p>
      <w:pPr>
        <w:pStyle w:val="TOC8"/>
        <w:rPr>
          <w:rFonts w:asciiTheme="minorHAnsi" w:eastAsiaTheme="minorEastAsia" w:hAnsiTheme="minorHAnsi" w:cstheme="minorBidi"/>
          <w:szCs w:val="22"/>
        </w:rPr>
      </w:pPr>
      <w:r>
        <w:t>86.</w:t>
      </w:r>
      <w:r>
        <w:tab/>
        <w:t>Minister not to approve proposed scheme or amendment in some cases</w:t>
      </w:r>
      <w:r>
        <w:tab/>
      </w:r>
      <w:r>
        <w:fldChar w:fldCharType="begin"/>
      </w:r>
      <w:r>
        <w:instrText xml:space="preserve"> PAGEREF _Toc199322348 \h </w:instrText>
      </w:r>
      <w:r>
        <w:fldChar w:fldCharType="separate"/>
      </w:r>
      <w:r>
        <w:t>60</w:t>
      </w:r>
      <w:r>
        <w:fldChar w:fldCharType="end"/>
      </w:r>
    </w:p>
    <w:p>
      <w:pPr>
        <w:pStyle w:val="TOC8"/>
        <w:rPr>
          <w:rFonts w:asciiTheme="minorHAnsi" w:eastAsiaTheme="minorEastAsia" w:hAnsiTheme="minorHAnsi" w:cstheme="minorBidi"/>
          <w:szCs w:val="22"/>
        </w:rPr>
      </w:pPr>
      <w:r>
        <w:t>87.</w:t>
      </w:r>
      <w:r>
        <w:tab/>
        <w:t>Approving and publicising scheme or amendment</w:t>
      </w:r>
      <w:r>
        <w:tab/>
      </w:r>
      <w:r>
        <w:fldChar w:fldCharType="begin"/>
      </w:r>
      <w:r>
        <w:instrText xml:space="preserve"> PAGEREF _Toc199322349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5 — Review of local planning schemes</w:t>
      </w:r>
    </w:p>
    <w:p>
      <w:pPr>
        <w:pStyle w:val="TOC8"/>
        <w:rPr>
          <w:rFonts w:asciiTheme="minorHAnsi" w:eastAsiaTheme="minorEastAsia" w:hAnsiTheme="minorHAnsi" w:cstheme="minorBidi"/>
          <w:szCs w:val="22"/>
        </w:rPr>
      </w:pPr>
      <w:r>
        <w:t>88.</w:t>
      </w:r>
      <w:r>
        <w:tab/>
        <w:t>Consolidated scheme, when to be prepared</w:t>
      </w:r>
      <w:r>
        <w:tab/>
      </w:r>
      <w:r>
        <w:fldChar w:fldCharType="begin"/>
      </w:r>
      <w:r>
        <w:instrText xml:space="preserve"> PAGEREF _Toc199322351 \h </w:instrText>
      </w:r>
      <w:r>
        <w:fldChar w:fldCharType="separate"/>
      </w:r>
      <w:r>
        <w:t>62</w:t>
      </w:r>
      <w:r>
        <w:fldChar w:fldCharType="end"/>
      </w:r>
    </w:p>
    <w:p>
      <w:pPr>
        <w:pStyle w:val="TOC8"/>
        <w:rPr>
          <w:rFonts w:asciiTheme="minorHAnsi" w:eastAsiaTheme="minorEastAsia" w:hAnsiTheme="minorHAnsi" w:cstheme="minorBidi"/>
          <w:szCs w:val="22"/>
        </w:rPr>
      </w:pPr>
      <w:r>
        <w:t>89.</w:t>
      </w:r>
      <w:r>
        <w:tab/>
        <w:t>Consolidated scheme, public submissions to be sought on</w:t>
      </w:r>
      <w:r>
        <w:tab/>
      </w:r>
      <w:r>
        <w:fldChar w:fldCharType="begin"/>
      </w:r>
      <w:r>
        <w:instrText xml:space="preserve"> PAGEREF _Toc199322352 \h </w:instrText>
      </w:r>
      <w:r>
        <w:fldChar w:fldCharType="separate"/>
      </w:r>
      <w:r>
        <w:t>63</w:t>
      </w:r>
      <w:r>
        <w:fldChar w:fldCharType="end"/>
      </w:r>
    </w:p>
    <w:p>
      <w:pPr>
        <w:pStyle w:val="TOC8"/>
        <w:rPr>
          <w:rFonts w:asciiTheme="minorHAnsi" w:eastAsiaTheme="minorEastAsia" w:hAnsiTheme="minorHAnsi" w:cstheme="minorBidi"/>
          <w:szCs w:val="22"/>
        </w:rPr>
      </w:pPr>
      <w:r>
        <w:t>90.</w:t>
      </w:r>
      <w:r>
        <w:tab/>
        <w:t>Consolidated scheme, report on operation of required</w:t>
      </w:r>
      <w:r>
        <w:tab/>
      </w:r>
      <w:r>
        <w:fldChar w:fldCharType="begin"/>
      </w:r>
      <w:r>
        <w:instrText xml:space="preserve"> PAGEREF _Toc199322353 \h </w:instrText>
      </w:r>
      <w:r>
        <w:fldChar w:fldCharType="separate"/>
      </w:r>
      <w:r>
        <w:t>64</w:t>
      </w:r>
      <w:r>
        <w:fldChar w:fldCharType="end"/>
      </w:r>
    </w:p>
    <w:p>
      <w:pPr>
        <w:pStyle w:val="TOC8"/>
        <w:rPr>
          <w:rFonts w:asciiTheme="minorHAnsi" w:eastAsiaTheme="minorEastAsia" w:hAnsiTheme="minorHAnsi" w:cstheme="minorBidi"/>
          <w:szCs w:val="22"/>
        </w:rPr>
      </w:pPr>
      <w:r>
        <w:t>91.</w:t>
      </w:r>
      <w:r>
        <w:tab/>
        <w:t>Procedure if s. 90 report does not recommend change to scheme</w:t>
      </w:r>
      <w:r>
        <w:tab/>
      </w:r>
      <w:r>
        <w:fldChar w:fldCharType="begin"/>
      </w:r>
      <w:r>
        <w:instrText xml:space="preserve"> PAGEREF _Toc199322354 \h </w:instrText>
      </w:r>
      <w:r>
        <w:fldChar w:fldCharType="separate"/>
      </w:r>
      <w:r>
        <w:t>64</w:t>
      </w:r>
      <w:r>
        <w:fldChar w:fldCharType="end"/>
      </w:r>
    </w:p>
    <w:p>
      <w:pPr>
        <w:pStyle w:val="TOC8"/>
        <w:rPr>
          <w:rFonts w:asciiTheme="minorHAnsi" w:eastAsiaTheme="minorEastAsia" w:hAnsiTheme="minorHAnsi" w:cstheme="minorBidi"/>
          <w:szCs w:val="22"/>
        </w:rPr>
      </w:pPr>
      <w:r>
        <w:t>92.</w:t>
      </w:r>
      <w:r>
        <w:tab/>
        <w:t>Procedure if s. 90 report recommends change to scheme</w:t>
      </w:r>
      <w:r>
        <w:tab/>
      </w:r>
      <w:r>
        <w:fldChar w:fldCharType="begin"/>
      </w:r>
      <w:r>
        <w:instrText xml:space="preserve"> PAGEREF _Toc199322355 \h </w:instrText>
      </w:r>
      <w:r>
        <w:fldChar w:fldCharType="separate"/>
      </w:r>
      <w:r>
        <w:t>65</w:t>
      </w:r>
      <w:r>
        <w:fldChar w:fldCharType="end"/>
      </w:r>
    </w:p>
    <w:p>
      <w:pPr>
        <w:pStyle w:val="TOC8"/>
        <w:rPr>
          <w:rFonts w:asciiTheme="minorHAnsi" w:eastAsiaTheme="minorEastAsia" w:hAnsiTheme="minorHAnsi" w:cstheme="minorBidi"/>
          <w:szCs w:val="22"/>
        </w:rPr>
      </w:pPr>
      <w:r>
        <w:t>93.</w:t>
      </w:r>
      <w:r>
        <w:tab/>
        <w:t>Consolidated scheme, effect of publication of</w:t>
      </w:r>
      <w:r>
        <w:tab/>
      </w:r>
      <w:r>
        <w:fldChar w:fldCharType="begin"/>
      </w:r>
      <w:r>
        <w:instrText xml:space="preserve"> PAGEREF _Toc199322356 \h </w:instrText>
      </w:r>
      <w:r>
        <w:fldChar w:fldCharType="separate"/>
      </w:r>
      <w:r>
        <w:t>66</w:t>
      </w:r>
      <w:r>
        <w:fldChar w:fldCharType="end"/>
      </w:r>
    </w:p>
    <w:p>
      <w:pPr>
        <w:pStyle w:val="TOC8"/>
        <w:rPr>
          <w:rFonts w:asciiTheme="minorHAnsi" w:eastAsiaTheme="minorEastAsia" w:hAnsiTheme="minorHAnsi" w:cstheme="minorBidi"/>
          <w:szCs w:val="22"/>
        </w:rPr>
      </w:pPr>
      <w:r>
        <w:t>94.</w:t>
      </w:r>
      <w:r>
        <w:tab/>
        <w:t>Procedure if new scheme prepared following s. 90 report</w:t>
      </w:r>
      <w:r>
        <w:tab/>
      </w:r>
      <w:r>
        <w:fldChar w:fldCharType="begin"/>
      </w:r>
      <w:r>
        <w:instrText xml:space="preserve"> PAGEREF _Toc199322357 \h </w:instrText>
      </w:r>
      <w:r>
        <w:fldChar w:fldCharType="separate"/>
      </w:r>
      <w:r>
        <w:t>66</w:t>
      </w:r>
      <w:r>
        <w:fldChar w:fldCharType="end"/>
      </w:r>
    </w:p>
    <w:p>
      <w:pPr>
        <w:pStyle w:val="TOC8"/>
        <w:rPr>
          <w:rFonts w:asciiTheme="minorHAnsi" w:eastAsiaTheme="minorEastAsia" w:hAnsiTheme="minorHAnsi" w:cstheme="minorBidi"/>
          <w:szCs w:val="22"/>
        </w:rPr>
      </w:pPr>
      <w:r>
        <w:t>95.</w:t>
      </w:r>
      <w:r>
        <w:tab/>
        <w:t>Procedure if scheme repealed following s. 90 report</w:t>
      </w:r>
      <w:r>
        <w:tab/>
      </w:r>
      <w:r>
        <w:fldChar w:fldCharType="begin"/>
      </w:r>
      <w:r>
        <w:instrText xml:space="preserve"> PAGEREF _Toc199322358 \h </w:instrText>
      </w:r>
      <w:r>
        <w:fldChar w:fldCharType="separate"/>
      </w:r>
      <w:r>
        <w:t>67</w:t>
      </w:r>
      <w:r>
        <w:fldChar w:fldCharType="end"/>
      </w:r>
    </w:p>
    <w:p>
      <w:pPr>
        <w:pStyle w:val="TOC8"/>
        <w:rPr>
          <w:rFonts w:asciiTheme="minorHAnsi" w:eastAsiaTheme="minorEastAsia" w:hAnsiTheme="minorHAnsi" w:cstheme="minorBidi"/>
          <w:szCs w:val="22"/>
        </w:rPr>
      </w:pPr>
      <w:r>
        <w:t>96.</w:t>
      </w:r>
      <w:r>
        <w:tab/>
        <w:t>Consolidation of 2 or more schemes, when this Div. applies to</w:t>
      </w:r>
      <w:r>
        <w:tab/>
      </w:r>
      <w:r>
        <w:fldChar w:fldCharType="begin"/>
      </w:r>
      <w:r>
        <w:instrText xml:space="preserve"> PAGEREF _Toc199322359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6 — Crown land</w:t>
      </w:r>
    </w:p>
    <w:p>
      <w:pPr>
        <w:pStyle w:val="TOC8"/>
        <w:rPr>
          <w:rFonts w:asciiTheme="minorHAnsi" w:eastAsiaTheme="minorEastAsia" w:hAnsiTheme="minorHAnsi" w:cstheme="minorBidi"/>
          <w:szCs w:val="22"/>
        </w:rPr>
      </w:pPr>
      <w:r>
        <w:t>97.</w:t>
      </w:r>
      <w:r>
        <w:tab/>
        <w:t>Schemes for Crown lands</w:t>
      </w:r>
      <w:r>
        <w:tab/>
      </w:r>
      <w:r>
        <w:fldChar w:fldCharType="begin"/>
      </w:r>
      <w:r>
        <w:instrText xml:space="preserve"> PAGEREF _Toc199322361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Part 6 — Interim development orders</w:t>
      </w:r>
    </w:p>
    <w:p>
      <w:pPr>
        <w:pStyle w:val="TOC4"/>
        <w:tabs>
          <w:tab w:val="right" w:leader="dot" w:pos="7077"/>
        </w:tabs>
        <w:rPr>
          <w:rFonts w:asciiTheme="minorHAnsi" w:eastAsiaTheme="minorEastAsia" w:hAnsiTheme="minorHAnsi" w:cstheme="minorBidi"/>
          <w:b w:val="0"/>
          <w:szCs w:val="22"/>
        </w:rPr>
      </w:pPr>
      <w:r>
        <w:t>Division 1 — Regional interim development orders</w:t>
      </w:r>
    </w:p>
    <w:p>
      <w:pPr>
        <w:pStyle w:val="TOC8"/>
        <w:rPr>
          <w:rFonts w:asciiTheme="minorHAnsi" w:eastAsiaTheme="minorEastAsia" w:hAnsiTheme="minorHAnsi" w:cstheme="minorBidi"/>
          <w:szCs w:val="22"/>
        </w:rPr>
      </w:pPr>
      <w:r>
        <w:t>98.</w:t>
      </w:r>
      <w:r>
        <w:tab/>
        <w:t>Making and purpose of order</w:t>
      </w:r>
      <w:r>
        <w:tab/>
      </w:r>
      <w:r>
        <w:fldChar w:fldCharType="begin"/>
      </w:r>
      <w:r>
        <w:instrText xml:space="preserve"> PAGEREF _Toc199322364 \h </w:instrText>
      </w:r>
      <w:r>
        <w:fldChar w:fldCharType="separate"/>
      </w:r>
      <w:r>
        <w:t>70</w:t>
      </w:r>
      <w:r>
        <w:fldChar w:fldCharType="end"/>
      </w:r>
    </w:p>
    <w:p>
      <w:pPr>
        <w:pStyle w:val="TOC8"/>
        <w:rPr>
          <w:rFonts w:asciiTheme="minorHAnsi" w:eastAsiaTheme="minorEastAsia" w:hAnsiTheme="minorHAnsi" w:cstheme="minorBidi"/>
          <w:szCs w:val="22"/>
        </w:rPr>
      </w:pPr>
      <w:r>
        <w:t>99.</w:t>
      </w:r>
      <w:r>
        <w:tab/>
        <w:t>Contents of order</w:t>
      </w:r>
      <w:r>
        <w:tab/>
      </w:r>
      <w:r>
        <w:fldChar w:fldCharType="begin"/>
      </w:r>
      <w:r>
        <w:instrText xml:space="preserve"> PAGEREF _Toc199322365 \h </w:instrText>
      </w:r>
      <w:r>
        <w:fldChar w:fldCharType="separate"/>
      </w:r>
      <w:r>
        <w:t>71</w:t>
      </w:r>
      <w:r>
        <w:fldChar w:fldCharType="end"/>
      </w:r>
    </w:p>
    <w:p>
      <w:pPr>
        <w:pStyle w:val="TOC8"/>
        <w:rPr>
          <w:rFonts w:asciiTheme="minorHAnsi" w:eastAsiaTheme="minorEastAsia" w:hAnsiTheme="minorHAnsi" w:cstheme="minorBidi"/>
          <w:szCs w:val="22"/>
        </w:rPr>
      </w:pPr>
      <w:r>
        <w:t>100.</w:t>
      </w:r>
      <w:r>
        <w:tab/>
        <w:t>Commission to consult local government on some development applications</w:t>
      </w:r>
      <w:r>
        <w:tab/>
      </w:r>
      <w:r>
        <w:fldChar w:fldCharType="begin"/>
      </w:r>
      <w:r>
        <w:instrText xml:space="preserve"> PAGEREF _Toc199322366 \h </w:instrText>
      </w:r>
      <w:r>
        <w:fldChar w:fldCharType="separate"/>
      </w:r>
      <w:r>
        <w:t>72</w:t>
      </w:r>
      <w:r>
        <w:fldChar w:fldCharType="end"/>
      </w:r>
    </w:p>
    <w:p>
      <w:pPr>
        <w:pStyle w:val="TOC8"/>
        <w:rPr>
          <w:rFonts w:asciiTheme="minorHAnsi" w:eastAsiaTheme="minorEastAsia" w:hAnsiTheme="minorHAnsi" w:cstheme="minorBidi"/>
          <w:szCs w:val="22"/>
        </w:rPr>
      </w:pPr>
      <w:r>
        <w:t>101.</w:t>
      </w:r>
      <w:r>
        <w:tab/>
        <w:t>Restrictions on power to grant development approval</w:t>
      </w:r>
      <w:r>
        <w:tab/>
      </w:r>
      <w:r>
        <w:fldChar w:fldCharType="begin"/>
      </w:r>
      <w:r>
        <w:instrText xml:space="preserve"> PAGEREF _Toc199322367 \h </w:instrText>
      </w:r>
      <w:r>
        <w:fldChar w:fldCharType="separate"/>
      </w:r>
      <w:r>
        <w:t>72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Local interim development orders</w:t>
      </w:r>
    </w:p>
    <w:p>
      <w:pPr>
        <w:pStyle w:val="TOC8"/>
        <w:rPr>
          <w:rFonts w:asciiTheme="minorHAnsi" w:eastAsiaTheme="minorEastAsia" w:hAnsiTheme="minorHAnsi" w:cstheme="minorBidi"/>
          <w:szCs w:val="22"/>
        </w:rPr>
      </w:pPr>
      <w:r>
        <w:t>102.</w:t>
      </w:r>
      <w:r>
        <w:tab/>
        <w:t>Making and purpose of order</w:t>
      </w:r>
      <w:r>
        <w:tab/>
      </w:r>
      <w:r>
        <w:fldChar w:fldCharType="begin"/>
      </w:r>
      <w:r>
        <w:instrText xml:space="preserve"> PAGEREF _Toc199322369 \h </w:instrText>
      </w:r>
      <w:r>
        <w:fldChar w:fldCharType="separate"/>
      </w:r>
      <w:r>
        <w:t>72</w:t>
      </w:r>
      <w:r>
        <w:fldChar w:fldCharType="end"/>
      </w:r>
    </w:p>
    <w:p>
      <w:pPr>
        <w:pStyle w:val="TOC8"/>
        <w:rPr>
          <w:rFonts w:asciiTheme="minorHAnsi" w:eastAsiaTheme="minorEastAsia" w:hAnsiTheme="minorHAnsi" w:cstheme="minorBidi"/>
          <w:szCs w:val="22"/>
        </w:rPr>
      </w:pPr>
      <w:r>
        <w:t>103.</w:t>
      </w:r>
      <w:r>
        <w:tab/>
        <w:t>Contents of order</w:t>
      </w:r>
      <w:r>
        <w:tab/>
      </w:r>
      <w:r>
        <w:fldChar w:fldCharType="begin"/>
      </w:r>
      <w:r>
        <w:instrText xml:space="preserve"> PAGEREF _Toc199322370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3 — Provisions applying to regional and local interim development orders</w:t>
      </w:r>
    </w:p>
    <w:p>
      <w:pPr>
        <w:pStyle w:val="TOC8"/>
        <w:rPr>
          <w:rFonts w:asciiTheme="minorHAnsi" w:eastAsiaTheme="minorEastAsia" w:hAnsiTheme="minorHAnsi" w:cstheme="minorBidi"/>
          <w:szCs w:val="22"/>
        </w:rPr>
      </w:pPr>
      <w:r>
        <w:t>104.</w:t>
      </w:r>
      <w:r>
        <w:tab/>
        <w:t>Consultation requirements</w:t>
      </w:r>
      <w:r>
        <w:tab/>
      </w:r>
      <w:r>
        <w:fldChar w:fldCharType="begin"/>
      </w:r>
      <w:r>
        <w:instrText xml:space="preserve"> PAGEREF _Toc199322372 \h </w:instrText>
      </w:r>
      <w:r>
        <w:fldChar w:fldCharType="separate"/>
      </w:r>
      <w:r>
        <w:t>74</w:t>
      </w:r>
      <w:r>
        <w:fldChar w:fldCharType="end"/>
      </w:r>
    </w:p>
    <w:p>
      <w:pPr>
        <w:pStyle w:val="TOC8"/>
        <w:rPr>
          <w:rFonts w:asciiTheme="minorHAnsi" w:eastAsiaTheme="minorEastAsia" w:hAnsiTheme="minorHAnsi" w:cstheme="minorBidi"/>
          <w:szCs w:val="22"/>
        </w:rPr>
      </w:pPr>
      <w:r>
        <w:t>105.</w:t>
      </w:r>
      <w:r>
        <w:tab/>
        <w:t>Publicising interim development order</w:t>
      </w:r>
      <w:r>
        <w:tab/>
      </w:r>
      <w:r>
        <w:fldChar w:fldCharType="begin"/>
      </w:r>
      <w:r>
        <w:instrText xml:space="preserve"> PAGEREF _Toc199322373 \h </w:instrText>
      </w:r>
      <w:r>
        <w:fldChar w:fldCharType="separate"/>
      </w:r>
      <w:r>
        <w:t>75</w:t>
      </w:r>
      <w:r>
        <w:fldChar w:fldCharType="end"/>
      </w:r>
    </w:p>
    <w:p>
      <w:pPr>
        <w:pStyle w:val="TOC8"/>
        <w:rPr>
          <w:rFonts w:asciiTheme="minorHAnsi" w:eastAsiaTheme="minorEastAsia" w:hAnsiTheme="minorHAnsi" w:cstheme="minorBidi"/>
          <w:szCs w:val="22"/>
        </w:rPr>
      </w:pPr>
      <w:r>
        <w:t>106.</w:t>
      </w:r>
      <w:r>
        <w:tab/>
        <w:t>Administration of interim development order</w:t>
      </w:r>
      <w:r>
        <w:tab/>
      </w:r>
      <w:r>
        <w:fldChar w:fldCharType="begin"/>
      </w:r>
      <w:r>
        <w:instrText xml:space="preserve"> PAGEREF _Toc199322374 \h </w:instrText>
      </w:r>
      <w:r>
        <w:fldChar w:fldCharType="separate"/>
      </w:r>
      <w:r>
        <w:t>76</w:t>
      </w:r>
      <w:r>
        <w:fldChar w:fldCharType="end"/>
      </w:r>
    </w:p>
    <w:p>
      <w:pPr>
        <w:pStyle w:val="TOC8"/>
        <w:rPr>
          <w:rFonts w:asciiTheme="minorHAnsi" w:eastAsiaTheme="minorEastAsia" w:hAnsiTheme="minorHAnsi" w:cstheme="minorBidi"/>
          <w:szCs w:val="22"/>
        </w:rPr>
      </w:pPr>
      <w:r>
        <w:t>107.</w:t>
      </w:r>
      <w:r>
        <w:tab/>
        <w:t>Effect and duration of interim development order</w:t>
      </w:r>
      <w:r>
        <w:tab/>
      </w:r>
      <w:r>
        <w:fldChar w:fldCharType="begin"/>
      </w:r>
      <w:r>
        <w:instrText xml:space="preserve"> PAGEREF _Toc199322375 \h </w:instrText>
      </w:r>
      <w:r>
        <w:fldChar w:fldCharType="separate"/>
      </w:r>
      <w:r>
        <w:t>76</w:t>
      </w:r>
      <w:r>
        <w:fldChar w:fldCharType="end"/>
      </w:r>
    </w:p>
    <w:p>
      <w:pPr>
        <w:pStyle w:val="TOC8"/>
        <w:rPr>
          <w:rFonts w:asciiTheme="minorHAnsi" w:eastAsiaTheme="minorEastAsia" w:hAnsiTheme="minorHAnsi" w:cstheme="minorBidi"/>
          <w:szCs w:val="22"/>
        </w:rPr>
      </w:pPr>
      <w:r>
        <w:t>108.</w:t>
      </w:r>
      <w:r>
        <w:tab/>
        <w:t>Existing lawful development not affected</w:t>
      </w:r>
      <w:r>
        <w:tab/>
      </w:r>
      <w:r>
        <w:fldChar w:fldCharType="begin"/>
      </w:r>
      <w:r>
        <w:instrText xml:space="preserve"> PAGEREF _Toc199322376 \h </w:instrText>
      </w:r>
      <w:r>
        <w:fldChar w:fldCharType="separate"/>
      </w:r>
      <w:r>
        <w:t>77</w:t>
      </w:r>
      <w:r>
        <w:fldChar w:fldCharType="end"/>
      </w:r>
    </w:p>
    <w:p>
      <w:pPr>
        <w:pStyle w:val="TOC8"/>
        <w:rPr>
          <w:rFonts w:asciiTheme="minorHAnsi" w:eastAsiaTheme="minorEastAsia" w:hAnsiTheme="minorHAnsi" w:cstheme="minorBidi"/>
          <w:szCs w:val="22"/>
        </w:rPr>
      </w:pPr>
      <w:r>
        <w:t>109.</w:t>
      </w:r>
      <w:r>
        <w:tab/>
        <w:t>Amending interim development order</w:t>
      </w:r>
      <w:r>
        <w:tab/>
      </w:r>
      <w:r>
        <w:fldChar w:fldCharType="begin"/>
      </w:r>
      <w:r>
        <w:instrText xml:space="preserve"> PAGEREF _Toc199322377 \h </w:instrText>
      </w:r>
      <w:r>
        <w:fldChar w:fldCharType="separate"/>
      </w:r>
      <w:r>
        <w:t>77</w:t>
      </w:r>
      <w:r>
        <w:fldChar w:fldCharType="end"/>
      </w:r>
    </w:p>
    <w:p>
      <w:pPr>
        <w:pStyle w:val="TOC8"/>
        <w:rPr>
          <w:rFonts w:asciiTheme="minorHAnsi" w:eastAsiaTheme="minorEastAsia" w:hAnsiTheme="minorHAnsi" w:cstheme="minorBidi"/>
          <w:szCs w:val="22"/>
        </w:rPr>
      </w:pPr>
      <w:r>
        <w:t>110.</w:t>
      </w:r>
      <w:r>
        <w:tab/>
        <w:t>Revoking interim development order</w:t>
      </w:r>
      <w:r>
        <w:tab/>
      </w:r>
      <w:r>
        <w:fldChar w:fldCharType="begin"/>
      </w:r>
      <w:r>
        <w:instrText xml:space="preserve"> PAGEREF _Toc199322378 \h </w:instrText>
      </w:r>
      <w:r>
        <w:fldChar w:fldCharType="separate"/>
      </w:r>
      <w:r>
        <w:t>77</w:t>
      </w:r>
      <w:r>
        <w:fldChar w:fldCharType="end"/>
      </w:r>
    </w:p>
    <w:p>
      <w:pPr>
        <w:pStyle w:val="TOC8"/>
        <w:rPr>
          <w:rFonts w:asciiTheme="minorHAnsi" w:eastAsiaTheme="minorEastAsia" w:hAnsiTheme="minorHAnsi" w:cstheme="minorBidi"/>
          <w:szCs w:val="22"/>
        </w:rPr>
      </w:pPr>
      <w:r>
        <w:t>111.</w:t>
      </w:r>
      <w:r>
        <w:tab/>
        <w:t>Non</w:t>
      </w:r>
      <w:r>
        <w:noBreakHyphen/>
        <w:t>conforming development by local government or public authority, procedure for</w:t>
      </w:r>
      <w:r>
        <w:tab/>
      </w:r>
      <w:r>
        <w:fldChar w:fldCharType="begin"/>
      </w:r>
      <w:r>
        <w:instrText xml:space="preserve"> PAGEREF _Toc199322379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Part 7 — Planning control areas</w:t>
      </w:r>
    </w:p>
    <w:p>
      <w:pPr>
        <w:pStyle w:val="TOC8"/>
        <w:rPr>
          <w:rFonts w:asciiTheme="minorHAnsi" w:eastAsiaTheme="minorEastAsia" w:hAnsiTheme="minorHAnsi" w:cstheme="minorBidi"/>
          <w:szCs w:val="22"/>
        </w:rPr>
      </w:pPr>
      <w:r>
        <w:t>112.</w:t>
      </w:r>
      <w:r>
        <w:tab/>
        <w:t>Declaration of planning control areas</w:t>
      </w:r>
      <w:r>
        <w:tab/>
      </w:r>
      <w:r>
        <w:fldChar w:fldCharType="begin"/>
      </w:r>
      <w:r>
        <w:instrText xml:space="preserve"> PAGEREF _Toc199322381 \h </w:instrText>
      </w:r>
      <w:r>
        <w:fldChar w:fldCharType="separate"/>
      </w:r>
      <w:r>
        <w:t>80</w:t>
      </w:r>
      <w:r>
        <w:fldChar w:fldCharType="end"/>
      </w:r>
    </w:p>
    <w:p>
      <w:pPr>
        <w:pStyle w:val="TOC8"/>
        <w:rPr>
          <w:rFonts w:asciiTheme="minorHAnsi" w:eastAsiaTheme="minorEastAsia" w:hAnsiTheme="minorHAnsi" w:cstheme="minorBidi"/>
          <w:szCs w:val="22"/>
        </w:rPr>
      </w:pPr>
      <w:r>
        <w:t>113.</w:t>
      </w:r>
      <w:r>
        <w:tab/>
        <w:t>Amending or revoking s. 112 declaration</w:t>
      </w:r>
      <w:r>
        <w:tab/>
      </w:r>
      <w:r>
        <w:fldChar w:fldCharType="begin"/>
      </w:r>
      <w:r>
        <w:instrText xml:space="preserve"> PAGEREF _Toc199322382 \h </w:instrText>
      </w:r>
      <w:r>
        <w:fldChar w:fldCharType="separate"/>
      </w:r>
      <w:r>
        <w:t>81</w:t>
      </w:r>
      <w:r>
        <w:fldChar w:fldCharType="end"/>
      </w:r>
    </w:p>
    <w:p>
      <w:pPr>
        <w:pStyle w:val="TOC8"/>
        <w:rPr>
          <w:rFonts w:asciiTheme="minorHAnsi" w:eastAsiaTheme="minorEastAsia" w:hAnsiTheme="minorHAnsi" w:cstheme="minorBidi"/>
          <w:szCs w:val="22"/>
        </w:rPr>
      </w:pPr>
      <w:r>
        <w:t>114.</w:t>
      </w:r>
      <w:r>
        <w:tab/>
        <w:t>Duration of s. 112 declaration</w:t>
      </w:r>
      <w:r>
        <w:tab/>
      </w:r>
      <w:r>
        <w:fldChar w:fldCharType="begin"/>
      </w:r>
      <w:r>
        <w:instrText xml:space="preserve"> PAGEREF _Toc199322383 \h </w:instrText>
      </w:r>
      <w:r>
        <w:fldChar w:fldCharType="separate"/>
      </w:r>
      <w:r>
        <w:t>81</w:t>
      </w:r>
      <w:r>
        <w:fldChar w:fldCharType="end"/>
      </w:r>
    </w:p>
    <w:p>
      <w:pPr>
        <w:pStyle w:val="TOC8"/>
        <w:rPr>
          <w:rFonts w:asciiTheme="minorHAnsi" w:eastAsiaTheme="minorEastAsia" w:hAnsiTheme="minorHAnsi" w:cstheme="minorBidi"/>
          <w:szCs w:val="22"/>
        </w:rPr>
      </w:pPr>
      <w:r>
        <w:t>115.</w:t>
      </w:r>
      <w:r>
        <w:tab/>
        <w:t>Development in planning control area, applying for approval of</w:t>
      </w:r>
      <w:r>
        <w:tab/>
      </w:r>
      <w:r>
        <w:fldChar w:fldCharType="begin"/>
      </w:r>
      <w:r>
        <w:instrText xml:space="preserve"> PAGEREF _Toc199322384 \h </w:instrText>
      </w:r>
      <w:r>
        <w:fldChar w:fldCharType="separate"/>
      </w:r>
      <w:r>
        <w:t>81</w:t>
      </w:r>
      <w:r>
        <w:fldChar w:fldCharType="end"/>
      </w:r>
    </w:p>
    <w:p>
      <w:pPr>
        <w:pStyle w:val="TOC8"/>
        <w:rPr>
          <w:rFonts w:asciiTheme="minorHAnsi" w:eastAsiaTheme="minorEastAsia" w:hAnsiTheme="minorHAnsi" w:cstheme="minorBidi"/>
          <w:szCs w:val="22"/>
        </w:rPr>
      </w:pPr>
      <w:r>
        <w:t>116.</w:t>
      </w:r>
      <w:r>
        <w:tab/>
        <w:t>Commission may approve or refuse s. 115 application</w:t>
      </w:r>
      <w:r>
        <w:tab/>
      </w:r>
      <w:r>
        <w:fldChar w:fldCharType="begin"/>
      </w:r>
      <w:r>
        <w:instrText xml:space="preserve"> PAGEREF _Toc199322385 \h </w:instrText>
      </w:r>
      <w:r>
        <w:fldChar w:fldCharType="separate"/>
      </w:r>
      <w:r>
        <w:t>82</w:t>
      </w:r>
      <w:r>
        <w:fldChar w:fldCharType="end"/>
      </w:r>
    </w:p>
    <w:p>
      <w:pPr>
        <w:pStyle w:val="TOC8"/>
        <w:rPr>
          <w:rFonts w:asciiTheme="minorHAnsi" w:eastAsiaTheme="minorEastAsia" w:hAnsiTheme="minorHAnsi" w:cstheme="minorBidi"/>
          <w:szCs w:val="22"/>
        </w:rPr>
      </w:pPr>
      <w:r>
        <w:t>117.</w:t>
      </w:r>
      <w:r>
        <w:tab/>
        <w:t>Commission may revoke approval if development does not conform with it</w:t>
      </w:r>
      <w:r>
        <w:tab/>
      </w:r>
      <w:r>
        <w:fldChar w:fldCharType="begin"/>
      </w:r>
      <w:r>
        <w:instrText xml:space="preserve"> PAGEREF _Toc199322386 \h </w:instrText>
      </w:r>
      <w:r>
        <w:fldChar w:fldCharType="separate"/>
      </w:r>
      <w:r>
        <w:t>82</w:t>
      </w:r>
      <w:r>
        <w:fldChar w:fldCharType="end"/>
      </w:r>
    </w:p>
    <w:p>
      <w:pPr>
        <w:pStyle w:val="TOC8"/>
        <w:rPr>
          <w:rFonts w:asciiTheme="minorHAnsi" w:eastAsiaTheme="minorEastAsia" w:hAnsiTheme="minorHAnsi" w:cstheme="minorBidi"/>
          <w:szCs w:val="22"/>
        </w:rPr>
      </w:pPr>
      <w:r>
        <w:t>118.</w:t>
      </w:r>
      <w:r>
        <w:tab/>
        <w:t>Existing lawful development not affected</w:t>
      </w:r>
      <w:r>
        <w:tab/>
      </w:r>
      <w:r>
        <w:fldChar w:fldCharType="begin"/>
      </w:r>
      <w:r>
        <w:instrText xml:space="preserve"> PAGEREF _Toc199322387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Part 8</w:t>
      </w:r>
      <w:r>
        <w:rPr>
          <w:b w:val="0"/>
        </w:rPr>
        <w:t> </w:t>
      </w:r>
      <w:r>
        <w:t>—</w:t>
      </w:r>
      <w:r>
        <w:rPr>
          <w:b w:val="0"/>
        </w:rPr>
        <w:t> </w:t>
      </w:r>
      <w:r>
        <w:t>Improvement plans and schemes</w:t>
      </w:r>
    </w:p>
    <w:p>
      <w:pPr>
        <w:pStyle w:val="TOC4"/>
        <w:tabs>
          <w:tab w:val="right" w:leader="dot" w:pos="7077"/>
        </w:tabs>
        <w:rPr>
          <w:rFonts w:asciiTheme="minorHAnsi" w:eastAsiaTheme="minorEastAsia" w:hAnsiTheme="minorHAnsi" w:cstheme="minorBidi"/>
          <w:b w:val="0"/>
          <w:szCs w:val="22"/>
        </w:rPr>
      </w:pPr>
      <w:r>
        <w:t>Division 1 — Improvement plans</w:t>
      </w:r>
    </w:p>
    <w:p>
      <w:pPr>
        <w:pStyle w:val="TOC8"/>
        <w:rPr>
          <w:rFonts w:asciiTheme="minorHAnsi" w:eastAsiaTheme="minorEastAsia" w:hAnsiTheme="minorHAnsi" w:cstheme="minorBidi"/>
          <w:szCs w:val="22"/>
        </w:rPr>
      </w:pPr>
      <w:r>
        <w:t>119.</w:t>
      </w:r>
      <w:r>
        <w:tab/>
        <w:t>Preparing and making improvement plan</w:t>
      </w:r>
      <w:r>
        <w:tab/>
      </w:r>
      <w:r>
        <w:fldChar w:fldCharType="begin"/>
      </w:r>
      <w:r>
        <w:instrText xml:space="preserve"> PAGEREF _Toc199322390 \h </w:instrText>
      </w:r>
      <w:r>
        <w:fldChar w:fldCharType="separate"/>
      </w:r>
      <w:r>
        <w:t>84</w:t>
      </w:r>
      <w:r>
        <w:fldChar w:fldCharType="end"/>
      </w:r>
    </w:p>
    <w:p>
      <w:pPr>
        <w:pStyle w:val="TOC8"/>
        <w:rPr>
          <w:rFonts w:asciiTheme="minorHAnsi" w:eastAsiaTheme="minorEastAsia" w:hAnsiTheme="minorHAnsi" w:cstheme="minorBidi"/>
          <w:szCs w:val="22"/>
        </w:rPr>
      </w:pPr>
      <w:r>
        <w:t>120.</w:t>
      </w:r>
      <w:r>
        <w:tab/>
        <w:t>Amending or revoking improvement plan</w:t>
      </w:r>
      <w:r>
        <w:tab/>
      </w:r>
      <w:r>
        <w:fldChar w:fldCharType="begin"/>
      </w:r>
      <w:r>
        <w:instrText xml:space="preserve"> PAGEREF _Toc199322391 \h </w:instrText>
      </w:r>
      <w:r>
        <w:fldChar w:fldCharType="separate"/>
      </w:r>
      <w:r>
        <w:t>86</w:t>
      </w:r>
      <w:r>
        <w:fldChar w:fldCharType="end"/>
      </w:r>
    </w:p>
    <w:p>
      <w:pPr>
        <w:pStyle w:val="TOC8"/>
        <w:rPr>
          <w:rFonts w:asciiTheme="minorHAnsi" w:eastAsiaTheme="minorEastAsia" w:hAnsiTheme="minorHAnsi" w:cstheme="minorBidi"/>
          <w:szCs w:val="22"/>
        </w:rPr>
      </w:pPr>
      <w:r>
        <w:t>121.</w:t>
      </w:r>
      <w:r>
        <w:tab/>
        <w:t>Commission’s powers as to land under improvement plan</w:t>
      </w:r>
      <w:r>
        <w:tab/>
      </w:r>
      <w:r>
        <w:fldChar w:fldCharType="begin"/>
      </w:r>
      <w:r>
        <w:instrText xml:space="preserve"> PAGEREF _Toc199322392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2 — Improvement schemes</w:t>
      </w:r>
    </w:p>
    <w:p>
      <w:pPr>
        <w:pStyle w:val="TOC8"/>
        <w:rPr>
          <w:rFonts w:asciiTheme="minorHAnsi" w:eastAsiaTheme="minorEastAsia" w:hAnsiTheme="minorHAnsi" w:cstheme="minorBidi"/>
          <w:szCs w:val="22"/>
        </w:rPr>
      </w:pPr>
      <w:r>
        <w:t>122A.</w:t>
      </w:r>
      <w:r>
        <w:tab/>
        <w:t>Content of improvement scheme</w:t>
      </w:r>
      <w:r>
        <w:tab/>
      </w:r>
      <w:r>
        <w:fldChar w:fldCharType="begin"/>
      </w:r>
      <w:r>
        <w:instrText xml:space="preserve"> PAGEREF _Toc199322394 \h </w:instrText>
      </w:r>
      <w:r>
        <w:fldChar w:fldCharType="separate"/>
      </w:r>
      <w:r>
        <w:t>88</w:t>
      </w:r>
      <w:r>
        <w:fldChar w:fldCharType="end"/>
      </w:r>
    </w:p>
    <w:p>
      <w:pPr>
        <w:pStyle w:val="TOC8"/>
        <w:rPr>
          <w:rFonts w:asciiTheme="minorHAnsi" w:eastAsiaTheme="minorEastAsia" w:hAnsiTheme="minorHAnsi" w:cstheme="minorBidi"/>
          <w:szCs w:val="22"/>
        </w:rPr>
      </w:pPr>
      <w:r>
        <w:t>122B.</w:t>
      </w:r>
      <w:r>
        <w:tab/>
        <w:t>Preparing, approving and reviewing improvement scheme</w:t>
      </w:r>
      <w:r>
        <w:tab/>
      </w:r>
      <w:r>
        <w:fldChar w:fldCharType="begin"/>
      </w:r>
      <w:r>
        <w:instrText xml:space="preserve"> PAGEREF _Toc199322395 \h </w:instrText>
      </w:r>
      <w:r>
        <w:fldChar w:fldCharType="separate"/>
      </w:r>
      <w:r>
        <w:t>88</w:t>
      </w:r>
      <w:r>
        <w:fldChar w:fldCharType="end"/>
      </w:r>
    </w:p>
    <w:p>
      <w:pPr>
        <w:pStyle w:val="TOC8"/>
        <w:rPr>
          <w:rFonts w:asciiTheme="minorHAnsi" w:eastAsiaTheme="minorEastAsia" w:hAnsiTheme="minorHAnsi" w:cstheme="minorBidi"/>
          <w:szCs w:val="22"/>
        </w:rPr>
      </w:pPr>
      <w:r>
        <w:t>122C.</w:t>
      </w:r>
      <w:r>
        <w:tab/>
        <w:t>Existing lawful development not affected</w:t>
      </w:r>
      <w:r>
        <w:tab/>
      </w:r>
      <w:r>
        <w:fldChar w:fldCharType="begin"/>
      </w:r>
      <w:r>
        <w:instrText xml:space="preserve"> PAGEREF _Toc199322396 \h </w:instrText>
      </w:r>
      <w:r>
        <w:fldChar w:fldCharType="separate"/>
      </w:r>
      <w:r>
        <w:t>90</w:t>
      </w:r>
      <w:r>
        <w:fldChar w:fldCharType="end"/>
      </w:r>
    </w:p>
    <w:p>
      <w:pPr>
        <w:pStyle w:val="TOC8"/>
        <w:rPr>
          <w:rFonts w:asciiTheme="minorHAnsi" w:eastAsiaTheme="minorEastAsia" w:hAnsiTheme="minorHAnsi" w:cstheme="minorBidi"/>
          <w:szCs w:val="22"/>
        </w:rPr>
      </w:pPr>
      <w:r>
        <w:lastRenderedPageBreak/>
        <w:t>122D.</w:t>
      </w:r>
      <w:r>
        <w:tab/>
        <w:t>Effect of improvement scheme on other planning schemes</w:t>
      </w:r>
      <w:r>
        <w:tab/>
      </w:r>
      <w:r>
        <w:fldChar w:fldCharType="begin"/>
      </w:r>
      <w:r>
        <w:instrText xml:space="preserve"> PAGEREF _Toc199322397 \h </w:instrText>
      </w:r>
      <w:r>
        <w:fldChar w:fldCharType="separate"/>
      </w:r>
      <w:r>
        <w:t>90</w:t>
      </w:r>
      <w:r>
        <w:fldChar w:fldCharType="end"/>
      </w:r>
    </w:p>
    <w:p>
      <w:pPr>
        <w:pStyle w:val="TOC8"/>
        <w:rPr>
          <w:rFonts w:asciiTheme="minorHAnsi" w:eastAsiaTheme="minorEastAsia" w:hAnsiTheme="minorHAnsi" w:cstheme="minorBidi"/>
          <w:szCs w:val="22"/>
        </w:rPr>
      </w:pPr>
      <w:r>
        <w:t>122E.</w:t>
      </w:r>
      <w:r>
        <w:tab/>
        <w:t>Removal of land from improvement scheme area or repeal of improvement scheme, effect of</w:t>
      </w:r>
      <w:r>
        <w:tab/>
      </w:r>
      <w:r>
        <w:fldChar w:fldCharType="begin"/>
      </w:r>
      <w:r>
        <w:instrText xml:space="preserve"> PAGEREF _Toc199322398 \h </w:instrText>
      </w:r>
      <w:r>
        <w:fldChar w:fldCharType="separate"/>
      </w:r>
      <w:r>
        <w:t>91</w:t>
      </w:r>
      <w:r>
        <w:fldChar w:fldCharType="end"/>
      </w:r>
    </w:p>
    <w:p>
      <w:pPr>
        <w:pStyle w:val="TOC8"/>
        <w:rPr>
          <w:rFonts w:asciiTheme="minorHAnsi" w:eastAsiaTheme="minorEastAsia" w:hAnsiTheme="minorHAnsi" w:cstheme="minorBidi"/>
          <w:szCs w:val="22"/>
        </w:rPr>
      </w:pPr>
      <w:r>
        <w:t>122F.</w:t>
      </w:r>
      <w:r>
        <w:tab/>
        <w:t>Amended improvement scheme area, transitional provisions for</w:t>
      </w:r>
      <w:r>
        <w:tab/>
      </w:r>
      <w:r>
        <w:fldChar w:fldCharType="begin"/>
      </w:r>
      <w:r>
        <w:instrText xml:space="preserve"> PAGEREF _Toc199322399 \h </w:instrText>
      </w:r>
      <w:r>
        <w:fldChar w:fldCharType="separate"/>
      </w:r>
      <w:r>
        <w:t>92</w:t>
      </w:r>
      <w:r>
        <w:fldChar w:fldCharType="end"/>
      </w:r>
    </w:p>
    <w:p>
      <w:pPr>
        <w:pStyle w:val="TOC8"/>
        <w:rPr>
          <w:rFonts w:asciiTheme="minorHAnsi" w:eastAsiaTheme="minorEastAsia" w:hAnsiTheme="minorHAnsi" w:cstheme="minorBidi"/>
          <w:szCs w:val="22"/>
        </w:rPr>
      </w:pPr>
      <w:r>
        <w:t>122G.</w:t>
      </w:r>
      <w:r>
        <w:tab/>
        <w:t>Applications for development pending when land removed or improvement scheme repealed</w:t>
      </w:r>
      <w:r>
        <w:tab/>
      </w:r>
      <w:r>
        <w:fldChar w:fldCharType="begin"/>
      </w:r>
      <w:r>
        <w:instrText xml:space="preserve"> PAGEREF _Toc199322400 \h </w:instrText>
      </w:r>
      <w:r>
        <w:fldChar w:fldCharType="separate"/>
      </w:r>
      <w:r>
        <w:t>92</w:t>
      </w:r>
      <w:r>
        <w:fldChar w:fldCharType="end"/>
      </w:r>
    </w:p>
    <w:p>
      <w:pPr>
        <w:pStyle w:val="TOC8"/>
        <w:rPr>
          <w:rFonts w:asciiTheme="minorHAnsi" w:eastAsiaTheme="minorEastAsia" w:hAnsiTheme="minorHAnsi" w:cstheme="minorBidi"/>
          <w:szCs w:val="22"/>
        </w:rPr>
      </w:pPr>
      <w:r>
        <w:t>122H.</w:t>
      </w:r>
      <w:r>
        <w:tab/>
        <w:t>Permanently closing street in improvement scheme area</w:t>
      </w:r>
      <w:r>
        <w:tab/>
      </w:r>
      <w:r>
        <w:fldChar w:fldCharType="begin"/>
      </w:r>
      <w:r>
        <w:instrText xml:space="preserve"> PAGEREF _Toc199322401 \h </w:instrText>
      </w:r>
      <w:r>
        <w:fldChar w:fldCharType="separate"/>
      </w:r>
      <w:r>
        <w:t>93</w:t>
      </w:r>
      <w:r>
        <w:fldChar w:fldCharType="end"/>
      </w:r>
    </w:p>
    <w:p>
      <w:pPr>
        <w:pStyle w:val="TOC8"/>
        <w:rPr>
          <w:rFonts w:asciiTheme="minorHAnsi" w:eastAsiaTheme="minorEastAsia" w:hAnsiTheme="minorHAnsi" w:cstheme="minorBidi"/>
          <w:szCs w:val="22"/>
        </w:rPr>
      </w:pPr>
      <w:r>
        <w:t>122I.</w:t>
      </w:r>
      <w:r>
        <w:tab/>
        <w:t>Some planning schemes have no force while improvement scheme in force</w:t>
      </w:r>
      <w:r>
        <w:tab/>
      </w:r>
      <w:r>
        <w:fldChar w:fldCharType="begin"/>
      </w:r>
      <w:r>
        <w:instrText xml:space="preserve"> PAGEREF _Toc199322402 \h </w:instrText>
      </w:r>
      <w:r>
        <w:fldChar w:fldCharType="separate"/>
      </w:r>
      <w:r>
        <w:t>93</w:t>
      </w:r>
      <w:r>
        <w:fldChar w:fldCharType="end"/>
      </w:r>
    </w:p>
    <w:p>
      <w:pPr>
        <w:pStyle w:val="TOC8"/>
        <w:rPr>
          <w:rFonts w:asciiTheme="minorHAnsi" w:eastAsiaTheme="minorEastAsia" w:hAnsiTheme="minorHAnsi" w:cstheme="minorBidi"/>
          <w:szCs w:val="22"/>
        </w:rPr>
      </w:pPr>
      <w:r>
        <w:t>122J.</w:t>
      </w:r>
      <w:r>
        <w:tab/>
        <w:t>Minister may amend local planning scheme to conform with improvement scheme</w:t>
      </w:r>
      <w:r>
        <w:tab/>
      </w:r>
      <w:r>
        <w:fldChar w:fldCharType="begin"/>
      </w:r>
      <w:r>
        <w:instrText xml:space="preserve"> PAGEREF _Toc199322403 \h </w:instrText>
      </w:r>
      <w:r>
        <w:fldChar w:fldCharType="separate"/>
      </w:r>
      <w:r>
        <w:t>94</w:t>
      </w:r>
      <w:r>
        <w:fldChar w:fldCharType="end"/>
      </w:r>
    </w:p>
    <w:p>
      <w:pPr>
        <w:pStyle w:val="TOC8"/>
        <w:rPr>
          <w:rFonts w:asciiTheme="minorHAnsi" w:eastAsiaTheme="minorEastAsia" w:hAnsiTheme="minorHAnsi" w:cstheme="minorBidi"/>
          <w:szCs w:val="22"/>
        </w:rPr>
      </w:pPr>
      <w:r>
        <w:t>122K.</w:t>
      </w:r>
      <w:r>
        <w:tab/>
        <w:t>Region planning scheme may be amended to conform with improvement scheme</w:t>
      </w:r>
      <w:r>
        <w:tab/>
      </w:r>
      <w:r>
        <w:fldChar w:fldCharType="begin"/>
      </w:r>
      <w:r>
        <w:instrText xml:space="preserve"> PAGEREF _Toc199322404 \h </w:instrText>
      </w:r>
      <w:r>
        <w:fldChar w:fldCharType="separate"/>
      </w:r>
      <w:r>
        <w:t>94</w:t>
      </w:r>
      <w:r>
        <w:fldChar w:fldCharType="end"/>
      </w:r>
    </w:p>
    <w:p>
      <w:pPr>
        <w:pStyle w:val="TOC8"/>
        <w:rPr>
          <w:rFonts w:asciiTheme="minorHAnsi" w:eastAsiaTheme="minorEastAsia" w:hAnsiTheme="minorHAnsi" w:cstheme="minorBidi"/>
          <w:szCs w:val="22"/>
        </w:rPr>
      </w:pPr>
      <w:r>
        <w:t>122L.</w:t>
      </w:r>
      <w:r>
        <w:tab/>
        <w:t>Minister has s. 211 and 212 powers for improvement scheme</w:t>
      </w:r>
      <w:r>
        <w:tab/>
      </w:r>
      <w:r>
        <w:fldChar w:fldCharType="begin"/>
      </w:r>
      <w:r>
        <w:instrText xml:space="preserve"> PAGEREF _Toc199322405 \h </w:instrText>
      </w:r>
      <w:r>
        <w:fldChar w:fldCharType="separate"/>
      </w:r>
      <w:r>
        <w:t>94</w:t>
      </w:r>
      <w:r>
        <w:fldChar w:fldCharType="end"/>
      </w:r>
    </w:p>
    <w:p>
      <w:pPr>
        <w:pStyle w:val="TOC8"/>
        <w:rPr>
          <w:rFonts w:asciiTheme="minorHAnsi" w:eastAsiaTheme="minorEastAsia" w:hAnsiTheme="minorHAnsi" w:cstheme="minorBidi"/>
          <w:szCs w:val="22"/>
        </w:rPr>
      </w:pPr>
      <w:r>
        <w:t>122M.</w:t>
      </w:r>
      <w:r>
        <w:tab/>
        <w:t>Fees for planning matters under improvement scheme, Commission may impose</w:t>
      </w:r>
      <w:r>
        <w:tab/>
      </w:r>
      <w:r>
        <w:fldChar w:fldCharType="begin"/>
      </w:r>
      <w:r>
        <w:instrText xml:space="preserve"> PAGEREF _Toc199322406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122.</w:t>
      </w:r>
      <w:r>
        <w:tab/>
        <w:t>This Part does not derogate from other powers</w:t>
      </w:r>
      <w:r>
        <w:tab/>
      </w:r>
      <w:r>
        <w:fldChar w:fldCharType="begin"/>
      </w:r>
      <w:r>
        <w:instrText xml:space="preserve"> PAGEREF _Toc199322408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Part 9 — Relationship between planning schemes, planning control provisions and written laws</w:t>
      </w:r>
    </w:p>
    <w:p>
      <w:pPr>
        <w:pStyle w:val="TOC8"/>
        <w:rPr>
          <w:rFonts w:asciiTheme="minorHAnsi" w:eastAsiaTheme="minorEastAsia" w:hAnsiTheme="minorHAnsi" w:cstheme="minorBidi"/>
          <w:szCs w:val="22"/>
        </w:rPr>
      </w:pPr>
      <w:r>
        <w:t>123.</w:t>
      </w:r>
      <w:r>
        <w:tab/>
        <w:t>Local planning scheme or local law to be consistent with region planning scheme or Swan Valley Planning Scheme</w:t>
      </w:r>
      <w:r>
        <w:tab/>
      </w:r>
      <w:r>
        <w:fldChar w:fldCharType="begin"/>
      </w:r>
      <w:r>
        <w:instrText xml:space="preserve"> PAGEREF _Toc199322410 \h </w:instrText>
      </w:r>
      <w:r>
        <w:fldChar w:fldCharType="separate"/>
      </w:r>
      <w:r>
        <w:t>96</w:t>
      </w:r>
      <w:r>
        <w:fldChar w:fldCharType="end"/>
      </w:r>
    </w:p>
    <w:p>
      <w:pPr>
        <w:pStyle w:val="TOC8"/>
        <w:rPr>
          <w:rFonts w:asciiTheme="minorHAnsi" w:eastAsiaTheme="minorEastAsia" w:hAnsiTheme="minorHAnsi" w:cstheme="minorBidi"/>
          <w:szCs w:val="22"/>
        </w:rPr>
      </w:pPr>
      <w:r>
        <w:t>124.</w:t>
      </w:r>
      <w:r>
        <w:tab/>
        <w:t>Effect of region planning scheme on local planning scheme</w:t>
      </w:r>
      <w:r>
        <w:tab/>
      </w:r>
      <w:r>
        <w:fldChar w:fldCharType="begin"/>
      </w:r>
      <w:r>
        <w:instrText xml:space="preserve"> PAGEREF _Toc199322411 \h </w:instrText>
      </w:r>
      <w:r>
        <w:fldChar w:fldCharType="separate"/>
      </w:r>
      <w:r>
        <w:t>96</w:t>
      </w:r>
      <w:r>
        <w:fldChar w:fldCharType="end"/>
      </w:r>
    </w:p>
    <w:p>
      <w:pPr>
        <w:pStyle w:val="TOC8"/>
        <w:rPr>
          <w:rFonts w:asciiTheme="minorHAnsi" w:eastAsiaTheme="minorEastAsia" w:hAnsiTheme="minorHAnsi" w:cstheme="minorBidi"/>
          <w:szCs w:val="22"/>
        </w:rPr>
      </w:pPr>
      <w:r>
        <w:t>125.</w:t>
      </w:r>
      <w:r>
        <w:tab/>
        <w:t>Minister may direct local government to amend local planning scheme to be consistent with region planning scheme etc.</w:t>
      </w:r>
      <w:r>
        <w:tab/>
      </w:r>
      <w:r>
        <w:fldChar w:fldCharType="begin"/>
      </w:r>
      <w:r>
        <w:instrText xml:space="preserve"> PAGEREF _Toc199322412 \h </w:instrText>
      </w:r>
      <w:r>
        <w:fldChar w:fldCharType="separate"/>
      </w:r>
      <w:r>
        <w:t>98</w:t>
      </w:r>
      <w:r>
        <w:fldChar w:fldCharType="end"/>
      </w:r>
    </w:p>
    <w:p>
      <w:pPr>
        <w:pStyle w:val="TOC8"/>
        <w:rPr>
          <w:rFonts w:asciiTheme="minorHAnsi" w:eastAsiaTheme="minorEastAsia" w:hAnsiTheme="minorHAnsi" w:cstheme="minorBidi"/>
          <w:szCs w:val="22"/>
        </w:rPr>
      </w:pPr>
      <w:r>
        <w:t>126.</w:t>
      </w:r>
      <w:r>
        <w:tab/>
        <w:t>Local planning scheme, amendment of due to region planning scheme</w:t>
      </w:r>
      <w:r>
        <w:tab/>
      </w:r>
      <w:r>
        <w:fldChar w:fldCharType="begin"/>
      </w:r>
      <w:r>
        <w:instrText xml:space="preserve"> PAGEREF _Toc199322413 \h </w:instrText>
      </w:r>
      <w:r>
        <w:fldChar w:fldCharType="separate"/>
      </w:r>
      <w:r>
        <w:t>98</w:t>
      </w:r>
      <w:r>
        <w:fldChar w:fldCharType="end"/>
      </w:r>
    </w:p>
    <w:p>
      <w:pPr>
        <w:pStyle w:val="TOC8"/>
        <w:rPr>
          <w:rFonts w:asciiTheme="minorHAnsi" w:eastAsiaTheme="minorEastAsia" w:hAnsiTheme="minorHAnsi" w:cstheme="minorBidi"/>
          <w:szCs w:val="22"/>
        </w:rPr>
      </w:pPr>
      <w:r>
        <w:lastRenderedPageBreak/>
        <w:t>127.</w:t>
      </w:r>
      <w:r>
        <w:tab/>
        <w:t>Minister may direct local government to modify proposed scheme or amendment to be consistent with region planning scheme</w:t>
      </w:r>
      <w:r>
        <w:tab/>
      </w:r>
      <w:r>
        <w:fldChar w:fldCharType="begin"/>
      </w:r>
      <w:r>
        <w:instrText xml:space="preserve"> PAGEREF _Toc199322414 \h </w:instrText>
      </w:r>
      <w:r>
        <w:fldChar w:fldCharType="separate"/>
      </w:r>
      <w:r>
        <w:t>100</w:t>
      </w:r>
      <w:r>
        <w:fldChar w:fldCharType="end"/>
      </w:r>
    </w:p>
    <w:p>
      <w:pPr>
        <w:pStyle w:val="TOC8"/>
        <w:rPr>
          <w:rFonts w:asciiTheme="minorHAnsi" w:eastAsiaTheme="minorEastAsia" w:hAnsiTheme="minorHAnsi" w:cstheme="minorBidi"/>
          <w:szCs w:val="22"/>
        </w:rPr>
      </w:pPr>
      <w:r>
        <w:t>128.</w:t>
      </w:r>
      <w:r>
        <w:tab/>
        <w:t>Breach of s. 124(2), 125 or 127(2), Minister’s powers in case of</w:t>
      </w:r>
      <w:r>
        <w:tab/>
      </w:r>
      <w:r>
        <w:fldChar w:fldCharType="begin"/>
      </w:r>
      <w:r>
        <w:instrText xml:space="preserve"> PAGEREF _Toc199322415 \h </w:instrText>
      </w:r>
      <w:r>
        <w:fldChar w:fldCharType="separate"/>
      </w:r>
      <w:r>
        <w:t>100</w:t>
      </w:r>
      <w:r>
        <w:fldChar w:fldCharType="end"/>
      </w:r>
    </w:p>
    <w:p>
      <w:pPr>
        <w:pStyle w:val="TOC8"/>
        <w:rPr>
          <w:rFonts w:asciiTheme="minorHAnsi" w:eastAsiaTheme="minorEastAsia" w:hAnsiTheme="minorHAnsi" w:cstheme="minorBidi"/>
          <w:szCs w:val="22"/>
        </w:rPr>
      </w:pPr>
      <w:r>
        <w:t>129.</w:t>
      </w:r>
      <w:r>
        <w:tab/>
        <w:t>Inconsistency between interim development order and local planning scheme or local law, effect of</w:t>
      </w:r>
      <w:r>
        <w:tab/>
      </w:r>
      <w:r>
        <w:fldChar w:fldCharType="begin"/>
      </w:r>
      <w:r>
        <w:instrText xml:space="preserve"> PAGEREF _Toc199322416 \h </w:instrText>
      </w:r>
      <w:r>
        <w:fldChar w:fldCharType="separate"/>
      </w:r>
      <w:r>
        <w:t>102</w:t>
      </w:r>
      <w:r>
        <w:fldChar w:fldCharType="end"/>
      </w:r>
    </w:p>
    <w:p>
      <w:pPr>
        <w:pStyle w:val="TOC8"/>
        <w:rPr>
          <w:rFonts w:asciiTheme="minorHAnsi" w:eastAsiaTheme="minorEastAsia" w:hAnsiTheme="minorHAnsi" w:cstheme="minorBidi"/>
          <w:szCs w:val="22"/>
        </w:rPr>
      </w:pPr>
      <w:r>
        <w:t>130.</w:t>
      </w:r>
      <w:r>
        <w:tab/>
        <w:t>Planning control area provisions (Part 7) prevail</w:t>
      </w:r>
      <w:r>
        <w:tab/>
      </w:r>
      <w:r>
        <w:fldChar w:fldCharType="begin"/>
      </w:r>
      <w:r>
        <w:instrText xml:space="preserve"> PAGEREF _Toc199322417 \h </w:instrText>
      </w:r>
      <w:r>
        <w:fldChar w:fldCharType="separate"/>
      </w:r>
      <w:r>
        <w:t>102</w:t>
      </w:r>
      <w:r>
        <w:fldChar w:fldCharType="end"/>
      </w:r>
    </w:p>
    <w:p>
      <w:pPr>
        <w:pStyle w:val="TOC8"/>
        <w:rPr>
          <w:rFonts w:asciiTheme="minorHAnsi" w:eastAsiaTheme="minorEastAsia" w:hAnsiTheme="minorHAnsi" w:cstheme="minorBidi"/>
          <w:szCs w:val="22"/>
        </w:rPr>
      </w:pPr>
      <w:r>
        <w:t>131.</w:t>
      </w:r>
      <w:r>
        <w:tab/>
      </w:r>
      <w:r>
        <w:rPr>
          <w:bCs/>
        </w:rPr>
        <w:t>Building standards etc. prevail</w:t>
      </w:r>
      <w:r>
        <w:tab/>
      </w:r>
      <w:r>
        <w:fldChar w:fldCharType="begin"/>
      </w:r>
      <w:r>
        <w:instrText xml:space="preserve"> PAGEREF _Toc199322418 \h </w:instrText>
      </w:r>
      <w:r>
        <w:fldChar w:fldCharType="separate"/>
      </w:r>
      <w:r>
        <w:t>103</w:t>
      </w:r>
      <w:r>
        <w:fldChar w:fldCharType="end"/>
      </w:r>
    </w:p>
    <w:p>
      <w:pPr>
        <w:pStyle w:val="TOC8"/>
        <w:rPr>
          <w:rFonts w:asciiTheme="minorHAnsi" w:eastAsiaTheme="minorEastAsia" w:hAnsiTheme="minorHAnsi" w:cstheme="minorBidi"/>
          <w:szCs w:val="22"/>
        </w:rPr>
      </w:pPr>
      <w:r>
        <w:t>131A.</w:t>
      </w:r>
      <w:r>
        <w:tab/>
        <w:t>Relationship between Swan Valley Planning Scheme and other planning schemes or policies</w:t>
      </w:r>
      <w:r>
        <w:tab/>
      </w:r>
      <w:r>
        <w:fldChar w:fldCharType="begin"/>
      </w:r>
      <w:r>
        <w:instrText xml:space="preserve"> PAGEREF _Toc199322419 \h </w:instrText>
      </w:r>
      <w:r>
        <w:fldChar w:fldCharType="separate"/>
      </w:r>
      <w:r>
        <w:t>103</w:t>
      </w:r>
      <w:r>
        <w:fldChar w:fldCharType="end"/>
      </w:r>
    </w:p>
    <w:p>
      <w:pPr>
        <w:pStyle w:val="TOC8"/>
        <w:rPr>
          <w:rFonts w:asciiTheme="minorHAnsi" w:eastAsiaTheme="minorEastAsia" w:hAnsiTheme="minorHAnsi" w:cstheme="minorBidi"/>
          <w:szCs w:val="22"/>
        </w:rPr>
      </w:pPr>
      <w:r>
        <w:t>132.</w:t>
      </w:r>
      <w:r>
        <w:tab/>
        <w:t>Governor may modify or suspend law to enable planning scheme to have effect</w:t>
      </w:r>
      <w:r>
        <w:tab/>
      </w:r>
      <w:r>
        <w:fldChar w:fldCharType="begin"/>
      </w:r>
      <w:r>
        <w:instrText xml:space="preserve"> PAGEREF _Toc199322420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Part 10 — Subdivision and development control</w:t>
      </w:r>
    </w:p>
    <w:p>
      <w:pPr>
        <w:pStyle w:val="TOC4"/>
        <w:tabs>
          <w:tab w:val="right" w:leader="dot" w:pos="7077"/>
        </w:tabs>
        <w:rPr>
          <w:rFonts w:asciiTheme="minorHAnsi" w:eastAsiaTheme="minorEastAsia" w:hAnsiTheme="minorHAnsi" w:cstheme="minorBidi"/>
          <w:b w:val="0"/>
          <w:szCs w:val="22"/>
        </w:rPr>
      </w:pPr>
      <w:r>
        <w:t>Division 1 — Application</w:t>
      </w:r>
    </w:p>
    <w:p>
      <w:pPr>
        <w:pStyle w:val="TOC8"/>
        <w:rPr>
          <w:rFonts w:asciiTheme="minorHAnsi" w:eastAsiaTheme="minorEastAsia" w:hAnsiTheme="minorHAnsi" w:cstheme="minorBidi"/>
          <w:szCs w:val="22"/>
        </w:rPr>
      </w:pPr>
      <w:r>
        <w:t>133.</w:t>
      </w:r>
      <w:r>
        <w:tab/>
        <w:t>Application of Part to Crown land</w:t>
      </w:r>
      <w:r>
        <w:tab/>
      </w:r>
      <w:r>
        <w:fldChar w:fldCharType="begin"/>
      </w:r>
      <w:r>
        <w:instrText xml:space="preserve"> PAGEREF _Toc199322423 \h </w:instrText>
      </w:r>
      <w:r>
        <w:fldChar w:fldCharType="separate"/>
      </w:r>
      <w:r>
        <w:t>105</w:t>
      </w:r>
      <w:r>
        <w:fldChar w:fldCharType="end"/>
      </w:r>
    </w:p>
    <w:p>
      <w:pPr>
        <w:pStyle w:val="TOC8"/>
        <w:rPr>
          <w:rFonts w:asciiTheme="minorHAnsi" w:eastAsiaTheme="minorEastAsia" w:hAnsiTheme="minorHAnsi" w:cstheme="minorBidi"/>
          <w:szCs w:val="22"/>
        </w:rPr>
      </w:pPr>
      <w:r>
        <w:t>134.</w:t>
      </w:r>
      <w:r>
        <w:tab/>
        <w:t>Relationship of Part to some other laws</w:t>
      </w:r>
      <w:r>
        <w:tab/>
      </w:r>
      <w:r>
        <w:fldChar w:fldCharType="begin"/>
      </w:r>
      <w:r>
        <w:instrText xml:space="preserve"> PAGEREF _Toc199322424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2 — Approval for subdivision and certain transactions</w:t>
      </w:r>
    </w:p>
    <w:p>
      <w:pPr>
        <w:pStyle w:val="TOC8"/>
        <w:rPr>
          <w:rFonts w:asciiTheme="minorHAnsi" w:eastAsiaTheme="minorEastAsia" w:hAnsiTheme="minorHAnsi" w:cstheme="minorBidi"/>
          <w:szCs w:val="22"/>
        </w:rPr>
      </w:pPr>
      <w:r>
        <w:t>135.</w:t>
      </w:r>
      <w:r>
        <w:tab/>
        <w:t>No subdivision etc. without approval</w:t>
      </w:r>
      <w:r>
        <w:tab/>
      </w:r>
      <w:r>
        <w:fldChar w:fldCharType="begin"/>
      </w:r>
      <w:r>
        <w:instrText xml:space="preserve"> PAGEREF _Toc199322426 \h </w:instrText>
      </w:r>
      <w:r>
        <w:fldChar w:fldCharType="separate"/>
      </w:r>
      <w:r>
        <w:t>106</w:t>
      </w:r>
      <w:r>
        <w:fldChar w:fldCharType="end"/>
      </w:r>
    </w:p>
    <w:p>
      <w:pPr>
        <w:pStyle w:val="TOC8"/>
        <w:rPr>
          <w:rFonts w:asciiTheme="minorHAnsi" w:eastAsiaTheme="minorEastAsia" w:hAnsiTheme="minorHAnsi" w:cstheme="minorBidi"/>
          <w:szCs w:val="22"/>
        </w:rPr>
      </w:pPr>
      <w:r>
        <w:t>136.</w:t>
      </w:r>
      <w:r>
        <w:tab/>
        <w:t>Approval required for some dealings as to land not dealt with as lot or lots</w:t>
      </w:r>
      <w:r>
        <w:tab/>
      </w:r>
      <w:r>
        <w:fldChar w:fldCharType="begin"/>
      </w:r>
      <w:r>
        <w:instrText xml:space="preserve"> PAGEREF _Toc199322427 \h </w:instrText>
      </w:r>
      <w:r>
        <w:fldChar w:fldCharType="separate"/>
      </w:r>
      <w:r>
        <w:t>106</w:t>
      </w:r>
      <w:r>
        <w:fldChar w:fldCharType="end"/>
      </w:r>
    </w:p>
    <w:p>
      <w:pPr>
        <w:pStyle w:val="TOC8"/>
        <w:rPr>
          <w:rFonts w:asciiTheme="minorHAnsi" w:eastAsiaTheme="minorEastAsia" w:hAnsiTheme="minorHAnsi" w:cstheme="minorBidi"/>
          <w:szCs w:val="22"/>
        </w:rPr>
      </w:pPr>
      <w:r>
        <w:t>137.</w:t>
      </w:r>
      <w:r>
        <w:tab/>
        <w:t>Heritage land, subdivision etc. of</w:t>
      </w:r>
      <w:r>
        <w:tab/>
      </w:r>
      <w:r>
        <w:fldChar w:fldCharType="begin"/>
      </w:r>
      <w:r>
        <w:instrText xml:space="preserve"> PAGEREF _Toc199322428 \h </w:instrText>
      </w:r>
      <w:r>
        <w:fldChar w:fldCharType="separate"/>
      </w:r>
      <w:r>
        <w:t>109</w:t>
      </w:r>
      <w:r>
        <w:fldChar w:fldCharType="end"/>
      </w:r>
    </w:p>
    <w:p>
      <w:pPr>
        <w:pStyle w:val="TOC8"/>
        <w:rPr>
          <w:rFonts w:asciiTheme="minorHAnsi" w:eastAsiaTheme="minorEastAsia" w:hAnsiTheme="minorHAnsi" w:cstheme="minorBidi"/>
          <w:szCs w:val="22"/>
        </w:rPr>
      </w:pPr>
      <w:r>
        <w:t>138.</w:t>
      </w:r>
      <w:r>
        <w:tab/>
        <w:t>Commission’s functions when approving subdivision etc.</w:t>
      </w:r>
      <w:r>
        <w:tab/>
      </w:r>
      <w:r>
        <w:fldChar w:fldCharType="begin"/>
      </w:r>
      <w:r>
        <w:instrText xml:space="preserve"> PAGEREF _Toc199322429 \h </w:instrText>
      </w:r>
      <w:r>
        <w:fldChar w:fldCharType="separate"/>
      </w:r>
      <w:r>
        <w:t>109</w:t>
      </w:r>
      <w:r>
        <w:fldChar w:fldCharType="end"/>
      </w:r>
    </w:p>
    <w:p>
      <w:pPr>
        <w:pStyle w:val="TOC8"/>
        <w:rPr>
          <w:rFonts w:asciiTheme="minorHAnsi" w:eastAsiaTheme="minorEastAsia" w:hAnsiTheme="minorHAnsi" w:cstheme="minorBidi"/>
          <w:szCs w:val="22"/>
        </w:rPr>
      </w:pPr>
      <w:r>
        <w:t>138A.</w:t>
      </w:r>
      <w:r>
        <w:tab/>
        <w:t>Commission’s functions when approving subdivision etc. in Swan Valley</w:t>
      </w:r>
      <w:r>
        <w:tab/>
      </w:r>
      <w:r>
        <w:fldChar w:fldCharType="begin"/>
      </w:r>
      <w:r>
        <w:instrText xml:space="preserve"> PAGEREF _Toc199322430 \h </w:instrText>
      </w:r>
      <w:r>
        <w:fldChar w:fldCharType="separate"/>
      </w:r>
      <w:r>
        <w:t>111</w:t>
      </w:r>
      <w:r>
        <w:fldChar w:fldCharType="end"/>
      </w:r>
    </w:p>
    <w:p>
      <w:pPr>
        <w:pStyle w:val="TOC8"/>
        <w:rPr>
          <w:rFonts w:asciiTheme="minorHAnsi" w:eastAsiaTheme="minorEastAsia" w:hAnsiTheme="minorHAnsi" w:cstheme="minorBidi"/>
          <w:szCs w:val="22"/>
        </w:rPr>
      </w:pPr>
      <w:r>
        <w:t>139.</w:t>
      </w:r>
      <w:r>
        <w:tab/>
        <w:t>Leases and licences that do not need approval under s. 136</w:t>
      </w:r>
      <w:r>
        <w:tab/>
      </w:r>
      <w:r>
        <w:fldChar w:fldCharType="begin"/>
      </w:r>
      <w:r>
        <w:instrText xml:space="preserve"> PAGEREF _Toc199322431 \h </w:instrText>
      </w:r>
      <w:r>
        <w:fldChar w:fldCharType="separate"/>
      </w:r>
      <w:r>
        <w:t>111</w:t>
      </w:r>
      <w:r>
        <w:fldChar w:fldCharType="end"/>
      </w:r>
    </w:p>
    <w:p>
      <w:pPr>
        <w:pStyle w:val="TOC8"/>
        <w:rPr>
          <w:rFonts w:asciiTheme="minorHAnsi" w:eastAsiaTheme="minorEastAsia" w:hAnsiTheme="minorHAnsi" w:cstheme="minorBidi"/>
          <w:szCs w:val="22"/>
        </w:rPr>
      </w:pPr>
      <w:r>
        <w:t>140.</w:t>
      </w:r>
      <w:r>
        <w:tab/>
        <w:t>Saving of some agreements entered into without approval under s. 136</w:t>
      </w:r>
      <w:r>
        <w:tab/>
      </w:r>
      <w:r>
        <w:fldChar w:fldCharType="begin"/>
      </w:r>
      <w:r>
        <w:instrText xml:space="preserve"> PAGEREF _Toc199322432 \h </w:instrText>
      </w:r>
      <w:r>
        <w:fldChar w:fldCharType="separate"/>
      </w:r>
      <w:r>
        <w:t>112</w:t>
      </w:r>
      <w:r>
        <w:fldChar w:fldCharType="end"/>
      </w:r>
    </w:p>
    <w:p>
      <w:pPr>
        <w:pStyle w:val="TOC8"/>
        <w:rPr>
          <w:rFonts w:asciiTheme="minorHAnsi" w:eastAsiaTheme="minorEastAsia" w:hAnsiTheme="minorHAnsi" w:cstheme="minorBidi"/>
          <w:szCs w:val="22"/>
        </w:rPr>
      </w:pPr>
      <w:r>
        <w:t>141.</w:t>
      </w:r>
      <w:r>
        <w:tab/>
        <w:t>Refund where land transaction cannot be completed</w:t>
      </w:r>
      <w:r>
        <w:tab/>
      </w:r>
      <w:r>
        <w:fldChar w:fldCharType="begin"/>
      </w:r>
      <w:r>
        <w:instrText xml:space="preserve"> PAGEREF _Toc199322433 \h </w:instrText>
      </w:r>
      <w:r>
        <w:fldChar w:fldCharType="separate"/>
      </w:r>
      <w:r>
        <w:t>113</w:t>
      </w:r>
      <w:r>
        <w:fldChar w:fldCharType="end"/>
      </w:r>
    </w:p>
    <w:p>
      <w:pPr>
        <w:pStyle w:val="TOC8"/>
        <w:rPr>
          <w:rFonts w:asciiTheme="minorHAnsi" w:eastAsiaTheme="minorEastAsia" w:hAnsiTheme="minorHAnsi" w:cstheme="minorBidi"/>
          <w:szCs w:val="22"/>
        </w:rPr>
      </w:pPr>
      <w:r>
        <w:t>142.</w:t>
      </w:r>
      <w:r>
        <w:tab/>
        <w:t>Consultation requirements as to proposed subdivision</w:t>
      </w:r>
      <w:r>
        <w:tab/>
      </w:r>
      <w:r>
        <w:fldChar w:fldCharType="begin"/>
      </w:r>
      <w:r>
        <w:instrText xml:space="preserve"> PAGEREF _Toc199322434 \h </w:instrText>
      </w:r>
      <w:r>
        <w:fldChar w:fldCharType="separate"/>
      </w:r>
      <w:r>
        <w:t>114</w:t>
      </w:r>
      <w:r>
        <w:fldChar w:fldCharType="end"/>
      </w:r>
    </w:p>
    <w:p>
      <w:pPr>
        <w:pStyle w:val="TOC8"/>
        <w:rPr>
          <w:rFonts w:asciiTheme="minorHAnsi" w:eastAsiaTheme="minorEastAsia" w:hAnsiTheme="minorHAnsi" w:cstheme="minorBidi"/>
          <w:szCs w:val="22"/>
        </w:rPr>
      </w:pPr>
      <w:r>
        <w:t>143.</w:t>
      </w:r>
      <w:r>
        <w:tab/>
        <w:t>Commission’s duties when dealing with plan of subdivision</w:t>
      </w:r>
      <w:r>
        <w:tab/>
      </w:r>
      <w:r>
        <w:fldChar w:fldCharType="begin"/>
      </w:r>
      <w:r>
        <w:instrText xml:space="preserve"> PAGEREF _Toc199322435 \h </w:instrText>
      </w:r>
      <w:r>
        <w:fldChar w:fldCharType="separate"/>
      </w:r>
      <w:r>
        <w:t>115</w:t>
      </w:r>
      <w:r>
        <w:fldChar w:fldCharType="end"/>
      </w:r>
    </w:p>
    <w:p>
      <w:pPr>
        <w:pStyle w:val="TOC8"/>
        <w:rPr>
          <w:rFonts w:asciiTheme="minorHAnsi" w:eastAsiaTheme="minorEastAsia" w:hAnsiTheme="minorHAnsi" w:cstheme="minorBidi"/>
          <w:szCs w:val="22"/>
        </w:rPr>
      </w:pPr>
      <w:r>
        <w:lastRenderedPageBreak/>
        <w:t>144.</w:t>
      </w:r>
      <w:r>
        <w:tab/>
        <w:t>Reconsidering refusal to approve plan of subdivision</w:t>
      </w:r>
      <w:r>
        <w:tab/>
      </w:r>
      <w:r>
        <w:fldChar w:fldCharType="begin"/>
      </w:r>
      <w:r>
        <w:instrText xml:space="preserve"> PAGEREF _Toc199322436 \h </w:instrText>
      </w:r>
      <w:r>
        <w:fldChar w:fldCharType="separate"/>
      </w:r>
      <w:r>
        <w:t>115</w:t>
      </w:r>
      <w:r>
        <w:fldChar w:fldCharType="end"/>
      </w:r>
    </w:p>
    <w:p>
      <w:pPr>
        <w:pStyle w:val="TOC8"/>
        <w:rPr>
          <w:rFonts w:asciiTheme="minorHAnsi" w:eastAsiaTheme="minorEastAsia" w:hAnsiTheme="minorHAnsi" w:cstheme="minorBidi"/>
          <w:szCs w:val="22"/>
        </w:rPr>
      </w:pPr>
      <w:r>
        <w:t>145.</w:t>
      </w:r>
      <w:r>
        <w:tab/>
        <w:t>Diagram or plan of survey of approved plan of subdivision, approval of</w:t>
      </w:r>
      <w:r>
        <w:tab/>
      </w:r>
      <w:r>
        <w:fldChar w:fldCharType="begin"/>
      </w:r>
      <w:r>
        <w:instrText xml:space="preserve"> PAGEREF _Toc199322437 \h </w:instrText>
      </w:r>
      <w:r>
        <w:fldChar w:fldCharType="separate"/>
      </w:r>
      <w:r>
        <w:t>116</w:t>
      </w:r>
      <w:r>
        <w:fldChar w:fldCharType="end"/>
      </w:r>
    </w:p>
    <w:p>
      <w:pPr>
        <w:pStyle w:val="TOC8"/>
        <w:rPr>
          <w:rFonts w:asciiTheme="minorHAnsi" w:eastAsiaTheme="minorEastAsia" w:hAnsiTheme="minorHAnsi" w:cstheme="minorBidi"/>
          <w:szCs w:val="22"/>
        </w:rPr>
      </w:pPr>
      <w:r>
        <w:t>145A.</w:t>
      </w:r>
      <w:r>
        <w:tab/>
        <w:t>Period for submission of diagram or plan of survey for approval by Commission</w:t>
      </w:r>
      <w:r>
        <w:tab/>
      </w:r>
      <w:r>
        <w:fldChar w:fldCharType="begin"/>
      </w:r>
      <w:r>
        <w:instrText xml:space="preserve"> PAGEREF _Toc199322438 \h </w:instrText>
      </w:r>
      <w:r>
        <w:fldChar w:fldCharType="separate"/>
      </w:r>
      <w:r>
        <w:t>117</w:t>
      </w:r>
      <w:r>
        <w:fldChar w:fldCharType="end"/>
      </w:r>
    </w:p>
    <w:p>
      <w:pPr>
        <w:pStyle w:val="TOC8"/>
        <w:rPr>
          <w:rFonts w:asciiTheme="minorHAnsi" w:eastAsiaTheme="minorEastAsia" w:hAnsiTheme="minorHAnsi" w:cstheme="minorBidi"/>
          <w:szCs w:val="22"/>
        </w:rPr>
      </w:pPr>
      <w:r>
        <w:t>146.</w:t>
      </w:r>
      <w:r>
        <w:tab/>
        <w:t>No certificate of title for subdivided land without approved diagram or plan of survey</w:t>
      </w:r>
      <w:r>
        <w:tab/>
      </w:r>
      <w:r>
        <w:fldChar w:fldCharType="begin"/>
      </w:r>
      <w:r>
        <w:instrText xml:space="preserve"> PAGEREF _Toc199322439 \h </w:instrText>
      </w:r>
      <w:r>
        <w:fldChar w:fldCharType="separate"/>
      </w:r>
      <w:r>
        <w:t>119</w:t>
      </w:r>
      <w:r>
        <w:fldChar w:fldCharType="end"/>
      </w:r>
    </w:p>
    <w:p>
      <w:pPr>
        <w:pStyle w:val="TOC8"/>
        <w:rPr>
          <w:rFonts w:asciiTheme="minorHAnsi" w:eastAsiaTheme="minorEastAsia" w:hAnsiTheme="minorHAnsi" w:cstheme="minorBidi"/>
          <w:szCs w:val="22"/>
        </w:rPr>
      </w:pPr>
      <w:r>
        <w:t>147.</w:t>
      </w:r>
      <w:r>
        <w:tab/>
        <w:t>No registration etc. of some land dealings without Commission’s approval</w:t>
      </w:r>
      <w:r>
        <w:tab/>
      </w:r>
      <w:r>
        <w:fldChar w:fldCharType="begin"/>
      </w:r>
      <w:r>
        <w:instrText xml:space="preserve"> PAGEREF _Toc199322440 \h </w:instrText>
      </w:r>
      <w:r>
        <w:fldChar w:fldCharType="separate"/>
      </w:r>
      <w:r>
        <w:t>120</w:t>
      </w:r>
      <w:r>
        <w:fldChar w:fldCharType="end"/>
      </w:r>
    </w:p>
    <w:p>
      <w:pPr>
        <w:pStyle w:val="TOC4"/>
        <w:tabs>
          <w:tab w:val="right" w:leader="dot" w:pos="7077"/>
        </w:tabs>
        <w:rPr>
          <w:rFonts w:asciiTheme="minorHAnsi" w:eastAsiaTheme="minorEastAsia" w:hAnsiTheme="minorHAnsi" w:cstheme="minorBidi"/>
          <w:b w:val="0"/>
          <w:szCs w:val="22"/>
        </w:rPr>
      </w:pPr>
      <w:r>
        <w:t>Division 3 — Conditions of subdivision</w:t>
      </w:r>
    </w:p>
    <w:p>
      <w:pPr>
        <w:pStyle w:val="TOC8"/>
        <w:rPr>
          <w:rFonts w:asciiTheme="minorHAnsi" w:eastAsiaTheme="minorEastAsia" w:hAnsiTheme="minorHAnsi" w:cstheme="minorBidi"/>
          <w:szCs w:val="22"/>
        </w:rPr>
      </w:pPr>
      <w:r>
        <w:t>150.</w:t>
      </w:r>
      <w:r>
        <w:tab/>
        <w:t>Road access, conditions as to</w:t>
      </w:r>
      <w:r>
        <w:tab/>
      </w:r>
      <w:r>
        <w:fldChar w:fldCharType="begin"/>
      </w:r>
      <w:r>
        <w:instrText xml:space="preserve"> PAGEREF _Toc199322442 \h </w:instrText>
      </w:r>
      <w:r>
        <w:fldChar w:fldCharType="separate"/>
      </w:r>
      <w:r>
        <w:t>121</w:t>
      </w:r>
      <w:r>
        <w:fldChar w:fldCharType="end"/>
      </w:r>
    </w:p>
    <w:p>
      <w:pPr>
        <w:pStyle w:val="TOC8"/>
        <w:rPr>
          <w:rFonts w:asciiTheme="minorHAnsi" w:eastAsiaTheme="minorEastAsia" w:hAnsiTheme="minorHAnsi" w:cstheme="minorBidi"/>
          <w:szCs w:val="22"/>
        </w:rPr>
      </w:pPr>
      <w:r>
        <w:t>151.</w:t>
      </w:r>
      <w:r>
        <w:tab/>
        <w:t>Reconsidering conditions</w:t>
      </w:r>
      <w:r>
        <w:tab/>
      </w:r>
      <w:r>
        <w:fldChar w:fldCharType="begin"/>
      </w:r>
      <w:r>
        <w:instrText xml:space="preserve"> PAGEREF _Toc199322443 \h </w:instrText>
      </w:r>
      <w:r>
        <w:fldChar w:fldCharType="separate"/>
      </w:r>
      <w:r>
        <w:t>122</w:t>
      </w:r>
      <w:r>
        <w:fldChar w:fldCharType="end"/>
      </w:r>
    </w:p>
    <w:p>
      <w:pPr>
        <w:pStyle w:val="TOC8"/>
        <w:rPr>
          <w:rFonts w:asciiTheme="minorHAnsi" w:eastAsiaTheme="minorEastAsia" w:hAnsiTheme="minorHAnsi" w:cstheme="minorBidi"/>
          <w:szCs w:val="22"/>
        </w:rPr>
      </w:pPr>
      <w:r>
        <w:t>152.</w:t>
      </w:r>
      <w:r>
        <w:tab/>
        <w:t>Certain land to vest in Crown</w:t>
      </w:r>
      <w:r>
        <w:tab/>
      </w:r>
      <w:r>
        <w:fldChar w:fldCharType="begin"/>
      </w:r>
      <w:r>
        <w:instrText xml:space="preserve"> PAGEREF _Toc199322444 \h </w:instrText>
      </w:r>
      <w:r>
        <w:fldChar w:fldCharType="separate"/>
      </w:r>
      <w:r>
        <w:t>122</w:t>
      </w:r>
      <w:r>
        <w:fldChar w:fldCharType="end"/>
      </w:r>
    </w:p>
    <w:p>
      <w:pPr>
        <w:pStyle w:val="TOC8"/>
        <w:rPr>
          <w:rFonts w:asciiTheme="minorHAnsi" w:eastAsiaTheme="minorEastAsia" w:hAnsiTheme="minorHAnsi" w:cstheme="minorBidi"/>
          <w:szCs w:val="22"/>
        </w:rPr>
      </w:pPr>
      <w:r>
        <w:t>153.</w:t>
      </w:r>
      <w:r>
        <w:tab/>
        <w:t>Setting aside land for open space or payment in lieu</w:t>
      </w:r>
      <w:r>
        <w:tab/>
      </w:r>
      <w:r>
        <w:fldChar w:fldCharType="begin"/>
      </w:r>
      <w:r>
        <w:instrText xml:space="preserve"> PAGEREF _Toc199322445 \h </w:instrText>
      </w:r>
      <w:r>
        <w:fldChar w:fldCharType="separate"/>
      </w:r>
      <w:r>
        <w:t>124</w:t>
      </w:r>
      <w:r>
        <w:fldChar w:fldCharType="end"/>
      </w:r>
    </w:p>
    <w:p>
      <w:pPr>
        <w:pStyle w:val="TOC8"/>
        <w:rPr>
          <w:rFonts w:asciiTheme="minorHAnsi" w:eastAsiaTheme="minorEastAsia" w:hAnsiTheme="minorHAnsi" w:cstheme="minorBidi"/>
          <w:szCs w:val="22"/>
        </w:rPr>
      </w:pPr>
      <w:r>
        <w:t>154.</w:t>
      </w:r>
      <w:r>
        <w:tab/>
        <w:t>Money paid in lieu of open space, application of</w:t>
      </w:r>
      <w:r>
        <w:tab/>
      </w:r>
      <w:r>
        <w:fldChar w:fldCharType="begin"/>
      </w:r>
      <w:r>
        <w:instrText xml:space="preserve"> PAGEREF _Toc199322446 \h </w:instrText>
      </w:r>
      <w:r>
        <w:fldChar w:fldCharType="separate"/>
      </w:r>
      <w:r>
        <w:t>125</w:t>
      </w:r>
      <w:r>
        <w:fldChar w:fldCharType="end"/>
      </w:r>
    </w:p>
    <w:p>
      <w:pPr>
        <w:pStyle w:val="TOC8"/>
        <w:rPr>
          <w:rFonts w:asciiTheme="minorHAnsi" w:eastAsiaTheme="minorEastAsia" w:hAnsiTheme="minorHAnsi" w:cstheme="minorBidi"/>
          <w:szCs w:val="22"/>
        </w:rPr>
      </w:pPr>
      <w:r>
        <w:t>155.</w:t>
      </w:r>
      <w:r>
        <w:tab/>
        <w:t>Value of land for s. 153, how determined</w:t>
      </w:r>
      <w:r>
        <w:tab/>
      </w:r>
      <w:r>
        <w:fldChar w:fldCharType="begin"/>
      </w:r>
      <w:r>
        <w:instrText xml:space="preserve"> PAGEREF _Toc199322447 \h </w:instrText>
      </w:r>
      <w:r>
        <w:fldChar w:fldCharType="separate"/>
      </w:r>
      <w:r>
        <w:t>126</w:t>
      </w:r>
      <w:r>
        <w:fldChar w:fldCharType="end"/>
      </w:r>
    </w:p>
    <w:p>
      <w:pPr>
        <w:pStyle w:val="TOC8"/>
        <w:rPr>
          <w:rFonts w:asciiTheme="minorHAnsi" w:eastAsiaTheme="minorEastAsia" w:hAnsiTheme="minorHAnsi" w:cstheme="minorBidi"/>
          <w:szCs w:val="22"/>
        </w:rPr>
      </w:pPr>
      <w:r>
        <w:t>156.</w:t>
      </w:r>
      <w:r>
        <w:tab/>
        <w:t>Valuation under s. 155, dispute as to</w:t>
      </w:r>
      <w:r>
        <w:tab/>
      </w:r>
      <w:r>
        <w:fldChar w:fldCharType="begin"/>
      </w:r>
      <w:r>
        <w:instrText xml:space="preserve"> PAGEREF _Toc199322448 \h </w:instrText>
      </w:r>
      <w:r>
        <w:fldChar w:fldCharType="separate"/>
      </w:r>
      <w:r>
        <w:t>128</w:t>
      </w:r>
      <w:r>
        <w:fldChar w:fldCharType="end"/>
      </w:r>
    </w:p>
    <w:p>
      <w:pPr>
        <w:pStyle w:val="TOC8"/>
        <w:rPr>
          <w:rFonts w:asciiTheme="minorHAnsi" w:eastAsiaTheme="minorEastAsia" w:hAnsiTheme="minorHAnsi" w:cstheme="minorBidi"/>
          <w:szCs w:val="22"/>
        </w:rPr>
      </w:pPr>
      <w:r>
        <w:t>157.</w:t>
      </w:r>
      <w:r>
        <w:tab/>
        <w:t>When approval of subdivision deemed to be approval under planning scheme</w:t>
      </w:r>
      <w:r>
        <w:tab/>
      </w:r>
      <w:r>
        <w:fldChar w:fldCharType="begin"/>
      </w:r>
      <w:r>
        <w:instrText xml:space="preserve"> PAGEREF _Toc199322449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4 — Subdivision costs</w:t>
      </w:r>
    </w:p>
    <w:p>
      <w:pPr>
        <w:pStyle w:val="TOC8"/>
        <w:rPr>
          <w:rFonts w:asciiTheme="minorHAnsi" w:eastAsiaTheme="minorEastAsia" w:hAnsiTheme="minorHAnsi" w:cstheme="minorBidi"/>
          <w:szCs w:val="22"/>
        </w:rPr>
      </w:pPr>
      <w:r>
        <w:t>158.</w:t>
      </w:r>
      <w:r>
        <w:tab/>
        <w:t>Expenses of construction etc. of roads etc.</w:t>
      </w:r>
      <w:r>
        <w:tab/>
      </w:r>
      <w:r>
        <w:fldChar w:fldCharType="begin"/>
      </w:r>
      <w:r>
        <w:instrText xml:space="preserve"> PAGEREF _Toc199322451 \h </w:instrText>
      </w:r>
      <w:r>
        <w:fldChar w:fldCharType="separate"/>
      </w:r>
      <w:r>
        <w:t>129</w:t>
      </w:r>
      <w:r>
        <w:fldChar w:fldCharType="end"/>
      </w:r>
    </w:p>
    <w:p>
      <w:pPr>
        <w:pStyle w:val="TOC8"/>
        <w:rPr>
          <w:rFonts w:asciiTheme="minorHAnsi" w:eastAsiaTheme="minorEastAsia" w:hAnsiTheme="minorHAnsi" w:cstheme="minorBidi"/>
          <w:szCs w:val="22"/>
        </w:rPr>
      </w:pPr>
      <w:r>
        <w:t>159.</w:t>
      </w:r>
      <w:r>
        <w:tab/>
        <w:t>Subdivider may recover portion of road costs from later subdivider</w:t>
      </w:r>
      <w:r>
        <w:tab/>
      </w:r>
      <w:r>
        <w:fldChar w:fldCharType="begin"/>
      </w:r>
      <w:r>
        <w:instrText xml:space="preserve"> PAGEREF _Toc199322452 \h </w:instrText>
      </w:r>
      <w:r>
        <w:fldChar w:fldCharType="separate"/>
      </w:r>
      <w:r>
        <w:t>130</w:t>
      </w:r>
      <w:r>
        <w:fldChar w:fldCharType="end"/>
      </w:r>
    </w:p>
    <w:p>
      <w:pPr>
        <w:pStyle w:val="TOC8"/>
        <w:rPr>
          <w:rFonts w:asciiTheme="minorHAnsi" w:eastAsiaTheme="minorEastAsia" w:hAnsiTheme="minorHAnsi" w:cstheme="minorBidi"/>
          <w:szCs w:val="22"/>
        </w:rPr>
      </w:pPr>
      <w:r>
        <w:t>160.</w:t>
      </w:r>
      <w:r>
        <w:tab/>
        <w:t>Money payable under s. 159, recovery of</w:t>
      </w:r>
      <w:r>
        <w:tab/>
      </w:r>
      <w:r>
        <w:fldChar w:fldCharType="begin"/>
      </w:r>
      <w:r>
        <w:instrText xml:space="preserve"> PAGEREF _Toc199322453 \h </w:instrText>
      </w:r>
      <w:r>
        <w:fldChar w:fldCharType="separate"/>
      </w:r>
      <w:r>
        <w:t>131</w:t>
      </w:r>
      <w:r>
        <w:fldChar w:fldCharType="end"/>
      </w:r>
    </w:p>
    <w:p>
      <w:pPr>
        <w:pStyle w:val="TOC8"/>
        <w:rPr>
          <w:rFonts w:asciiTheme="minorHAnsi" w:eastAsiaTheme="minorEastAsia" w:hAnsiTheme="minorHAnsi" w:cstheme="minorBidi"/>
          <w:szCs w:val="22"/>
        </w:rPr>
      </w:pPr>
      <w:r>
        <w:t>161.</w:t>
      </w:r>
      <w:r>
        <w:tab/>
        <w:t>When subdivision occurs</w:t>
      </w:r>
      <w:r>
        <w:tab/>
      </w:r>
      <w:r>
        <w:fldChar w:fldCharType="begin"/>
      </w:r>
      <w:r>
        <w:instrText xml:space="preserve"> PAGEREF _Toc199322454 \h </w:instrText>
      </w:r>
      <w:r>
        <w:fldChar w:fldCharType="separate"/>
      </w:r>
      <w:r>
        <w:t>132</w:t>
      </w:r>
      <w:r>
        <w:fldChar w:fldCharType="end"/>
      </w:r>
    </w:p>
    <w:p>
      <w:pPr>
        <w:pStyle w:val="TOC4"/>
        <w:tabs>
          <w:tab w:val="right" w:leader="dot" w:pos="7077"/>
        </w:tabs>
        <w:rPr>
          <w:rFonts w:asciiTheme="minorHAnsi" w:eastAsiaTheme="minorEastAsia" w:hAnsiTheme="minorHAnsi" w:cstheme="minorBidi"/>
          <w:b w:val="0"/>
          <w:szCs w:val="22"/>
        </w:rPr>
      </w:pPr>
      <w:r>
        <w:t>Division 5 — Development controls</w:t>
      </w:r>
    </w:p>
    <w:p>
      <w:pPr>
        <w:pStyle w:val="TOC8"/>
        <w:rPr>
          <w:rFonts w:asciiTheme="minorHAnsi" w:eastAsiaTheme="minorEastAsia" w:hAnsiTheme="minorHAnsi" w:cstheme="minorBidi"/>
          <w:szCs w:val="22"/>
        </w:rPr>
      </w:pPr>
      <w:r>
        <w:t>162.</w:t>
      </w:r>
      <w:r>
        <w:tab/>
        <w:t>No development except with approval</w:t>
      </w:r>
      <w:r>
        <w:tab/>
      </w:r>
      <w:r>
        <w:fldChar w:fldCharType="begin"/>
      </w:r>
      <w:r>
        <w:instrText xml:space="preserve"> PAGEREF _Toc199322456 \h </w:instrText>
      </w:r>
      <w:r>
        <w:fldChar w:fldCharType="separate"/>
      </w:r>
      <w:r>
        <w:t>132</w:t>
      </w:r>
      <w:r>
        <w:fldChar w:fldCharType="end"/>
      </w:r>
    </w:p>
    <w:p>
      <w:pPr>
        <w:pStyle w:val="TOC8"/>
        <w:rPr>
          <w:rFonts w:asciiTheme="minorHAnsi" w:eastAsiaTheme="minorEastAsia" w:hAnsiTheme="minorHAnsi" w:cstheme="minorBidi"/>
          <w:szCs w:val="22"/>
        </w:rPr>
      </w:pPr>
      <w:r>
        <w:t>163.</w:t>
      </w:r>
      <w:r>
        <w:tab/>
        <w:t>Application for development of heritage place</w:t>
      </w:r>
      <w:r>
        <w:tab/>
      </w:r>
      <w:r>
        <w:fldChar w:fldCharType="begin"/>
      </w:r>
      <w:r>
        <w:instrText xml:space="preserve"> PAGEREF _Toc199322457 \h </w:instrText>
      </w:r>
      <w:r>
        <w:fldChar w:fldCharType="separate"/>
      </w:r>
      <w:r>
        <w:t>132</w:t>
      </w:r>
      <w:r>
        <w:fldChar w:fldCharType="end"/>
      </w:r>
    </w:p>
    <w:p>
      <w:pPr>
        <w:pStyle w:val="TOC8"/>
        <w:rPr>
          <w:rFonts w:asciiTheme="minorHAnsi" w:eastAsiaTheme="minorEastAsia" w:hAnsiTheme="minorHAnsi" w:cstheme="minorBidi"/>
          <w:szCs w:val="22"/>
        </w:rPr>
      </w:pPr>
      <w:r>
        <w:t>164.</w:t>
      </w:r>
      <w:r>
        <w:tab/>
        <w:t>Development commenced or carried out, subsequent approval of</w:t>
      </w:r>
      <w:r>
        <w:tab/>
      </w:r>
      <w:r>
        <w:fldChar w:fldCharType="begin"/>
      </w:r>
      <w:r>
        <w:instrText xml:space="preserve"> PAGEREF _Toc199322458 \h </w:instrText>
      </w:r>
      <w:r>
        <w:fldChar w:fldCharType="separate"/>
      </w:r>
      <w:r>
        <w:t>133</w:t>
      </w:r>
      <w:r>
        <w:fldChar w:fldCharType="end"/>
      </w:r>
    </w:p>
    <w:p>
      <w:pPr>
        <w:pStyle w:val="TOC4"/>
        <w:tabs>
          <w:tab w:val="right" w:leader="dot" w:pos="7077"/>
        </w:tabs>
        <w:rPr>
          <w:rFonts w:asciiTheme="minorHAnsi" w:eastAsiaTheme="minorEastAsia" w:hAnsiTheme="minorHAnsi" w:cstheme="minorBidi"/>
          <w:b w:val="0"/>
          <w:szCs w:val="22"/>
        </w:rPr>
      </w:pPr>
      <w:r>
        <w:t>Division 5A — Integration of subdivision and development</w:t>
      </w:r>
    </w:p>
    <w:p>
      <w:pPr>
        <w:pStyle w:val="TOC8"/>
        <w:rPr>
          <w:rFonts w:asciiTheme="minorHAnsi" w:eastAsiaTheme="minorEastAsia" w:hAnsiTheme="minorHAnsi" w:cstheme="minorBidi"/>
          <w:szCs w:val="22"/>
        </w:rPr>
      </w:pPr>
      <w:r>
        <w:t>164A.</w:t>
      </w:r>
      <w:r>
        <w:tab/>
        <w:t>Integration of subdivision and development</w:t>
      </w:r>
      <w:r>
        <w:tab/>
      </w:r>
      <w:r>
        <w:fldChar w:fldCharType="begin"/>
      </w:r>
      <w:r>
        <w:instrText xml:space="preserve"> PAGEREF _Toc199322460 \h </w:instrText>
      </w:r>
      <w:r>
        <w:fldChar w:fldCharType="separate"/>
      </w:r>
      <w:r>
        <w:t>133</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165.</w:t>
      </w:r>
      <w:r>
        <w:tab/>
        <w:t>Hazard etc. affecting land, notating titles as to</w:t>
      </w:r>
      <w:r>
        <w:tab/>
      </w:r>
      <w:r>
        <w:fldChar w:fldCharType="begin"/>
      </w:r>
      <w:r>
        <w:instrText xml:space="preserve"> PAGEREF _Toc199322462 \h </w:instrText>
      </w:r>
      <w:r>
        <w:fldChar w:fldCharType="separate"/>
      </w:r>
      <w:r>
        <w:t>135</w:t>
      </w:r>
      <w:r>
        <w:fldChar w:fldCharType="end"/>
      </w:r>
    </w:p>
    <w:p>
      <w:pPr>
        <w:pStyle w:val="TOC8"/>
        <w:rPr>
          <w:rFonts w:asciiTheme="minorHAnsi" w:eastAsiaTheme="minorEastAsia" w:hAnsiTheme="minorHAnsi" w:cstheme="minorBidi"/>
          <w:szCs w:val="22"/>
        </w:rPr>
      </w:pPr>
      <w:r>
        <w:t>166.</w:t>
      </w:r>
      <w:r>
        <w:tab/>
        <w:t>Encroachment that leads to approved subdivision</w:t>
      </w:r>
      <w:r>
        <w:tab/>
      </w:r>
      <w:r>
        <w:fldChar w:fldCharType="begin"/>
      </w:r>
      <w:r>
        <w:instrText xml:space="preserve"> PAGEREF _Toc199322463 \h </w:instrText>
      </w:r>
      <w:r>
        <w:fldChar w:fldCharType="separate"/>
      </w:r>
      <w:r>
        <w:t>136</w:t>
      </w:r>
      <w:r>
        <w:fldChar w:fldCharType="end"/>
      </w:r>
    </w:p>
    <w:p>
      <w:pPr>
        <w:pStyle w:val="TOC8"/>
        <w:rPr>
          <w:rFonts w:asciiTheme="minorHAnsi" w:eastAsiaTheme="minorEastAsia" w:hAnsiTheme="minorHAnsi" w:cstheme="minorBidi"/>
          <w:szCs w:val="22"/>
        </w:rPr>
      </w:pPr>
      <w:r>
        <w:lastRenderedPageBreak/>
        <w:t>167.</w:t>
      </w:r>
      <w:r>
        <w:tab/>
        <w:t>Easement, creation of etc. on subdivision etc.</w:t>
      </w:r>
      <w:r>
        <w:tab/>
      </w:r>
      <w:r>
        <w:fldChar w:fldCharType="begin"/>
      </w:r>
      <w:r>
        <w:instrText xml:space="preserve"> PAGEREF _Toc199322464 \h </w:instrText>
      </w:r>
      <w:r>
        <w:fldChar w:fldCharType="separate"/>
      </w:r>
      <w:r>
        <w:t>137</w:t>
      </w:r>
      <w:r>
        <w:fldChar w:fldCharType="end"/>
      </w:r>
    </w:p>
    <w:p>
      <w:pPr>
        <w:pStyle w:val="TOC8"/>
        <w:rPr>
          <w:rFonts w:asciiTheme="minorHAnsi" w:eastAsiaTheme="minorEastAsia" w:hAnsiTheme="minorHAnsi" w:cstheme="minorBidi"/>
          <w:szCs w:val="22"/>
        </w:rPr>
      </w:pPr>
      <w:r>
        <w:t>168.</w:t>
      </w:r>
      <w:r>
        <w:tab/>
        <w:t>Road, creation of etc. on subdivision etc.</w:t>
      </w:r>
      <w:r>
        <w:tab/>
      </w:r>
      <w:r>
        <w:fldChar w:fldCharType="begin"/>
      </w:r>
      <w:r>
        <w:instrText xml:space="preserve"> PAGEREF _Toc199322465 \h </w:instrText>
      </w:r>
      <w:r>
        <w:fldChar w:fldCharType="separate"/>
      </w:r>
      <w:r>
        <w:t>139</w:t>
      </w:r>
      <w:r>
        <w:fldChar w:fldCharType="end"/>
      </w:r>
    </w:p>
    <w:p>
      <w:pPr>
        <w:pStyle w:val="TOC8"/>
        <w:rPr>
          <w:rFonts w:asciiTheme="minorHAnsi" w:eastAsiaTheme="minorEastAsia" w:hAnsiTheme="minorHAnsi" w:cstheme="minorBidi"/>
          <w:szCs w:val="22"/>
        </w:rPr>
      </w:pPr>
      <w:r>
        <w:t>169.</w:t>
      </w:r>
      <w:r>
        <w:tab/>
        <w:t>Roads and waterways, minimum standards of construction for</w:t>
      </w:r>
      <w:r>
        <w:tab/>
      </w:r>
      <w:r>
        <w:fldChar w:fldCharType="begin"/>
      </w:r>
      <w:r>
        <w:instrText xml:space="preserve"> PAGEREF _Toc199322466 \h </w:instrText>
      </w:r>
      <w:r>
        <w:fldChar w:fldCharType="separate"/>
      </w:r>
      <w:r>
        <w:t>141</w:t>
      </w:r>
      <w:r>
        <w:fldChar w:fldCharType="end"/>
      </w:r>
    </w:p>
    <w:p>
      <w:pPr>
        <w:pStyle w:val="TOC8"/>
        <w:rPr>
          <w:rFonts w:asciiTheme="minorHAnsi" w:eastAsiaTheme="minorEastAsia" w:hAnsiTheme="minorHAnsi" w:cstheme="minorBidi"/>
          <w:szCs w:val="22"/>
        </w:rPr>
      </w:pPr>
      <w:r>
        <w:t>170.</w:t>
      </w:r>
      <w:r>
        <w:tab/>
        <w:t>Proposed road or waterway, drawings etc. of required</w:t>
      </w:r>
      <w:r>
        <w:tab/>
      </w:r>
      <w:r>
        <w:fldChar w:fldCharType="begin"/>
      </w:r>
      <w:r>
        <w:instrText xml:space="preserve"> PAGEREF _Toc199322467 \h </w:instrText>
      </w:r>
      <w:r>
        <w:fldChar w:fldCharType="separate"/>
      </w:r>
      <w:r>
        <w:t>141</w:t>
      </w:r>
      <w:r>
        <w:fldChar w:fldCharType="end"/>
      </w:r>
    </w:p>
    <w:p>
      <w:pPr>
        <w:pStyle w:val="TOC2"/>
        <w:tabs>
          <w:tab w:val="right" w:leader="dot" w:pos="7077"/>
        </w:tabs>
        <w:rPr>
          <w:rFonts w:asciiTheme="minorHAnsi" w:eastAsiaTheme="minorEastAsia" w:hAnsiTheme="minorHAnsi" w:cstheme="minorBidi"/>
          <w:b w:val="0"/>
          <w:sz w:val="22"/>
          <w:szCs w:val="22"/>
        </w:rPr>
      </w:pPr>
      <w:r>
        <w:t>Part 11A</w:t>
      </w:r>
      <w:r>
        <w:rPr>
          <w:b w:val="0"/>
        </w:rPr>
        <w:t> </w:t>
      </w:r>
      <w:r>
        <w:t>—</w:t>
      </w:r>
      <w:r>
        <w:rPr>
          <w:b w:val="0"/>
        </w:rPr>
        <w:t> </w:t>
      </w:r>
      <w:r>
        <w:t>Development Assessment Panels and development control</w:t>
      </w:r>
    </w:p>
    <w:p>
      <w:pPr>
        <w:pStyle w:val="TOC4"/>
        <w:tabs>
          <w:tab w:val="right" w:leader="dot" w:pos="7077"/>
        </w:tabs>
        <w:rPr>
          <w:rFonts w:asciiTheme="minorHAnsi" w:eastAsiaTheme="minorEastAsia" w:hAnsiTheme="minorHAnsi" w:cstheme="minorBidi"/>
          <w:b w:val="0"/>
          <w:szCs w:val="22"/>
        </w:rPr>
      </w:pPr>
      <w:r>
        <w:t>Division 1 — Functions of DAPs</w:t>
      </w:r>
    </w:p>
    <w:p>
      <w:pPr>
        <w:pStyle w:val="TOC8"/>
        <w:rPr>
          <w:rFonts w:asciiTheme="minorHAnsi" w:eastAsiaTheme="minorEastAsia" w:hAnsiTheme="minorHAnsi" w:cstheme="minorBidi"/>
          <w:szCs w:val="22"/>
        </w:rPr>
      </w:pPr>
      <w:r>
        <w:t>171A.</w:t>
      </w:r>
      <w:r>
        <w:tab/>
        <w:t>Prescribed development applications, DAP to determine and regulations for</w:t>
      </w:r>
      <w:r>
        <w:tab/>
      </w:r>
      <w:r>
        <w:fldChar w:fldCharType="begin"/>
      </w:r>
      <w:r>
        <w:instrText xml:space="preserve"> PAGEREF _Toc199322470 \h </w:instrText>
      </w:r>
      <w:r>
        <w:fldChar w:fldCharType="separate"/>
      </w:r>
      <w:r>
        <w:t>144</w:t>
      </w:r>
      <w:r>
        <w:fldChar w:fldCharType="end"/>
      </w:r>
    </w:p>
    <w:p>
      <w:pPr>
        <w:pStyle w:val="TOC8"/>
        <w:rPr>
          <w:rFonts w:asciiTheme="minorHAnsi" w:eastAsiaTheme="minorEastAsia" w:hAnsiTheme="minorHAnsi" w:cstheme="minorBidi"/>
          <w:szCs w:val="22"/>
        </w:rPr>
      </w:pPr>
      <w:r>
        <w:t>171B.</w:t>
      </w:r>
      <w:r>
        <w:tab/>
        <w:t>DAP to carry out delegated functions</w:t>
      </w:r>
      <w:r>
        <w:tab/>
      </w:r>
      <w:r>
        <w:fldChar w:fldCharType="begin"/>
      </w:r>
      <w:r>
        <w:instrText xml:space="preserve"> PAGEREF _Toc199322471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2 — Development Assessment Panels: establishment and administration</w:t>
      </w:r>
    </w:p>
    <w:p>
      <w:pPr>
        <w:pStyle w:val="TOC8"/>
        <w:rPr>
          <w:rFonts w:asciiTheme="minorHAnsi" w:eastAsiaTheme="minorEastAsia" w:hAnsiTheme="minorHAnsi" w:cstheme="minorBidi"/>
          <w:szCs w:val="22"/>
        </w:rPr>
      </w:pPr>
      <w:r>
        <w:t>171C.</w:t>
      </w:r>
      <w:r>
        <w:tab/>
        <w:t>Establishment of DAPs</w:t>
      </w:r>
      <w:r>
        <w:tab/>
      </w:r>
      <w:r>
        <w:fldChar w:fldCharType="begin"/>
      </w:r>
      <w:r>
        <w:instrText xml:space="preserve"> PAGEREF _Toc199322473 \h </w:instrText>
      </w:r>
      <w:r>
        <w:fldChar w:fldCharType="separate"/>
      </w:r>
      <w:r>
        <w:t>147</w:t>
      </w:r>
      <w:r>
        <w:fldChar w:fldCharType="end"/>
      </w:r>
    </w:p>
    <w:p>
      <w:pPr>
        <w:pStyle w:val="TOC8"/>
        <w:rPr>
          <w:rFonts w:asciiTheme="minorHAnsi" w:eastAsiaTheme="minorEastAsia" w:hAnsiTheme="minorHAnsi" w:cstheme="minorBidi"/>
          <w:szCs w:val="22"/>
        </w:rPr>
      </w:pPr>
      <w:r>
        <w:t>171D.</w:t>
      </w:r>
      <w:r>
        <w:tab/>
        <w:t>Constitution, procedure and conduct of DAPs</w:t>
      </w:r>
      <w:r>
        <w:tab/>
      </w:r>
      <w:r>
        <w:fldChar w:fldCharType="begin"/>
      </w:r>
      <w:r>
        <w:instrText xml:space="preserve"> PAGEREF _Toc199322474 \h </w:instrText>
      </w:r>
      <w:r>
        <w:fldChar w:fldCharType="separate"/>
      </w:r>
      <w:r>
        <w:t>147</w:t>
      </w:r>
      <w:r>
        <w:fldChar w:fldCharType="end"/>
      </w:r>
    </w:p>
    <w:p>
      <w:pPr>
        <w:pStyle w:val="TOC8"/>
        <w:rPr>
          <w:rFonts w:asciiTheme="minorHAnsi" w:eastAsiaTheme="minorEastAsia" w:hAnsiTheme="minorHAnsi" w:cstheme="minorBidi"/>
          <w:szCs w:val="22"/>
        </w:rPr>
      </w:pPr>
      <w:r>
        <w:t>171E.</w:t>
      </w:r>
      <w:r>
        <w:tab/>
        <w:t>Administration and costs of DAPs</w:t>
      </w:r>
      <w:r>
        <w:tab/>
      </w:r>
      <w:r>
        <w:fldChar w:fldCharType="begin"/>
      </w:r>
      <w:r>
        <w:instrText xml:space="preserve"> PAGEREF _Toc199322475 \h </w:instrText>
      </w:r>
      <w:r>
        <w:fldChar w:fldCharType="separate"/>
      </w:r>
      <w:r>
        <w:t>148</w:t>
      </w:r>
      <w:r>
        <w:fldChar w:fldCharType="end"/>
      </w:r>
    </w:p>
    <w:p>
      <w:pPr>
        <w:pStyle w:val="TOC8"/>
        <w:rPr>
          <w:rFonts w:asciiTheme="minorHAnsi" w:eastAsiaTheme="minorEastAsia" w:hAnsiTheme="minorHAnsi" w:cstheme="minorBidi"/>
          <w:szCs w:val="22"/>
        </w:rPr>
      </w:pPr>
      <w:r>
        <w:t>171F.</w:t>
      </w:r>
      <w:r>
        <w:tab/>
        <w:t>Review of regulations</w:t>
      </w:r>
      <w:r>
        <w:tab/>
      </w:r>
      <w:r>
        <w:fldChar w:fldCharType="begin"/>
      </w:r>
      <w:r>
        <w:instrText xml:space="preserve"> PAGEREF _Toc199322476 \h </w:instrText>
      </w:r>
      <w:r>
        <w:fldChar w:fldCharType="separate"/>
      </w:r>
      <w:r>
        <w:t>149</w:t>
      </w:r>
      <w:r>
        <w:fldChar w:fldCharType="end"/>
      </w:r>
    </w:p>
    <w:p>
      <w:pPr>
        <w:pStyle w:val="TOC2"/>
        <w:tabs>
          <w:tab w:val="right" w:leader="dot" w:pos="7077"/>
        </w:tabs>
        <w:rPr>
          <w:rFonts w:asciiTheme="minorHAnsi" w:eastAsiaTheme="minorEastAsia" w:hAnsiTheme="minorHAnsi" w:cstheme="minorBidi"/>
          <w:b w:val="0"/>
          <w:sz w:val="22"/>
          <w:szCs w:val="22"/>
        </w:rPr>
      </w:pPr>
      <w:r>
        <w:t>Part 11 — Compensation and acquisition</w:t>
      </w:r>
    </w:p>
    <w:p>
      <w:pPr>
        <w:pStyle w:val="TOC4"/>
        <w:tabs>
          <w:tab w:val="right" w:leader="dot" w:pos="7077"/>
        </w:tabs>
        <w:rPr>
          <w:rFonts w:asciiTheme="minorHAnsi" w:eastAsiaTheme="minorEastAsia" w:hAnsiTheme="minorHAnsi" w:cstheme="minorBidi"/>
          <w:b w:val="0"/>
          <w:szCs w:val="22"/>
        </w:rPr>
      </w:pPr>
      <w:r>
        <w:t>Division 1 — General matters in relation to compensation</w:t>
      </w:r>
    </w:p>
    <w:p>
      <w:pPr>
        <w:pStyle w:val="TOC8"/>
        <w:rPr>
          <w:rFonts w:asciiTheme="minorHAnsi" w:eastAsiaTheme="minorEastAsia" w:hAnsiTheme="minorHAnsi" w:cstheme="minorBidi"/>
          <w:szCs w:val="22"/>
        </w:rPr>
      </w:pPr>
      <w:r>
        <w:t>171.</w:t>
      </w:r>
      <w:r>
        <w:tab/>
        <w:t>Entitlement to compensation, limits on</w:t>
      </w:r>
      <w:r>
        <w:tab/>
      </w:r>
      <w:r>
        <w:fldChar w:fldCharType="begin"/>
      </w:r>
      <w:r>
        <w:instrText xml:space="preserve"> PAGEREF _Toc199322479 \h </w:instrText>
      </w:r>
      <w:r>
        <w:fldChar w:fldCharType="separate"/>
      </w:r>
      <w:r>
        <w:t>150</w:t>
      </w:r>
      <w:r>
        <w:fldChar w:fldCharType="end"/>
      </w:r>
    </w:p>
    <w:p>
      <w:pPr>
        <w:pStyle w:val="TOC4"/>
        <w:tabs>
          <w:tab w:val="right" w:leader="dot" w:pos="7077"/>
        </w:tabs>
        <w:rPr>
          <w:rFonts w:asciiTheme="minorHAnsi" w:eastAsiaTheme="minorEastAsia" w:hAnsiTheme="minorHAnsi" w:cstheme="minorBidi"/>
          <w:b w:val="0"/>
          <w:szCs w:val="22"/>
        </w:rPr>
      </w:pPr>
      <w:r>
        <w:t>Division 2 — Compensation where land injuriously affected by planning scheme</w:t>
      </w:r>
    </w:p>
    <w:p>
      <w:pPr>
        <w:pStyle w:val="TOC8"/>
        <w:rPr>
          <w:rFonts w:asciiTheme="minorHAnsi" w:eastAsiaTheme="minorEastAsia" w:hAnsiTheme="minorHAnsi" w:cstheme="minorBidi"/>
          <w:szCs w:val="22"/>
        </w:rPr>
      </w:pPr>
      <w:r>
        <w:t>172.</w:t>
      </w:r>
      <w:r>
        <w:tab/>
        <w:t>Terms used</w:t>
      </w:r>
      <w:r>
        <w:tab/>
      </w:r>
      <w:r>
        <w:fldChar w:fldCharType="begin"/>
      </w:r>
      <w:r>
        <w:instrText xml:space="preserve"> PAGEREF _Toc199322481 \h </w:instrText>
      </w:r>
      <w:r>
        <w:fldChar w:fldCharType="separate"/>
      </w:r>
      <w:r>
        <w:t>150</w:t>
      </w:r>
      <w:r>
        <w:fldChar w:fldCharType="end"/>
      </w:r>
    </w:p>
    <w:p>
      <w:pPr>
        <w:pStyle w:val="TOC8"/>
        <w:rPr>
          <w:rFonts w:asciiTheme="minorHAnsi" w:eastAsiaTheme="minorEastAsia" w:hAnsiTheme="minorHAnsi" w:cstheme="minorBidi"/>
          <w:szCs w:val="22"/>
        </w:rPr>
      </w:pPr>
      <w:r>
        <w:t>173.</w:t>
      </w:r>
      <w:r>
        <w:tab/>
        <w:t>Injurious affection, compensation for</w:t>
      </w:r>
      <w:r>
        <w:tab/>
      </w:r>
      <w:r>
        <w:fldChar w:fldCharType="begin"/>
      </w:r>
      <w:r>
        <w:instrText xml:space="preserve"> PAGEREF _Toc199322482 \h </w:instrText>
      </w:r>
      <w:r>
        <w:fldChar w:fldCharType="separate"/>
      </w:r>
      <w:r>
        <w:t>151</w:t>
      </w:r>
      <w:r>
        <w:fldChar w:fldCharType="end"/>
      </w:r>
    </w:p>
    <w:p>
      <w:pPr>
        <w:pStyle w:val="TOC8"/>
        <w:rPr>
          <w:rFonts w:asciiTheme="minorHAnsi" w:eastAsiaTheme="minorEastAsia" w:hAnsiTheme="minorHAnsi" w:cstheme="minorBidi"/>
          <w:szCs w:val="22"/>
        </w:rPr>
      </w:pPr>
      <w:r>
        <w:t>174.</w:t>
      </w:r>
      <w:r>
        <w:tab/>
        <w:t>When land is injuriously affected</w:t>
      </w:r>
      <w:r>
        <w:tab/>
      </w:r>
      <w:r>
        <w:fldChar w:fldCharType="begin"/>
      </w:r>
      <w:r>
        <w:instrText xml:space="preserve"> PAGEREF _Toc199322483 \h </w:instrText>
      </w:r>
      <w:r>
        <w:fldChar w:fldCharType="separate"/>
      </w:r>
      <w:r>
        <w:t>151</w:t>
      </w:r>
      <w:r>
        <w:fldChar w:fldCharType="end"/>
      </w:r>
    </w:p>
    <w:p>
      <w:pPr>
        <w:pStyle w:val="TOC8"/>
        <w:rPr>
          <w:rFonts w:asciiTheme="minorHAnsi" w:eastAsiaTheme="minorEastAsia" w:hAnsiTheme="minorHAnsi" w:cstheme="minorBidi"/>
          <w:szCs w:val="22"/>
        </w:rPr>
      </w:pPr>
      <w:r>
        <w:t>175.</w:t>
      </w:r>
      <w:r>
        <w:tab/>
        <w:t>No compensation if scheme’s provisions are, or could have been, in certain other laws</w:t>
      </w:r>
      <w:r>
        <w:tab/>
      </w:r>
      <w:r>
        <w:fldChar w:fldCharType="begin"/>
      </w:r>
      <w:r>
        <w:instrText xml:space="preserve"> PAGEREF _Toc199322484 \h </w:instrText>
      </w:r>
      <w:r>
        <w:fldChar w:fldCharType="separate"/>
      </w:r>
      <w:r>
        <w:t>153</w:t>
      </w:r>
      <w:r>
        <w:fldChar w:fldCharType="end"/>
      </w:r>
    </w:p>
    <w:p>
      <w:pPr>
        <w:pStyle w:val="TOC8"/>
        <w:rPr>
          <w:rFonts w:asciiTheme="minorHAnsi" w:eastAsiaTheme="minorEastAsia" w:hAnsiTheme="minorHAnsi" w:cstheme="minorBidi"/>
          <w:szCs w:val="22"/>
        </w:rPr>
      </w:pPr>
      <w:r>
        <w:t>176.</w:t>
      </w:r>
      <w:r>
        <w:tab/>
        <w:t>Questions as to injurious affection etc., how determined</w:t>
      </w:r>
      <w:r>
        <w:tab/>
      </w:r>
      <w:r>
        <w:fldChar w:fldCharType="begin"/>
      </w:r>
      <w:r>
        <w:instrText xml:space="preserve"> PAGEREF _Toc199322485 \h </w:instrText>
      </w:r>
      <w:r>
        <w:fldChar w:fldCharType="separate"/>
      </w:r>
      <w:r>
        <w:t>154</w:t>
      </w:r>
      <w:r>
        <w:fldChar w:fldCharType="end"/>
      </w:r>
    </w:p>
    <w:p>
      <w:pPr>
        <w:pStyle w:val="TOC8"/>
        <w:rPr>
          <w:rFonts w:asciiTheme="minorHAnsi" w:eastAsiaTheme="minorEastAsia" w:hAnsiTheme="minorHAnsi" w:cstheme="minorBidi"/>
          <w:szCs w:val="22"/>
        </w:rPr>
      </w:pPr>
      <w:r>
        <w:t>177.</w:t>
      </w:r>
      <w:r>
        <w:tab/>
        <w:t>When compensation payable if land reserved</w:t>
      </w:r>
      <w:r>
        <w:tab/>
      </w:r>
      <w:r>
        <w:fldChar w:fldCharType="begin"/>
      </w:r>
      <w:r>
        <w:instrText xml:space="preserve"> PAGEREF _Toc199322486 \h </w:instrText>
      </w:r>
      <w:r>
        <w:fldChar w:fldCharType="separate"/>
      </w:r>
      <w:r>
        <w:t>154</w:t>
      </w:r>
      <w:r>
        <w:fldChar w:fldCharType="end"/>
      </w:r>
    </w:p>
    <w:p>
      <w:pPr>
        <w:pStyle w:val="TOC8"/>
        <w:rPr>
          <w:rFonts w:asciiTheme="minorHAnsi" w:eastAsiaTheme="minorEastAsia" w:hAnsiTheme="minorHAnsi" w:cstheme="minorBidi"/>
          <w:szCs w:val="22"/>
        </w:rPr>
      </w:pPr>
      <w:r>
        <w:t>178.</w:t>
      </w:r>
      <w:r>
        <w:tab/>
        <w:t>Claim for compensation, time for making</w:t>
      </w:r>
      <w:r>
        <w:tab/>
      </w:r>
      <w:r>
        <w:fldChar w:fldCharType="begin"/>
      </w:r>
      <w:r>
        <w:instrText xml:space="preserve"> PAGEREF _Toc199322487 \h </w:instrText>
      </w:r>
      <w:r>
        <w:fldChar w:fldCharType="separate"/>
      </w:r>
      <w:r>
        <w:t>156</w:t>
      </w:r>
      <w:r>
        <w:fldChar w:fldCharType="end"/>
      </w:r>
    </w:p>
    <w:p>
      <w:pPr>
        <w:pStyle w:val="TOC8"/>
        <w:rPr>
          <w:rFonts w:asciiTheme="minorHAnsi" w:eastAsiaTheme="minorEastAsia" w:hAnsiTheme="minorHAnsi" w:cstheme="minorBidi"/>
          <w:szCs w:val="22"/>
        </w:rPr>
      </w:pPr>
      <w:r>
        <w:t>179.</w:t>
      </w:r>
      <w:r>
        <w:tab/>
        <w:t>Injurious affection due to land being reserved, amount of compensation for</w:t>
      </w:r>
      <w:r>
        <w:tab/>
      </w:r>
      <w:r>
        <w:fldChar w:fldCharType="begin"/>
      </w:r>
      <w:r>
        <w:instrText xml:space="preserve"> PAGEREF _Toc199322488 \h </w:instrText>
      </w:r>
      <w:r>
        <w:fldChar w:fldCharType="separate"/>
      </w:r>
      <w:r>
        <w:t>156</w:t>
      </w:r>
      <w:r>
        <w:fldChar w:fldCharType="end"/>
      </w:r>
    </w:p>
    <w:p>
      <w:pPr>
        <w:pStyle w:val="TOC8"/>
        <w:rPr>
          <w:rFonts w:asciiTheme="minorHAnsi" w:eastAsiaTheme="minorEastAsia" w:hAnsiTheme="minorHAnsi" w:cstheme="minorBidi"/>
          <w:szCs w:val="22"/>
        </w:rPr>
      </w:pPr>
      <w:r>
        <w:t>180.</w:t>
      </w:r>
      <w:r>
        <w:tab/>
        <w:t>Notating title to land after compensation paid</w:t>
      </w:r>
      <w:r>
        <w:tab/>
      </w:r>
      <w:r>
        <w:fldChar w:fldCharType="begin"/>
      </w:r>
      <w:r>
        <w:instrText xml:space="preserve"> PAGEREF _Toc199322489 \h </w:instrText>
      </w:r>
      <w:r>
        <w:fldChar w:fldCharType="separate"/>
      </w:r>
      <w:r>
        <w:t>157</w:t>
      </w:r>
      <w:r>
        <w:fldChar w:fldCharType="end"/>
      </w:r>
    </w:p>
    <w:p>
      <w:pPr>
        <w:pStyle w:val="TOC8"/>
        <w:rPr>
          <w:rFonts w:asciiTheme="minorHAnsi" w:eastAsiaTheme="minorEastAsia" w:hAnsiTheme="minorHAnsi" w:cstheme="minorBidi"/>
          <w:szCs w:val="22"/>
        </w:rPr>
      </w:pPr>
      <w:r>
        <w:lastRenderedPageBreak/>
        <w:t>181.</w:t>
      </w:r>
      <w:r>
        <w:tab/>
        <w:t>Recovering paid compensation if reservation revoked or reduced</w:t>
      </w:r>
      <w:r>
        <w:tab/>
      </w:r>
      <w:r>
        <w:fldChar w:fldCharType="begin"/>
      </w:r>
      <w:r>
        <w:instrText xml:space="preserve"> PAGEREF _Toc199322490 \h </w:instrText>
      </w:r>
      <w:r>
        <w:fldChar w:fldCharType="separate"/>
      </w:r>
      <w:r>
        <w:t>157</w:t>
      </w:r>
      <w:r>
        <w:fldChar w:fldCharType="end"/>
      </w:r>
    </w:p>
    <w:p>
      <w:pPr>
        <w:pStyle w:val="TOC8"/>
        <w:rPr>
          <w:rFonts w:asciiTheme="minorHAnsi" w:eastAsiaTheme="minorEastAsia" w:hAnsiTheme="minorHAnsi" w:cstheme="minorBidi"/>
          <w:szCs w:val="22"/>
        </w:rPr>
      </w:pPr>
      <w:r>
        <w:t>182.</w:t>
      </w:r>
      <w:r>
        <w:tab/>
        <w:t>Board of Valuers</w:t>
      </w:r>
      <w:r>
        <w:tab/>
      </w:r>
      <w:r>
        <w:fldChar w:fldCharType="begin"/>
      </w:r>
      <w:r>
        <w:instrText xml:space="preserve"> PAGEREF _Toc199322491 \h </w:instrText>
      </w:r>
      <w:r>
        <w:fldChar w:fldCharType="separate"/>
      </w:r>
      <w:r>
        <w:t>162</w:t>
      </w:r>
      <w:r>
        <w:fldChar w:fldCharType="end"/>
      </w:r>
    </w:p>
    <w:p>
      <w:pPr>
        <w:pStyle w:val="TOC8"/>
        <w:rPr>
          <w:rFonts w:asciiTheme="minorHAnsi" w:eastAsiaTheme="minorEastAsia" w:hAnsiTheme="minorHAnsi" w:cstheme="minorBidi"/>
          <w:szCs w:val="22"/>
        </w:rPr>
      </w:pPr>
      <w:r>
        <w:t>183.</w:t>
      </w:r>
      <w:r>
        <w:tab/>
        <w:t>Valuations by Board</w:t>
      </w:r>
      <w:r>
        <w:tab/>
      </w:r>
      <w:r>
        <w:fldChar w:fldCharType="begin"/>
      </w:r>
      <w:r>
        <w:instrText xml:space="preserve"> PAGEREF _Toc199322492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Division 3 — Other compensation</w:t>
      </w:r>
    </w:p>
    <w:p>
      <w:pPr>
        <w:pStyle w:val="TOC8"/>
        <w:rPr>
          <w:rFonts w:asciiTheme="minorHAnsi" w:eastAsiaTheme="minorEastAsia" w:hAnsiTheme="minorHAnsi" w:cstheme="minorBidi"/>
          <w:szCs w:val="22"/>
        </w:rPr>
      </w:pPr>
      <w:r>
        <w:t>184.</w:t>
      </w:r>
      <w:r>
        <w:tab/>
        <w:t>Betterment; compensation for expenses rendered abortive by amendment or repeal of scheme</w:t>
      </w:r>
      <w:r>
        <w:tab/>
      </w:r>
      <w:r>
        <w:fldChar w:fldCharType="begin"/>
      </w:r>
      <w:r>
        <w:instrText xml:space="preserve"> PAGEREF _Toc199322494 \h </w:instrText>
      </w:r>
      <w:r>
        <w:fldChar w:fldCharType="separate"/>
      </w:r>
      <w:r>
        <w:t>164</w:t>
      </w:r>
      <w:r>
        <w:fldChar w:fldCharType="end"/>
      </w:r>
    </w:p>
    <w:p>
      <w:pPr>
        <w:pStyle w:val="TOC8"/>
        <w:rPr>
          <w:rFonts w:asciiTheme="minorHAnsi" w:eastAsiaTheme="minorEastAsia" w:hAnsiTheme="minorHAnsi" w:cstheme="minorBidi"/>
          <w:szCs w:val="22"/>
        </w:rPr>
      </w:pPr>
      <w:r>
        <w:t>185.</w:t>
      </w:r>
      <w:r>
        <w:tab/>
        <w:t>Injurious affection due to interim development order</w:t>
      </w:r>
      <w:r>
        <w:tab/>
      </w:r>
      <w:r>
        <w:fldChar w:fldCharType="begin"/>
      </w:r>
      <w:r>
        <w:instrText xml:space="preserve"> PAGEREF _Toc199322495 \h </w:instrText>
      </w:r>
      <w:r>
        <w:fldChar w:fldCharType="separate"/>
      </w:r>
      <w:r>
        <w:t>165</w:t>
      </w:r>
      <w:r>
        <w:fldChar w:fldCharType="end"/>
      </w:r>
    </w:p>
    <w:p>
      <w:pPr>
        <w:pStyle w:val="TOC8"/>
        <w:rPr>
          <w:rFonts w:asciiTheme="minorHAnsi" w:eastAsiaTheme="minorEastAsia" w:hAnsiTheme="minorHAnsi" w:cstheme="minorBidi"/>
          <w:szCs w:val="22"/>
        </w:rPr>
      </w:pPr>
      <w:r>
        <w:t>186.</w:t>
      </w:r>
      <w:r>
        <w:tab/>
        <w:t>Injurious affection due to planning control area</w:t>
      </w:r>
      <w:r>
        <w:tab/>
      </w:r>
      <w:r>
        <w:fldChar w:fldCharType="begin"/>
      </w:r>
      <w:r>
        <w:instrText xml:space="preserve"> PAGEREF _Toc199322496 \h </w:instrText>
      </w:r>
      <w:r>
        <w:fldChar w:fldCharType="separate"/>
      </w:r>
      <w:r>
        <w:t>166</w:t>
      </w:r>
      <w:r>
        <w:fldChar w:fldCharType="end"/>
      </w:r>
    </w:p>
    <w:p>
      <w:pPr>
        <w:pStyle w:val="TOC4"/>
        <w:tabs>
          <w:tab w:val="right" w:leader="dot" w:pos="7077"/>
        </w:tabs>
        <w:rPr>
          <w:rFonts w:asciiTheme="minorHAnsi" w:eastAsiaTheme="minorEastAsia" w:hAnsiTheme="minorHAnsi" w:cstheme="minorBidi"/>
          <w:b w:val="0"/>
          <w:szCs w:val="22"/>
        </w:rPr>
      </w:pPr>
      <w:r>
        <w:t>Division 4 — Purchase or compulsory acquisition</w:t>
      </w:r>
    </w:p>
    <w:p>
      <w:pPr>
        <w:pStyle w:val="TOC8"/>
        <w:rPr>
          <w:rFonts w:asciiTheme="minorHAnsi" w:eastAsiaTheme="minorEastAsia" w:hAnsiTheme="minorHAnsi" w:cstheme="minorBidi"/>
          <w:szCs w:val="22"/>
        </w:rPr>
      </w:pPr>
      <w:r>
        <w:t>187.</w:t>
      </w:r>
      <w:r>
        <w:tab/>
        <w:t>Acquiring land in lieu of paying compensation</w:t>
      </w:r>
      <w:r>
        <w:tab/>
      </w:r>
      <w:r>
        <w:fldChar w:fldCharType="begin"/>
      </w:r>
      <w:r>
        <w:instrText xml:space="preserve"> PAGEREF _Toc199322498 \h </w:instrText>
      </w:r>
      <w:r>
        <w:fldChar w:fldCharType="separate"/>
      </w:r>
      <w:r>
        <w:t>166</w:t>
      </w:r>
      <w:r>
        <w:fldChar w:fldCharType="end"/>
      </w:r>
    </w:p>
    <w:p>
      <w:pPr>
        <w:pStyle w:val="TOC8"/>
        <w:rPr>
          <w:rFonts w:asciiTheme="minorHAnsi" w:eastAsiaTheme="minorEastAsia" w:hAnsiTheme="minorHAnsi" w:cstheme="minorBidi"/>
          <w:szCs w:val="22"/>
        </w:rPr>
      </w:pPr>
      <w:r>
        <w:t>188.</w:t>
      </w:r>
      <w:r>
        <w:tab/>
        <w:t>Land to be acquired under s. 187, valuing</w:t>
      </w:r>
      <w:r>
        <w:tab/>
      </w:r>
      <w:r>
        <w:fldChar w:fldCharType="begin"/>
      </w:r>
      <w:r>
        <w:instrText xml:space="preserve"> PAGEREF _Toc199322499 \h </w:instrText>
      </w:r>
      <w:r>
        <w:fldChar w:fldCharType="separate"/>
      </w:r>
      <w:r>
        <w:t>167</w:t>
      </w:r>
      <w:r>
        <w:fldChar w:fldCharType="end"/>
      </w:r>
    </w:p>
    <w:p>
      <w:pPr>
        <w:pStyle w:val="TOC8"/>
        <w:rPr>
          <w:rFonts w:asciiTheme="minorHAnsi" w:eastAsiaTheme="minorEastAsia" w:hAnsiTheme="minorHAnsi" w:cstheme="minorBidi"/>
          <w:szCs w:val="22"/>
        </w:rPr>
      </w:pPr>
      <w:r>
        <w:t>189.</w:t>
      </w:r>
      <w:r>
        <w:tab/>
        <w:t>Land in proposed region planning scheme, Commission may purchase</w:t>
      </w:r>
      <w:r>
        <w:tab/>
      </w:r>
      <w:r>
        <w:fldChar w:fldCharType="begin"/>
      </w:r>
      <w:r>
        <w:instrText xml:space="preserve"> PAGEREF _Toc199322500 \h </w:instrText>
      </w:r>
      <w:r>
        <w:fldChar w:fldCharType="separate"/>
      </w:r>
      <w:r>
        <w:t>168</w:t>
      </w:r>
      <w:r>
        <w:fldChar w:fldCharType="end"/>
      </w:r>
    </w:p>
    <w:p>
      <w:pPr>
        <w:pStyle w:val="TOC8"/>
        <w:rPr>
          <w:rFonts w:asciiTheme="minorHAnsi" w:eastAsiaTheme="minorEastAsia" w:hAnsiTheme="minorHAnsi" w:cstheme="minorBidi"/>
          <w:szCs w:val="22"/>
        </w:rPr>
      </w:pPr>
      <w:r>
        <w:t>190.</w:t>
      </w:r>
      <w:r>
        <w:tab/>
        <w:t>Responsible authority may purchase land for planning scheme</w:t>
      </w:r>
      <w:r>
        <w:tab/>
      </w:r>
      <w:r>
        <w:fldChar w:fldCharType="begin"/>
      </w:r>
      <w:r>
        <w:instrText xml:space="preserve"> PAGEREF _Toc199322501 \h </w:instrText>
      </w:r>
      <w:r>
        <w:fldChar w:fldCharType="separate"/>
      </w:r>
      <w:r>
        <w:t>168</w:t>
      </w:r>
      <w:r>
        <w:fldChar w:fldCharType="end"/>
      </w:r>
    </w:p>
    <w:p>
      <w:pPr>
        <w:pStyle w:val="TOC8"/>
        <w:rPr>
          <w:rFonts w:asciiTheme="minorHAnsi" w:eastAsiaTheme="minorEastAsia" w:hAnsiTheme="minorHAnsi" w:cstheme="minorBidi"/>
          <w:szCs w:val="22"/>
        </w:rPr>
      </w:pPr>
      <w:r>
        <w:t>191.</w:t>
      </w:r>
      <w:r>
        <w:tab/>
        <w:t>Compulsory acquisition of land in scheme area</w:t>
      </w:r>
      <w:r>
        <w:tab/>
      </w:r>
      <w:r>
        <w:fldChar w:fldCharType="begin"/>
      </w:r>
      <w:r>
        <w:instrText xml:space="preserve"> PAGEREF _Toc199322502 \h </w:instrText>
      </w:r>
      <w:r>
        <w:fldChar w:fldCharType="separate"/>
      </w:r>
      <w:r>
        <w:t>169</w:t>
      </w:r>
      <w:r>
        <w:fldChar w:fldCharType="end"/>
      </w:r>
    </w:p>
    <w:p>
      <w:pPr>
        <w:pStyle w:val="TOC8"/>
        <w:rPr>
          <w:rFonts w:asciiTheme="minorHAnsi" w:eastAsiaTheme="minorEastAsia" w:hAnsiTheme="minorHAnsi" w:cstheme="minorBidi"/>
          <w:szCs w:val="22"/>
        </w:rPr>
      </w:pPr>
      <w:r>
        <w:t>192.</w:t>
      </w:r>
      <w:r>
        <w:tab/>
        <w:t>Land etc. to be acquired under s. 191, valuing</w:t>
      </w:r>
      <w:r>
        <w:tab/>
      </w:r>
      <w:r>
        <w:fldChar w:fldCharType="begin"/>
      </w:r>
      <w:r>
        <w:instrText xml:space="preserve"> PAGEREF _Toc199322503 \h </w:instrText>
      </w:r>
      <w:r>
        <w:fldChar w:fldCharType="separate"/>
      </w:r>
      <w:r>
        <w:t>170</w:t>
      </w:r>
      <w:r>
        <w:fldChar w:fldCharType="end"/>
      </w:r>
    </w:p>
    <w:p>
      <w:pPr>
        <w:pStyle w:val="TOC8"/>
        <w:rPr>
          <w:rFonts w:asciiTheme="minorHAnsi" w:eastAsiaTheme="minorEastAsia" w:hAnsiTheme="minorHAnsi" w:cstheme="minorBidi"/>
          <w:szCs w:val="22"/>
        </w:rPr>
      </w:pPr>
      <w:r>
        <w:t>193.</w:t>
      </w:r>
      <w:r>
        <w:tab/>
        <w:t>Responsible authority’s powers as to acquired land</w:t>
      </w:r>
      <w:r>
        <w:tab/>
      </w:r>
      <w:r>
        <w:fldChar w:fldCharType="begin"/>
      </w:r>
      <w:r>
        <w:instrText xml:space="preserve"> PAGEREF _Toc199322504 \h </w:instrText>
      </w:r>
      <w:r>
        <w:fldChar w:fldCharType="separate"/>
      </w:r>
      <w:r>
        <w:t>171</w:t>
      </w:r>
      <w:r>
        <w:fldChar w:fldCharType="end"/>
      </w:r>
    </w:p>
    <w:p>
      <w:pPr>
        <w:pStyle w:val="TOC8"/>
        <w:rPr>
          <w:rFonts w:asciiTheme="minorHAnsi" w:eastAsiaTheme="minorEastAsia" w:hAnsiTheme="minorHAnsi" w:cstheme="minorBidi"/>
          <w:szCs w:val="22"/>
        </w:rPr>
      </w:pPr>
      <w:r>
        <w:t>194.</w:t>
      </w:r>
      <w:r>
        <w:tab/>
        <w:t>Responsible authority may grant easement over acquired land</w:t>
      </w:r>
      <w:r>
        <w:tab/>
      </w:r>
      <w:r>
        <w:fldChar w:fldCharType="begin"/>
      </w:r>
      <w:r>
        <w:instrText xml:space="preserve"> PAGEREF _Toc199322505 \h </w:instrText>
      </w:r>
      <w:r>
        <w:fldChar w:fldCharType="separate"/>
      </w:r>
      <w:r>
        <w:t>171</w:t>
      </w:r>
      <w:r>
        <w:fldChar w:fldCharType="end"/>
      </w:r>
    </w:p>
    <w:p>
      <w:pPr>
        <w:pStyle w:val="TOC8"/>
        <w:rPr>
          <w:rFonts w:asciiTheme="minorHAnsi" w:eastAsiaTheme="minorEastAsia" w:hAnsiTheme="minorHAnsi" w:cstheme="minorBidi"/>
          <w:szCs w:val="22"/>
        </w:rPr>
      </w:pPr>
      <w:r>
        <w:t>195.</w:t>
      </w:r>
      <w:r>
        <w:tab/>
        <w:t>Commission’s powers to acquire land in improvement plan</w:t>
      </w:r>
      <w:r>
        <w:tab/>
      </w:r>
      <w:r>
        <w:fldChar w:fldCharType="begin"/>
      </w:r>
      <w:r>
        <w:instrText xml:space="preserve"> PAGEREF _Toc199322506 \h </w:instrText>
      </w:r>
      <w:r>
        <w:fldChar w:fldCharType="separate"/>
      </w:r>
      <w:r>
        <w:t>172</w:t>
      </w:r>
      <w:r>
        <w:fldChar w:fldCharType="end"/>
      </w:r>
    </w:p>
    <w:p>
      <w:pPr>
        <w:pStyle w:val="TOC8"/>
        <w:rPr>
          <w:rFonts w:asciiTheme="minorHAnsi" w:eastAsiaTheme="minorEastAsia" w:hAnsiTheme="minorHAnsi" w:cstheme="minorBidi"/>
          <w:szCs w:val="22"/>
        </w:rPr>
      </w:pPr>
      <w:r>
        <w:t>196.</w:t>
      </w:r>
      <w:r>
        <w:tab/>
        <w:t>Commission may sell etc. acquired land</w:t>
      </w:r>
      <w:r>
        <w:tab/>
      </w:r>
      <w:r>
        <w:fldChar w:fldCharType="begin"/>
      </w:r>
      <w:r>
        <w:instrText xml:space="preserve"> PAGEREF _Toc199322507 \h </w:instrText>
      </w:r>
      <w:r>
        <w:fldChar w:fldCharType="separate"/>
      </w:r>
      <w:r>
        <w:t>172</w:t>
      </w:r>
      <w:r>
        <w:fldChar w:fldCharType="end"/>
      </w:r>
    </w:p>
    <w:p>
      <w:pPr>
        <w:pStyle w:val="TOC8"/>
        <w:rPr>
          <w:rFonts w:asciiTheme="minorHAnsi" w:eastAsiaTheme="minorEastAsia" w:hAnsiTheme="minorHAnsi" w:cstheme="minorBidi"/>
          <w:szCs w:val="22"/>
        </w:rPr>
      </w:pPr>
      <w:r>
        <w:t>197.</w:t>
      </w:r>
      <w:r>
        <w:tab/>
        <w:t>Declaring land for public work to be instead held etc. for region planning scheme or improvement plan</w:t>
      </w:r>
      <w:r>
        <w:tab/>
      </w:r>
      <w:r>
        <w:fldChar w:fldCharType="begin"/>
      </w:r>
      <w:r>
        <w:instrText xml:space="preserve"> PAGEREF _Toc199322508 \h </w:instrText>
      </w:r>
      <w:r>
        <w:fldChar w:fldCharType="separate"/>
      </w:r>
      <w:r>
        <w:t>173</w:t>
      </w:r>
      <w:r>
        <w:fldChar w:fldCharType="end"/>
      </w:r>
    </w:p>
    <w:p>
      <w:pPr>
        <w:pStyle w:val="TOC8"/>
        <w:rPr>
          <w:rFonts w:asciiTheme="minorHAnsi" w:eastAsiaTheme="minorEastAsia" w:hAnsiTheme="minorHAnsi" w:cstheme="minorBidi"/>
          <w:szCs w:val="22"/>
        </w:rPr>
      </w:pPr>
      <w:r>
        <w:t>197A.</w:t>
      </w:r>
      <w:r>
        <w:tab/>
        <w:t>Planning control areas</w:t>
      </w:r>
      <w:r>
        <w:tab/>
      </w:r>
      <w:r>
        <w:fldChar w:fldCharType="begin"/>
      </w:r>
      <w:r>
        <w:instrText xml:space="preserve"> PAGEREF _Toc199322509 \h </w:instrText>
      </w:r>
      <w:r>
        <w:fldChar w:fldCharType="separate"/>
      </w:r>
      <w:r>
        <w:t>174</w:t>
      </w:r>
      <w:r>
        <w:fldChar w:fldCharType="end"/>
      </w:r>
    </w:p>
    <w:p>
      <w:pPr>
        <w:pStyle w:val="TOC2"/>
        <w:tabs>
          <w:tab w:val="right" w:leader="dot" w:pos="7077"/>
        </w:tabs>
        <w:rPr>
          <w:rFonts w:asciiTheme="minorHAnsi" w:eastAsiaTheme="minorEastAsia" w:hAnsiTheme="minorHAnsi" w:cstheme="minorBidi"/>
          <w:b w:val="0"/>
          <w:sz w:val="22"/>
          <w:szCs w:val="22"/>
        </w:rPr>
      </w:pPr>
      <w:r>
        <w:t>Part 12 — Financial provisions</w:t>
      </w:r>
    </w:p>
    <w:p>
      <w:pPr>
        <w:pStyle w:val="TOC4"/>
        <w:tabs>
          <w:tab w:val="right" w:leader="dot" w:pos="7077"/>
        </w:tabs>
        <w:rPr>
          <w:rFonts w:asciiTheme="minorHAnsi" w:eastAsiaTheme="minorEastAsia" w:hAnsiTheme="minorHAnsi" w:cstheme="minorBidi"/>
          <w:b w:val="0"/>
          <w:szCs w:val="22"/>
        </w:rPr>
      </w:pPr>
      <w:r>
        <w:t>Division 1 — Metropolitan Region Improvement Fund</w:t>
      </w:r>
    </w:p>
    <w:p>
      <w:pPr>
        <w:pStyle w:val="TOC8"/>
        <w:rPr>
          <w:rFonts w:asciiTheme="minorHAnsi" w:eastAsiaTheme="minorEastAsia" w:hAnsiTheme="minorHAnsi" w:cstheme="minorBidi"/>
          <w:szCs w:val="22"/>
        </w:rPr>
      </w:pPr>
      <w:r>
        <w:t>198.</w:t>
      </w:r>
      <w:r>
        <w:tab/>
        <w:t>Metropolitan Region Improvement Account</w:t>
      </w:r>
      <w:r>
        <w:tab/>
      </w:r>
      <w:r>
        <w:fldChar w:fldCharType="begin"/>
      </w:r>
      <w:r>
        <w:instrText xml:space="preserve"> PAGEREF _Toc199322512 \h </w:instrText>
      </w:r>
      <w:r>
        <w:fldChar w:fldCharType="separate"/>
      </w:r>
      <w:r>
        <w:t>176</w:t>
      </w:r>
      <w:r>
        <w:fldChar w:fldCharType="end"/>
      </w:r>
    </w:p>
    <w:p>
      <w:pPr>
        <w:pStyle w:val="TOC8"/>
        <w:rPr>
          <w:rFonts w:asciiTheme="minorHAnsi" w:eastAsiaTheme="minorEastAsia" w:hAnsiTheme="minorHAnsi" w:cstheme="minorBidi"/>
          <w:szCs w:val="22"/>
        </w:rPr>
      </w:pPr>
      <w:r>
        <w:t>199.</w:t>
      </w:r>
      <w:r>
        <w:tab/>
        <w:t>MRI Account, application of</w:t>
      </w:r>
      <w:r>
        <w:tab/>
      </w:r>
      <w:r>
        <w:fldChar w:fldCharType="begin"/>
      </w:r>
      <w:r>
        <w:instrText xml:space="preserve"> PAGEREF _Toc199322513 \h </w:instrText>
      </w:r>
      <w:r>
        <w:fldChar w:fldCharType="separate"/>
      </w:r>
      <w:r>
        <w:t>177</w:t>
      </w:r>
      <w:r>
        <w:fldChar w:fldCharType="end"/>
      </w:r>
    </w:p>
    <w:p>
      <w:pPr>
        <w:pStyle w:val="TOC4"/>
        <w:tabs>
          <w:tab w:val="right" w:leader="dot" w:pos="7077"/>
        </w:tabs>
        <w:rPr>
          <w:rFonts w:asciiTheme="minorHAnsi" w:eastAsiaTheme="minorEastAsia" w:hAnsiTheme="minorHAnsi" w:cstheme="minorBidi"/>
          <w:b w:val="0"/>
          <w:szCs w:val="22"/>
        </w:rPr>
      </w:pPr>
      <w:r>
        <w:t>Division 2 — Metropolitan Region Improvement Tax</w:t>
      </w:r>
    </w:p>
    <w:p>
      <w:pPr>
        <w:pStyle w:val="TOC8"/>
        <w:rPr>
          <w:rFonts w:asciiTheme="minorHAnsi" w:eastAsiaTheme="minorEastAsia" w:hAnsiTheme="minorHAnsi" w:cstheme="minorBidi"/>
          <w:szCs w:val="22"/>
        </w:rPr>
      </w:pPr>
      <w:r>
        <w:t>200.</w:t>
      </w:r>
      <w:r>
        <w:tab/>
        <w:t>Owners’ liability to pay tax</w:t>
      </w:r>
      <w:r>
        <w:tab/>
      </w:r>
      <w:r>
        <w:fldChar w:fldCharType="begin"/>
      </w:r>
      <w:r>
        <w:instrText xml:space="preserve"> PAGEREF _Toc199322515 \h </w:instrText>
      </w:r>
      <w:r>
        <w:fldChar w:fldCharType="separate"/>
      </w:r>
      <w:r>
        <w:t>178</w:t>
      </w:r>
      <w:r>
        <w:fldChar w:fldCharType="end"/>
      </w:r>
    </w:p>
    <w:p>
      <w:pPr>
        <w:pStyle w:val="TOC8"/>
        <w:rPr>
          <w:rFonts w:asciiTheme="minorHAnsi" w:eastAsiaTheme="minorEastAsia" w:hAnsiTheme="minorHAnsi" w:cstheme="minorBidi"/>
          <w:szCs w:val="22"/>
        </w:rPr>
      </w:pPr>
      <w:r>
        <w:lastRenderedPageBreak/>
        <w:t>201.</w:t>
      </w:r>
      <w:r>
        <w:rPr>
          <w:vertAlign w:val="superscript"/>
        </w:rPr>
        <w:t> 1MC</w:t>
      </w:r>
      <w:r>
        <w:tab/>
        <w:t>Tax collections, how to be dealt with</w:t>
      </w:r>
      <w:r>
        <w:tab/>
      </w:r>
      <w:r>
        <w:fldChar w:fldCharType="begin"/>
      </w:r>
      <w:r>
        <w:instrText xml:space="preserve"> PAGEREF _Toc199322516 \h </w:instrText>
      </w:r>
      <w:r>
        <w:fldChar w:fldCharType="separate"/>
      </w:r>
      <w:r>
        <w:t>179</w:t>
      </w:r>
      <w:r>
        <w:fldChar w:fldCharType="end"/>
      </w:r>
    </w:p>
    <w:p>
      <w:pPr>
        <w:pStyle w:val="TOC4"/>
        <w:tabs>
          <w:tab w:val="right" w:leader="dot" w:pos="7077"/>
        </w:tabs>
        <w:rPr>
          <w:rFonts w:asciiTheme="minorHAnsi" w:eastAsiaTheme="minorEastAsia" w:hAnsiTheme="minorHAnsi" w:cstheme="minorBidi"/>
          <w:b w:val="0"/>
          <w:szCs w:val="22"/>
        </w:rPr>
      </w:pPr>
      <w:r>
        <w:t>Division 3 — Financial provisions relating to the Commission</w:t>
      </w:r>
    </w:p>
    <w:p>
      <w:pPr>
        <w:pStyle w:val="TOC8"/>
        <w:rPr>
          <w:rFonts w:asciiTheme="minorHAnsi" w:eastAsiaTheme="minorEastAsia" w:hAnsiTheme="minorHAnsi" w:cstheme="minorBidi"/>
          <w:szCs w:val="22"/>
        </w:rPr>
      </w:pPr>
      <w:r>
        <w:t>202.</w:t>
      </w:r>
      <w:r>
        <w:tab/>
        <w:t>Saving</w:t>
      </w:r>
      <w:r>
        <w:tab/>
      </w:r>
      <w:r>
        <w:fldChar w:fldCharType="begin"/>
      </w:r>
      <w:r>
        <w:instrText xml:space="preserve"> PAGEREF _Toc199322518 \h </w:instrText>
      </w:r>
      <w:r>
        <w:fldChar w:fldCharType="separate"/>
      </w:r>
      <w:r>
        <w:t>179</w:t>
      </w:r>
      <w:r>
        <w:fldChar w:fldCharType="end"/>
      </w:r>
    </w:p>
    <w:p>
      <w:pPr>
        <w:pStyle w:val="TOC8"/>
        <w:rPr>
          <w:rFonts w:asciiTheme="minorHAnsi" w:eastAsiaTheme="minorEastAsia" w:hAnsiTheme="minorHAnsi" w:cstheme="minorBidi"/>
          <w:szCs w:val="22"/>
        </w:rPr>
      </w:pPr>
      <w:r>
        <w:t>203.</w:t>
      </w:r>
      <w:r>
        <w:tab/>
        <w:t>Funds of Commission</w:t>
      </w:r>
      <w:r>
        <w:tab/>
      </w:r>
      <w:r>
        <w:fldChar w:fldCharType="begin"/>
      </w:r>
      <w:r>
        <w:instrText xml:space="preserve"> PAGEREF _Toc199322519 \h </w:instrText>
      </w:r>
      <w:r>
        <w:fldChar w:fldCharType="separate"/>
      </w:r>
      <w:r>
        <w:t>180</w:t>
      </w:r>
      <w:r>
        <w:fldChar w:fldCharType="end"/>
      </w:r>
    </w:p>
    <w:p>
      <w:pPr>
        <w:pStyle w:val="TOC8"/>
        <w:rPr>
          <w:rFonts w:asciiTheme="minorHAnsi" w:eastAsiaTheme="minorEastAsia" w:hAnsiTheme="minorHAnsi" w:cstheme="minorBidi"/>
          <w:szCs w:val="22"/>
        </w:rPr>
      </w:pPr>
      <w:r>
        <w:t>204.</w:t>
      </w:r>
      <w:r>
        <w:tab/>
        <w:t>Minister’s approval needed for some contracts and expenditure</w:t>
      </w:r>
      <w:r>
        <w:tab/>
      </w:r>
      <w:r>
        <w:fldChar w:fldCharType="begin"/>
      </w:r>
      <w:r>
        <w:instrText xml:space="preserve"> PAGEREF _Toc199322520 \h </w:instrText>
      </w:r>
      <w:r>
        <w:fldChar w:fldCharType="separate"/>
      </w:r>
      <w:r>
        <w:t>180</w:t>
      </w:r>
      <w:r>
        <w:fldChar w:fldCharType="end"/>
      </w:r>
    </w:p>
    <w:p>
      <w:pPr>
        <w:pStyle w:val="TOC8"/>
        <w:rPr>
          <w:rFonts w:asciiTheme="minorHAnsi" w:eastAsiaTheme="minorEastAsia" w:hAnsiTheme="minorHAnsi" w:cstheme="minorBidi"/>
          <w:szCs w:val="22"/>
        </w:rPr>
      </w:pPr>
      <w:r>
        <w:t>205.</w:t>
      </w:r>
      <w:r>
        <w:tab/>
        <w:t>Borrowing powers</w:t>
      </w:r>
      <w:r>
        <w:tab/>
      </w:r>
      <w:r>
        <w:fldChar w:fldCharType="begin"/>
      </w:r>
      <w:r>
        <w:instrText xml:space="preserve"> PAGEREF _Toc199322521 \h </w:instrText>
      </w:r>
      <w:r>
        <w:fldChar w:fldCharType="separate"/>
      </w:r>
      <w:r>
        <w:t>180</w:t>
      </w:r>
      <w:r>
        <w:fldChar w:fldCharType="end"/>
      </w:r>
    </w:p>
    <w:p>
      <w:pPr>
        <w:pStyle w:val="TOC8"/>
        <w:rPr>
          <w:rFonts w:asciiTheme="minorHAnsi" w:eastAsiaTheme="minorEastAsia" w:hAnsiTheme="minorHAnsi" w:cstheme="minorBidi"/>
          <w:szCs w:val="22"/>
        </w:rPr>
      </w:pPr>
      <w:r>
        <w:t>206.</w:t>
      </w:r>
      <w:r>
        <w:tab/>
        <w:t>Borrowing from Treasurer</w:t>
      </w:r>
      <w:r>
        <w:tab/>
      </w:r>
      <w:r>
        <w:fldChar w:fldCharType="begin"/>
      </w:r>
      <w:r>
        <w:instrText xml:space="preserve"> PAGEREF _Toc199322522 \h </w:instrText>
      </w:r>
      <w:r>
        <w:fldChar w:fldCharType="separate"/>
      </w:r>
      <w:r>
        <w:t>181</w:t>
      </w:r>
      <w:r>
        <w:fldChar w:fldCharType="end"/>
      </w:r>
    </w:p>
    <w:p>
      <w:pPr>
        <w:pStyle w:val="TOC8"/>
        <w:rPr>
          <w:rFonts w:asciiTheme="minorHAnsi" w:eastAsiaTheme="minorEastAsia" w:hAnsiTheme="minorHAnsi" w:cstheme="minorBidi"/>
          <w:szCs w:val="22"/>
        </w:rPr>
      </w:pPr>
      <w:r>
        <w:t>207.</w:t>
      </w:r>
      <w:r>
        <w:tab/>
        <w:t>Guarantees by Treasurer</w:t>
      </w:r>
      <w:r>
        <w:tab/>
      </w:r>
      <w:r>
        <w:fldChar w:fldCharType="begin"/>
      </w:r>
      <w:r>
        <w:instrText xml:space="preserve"> PAGEREF _Toc199322523 \h </w:instrText>
      </w:r>
      <w:r>
        <w:fldChar w:fldCharType="separate"/>
      </w:r>
      <w:r>
        <w:t>181</w:t>
      </w:r>
      <w:r>
        <w:fldChar w:fldCharType="end"/>
      </w:r>
    </w:p>
    <w:p>
      <w:pPr>
        <w:pStyle w:val="TOC8"/>
        <w:rPr>
          <w:rFonts w:asciiTheme="minorHAnsi" w:eastAsiaTheme="minorEastAsia" w:hAnsiTheme="minorHAnsi" w:cstheme="minorBidi"/>
          <w:szCs w:val="22"/>
        </w:rPr>
      </w:pPr>
      <w:r>
        <w:t>208.</w:t>
      </w:r>
      <w:r>
        <w:tab/>
      </w:r>
      <w:r>
        <w:rPr>
          <w:i/>
        </w:rPr>
        <w:t>Financial Management Act 2006</w:t>
      </w:r>
      <w:r>
        <w:t xml:space="preserve"> and </w:t>
      </w:r>
      <w:r>
        <w:rPr>
          <w:i/>
        </w:rPr>
        <w:t>Auditor General Act 2006</w:t>
      </w:r>
      <w:r>
        <w:t>, application of</w:t>
      </w:r>
      <w:r>
        <w:tab/>
      </w:r>
      <w:r>
        <w:fldChar w:fldCharType="begin"/>
      </w:r>
      <w:r>
        <w:instrText xml:space="preserve"> PAGEREF _Toc199322524 \h </w:instrText>
      </w:r>
      <w:r>
        <w:fldChar w:fldCharType="separate"/>
      </w:r>
      <w:r>
        <w:t>182</w:t>
      </w:r>
      <w:r>
        <w:fldChar w:fldCharType="end"/>
      </w:r>
    </w:p>
    <w:p>
      <w:pPr>
        <w:pStyle w:val="TOC8"/>
        <w:rPr>
          <w:rFonts w:asciiTheme="minorHAnsi" w:eastAsiaTheme="minorEastAsia" w:hAnsiTheme="minorHAnsi" w:cstheme="minorBidi"/>
          <w:szCs w:val="22"/>
        </w:rPr>
      </w:pPr>
      <w:r>
        <w:t>209.</w:t>
      </w:r>
      <w:r>
        <w:tab/>
        <w:t>Commission’s land not subject to rates etc.</w:t>
      </w:r>
      <w:r>
        <w:tab/>
      </w:r>
      <w:r>
        <w:fldChar w:fldCharType="begin"/>
      </w:r>
      <w:r>
        <w:instrText xml:space="preserve"> PAGEREF _Toc199322525 \h </w:instrText>
      </w:r>
      <w:r>
        <w:fldChar w:fldCharType="separate"/>
      </w:r>
      <w:r>
        <w:t>182</w:t>
      </w:r>
      <w:r>
        <w:fldChar w:fldCharType="end"/>
      </w:r>
    </w:p>
    <w:p>
      <w:pPr>
        <w:pStyle w:val="TOC4"/>
        <w:tabs>
          <w:tab w:val="right" w:leader="dot" w:pos="7077"/>
        </w:tabs>
        <w:rPr>
          <w:rFonts w:asciiTheme="minorHAnsi" w:eastAsiaTheme="minorEastAsia" w:hAnsiTheme="minorHAnsi" w:cstheme="minorBidi"/>
          <w:b w:val="0"/>
          <w:szCs w:val="22"/>
        </w:rPr>
      </w:pPr>
      <w:r>
        <w:t>Division 4 — Financial provisions relating to local governments</w:t>
      </w:r>
    </w:p>
    <w:p>
      <w:pPr>
        <w:pStyle w:val="TOC8"/>
        <w:rPr>
          <w:rFonts w:asciiTheme="minorHAnsi" w:eastAsiaTheme="minorEastAsia" w:hAnsiTheme="minorHAnsi" w:cstheme="minorBidi"/>
          <w:szCs w:val="22"/>
        </w:rPr>
      </w:pPr>
      <w:r>
        <w:t>210.</w:t>
      </w:r>
      <w:r>
        <w:tab/>
        <w:t>Apportioning expenses between local governments</w:t>
      </w:r>
      <w:r>
        <w:tab/>
      </w:r>
      <w:r>
        <w:fldChar w:fldCharType="begin"/>
      </w:r>
      <w:r>
        <w:instrText xml:space="preserve"> PAGEREF _Toc199322527 \h </w:instrText>
      </w:r>
      <w:r>
        <w:fldChar w:fldCharType="separate"/>
      </w:r>
      <w:r>
        <w:t>182</w:t>
      </w:r>
      <w:r>
        <w:fldChar w:fldCharType="end"/>
      </w:r>
    </w:p>
    <w:p>
      <w:pPr>
        <w:pStyle w:val="TOC2"/>
        <w:tabs>
          <w:tab w:val="right" w:leader="dot" w:pos="7077"/>
        </w:tabs>
        <w:rPr>
          <w:rFonts w:asciiTheme="minorHAnsi" w:eastAsiaTheme="minorEastAsia" w:hAnsiTheme="minorHAnsi" w:cstheme="minorBidi"/>
          <w:b w:val="0"/>
          <w:sz w:val="22"/>
          <w:szCs w:val="22"/>
        </w:rPr>
      </w:pPr>
      <w:r>
        <w:t>Part 13 — Enforcement and legal proceedings</w:t>
      </w:r>
    </w:p>
    <w:p>
      <w:pPr>
        <w:pStyle w:val="TOC4"/>
        <w:tabs>
          <w:tab w:val="right" w:leader="dot" w:pos="7077"/>
        </w:tabs>
        <w:rPr>
          <w:rFonts w:asciiTheme="minorHAnsi" w:eastAsiaTheme="minorEastAsia" w:hAnsiTheme="minorHAnsi" w:cstheme="minorBidi"/>
          <w:b w:val="0"/>
          <w:szCs w:val="22"/>
        </w:rPr>
      </w:pPr>
      <w:r>
        <w:t>Division 1 — Enforcement</w:t>
      </w:r>
    </w:p>
    <w:p>
      <w:pPr>
        <w:pStyle w:val="TOC8"/>
        <w:rPr>
          <w:rFonts w:asciiTheme="minorHAnsi" w:eastAsiaTheme="minorEastAsia" w:hAnsiTheme="minorHAnsi" w:cstheme="minorBidi"/>
          <w:szCs w:val="22"/>
        </w:rPr>
      </w:pPr>
      <w:r>
        <w:t>211.</w:t>
      </w:r>
      <w:r>
        <w:tab/>
        <w:t>Person aggrieved by local government’s omission may go to Minister; Minister’s powers</w:t>
      </w:r>
      <w:r>
        <w:tab/>
      </w:r>
      <w:r>
        <w:fldChar w:fldCharType="begin"/>
      </w:r>
      <w:r>
        <w:instrText xml:space="preserve"> PAGEREF _Toc199322530 \h </w:instrText>
      </w:r>
      <w:r>
        <w:fldChar w:fldCharType="separate"/>
      </w:r>
      <w:r>
        <w:t>184</w:t>
      </w:r>
      <w:r>
        <w:fldChar w:fldCharType="end"/>
      </w:r>
    </w:p>
    <w:p>
      <w:pPr>
        <w:pStyle w:val="TOC8"/>
        <w:rPr>
          <w:rFonts w:asciiTheme="minorHAnsi" w:eastAsiaTheme="minorEastAsia" w:hAnsiTheme="minorHAnsi" w:cstheme="minorBidi"/>
          <w:szCs w:val="22"/>
        </w:rPr>
      </w:pPr>
      <w:r>
        <w:t>212.</w:t>
      </w:r>
      <w:r>
        <w:tab/>
        <w:t>Breach of order etc. by local government, Minister’s powers as to</w:t>
      </w:r>
      <w:r>
        <w:tab/>
      </w:r>
      <w:r>
        <w:fldChar w:fldCharType="begin"/>
      </w:r>
      <w:r>
        <w:instrText xml:space="preserve"> PAGEREF _Toc199322531 \h </w:instrText>
      </w:r>
      <w:r>
        <w:fldChar w:fldCharType="separate"/>
      </w:r>
      <w:r>
        <w:t>185</w:t>
      </w:r>
      <w:r>
        <w:fldChar w:fldCharType="end"/>
      </w:r>
    </w:p>
    <w:p>
      <w:pPr>
        <w:pStyle w:val="TOC8"/>
        <w:rPr>
          <w:rFonts w:asciiTheme="minorHAnsi" w:eastAsiaTheme="minorEastAsia" w:hAnsiTheme="minorHAnsi" w:cstheme="minorBidi"/>
          <w:szCs w:val="22"/>
        </w:rPr>
      </w:pPr>
      <w:r>
        <w:t>213.</w:t>
      </w:r>
      <w:r>
        <w:tab/>
        <w:t>Minister’s action under s. 212, effect of</w:t>
      </w:r>
      <w:r>
        <w:tab/>
      </w:r>
      <w:r>
        <w:fldChar w:fldCharType="begin"/>
      </w:r>
      <w:r>
        <w:instrText xml:space="preserve"> PAGEREF _Toc199322532 \h </w:instrText>
      </w:r>
      <w:r>
        <w:fldChar w:fldCharType="separate"/>
      </w:r>
      <w:r>
        <w:t>187</w:t>
      </w:r>
      <w:r>
        <w:fldChar w:fldCharType="end"/>
      </w:r>
    </w:p>
    <w:p>
      <w:pPr>
        <w:pStyle w:val="TOC8"/>
        <w:rPr>
          <w:rFonts w:asciiTheme="minorHAnsi" w:eastAsiaTheme="minorEastAsia" w:hAnsiTheme="minorHAnsi" w:cstheme="minorBidi"/>
          <w:szCs w:val="22"/>
        </w:rPr>
      </w:pPr>
      <w:r>
        <w:t>214.</w:t>
      </w:r>
      <w:r>
        <w:tab/>
        <w:t>Illegal development, responsible authority’s powers as to</w:t>
      </w:r>
      <w:r>
        <w:tab/>
      </w:r>
      <w:r>
        <w:fldChar w:fldCharType="begin"/>
      </w:r>
      <w:r>
        <w:instrText xml:space="preserve"> PAGEREF _Toc199322533 \h </w:instrText>
      </w:r>
      <w:r>
        <w:fldChar w:fldCharType="separate"/>
      </w:r>
      <w:r>
        <w:t>188</w:t>
      </w:r>
      <w:r>
        <w:fldChar w:fldCharType="end"/>
      </w:r>
    </w:p>
    <w:p>
      <w:pPr>
        <w:pStyle w:val="TOC8"/>
        <w:rPr>
          <w:rFonts w:asciiTheme="minorHAnsi" w:eastAsiaTheme="minorEastAsia" w:hAnsiTheme="minorHAnsi" w:cstheme="minorBidi"/>
          <w:szCs w:val="22"/>
        </w:rPr>
      </w:pPr>
      <w:r>
        <w:t>215.</w:t>
      </w:r>
      <w:r>
        <w:tab/>
        <w:t>Illegal development, responsible authority’s powers to remove etc.</w:t>
      </w:r>
      <w:r>
        <w:tab/>
      </w:r>
      <w:r>
        <w:fldChar w:fldCharType="begin"/>
      </w:r>
      <w:r>
        <w:instrText xml:space="preserve"> PAGEREF _Toc199322534 \h </w:instrText>
      </w:r>
      <w:r>
        <w:fldChar w:fldCharType="separate"/>
      </w:r>
      <w:r>
        <w:t>190</w:t>
      </w:r>
      <w:r>
        <w:fldChar w:fldCharType="end"/>
      </w:r>
    </w:p>
    <w:p>
      <w:pPr>
        <w:pStyle w:val="TOC8"/>
        <w:rPr>
          <w:rFonts w:asciiTheme="minorHAnsi" w:eastAsiaTheme="minorEastAsia" w:hAnsiTheme="minorHAnsi" w:cstheme="minorBidi"/>
          <w:szCs w:val="22"/>
        </w:rPr>
      </w:pPr>
      <w:r>
        <w:t>216.</w:t>
      </w:r>
      <w:r>
        <w:tab/>
        <w:t>Breach of Act etc. or development approval, injunctions as to</w:t>
      </w:r>
      <w:r>
        <w:tab/>
      </w:r>
      <w:r>
        <w:fldChar w:fldCharType="begin"/>
      </w:r>
      <w:r>
        <w:instrText xml:space="preserve"> PAGEREF _Toc199322535 \h </w:instrText>
      </w:r>
      <w:r>
        <w:fldChar w:fldCharType="separate"/>
      </w:r>
      <w:r>
        <w:t>191</w:t>
      </w:r>
      <w:r>
        <w:fldChar w:fldCharType="end"/>
      </w:r>
    </w:p>
    <w:p>
      <w:pPr>
        <w:pStyle w:val="TOC8"/>
        <w:rPr>
          <w:rFonts w:asciiTheme="minorHAnsi" w:eastAsiaTheme="minorEastAsia" w:hAnsiTheme="minorHAnsi" w:cstheme="minorBidi"/>
          <w:szCs w:val="22"/>
        </w:rPr>
      </w:pPr>
      <w:r>
        <w:t>217.</w:t>
      </w:r>
      <w:r>
        <w:tab/>
        <w:t>Environmental conditions, Minister’s powers to enforce</w:t>
      </w:r>
      <w:r>
        <w:tab/>
      </w:r>
      <w:r>
        <w:fldChar w:fldCharType="begin"/>
      </w:r>
      <w:r>
        <w:instrText xml:space="preserve"> PAGEREF _Toc199322536 \h </w:instrText>
      </w:r>
      <w:r>
        <w:fldChar w:fldCharType="separate"/>
      </w:r>
      <w:r>
        <w:t>192</w:t>
      </w:r>
      <w:r>
        <w:fldChar w:fldCharType="end"/>
      </w:r>
    </w:p>
    <w:p>
      <w:pPr>
        <w:pStyle w:val="TOC4"/>
        <w:tabs>
          <w:tab w:val="right" w:leader="dot" w:pos="7077"/>
        </w:tabs>
        <w:rPr>
          <w:rFonts w:asciiTheme="minorHAnsi" w:eastAsiaTheme="minorEastAsia" w:hAnsiTheme="minorHAnsi" w:cstheme="minorBidi"/>
          <w:b w:val="0"/>
          <w:szCs w:val="22"/>
        </w:rPr>
      </w:pPr>
      <w:r>
        <w:t>Division 2 — Offences</w:t>
      </w:r>
    </w:p>
    <w:p>
      <w:pPr>
        <w:pStyle w:val="TOC8"/>
        <w:rPr>
          <w:rFonts w:asciiTheme="minorHAnsi" w:eastAsiaTheme="minorEastAsia" w:hAnsiTheme="minorHAnsi" w:cstheme="minorBidi"/>
          <w:szCs w:val="22"/>
        </w:rPr>
      </w:pPr>
      <w:r>
        <w:t>218.</w:t>
      </w:r>
      <w:r>
        <w:tab/>
        <w:t>Planning scheme or condition on development, contravening etc.</w:t>
      </w:r>
      <w:r>
        <w:tab/>
      </w:r>
      <w:r>
        <w:fldChar w:fldCharType="begin"/>
      </w:r>
      <w:r>
        <w:instrText xml:space="preserve"> PAGEREF _Toc199322538 \h </w:instrText>
      </w:r>
      <w:r>
        <w:fldChar w:fldCharType="separate"/>
      </w:r>
      <w:r>
        <w:t>194</w:t>
      </w:r>
      <w:r>
        <w:fldChar w:fldCharType="end"/>
      </w:r>
    </w:p>
    <w:p>
      <w:pPr>
        <w:pStyle w:val="TOC8"/>
        <w:rPr>
          <w:rFonts w:asciiTheme="minorHAnsi" w:eastAsiaTheme="minorEastAsia" w:hAnsiTheme="minorHAnsi" w:cstheme="minorBidi"/>
          <w:szCs w:val="22"/>
        </w:rPr>
      </w:pPr>
      <w:r>
        <w:t>219.</w:t>
      </w:r>
      <w:r>
        <w:tab/>
        <w:t>Unauthorised subdivision works</w:t>
      </w:r>
      <w:r>
        <w:tab/>
      </w:r>
      <w:r>
        <w:fldChar w:fldCharType="begin"/>
      </w:r>
      <w:r>
        <w:instrText xml:space="preserve"> PAGEREF _Toc199322539 \h </w:instrText>
      </w:r>
      <w:r>
        <w:fldChar w:fldCharType="separate"/>
      </w:r>
      <w:r>
        <w:t>194</w:t>
      </w:r>
      <w:r>
        <w:fldChar w:fldCharType="end"/>
      </w:r>
    </w:p>
    <w:p>
      <w:pPr>
        <w:pStyle w:val="TOC8"/>
        <w:rPr>
          <w:rFonts w:asciiTheme="minorHAnsi" w:eastAsiaTheme="minorEastAsia" w:hAnsiTheme="minorHAnsi" w:cstheme="minorBidi"/>
          <w:szCs w:val="22"/>
        </w:rPr>
      </w:pPr>
      <w:r>
        <w:t>220.</w:t>
      </w:r>
      <w:r>
        <w:tab/>
        <w:t>Planning control area, unauthorised development in</w:t>
      </w:r>
      <w:r>
        <w:tab/>
      </w:r>
      <w:r>
        <w:fldChar w:fldCharType="begin"/>
      </w:r>
      <w:r>
        <w:instrText xml:space="preserve"> PAGEREF _Toc199322540 \h </w:instrText>
      </w:r>
      <w:r>
        <w:fldChar w:fldCharType="separate"/>
      </w:r>
      <w:r>
        <w:t>195</w:t>
      </w:r>
      <w:r>
        <w:fldChar w:fldCharType="end"/>
      </w:r>
    </w:p>
    <w:p>
      <w:pPr>
        <w:pStyle w:val="TOC8"/>
        <w:rPr>
          <w:rFonts w:asciiTheme="minorHAnsi" w:eastAsiaTheme="minorEastAsia" w:hAnsiTheme="minorHAnsi" w:cstheme="minorBidi"/>
          <w:szCs w:val="22"/>
        </w:rPr>
      </w:pPr>
      <w:r>
        <w:lastRenderedPageBreak/>
        <w:t>221.</w:t>
      </w:r>
      <w:r>
        <w:tab/>
        <w:t>Interim development order, contravening</w:t>
      </w:r>
      <w:r>
        <w:tab/>
      </w:r>
      <w:r>
        <w:fldChar w:fldCharType="begin"/>
      </w:r>
      <w:r>
        <w:instrText xml:space="preserve"> PAGEREF _Toc199322541 \h </w:instrText>
      </w:r>
      <w:r>
        <w:fldChar w:fldCharType="separate"/>
      </w:r>
      <w:r>
        <w:t>195</w:t>
      </w:r>
      <w:r>
        <w:fldChar w:fldCharType="end"/>
      </w:r>
    </w:p>
    <w:p>
      <w:pPr>
        <w:pStyle w:val="TOC8"/>
        <w:rPr>
          <w:rFonts w:asciiTheme="minorHAnsi" w:eastAsiaTheme="minorEastAsia" w:hAnsiTheme="minorHAnsi" w:cstheme="minorBidi"/>
          <w:szCs w:val="22"/>
        </w:rPr>
      </w:pPr>
      <w:r>
        <w:t>222.</w:t>
      </w:r>
      <w:r>
        <w:tab/>
        <w:t>Heritage place, unauthorised development in</w:t>
      </w:r>
      <w:r>
        <w:tab/>
      </w:r>
      <w:r>
        <w:fldChar w:fldCharType="begin"/>
      </w:r>
      <w:r>
        <w:instrText xml:space="preserve"> PAGEREF _Toc199322542 \h </w:instrText>
      </w:r>
      <w:r>
        <w:fldChar w:fldCharType="separate"/>
      </w:r>
      <w:r>
        <w:t>195</w:t>
      </w:r>
      <w:r>
        <w:fldChar w:fldCharType="end"/>
      </w:r>
    </w:p>
    <w:p>
      <w:pPr>
        <w:pStyle w:val="TOC8"/>
        <w:rPr>
          <w:rFonts w:asciiTheme="minorHAnsi" w:eastAsiaTheme="minorEastAsia" w:hAnsiTheme="minorHAnsi" w:cstheme="minorBidi"/>
          <w:szCs w:val="22"/>
        </w:rPr>
      </w:pPr>
      <w:r>
        <w:t>223.</w:t>
      </w:r>
      <w:r>
        <w:tab/>
        <w:t>General penalty</w:t>
      </w:r>
      <w:r>
        <w:tab/>
      </w:r>
      <w:r>
        <w:fldChar w:fldCharType="begin"/>
      </w:r>
      <w:r>
        <w:instrText xml:space="preserve"> PAGEREF _Toc199322543 \h </w:instrText>
      </w:r>
      <w:r>
        <w:fldChar w:fldCharType="separate"/>
      </w:r>
      <w:r>
        <w:t>196</w:t>
      </w:r>
      <w:r>
        <w:fldChar w:fldCharType="end"/>
      </w:r>
    </w:p>
    <w:p>
      <w:pPr>
        <w:pStyle w:val="TOC8"/>
        <w:rPr>
          <w:rFonts w:asciiTheme="minorHAnsi" w:eastAsiaTheme="minorEastAsia" w:hAnsiTheme="minorHAnsi" w:cstheme="minorBidi"/>
          <w:szCs w:val="22"/>
        </w:rPr>
      </w:pPr>
      <w:r>
        <w:t>224.</w:t>
      </w:r>
      <w:r>
        <w:tab/>
        <w:t>Other enforcement provisions not affected</w:t>
      </w:r>
      <w:r>
        <w:tab/>
      </w:r>
      <w:r>
        <w:fldChar w:fldCharType="begin"/>
      </w:r>
      <w:r>
        <w:instrText xml:space="preserve"> PAGEREF _Toc199322544 \h </w:instrText>
      </w:r>
      <w:r>
        <w:fldChar w:fldCharType="separate"/>
      </w:r>
      <w:r>
        <w:t>196</w:t>
      </w:r>
      <w:r>
        <w:fldChar w:fldCharType="end"/>
      </w:r>
    </w:p>
    <w:p>
      <w:pPr>
        <w:pStyle w:val="TOC8"/>
        <w:rPr>
          <w:rFonts w:asciiTheme="minorHAnsi" w:eastAsiaTheme="minorEastAsia" w:hAnsiTheme="minorHAnsi" w:cstheme="minorBidi"/>
          <w:szCs w:val="22"/>
        </w:rPr>
      </w:pPr>
      <w:r>
        <w:t>225.</w:t>
      </w:r>
      <w:r>
        <w:tab/>
        <w:t>Onus of proof in vehicle offence may be shifted</w:t>
      </w:r>
      <w:r>
        <w:tab/>
      </w:r>
      <w:r>
        <w:fldChar w:fldCharType="begin"/>
      </w:r>
      <w:r>
        <w:instrText xml:space="preserve"> PAGEREF _Toc199322545 \h </w:instrText>
      </w:r>
      <w:r>
        <w:fldChar w:fldCharType="separate"/>
      </w:r>
      <w:r>
        <w:t>196</w:t>
      </w:r>
      <w:r>
        <w:fldChar w:fldCharType="end"/>
      </w:r>
    </w:p>
    <w:p>
      <w:pPr>
        <w:pStyle w:val="TOC4"/>
        <w:tabs>
          <w:tab w:val="right" w:leader="dot" w:pos="7077"/>
        </w:tabs>
        <w:rPr>
          <w:rFonts w:asciiTheme="minorHAnsi" w:eastAsiaTheme="minorEastAsia" w:hAnsiTheme="minorHAnsi" w:cstheme="minorBidi"/>
          <w:b w:val="0"/>
          <w:szCs w:val="22"/>
        </w:rPr>
      </w:pPr>
      <w:r>
        <w:t>Division 3 — Infringement notices</w:t>
      </w:r>
    </w:p>
    <w:p>
      <w:pPr>
        <w:pStyle w:val="TOC8"/>
        <w:rPr>
          <w:rFonts w:asciiTheme="minorHAnsi" w:eastAsiaTheme="minorEastAsia" w:hAnsiTheme="minorHAnsi" w:cstheme="minorBidi"/>
          <w:szCs w:val="22"/>
        </w:rPr>
      </w:pPr>
      <w:r>
        <w:t>226.</w:t>
      </w:r>
      <w:r>
        <w:tab/>
        <w:t>Terms used</w:t>
      </w:r>
      <w:r>
        <w:tab/>
      </w:r>
      <w:r>
        <w:fldChar w:fldCharType="begin"/>
      </w:r>
      <w:r>
        <w:instrText xml:space="preserve"> PAGEREF _Toc199322547 \h </w:instrText>
      </w:r>
      <w:r>
        <w:fldChar w:fldCharType="separate"/>
      </w:r>
      <w:r>
        <w:t>198</w:t>
      </w:r>
      <w:r>
        <w:fldChar w:fldCharType="end"/>
      </w:r>
    </w:p>
    <w:p>
      <w:pPr>
        <w:pStyle w:val="TOC8"/>
        <w:rPr>
          <w:rFonts w:asciiTheme="minorHAnsi" w:eastAsiaTheme="minorEastAsia" w:hAnsiTheme="minorHAnsi" w:cstheme="minorBidi"/>
          <w:szCs w:val="22"/>
        </w:rPr>
      </w:pPr>
      <w:r>
        <w:t>227.</w:t>
      </w:r>
      <w:r>
        <w:tab/>
        <w:t>Prescribed offences</w:t>
      </w:r>
      <w:r>
        <w:tab/>
      </w:r>
      <w:r>
        <w:fldChar w:fldCharType="begin"/>
      </w:r>
      <w:r>
        <w:instrText xml:space="preserve"> PAGEREF _Toc199322548 \h </w:instrText>
      </w:r>
      <w:r>
        <w:fldChar w:fldCharType="separate"/>
      </w:r>
      <w:r>
        <w:t>198</w:t>
      </w:r>
      <w:r>
        <w:fldChar w:fldCharType="end"/>
      </w:r>
    </w:p>
    <w:p>
      <w:pPr>
        <w:pStyle w:val="TOC8"/>
        <w:rPr>
          <w:rFonts w:asciiTheme="minorHAnsi" w:eastAsiaTheme="minorEastAsia" w:hAnsiTheme="minorHAnsi" w:cstheme="minorBidi"/>
          <w:szCs w:val="22"/>
        </w:rPr>
      </w:pPr>
      <w:r>
        <w:t>228.</w:t>
      </w:r>
      <w:r>
        <w:tab/>
        <w:t>Giving of infringement notice</w:t>
      </w:r>
      <w:r>
        <w:tab/>
      </w:r>
      <w:r>
        <w:fldChar w:fldCharType="begin"/>
      </w:r>
      <w:r>
        <w:instrText xml:space="preserve"> PAGEREF _Toc199322549 \h </w:instrText>
      </w:r>
      <w:r>
        <w:fldChar w:fldCharType="separate"/>
      </w:r>
      <w:r>
        <w:t>198</w:t>
      </w:r>
      <w:r>
        <w:fldChar w:fldCharType="end"/>
      </w:r>
    </w:p>
    <w:p>
      <w:pPr>
        <w:pStyle w:val="TOC8"/>
        <w:rPr>
          <w:rFonts w:asciiTheme="minorHAnsi" w:eastAsiaTheme="minorEastAsia" w:hAnsiTheme="minorHAnsi" w:cstheme="minorBidi"/>
          <w:szCs w:val="22"/>
        </w:rPr>
      </w:pPr>
      <w:r>
        <w:t>229.</w:t>
      </w:r>
      <w:r>
        <w:tab/>
        <w:t>Content of infringement notice</w:t>
      </w:r>
      <w:r>
        <w:tab/>
      </w:r>
      <w:r>
        <w:fldChar w:fldCharType="begin"/>
      </w:r>
      <w:r>
        <w:instrText xml:space="preserve"> PAGEREF _Toc199322550 \h </w:instrText>
      </w:r>
      <w:r>
        <w:fldChar w:fldCharType="separate"/>
      </w:r>
      <w:r>
        <w:t>199</w:t>
      </w:r>
      <w:r>
        <w:fldChar w:fldCharType="end"/>
      </w:r>
    </w:p>
    <w:p>
      <w:pPr>
        <w:pStyle w:val="TOC8"/>
        <w:rPr>
          <w:rFonts w:asciiTheme="minorHAnsi" w:eastAsiaTheme="minorEastAsia" w:hAnsiTheme="minorHAnsi" w:cstheme="minorBidi"/>
          <w:szCs w:val="22"/>
        </w:rPr>
      </w:pPr>
      <w:r>
        <w:t>230.</w:t>
      </w:r>
      <w:r>
        <w:tab/>
        <w:t>Extending time to pay modified penalty</w:t>
      </w:r>
      <w:r>
        <w:tab/>
      </w:r>
      <w:r>
        <w:fldChar w:fldCharType="begin"/>
      </w:r>
      <w:r>
        <w:instrText xml:space="preserve"> PAGEREF _Toc199322551 \h </w:instrText>
      </w:r>
      <w:r>
        <w:fldChar w:fldCharType="separate"/>
      </w:r>
      <w:r>
        <w:t>199</w:t>
      </w:r>
      <w:r>
        <w:fldChar w:fldCharType="end"/>
      </w:r>
    </w:p>
    <w:p>
      <w:pPr>
        <w:pStyle w:val="TOC8"/>
        <w:rPr>
          <w:rFonts w:asciiTheme="minorHAnsi" w:eastAsiaTheme="minorEastAsia" w:hAnsiTheme="minorHAnsi" w:cstheme="minorBidi"/>
          <w:szCs w:val="22"/>
        </w:rPr>
      </w:pPr>
      <w:r>
        <w:t>231.</w:t>
      </w:r>
      <w:r>
        <w:tab/>
        <w:t>Withdrawal of infringement notice</w:t>
      </w:r>
      <w:r>
        <w:tab/>
      </w:r>
      <w:r>
        <w:fldChar w:fldCharType="begin"/>
      </w:r>
      <w:r>
        <w:instrText xml:space="preserve"> PAGEREF _Toc199322552 \h </w:instrText>
      </w:r>
      <w:r>
        <w:fldChar w:fldCharType="separate"/>
      </w:r>
      <w:r>
        <w:t>199</w:t>
      </w:r>
      <w:r>
        <w:fldChar w:fldCharType="end"/>
      </w:r>
    </w:p>
    <w:p>
      <w:pPr>
        <w:pStyle w:val="TOC8"/>
        <w:rPr>
          <w:rFonts w:asciiTheme="minorHAnsi" w:eastAsiaTheme="minorEastAsia" w:hAnsiTheme="minorHAnsi" w:cstheme="minorBidi"/>
          <w:szCs w:val="22"/>
        </w:rPr>
      </w:pPr>
      <w:r>
        <w:t>232.</w:t>
      </w:r>
      <w:r>
        <w:tab/>
        <w:t>Benefit of paying modified penalty</w:t>
      </w:r>
      <w:r>
        <w:tab/>
      </w:r>
      <w:r>
        <w:fldChar w:fldCharType="begin"/>
      </w:r>
      <w:r>
        <w:instrText xml:space="preserve"> PAGEREF _Toc199322553 \h </w:instrText>
      </w:r>
      <w:r>
        <w:fldChar w:fldCharType="separate"/>
      </w:r>
      <w:r>
        <w:t>200</w:t>
      </w:r>
      <w:r>
        <w:fldChar w:fldCharType="end"/>
      </w:r>
    </w:p>
    <w:p>
      <w:pPr>
        <w:pStyle w:val="TOC8"/>
        <w:rPr>
          <w:rFonts w:asciiTheme="minorHAnsi" w:eastAsiaTheme="minorEastAsia" w:hAnsiTheme="minorHAnsi" w:cstheme="minorBidi"/>
          <w:szCs w:val="22"/>
        </w:rPr>
      </w:pPr>
      <w:r>
        <w:t>233.</w:t>
      </w:r>
      <w:r>
        <w:tab/>
        <w:t>Paid modified penalty, application of</w:t>
      </w:r>
      <w:r>
        <w:tab/>
      </w:r>
      <w:r>
        <w:fldChar w:fldCharType="begin"/>
      </w:r>
      <w:r>
        <w:instrText xml:space="preserve"> PAGEREF _Toc199322554 \h </w:instrText>
      </w:r>
      <w:r>
        <w:fldChar w:fldCharType="separate"/>
      </w:r>
      <w:r>
        <w:t>200</w:t>
      </w:r>
      <w:r>
        <w:fldChar w:fldCharType="end"/>
      </w:r>
    </w:p>
    <w:p>
      <w:pPr>
        <w:pStyle w:val="TOC8"/>
        <w:rPr>
          <w:rFonts w:asciiTheme="minorHAnsi" w:eastAsiaTheme="minorEastAsia" w:hAnsiTheme="minorHAnsi" w:cstheme="minorBidi"/>
          <w:szCs w:val="22"/>
        </w:rPr>
      </w:pPr>
      <w:r>
        <w:t>234.</w:t>
      </w:r>
      <w:r>
        <w:tab/>
        <w:t>Designated persons, appointment of</w:t>
      </w:r>
      <w:r>
        <w:tab/>
      </w:r>
      <w:r>
        <w:fldChar w:fldCharType="begin"/>
      </w:r>
      <w:r>
        <w:instrText xml:space="preserve"> PAGEREF _Toc199322555 \h </w:instrText>
      </w:r>
      <w:r>
        <w:fldChar w:fldCharType="separate"/>
      </w:r>
      <w:r>
        <w:t>200</w:t>
      </w:r>
      <w:r>
        <w:fldChar w:fldCharType="end"/>
      </w:r>
    </w:p>
    <w:p>
      <w:pPr>
        <w:pStyle w:val="TOC8"/>
        <w:rPr>
          <w:rFonts w:asciiTheme="minorHAnsi" w:eastAsiaTheme="minorEastAsia" w:hAnsiTheme="minorHAnsi" w:cstheme="minorBidi"/>
          <w:szCs w:val="22"/>
        </w:rPr>
      </w:pPr>
      <w:r>
        <w:t>235.</w:t>
      </w:r>
      <w:r>
        <w:tab/>
        <w:t>Notice placing onus on vehicle owner</w:t>
      </w:r>
      <w:r>
        <w:tab/>
      </w:r>
      <w:r>
        <w:fldChar w:fldCharType="begin"/>
      </w:r>
      <w:r>
        <w:instrText xml:space="preserve"> PAGEREF _Toc199322556 \h </w:instrText>
      </w:r>
      <w:r>
        <w:fldChar w:fldCharType="separate"/>
      </w:r>
      <w:r>
        <w:t>200</w:t>
      </w:r>
      <w:r>
        <w:fldChar w:fldCharType="end"/>
      </w:r>
    </w:p>
    <w:p>
      <w:pPr>
        <w:pStyle w:val="TOC2"/>
        <w:tabs>
          <w:tab w:val="right" w:leader="dot" w:pos="7077"/>
        </w:tabs>
        <w:rPr>
          <w:rFonts w:asciiTheme="minorHAnsi" w:eastAsiaTheme="minorEastAsia" w:hAnsiTheme="minorHAnsi" w:cstheme="minorBidi"/>
          <w:b w:val="0"/>
          <w:sz w:val="22"/>
          <w:szCs w:val="22"/>
        </w:rPr>
      </w:pPr>
      <w:r>
        <w:t>Part 14 — Applications for review</w:t>
      </w:r>
    </w:p>
    <w:p>
      <w:pPr>
        <w:pStyle w:val="TOC4"/>
        <w:tabs>
          <w:tab w:val="right" w:leader="dot" w:pos="7077"/>
        </w:tabs>
        <w:rPr>
          <w:rFonts w:asciiTheme="minorHAnsi" w:eastAsiaTheme="minorEastAsia" w:hAnsiTheme="minorHAnsi" w:cstheme="minorBidi"/>
          <w:b w:val="0"/>
          <w:szCs w:val="22"/>
        </w:rPr>
      </w:pPr>
      <w:r>
        <w:t>Division 1 — Making and determination of applications for review</w:t>
      </w:r>
    </w:p>
    <w:p>
      <w:pPr>
        <w:pStyle w:val="TOC8"/>
        <w:rPr>
          <w:rFonts w:asciiTheme="minorHAnsi" w:eastAsiaTheme="minorEastAsia" w:hAnsiTheme="minorHAnsi" w:cstheme="minorBidi"/>
          <w:szCs w:val="22"/>
        </w:rPr>
      </w:pPr>
      <w:r>
        <w:t>236.</w:t>
      </w:r>
      <w:r>
        <w:tab/>
        <w:t>When this Part applies</w:t>
      </w:r>
      <w:r>
        <w:tab/>
      </w:r>
      <w:r>
        <w:fldChar w:fldCharType="begin"/>
      </w:r>
      <w:r>
        <w:instrText xml:space="preserve"> PAGEREF _Toc199322559 \h </w:instrText>
      </w:r>
      <w:r>
        <w:fldChar w:fldCharType="separate"/>
      </w:r>
      <w:r>
        <w:t>202</w:t>
      </w:r>
      <w:r>
        <w:fldChar w:fldCharType="end"/>
      </w:r>
    </w:p>
    <w:p>
      <w:pPr>
        <w:pStyle w:val="TOC8"/>
        <w:rPr>
          <w:rFonts w:asciiTheme="minorHAnsi" w:eastAsiaTheme="minorEastAsia" w:hAnsiTheme="minorHAnsi" w:cstheme="minorBidi"/>
          <w:szCs w:val="22"/>
        </w:rPr>
      </w:pPr>
      <w:r>
        <w:t>237.</w:t>
      </w:r>
      <w:r>
        <w:tab/>
        <w:t>Terms used</w:t>
      </w:r>
      <w:r>
        <w:tab/>
      </w:r>
      <w:r>
        <w:fldChar w:fldCharType="begin"/>
      </w:r>
      <w:r>
        <w:instrText xml:space="preserve"> PAGEREF _Toc199322560 \h </w:instrText>
      </w:r>
      <w:r>
        <w:fldChar w:fldCharType="separate"/>
      </w:r>
      <w:r>
        <w:t>203</w:t>
      </w:r>
      <w:r>
        <w:fldChar w:fldCharType="end"/>
      </w:r>
    </w:p>
    <w:p>
      <w:pPr>
        <w:pStyle w:val="TOC8"/>
        <w:rPr>
          <w:rFonts w:asciiTheme="minorHAnsi" w:eastAsiaTheme="minorEastAsia" w:hAnsiTheme="minorHAnsi" w:cstheme="minorBidi"/>
          <w:szCs w:val="22"/>
        </w:rPr>
      </w:pPr>
      <w:r>
        <w:t>237A.</w:t>
      </w:r>
      <w:r>
        <w:tab/>
        <w:t>How SAT to be constituted</w:t>
      </w:r>
      <w:r>
        <w:tab/>
      </w:r>
      <w:r>
        <w:fldChar w:fldCharType="begin"/>
      </w:r>
      <w:r>
        <w:instrText xml:space="preserve"> PAGEREF _Toc199322561 \h </w:instrText>
      </w:r>
      <w:r>
        <w:fldChar w:fldCharType="separate"/>
      </w:r>
      <w:r>
        <w:t>203</w:t>
      </w:r>
      <w:r>
        <w:fldChar w:fldCharType="end"/>
      </w:r>
    </w:p>
    <w:p>
      <w:pPr>
        <w:pStyle w:val="TOC8"/>
        <w:rPr>
          <w:rFonts w:asciiTheme="minorHAnsi" w:eastAsiaTheme="minorEastAsia" w:hAnsiTheme="minorHAnsi" w:cstheme="minorBidi"/>
          <w:szCs w:val="22"/>
        </w:rPr>
      </w:pPr>
      <w:r>
        <w:t>238.</w:t>
      </w:r>
      <w:r>
        <w:tab/>
        <w:t>SAT members, qualifications of</w:t>
      </w:r>
      <w:r>
        <w:tab/>
      </w:r>
      <w:r>
        <w:fldChar w:fldCharType="begin"/>
      </w:r>
      <w:r>
        <w:instrText xml:space="preserve"> PAGEREF _Toc199322562 \h </w:instrText>
      </w:r>
      <w:r>
        <w:fldChar w:fldCharType="separate"/>
      </w:r>
      <w:r>
        <w:t>204</w:t>
      </w:r>
      <w:r>
        <w:fldChar w:fldCharType="end"/>
      </w:r>
    </w:p>
    <w:p>
      <w:pPr>
        <w:pStyle w:val="TOC8"/>
        <w:rPr>
          <w:rFonts w:asciiTheme="minorHAnsi" w:eastAsiaTheme="minorEastAsia" w:hAnsiTheme="minorHAnsi" w:cstheme="minorBidi"/>
          <w:szCs w:val="22"/>
        </w:rPr>
      </w:pPr>
      <w:r>
        <w:t>239.</w:t>
      </w:r>
      <w:r>
        <w:tab/>
        <w:t>Legal representation, some applicants may elect there will be none</w:t>
      </w:r>
      <w:r>
        <w:tab/>
      </w:r>
      <w:r>
        <w:fldChar w:fldCharType="begin"/>
      </w:r>
      <w:r>
        <w:instrText xml:space="preserve"> PAGEREF _Toc199322563 \h </w:instrText>
      </w:r>
      <w:r>
        <w:fldChar w:fldCharType="separate"/>
      </w:r>
      <w:r>
        <w:t>204</w:t>
      </w:r>
      <w:r>
        <w:fldChar w:fldCharType="end"/>
      </w:r>
    </w:p>
    <w:p>
      <w:pPr>
        <w:pStyle w:val="TOC8"/>
        <w:rPr>
          <w:rFonts w:asciiTheme="minorHAnsi" w:eastAsiaTheme="minorEastAsia" w:hAnsiTheme="minorHAnsi" w:cstheme="minorBidi"/>
          <w:szCs w:val="22"/>
        </w:rPr>
      </w:pPr>
      <w:r>
        <w:t>240.</w:t>
      </w:r>
      <w:r>
        <w:tab/>
        <w:t>SAT to invite Minister for the Environment to make submission before determining certain applications</w:t>
      </w:r>
      <w:r>
        <w:tab/>
      </w:r>
      <w:r>
        <w:fldChar w:fldCharType="begin"/>
      </w:r>
      <w:r>
        <w:instrText xml:space="preserve"> PAGEREF _Toc199322564 \h </w:instrText>
      </w:r>
      <w:r>
        <w:fldChar w:fldCharType="separate"/>
      </w:r>
      <w:r>
        <w:t>205</w:t>
      </w:r>
      <w:r>
        <w:fldChar w:fldCharType="end"/>
      </w:r>
    </w:p>
    <w:p>
      <w:pPr>
        <w:pStyle w:val="TOC8"/>
        <w:rPr>
          <w:rFonts w:asciiTheme="minorHAnsi" w:eastAsiaTheme="minorEastAsia" w:hAnsiTheme="minorHAnsi" w:cstheme="minorBidi"/>
          <w:szCs w:val="22"/>
        </w:rPr>
      </w:pPr>
      <w:r>
        <w:t>241.</w:t>
      </w:r>
      <w:r>
        <w:tab/>
        <w:t>SAT to have regard to certain matters</w:t>
      </w:r>
      <w:r>
        <w:tab/>
      </w:r>
      <w:r>
        <w:fldChar w:fldCharType="begin"/>
      </w:r>
      <w:r>
        <w:instrText xml:space="preserve"> PAGEREF _Toc199322565 \h </w:instrText>
      </w:r>
      <w:r>
        <w:fldChar w:fldCharType="separate"/>
      </w:r>
      <w:r>
        <w:t>205</w:t>
      </w:r>
      <w:r>
        <w:fldChar w:fldCharType="end"/>
      </w:r>
    </w:p>
    <w:p>
      <w:pPr>
        <w:pStyle w:val="TOC8"/>
        <w:rPr>
          <w:rFonts w:asciiTheme="minorHAnsi" w:eastAsiaTheme="minorEastAsia" w:hAnsiTheme="minorHAnsi" w:cstheme="minorBidi"/>
          <w:szCs w:val="22"/>
        </w:rPr>
      </w:pPr>
      <w:r>
        <w:t>242.</w:t>
      </w:r>
      <w:r>
        <w:tab/>
        <w:t>Persons who are not parties, submissions from</w:t>
      </w:r>
      <w:r>
        <w:tab/>
      </w:r>
      <w:r>
        <w:fldChar w:fldCharType="begin"/>
      </w:r>
      <w:r>
        <w:instrText xml:space="preserve"> PAGEREF _Toc199322566 \h </w:instrText>
      </w:r>
      <w:r>
        <w:fldChar w:fldCharType="separate"/>
      </w:r>
      <w:r>
        <w:t>206</w:t>
      </w:r>
      <w:r>
        <w:fldChar w:fldCharType="end"/>
      </w:r>
    </w:p>
    <w:p>
      <w:pPr>
        <w:pStyle w:val="TOC8"/>
        <w:rPr>
          <w:rFonts w:asciiTheme="minorHAnsi" w:eastAsiaTheme="minorEastAsia" w:hAnsiTheme="minorHAnsi" w:cstheme="minorBidi"/>
          <w:szCs w:val="22"/>
        </w:rPr>
      </w:pPr>
      <w:r>
        <w:t>243.</w:t>
      </w:r>
      <w:r>
        <w:tab/>
        <w:t>Exclusion of powers to join parties</w:t>
      </w:r>
      <w:r>
        <w:tab/>
      </w:r>
      <w:r>
        <w:fldChar w:fldCharType="begin"/>
      </w:r>
      <w:r>
        <w:instrText xml:space="preserve"> PAGEREF _Toc199322567 \h </w:instrText>
      </w:r>
      <w:r>
        <w:fldChar w:fldCharType="separate"/>
      </w:r>
      <w:r>
        <w:t>207</w:t>
      </w:r>
      <w:r>
        <w:fldChar w:fldCharType="end"/>
      </w:r>
    </w:p>
    <w:p>
      <w:pPr>
        <w:pStyle w:val="TOC8"/>
        <w:rPr>
          <w:rFonts w:asciiTheme="minorHAnsi" w:eastAsiaTheme="minorEastAsia" w:hAnsiTheme="minorHAnsi" w:cstheme="minorBidi"/>
          <w:szCs w:val="22"/>
        </w:rPr>
      </w:pPr>
      <w:r>
        <w:t>244.</w:t>
      </w:r>
      <w:r>
        <w:tab/>
        <w:t>SAT review of some SAT decisions</w:t>
      </w:r>
      <w:r>
        <w:tab/>
      </w:r>
      <w:r>
        <w:fldChar w:fldCharType="begin"/>
      </w:r>
      <w:r>
        <w:instrText xml:space="preserve"> PAGEREF _Toc199322568 \h </w:instrText>
      </w:r>
      <w:r>
        <w:fldChar w:fldCharType="separate"/>
      </w:r>
      <w:r>
        <w:t>207</w:t>
      </w:r>
      <w:r>
        <w:fldChar w:fldCharType="end"/>
      </w:r>
    </w:p>
    <w:p>
      <w:pPr>
        <w:pStyle w:val="TOC8"/>
        <w:rPr>
          <w:rFonts w:asciiTheme="minorHAnsi" w:eastAsiaTheme="minorEastAsia" w:hAnsiTheme="minorHAnsi" w:cstheme="minorBidi"/>
          <w:szCs w:val="22"/>
        </w:rPr>
      </w:pPr>
      <w:r>
        <w:t>245.</w:t>
      </w:r>
      <w:r>
        <w:tab/>
        <w:t>Submissions by Minister to SAT</w:t>
      </w:r>
      <w:r>
        <w:tab/>
      </w:r>
      <w:r>
        <w:fldChar w:fldCharType="begin"/>
      </w:r>
      <w:r>
        <w:instrText xml:space="preserve"> PAGEREF _Toc199322569 \h </w:instrText>
      </w:r>
      <w:r>
        <w:fldChar w:fldCharType="separate"/>
      </w:r>
      <w:r>
        <w:t>208</w:t>
      </w:r>
      <w:r>
        <w:fldChar w:fldCharType="end"/>
      </w:r>
    </w:p>
    <w:p>
      <w:pPr>
        <w:pStyle w:val="TOC8"/>
        <w:rPr>
          <w:rFonts w:asciiTheme="minorHAnsi" w:eastAsiaTheme="minorEastAsia" w:hAnsiTheme="minorHAnsi" w:cstheme="minorBidi"/>
          <w:szCs w:val="22"/>
        </w:rPr>
      </w:pPr>
      <w:r>
        <w:t>246.</w:t>
      </w:r>
      <w:r>
        <w:tab/>
        <w:t>Minister may call in application to SAT for review</w:t>
      </w:r>
      <w:r>
        <w:tab/>
      </w:r>
      <w:r>
        <w:fldChar w:fldCharType="begin"/>
      </w:r>
      <w:r>
        <w:instrText xml:space="preserve"> PAGEREF _Toc199322570 \h </w:instrText>
      </w:r>
      <w:r>
        <w:fldChar w:fldCharType="separate"/>
      </w:r>
      <w:r>
        <w:t>209</w:t>
      </w:r>
      <w:r>
        <w:fldChar w:fldCharType="end"/>
      </w:r>
    </w:p>
    <w:p>
      <w:pPr>
        <w:pStyle w:val="TOC8"/>
        <w:rPr>
          <w:rFonts w:asciiTheme="minorHAnsi" w:eastAsiaTheme="minorEastAsia" w:hAnsiTheme="minorHAnsi" w:cstheme="minorBidi"/>
          <w:szCs w:val="22"/>
        </w:rPr>
      </w:pPr>
      <w:r>
        <w:t>247.</w:t>
      </w:r>
      <w:r>
        <w:tab/>
        <w:t>Determination of application by Minister</w:t>
      </w:r>
      <w:r>
        <w:tab/>
      </w:r>
      <w:r>
        <w:fldChar w:fldCharType="begin"/>
      </w:r>
      <w:r>
        <w:instrText xml:space="preserve"> PAGEREF _Toc199322571 \h </w:instrText>
      </w:r>
      <w:r>
        <w:fldChar w:fldCharType="separate"/>
      </w:r>
      <w:r>
        <w:t>210</w:t>
      </w:r>
      <w:r>
        <w:fldChar w:fldCharType="end"/>
      </w:r>
    </w:p>
    <w:p>
      <w:pPr>
        <w:pStyle w:val="TOC4"/>
        <w:tabs>
          <w:tab w:val="right" w:leader="dot" w:pos="7077"/>
        </w:tabs>
        <w:rPr>
          <w:rFonts w:asciiTheme="minorHAnsi" w:eastAsiaTheme="minorEastAsia" w:hAnsiTheme="minorHAnsi" w:cstheme="minorBidi"/>
          <w:b w:val="0"/>
          <w:szCs w:val="22"/>
        </w:rPr>
      </w:pPr>
      <w:r>
        <w:t>Division 2 — Decisions which may be reviewed</w:t>
      </w:r>
    </w:p>
    <w:p>
      <w:pPr>
        <w:pStyle w:val="TOC8"/>
        <w:rPr>
          <w:rFonts w:asciiTheme="minorHAnsi" w:eastAsiaTheme="minorEastAsia" w:hAnsiTheme="minorHAnsi" w:cstheme="minorBidi"/>
          <w:szCs w:val="22"/>
        </w:rPr>
      </w:pPr>
      <w:r>
        <w:t>249.</w:t>
      </w:r>
      <w:r>
        <w:tab/>
        <w:t>Decision as to development under interim development order</w:t>
      </w:r>
      <w:r>
        <w:tab/>
      </w:r>
      <w:r>
        <w:fldChar w:fldCharType="begin"/>
      </w:r>
      <w:r>
        <w:instrText xml:space="preserve"> PAGEREF _Toc199322573 \h </w:instrText>
      </w:r>
      <w:r>
        <w:fldChar w:fldCharType="separate"/>
      </w:r>
      <w:r>
        <w:t>211</w:t>
      </w:r>
      <w:r>
        <w:fldChar w:fldCharType="end"/>
      </w:r>
    </w:p>
    <w:p>
      <w:pPr>
        <w:pStyle w:val="TOC8"/>
        <w:rPr>
          <w:rFonts w:asciiTheme="minorHAnsi" w:eastAsiaTheme="minorEastAsia" w:hAnsiTheme="minorHAnsi" w:cstheme="minorBidi"/>
          <w:szCs w:val="22"/>
        </w:rPr>
      </w:pPr>
      <w:r>
        <w:lastRenderedPageBreak/>
        <w:t>250.</w:t>
      </w:r>
      <w:r>
        <w:tab/>
        <w:t>Decision as to development in planning control area</w:t>
      </w:r>
      <w:r>
        <w:tab/>
      </w:r>
      <w:r>
        <w:fldChar w:fldCharType="begin"/>
      </w:r>
      <w:r>
        <w:instrText xml:space="preserve"> PAGEREF _Toc199322574 \h </w:instrText>
      </w:r>
      <w:r>
        <w:fldChar w:fldCharType="separate"/>
      </w:r>
      <w:r>
        <w:t>212</w:t>
      </w:r>
      <w:r>
        <w:fldChar w:fldCharType="end"/>
      </w:r>
    </w:p>
    <w:p>
      <w:pPr>
        <w:pStyle w:val="TOC8"/>
        <w:rPr>
          <w:rFonts w:asciiTheme="minorHAnsi" w:eastAsiaTheme="minorEastAsia" w:hAnsiTheme="minorHAnsi" w:cstheme="minorBidi"/>
          <w:szCs w:val="22"/>
        </w:rPr>
      </w:pPr>
      <w:r>
        <w:t>251.</w:t>
      </w:r>
      <w:r>
        <w:tab/>
        <w:t>Some decisions made under Part 10</w:t>
      </w:r>
      <w:r>
        <w:tab/>
      </w:r>
      <w:r>
        <w:fldChar w:fldCharType="begin"/>
      </w:r>
      <w:r>
        <w:instrText xml:space="preserve"> PAGEREF _Toc199322575 \h </w:instrText>
      </w:r>
      <w:r>
        <w:fldChar w:fldCharType="separate"/>
      </w:r>
      <w:r>
        <w:t>212</w:t>
      </w:r>
      <w:r>
        <w:fldChar w:fldCharType="end"/>
      </w:r>
    </w:p>
    <w:p>
      <w:pPr>
        <w:pStyle w:val="TOC8"/>
        <w:rPr>
          <w:rFonts w:asciiTheme="minorHAnsi" w:eastAsiaTheme="minorEastAsia" w:hAnsiTheme="minorHAnsi" w:cstheme="minorBidi"/>
          <w:szCs w:val="22"/>
        </w:rPr>
      </w:pPr>
      <w:r>
        <w:t>252.</w:t>
      </w:r>
      <w:r>
        <w:tab/>
        <w:t>Decision made in exercise of discretionary power under planning scheme</w:t>
      </w:r>
      <w:r>
        <w:tab/>
      </w:r>
      <w:r>
        <w:fldChar w:fldCharType="begin"/>
      </w:r>
      <w:r>
        <w:instrText xml:space="preserve"> PAGEREF _Toc199322576 \h </w:instrText>
      </w:r>
      <w:r>
        <w:fldChar w:fldCharType="separate"/>
      </w:r>
      <w:r>
        <w:t>213</w:t>
      </w:r>
      <w:r>
        <w:fldChar w:fldCharType="end"/>
      </w:r>
    </w:p>
    <w:p>
      <w:pPr>
        <w:pStyle w:val="TOC8"/>
        <w:rPr>
          <w:rFonts w:asciiTheme="minorHAnsi" w:eastAsiaTheme="minorEastAsia" w:hAnsiTheme="minorHAnsi" w:cstheme="minorBidi"/>
          <w:szCs w:val="22"/>
        </w:rPr>
      </w:pPr>
      <w:r>
        <w:t>253.</w:t>
      </w:r>
      <w:r>
        <w:tab/>
        <w:t>Failure of responsible authority to make decision within decision period</w:t>
      </w:r>
      <w:r>
        <w:tab/>
      </w:r>
      <w:r>
        <w:fldChar w:fldCharType="begin"/>
      </w:r>
      <w:r>
        <w:instrText xml:space="preserve"> PAGEREF _Toc199322577 \h </w:instrText>
      </w:r>
      <w:r>
        <w:fldChar w:fldCharType="separate"/>
      </w:r>
      <w:r>
        <w:t>214</w:t>
      </w:r>
      <w:r>
        <w:fldChar w:fldCharType="end"/>
      </w:r>
    </w:p>
    <w:p>
      <w:pPr>
        <w:pStyle w:val="TOC4"/>
        <w:tabs>
          <w:tab w:val="right" w:leader="dot" w:pos="7077"/>
        </w:tabs>
        <w:rPr>
          <w:rFonts w:asciiTheme="minorHAnsi" w:eastAsiaTheme="minorEastAsia" w:hAnsiTheme="minorHAnsi" w:cstheme="minorBidi"/>
          <w:b w:val="0"/>
          <w:szCs w:val="22"/>
        </w:rPr>
      </w:pPr>
      <w:r>
        <w:t>Division 3 — Other applications for review</w:t>
      </w:r>
    </w:p>
    <w:p>
      <w:pPr>
        <w:pStyle w:val="TOC8"/>
        <w:rPr>
          <w:rFonts w:asciiTheme="minorHAnsi" w:eastAsiaTheme="minorEastAsia" w:hAnsiTheme="minorHAnsi" w:cstheme="minorBidi"/>
          <w:szCs w:val="22"/>
        </w:rPr>
      </w:pPr>
      <w:r>
        <w:t>254.</w:t>
      </w:r>
      <w:r>
        <w:tab/>
        <w:t>Decision made under EP Act s. 48I</w:t>
      </w:r>
      <w:r>
        <w:tab/>
      </w:r>
      <w:r>
        <w:fldChar w:fldCharType="begin"/>
      </w:r>
      <w:r>
        <w:instrText xml:space="preserve"> PAGEREF _Toc199322579 \h </w:instrText>
      </w:r>
      <w:r>
        <w:fldChar w:fldCharType="separate"/>
      </w:r>
      <w:r>
        <w:t>216</w:t>
      </w:r>
      <w:r>
        <w:fldChar w:fldCharType="end"/>
      </w:r>
    </w:p>
    <w:p>
      <w:pPr>
        <w:pStyle w:val="TOC8"/>
        <w:rPr>
          <w:rFonts w:asciiTheme="minorHAnsi" w:eastAsiaTheme="minorEastAsia" w:hAnsiTheme="minorHAnsi" w:cstheme="minorBidi"/>
          <w:szCs w:val="22"/>
        </w:rPr>
      </w:pPr>
      <w:r>
        <w:t>255.</w:t>
      </w:r>
      <w:r>
        <w:tab/>
        <w:t>Direction given under s. 214</w:t>
      </w:r>
      <w:r>
        <w:tab/>
      </w:r>
      <w:r>
        <w:fldChar w:fldCharType="begin"/>
      </w:r>
      <w:r>
        <w:instrText xml:space="preserve"> PAGEREF _Toc199322580 \h </w:instrText>
      </w:r>
      <w:r>
        <w:fldChar w:fldCharType="separate"/>
      </w:r>
      <w:r>
        <w:t>216</w:t>
      </w:r>
      <w:r>
        <w:fldChar w:fldCharType="end"/>
      </w:r>
    </w:p>
    <w:p>
      <w:pPr>
        <w:pStyle w:val="TOC2"/>
        <w:tabs>
          <w:tab w:val="right" w:leader="dot" w:pos="7077"/>
        </w:tabs>
        <w:rPr>
          <w:rFonts w:asciiTheme="minorHAnsi" w:eastAsiaTheme="minorEastAsia" w:hAnsiTheme="minorHAnsi" w:cstheme="minorBidi"/>
          <w:b w:val="0"/>
          <w:sz w:val="22"/>
          <w:szCs w:val="22"/>
        </w:rPr>
      </w:pPr>
      <w:r>
        <w:t>Part 15 — Subsidiary legislation</w:t>
      </w:r>
    </w:p>
    <w:p>
      <w:pPr>
        <w:pStyle w:val="TOC8"/>
        <w:rPr>
          <w:rFonts w:asciiTheme="minorHAnsi" w:eastAsiaTheme="minorEastAsia" w:hAnsiTheme="minorHAnsi" w:cstheme="minorBidi"/>
          <w:szCs w:val="22"/>
        </w:rPr>
      </w:pPr>
      <w:r>
        <w:t>256.</w:t>
      </w:r>
      <w:r>
        <w:tab/>
        <w:t>Regulations for content of local planning schemes</w:t>
      </w:r>
      <w:r>
        <w:tab/>
      </w:r>
      <w:r>
        <w:fldChar w:fldCharType="begin"/>
      </w:r>
      <w:r>
        <w:instrText xml:space="preserve"> PAGEREF _Toc199322582 \h </w:instrText>
      </w:r>
      <w:r>
        <w:fldChar w:fldCharType="separate"/>
      </w:r>
      <w:r>
        <w:t>217</w:t>
      </w:r>
      <w:r>
        <w:fldChar w:fldCharType="end"/>
      </w:r>
    </w:p>
    <w:p>
      <w:pPr>
        <w:pStyle w:val="TOC8"/>
        <w:rPr>
          <w:rFonts w:asciiTheme="minorHAnsi" w:eastAsiaTheme="minorEastAsia" w:hAnsiTheme="minorHAnsi" w:cstheme="minorBidi"/>
          <w:szCs w:val="22"/>
        </w:rPr>
      </w:pPr>
      <w:r>
        <w:t>257A.</w:t>
      </w:r>
      <w:r>
        <w:tab/>
        <w:t>Model provisions, effect of</w:t>
      </w:r>
      <w:r>
        <w:tab/>
      </w:r>
      <w:r>
        <w:fldChar w:fldCharType="begin"/>
      </w:r>
      <w:r>
        <w:instrText xml:space="preserve"> PAGEREF _Toc199322583 \h </w:instrText>
      </w:r>
      <w:r>
        <w:fldChar w:fldCharType="separate"/>
      </w:r>
      <w:r>
        <w:t>218</w:t>
      </w:r>
      <w:r>
        <w:fldChar w:fldCharType="end"/>
      </w:r>
    </w:p>
    <w:p>
      <w:pPr>
        <w:pStyle w:val="TOC8"/>
        <w:rPr>
          <w:rFonts w:asciiTheme="minorHAnsi" w:eastAsiaTheme="minorEastAsia" w:hAnsiTheme="minorHAnsi" w:cstheme="minorBidi"/>
          <w:szCs w:val="22"/>
        </w:rPr>
      </w:pPr>
      <w:r>
        <w:t>257B.</w:t>
      </w:r>
      <w:r>
        <w:tab/>
        <w:t>Deemed provisions, effect of</w:t>
      </w:r>
      <w:r>
        <w:tab/>
      </w:r>
      <w:r>
        <w:fldChar w:fldCharType="begin"/>
      </w:r>
      <w:r>
        <w:instrText xml:space="preserve"> PAGEREF _Toc199322584 \h </w:instrText>
      </w:r>
      <w:r>
        <w:fldChar w:fldCharType="separate"/>
      </w:r>
      <w:r>
        <w:t>219</w:t>
      </w:r>
      <w:r>
        <w:fldChar w:fldCharType="end"/>
      </w:r>
    </w:p>
    <w:p>
      <w:pPr>
        <w:pStyle w:val="TOC8"/>
        <w:rPr>
          <w:rFonts w:asciiTheme="minorHAnsi" w:eastAsiaTheme="minorEastAsia" w:hAnsiTheme="minorHAnsi" w:cstheme="minorBidi"/>
          <w:szCs w:val="22"/>
        </w:rPr>
      </w:pPr>
      <w:r>
        <w:t>258.</w:t>
      </w:r>
      <w:r>
        <w:tab/>
        <w:t>Regulations for procedure and costs for local planning schemes</w:t>
      </w:r>
      <w:r>
        <w:tab/>
      </w:r>
      <w:r>
        <w:fldChar w:fldCharType="begin"/>
      </w:r>
      <w:r>
        <w:instrText xml:space="preserve"> PAGEREF _Toc199322585 \h </w:instrText>
      </w:r>
      <w:r>
        <w:fldChar w:fldCharType="separate"/>
      </w:r>
      <w:r>
        <w:t>219</w:t>
      </w:r>
      <w:r>
        <w:fldChar w:fldCharType="end"/>
      </w:r>
    </w:p>
    <w:p>
      <w:pPr>
        <w:pStyle w:val="TOC8"/>
        <w:rPr>
          <w:rFonts w:asciiTheme="minorHAnsi" w:eastAsiaTheme="minorEastAsia" w:hAnsiTheme="minorHAnsi" w:cstheme="minorBidi"/>
          <w:szCs w:val="22"/>
        </w:rPr>
      </w:pPr>
      <w:r>
        <w:t>258A.</w:t>
      </w:r>
      <w:r>
        <w:tab/>
        <w:t>Regulations as to procedure and costs for region planning schemes</w:t>
      </w:r>
      <w:r>
        <w:tab/>
      </w:r>
      <w:r>
        <w:fldChar w:fldCharType="begin"/>
      </w:r>
      <w:r>
        <w:instrText xml:space="preserve"> PAGEREF _Toc199322586 \h </w:instrText>
      </w:r>
      <w:r>
        <w:fldChar w:fldCharType="separate"/>
      </w:r>
      <w:r>
        <w:t>221</w:t>
      </w:r>
      <w:r>
        <w:fldChar w:fldCharType="end"/>
      </w:r>
    </w:p>
    <w:p>
      <w:pPr>
        <w:pStyle w:val="TOC8"/>
        <w:rPr>
          <w:rFonts w:asciiTheme="minorHAnsi" w:eastAsiaTheme="minorEastAsia" w:hAnsiTheme="minorHAnsi" w:cstheme="minorBidi"/>
          <w:szCs w:val="22"/>
        </w:rPr>
      </w:pPr>
      <w:r>
        <w:t>259.</w:t>
      </w:r>
      <w:r>
        <w:tab/>
        <w:t>Regulations for environmental review expenses</w:t>
      </w:r>
      <w:r>
        <w:tab/>
      </w:r>
      <w:r>
        <w:fldChar w:fldCharType="begin"/>
      </w:r>
      <w:r>
        <w:instrText xml:space="preserve"> PAGEREF _Toc199322587 \h </w:instrText>
      </w:r>
      <w:r>
        <w:fldChar w:fldCharType="separate"/>
      </w:r>
      <w:r>
        <w:t>221</w:t>
      </w:r>
      <w:r>
        <w:fldChar w:fldCharType="end"/>
      </w:r>
    </w:p>
    <w:p>
      <w:pPr>
        <w:pStyle w:val="TOC8"/>
        <w:rPr>
          <w:rFonts w:asciiTheme="minorHAnsi" w:eastAsiaTheme="minorEastAsia" w:hAnsiTheme="minorHAnsi" w:cstheme="minorBidi"/>
          <w:szCs w:val="22"/>
        </w:rPr>
      </w:pPr>
      <w:r>
        <w:t>261.</w:t>
      </w:r>
      <w:r>
        <w:tab/>
        <w:t>Local government fees for planning matters etc., regulations as to</w:t>
      </w:r>
      <w:r>
        <w:tab/>
      </w:r>
      <w:r>
        <w:fldChar w:fldCharType="begin"/>
      </w:r>
      <w:r>
        <w:instrText xml:space="preserve"> PAGEREF _Toc199322588 \h </w:instrText>
      </w:r>
      <w:r>
        <w:fldChar w:fldCharType="separate"/>
      </w:r>
      <w:r>
        <w:t>222</w:t>
      </w:r>
      <w:r>
        <w:fldChar w:fldCharType="end"/>
      </w:r>
    </w:p>
    <w:p>
      <w:pPr>
        <w:pStyle w:val="TOC8"/>
        <w:rPr>
          <w:rFonts w:asciiTheme="minorHAnsi" w:eastAsiaTheme="minorEastAsia" w:hAnsiTheme="minorHAnsi" w:cstheme="minorBidi"/>
          <w:szCs w:val="22"/>
        </w:rPr>
      </w:pPr>
      <w:r>
        <w:t>262.</w:t>
      </w:r>
      <w:r>
        <w:tab/>
        <w:t>Uniform general local laws</w:t>
      </w:r>
      <w:r>
        <w:tab/>
      </w:r>
      <w:r>
        <w:fldChar w:fldCharType="begin"/>
      </w:r>
      <w:r>
        <w:instrText xml:space="preserve"> PAGEREF _Toc199322589 \h </w:instrText>
      </w:r>
      <w:r>
        <w:fldChar w:fldCharType="separate"/>
      </w:r>
      <w:r>
        <w:t>223</w:t>
      </w:r>
      <w:r>
        <w:fldChar w:fldCharType="end"/>
      </w:r>
    </w:p>
    <w:p>
      <w:pPr>
        <w:pStyle w:val="TOC8"/>
        <w:rPr>
          <w:rFonts w:asciiTheme="minorHAnsi" w:eastAsiaTheme="minorEastAsia" w:hAnsiTheme="minorHAnsi" w:cstheme="minorBidi"/>
          <w:szCs w:val="22"/>
        </w:rPr>
      </w:pPr>
      <w:r>
        <w:t>263.</w:t>
      </w:r>
      <w:r>
        <w:tab/>
        <w:t>Regulations: general</w:t>
      </w:r>
      <w:r>
        <w:tab/>
      </w:r>
      <w:r>
        <w:fldChar w:fldCharType="begin"/>
      </w:r>
      <w:r>
        <w:instrText xml:space="preserve"> PAGEREF _Toc199322590 \h </w:instrText>
      </w:r>
      <w:r>
        <w:fldChar w:fldCharType="separate"/>
      </w:r>
      <w:r>
        <w:t>224</w:t>
      </w:r>
      <w:r>
        <w:fldChar w:fldCharType="end"/>
      </w:r>
    </w:p>
    <w:p>
      <w:pPr>
        <w:pStyle w:val="TOC8"/>
        <w:rPr>
          <w:rFonts w:asciiTheme="minorHAnsi" w:eastAsiaTheme="minorEastAsia" w:hAnsiTheme="minorHAnsi" w:cstheme="minorBidi"/>
          <w:szCs w:val="22"/>
        </w:rPr>
      </w:pPr>
      <w:r>
        <w:t>264.</w:t>
      </w:r>
      <w:r>
        <w:tab/>
        <w:t>Regulations may adopt codes and other texts</w:t>
      </w:r>
      <w:r>
        <w:tab/>
      </w:r>
      <w:r>
        <w:fldChar w:fldCharType="begin"/>
      </w:r>
      <w:r>
        <w:instrText xml:space="preserve"> PAGEREF _Toc199322591 \h </w:instrText>
      </w:r>
      <w:r>
        <w:fldChar w:fldCharType="separate"/>
      </w:r>
      <w:r>
        <w:t>226</w:t>
      </w:r>
      <w:r>
        <w:fldChar w:fldCharType="end"/>
      </w:r>
    </w:p>
    <w:p>
      <w:pPr>
        <w:pStyle w:val="TOC2"/>
        <w:tabs>
          <w:tab w:val="right" w:leader="dot" w:pos="7077"/>
        </w:tabs>
        <w:rPr>
          <w:rFonts w:asciiTheme="minorHAnsi" w:eastAsiaTheme="minorEastAsia" w:hAnsiTheme="minorHAnsi" w:cstheme="minorBidi"/>
          <w:b w:val="0"/>
          <w:sz w:val="22"/>
          <w:szCs w:val="22"/>
        </w:rPr>
      </w:pPr>
      <w:r>
        <w:t>Part 16 — Miscellaneous</w:t>
      </w:r>
    </w:p>
    <w:p>
      <w:pPr>
        <w:pStyle w:val="TOC8"/>
        <w:rPr>
          <w:rFonts w:asciiTheme="minorHAnsi" w:eastAsiaTheme="minorEastAsia" w:hAnsiTheme="minorHAnsi" w:cstheme="minorBidi"/>
          <w:szCs w:val="22"/>
        </w:rPr>
      </w:pPr>
      <w:r>
        <w:t>265.</w:t>
      </w:r>
      <w:r>
        <w:tab/>
        <w:t>Delegation by Minister</w:t>
      </w:r>
      <w:r>
        <w:tab/>
      </w:r>
      <w:r>
        <w:fldChar w:fldCharType="begin"/>
      </w:r>
      <w:r>
        <w:instrText xml:space="preserve"> PAGEREF _Toc199322593 \h </w:instrText>
      </w:r>
      <w:r>
        <w:fldChar w:fldCharType="separate"/>
      </w:r>
      <w:r>
        <w:t>227</w:t>
      </w:r>
      <w:r>
        <w:fldChar w:fldCharType="end"/>
      </w:r>
    </w:p>
    <w:p>
      <w:pPr>
        <w:pStyle w:val="TOC8"/>
        <w:rPr>
          <w:rFonts w:asciiTheme="minorHAnsi" w:eastAsiaTheme="minorEastAsia" w:hAnsiTheme="minorHAnsi" w:cstheme="minorBidi"/>
          <w:szCs w:val="22"/>
        </w:rPr>
      </w:pPr>
      <w:r>
        <w:t>266.</w:t>
      </w:r>
      <w:r>
        <w:tab/>
        <w:t xml:space="preserve">Duties and liabilities of persons performing functions under this Act or </w:t>
      </w:r>
      <w:r>
        <w:rPr>
          <w:i/>
        </w:rPr>
        <w:t>Swan Valley Planning Act 2020</w:t>
      </w:r>
      <w:r>
        <w:tab/>
      </w:r>
      <w:r>
        <w:fldChar w:fldCharType="begin"/>
      </w:r>
      <w:r>
        <w:instrText xml:space="preserve"> PAGEREF _Toc199322594 \h </w:instrText>
      </w:r>
      <w:r>
        <w:fldChar w:fldCharType="separate"/>
      </w:r>
      <w:r>
        <w:t>227</w:t>
      </w:r>
      <w:r>
        <w:fldChar w:fldCharType="end"/>
      </w:r>
    </w:p>
    <w:p>
      <w:pPr>
        <w:pStyle w:val="TOC8"/>
        <w:rPr>
          <w:rFonts w:asciiTheme="minorHAnsi" w:eastAsiaTheme="minorEastAsia" w:hAnsiTheme="minorHAnsi" w:cstheme="minorBidi"/>
          <w:szCs w:val="22"/>
        </w:rPr>
      </w:pPr>
      <w:r>
        <w:t>267A.</w:t>
      </w:r>
      <w:r>
        <w:tab/>
        <w:t>Crown and State land, who may sign documents as to</w:t>
      </w:r>
      <w:r>
        <w:tab/>
      </w:r>
      <w:r>
        <w:fldChar w:fldCharType="begin"/>
      </w:r>
      <w:r>
        <w:instrText xml:space="preserve"> PAGEREF _Toc199322595 \h </w:instrText>
      </w:r>
      <w:r>
        <w:fldChar w:fldCharType="separate"/>
      </w:r>
      <w:r>
        <w:t>229</w:t>
      </w:r>
      <w:r>
        <w:fldChar w:fldCharType="end"/>
      </w:r>
    </w:p>
    <w:p>
      <w:pPr>
        <w:pStyle w:val="TOC8"/>
        <w:rPr>
          <w:rFonts w:asciiTheme="minorHAnsi" w:eastAsiaTheme="minorEastAsia" w:hAnsiTheme="minorHAnsi" w:cstheme="minorBidi"/>
          <w:szCs w:val="22"/>
        </w:rPr>
      </w:pPr>
      <w:r>
        <w:t>267B.</w:t>
      </w:r>
      <w:r>
        <w:tab/>
        <w:t>Electronic planning maps</w:t>
      </w:r>
      <w:r>
        <w:tab/>
      </w:r>
      <w:r>
        <w:fldChar w:fldCharType="begin"/>
      </w:r>
      <w:r>
        <w:instrText xml:space="preserve"> PAGEREF _Toc199322596 \h </w:instrText>
      </w:r>
      <w:r>
        <w:fldChar w:fldCharType="separate"/>
      </w:r>
      <w:r>
        <w:t>230</w:t>
      </w:r>
      <w:r>
        <w:fldChar w:fldCharType="end"/>
      </w:r>
    </w:p>
    <w:p>
      <w:pPr>
        <w:pStyle w:val="TOC8"/>
        <w:rPr>
          <w:rFonts w:asciiTheme="minorHAnsi" w:eastAsiaTheme="minorEastAsia" w:hAnsiTheme="minorHAnsi" w:cstheme="minorBidi"/>
          <w:szCs w:val="22"/>
        </w:rPr>
      </w:pPr>
      <w:r>
        <w:t>267C.</w:t>
      </w:r>
      <w:r>
        <w:tab/>
        <w:t>Certified copies of electronic planning maps</w:t>
      </w:r>
      <w:r>
        <w:tab/>
      </w:r>
      <w:r>
        <w:fldChar w:fldCharType="begin"/>
      </w:r>
      <w:r>
        <w:instrText xml:space="preserve"> PAGEREF _Toc199322597 \h </w:instrText>
      </w:r>
      <w:r>
        <w:fldChar w:fldCharType="separate"/>
      </w:r>
      <w:r>
        <w:t>231</w:t>
      </w:r>
      <w:r>
        <w:fldChar w:fldCharType="end"/>
      </w:r>
    </w:p>
    <w:p>
      <w:pPr>
        <w:pStyle w:val="TOC8"/>
        <w:rPr>
          <w:rFonts w:asciiTheme="minorHAnsi" w:eastAsiaTheme="minorEastAsia" w:hAnsiTheme="minorHAnsi" w:cstheme="minorBidi"/>
          <w:szCs w:val="22"/>
        </w:rPr>
      </w:pPr>
      <w:r>
        <w:t>267.</w:t>
      </w:r>
      <w:r>
        <w:tab/>
        <w:t>Protection from personal liability</w:t>
      </w:r>
      <w:r>
        <w:tab/>
      </w:r>
      <w:r>
        <w:fldChar w:fldCharType="begin"/>
      </w:r>
      <w:r>
        <w:instrText xml:space="preserve"> PAGEREF _Toc199322598 \h </w:instrText>
      </w:r>
      <w:r>
        <w:fldChar w:fldCharType="separate"/>
      </w:r>
      <w:r>
        <w:t>232</w:t>
      </w:r>
      <w:r>
        <w:fldChar w:fldCharType="end"/>
      </w:r>
    </w:p>
    <w:p>
      <w:pPr>
        <w:pStyle w:val="TOC8"/>
        <w:rPr>
          <w:rFonts w:asciiTheme="minorHAnsi" w:eastAsiaTheme="minorEastAsia" w:hAnsiTheme="minorHAnsi" w:cstheme="minorBidi"/>
          <w:szCs w:val="22"/>
        </w:rPr>
      </w:pPr>
      <w:r>
        <w:t>268A.</w:t>
      </w:r>
      <w:r>
        <w:tab/>
        <w:t>Laying documents before House of Parliament that is not sitting</w:t>
      </w:r>
      <w:r>
        <w:tab/>
      </w:r>
      <w:r>
        <w:fldChar w:fldCharType="begin"/>
      </w:r>
      <w:r>
        <w:instrText xml:space="preserve"> PAGEREF _Toc199322599 \h </w:instrText>
      </w:r>
      <w:r>
        <w:fldChar w:fldCharType="separate"/>
      </w:r>
      <w:r>
        <w:t>232</w:t>
      </w:r>
      <w:r>
        <w:fldChar w:fldCharType="end"/>
      </w:r>
    </w:p>
    <w:p>
      <w:pPr>
        <w:pStyle w:val="TOC8"/>
        <w:rPr>
          <w:rFonts w:asciiTheme="minorHAnsi" w:eastAsiaTheme="minorEastAsia" w:hAnsiTheme="minorHAnsi" w:cstheme="minorBidi"/>
          <w:szCs w:val="22"/>
        </w:rPr>
      </w:pPr>
      <w:r>
        <w:t>268.</w:t>
      </w:r>
      <w:r>
        <w:tab/>
        <w:t>Review of Act</w:t>
      </w:r>
      <w:r>
        <w:tab/>
      </w:r>
      <w:r>
        <w:fldChar w:fldCharType="begin"/>
      </w:r>
      <w:r>
        <w:instrText xml:space="preserve"> PAGEREF _Toc199322600 \h </w:instrText>
      </w:r>
      <w:r>
        <w:fldChar w:fldCharType="separate"/>
      </w:r>
      <w:r>
        <w:t>233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17 — Special provisions for COVID</w:t>
      </w:r>
      <w:r>
        <w:noBreakHyphen/>
        <w:t>19 pandemic relating to development applications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269.</w:t>
      </w:r>
      <w:r>
        <w:tab/>
        <w:t>Terms used</w:t>
      </w:r>
      <w:r>
        <w:tab/>
      </w:r>
      <w:r>
        <w:fldChar w:fldCharType="begin"/>
      </w:r>
      <w:r>
        <w:instrText xml:space="preserve"> PAGEREF _Toc199322603 \h </w:instrText>
      </w:r>
      <w:r>
        <w:fldChar w:fldCharType="separate"/>
      </w:r>
      <w:r>
        <w:t>234</w:t>
      </w:r>
      <w:r>
        <w:fldChar w:fldCharType="end"/>
      </w:r>
    </w:p>
    <w:p>
      <w:pPr>
        <w:pStyle w:val="TOC8"/>
        <w:rPr>
          <w:rFonts w:asciiTheme="minorHAnsi" w:eastAsiaTheme="minorEastAsia" w:hAnsiTheme="minorHAnsi" w:cstheme="minorBidi"/>
          <w:szCs w:val="22"/>
        </w:rPr>
      </w:pPr>
      <w:r>
        <w:t>270.</w:t>
      </w:r>
      <w:r>
        <w:tab/>
        <w:t>Effect of Part</w:t>
      </w:r>
      <w:r>
        <w:tab/>
      </w:r>
      <w:r>
        <w:fldChar w:fldCharType="begin"/>
      </w:r>
      <w:r>
        <w:instrText xml:space="preserve"> PAGEREF _Toc199322604 \h </w:instrText>
      </w:r>
      <w:r>
        <w:fldChar w:fldCharType="separate"/>
      </w:r>
      <w:r>
        <w:t>237</w:t>
      </w:r>
      <w:r>
        <w:fldChar w:fldCharType="end"/>
      </w:r>
    </w:p>
    <w:p>
      <w:pPr>
        <w:pStyle w:val="TOC4"/>
        <w:tabs>
          <w:tab w:val="right" w:leader="dot" w:pos="7077"/>
        </w:tabs>
        <w:rPr>
          <w:rFonts w:asciiTheme="minorHAnsi" w:eastAsiaTheme="minorEastAsia" w:hAnsiTheme="minorHAnsi" w:cstheme="minorBidi"/>
          <w:b w:val="0"/>
          <w:szCs w:val="22"/>
        </w:rPr>
      </w:pPr>
      <w:r>
        <w:t>Division 2 — Commission to determine certain development applications</w:t>
      </w:r>
    </w:p>
    <w:p>
      <w:pPr>
        <w:pStyle w:val="TOC6"/>
        <w:tabs>
          <w:tab w:val="right" w:leader="dot" w:pos="7077"/>
        </w:tabs>
        <w:rPr>
          <w:rFonts w:asciiTheme="minorHAnsi" w:eastAsiaTheme="minorEastAsia" w:hAnsiTheme="minorHAnsi" w:cstheme="minorBidi"/>
          <w:b w:val="0"/>
          <w:sz w:val="22"/>
          <w:szCs w:val="22"/>
        </w:rPr>
      </w:pPr>
      <w:r>
        <w:t>Subdivision 1 — Applications and referrals</w:t>
      </w:r>
    </w:p>
    <w:p>
      <w:pPr>
        <w:pStyle w:val="TOC8"/>
        <w:rPr>
          <w:rFonts w:asciiTheme="minorHAnsi" w:eastAsiaTheme="minorEastAsia" w:hAnsiTheme="minorHAnsi" w:cstheme="minorBidi"/>
          <w:szCs w:val="22"/>
        </w:rPr>
      </w:pPr>
      <w:r>
        <w:t>271.</w:t>
      </w:r>
      <w:r>
        <w:tab/>
        <w:t>Development applications that may be made directly to Commission during recovery period or extended recovery period</w:t>
      </w:r>
      <w:r>
        <w:tab/>
      </w:r>
      <w:r>
        <w:fldChar w:fldCharType="begin"/>
      </w:r>
      <w:r>
        <w:instrText xml:space="preserve"> PAGEREF _Toc199322607 \h </w:instrText>
      </w:r>
      <w:r>
        <w:fldChar w:fldCharType="separate"/>
      </w:r>
      <w:r>
        <w:t>238</w:t>
      </w:r>
      <w:r>
        <w:fldChar w:fldCharType="end"/>
      </w:r>
    </w:p>
    <w:p>
      <w:pPr>
        <w:pStyle w:val="TOC8"/>
        <w:rPr>
          <w:rFonts w:asciiTheme="minorHAnsi" w:eastAsiaTheme="minorEastAsia" w:hAnsiTheme="minorHAnsi" w:cstheme="minorBidi"/>
          <w:szCs w:val="22"/>
        </w:rPr>
      </w:pPr>
      <w:r>
        <w:t>272.</w:t>
      </w:r>
      <w:r>
        <w:tab/>
        <w:t>Development applications that may be referred to Commission by Premier during recovery period or extended recovery period</w:t>
      </w:r>
      <w:r>
        <w:tab/>
      </w:r>
      <w:r>
        <w:fldChar w:fldCharType="begin"/>
      </w:r>
      <w:r>
        <w:instrText xml:space="preserve"> PAGEREF _Toc199322608 \h </w:instrText>
      </w:r>
      <w:r>
        <w:fldChar w:fldCharType="separate"/>
      </w:r>
      <w:r>
        <w:t>238</w:t>
      </w:r>
      <w:r>
        <w:fldChar w:fldCharType="end"/>
      </w:r>
    </w:p>
    <w:p>
      <w:pPr>
        <w:pStyle w:val="TOC8"/>
        <w:rPr>
          <w:rFonts w:asciiTheme="minorHAnsi" w:eastAsiaTheme="minorEastAsia" w:hAnsiTheme="minorHAnsi" w:cstheme="minorBidi"/>
          <w:szCs w:val="22"/>
        </w:rPr>
      </w:pPr>
      <w:r>
        <w:t>273.</w:t>
      </w:r>
      <w:r>
        <w:tab/>
        <w:t>Supplementary provisions for applications and referrals</w:t>
      </w:r>
      <w:r>
        <w:tab/>
      </w:r>
      <w:r>
        <w:fldChar w:fldCharType="begin"/>
      </w:r>
      <w:r>
        <w:instrText xml:space="preserve"> PAGEREF _Toc199322609 \h </w:instrText>
      </w:r>
      <w:r>
        <w:fldChar w:fldCharType="separate"/>
      </w:r>
      <w:r>
        <w:t>240</w:t>
      </w:r>
      <w:r>
        <w:fldChar w:fldCharType="end"/>
      </w:r>
    </w:p>
    <w:p>
      <w:pPr>
        <w:pStyle w:val="TOC6"/>
        <w:tabs>
          <w:tab w:val="right" w:leader="dot" w:pos="7077"/>
        </w:tabs>
        <w:rPr>
          <w:rFonts w:asciiTheme="minorHAnsi" w:eastAsiaTheme="minorEastAsia" w:hAnsiTheme="minorHAnsi" w:cstheme="minorBidi"/>
          <w:b w:val="0"/>
          <w:sz w:val="22"/>
          <w:szCs w:val="22"/>
        </w:rPr>
      </w:pPr>
      <w:r>
        <w:t>Subdivision 2 — Determinations</w:t>
      </w:r>
    </w:p>
    <w:p>
      <w:pPr>
        <w:pStyle w:val="TOC8"/>
        <w:rPr>
          <w:rFonts w:asciiTheme="minorHAnsi" w:eastAsiaTheme="minorEastAsia" w:hAnsiTheme="minorHAnsi" w:cstheme="minorBidi"/>
          <w:szCs w:val="22"/>
        </w:rPr>
      </w:pPr>
      <w:r>
        <w:t>274.</w:t>
      </w:r>
      <w:r>
        <w:tab/>
        <w:t>Determination of development applications by Commission</w:t>
      </w:r>
      <w:r>
        <w:tab/>
      </w:r>
      <w:r>
        <w:fldChar w:fldCharType="begin"/>
      </w:r>
      <w:r>
        <w:instrText xml:space="preserve"> PAGEREF _Toc199322611 \h </w:instrText>
      </w:r>
      <w:r>
        <w:fldChar w:fldCharType="separate"/>
      </w:r>
      <w:r>
        <w:t>241</w:t>
      </w:r>
      <w:r>
        <w:fldChar w:fldCharType="end"/>
      </w:r>
    </w:p>
    <w:p>
      <w:pPr>
        <w:pStyle w:val="TOC8"/>
        <w:rPr>
          <w:rFonts w:asciiTheme="minorHAnsi" w:eastAsiaTheme="minorEastAsia" w:hAnsiTheme="minorHAnsi" w:cstheme="minorBidi"/>
          <w:szCs w:val="22"/>
        </w:rPr>
      </w:pPr>
      <w:r>
        <w:t>275.</w:t>
      </w:r>
      <w:r>
        <w:tab/>
        <w:t>Application of legal instruments and matters to which Commission must have due regard</w:t>
      </w:r>
      <w:r>
        <w:tab/>
      </w:r>
      <w:r>
        <w:fldChar w:fldCharType="begin"/>
      </w:r>
      <w:r>
        <w:instrText xml:space="preserve"> PAGEREF _Toc199322612 \h </w:instrText>
      </w:r>
      <w:r>
        <w:fldChar w:fldCharType="separate"/>
      </w:r>
      <w:r>
        <w:t>243</w:t>
      </w:r>
      <w:r>
        <w:fldChar w:fldCharType="end"/>
      </w:r>
    </w:p>
    <w:p>
      <w:pPr>
        <w:pStyle w:val="TOC8"/>
        <w:rPr>
          <w:rFonts w:asciiTheme="minorHAnsi" w:eastAsiaTheme="minorEastAsia" w:hAnsiTheme="minorHAnsi" w:cstheme="minorBidi"/>
          <w:szCs w:val="22"/>
        </w:rPr>
      </w:pPr>
      <w:r>
        <w:t>276.</w:t>
      </w:r>
      <w:r>
        <w:tab/>
        <w:t>Consultation, submissions and other input</w:t>
      </w:r>
      <w:r>
        <w:tab/>
      </w:r>
      <w:r>
        <w:fldChar w:fldCharType="begin"/>
      </w:r>
      <w:r>
        <w:instrText xml:space="preserve"> PAGEREF _Toc199322613 \h </w:instrText>
      </w:r>
      <w:r>
        <w:fldChar w:fldCharType="separate"/>
      </w:r>
      <w:r>
        <w:t>245</w:t>
      </w:r>
      <w:r>
        <w:fldChar w:fldCharType="end"/>
      </w:r>
    </w:p>
    <w:p>
      <w:pPr>
        <w:pStyle w:val="TOC8"/>
        <w:rPr>
          <w:rFonts w:asciiTheme="minorHAnsi" w:eastAsiaTheme="minorEastAsia" w:hAnsiTheme="minorHAnsi" w:cstheme="minorBidi"/>
          <w:szCs w:val="22"/>
        </w:rPr>
      </w:pPr>
      <w:r>
        <w:t>277.</w:t>
      </w:r>
      <w:r>
        <w:tab/>
        <w:t>Effect of Commission determination under s. 274</w:t>
      </w:r>
      <w:r>
        <w:tab/>
      </w:r>
      <w:r>
        <w:fldChar w:fldCharType="begin"/>
      </w:r>
      <w:r>
        <w:instrText xml:space="preserve"> PAGEREF _Toc199322614 \h </w:instrText>
      </w:r>
      <w:r>
        <w:fldChar w:fldCharType="separate"/>
      </w:r>
      <w:r>
        <w:t>247</w:t>
      </w:r>
      <w:r>
        <w:fldChar w:fldCharType="end"/>
      </w:r>
    </w:p>
    <w:p>
      <w:pPr>
        <w:pStyle w:val="TOC8"/>
        <w:rPr>
          <w:rFonts w:asciiTheme="minorHAnsi" w:eastAsiaTheme="minorEastAsia" w:hAnsiTheme="minorHAnsi" w:cstheme="minorBidi"/>
          <w:szCs w:val="22"/>
        </w:rPr>
      </w:pPr>
      <w:r>
        <w:t>278.</w:t>
      </w:r>
      <w:r>
        <w:tab/>
        <w:t>Substantial commencement of development approved by Commission under s. 274</w:t>
      </w:r>
      <w:r>
        <w:tab/>
      </w:r>
      <w:r>
        <w:fldChar w:fldCharType="begin"/>
      </w:r>
      <w:r>
        <w:instrText xml:space="preserve"> PAGEREF _Toc199322615 \h </w:instrText>
      </w:r>
      <w:r>
        <w:fldChar w:fldCharType="separate"/>
      </w:r>
      <w:r>
        <w:t>249</w:t>
      </w:r>
      <w:r>
        <w:fldChar w:fldCharType="end"/>
      </w:r>
    </w:p>
    <w:p>
      <w:pPr>
        <w:pStyle w:val="TOC8"/>
        <w:rPr>
          <w:rFonts w:asciiTheme="minorHAnsi" w:eastAsiaTheme="minorEastAsia" w:hAnsiTheme="minorHAnsi" w:cstheme="minorBidi"/>
          <w:szCs w:val="22"/>
        </w:rPr>
      </w:pPr>
      <w:r>
        <w:t>279.</w:t>
      </w:r>
      <w:r>
        <w:tab/>
        <w:t>Amendment or cancellation of approval granted by Commission under s. 274</w:t>
      </w:r>
      <w:r>
        <w:tab/>
      </w:r>
      <w:r>
        <w:fldChar w:fldCharType="begin"/>
      </w:r>
      <w:r>
        <w:instrText xml:space="preserve"> PAGEREF _Toc199322616 \h </w:instrText>
      </w:r>
      <w:r>
        <w:fldChar w:fldCharType="separate"/>
      </w:r>
      <w:r>
        <w:t>250</w:t>
      </w:r>
      <w:r>
        <w:fldChar w:fldCharType="end"/>
      </w:r>
    </w:p>
    <w:p>
      <w:pPr>
        <w:pStyle w:val="TOC4"/>
        <w:tabs>
          <w:tab w:val="right" w:leader="dot" w:pos="7077"/>
        </w:tabs>
        <w:rPr>
          <w:rFonts w:asciiTheme="minorHAnsi" w:eastAsiaTheme="minorEastAsia" w:hAnsiTheme="minorHAnsi" w:cstheme="minorBidi"/>
          <w:b w:val="0"/>
          <w:szCs w:val="22"/>
        </w:rPr>
      </w:pPr>
      <w:r>
        <w:t>Division 3 — Avoiding conflicts with approvals granted by Commission under section 274</w:t>
      </w:r>
    </w:p>
    <w:p>
      <w:pPr>
        <w:pStyle w:val="TOC8"/>
        <w:rPr>
          <w:rFonts w:asciiTheme="minorHAnsi" w:eastAsiaTheme="minorEastAsia" w:hAnsiTheme="minorHAnsi" w:cstheme="minorBidi"/>
          <w:szCs w:val="22"/>
        </w:rPr>
      </w:pPr>
      <w:r>
        <w:t>280.</w:t>
      </w:r>
      <w:r>
        <w:tab/>
        <w:t>General provisions for Division</w:t>
      </w:r>
      <w:r>
        <w:tab/>
      </w:r>
      <w:r>
        <w:fldChar w:fldCharType="begin"/>
      </w:r>
      <w:r>
        <w:instrText xml:space="preserve"> PAGEREF _Toc199322618 \h </w:instrText>
      </w:r>
      <w:r>
        <w:fldChar w:fldCharType="separate"/>
      </w:r>
      <w:r>
        <w:t>252</w:t>
      </w:r>
      <w:r>
        <w:fldChar w:fldCharType="end"/>
      </w:r>
    </w:p>
    <w:p>
      <w:pPr>
        <w:pStyle w:val="TOC8"/>
        <w:rPr>
          <w:rFonts w:asciiTheme="minorHAnsi" w:eastAsiaTheme="minorEastAsia" w:hAnsiTheme="minorHAnsi" w:cstheme="minorBidi"/>
          <w:szCs w:val="22"/>
        </w:rPr>
      </w:pPr>
      <w:r>
        <w:t>281.</w:t>
      </w:r>
      <w:r>
        <w:tab/>
        <w:t>Decision</w:t>
      </w:r>
      <w:r>
        <w:noBreakHyphen/>
        <w:t>maker proposing to perform function in conflict with approval</w:t>
      </w:r>
      <w:r>
        <w:tab/>
      </w:r>
      <w:r>
        <w:fldChar w:fldCharType="begin"/>
      </w:r>
      <w:r>
        <w:instrText xml:space="preserve"> PAGEREF _Toc199322619 \h </w:instrText>
      </w:r>
      <w:r>
        <w:fldChar w:fldCharType="separate"/>
      </w:r>
      <w:r>
        <w:t>254</w:t>
      </w:r>
      <w:r>
        <w:fldChar w:fldCharType="end"/>
      </w:r>
    </w:p>
    <w:p>
      <w:pPr>
        <w:pStyle w:val="TOC8"/>
        <w:rPr>
          <w:rFonts w:asciiTheme="minorHAnsi" w:eastAsiaTheme="minorEastAsia" w:hAnsiTheme="minorHAnsi" w:cstheme="minorBidi"/>
          <w:szCs w:val="22"/>
        </w:rPr>
      </w:pPr>
      <w:r>
        <w:t>282.</w:t>
      </w:r>
      <w:r>
        <w:tab/>
        <w:t>Owner of land or other prescribed person may apply for direction if performance of function conflicts with approval</w:t>
      </w:r>
      <w:r>
        <w:tab/>
      </w:r>
      <w:r>
        <w:fldChar w:fldCharType="begin"/>
      </w:r>
      <w:r>
        <w:instrText xml:space="preserve"> PAGEREF _Toc199322620 \h </w:instrText>
      </w:r>
      <w:r>
        <w:fldChar w:fldCharType="separate"/>
      </w:r>
      <w:r>
        <w:t>256</w:t>
      </w:r>
      <w:r>
        <w:fldChar w:fldCharType="end"/>
      </w:r>
    </w:p>
    <w:p>
      <w:pPr>
        <w:pStyle w:val="TOC4"/>
        <w:tabs>
          <w:tab w:val="right" w:leader="dot" w:pos="7077"/>
        </w:tabs>
        <w:rPr>
          <w:rFonts w:asciiTheme="minorHAnsi" w:eastAsiaTheme="minorEastAsia" w:hAnsiTheme="minorHAnsi" w:cstheme="minorBidi"/>
          <w:b w:val="0"/>
          <w:szCs w:val="22"/>
        </w:rPr>
      </w:pPr>
      <w:r>
        <w:t>Division 4 — Oversight of Commission</w:t>
      </w:r>
    </w:p>
    <w:p>
      <w:pPr>
        <w:pStyle w:val="TOC8"/>
        <w:rPr>
          <w:rFonts w:asciiTheme="minorHAnsi" w:eastAsiaTheme="minorEastAsia" w:hAnsiTheme="minorHAnsi" w:cstheme="minorBidi"/>
          <w:szCs w:val="22"/>
        </w:rPr>
      </w:pPr>
      <w:r>
        <w:t>283.</w:t>
      </w:r>
      <w:r>
        <w:tab/>
        <w:t>State Administrative Tribunal</w:t>
      </w:r>
      <w:r>
        <w:tab/>
      </w:r>
      <w:r>
        <w:fldChar w:fldCharType="begin"/>
      </w:r>
      <w:r>
        <w:instrText xml:space="preserve"> PAGEREF _Toc199322622 \h </w:instrText>
      </w:r>
      <w:r>
        <w:fldChar w:fldCharType="separate"/>
      </w:r>
      <w:r>
        <w:t>258</w:t>
      </w:r>
      <w:r>
        <w:fldChar w:fldCharType="end"/>
      </w:r>
    </w:p>
    <w:p>
      <w:pPr>
        <w:pStyle w:val="TOC8"/>
        <w:rPr>
          <w:rFonts w:asciiTheme="minorHAnsi" w:eastAsiaTheme="minorEastAsia" w:hAnsiTheme="minorHAnsi" w:cstheme="minorBidi"/>
          <w:szCs w:val="22"/>
        </w:rPr>
      </w:pPr>
      <w:r>
        <w:lastRenderedPageBreak/>
        <w:t>284.</w:t>
      </w:r>
      <w:r>
        <w:tab/>
        <w:t>Governor may amend or cancel approval granted by Commission under s. 274</w:t>
      </w:r>
      <w:r>
        <w:tab/>
      </w:r>
      <w:r>
        <w:fldChar w:fldCharType="begin"/>
      </w:r>
      <w:r>
        <w:instrText xml:space="preserve"> PAGEREF _Toc199322623 \h </w:instrText>
      </w:r>
      <w:r>
        <w:fldChar w:fldCharType="separate"/>
      </w:r>
      <w:r>
        <w:t>259</w:t>
      </w:r>
      <w:r>
        <w:fldChar w:fldCharType="end"/>
      </w:r>
    </w:p>
    <w:p>
      <w:pPr>
        <w:pStyle w:val="TOC4"/>
        <w:tabs>
          <w:tab w:val="right" w:leader="dot" w:pos="7077"/>
        </w:tabs>
        <w:rPr>
          <w:rFonts w:asciiTheme="minorHAnsi" w:eastAsiaTheme="minorEastAsia" w:hAnsiTheme="minorHAnsi" w:cstheme="minorBidi"/>
          <w:b w:val="0"/>
          <w:szCs w:val="22"/>
        </w:rPr>
      </w:pPr>
      <w:r>
        <w:t>Division 5 — Final matters</w:t>
      </w:r>
    </w:p>
    <w:p>
      <w:pPr>
        <w:pStyle w:val="TOC8"/>
        <w:rPr>
          <w:rFonts w:asciiTheme="minorHAnsi" w:eastAsiaTheme="minorEastAsia" w:hAnsiTheme="minorHAnsi" w:cstheme="minorBidi"/>
          <w:szCs w:val="22"/>
        </w:rPr>
      </w:pPr>
      <w:r>
        <w:t>285.</w:t>
      </w:r>
      <w:r>
        <w:tab/>
        <w:t>Fees</w:t>
      </w:r>
      <w:r>
        <w:tab/>
      </w:r>
      <w:r>
        <w:fldChar w:fldCharType="begin"/>
      </w:r>
      <w:r>
        <w:instrText xml:space="preserve"> PAGEREF _Toc199322625 \h </w:instrText>
      </w:r>
      <w:r>
        <w:fldChar w:fldCharType="separate"/>
      </w:r>
      <w:r>
        <w:t>260</w:t>
      </w:r>
      <w:r>
        <w:fldChar w:fldCharType="end"/>
      </w:r>
    </w:p>
    <w:p>
      <w:pPr>
        <w:pStyle w:val="TOC8"/>
        <w:rPr>
          <w:rFonts w:asciiTheme="minorHAnsi" w:eastAsiaTheme="minorEastAsia" w:hAnsiTheme="minorHAnsi" w:cstheme="minorBidi"/>
          <w:szCs w:val="22"/>
        </w:rPr>
      </w:pPr>
      <w:r>
        <w:t>286.</w:t>
      </w:r>
      <w:r>
        <w:tab/>
        <w:t>Regulations</w:t>
      </w:r>
      <w:r>
        <w:tab/>
      </w:r>
      <w:r>
        <w:fldChar w:fldCharType="begin"/>
      </w:r>
      <w:r>
        <w:instrText xml:space="preserve"> PAGEREF _Toc199322626 \h </w:instrText>
      </w:r>
      <w:r>
        <w:fldChar w:fldCharType="separate"/>
      </w:r>
      <w:r>
        <w:t>260</w:t>
      </w:r>
      <w:r>
        <w:fldChar w:fldCharType="end"/>
      </w:r>
    </w:p>
    <w:p>
      <w:pPr>
        <w:pStyle w:val="TOC2"/>
        <w:tabs>
          <w:tab w:val="right" w:leader="dot" w:pos="7077"/>
        </w:tabs>
        <w:rPr>
          <w:rFonts w:asciiTheme="minorHAnsi" w:eastAsiaTheme="minorEastAsia" w:hAnsiTheme="minorHAnsi" w:cstheme="minorBidi"/>
          <w:b w:val="0"/>
          <w:sz w:val="22"/>
          <w:szCs w:val="22"/>
        </w:rPr>
      </w:pPr>
      <w:r>
        <w:t>Part 18 — Extension of time for endorsement of diagram or plan of survey due to COVID</w:t>
      </w:r>
      <w:r>
        <w:noBreakHyphen/>
        <w:t>19 pandemic</w:t>
      </w:r>
    </w:p>
    <w:p>
      <w:pPr>
        <w:pStyle w:val="TOC8"/>
        <w:rPr>
          <w:rFonts w:asciiTheme="minorHAnsi" w:eastAsiaTheme="minorEastAsia" w:hAnsiTheme="minorHAnsi" w:cstheme="minorBidi"/>
          <w:szCs w:val="22"/>
        </w:rPr>
      </w:pPr>
      <w:r>
        <w:t>287.</w:t>
      </w:r>
      <w:r>
        <w:tab/>
        <w:t>Term used: COVID</w:t>
      </w:r>
      <w:r>
        <w:noBreakHyphen/>
        <w:t>19 emergency start date</w:t>
      </w:r>
      <w:r>
        <w:tab/>
      </w:r>
      <w:r>
        <w:fldChar w:fldCharType="begin"/>
      </w:r>
      <w:r>
        <w:instrText xml:space="preserve"> PAGEREF _Toc199322628 \h </w:instrText>
      </w:r>
      <w:r>
        <w:fldChar w:fldCharType="separate"/>
      </w:r>
      <w:r>
        <w:t>262</w:t>
      </w:r>
      <w:r>
        <w:fldChar w:fldCharType="end"/>
      </w:r>
    </w:p>
    <w:p>
      <w:pPr>
        <w:pStyle w:val="TOC8"/>
        <w:rPr>
          <w:rFonts w:asciiTheme="minorHAnsi" w:eastAsiaTheme="minorEastAsia" w:hAnsiTheme="minorHAnsi" w:cstheme="minorBidi"/>
          <w:szCs w:val="22"/>
        </w:rPr>
      </w:pPr>
      <w:r>
        <w:t>288.</w:t>
      </w:r>
      <w:r>
        <w:tab/>
        <w:t>Extension of time for endorsement of diagram or plan of survey of approved subdivision</w:t>
      </w:r>
      <w:r>
        <w:tab/>
      </w:r>
      <w:r>
        <w:fldChar w:fldCharType="begin"/>
      </w:r>
      <w:r>
        <w:instrText xml:space="preserve"> PAGEREF _Toc199322629 \h </w:instrText>
      </w:r>
      <w:r>
        <w:fldChar w:fldCharType="separate"/>
      </w:r>
      <w:r>
        <w:t>262</w:t>
      </w:r>
      <w:r>
        <w:fldChar w:fldCharType="end"/>
      </w:r>
    </w:p>
    <w:p>
      <w:pPr>
        <w:pStyle w:val="TOC2"/>
        <w:tabs>
          <w:tab w:val="right" w:leader="dot" w:pos="7077"/>
        </w:tabs>
        <w:rPr>
          <w:rFonts w:asciiTheme="minorHAnsi" w:eastAsiaTheme="minorEastAsia" w:hAnsiTheme="minorHAnsi" w:cstheme="minorBidi"/>
          <w:b w:val="0"/>
          <w:sz w:val="22"/>
          <w:szCs w:val="22"/>
        </w:rPr>
      </w:pPr>
      <w:r>
        <w:t>Part 19 — Transitional provisions</w:t>
      </w:r>
    </w:p>
    <w:p>
      <w:pPr>
        <w:pStyle w:val="TOC4"/>
        <w:tabs>
          <w:tab w:val="right" w:leader="dot" w:pos="7077"/>
        </w:tabs>
        <w:rPr>
          <w:rFonts w:asciiTheme="minorHAnsi" w:eastAsiaTheme="minorEastAsia" w:hAnsiTheme="minorHAnsi" w:cstheme="minorBidi"/>
          <w:b w:val="0"/>
          <w:szCs w:val="22"/>
        </w:rPr>
      </w:pPr>
      <w:r>
        <w:t xml:space="preserve">Division 1 — Provisions for </w:t>
      </w:r>
      <w:r>
        <w:rPr>
          <w:i/>
        </w:rPr>
        <w:t>Planning and Development Amendment Act 2020</w:t>
      </w:r>
    </w:p>
    <w:p>
      <w:pPr>
        <w:pStyle w:val="TOC8"/>
        <w:rPr>
          <w:rFonts w:asciiTheme="minorHAnsi" w:eastAsiaTheme="minorEastAsia" w:hAnsiTheme="minorHAnsi" w:cstheme="minorBidi"/>
          <w:szCs w:val="22"/>
        </w:rPr>
      </w:pPr>
      <w:r>
        <w:t>289.</w:t>
      </w:r>
      <w:r>
        <w:tab/>
        <w:t>LDAP or JDAP continues as district DAP</w:t>
      </w:r>
      <w:r>
        <w:tab/>
      </w:r>
      <w:r>
        <w:fldChar w:fldCharType="begin"/>
      </w:r>
      <w:r>
        <w:instrText xml:space="preserve"> PAGEREF _Toc199322632 \h </w:instrText>
      </w:r>
      <w:r>
        <w:fldChar w:fldCharType="separate"/>
      </w:r>
      <w:r>
        <w:t>264</w:t>
      </w:r>
      <w:r>
        <w:fldChar w:fldCharType="end"/>
      </w:r>
    </w:p>
    <w:p>
      <w:pPr>
        <w:pStyle w:val="TOC8"/>
        <w:rPr>
          <w:rFonts w:asciiTheme="minorHAnsi" w:eastAsiaTheme="minorEastAsia" w:hAnsiTheme="minorHAnsi" w:cstheme="minorBidi"/>
          <w:szCs w:val="22"/>
        </w:rPr>
      </w:pPr>
      <w:r>
        <w:t>290.</w:t>
      </w:r>
      <w:r>
        <w:tab/>
        <w:t>Preparation and approval of planning schemes where process commenced before commencement day</w:t>
      </w:r>
      <w:r>
        <w:tab/>
      </w:r>
      <w:r>
        <w:fldChar w:fldCharType="begin"/>
      </w:r>
      <w:r>
        <w:instrText xml:space="preserve"> PAGEREF _Toc199322633 \h </w:instrText>
      </w:r>
      <w:r>
        <w:fldChar w:fldCharType="separate"/>
      </w:r>
      <w:r>
        <w:t>265</w:t>
      </w:r>
      <w:r>
        <w:fldChar w:fldCharType="end"/>
      </w:r>
    </w:p>
    <w:p>
      <w:pPr>
        <w:pStyle w:val="TOC8"/>
        <w:rPr>
          <w:rFonts w:asciiTheme="minorHAnsi" w:eastAsiaTheme="minorEastAsia" w:hAnsiTheme="minorHAnsi" w:cstheme="minorBidi"/>
          <w:szCs w:val="22"/>
        </w:rPr>
      </w:pPr>
      <w:r>
        <w:t>291.</w:t>
      </w:r>
      <w:r>
        <w:tab/>
        <w:t>R</w:t>
      </w:r>
      <w:r>
        <w:noBreakHyphen/>
        <w:t>Codes taken to be planning codes</w:t>
      </w:r>
      <w:r>
        <w:tab/>
      </w:r>
      <w:r>
        <w:fldChar w:fldCharType="begin"/>
      </w:r>
      <w:r>
        <w:instrText xml:space="preserve"> PAGEREF _Toc199322634 \h </w:instrText>
      </w:r>
      <w:r>
        <w:fldChar w:fldCharType="separate"/>
      </w:r>
      <w:r>
        <w:t>266</w:t>
      </w:r>
      <w:r>
        <w:fldChar w:fldCharType="end"/>
      </w:r>
    </w:p>
    <w:p>
      <w:pPr>
        <w:pStyle w:val="TOC8"/>
        <w:rPr>
          <w:rFonts w:asciiTheme="minorHAnsi" w:eastAsiaTheme="minorEastAsia" w:hAnsiTheme="minorHAnsi" w:cstheme="minorBidi"/>
          <w:szCs w:val="22"/>
        </w:rPr>
      </w:pPr>
      <w:r>
        <w:t>292.</w:t>
      </w:r>
      <w:r>
        <w:tab/>
        <w:t>Regulations made by Minister continue in force</w:t>
      </w:r>
      <w:r>
        <w:tab/>
      </w:r>
      <w:r>
        <w:fldChar w:fldCharType="begin"/>
      </w:r>
      <w:r>
        <w:instrText xml:space="preserve"> PAGEREF _Toc199322635 \h </w:instrText>
      </w:r>
      <w:r>
        <w:fldChar w:fldCharType="separate"/>
      </w:r>
      <w:r>
        <w:t>266</w:t>
      </w:r>
      <w:r>
        <w:fldChar w:fldCharType="end"/>
      </w:r>
    </w:p>
    <w:p>
      <w:pPr>
        <w:pStyle w:val="TOC8"/>
        <w:rPr>
          <w:rFonts w:asciiTheme="minorHAnsi" w:eastAsiaTheme="minorEastAsia" w:hAnsiTheme="minorHAnsi" w:cstheme="minorBidi"/>
          <w:szCs w:val="22"/>
        </w:rPr>
      </w:pPr>
      <w:r>
        <w:t>293.</w:t>
      </w:r>
      <w:r>
        <w:tab/>
        <w:t>Electronic planning maps prepared before commencement day</w:t>
      </w:r>
      <w:r>
        <w:tab/>
      </w:r>
      <w:r>
        <w:fldChar w:fldCharType="begin"/>
      </w:r>
      <w:r>
        <w:instrText xml:space="preserve"> PAGEREF _Toc199322636 \h </w:instrText>
      </w:r>
      <w:r>
        <w:fldChar w:fldCharType="separate"/>
      </w:r>
      <w:r>
        <w:t>267</w:t>
      </w:r>
      <w:r>
        <w:fldChar w:fldCharType="end"/>
      </w:r>
    </w:p>
    <w:p>
      <w:pPr>
        <w:pStyle w:val="TOC8"/>
        <w:rPr>
          <w:rFonts w:asciiTheme="minorHAnsi" w:eastAsiaTheme="minorEastAsia" w:hAnsiTheme="minorHAnsi" w:cstheme="minorBidi"/>
          <w:szCs w:val="22"/>
        </w:rPr>
      </w:pPr>
      <w:r>
        <w:t>294.</w:t>
      </w:r>
      <w:r>
        <w:tab/>
        <w:t>Transitional regulations</w:t>
      </w:r>
      <w:r>
        <w:tab/>
      </w:r>
      <w:r>
        <w:fldChar w:fldCharType="begin"/>
      </w:r>
      <w:r>
        <w:instrText xml:space="preserve"> PAGEREF _Toc199322637 \h </w:instrText>
      </w:r>
      <w:r>
        <w:fldChar w:fldCharType="separate"/>
      </w:r>
      <w:r>
        <w:t>267</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Provisions for </w:t>
      </w:r>
      <w:r>
        <w:rPr>
          <w:i/>
        </w:rPr>
        <w:t>Planning and Development Amendment Act 2022</w:t>
      </w:r>
    </w:p>
    <w:p>
      <w:pPr>
        <w:pStyle w:val="TOC8"/>
        <w:rPr>
          <w:rFonts w:asciiTheme="minorHAnsi" w:eastAsiaTheme="minorEastAsia" w:hAnsiTheme="minorHAnsi" w:cstheme="minorBidi"/>
          <w:szCs w:val="22"/>
        </w:rPr>
      </w:pPr>
      <w:r>
        <w:t>295.</w:t>
      </w:r>
      <w:r>
        <w:tab/>
        <w:t>Amendments to development approvals</w:t>
      </w:r>
      <w:r>
        <w:tab/>
      </w:r>
      <w:r>
        <w:fldChar w:fldCharType="begin"/>
      </w:r>
      <w:r>
        <w:instrText xml:space="preserve"> PAGEREF _Toc199322639 \h </w:instrText>
      </w:r>
      <w:r>
        <w:fldChar w:fldCharType="separate"/>
      </w:r>
      <w:r>
        <w:t>269</w:t>
      </w:r>
      <w:r>
        <w:fldChar w:fldCharType="end"/>
      </w:r>
    </w:p>
    <w:p>
      <w:pPr>
        <w:pStyle w:val="TOC8"/>
        <w:rPr>
          <w:rFonts w:asciiTheme="minorHAnsi" w:eastAsiaTheme="minorEastAsia" w:hAnsiTheme="minorHAnsi" w:cstheme="minorBidi"/>
          <w:szCs w:val="22"/>
        </w:rPr>
      </w:pPr>
      <w:r>
        <w:t>296.</w:t>
      </w:r>
      <w:r>
        <w:tab/>
        <w:t>Fees</w:t>
      </w:r>
      <w:r>
        <w:tab/>
      </w:r>
      <w:r>
        <w:fldChar w:fldCharType="begin"/>
      </w:r>
      <w:r>
        <w:instrText xml:space="preserve"> PAGEREF _Toc199322640 \h </w:instrText>
      </w:r>
      <w:r>
        <w:fldChar w:fldCharType="separate"/>
      </w:r>
      <w:r>
        <w:t>269</w:t>
      </w:r>
      <w:r>
        <w:fldChar w:fldCharType="end"/>
      </w:r>
    </w:p>
    <w:p>
      <w:pPr>
        <w:pStyle w:val="TOC2"/>
        <w:tabs>
          <w:tab w:val="right" w:leader="dot" w:pos="7077"/>
        </w:tabs>
        <w:rPr>
          <w:rFonts w:asciiTheme="minorHAnsi" w:eastAsiaTheme="minorEastAsia" w:hAnsiTheme="minorHAnsi" w:cstheme="minorBidi"/>
          <w:b w:val="0"/>
          <w:sz w:val="22"/>
          <w:szCs w:val="22"/>
        </w:rPr>
      </w:pPr>
      <w:r>
        <w:t>Schedule 1 — Constitution and proceedings of the Board</w:t>
      </w:r>
    </w:p>
    <w:p>
      <w:pPr>
        <w:pStyle w:val="TOC8"/>
        <w:rPr>
          <w:rFonts w:asciiTheme="minorHAnsi" w:eastAsiaTheme="minorEastAsia" w:hAnsiTheme="minorHAnsi" w:cstheme="minorBidi"/>
          <w:szCs w:val="22"/>
        </w:rPr>
      </w:pPr>
      <w:r>
        <w:t>1.</w:t>
      </w:r>
      <w:r>
        <w:tab/>
        <w:t>Term used: appointed member</w:t>
      </w:r>
      <w:r>
        <w:tab/>
      </w:r>
      <w:r>
        <w:fldChar w:fldCharType="begin"/>
      </w:r>
      <w:r>
        <w:instrText xml:space="preserve"> PAGEREF _Toc199322642 \h </w:instrText>
      </w:r>
      <w:r>
        <w:fldChar w:fldCharType="separate"/>
      </w:r>
      <w:r>
        <w:t>270</w:t>
      </w:r>
      <w:r>
        <w:fldChar w:fldCharType="end"/>
      </w:r>
    </w:p>
    <w:p>
      <w:pPr>
        <w:pStyle w:val="TOC8"/>
        <w:rPr>
          <w:rFonts w:asciiTheme="minorHAnsi" w:eastAsiaTheme="minorEastAsia" w:hAnsiTheme="minorHAnsi" w:cstheme="minorBidi"/>
          <w:szCs w:val="22"/>
        </w:rPr>
      </w:pPr>
      <w:r>
        <w:t>2.</w:t>
      </w:r>
      <w:r>
        <w:tab/>
        <w:t>Term of office</w:t>
      </w:r>
      <w:r>
        <w:tab/>
      </w:r>
      <w:r>
        <w:fldChar w:fldCharType="begin"/>
      </w:r>
      <w:r>
        <w:instrText xml:space="preserve"> PAGEREF _Toc199322643 \h </w:instrText>
      </w:r>
      <w:r>
        <w:fldChar w:fldCharType="separate"/>
      </w:r>
      <w:r>
        <w:t>270</w:t>
      </w:r>
      <w:r>
        <w:fldChar w:fldCharType="end"/>
      </w:r>
    </w:p>
    <w:p>
      <w:pPr>
        <w:pStyle w:val="TOC8"/>
        <w:rPr>
          <w:rFonts w:asciiTheme="minorHAnsi" w:eastAsiaTheme="minorEastAsia" w:hAnsiTheme="minorHAnsi" w:cstheme="minorBidi"/>
          <w:szCs w:val="22"/>
        </w:rPr>
      </w:pPr>
      <w:r>
        <w:t>3.</w:t>
      </w:r>
      <w:r>
        <w:tab/>
        <w:t>Appointments to be part-time unless stated otherwise</w:t>
      </w:r>
      <w:r>
        <w:tab/>
      </w:r>
      <w:r>
        <w:fldChar w:fldCharType="begin"/>
      </w:r>
      <w:r>
        <w:instrText xml:space="preserve"> PAGEREF _Toc199322644 \h </w:instrText>
      </w:r>
      <w:r>
        <w:fldChar w:fldCharType="separate"/>
      </w:r>
      <w:r>
        <w:t>270</w:t>
      </w:r>
      <w:r>
        <w:fldChar w:fldCharType="end"/>
      </w:r>
    </w:p>
    <w:p>
      <w:pPr>
        <w:pStyle w:val="TOC8"/>
        <w:rPr>
          <w:rFonts w:asciiTheme="minorHAnsi" w:eastAsiaTheme="minorEastAsia" w:hAnsiTheme="minorHAnsi" w:cstheme="minorBidi"/>
          <w:szCs w:val="22"/>
        </w:rPr>
      </w:pPr>
      <w:r>
        <w:t>4.</w:t>
      </w:r>
      <w:r>
        <w:tab/>
        <w:t>Vacancies in and removal from office</w:t>
      </w:r>
      <w:r>
        <w:tab/>
      </w:r>
      <w:r>
        <w:fldChar w:fldCharType="begin"/>
      </w:r>
      <w:r>
        <w:instrText xml:space="preserve"> PAGEREF _Toc199322645 \h </w:instrText>
      </w:r>
      <w:r>
        <w:fldChar w:fldCharType="separate"/>
      </w:r>
      <w:r>
        <w:t>270</w:t>
      </w:r>
      <w:r>
        <w:fldChar w:fldCharType="end"/>
      </w:r>
    </w:p>
    <w:p>
      <w:pPr>
        <w:pStyle w:val="TOC8"/>
        <w:rPr>
          <w:rFonts w:asciiTheme="minorHAnsi" w:eastAsiaTheme="minorEastAsia" w:hAnsiTheme="minorHAnsi" w:cstheme="minorBidi"/>
          <w:szCs w:val="22"/>
        </w:rPr>
      </w:pPr>
      <w:r>
        <w:lastRenderedPageBreak/>
        <w:t>5.</w:t>
      </w:r>
      <w:r>
        <w:tab/>
        <w:t>Leave of absence</w:t>
      </w:r>
      <w:r>
        <w:tab/>
      </w:r>
      <w:r>
        <w:fldChar w:fldCharType="begin"/>
      </w:r>
      <w:r>
        <w:instrText xml:space="preserve"> PAGEREF _Toc199322646 \h </w:instrText>
      </w:r>
      <w:r>
        <w:fldChar w:fldCharType="separate"/>
      </w:r>
      <w:r>
        <w:t>271</w:t>
      </w:r>
      <w:r>
        <w:fldChar w:fldCharType="end"/>
      </w:r>
    </w:p>
    <w:p>
      <w:pPr>
        <w:pStyle w:val="TOC8"/>
        <w:rPr>
          <w:rFonts w:asciiTheme="minorHAnsi" w:eastAsiaTheme="minorEastAsia" w:hAnsiTheme="minorHAnsi" w:cstheme="minorBidi"/>
          <w:szCs w:val="22"/>
        </w:rPr>
      </w:pPr>
      <w:r>
        <w:t>6.</w:t>
      </w:r>
      <w:r>
        <w:tab/>
        <w:t>Deputy chairperson</w:t>
      </w:r>
      <w:r>
        <w:tab/>
      </w:r>
      <w:r>
        <w:fldChar w:fldCharType="begin"/>
      </w:r>
      <w:r>
        <w:instrText xml:space="preserve"> PAGEREF _Toc199322647 \h </w:instrText>
      </w:r>
      <w:r>
        <w:fldChar w:fldCharType="separate"/>
      </w:r>
      <w:r>
        <w:t>271</w:t>
      </w:r>
      <w:r>
        <w:fldChar w:fldCharType="end"/>
      </w:r>
    </w:p>
    <w:p>
      <w:pPr>
        <w:pStyle w:val="TOC8"/>
        <w:rPr>
          <w:rFonts w:asciiTheme="minorHAnsi" w:eastAsiaTheme="minorEastAsia" w:hAnsiTheme="minorHAnsi" w:cstheme="minorBidi"/>
          <w:szCs w:val="22"/>
        </w:rPr>
      </w:pPr>
      <w:r>
        <w:t>7.</w:t>
      </w:r>
      <w:r>
        <w:tab/>
        <w:t>Deputy members</w:t>
      </w:r>
      <w:r>
        <w:tab/>
      </w:r>
      <w:r>
        <w:fldChar w:fldCharType="begin"/>
      </w:r>
      <w:r>
        <w:instrText xml:space="preserve"> PAGEREF _Toc199322648 \h </w:instrText>
      </w:r>
      <w:r>
        <w:fldChar w:fldCharType="separate"/>
      </w:r>
      <w:r>
        <w:t>272</w:t>
      </w:r>
      <w:r>
        <w:fldChar w:fldCharType="end"/>
      </w:r>
    </w:p>
    <w:p>
      <w:pPr>
        <w:pStyle w:val="TOC8"/>
        <w:rPr>
          <w:rFonts w:asciiTheme="minorHAnsi" w:eastAsiaTheme="minorEastAsia" w:hAnsiTheme="minorHAnsi" w:cstheme="minorBidi"/>
          <w:szCs w:val="22"/>
        </w:rPr>
      </w:pPr>
      <w:r>
        <w:t>8.</w:t>
      </w:r>
      <w:r>
        <w:tab/>
        <w:t>Meetings</w:t>
      </w:r>
      <w:r>
        <w:tab/>
      </w:r>
      <w:r>
        <w:fldChar w:fldCharType="begin"/>
      </w:r>
      <w:r>
        <w:instrText xml:space="preserve"> PAGEREF _Toc199322649 \h </w:instrText>
      </w:r>
      <w:r>
        <w:fldChar w:fldCharType="separate"/>
      </w:r>
      <w:r>
        <w:t>272</w:t>
      </w:r>
      <w:r>
        <w:fldChar w:fldCharType="end"/>
      </w:r>
    </w:p>
    <w:p>
      <w:pPr>
        <w:pStyle w:val="TOC8"/>
        <w:rPr>
          <w:rFonts w:asciiTheme="minorHAnsi" w:eastAsiaTheme="minorEastAsia" w:hAnsiTheme="minorHAnsi" w:cstheme="minorBidi"/>
          <w:szCs w:val="22"/>
        </w:rPr>
      </w:pPr>
      <w:r>
        <w:t>9.</w:t>
      </w:r>
      <w:r>
        <w:tab/>
        <w:t>Resolution without meeting</w:t>
      </w:r>
      <w:r>
        <w:tab/>
      </w:r>
      <w:r>
        <w:fldChar w:fldCharType="begin"/>
      </w:r>
      <w:r>
        <w:instrText xml:space="preserve"> PAGEREF _Toc199322650 \h </w:instrText>
      </w:r>
      <w:r>
        <w:fldChar w:fldCharType="separate"/>
      </w:r>
      <w:r>
        <w:t>273</w:t>
      </w:r>
      <w:r>
        <w:fldChar w:fldCharType="end"/>
      </w:r>
    </w:p>
    <w:p>
      <w:pPr>
        <w:pStyle w:val="TOC8"/>
        <w:rPr>
          <w:rFonts w:asciiTheme="minorHAnsi" w:eastAsiaTheme="minorEastAsia" w:hAnsiTheme="minorHAnsi" w:cstheme="minorBidi"/>
          <w:szCs w:val="22"/>
        </w:rPr>
      </w:pPr>
      <w:r>
        <w:t>10.</w:t>
      </w:r>
      <w:r>
        <w:tab/>
        <w:t>Telephone or similar meetings</w:t>
      </w:r>
      <w:r>
        <w:tab/>
      </w:r>
      <w:r>
        <w:fldChar w:fldCharType="begin"/>
      </w:r>
      <w:r>
        <w:instrText xml:space="preserve"> PAGEREF _Toc199322651 \h </w:instrText>
      </w:r>
      <w:r>
        <w:fldChar w:fldCharType="separate"/>
      </w:r>
      <w:r>
        <w:t>273</w:t>
      </w:r>
      <w:r>
        <w:fldChar w:fldCharType="end"/>
      </w:r>
    </w:p>
    <w:p>
      <w:pPr>
        <w:pStyle w:val="TOC8"/>
        <w:rPr>
          <w:rFonts w:asciiTheme="minorHAnsi" w:eastAsiaTheme="minorEastAsia" w:hAnsiTheme="minorHAnsi" w:cstheme="minorBidi"/>
          <w:szCs w:val="22"/>
        </w:rPr>
      </w:pPr>
      <w:r>
        <w:t>11.</w:t>
      </w:r>
      <w:r>
        <w:tab/>
        <w:t>Minutes of meetings</w:t>
      </w:r>
      <w:r>
        <w:tab/>
      </w:r>
      <w:r>
        <w:fldChar w:fldCharType="begin"/>
      </w:r>
      <w:r>
        <w:instrText xml:space="preserve"> PAGEREF _Toc199322652 \h </w:instrText>
      </w:r>
      <w:r>
        <w:fldChar w:fldCharType="separate"/>
      </w:r>
      <w:r>
        <w:t>273</w:t>
      </w:r>
      <w:r>
        <w:fldChar w:fldCharType="end"/>
      </w:r>
    </w:p>
    <w:p>
      <w:pPr>
        <w:pStyle w:val="TOC8"/>
        <w:rPr>
          <w:rFonts w:asciiTheme="minorHAnsi" w:eastAsiaTheme="minorEastAsia" w:hAnsiTheme="minorHAnsi" w:cstheme="minorBidi"/>
          <w:szCs w:val="22"/>
        </w:rPr>
      </w:pPr>
      <w:r>
        <w:t>12.</w:t>
      </w:r>
      <w:r>
        <w:tab/>
        <w:t>Procedures</w:t>
      </w:r>
      <w:r>
        <w:tab/>
      </w:r>
      <w:r>
        <w:fldChar w:fldCharType="begin"/>
      </w:r>
      <w:r>
        <w:instrText xml:space="preserve"> PAGEREF _Toc199322653 \h </w:instrText>
      </w:r>
      <w:r>
        <w:fldChar w:fldCharType="separate"/>
      </w:r>
      <w:r>
        <w:t>273</w:t>
      </w:r>
      <w:r>
        <w:fldChar w:fldCharType="end"/>
      </w:r>
    </w:p>
    <w:p>
      <w:pPr>
        <w:pStyle w:val="TOC2"/>
        <w:tabs>
          <w:tab w:val="right" w:leader="dot" w:pos="7077"/>
        </w:tabs>
        <w:rPr>
          <w:rFonts w:asciiTheme="minorHAnsi" w:eastAsiaTheme="minorEastAsia" w:hAnsiTheme="minorHAnsi" w:cstheme="minorBidi"/>
          <w:b w:val="0"/>
          <w:sz w:val="22"/>
          <w:szCs w:val="22"/>
        </w:rPr>
      </w:pPr>
      <w:r>
        <w:t>Schedule 2 — Committees</w:t>
      </w:r>
    </w:p>
    <w:p>
      <w:pPr>
        <w:pStyle w:val="TOC8"/>
        <w:rPr>
          <w:rFonts w:asciiTheme="minorHAnsi" w:eastAsiaTheme="minorEastAsia" w:hAnsiTheme="minorHAnsi" w:cstheme="minorBidi"/>
          <w:szCs w:val="22"/>
        </w:rPr>
      </w:pPr>
      <w:r>
        <w:t>1.</w:t>
      </w:r>
      <w:r>
        <w:tab/>
        <w:t>Committees, general provisions as to</w:t>
      </w:r>
      <w:r>
        <w:tab/>
      </w:r>
      <w:r>
        <w:fldChar w:fldCharType="begin"/>
      </w:r>
      <w:r>
        <w:instrText xml:space="preserve"> PAGEREF _Toc199322655 \h </w:instrText>
      </w:r>
      <w:r>
        <w:fldChar w:fldCharType="separate"/>
      </w:r>
      <w:r>
        <w:t>274</w:t>
      </w:r>
      <w:r>
        <w:fldChar w:fldCharType="end"/>
      </w:r>
    </w:p>
    <w:p>
      <w:pPr>
        <w:pStyle w:val="TOC8"/>
        <w:rPr>
          <w:rFonts w:asciiTheme="minorHAnsi" w:eastAsiaTheme="minorEastAsia" w:hAnsiTheme="minorHAnsi" w:cstheme="minorBidi"/>
          <w:szCs w:val="22"/>
        </w:rPr>
      </w:pPr>
      <w:r>
        <w:t>2.</w:t>
      </w:r>
      <w:r>
        <w:tab/>
        <w:t>Deputy members for local government representatives</w:t>
      </w:r>
      <w:r>
        <w:tab/>
      </w:r>
      <w:r>
        <w:fldChar w:fldCharType="begin"/>
      </w:r>
      <w:r>
        <w:instrText xml:space="preserve"> PAGEREF _Toc199322656 \h </w:instrText>
      </w:r>
      <w:r>
        <w:fldChar w:fldCharType="separate"/>
      </w:r>
      <w:r>
        <w:t>275</w:t>
      </w:r>
      <w:r>
        <w:fldChar w:fldCharType="end"/>
      </w:r>
    </w:p>
    <w:p>
      <w:pPr>
        <w:pStyle w:val="TOC8"/>
        <w:rPr>
          <w:rFonts w:asciiTheme="minorHAnsi" w:eastAsiaTheme="minorEastAsia" w:hAnsiTheme="minorHAnsi" w:cstheme="minorBidi"/>
          <w:szCs w:val="22"/>
        </w:rPr>
      </w:pPr>
      <w:r>
        <w:t>3.</w:t>
      </w:r>
      <w:r>
        <w:tab/>
        <w:t>Executive, Finance and Property Committee</w:t>
      </w:r>
      <w:r>
        <w:tab/>
      </w:r>
      <w:r>
        <w:fldChar w:fldCharType="begin"/>
      </w:r>
      <w:r>
        <w:instrText xml:space="preserve"> PAGEREF _Toc199322657 \h </w:instrText>
      </w:r>
      <w:r>
        <w:fldChar w:fldCharType="separate"/>
      </w:r>
      <w:r>
        <w:t>275</w:t>
      </w:r>
      <w:r>
        <w:fldChar w:fldCharType="end"/>
      </w:r>
    </w:p>
    <w:p>
      <w:pPr>
        <w:pStyle w:val="TOC8"/>
        <w:rPr>
          <w:rFonts w:asciiTheme="minorHAnsi" w:eastAsiaTheme="minorEastAsia" w:hAnsiTheme="minorHAnsi" w:cstheme="minorBidi"/>
          <w:szCs w:val="22"/>
        </w:rPr>
      </w:pPr>
      <w:r>
        <w:t>4.</w:t>
      </w:r>
      <w:r>
        <w:tab/>
        <w:t>Statutory Planning Committee</w:t>
      </w:r>
      <w:r>
        <w:tab/>
      </w:r>
      <w:r>
        <w:fldChar w:fldCharType="begin"/>
      </w:r>
      <w:r>
        <w:instrText xml:space="preserve"> PAGEREF _Toc199322658 \h </w:instrText>
      </w:r>
      <w:r>
        <w:fldChar w:fldCharType="separate"/>
      </w:r>
      <w:r>
        <w:t>276</w:t>
      </w:r>
      <w:r>
        <w:fldChar w:fldCharType="end"/>
      </w:r>
    </w:p>
    <w:p>
      <w:pPr>
        <w:pStyle w:val="TOC8"/>
        <w:rPr>
          <w:rFonts w:asciiTheme="minorHAnsi" w:eastAsiaTheme="minorEastAsia" w:hAnsiTheme="minorHAnsi" w:cstheme="minorBidi"/>
          <w:szCs w:val="22"/>
        </w:rPr>
      </w:pPr>
      <w:r>
        <w:t>5.</w:t>
      </w:r>
      <w:r>
        <w:tab/>
        <w:t>Sustainable Transport Committee</w:t>
      </w:r>
      <w:r>
        <w:tab/>
      </w:r>
      <w:r>
        <w:fldChar w:fldCharType="begin"/>
      </w:r>
      <w:r>
        <w:instrText xml:space="preserve"> PAGEREF _Toc199322659 \h </w:instrText>
      </w:r>
      <w:r>
        <w:fldChar w:fldCharType="separate"/>
      </w:r>
      <w:r>
        <w:t>277</w:t>
      </w:r>
      <w:r>
        <w:fldChar w:fldCharType="end"/>
      </w:r>
    </w:p>
    <w:p>
      <w:pPr>
        <w:pStyle w:val="TOC8"/>
        <w:rPr>
          <w:rFonts w:asciiTheme="minorHAnsi" w:eastAsiaTheme="minorEastAsia" w:hAnsiTheme="minorHAnsi" w:cstheme="minorBidi"/>
          <w:szCs w:val="22"/>
        </w:rPr>
      </w:pPr>
      <w:r>
        <w:t>7.</w:t>
      </w:r>
      <w:r>
        <w:tab/>
        <w:t>Coastal Planning and Coordination Council</w:t>
      </w:r>
      <w:r>
        <w:tab/>
      </w:r>
      <w:r>
        <w:fldChar w:fldCharType="begin"/>
      </w:r>
      <w:r>
        <w:instrText xml:space="preserve"> PAGEREF _Toc199322660 \h </w:instrText>
      </w:r>
      <w:r>
        <w:fldChar w:fldCharType="separate"/>
      </w:r>
      <w:r>
        <w:t>278</w:t>
      </w:r>
      <w:r>
        <w:fldChar w:fldCharType="end"/>
      </w:r>
    </w:p>
    <w:p>
      <w:pPr>
        <w:pStyle w:val="TOC8"/>
        <w:rPr>
          <w:rFonts w:asciiTheme="minorHAnsi" w:eastAsiaTheme="minorEastAsia" w:hAnsiTheme="minorHAnsi" w:cstheme="minorBidi"/>
          <w:szCs w:val="22"/>
        </w:rPr>
      </w:pPr>
      <w:r>
        <w:t>8.</w:t>
      </w:r>
      <w:r>
        <w:tab/>
        <w:t>Regional planning committees</w:t>
      </w:r>
      <w:r>
        <w:tab/>
      </w:r>
      <w:r>
        <w:fldChar w:fldCharType="begin"/>
      </w:r>
      <w:r>
        <w:instrText xml:space="preserve"> PAGEREF _Toc199322661 \h </w:instrText>
      </w:r>
      <w:r>
        <w:fldChar w:fldCharType="separate"/>
      </w:r>
      <w:r>
        <w:t>280</w:t>
      </w:r>
      <w:r>
        <w:fldChar w:fldCharType="end"/>
      </w:r>
    </w:p>
    <w:p>
      <w:pPr>
        <w:pStyle w:val="TOC8"/>
        <w:rPr>
          <w:rFonts w:asciiTheme="minorHAnsi" w:eastAsiaTheme="minorEastAsia" w:hAnsiTheme="minorHAnsi" w:cstheme="minorBidi"/>
          <w:szCs w:val="22"/>
        </w:rPr>
      </w:pPr>
      <w:r>
        <w:t>9.</w:t>
      </w:r>
      <w:r>
        <w:tab/>
        <w:t>District planning committees</w:t>
      </w:r>
      <w:r>
        <w:tab/>
      </w:r>
      <w:r>
        <w:fldChar w:fldCharType="begin"/>
      </w:r>
      <w:r>
        <w:instrText xml:space="preserve"> PAGEREF _Toc199322662 \h </w:instrText>
      </w:r>
      <w:r>
        <w:fldChar w:fldCharType="separate"/>
      </w:r>
      <w:r>
        <w:t>281</w:t>
      </w:r>
      <w:r>
        <w:fldChar w:fldCharType="end"/>
      </w:r>
    </w:p>
    <w:p>
      <w:pPr>
        <w:pStyle w:val="TOC2"/>
        <w:tabs>
          <w:tab w:val="right" w:leader="dot" w:pos="7077"/>
        </w:tabs>
        <w:rPr>
          <w:rFonts w:asciiTheme="minorHAnsi" w:eastAsiaTheme="minorEastAsia" w:hAnsiTheme="minorHAnsi" w:cstheme="minorBidi"/>
          <w:b w:val="0"/>
          <w:sz w:val="22"/>
          <w:szCs w:val="22"/>
        </w:rPr>
      </w:pPr>
      <w:r>
        <w:t>Schedule 3 — Metropolitan region</w:t>
      </w:r>
    </w:p>
    <w:p>
      <w:pPr>
        <w:pStyle w:val="TOC2"/>
        <w:tabs>
          <w:tab w:val="right" w:leader="dot" w:pos="7077"/>
        </w:tabs>
        <w:rPr>
          <w:rFonts w:asciiTheme="minorHAnsi" w:eastAsiaTheme="minorEastAsia" w:hAnsiTheme="minorHAnsi" w:cstheme="minorBidi"/>
          <w:b w:val="0"/>
          <w:sz w:val="22"/>
          <w:szCs w:val="22"/>
        </w:rPr>
      </w:pPr>
      <w:r>
        <w:t>Schedule 4 — Other regions</w:t>
      </w:r>
    </w:p>
    <w:p>
      <w:pPr>
        <w:pStyle w:val="TOC8"/>
        <w:rPr>
          <w:rFonts w:asciiTheme="minorHAnsi" w:eastAsiaTheme="minorEastAsia" w:hAnsiTheme="minorHAnsi" w:cstheme="minorBidi"/>
          <w:szCs w:val="22"/>
        </w:rPr>
      </w:pPr>
      <w:r>
        <w:t>1.</w:t>
      </w:r>
      <w:r>
        <w:tab/>
        <w:t>Gascoyne Region</w:t>
      </w:r>
      <w:r>
        <w:tab/>
      </w:r>
      <w:r>
        <w:fldChar w:fldCharType="begin"/>
      </w:r>
      <w:r>
        <w:instrText xml:space="preserve"> PAGEREF _Toc199322665 \h </w:instrText>
      </w:r>
      <w:r>
        <w:fldChar w:fldCharType="separate"/>
      </w:r>
      <w:r>
        <w:t>285</w:t>
      </w:r>
      <w:r>
        <w:fldChar w:fldCharType="end"/>
      </w:r>
    </w:p>
    <w:p>
      <w:pPr>
        <w:pStyle w:val="TOC8"/>
        <w:rPr>
          <w:rFonts w:asciiTheme="minorHAnsi" w:eastAsiaTheme="minorEastAsia" w:hAnsiTheme="minorHAnsi" w:cstheme="minorBidi"/>
          <w:szCs w:val="22"/>
        </w:rPr>
      </w:pPr>
      <w:r>
        <w:t>2.</w:t>
      </w:r>
      <w:r>
        <w:tab/>
        <w:t>Goldfields</w:t>
      </w:r>
      <w:r>
        <w:noBreakHyphen/>
        <w:t>Esperance Region</w:t>
      </w:r>
      <w:r>
        <w:tab/>
      </w:r>
      <w:r>
        <w:fldChar w:fldCharType="begin"/>
      </w:r>
      <w:r>
        <w:instrText xml:space="preserve"> PAGEREF _Toc199322666 \h </w:instrText>
      </w:r>
      <w:r>
        <w:fldChar w:fldCharType="separate"/>
      </w:r>
      <w:r>
        <w:t>285</w:t>
      </w:r>
      <w:r>
        <w:fldChar w:fldCharType="end"/>
      </w:r>
    </w:p>
    <w:p>
      <w:pPr>
        <w:pStyle w:val="TOC8"/>
        <w:rPr>
          <w:rFonts w:asciiTheme="minorHAnsi" w:eastAsiaTheme="minorEastAsia" w:hAnsiTheme="minorHAnsi" w:cstheme="minorBidi"/>
          <w:szCs w:val="22"/>
        </w:rPr>
      </w:pPr>
      <w:r>
        <w:t>3.</w:t>
      </w:r>
      <w:r>
        <w:tab/>
        <w:t>Great Southern Region</w:t>
      </w:r>
      <w:r>
        <w:tab/>
      </w:r>
      <w:r>
        <w:fldChar w:fldCharType="begin"/>
      </w:r>
      <w:r>
        <w:instrText xml:space="preserve"> PAGEREF _Toc199322667 \h </w:instrText>
      </w:r>
      <w:r>
        <w:fldChar w:fldCharType="separate"/>
      </w:r>
      <w:r>
        <w:t>285</w:t>
      </w:r>
      <w:r>
        <w:fldChar w:fldCharType="end"/>
      </w:r>
    </w:p>
    <w:p>
      <w:pPr>
        <w:pStyle w:val="TOC8"/>
        <w:rPr>
          <w:rFonts w:asciiTheme="minorHAnsi" w:eastAsiaTheme="minorEastAsia" w:hAnsiTheme="minorHAnsi" w:cstheme="minorBidi"/>
          <w:szCs w:val="22"/>
        </w:rPr>
      </w:pPr>
      <w:r>
        <w:t>4.</w:t>
      </w:r>
      <w:r>
        <w:tab/>
        <w:t>Kimberley Region</w:t>
      </w:r>
      <w:r>
        <w:tab/>
      </w:r>
      <w:r>
        <w:fldChar w:fldCharType="begin"/>
      </w:r>
      <w:r>
        <w:instrText xml:space="preserve"> PAGEREF _Toc199322668 \h </w:instrText>
      </w:r>
      <w:r>
        <w:fldChar w:fldCharType="separate"/>
      </w:r>
      <w:r>
        <w:t>285</w:t>
      </w:r>
      <w:r>
        <w:fldChar w:fldCharType="end"/>
      </w:r>
    </w:p>
    <w:p>
      <w:pPr>
        <w:pStyle w:val="TOC8"/>
        <w:rPr>
          <w:rFonts w:asciiTheme="minorHAnsi" w:eastAsiaTheme="minorEastAsia" w:hAnsiTheme="minorHAnsi" w:cstheme="minorBidi"/>
          <w:szCs w:val="22"/>
        </w:rPr>
      </w:pPr>
      <w:r>
        <w:t>5.</w:t>
      </w:r>
      <w:r>
        <w:tab/>
        <w:t>Mid West Region</w:t>
      </w:r>
      <w:r>
        <w:tab/>
      </w:r>
      <w:r>
        <w:fldChar w:fldCharType="begin"/>
      </w:r>
      <w:r>
        <w:instrText xml:space="preserve"> PAGEREF _Toc199322669 \h </w:instrText>
      </w:r>
      <w:r>
        <w:fldChar w:fldCharType="separate"/>
      </w:r>
      <w:r>
        <w:t>285</w:t>
      </w:r>
      <w:r>
        <w:fldChar w:fldCharType="end"/>
      </w:r>
    </w:p>
    <w:p>
      <w:pPr>
        <w:pStyle w:val="TOC8"/>
        <w:rPr>
          <w:rFonts w:asciiTheme="minorHAnsi" w:eastAsiaTheme="minorEastAsia" w:hAnsiTheme="minorHAnsi" w:cstheme="minorBidi"/>
          <w:szCs w:val="22"/>
        </w:rPr>
      </w:pPr>
      <w:r>
        <w:t>6.</w:t>
      </w:r>
      <w:r>
        <w:tab/>
        <w:t>Peel Region</w:t>
      </w:r>
      <w:r>
        <w:tab/>
      </w:r>
      <w:r>
        <w:fldChar w:fldCharType="begin"/>
      </w:r>
      <w:r>
        <w:instrText xml:space="preserve"> PAGEREF _Toc199322670 \h </w:instrText>
      </w:r>
      <w:r>
        <w:fldChar w:fldCharType="separate"/>
      </w:r>
      <w:r>
        <w:t>285</w:t>
      </w:r>
      <w:r>
        <w:fldChar w:fldCharType="end"/>
      </w:r>
    </w:p>
    <w:p>
      <w:pPr>
        <w:pStyle w:val="TOC8"/>
        <w:rPr>
          <w:rFonts w:asciiTheme="minorHAnsi" w:eastAsiaTheme="minorEastAsia" w:hAnsiTheme="minorHAnsi" w:cstheme="minorBidi"/>
          <w:szCs w:val="22"/>
        </w:rPr>
      </w:pPr>
      <w:r>
        <w:t>7.</w:t>
      </w:r>
      <w:r>
        <w:tab/>
        <w:t>Pilbara Region</w:t>
      </w:r>
      <w:r>
        <w:tab/>
      </w:r>
      <w:r>
        <w:fldChar w:fldCharType="begin"/>
      </w:r>
      <w:r>
        <w:instrText xml:space="preserve"> PAGEREF _Toc199322671 \h </w:instrText>
      </w:r>
      <w:r>
        <w:fldChar w:fldCharType="separate"/>
      </w:r>
      <w:r>
        <w:t>285</w:t>
      </w:r>
      <w:r>
        <w:fldChar w:fldCharType="end"/>
      </w:r>
    </w:p>
    <w:p>
      <w:pPr>
        <w:pStyle w:val="TOC8"/>
        <w:rPr>
          <w:rFonts w:asciiTheme="minorHAnsi" w:eastAsiaTheme="minorEastAsia" w:hAnsiTheme="minorHAnsi" w:cstheme="minorBidi"/>
          <w:szCs w:val="22"/>
        </w:rPr>
      </w:pPr>
      <w:r>
        <w:t>8.</w:t>
      </w:r>
      <w:r>
        <w:tab/>
        <w:t>South West Region</w:t>
      </w:r>
      <w:r>
        <w:tab/>
      </w:r>
      <w:r>
        <w:fldChar w:fldCharType="begin"/>
      </w:r>
      <w:r>
        <w:instrText xml:space="preserve"> PAGEREF _Toc199322672 \h </w:instrText>
      </w:r>
      <w:r>
        <w:fldChar w:fldCharType="separate"/>
      </w:r>
      <w:r>
        <w:t>286</w:t>
      </w:r>
      <w:r>
        <w:fldChar w:fldCharType="end"/>
      </w:r>
    </w:p>
    <w:p>
      <w:pPr>
        <w:pStyle w:val="TOC8"/>
        <w:rPr>
          <w:rFonts w:asciiTheme="minorHAnsi" w:eastAsiaTheme="minorEastAsia" w:hAnsiTheme="minorHAnsi" w:cstheme="minorBidi"/>
          <w:szCs w:val="22"/>
        </w:rPr>
      </w:pPr>
      <w:r>
        <w:t>9.</w:t>
      </w:r>
      <w:r>
        <w:tab/>
        <w:t>Wheatbelt Region</w:t>
      </w:r>
      <w:r>
        <w:tab/>
      </w:r>
      <w:r>
        <w:fldChar w:fldCharType="begin"/>
      </w:r>
      <w:r>
        <w:instrText xml:space="preserve"> PAGEREF _Toc199322673 \h </w:instrText>
      </w:r>
      <w:r>
        <w:fldChar w:fldCharType="separate"/>
      </w:r>
      <w:r>
        <w:t>286</w:t>
      </w:r>
      <w:r>
        <w:fldChar w:fldCharType="end"/>
      </w:r>
    </w:p>
    <w:p>
      <w:pPr>
        <w:pStyle w:val="TOC2"/>
        <w:tabs>
          <w:tab w:val="right" w:leader="dot" w:pos="7077"/>
        </w:tabs>
        <w:rPr>
          <w:rFonts w:asciiTheme="minorHAnsi" w:eastAsiaTheme="minorEastAsia" w:hAnsiTheme="minorHAnsi" w:cstheme="minorBidi"/>
          <w:b w:val="0"/>
          <w:sz w:val="22"/>
          <w:szCs w:val="22"/>
        </w:rPr>
      </w:pPr>
      <w:r>
        <w:t>Schedule 5 — Local governments — metropolitan region</w:t>
      </w:r>
    </w:p>
    <w:p>
      <w:pPr>
        <w:pStyle w:val="TOC8"/>
        <w:rPr>
          <w:rFonts w:asciiTheme="minorHAnsi" w:eastAsiaTheme="minorEastAsia" w:hAnsiTheme="minorHAnsi" w:cstheme="minorBidi"/>
          <w:szCs w:val="22"/>
        </w:rPr>
      </w:pPr>
      <w:r>
        <w:t>1.</w:t>
      </w:r>
      <w:r>
        <w:tab/>
        <w:t>SOUTH</w:t>
      </w:r>
      <w:r>
        <w:noBreakHyphen/>
        <w:t>WEST GROUP</w:t>
      </w:r>
      <w:r>
        <w:tab/>
      </w:r>
      <w:r>
        <w:fldChar w:fldCharType="begin"/>
      </w:r>
      <w:r>
        <w:instrText xml:space="preserve"> PAGEREF _Toc199322675 \h </w:instrText>
      </w:r>
      <w:r>
        <w:fldChar w:fldCharType="separate"/>
      </w:r>
      <w:r>
        <w:t>287</w:t>
      </w:r>
      <w:r>
        <w:fldChar w:fldCharType="end"/>
      </w:r>
    </w:p>
    <w:p>
      <w:pPr>
        <w:pStyle w:val="TOC8"/>
        <w:rPr>
          <w:rFonts w:asciiTheme="minorHAnsi" w:eastAsiaTheme="minorEastAsia" w:hAnsiTheme="minorHAnsi" w:cstheme="minorBidi"/>
          <w:szCs w:val="22"/>
        </w:rPr>
      </w:pPr>
      <w:r>
        <w:t>2.</w:t>
      </w:r>
      <w:r>
        <w:tab/>
        <w:t>WESTERN SUBURBS GROUP</w:t>
      </w:r>
      <w:r>
        <w:tab/>
      </w:r>
      <w:r>
        <w:fldChar w:fldCharType="begin"/>
      </w:r>
      <w:r>
        <w:instrText xml:space="preserve"> PAGEREF _Toc199322676 \h </w:instrText>
      </w:r>
      <w:r>
        <w:fldChar w:fldCharType="separate"/>
      </w:r>
      <w:r>
        <w:t>287</w:t>
      </w:r>
      <w:r>
        <w:fldChar w:fldCharType="end"/>
      </w:r>
    </w:p>
    <w:p>
      <w:pPr>
        <w:pStyle w:val="TOC8"/>
        <w:rPr>
          <w:rFonts w:asciiTheme="minorHAnsi" w:eastAsiaTheme="minorEastAsia" w:hAnsiTheme="minorHAnsi" w:cstheme="minorBidi"/>
          <w:szCs w:val="22"/>
        </w:rPr>
      </w:pPr>
      <w:r>
        <w:t>3.</w:t>
      </w:r>
      <w:r>
        <w:tab/>
        <w:t>NORTH</w:t>
      </w:r>
      <w:r>
        <w:noBreakHyphen/>
        <w:t>WEST GROUP</w:t>
      </w:r>
      <w:r>
        <w:tab/>
      </w:r>
      <w:r>
        <w:fldChar w:fldCharType="begin"/>
      </w:r>
      <w:r>
        <w:instrText xml:space="preserve"> PAGEREF _Toc199322677 \h </w:instrText>
      </w:r>
      <w:r>
        <w:fldChar w:fldCharType="separate"/>
      </w:r>
      <w:r>
        <w:t>287</w:t>
      </w:r>
      <w:r>
        <w:fldChar w:fldCharType="end"/>
      </w:r>
    </w:p>
    <w:p>
      <w:pPr>
        <w:pStyle w:val="TOC8"/>
        <w:rPr>
          <w:rFonts w:asciiTheme="minorHAnsi" w:eastAsiaTheme="minorEastAsia" w:hAnsiTheme="minorHAnsi" w:cstheme="minorBidi"/>
          <w:szCs w:val="22"/>
        </w:rPr>
      </w:pPr>
      <w:r>
        <w:t>4.</w:t>
      </w:r>
      <w:r>
        <w:tab/>
        <w:t>SOUTH</w:t>
      </w:r>
      <w:r>
        <w:noBreakHyphen/>
        <w:t>EAST GROUP</w:t>
      </w:r>
      <w:r>
        <w:tab/>
      </w:r>
      <w:r>
        <w:fldChar w:fldCharType="begin"/>
      </w:r>
      <w:r>
        <w:instrText xml:space="preserve"> PAGEREF _Toc199322678 \h </w:instrText>
      </w:r>
      <w:r>
        <w:fldChar w:fldCharType="separate"/>
      </w:r>
      <w:r>
        <w:t>288</w:t>
      </w:r>
      <w:r>
        <w:fldChar w:fldCharType="end"/>
      </w:r>
    </w:p>
    <w:p>
      <w:pPr>
        <w:pStyle w:val="TOC8"/>
        <w:rPr>
          <w:rFonts w:asciiTheme="minorHAnsi" w:eastAsiaTheme="minorEastAsia" w:hAnsiTheme="minorHAnsi" w:cstheme="minorBidi"/>
          <w:szCs w:val="22"/>
        </w:rPr>
      </w:pPr>
      <w:r>
        <w:t>5.</w:t>
      </w:r>
      <w:r>
        <w:tab/>
        <w:t>EASTERN GROUP</w:t>
      </w:r>
      <w:r>
        <w:tab/>
      </w:r>
      <w:r>
        <w:fldChar w:fldCharType="begin"/>
      </w:r>
      <w:r>
        <w:instrText xml:space="preserve"> PAGEREF _Toc199322679 \h </w:instrText>
      </w:r>
      <w:r>
        <w:fldChar w:fldCharType="separate"/>
      </w:r>
      <w:r>
        <w:t>288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6 — Planning control areas: purposes for which land may be required</w:t>
      </w:r>
    </w:p>
    <w:p>
      <w:pPr>
        <w:pStyle w:val="TOC2"/>
        <w:tabs>
          <w:tab w:val="right" w:leader="dot" w:pos="7077"/>
        </w:tabs>
        <w:rPr>
          <w:rFonts w:asciiTheme="minorHAnsi" w:eastAsiaTheme="minorEastAsia" w:hAnsiTheme="minorHAnsi" w:cstheme="minorBidi"/>
          <w:b w:val="0"/>
          <w:sz w:val="22"/>
          <w:szCs w:val="22"/>
        </w:rPr>
      </w:pPr>
      <w:r>
        <w:t>Schedule 7 — Matters which may be dealt with by planning scheme</w:t>
      </w:r>
    </w:p>
    <w:p>
      <w:pPr>
        <w:pStyle w:val="TOC8"/>
        <w:rPr>
          <w:rFonts w:asciiTheme="minorHAnsi" w:eastAsiaTheme="minorEastAsia" w:hAnsiTheme="minorHAnsi" w:cstheme="minorBidi"/>
          <w:szCs w:val="22"/>
        </w:rPr>
      </w:pPr>
      <w:r>
        <w:t>1.</w:t>
      </w:r>
      <w:r>
        <w:tab/>
        <w:t>Generality preserved</w:t>
      </w:r>
      <w:r>
        <w:tab/>
      </w:r>
      <w:r>
        <w:fldChar w:fldCharType="begin"/>
      </w:r>
      <w:r>
        <w:instrText xml:space="preserve"> PAGEREF _Toc199322682 \h </w:instrText>
      </w:r>
      <w:r>
        <w:fldChar w:fldCharType="separate"/>
      </w:r>
      <w:r>
        <w:t>290</w:t>
      </w:r>
      <w:r>
        <w:fldChar w:fldCharType="end"/>
      </w:r>
    </w:p>
    <w:p>
      <w:pPr>
        <w:pStyle w:val="TOC8"/>
        <w:rPr>
          <w:rFonts w:asciiTheme="minorHAnsi" w:eastAsiaTheme="minorEastAsia" w:hAnsiTheme="minorHAnsi" w:cstheme="minorBidi"/>
          <w:szCs w:val="22"/>
        </w:rPr>
      </w:pPr>
      <w:r>
        <w:t>2.</w:t>
      </w:r>
      <w:r>
        <w:tab/>
        <w:t>Subdivision</w:t>
      </w:r>
      <w:r>
        <w:tab/>
      </w:r>
      <w:r>
        <w:fldChar w:fldCharType="begin"/>
      </w:r>
      <w:r>
        <w:instrText xml:space="preserve"> PAGEREF _Toc199322683 \h </w:instrText>
      </w:r>
      <w:r>
        <w:fldChar w:fldCharType="separate"/>
      </w:r>
      <w:r>
        <w:t>290</w:t>
      </w:r>
      <w:r>
        <w:fldChar w:fldCharType="end"/>
      </w:r>
    </w:p>
    <w:p>
      <w:pPr>
        <w:pStyle w:val="TOC8"/>
        <w:rPr>
          <w:rFonts w:asciiTheme="minorHAnsi" w:eastAsiaTheme="minorEastAsia" w:hAnsiTheme="minorHAnsi" w:cstheme="minorBidi"/>
          <w:szCs w:val="22"/>
        </w:rPr>
      </w:pPr>
      <w:r>
        <w:t>3.</w:t>
      </w:r>
      <w:r>
        <w:tab/>
        <w:t>Reconstruction</w:t>
      </w:r>
      <w:r>
        <w:tab/>
      </w:r>
      <w:r>
        <w:fldChar w:fldCharType="begin"/>
      </w:r>
      <w:r>
        <w:instrText xml:space="preserve"> PAGEREF _Toc199322684 \h </w:instrText>
      </w:r>
      <w:r>
        <w:fldChar w:fldCharType="separate"/>
      </w:r>
      <w:r>
        <w:t>290</w:t>
      </w:r>
      <w:r>
        <w:fldChar w:fldCharType="end"/>
      </w:r>
    </w:p>
    <w:p>
      <w:pPr>
        <w:pStyle w:val="TOC8"/>
        <w:rPr>
          <w:rFonts w:asciiTheme="minorHAnsi" w:eastAsiaTheme="minorEastAsia" w:hAnsiTheme="minorHAnsi" w:cstheme="minorBidi"/>
          <w:szCs w:val="22"/>
        </w:rPr>
      </w:pPr>
      <w:r>
        <w:t>4.</w:t>
      </w:r>
      <w:r>
        <w:tab/>
        <w:t>Preservation and conservation</w:t>
      </w:r>
      <w:r>
        <w:tab/>
      </w:r>
      <w:r>
        <w:fldChar w:fldCharType="begin"/>
      </w:r>
      <w:r>
        <w:instrText xml:space="preserve"> PAGEREF _Toc199322685 \h </w:instrText>
      </w:r>
      <w:r>
        <w:fldChar w:fldCharType="separate"/>
      </w:r>
      <w:r>
        <w:t>290</w:t>
      </w:r>
      <w:r>
        <w:fldChar w:fldCharType="end"/>
      </w:r>
    </w:p>
    <w:p>
      <w:pPr>
        <w:pStyle w:val="TOC8"/>
        <w:rPr>
          <w:rFonts w:asciiTheme="minorHAnsi" w:eastAsiaTheme="minorEastAsia" w:hAnsiTheme="minorHAnsi" w:cstheme="minorBidi"/>
          <w:szCs w:val="22"/>
        </w:rPr>
      </w:pPr>
      <w:r>
        <w:t>5.</w:t>
      </w:r>
      <w:r>
        <w:tab/>
        <w:t>Roads, public works, community infrastructure, reservation of land, provision of facilities</w:t>
      </w:r>
      <w:r>
        <w:tab/>
      </w:r>
      <w:r>
        <w:fldChar w:fldCharType="begin"/>
      </w:r>
      <w:r>
        <w:instrText xml:space="preserve"> PAGEREF _Toc199322686 \h </w:instrText>
      </w:r>
      <w:r>
        <w:fldChar w:fldCharType="separate"/>
      </w:r>
      <w:r>
        <w:t>291</w:t>
      </w:r>
      <w:r>
        <w:fldChar w:fldCharType="end"/>
      </w:r>
    </w:p>
    <w:p>
      <w:pPr>
        <w:pStyle w:val="TOC8"/>
        <w:rPr>
          <w:rFonts w:asciiTheme="minorHAnsi" w:eastAsiaTheme="minorEastAsia" w:hAnsiTheme="minorHAnsi" w:cstheme="minorBidi"/>
          <w:szCs w:val="22"/>
        </w:rPr>
      </w:pPr>
      <w:r>
        <w:t>6.</w:t>
      </w:r>
      <w:r>
        <w:tab/>
        <w:t>Zoning</w:t>
      </w:r>
      <w:r>
        <w:tab/>
      </w:r>
      <w:r>
        <w:fldChar w:fldCharType="begin"/>
      </w:r>
      <w:r>
        <w:instrText xml:space="preserve"> PAGEREF _Toc199322687 \h </w:instrText>
      </w:r>
      <w:r>
        <w:fldChar w:fldCharType="separate"/>
      </w:r>
      <w:r>
        <w:t>291</w:t>
      </w:r>
      <w:r>
        <w:fldChar w:fldCharType="end"/>
      </w:r>
    </w:p>
    <w:p>
      <w:pPr>
        <w:pStyle w:val="TOC8"/>
        <w:rPr>
          <w:rFonts w:asciiTheme="minorHAnsi" w:eastAsiaTheme="minorEastAsia" w:hAnsiTheme="minorHAnsi" w:cstheme="minorBidi"/>
          <w:szCs w:val="22"/>
        </w:rPr>
      </w:pPr>
      <w:r>
        <w:t>7.</w:t>
      </w:r>
      <w:r>
        <w:tab/>
        <w:t>Controls for land management</w:t>
      </w:r>
      <w:r>
        <w:tab/>
      </w:r>
      <w:r>
        <w:fldChar w:fldCharType="begin"/>
      </w:r>
      <w:r>
        <w:instrText xml:space="preserve"> PAGEREF _Toc199322688 \h </w:instrText>
      </w:r>
      <w:r>
        <w:fldChar w:fldCharType="separate"/>
      </w:r>
      <w:r>
        <w:t>291</w:t>
      </w:r>
      <w:r>
        <w:fldChar w:fldCharType="end"/>
      </w:r>
    </w:p>
    <w:p>
      <w:pPr>
        <w:pStyle w:val="TOC8"/>
        <w:rPr>
          <w:rFonts w:asciiTheme="minorHAnsi" w:eastAsiaTheme="minorEastAsia" w:hAnsiTheme="minorHAnsi" w:cstheme="minorBidi"/>
          <w:szCs w:val="22"/>
        </w:rPr>
      </w:pPr>
      <w:r>
        <w:t>8.</w:t>
      </w:r>
      <w:r>
        <w:tab/>
        <w:t>Development standards</w:t>
      </w:r>
      <w:r>
        <w:tab/>
      </w:r>
      <w:r>
        <w:fldChar w:fldCharType="begin"/>
      </w:r>
      <w:r>
        <w:instrText xml:space="preserve"> PAGEREF _Toc199322689 \h </w:instrText>
      </w:r>
      <w:r>
        <w:fldChar w:fldCharType="separate"/>
      </w:r>
      <w:r>
        <w:t>291</w:t>
      </w:r>
      <w:r>
        <w:fldChar w:fldCharType="end"/>
      </w:r>
    </w:p>
    <w:p>
      <w:pPr>
        <w:pStyle w:val="TOC8"/>
        <w:rPr>
          <w:rFonts w:asciiTheme="minorHAnsi" w:eastAsiaTheme="minorEastAsia" w:hAnsiTheme="minorHAnsi" w:cstheme="minorBidi"/>
          <w:szCs w:val="22"/>
        </w:rPr>
      </w:pPr>
      <w:r>
        <w:t>9.</w:t>
      </w:r>
      <w:r>
        <w:tab/>
        <w:t>Development controls</w:t>
      </w:r>
      <w:r>
        <w:tab/>
      </w:r>
      <w:r>
        <w:fldChar w:fldCharType="begin"/>
      </w:r>
      <w:r>
        <w:instrText xml:space="preserve"> PAGEREF _Toc199322690 \h </w:instrText>
      </w:r>
      <w:r>
        <w:fldChar w:fldCharType="separate"/>
      </w:r>
      <w:r>
        <w:t>292</w:t>
      </w:r>
      <w:r>
        <w:fldChar w:fldCharType="end"/>
      </w:r>
    </w:p>
    <w:p>
      <w:pPr>
        <w:pStyle w:val="TOC8"/>
        <w:rPr>
          <w:rFonts w:asciiTheme="minorHAnsi" w:eastAsiaTheme="minorEastAsia" w:hAnsiTheme="minorHAnsi" w:cstheme="minorBidi"/>
          <w:szCs w:val="22"/>
        </w:rPr>
      </w:pPr>
      <w:r>
        <w:t>10.</w:t>
      </w:r>
      <w:r>
        <w:tab/>
        <w:t>Acquisition and purchase of land</w:t>
      </w:r>
      <w:r>
        <w:tab/>
      </w:r>
      <w:r>
        <w:fldChar w:fldCharType="begin"/>
      </w:r>
      <w:r>
        <w:instrText xml:space="preserve"> PAGEREF _Toc199322691 \h </w:instrText>
      </w:r>
      <w:r>
        <w:fldChar w:fldCharType="separate"/>
      </w:r>
      <w:r>
        <w:t>292</w:t>
      </w:r>
      <w:r>
        <w:fldChar w:fldCharType="end"/>
      </w:r>
    </w:p>
    <w:p>
      <w:pPr>
        <w:pStyle w:val="TOC8"/>
        <w:rPr>
          <w:rFonts w:asciiTheme="minorHAnsi" w:eastAsiaTheme="minorEastAsia" w:hAnsiTheme="minorHAnsi" w:cstheme="minorBidi"/>
          <w:szCs w:val="22"/>
        </w:rPr>
      </w:pPr>
      <w:r>
        <w:t>11.</w:t>
      </w:r>
      <w:r>
        <w:tab/>
        <w:t>Powers</w:t>
      </w:r>
      <w:r>
        <w:tab/>
      </w:r>
      <w:r>
        <w:fldChar w:fldCharType="begin"/>
      </w:r>
      <w:r>
        <w:instrText xml:space="preserve"> PAGEREF _Toc199322692 \h </w:instrText>
      </w:r>
      <w:r>
        <w:fldChar w:fldCharType="separate"/>
      </w:r>
      <w:r>
        <w:t>292</w:t>
      </w:r>
      <w:r>
        <w:fldChar w:fldCharType="end"/>
      </w:r>
    </w:p>
    <w:p>
      <w:pPr>
        <w:pStyle w:val="TOC8"/>
        <w:rPr>
          <w:rFonts w:asciiTheme="minorHAnsi" w:eastAsiaTheme="minorEastAsia" w:hAnsiTheme="minorHAnsi" w:cstheme="minorBidi"/>
          <w:szCs w:val="22"/>
        </w:rPr>
      </w:pPr>
      <w:r>
        <w:t>12.</w:t>
      </w:r>
      <w:r>
        <w:tab/>
        <w:t>Agreements and cooperation</w:t>
      </w:r>
      <w:r>
        <w:tab/>
      </w:r>
      <w:r>
        <w:fldChar w:fldCharType="begin"/>
      </w:r>
      <w:r>
        <w:instrText xml:space="preserve"> PAGEREF _Toc199322693 \h </w:instrText>
      </w:r>
      <w:r>
        <w:fldChar w:fldCharType="separate"/>
      </w:r>
      <w:r>
        <w:t>292</w:t>
      </w:r>
      <w:r>
        <w:fldChar w:fldCharType="end"/>
      </w:r>
    </w:p>
    <w:p>
      <w:pPr>
        <w:pStyle w:val="TOC8"/>
        <w:rPr>
          <w:rFonts w:asciiTheme="minorHAnsi" w:eastAsiaTheme="minorEastAsia" w:hAnsiTheme="minorHAnsi" w:cstheme="minorBidi"/>
          <w:szCs w:val="22"/>
        </w:rPr>
      </w:pPr>
      <w:r>
        <w:t>13.</w:t>
      </w:r>
      <w:r>
        <w:tab/>
        <w:t>Carrying out scheme</w:t>
      </w:r>
      <w:r>
        <w:tab/>
      </w:r>
      <w:r>
        <w:fldChar w:fldCharType="begin"/>
      </w:r>
      <w:r>
        <w:instrText xml:space="preserve"> PAGEREF _Toc199322694 \h </w:instrText>
      </w:r>
      <w:r>
        <w:fldChar w:fldCharType="separate"/>
      </w:r>
      <w:r>
        <w:t>293</w:t>
      </w:r>
      <w:r>
        <w:fldChar w:fldCharType="end"/>
      </w:r>
    </w:p>
    <w:p>
      <w:pPr>
        <w:pStyle w:val="TOC8"/>
        <w:rPr>
          <w:rFonts w:asciiTheme="minorHAnsi" w:eastAsiaTheme="minorEastAsia" w:hAnsiTheme="minorHAnsi" w:cstheme="minorBidi"/>
          <w:szCs w:val="22"/>
        </w:rPr>
      </w:pPr>
      <w:r>
        <w:t>14.</w:t>
      </w:r>
      <w:r>
        <w:tab/>
        <w:t>Review by SAT</w:t>
      </w:r>
      <w:r>
        <w:tab/>
      </w:r>
      <w:r>
        <w:fldChar w:fldCharType="begin"/>
      </w:r>
      <w:r>
        <w:instrText xml:space="preserve"> PAGEREF _Toc199322695 \h </w:instrText>
      </w:r>
      <w:r>
        <w:fldChar w:fldCharType="separate"/>
      </w:r>
      <w:r>
        <w:t>293</w:t>
      </w:r>
      <w:r>
        <w:fldChar w:fldCharType="end"/>
      </w:r>
    </w:p>
    <w:p>
      <w:pPr>
        <w:pStyle w:val="TOC8"/>
        <w:rPr>
          <w:rFonts w:asciiTheme="minorHAnsi" w:eastAsiaTheme="minorEastAsia" w:hAnsiTheme="minorHAnsi" w:cstheme="minorBidi"/>
          <w:szCs w:val="22"/>
        </w:rPr>
      </w:pPr>
      <w:r>
        <w:t>15.</w:t>
      </w:r>
      <w:r>
        <w:tab/>
        <w:t>Policies and ancillary matters</w:t>
      </w:r>
      <w:r>
        <w:tab/>
      </w:r>
      <w:r>
        <w:fldChar w:fldCharType="begin"/>
      </w:r>
      <w:r>
        <w:instrText xml:space="preserve"> PAGEREF _Toc199322696 \h </w:instrText>
      </w:r>
      <w:r>
        <w:fldChar w:fldCharType="separate"/>
      </w:r>
      <w:r>
        <w:t>293</w:t>
      </w:r>
      <w:r>
        <w:fldChar w:fldCharType="end"/>
      </w:r>
    </w:p>
    <w:p>
      <w:pPr>
        <w:pStyle w:val="TOC2"/>
        <w:tabs>
          <w:tab w:val="right" w:leader="dot" w:pos="7077"/>
        </w:tabs>
        <w:rPr>
          <w:rFonts w:asciiTheme="minorHAnsi" w:eastAsiaTheme="minorEastAsia" w:hAnsiTheme="minorHAnsi" w:cstheme="minorBidi"/>
          <w:b w:val="0"/>
          <w:sz w:val="22"/>
          <w:szCs w:val="22"/>
        </w:rPr>
      </w:pPr>
      <w:r>
        <w:t>Schedule 8 — Matters for which local laws may be made by Governor</w:t>
      </w:r>
    </w:p>
    <w:p>
      <w:pPr>
        <w:pStyle w:val="TOC8"/>
        <w:rPr>
          <w:rFonts w:asciiTheme="minorHAnsi" w:eastAsiaTheme="minorEastAsia" w:hAnsiTheme="minorHAnsi" w:cstheme="minorBidi"/>
          <w:szCs w:val="22"/>
        </w:rPr>
      </w:pPr>
      <w:r>
        <w:t>1.</w:t>
      </w:r>
      <w:r>
        <w:tab/>
        <w:t>Purchase and reservation of land</w:t>
      </w:r>
      <w:r>
        <w:tab/>
      </w:r>
      <w:r>
        <w:fldChar w:fldCharType="begin"/>
      </w:r>
      <w:r>
        <w:instrText xml:space="preserve"> PAGEREF _Toc199322698 \h </w:instrText>
      </w:r>
      <w:r>
        <w:fldChar w:fldCharType="separate"/>
      </w:r>
      <w:r>
        <w:t>294</w:t>
      </w:r>
      <w:r>
        <w:fldChar w:fldCharType="end"/>
      </w:r>
    </w:p>
    <w:p>
      <w:pPr>
        <w:pStyle w:val="TOC8"/>
        <w:rPr>
          <w:rFonts w:asciiTheme="minorHAnsi" w:eastAsiaTheme="minorEastAsia" w:hAnsiTheme="minorHAnsi" w:cstheme="minorBidi"/>
          <w:szCs w:val="22"/>
        </w:rPr>
      </w:pPr>
      <w:r>
        <w:t>2.</w:t>
      </w:r>
      <w:r>
        <w:tab/>
        <w:t>Limiting and regulating building</w:t>
      </w:r>
      <w:r>
        <w:tab/>
      </w:r>
      <w:r>
        <w:fldChar w:fldCharType="begin"/>
      </w:r>
      <w:r>
        <w:instrText xml:space="preserve"> PAGEREF _Toc199322699 \h </w:instrText>
      </w:r>
      <w:r>
        <w:fldChar w:fldCharType="separate"/>
      </w:r>
      <w:r>
        <w:t>294</w:t>
      </w:r>
      <w:r>
        <w:fldChar w:fldCharType="end"/>
      </w:r>
    </w:p>
    <w:p>
      <w:pPr>
        <w:pStyle w:val="TOC8"/>
        <w:rPr>
          <w:rFonts w:asciiTheme="minorHAnsi" w:eastAsiaTheme="minorEastAsia" w:hAnsiTheme="minorHAnsi" w:cstheme="minorBidi"/>
          <w:szCs w:val="22"/>
        </w:rPr>
      </w:pPr>
      <w:r>
        <w:t>3.</w:t>
      </w:r>
      <w:r>
        <w:tab/>
        <w:t>Classification and zoning</w:t>
      </w:r>
      <w:r>
        <w:tab/>
      </w:r>
      <w:r>
        <w:fldChar w:fldCharType="begin"/>
      </w:r>
      <w:r>
        <w:instrText xml:space="preserve"> PAGEREF _Toc199322700 \h </w:instrText>
      </w:r>
      <w:r>
        <w:fldChar w:fldCharType="separate"/>
      </w:r>
      <w:r>
        <w:t>294</w:t>
      </w:r>
      <w:r>
        <w:fldChar w:fldCharType="end"/>
      </w:r>
    </w:p>
    <w:p>
      <w:pPr>
        <w:pStyle w:val="TOC8"/>
        <w:rPr>
          <w:rFonts w:asciiTheme="minorHAnsi" w:eastAsiaTheme="minorEastAsia" w:hAnsiTheme="minorHAnsi" w:cstheme="minorBidi"/>
          <w:szCs w:val="22"/>
        </w:rPr>
      </w:pPr>
      <w:r>
        <w:t>4.</w:t>
      </w:r>
      <w:r>
        <w:tab/>
        <w:t>Prohibiting unauthorised uses</w:t>
      </w:r>
      <w:r>
        <w:tab/>
      </w:r>
      <w:r>
        <w:fldChar w:fldCharType="begin"/>
      </w:r>
      <w:r>
        <w:instrText xml:space="preserve"> PAGEREF _Toc199322701 \h </w:instrText>
      </w:r>
      <w:r>
        <w:fldChar w:fldCharType="separate"/>
      </w:r>
      <w:r>
        <w:t>295</w:t>
      </w:r>
      <w:r>
        <w:fldChar w:fldCharType="end"/>
      </w:r>
    </w:p>
    <w:p>
      <w:pPr>
        <w:pStyle w:val="TOC8"/>
        <w:rPr>
          <w:rFonts w:asciiTheme="minorHAnsi" w:eastAsiaTheme="minorEastAsia" w:hAnsiTheme="minorHAnsi" w:cstheme="minorBidi"/>
          <w:szCs w:val="22"/>
        </w:rPr>
      </w:pPr>
      <w:r>
        <w:t>5.</w:t>
      </w:r>
      <w:r>
        <w:tab/>
        <w:t>Prescribing characteristics of buildings</w:t>
      </w:r>
      <w:r>
        <w:tab/>
      </w:r>
      <w:r>
        <w:fldChar w:fldCharType="begin"/>
      </w:r>
      <w:r>
        <w:instrText xml:space="preserve"> PAGEREF _Toc199322702 \h </w:instrText>
      </w:r>
      <w:r>
        <w:fldChar w:fldCharType="separate"/>
      </w:r>
      <w:r>
        <w:t>295</w:t>
      </w:r>
      <w:r>
        <w:fldChar w:fldCharType="end"/>
      </w:r>
    </w:p>
    <w:p>
      <w:pPr>
        <w:pStyle w:val="TOC8"/>
        <w:rPr>
          <w:rFonts w:asciiTheme="minorHAnsi" w:eastAsiaTheme="minorEastAsia" w:hAnsiTheme="minorHAnsi" w:cstheme="minorBidi"/>
          <w:szCs w:val="22"/>
        </w:rPr>
      </w:pPr>
      <w:r>
        <w:t>6.</w:t>
      </w:r>
      <w:r>
        <w:tab/>
        <w:t>Prohibiting trade etc. or erection or use of building</w:t>
      </w:r>
      <w:r>
        <w:tab/>
      </w:r>
      <w:r>
        <w:fldChar w:fldCharType="begin"/>
      </w:r>
      <w:r>
        <w:instrText xml:space="preserve"> PAGEREF _Toc199322703 \h </w:instrText>
      </w:r>
      <w:r>
        <w:fldChar w:fldCharType="separate"/>
      </w:r>
      <w:r>
        <w:t>295</w:t>
      </w:r>
      <w:r>
        <w:fldChar w:fldCharType="end"/>
      </w:r>
    </w:p>
    <w:p>
      <w:pPr>
        <w:pStyle w:val="TOC8"/>
        <w:rPr>
          <w:rFonts w:asciiTheme="minorHAnsi" w:eastAsiaTheme="minorEastAsia" w:hAnsiTheme="minorHAnsi" w:cstheme="minorBidi"/>
          <w:szCs w:val="22"/>
        </w:rPr>
      </w:pPr>
      <w:r>
        <w:t>7.</w:t>
      </w:r>
      <w:r>
        <w:tab/>
        <w:t>Requirements of new subdivisions</w:t>
      </w:r>
      <w:r>
        <w:tab/>
      </w:r>
      <w:r>
        <w:fldChar w:fldCharType="begin"/>
      </w:r>
      <w:r>
        <w:instrText xml:space="preserve"> PAGEREF _Toc199322704 \h </w:instrText>
      </w:r>
      <w:r>
        <w:fldChar w:fldCharType="separate"/>
      </w:r>
      <w:r>
        <w:t>295</w:t>
      </w:r>
      <w:r>
        <w:fldChar w:fldCharType="end"/>
      </w:r>
    </w:p>
    <w:p>
      <w:pPr>
        <w:pStyle w:val="TOC8"/>
        <w:rPr>
          <w:rFonts w:asciiTheme="minorHAnsi" w:eastAsiaTheme="minorEastAsia" w:hAnsiTheme="minorHAnsi" w:cstheme="minorBidi"/>
          <w:szCs w:val="22"/>
        </w:rPr>
      </w:pPr>
      <w:r>
        <w:t>8.</w:t>
      </w:r>
      <w:r>
        <w:tab/>
        <w:t>Building lines</w:t>
      </w:r>
      <w:r>
        <w:tab/>
      </w:r>
      <w:r>
        <w:fldChar w:fldCharType="begin"/>
      </w:r>
      <w:r>
        <w:instrText xml:space="preserve"> PAGEREF _Toc199322705 \h </w:instrText>
      </w:r>
      <w:r>
        <w:fldChar w:fldCharType="separate"/>
      </w:r>
      <w:r>
        <w:t>296</w:t>
      </w:r>
      <w:r>
        <w:fldChar w:fldCharType="end"/>
      </w:r>
    </w:p>
    <w:p>
      <w:pPr>
        <w:pStyle w:val="TOC8"/>
        <w:rPr>
          <w:rFonts w:asciiTheme="minorHAnsi" w:eastAsiaTheme="minorEastAsia" w:hAnsiTheme="minorHAnsi" w:cstheme="minorBidi"/>
          <w:szCs w:val="22"/>
        </w:rPr>
      </w:pPr>
      <w:r>
        <w:t>9.</w:t>
      </w:r>
      <w:r>
        <w:tab/>
        <w:t>Open space etc.</w:t>
      </w:r>
      <w:r>
        <w:tab/>
      </w:r>
      <w:r>
        <w:fldChar w:fldCharType="begin"/>
      </w:r>
      <w:r>
        <w:instrText xml:space="preserve"> PAGEREF _Toc199322706 \h </w:instrText>
      </w:r>
      <w:r>
        <w:fldChar w:fldCharType="separate"/>
      </w:r>
      <w:r>
        <w:t>296</w:t>
      </w:r>
      <w:r>
        <w:fldChar w:fldCharType="end"/>
      </w:r>
    </w:p>
    <w:p>
      <w:pPr>
        <w:pStyle w:val="TOC8"/>
        <w:rPr>
          <w:rFonts w:asciiTheme="minorHAnsi" w:eastAsiaTheme="minorEastAsia" w:hAnsiTheme="minorHAnsi" w:cstheme="minorBidi"/>
          <w:szCs w:val="22"/>
        </w:rPr>
      </w:pPr>
      <w:r>
        <w:t>10.</w:t>
      </w:r>
      <w:r>
        <w:tab/>
        <w:t>Heights of walls etc. at road corners</w:t>
      </w:r>
      <w:r>
        <w:tab/>
      </w:r>
      <w:r>
        <w:fldChar w:fldCharType="begin"/>
      </w:r>
      <w:r>
        <w:instrText xml:space="preserve"> PAGEREF _Toc199322707 \h </w:instrText>
      </w:r>
      <w:r>
        <w:fldChar w:fldCharType="separate"/>
      </w:r>
      <w:r>
        <w:t>296</w:t>
      </w:r>
      <w:r>
        <w:fldChar w:fldCharType="end"/>
      </w:r>
    </w:p>
    <w:p>
      <w:pPr>
        <w:pStyle w:val="TOC8"/>
        <w:rPr>
          <w:rFonts w:asciiTheme="minorHAnsi" w:eastAsiaTheme="minorEastAsia" w:hAnsiTheme="minorHAnsi" w:cstheme="minorBidi"/>
          <w:szCs w:val="22"/>
        </w:rPr>
      </w:pPr>
      <w:r>
        <w:t>11.</w:t>
      </w:r>
      <w:r>
        <w:tab/>
        <w:t>Implementing of local laws</w:t>
      </w:r>
      <w:r>
        <w:tab/>
      </w:r>
      <w:r>
        <w:fldChar w:fldCharType="begin"/>
      </w:r>
      <w:r>
        <w:instrText xml:space="preserve"> PAGEREF _Toc199322708 \h </w:instrText>
      </w:r>
      <w:r>
        <w:fldChar w:fldCharType="separate"/>
      </w:r>
      <w:r>
        <w:t>296</w:t>
      </w:r>
      <w:r>
        <w:fldChar w:fldCharType="end"/>
      </w:r>
    </w:p>
    <w:p>
      <w:pPr>
        <w:pStyle w:val="TOC2"/>
        <w:tabs>
          <w:tab w:val="right" w:leader="dot" w:pos="7077"/>
        </w:tabs>
        <w:rPr>
          <w:rFonts w:asciiTheme="minorHAnsi" w:eastAsiaTheme="minorEastAsia" w:hAnsiTheme="minorHAnsi" w:cstheme="minorBidi"/>
          <w:b w:val="0"/>
          <w:sz w:val="22"/>
          <w:szCs w:val="22"/>
        </w:rPr>
      </w:pPr>
      <w:r>
        <w:t>Schedule 9 — Board of Valuers</w:t>
      </w:r>
    </w:p>
    <w:p>
      <w:pPr>
        <w:pStyle w:val="TOC8"/>
        <w:rPr>
          <w:rFonts w:asciiTheme="minorHAnsi" w:eastAsiaTheme="minorEastAsia" w:hAnsiTheme="minorHAnsi" w:cstheme="minorBidi"/>
          <w:szCs w:val="22"/>
        </w:rPr>
      </w:pPr>
      <w:r>
        <w:t>1.</w:t>
      </w:r>
      <w:r>
        <w:tab/>
        <w:t>Term used: Board</w:t>
      </w:r>
      <w:r>
        <w:tab/>
      </w:r>
      <w:r>
        <w:fldChar w:fldCharType="begin"/>
      </w:r>
      <w:r>
        <w:instrText xml:space="preserve"> PAGEREF _Toc199322710 \h </w:instrText>
      </w:r>
      <w:r>
        <w:fldChar w:fldCharType="separate"/>
      </w:r>
      <w:r>
        <w:t>297</w:t>
      </w:r>
      <w:r>
        <w:fldChar w:fldCharType="end"/>
      </w:r>
    </w:p>
    <w:p>
      <w:pPr>
        <w:pStyle w:val="TOC8"/>
        <w:rPr>
          <w:rFonts w:asciiTheme="minorHAnsi" w:eastAsiaTheme="minorEastAsia" w:hAnsiTheme="minorHAnsi" w:cstheme="minorBidi"/>
          <w:szCs w:val="22"/>
        </w:rPr>
      </w:pPr>
      <w:r>
        <w:lastRenderedPageBreak/>
        <w:t>2.</w:t>
      </w:r>
      <w:r>
        <w:tab/>
        <w:t>Term of office</w:t>
      </w:r>
      <w:r>
        <w:tab/>
      </w:r>
      <w:r>
        <w:fldChar w:fldCharType="begin"/>
      </w:r>
      <w:r>
        <w:instrText xml:space="preserve"> PAGEREF _Toc199322711 \h </w:instrText>
      </w:r>
      <w:r>
        <w:fldChar w:fldCharType="separate"/>
      </w:r>
      <w:r>
        <w:t>297</w:t>
      </w:r>
      <w:r>
        <w:fldChar w:fldCharType="end"/>
      </w:r>
    </w:p>
    <w:p>
      <w:pPr>
        <w:pStyle w:val="TOC8"/>
        <w:rPr>
          <w:rFonts w:asciiTheme="minorHAnsi" w:eastAsiaTheme="minorEastAsia" w:hAnsiTheme="minorHAnsi" w:cstheme="minorBidi"/>
          <w:szCs w:val="22"/>
        </w:rPr>
      </w:pPr>
      <w:r>
        <w:t>3.</w:t>
      </w:r>
      <w:r>
        <w:tab/>
        <w:t>Constitution of Board</w:t>
      </w:r>
      <w:r>
        <w:tab/>
      </w:r>
      <w:r>
        <w:fldChar w:fldCharType="begin"/>
      </w:r>
      <w:r>
        <w:instrText xml:space="preserve"> PAGEREF _Toc199322712 \h </w:instrText>
      </w:r>
      <w:r>
        <w:fldChar w:fldCharType="separate"/>
      </w:r>
      <w:r>
        <w:t>297</w:t>
      </w:r>
      <w:r>
        <w:fldChar w:fldCharType="end"/>
      </w:r>
    </w:p>
    <w:p>
      <w:pPr>
        <w:pStyle w:val="TOC8"/>
        <w:rPr>
          <w:rFonts w:asciiTheme="minorHAnsi" w:eastAsiaTheme="minorEastAsia" w:hAnsiTheme="minorHAnsi" w:cstheme="minorBidi"/>
          <w:szCs w:val="22"/>
        </w:rPr>
      </w:pPr>
      <w:r>
        <w:t>4.</w:t>
      </w:r>
      <w:r>
        <w:tab/>
        <w:t>Resignation or removal from office</w:t>
      </w:r>
      <w:r>
        <w:tab/>
      </w:r>
      <w:r>
        <w:fldChar w:fldCharType="begin"/>
      </w:r>
      <w:r>
        <w:instrText xml:space="preserve"> PAGEREF _Toc199322713 \h </w:instrText>
      </w:r>
      <w:r>
        <w:fldChar w:fldCharType="separate"/>
      </w:r>
      <w:r>
        <w:t>297</w:t>
      </w:r>
      <w:r>
        <w:fldChar w:fldCharType="end"/>
      </w:r>
    </w:p>
    <w:p>
      <w:pPr>
        <w:pStyle w:val="TOC8"/>
        <w:rPr>
          <w:rFonts w:asciiTheme="minorHAnsi" w:eastAsiaTheme="minorEastAsia" w:hAnsiTheme="minorHAnsi" w:cstheme="minorBidi"/>
          <w:szCs w:val="22"/>
        </w:rPr>
      </w:pPr>
      <w:r>
        <w:t>5.</w:t>
      </w:r>
      <w:r>
        <w:tab/>
        <w:t>Remuneration of members</w:t>
      </w:r>
      <w:r>
        <w:tab/>
      </w:r>
      <w:r>
        <w:fldChar w:fldCharType="begin"/>
      </w:r>
      <w:r>
        <w:instrText xml:space="preserve"> PAGEREF _Toc199322714 \h </w:instrText>
      </w:r>
      <w:r>
        <w:fldChar w:fldCharType="separate"/>
      </w:r>
      <w:r>
        <w:t>297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_Toc199322716 \h </w:instrText>
      </w:r>
      <w:r>
        <w:fldChar w:fldCharType="separate"/>
      </w:r>
      <w:r>
        <w:t>299</w:t>
      </w:r>
      <w:r>
        <w:fldChar w:fldCharType="end"/>
      </w:r>
    </w:p>
    <w:p>
      <w:pPr>
        <w:pStyle w:val="TOC8"/>
        <w:rPr>
          <w:rFonts w:asciiTheme="minorHAnsi" w:eastAsiaTheme="minorEastAsia" w:hAnsiTheme="minorHAnsi" w:cstheme="minorBidi"/>
          <w:szCs w:val="22"/>
        </w:rPr>
      </w:pPr>
      <w:r>
        <w:t>Uncommenced provisions table</w:t>
      </w:r>
      <w:r>
        <w:tab/>
      </w:r>
      <w:r>
        <w:fldChar w:fldCharType="begin"/>
      </w:r>
      <w:r>
        <w:instrText xml:space="preserve"> PAGEREF _Toc199322717 \h </w:instrText>
      </w:r>
      <w:r>
        <w:fldChar w:fldCharType="separate"/>
      </w:r>
      <w:r>
        <w:t>302</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_Toc199322718 \h </w:instrText>
      </w:r>
      <w:r>
        <w:fldChar w:fldCharType="separate"/>
      </w:r>
      <w:r>
        <w:t>302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880" w:after="1000"/>
      </w:pPr>
      <w:r>
        <w:t>Planning and Development Act 2005</w:t>
      </w:r>
    </w:p>
    <w:p>
      <w:pPr>
        <w:pStyle w:val="LongTitle"/>
        <w:suppressLineNumbers/>
        <w:rPr>
          <w:snapToGrid w:val="0"/>
        </w:rPr>
      </w:pPr>
      <w:r>
        <w:rPr>
          <w:snapToGrid w:val="0"/>
        </w:rPr>
        <w:t>An Act to provide for a system of land use planning and development in the State and for related purposes.</w:t>
      </w:r>
    </w:p>
    <w:p>
      <w:pPr>
        <w:pStyle w:val="Heading2"/>
      </w:pPr>
      <w:bookmarkStart w:id="2" w:name="_Toc199322250"/>
      <w:r>
        <w:rPr>
          <w:rStyle w:val="CharPartNo"/>
        </w:rPr>
        <w:lastRenderedPageBreak/>
        <w:t>Part 1</w:t>
      </w:r>
      <w:r>
        <w:rPr>
          <w:rStyle w:val="CharDivNo"/>
        </w:rPr>
        <w:t> </w:t>
      </w:r>
      <w:r>
        <w:t>—</w:t>
      </w:r>
      <w:r>
        <w:rPr>
          <w:rStyle w:val="CharDivText"/>
        </w:rPr>
        <w:t> </w:t>
      </w:r>
      <w:r>
        <w:rPr>
          <w:rStyle w:val="CharPartText"/>
        </w:rPr>
        <w:t>Preliminary</w:t>
      </w:r>
      <w:bookmarkEnd w:id="2"/>
    </w:p>
    <w:p>
      <w:pPr>
        <w:pStyle w:val="Heading5"/>
        <w:spacing w:before="240"/>
        <w:rPr>
          <w:snapToGrid w:val="0"/>
        </w:rPr>
      </w:pPr>
      <w:bookmarkStart w:id="3" w:name="_Toc199322251"/>
      <w:r>
        <w:rPr>
          <w:rStyle w:val="CharSectno"/>
        </w:rPr>
        <w:t>1</w:t>
      </w:r>
      <w:r>
        <w:rPr>
          <w:snapToGrid w:val="0"/>
        </w:rPr>
        <w:t>.</w:t>
      </w:r>
      <w:r>
        <w:rPr>
          <w:snapToGrid w:val="0"/>
        </w:rPr>
        <w:tab/>
        <w:t>Short title</w:t>
      </w:r>
      <w:bookmarkEnd w:id="3"/>
    </w:p>
    <w:p>
      <w:pPr>
        <w:pStyle w:val="Subsection"/>
        <w:ind w:right="425"/>
        <w:rPr>
          <w:snapToGrid w:val="0"/>
        </w:rPr>
      </w:pPr>
      <w:r>
        <w:tab/>
      </w:r>
      <w:r>
        <w:tab/>
        <w:t>This</w:t>
      </w:r>
      <w:r>
        <w:rPr>
          <w:snapToGrid w:val="0"/>
        </w:rPr>
        <w:t xml:space="preserve"> Act may be cited as the </w:t>
      </w:r>
      <w:r>
        <w:rPr>
          <w:i/>
          <w:snapToGrid w:val="0"/>
        </w:rPr>
        <w:t>Planning and Development Act 2005</w:t>
      </w:r>
      <w:r>
        <w:rPr>
          <w:snapToGrid w:val="0"/>
        </w:rPr>
        <w:t>.</w:t>
      </w:r>
    </w:p>
    <w:p>
      <w:pPr>
        <w:pStyle w:val="Heading5"/>
        <w:spacing w:before="240"/>
      </w:pPr>
      <w:bookmarkStart w:id="4" w:name="_Toc199322252"/>
      <w:r>
        <w:rPr>
          <w:rStyle w:val="CharSectno"/>
        </w:rPr>
        <w:t>2</w:t>
      </w:r>
      <w:r>
        <w:t>.</w:t>
      </w:r>
      <w:r>
        <w:tab/>
        <w:t>Commencement</w:t>
      </w:r>
      <w:bookmarkEnd w:id="4"/>
    </w:p>
    <w:p>
      <w:pPr>
        <w:pStyle w:val="Subsection"/>
        <w:spacing w:before="180"/>
      </w:pPr>
      <w:r>
        <w:tab/>
        <w:t>(1)</w:t>
      </w:r>
      <w:r>
        <w:tab/>
        <w:t>This Act comes into operation on a day fixed by proclamation.</w:t>
      </w:r>
    </w:p>
    <w:p>
      <w:pPr>
        <w:pStyle w:val="Subsection"/>
        <w:spacing w:before="180"/>
      </w:pPr>
      <w:r>
        <w:tab/>
        <w:t>(2)</w:t>
      </w:r>
      <w:r>
        <w:tab/>
        <w:t>Different days may be fixed under subsection (1) for different provisions.</w:t>
      </w:r>
    </w:p>
    <w:p>
      <w:pPr>
        <w:pStyle w:val="Heading5"/>
        <w:spacing w:before="240"/>
      </w:pPr>
      <w:bookmarkStart w:id="5" w:name="_Toc199322253"/>
      <w:r>
        <w:rPr>
          <w:rStyle w:val="CharSectno"/>
        </w:rPr>
        <w:t>3</w:t>
      </w:r>
      <w:r>
        <w:t>.</w:t>
      </w:r>
      <w:r>
        <w:tab/>
        <w:t>Purposes and interpretation of this Act</w:t>
      </w:r>
      <w:bookmarkEnd w:id="5"/>
    </w:p>
    <w:p>
      <w:pPr>
        <w:pStyle w:val="Subsection"/>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r>
        <w:rPr>
          <w:i/>
        </w:rPr>
        <w:t>Metropolitan Region Town Planning Scheme Act 1959</w:t>
      </w:r>
      <w:r>
        <w:t xml:space="preserve">, the </w:t>
      </w:r>
      <w:r>
        <w:rPr>
          <w:i/>
        </w:rPr>
        <w:t>Town Planning and Development Act 1928</w:t>
      </w:r>
      <w:r>
        <w:t xml:space="preserve"> and the </w:t>
      </w:r>
      <w:r>
        <w:rPr>
          <w:i/>
        </w:rPr>
        <w:t>Western Australian Planning Commission Act 1985</w:t>
      </w:r>
      <w:r>
        <w:t>) in a rewritten form; and</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spacing w:before="180"/>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keepNext/>
      </w:pPr>
      <w:r>
        <w:lastRenderedPageBreak/>
        <w:tab/>
        <w:t>(b)</w:t>
      </w:r>
      <w:r>
        <w:tab/>
        <w:t>this Act appears to have expressed the same idea in a different form of words in order to use a clearer or simpler style,</w:t>
      </w:r>
    </w:p>
    <w:p>
      <w:pPr>
        <w:pStyle w:val="Subsection"/>
        <w:spacing w:before="180"/>
      </w:pPr>
      <w:r>
        <w:tab/>
      </w:r>
      <w:r>
        <w:tab/>
        <w:t>the ideas are not to be taken to be different just because different forms of words were used.</w:t>
      </w:r>
    </w:p>
    <w:p>
      <w:pPr>
        <w:pStyle w:val="Heading5"/>
        <w:spacing w:before="240"/>
      </w:pPr>
      <w:bookmarkStart w:id="6" w:name="_Toc199322254"/>
      <w:r>
        <w:rPr>
          <w:rStyle w:val="CharSectno"/>
        </w:rPr>
        <w:t>4</w:t>
      </w:r>
      <w:r>
        <w:t>.</w:t>
      </w:r>
      <w:r>
        <w:tab/>
        <w:t>Terms used</w:t>
      </w:r>
      <w:bookmarkEnd w:id="6"/>
    </w:p>
    <w:p>
      <w:pPr>
        <w:pStyle w:val="Subsection"/>
      </w:pPr>
      <w:r>
        <w:tab/>
        <w:t>(1)</w:t>
      </w:r>
      <w:r>
        <w:tab/>
        <w:t xml:space="preserve">In this Act, unless the contrary intention appears — </w:t>
      </w:r>
    </w:p>
    <w:p>
      <w:pPr>
        <w:pStyle w:val="Defstart"/>
      </w:pPr>
      <w:r>
        <w:tab/>
      </w:r>
      <w:r>
        <w:rPr>
          <w:rStyle w:val="CharDefText"/>
        </w:rPr>
        <w:t>Account</w:t>
      </w:r>
      <w:r>
        <w:rPr>
          <w:b/>
        </w:rPr>
        <w:t xml:space="preserve"> </w:t>
      </w:r>
      <w:r>
        <w:t>means the account referred to in section 203(2);</w:t>
      </w:r>
    </w:p>
    <w:p>
      <w:pPr>
        <w:pStyle w:val="Defstart"/>
      </w:pPr>
      <w:r>
        <w:tab/>
      </w:r>
      <w:r>
        <w:rPr>
          <w:rStyle w:val="CharDefText"/>
        </w:rPr>
        <w:t>artificial waterway</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rStyle w:val="CharDefText"/>
        </w:rPr>
        <w:t>associate member</w:t>
      </w:r>
      <w:r>
        <w:t xml:space="preserve"> means an associate member of the board appointed under section 11;</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board</w:t>
      </w:r>
      <w:r>
        <w:t xml:space="preserve"> means the board referred to in section 9;</w:t>
      </w:r>
    </w:p>
    <w:p>
      <w:pPr>
        <w:pStyle w:val="Defstart"/>
      </w:pPr>
      <w:r>
        <w:tab/>
      </w:r>
      <w:r>
        <w:rPr>
          <w:rStyle w:val="CharDefText"/>
        </w:rPr>
        <w:t>chairperson</w:t>
      </w:r>
      <w:r>
        <w:t xml:space="preserve"> means the chairperson of the board;</w:t>
      </w:r>
    </w:p>
    <w:p>
      <w:pPr>
        <w:pStyle w:val="Defstart"/>
      </w:pPr>
      <w:r>
        <w:tab/>
      </w:r>
      <w:r>
        <w:rPr>
          <w:rStyle w:val="CharDefText"/>
        </w:rPr>
        <w:t>chief executive officer</w:t>
      </w:r>
      <w:r>
        <w:t xml:space="preserve"> means the chief executive officer of the department principally assisting in the administration of this Act;</w:t>
      </w:r>
    </w:p>
    <w:p>
      <w:pPr>
        <w:pStyle w:val="Defstart"/>
      </w:pPr>
      <w:r>
        <w:tab/>
      </w:r>
      <w:r>
        <w:rPr>
          <w:rStyle w:val="CharDefText"/>
        </w:rPr>
        <w:t>Commission</w:t>
      </w:r>
      <w:r>
        <w:t xml:space="preserve"> means the Western Australian Planning Commission established by section 7;</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deputy member</w:t>
      </w:r>
      <w:r>
        <w:t xml:space="preserve"> means a person appointed under Schedule 1 clause 7;</w:t>
      </w:r>
    </w:p>
    <w:p>
      <w:pPr>
        <w:pStyle w:val="Defstart"/>
        <w:keepNext/>
      </w:pPr>
      <w:r>
        <w:lastRenderedPageBreak/>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protection order made under the </w:t>
      </w:r>
      <w:r>
        <w:rPr>
          <w:i/>
        </w:rPr>
        <w:t>Heritage Act 2018</w:t>
      </w:r>
      <w:r>
        <w:t xml:space="preserve"> Part 4 Division 1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rStyle w:val="CharDefText"/>
        </w:rPr>
        <w:t>development application</w:t>
      </w:r>
      <w:r>
        <w:t xml:space="preserve"> means an application under a planning scheme, or under an interim development order, for approval of development;</w:t>
      </w:r>
    </w:p>
    <w:p>
      <w:pPr>
        <w:pStyle w:val="Defstart"/>
      </w:pPr>
      <w:r>
        <w:tab/>
      </w:r>
      <w:r>
        <w:rPr>
          <w:rStyle w:val="CharDefText"/>
        </w:rPr>
        <w:t>Development Assessment Panel</w:t>
      </w:r>
      <w:r>
        <w:t xml:space="preserve"> or </w:t>
      </w:r>
      <w:r>
        <w:rPr>
          <w:rStyle w:val="CharDefText"/>
        </w:rPr>
        <w:t>DAP</w:t>
      </w:r>
      <w:r>
        <w:rPr>
          <w:b/>
          <w:bCs/>
          <w:i/>
          <w:iCs/>
        </w:rPr>
        <w:t xml:space="preserve"> </w:t>
      </w:r>
      <w:r>
        <w:t>means a JDAP or LDAP;</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district planning committee</w:t>
      </w:r>
      <w:r>
        <w:t xml:space="preserve"> means a committee established under Schedule 2 clause 9;</w:t>
      </w:r>
    </w:p>
    <w:p>
      <w:pPr>
        <w:pStyle w:val="Defstart"/>
      </w:pPr>
      <w:r>
        <w:tab/>
      </w:r>
      <w:r>
        <w:rPr>
          <w:rStyle w:val="CharDefText"/>
        </w:rPr>
        <w:t>environmental condition</w:t>
      </w:r>
      <w:r>
        <w:t xml:space="preserve"> means a condition agreed under section 48F, or decided under section 48J, of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Heritage Council</w:t>
      </w:r>
      <w:r>
        <w:t xml:space="preserve"> means the Heritage Council of Western Australia established by the </w:t>
      </w:r>
      <w:r>
        <w:rPr>
          <w:i/>
        </w:rPr>
        <w:t>Heritage Act 2018</w:t>
      </w:r>
      <w:r>
        <w:t>;</w:t>
      </w:r>
    </w:p>
    <w:p>
      <w:pPr>
        <w:pStyle w:val="Defstart"/>
      </w:pPr>
      <w:r>
        <w:tab/>
      </w:r>
      <w:r>
        <w:rPr>
          <w:rStyle w:val="CharDefText"/>
        </w:rPr>
        <w:t>improvement plan</w:t>
      </w:r>
      <w:r>
        <w:t xml:space="preserve"> means an improvement plan referred to in section 119;</w:t>
      </w:r>
    </w:p>
    <w:p>
      <w:pPr>
        <w:pStyle w:val="Defstart"/>
      </w:pPr>
      <w:r>
        <w:lastRenderedPageBreak/>
        <w:tab/>
      </w:r>
      <w:r>
        <w:rPr>
          <w:rStyle w:val="CharDefText"/>
        </w:rPr>
        <w:t>improvement scheme</w:t>
      </w:r>
      <w:r>
        <w:t xml:space="preserve"> means an improvement scheme that has effect under Part 8 Division 2;</w:t>
      </w:r>
    </w:p>
    <w:p>
      <w:pPr>
        <w:pStyle w:val="Defstart"/>
      </w:pPr>
      <w:r>
        <w:tab/>
      </w:r>
      <w:r>
        <w:rPr>
          <w:rStyle w:val="CharDefText"/>
        </w:rPr>
        <w:t>improvement scheme area</w:t>
      </w:r>
      <w:r>
        <w:t xml:space="preserve"> has the meaning given in section 122A(2);</w:t>
      </w:r>
    </w:p>
    <w:p>
      <w:pPr>
        <w:pStyle w:val="Defstart"/>
        <w:keepNext/>
      </w:pPr>
      <w:r>
        <w:tab/>
      </w:r>
      <w:r>
        <w:rPr>
          <w:rStyle w:val="CharDefText"/>
        </w:rPr>
        <w:t>interim development order</w:t>
      </w:r>
      <w:r>
        <w:t xml:space="preserve"> means a regional interim development order or a local interim development order;</w:t>
      </w:r>
    </w:p>
    <w:p>
      <w:pPr>
        <w:pStyle w:val="Defstart"/>
      </w:pPr>
      <w:r>
        <w:tab/>
      </w:r>
      <w:r>
        <w:rPr>
          <w:rStyle w:val="CharDefText"/>
        </w:rPr>
        <w:t>JDAP</w:t>
      </w:r>
      <w:r>
        <w:t xml:space="preserve"> means a Joint Development Assessment Panel established under section 171C;</w:t>
      </w:r>
    </w:p>
    <w:p>
      <w:pPr>
        <w:pStyle w:val="Defstart"/>
      </w:pPr>
      <w:r>
        <w:tab/>
      </w:r>
      <w:r>
        <w:rPr>
          <w:rStyle w:val="CharDefText"/>
        </w:rPr>
        <w:t>LAA Department</w:t>
      </w:r>
      <w:r>
        <w:t xml:space="preserve"> means the department principally assisting in the administration of the </w:t>
      </w:r>
      <w:r>
        <w:rPr>
          <w:i/>
        </w:rPr>
        <w:t>Land Administration Act 1997</w:t>
      </w:r>
      <w:r>
        <w:t>;</w:t>
      </w:r>
    </w:p>
    <w:p>
      <w:pPr>
        <w:pStyle w:val="Defstart"/>
      </w:pPr>
      <w:r>
        <w:tab/>
      </w:r>
      <w:r>
        <w:rPr>
          <w:rStyle w:val="CharDefText"/>
        </w:rPr>
        <w:t>land</w:t>
      </w:r>
      <w:r>
        <w:t xml:space="preserve"> includes — </w:t>
      </w:r>
    </w:p>
    <w:p>
      <w:pPr>
        <w:pStyle w:val="Defpara"/>
      </w:pPr>
      <w:r>
        <w:tab/>
        <w:t>(a)</w:t>
      </w:r>
      <w:r>
        <w:tab/>
        <w:t>land, tenements and hereditaments; and</w:t>
      </w:r>
    </w:p>
    <w:p>
      <w:pPr>
        <w:pStyle w:val="Defpara"/>
      </w:pPr>
      <w:r>
        <w:tab/>
        <w:t>(b)</w:t>
      </w:r>
      <w:r>
        <w:tab/>
        <w:t>any interest in land, tenements and hereditaments; and</w:t>
      </w:r>
    </w:p>
    <w:p>
      <w:pPr>
        <w:pStyle w:val="Defpara"/>
      </w:pPr>
      <w:r>
        <w:tab/>
        <w:t>(c)</w:t>
      </w:r>
      <w:r>
        <w:tab/>
        <w:t>houses, buildings, and other works and structures;</w:t>
      </w:r>
    </w:p>
    <w:p>
      <w:pPr>
        <w:pStyle w:val="Defstart"/>
      </w:pPr>
      <w:r>
        <w:tab/>
      </w:r>
      <w:r>
        <w:rPr>
          <w:rStyle w:val="CharDefText"/>
        </w:rPr>
        <w:t>LDAP</w:t>
      </w:r>
      <w:r>
        <w:t xml:space="preserve"> means a Local Development Assessment Panel established under section 171C;</w:t>
      </w:r>
    </w:p>
    <w:p>
      <w:pPr>
        <w:pStyle w:val="Defstart"/>
      </w:pPr>
      <w:r>
        <w:tab/>
      </w:r>
      <w:r>
        <w:rPr>
          <w:rStyle w:val="CharDefText"/>
        </w:rPr>
        <w:t>local interim development order</w:t>
      </w:r>
      <w:r>
        <w:t xml:space="preserve"> means an interim development order made under section 102;</w:t>
      </w:r>
    </w:p>
    <w:p>
      <w:pPr>
        <w:pStyle w:val="Defstart"/>
      </w:pPr>
      <w:r>
        <w:tab/>
      </w:r>
      <w:r>
        <w:rPr>
          <w:rStyle w:val="CharDefText"/>
        </w:rPr>
        <w:t>local order area</w:t>
      </w:r>
      <w:r>
        <w:t xml:space="preserve"> means an area affected by, and specified in, a local interim development order;</w:t>
      </w:r>
    </w:p>
    <w:p>
      <w:pPr>
        <w:pStyle w:val="Defstart"/>
      </w:pPr>
      <w:r>
        <w:tab/>
      </w:r>
      <w:r>
        <w:rPr>
          <w:rStyle w:val="CharDefText"/>
        </w:rPr>
        <w:t>local planning scheme</w:t>
      </w:r>
      <w:r>
        <w:t xml:space="preserve"> means a planning scheme of effect or continued under Part 5;</w:t>
      </w:r>
    </w:p>
    <w:p>
      <w:pPr>
        <w:pStyle w:val="Defstart"/>
      </w:pPr>
      <w:r>
        <w:tab/>
      </w:r>
      <w:r>
        <w:rPr>
          <w:rStyle w:val="CharDefText"/>
        </w:rPr>
        <w:t>lot</w:t>
      </w:r>
      <w:r>
        <w:t xml:space="preserve"> means a defined portion of land — </w:t>
      </w:r>
    </w:p>
    <w:p>
      <w:pPr>
        <w:pStyle w:val="Defpara"/>
      </w:pPr>
      <w:r>
        <w:tab/>
        <w:t>(a)</w:t>
      </w:r>
      <w:r>
        <w:tab/>
        <w:t>depicted on a plan or diagram available from, or deposited with, the Authority and for which a separate Crown grant or certificate of title has been or can be issued; or</w:t>
      </w:r>
    </w:p>
    <w:p>
      <w:pPr>
        <w:pStyle w:val="Defpara"/>
      </w:pPr>
      <w:r>
        <w:tab/>
        <w:t>(b)</w:t>
      </w:r>
      <w:r>
        <w:tab/>
        <w:t>depicted on a diagram or plan of survey of a subdivision approved by the Commission; or</w:t>
      </w:r>
    </w:p>
    <w:p>
      <w:pPr>
        <w:pStyle w:val="Defpara"/>
      </w:pPr>
      <w:r>
        <w:tab/>
        <w:t>(c)</w:t>
      </w:r>
      <w:r>
        <w:tab/>
        <w:t xml:space="preserve">which is the whole of the land the subject of — </w:t>
      </w:r>
    </w:p>
    <w:p>
      <w:pPr>
        <w:pStyle w:val="Defsubpara"/>
      </w:pPr>
      <w:r>
        <w:tab/>
        <w:t>(i)</w:t>
      </w:r>
      <w:r>
        <w:tab/>
        <w:t xml:space="preserve">a Crown grant issued under the </w:t>
      </w:r>
      <w:r>
        <w:rPr>
          <w:i/>
        </w:rPr>
        <w:t>Land Act 1933</w:t>
      </w:r>
      <w:r>
        <w:rPr>
          <w:vertAlign w:val="superscript"/>
        </w:rPr>
        <w:t> 1</w:t>
      </w:r>
      <w:r>
        <w:t>; or</w:t>
      </w:r>
    </w:p>
    <w:p>
      <w:pPr>
        <w:pStyle w:val="Defsubpara"/>
        <w:keepLines w:val="0"/>
      </w:pPr>
      <w:r>
        <w:lastRenderedPageBreak/>
        <w:tab/>
        <w:t>(ii)</w:t>
      </w:r>
      <w:r>
        <w:tab/>
        <w:t xml:space="preserve">a certificate of title registered under the </w:t>
      </w:r>
      <w:r>
        <w:rPr>
          <w:i/>
        </w:rPr>
        <w:t>Transfer of Land Act 1893</w:t>
      </w:r>
      <w:r>
        <w:t>; or</w:t>
      </w:r>
    </w:p>
    <w:p>
      <w:pPr>
        <w:pStyle w:val="Defsubpara"/>
        <w:keepLines w:val="0"/>
      </w:pPr>
      <w:r>
        <w:tab/>
        <w:t>(iii)</w:t>
      </w:r>
      <w:r>
        <w:tab/>
        <w:t xml:space="preserve">a survey into a location or lot under section 27(2) of the </w:t>
      </w:r>
      <w:r>
        <w:rPr>
          <w:i/>
        </w:rPr>
        <w:t>Land Administration Act 1997</w:t>
      </w:r>
      <w:r>
        <w:t xml:space="preserve"> or a certificate of Crown land title the subject of such a survey; or</w:t>
      </w:r>
    </w:p>
    <w:p>
      <w:pPr>
        <w:pStyle w:val="Defsubpara"/>
        <w:keepLines w:val="0"/>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t xml:space="preserve">but does not include a lot as defined in the </w:t>
      </w:r>
      <w:r>
        <w:rPr>
          <w:i/>
        </w:rPr>
        <w:t>Strata Titles Act 1985</w:t>
      </w:r>
      <w:r>
        <w:t xml:space="preserve"> section 3(1);</w:t>
      </w:r>
    </w:p>
    <w:p>
      <w:pPr>
        <w:pStyle w:val="Defstart"/>
      </w:pPr>
      <w:r>
        <w:tab/>
      </w:r>
      <w:r>
        <w:rPr>
          <w:rStyle w:val="CharDefText"/>
        </w:rPr>
        <w:t>member</w:t>
      </w:r>
      <w:r>
        <w:t xml:space="preserve"> means a member of the board;</w:t>
      </w:r>
    </w:p>
    <w:p>
      <w:pPr>
        <w:pStyle w:val="Defstart"/>
      </w:pPr>
      <w:r>
        <w:tab/>
      </w:r>
      <w:r>
        <w:rPr>
          <w:rStyle w:val="CharDefText"/>
        </w:rPr>
        <w:t>metropolitan region</w:t>
      </w:r>
      <w:r>
        <w:t xml:space="preserve"> means the region described in Schedule 3;</w:t>
      </w:r>
    </w:p>
    <w:p>
      <w:pPr>
        <w:pStyle w:val="Defstart"/>
      </w:pPr>
      <w:r>
        <w:tab/>
      </w:r>
      <w:r>
        <w:rPr>
          <w:rStyle w:val="CharDefText"/>
        </w:rPr>
        <w:t>Metropolitan Region Scheme</w:t>
      </w:r>
      <w:r>
        <w:t xml:space="preserve"> means the planning scheme continued under section 33(1), or any region planning scheme made in substitution for that scheme;</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rFonts w:eastAsia="Arial Unicode MS"/>
        </w:rPr>
      </w:pPr>
      <w:r>
        <w:rPr>
          <w:rFonts w:eastAsia="Arial Unicode MS"/>
          <w:b/>
        </w:rPr>
        <w:tab/>
      </w:r>
      <w:r>
        <w:rPr>
          <w:rStyle w:val="CharDefText"/>
          <w:rFonts w:eastAsia="Arial Unicode MS"/>
        </w:rPr>
        <w:t>MRI Account</w:t>
      </w:r>
      <w:r>
        <w:rPr>
          <w:rFonts w:eastAsia="Arial Unicode MS"/>
        </w:rPr>
        <w:t xml:space="preserve"> means the Metropolitan Region Improvement Account established under section 198;</w:t>
      </w:r>
    </w:p>
    <w:p>
      <w:pPr>
        <w:pStyle w:val="Defstart"/>
      </w:pPr>
      <w:r>
        <w:tab/>
      </w:r>
      <w:r>
        <w:rPr>
          <w:rStyle w:val="CharDefText"/>
        </w:rPr>
        <w:t>officer of the Commission</w:t>
      </w:r>
      <w:r>
        <w:t xml:space="preserve"> means either of the following — </w:t>
      </w:r>
    </w:p>
    <w:p>
      <w:pPr>
        <w:pStyle w:val="Defpara"/>
      </w:pPr>
      <w:r>
        <w:tab/>
        <w:t>(a)</w:t>
      </w:r>
      <w:r>
        <w:tab/>
        <w:t>the Secretary to the Commission appointed under section 21(1);</w:t>
      </w:r>
    </w:p>
    <w:p>
      <w:pPr>
        <w:pStyle w:val="Defpara"/>
      </w:pPr>
      <w:r>
        <w:tab/>
        <w:t>(b)</w:t>
      </w:r>
      <w:r>
        <w:tab/>
        <w:t>a public service officer referred to in section 22;</w:t>
      </w:r>
    </w:p>
    <w:p>
      <w:pPr>
        <w:pStyle w:val="Defstart"/>
      </w:pPr>
      <w:r>
        <w:tab/>
      </w:r>
      <w:r>
        <w:rPr>
          <w:rStyle w:val="CharDefText"/>
        </w:rPr>
        <w:t>planning control area</w:t>
      </w:r>
      <w:r>
        <w:t xml:space="preserve"> means a planning control area declared and in force under section 112;</w:t>
      </w:r>
    </w:p>
    <w:p>
      <w:pPr>
        <w:pStyle w:val="Defstart"/>
        <w:keepNext/>
      </w:pPr>
      <w:r>
        <w:tab/>
      </w:r>
      <w:r>
        <w:rPr>
          <w:rStyle w:val="CharDefText"/>
        </w:rPr>
        <w:t>planning scheme</w:t>
      </w:r>
      <w:r>
        <w:t xml:space="preserve"> means a local planning scheme, region planning scheme or improvement scheme that has effect under </w:t>
      </w:r>
      <w:r>
        <w:lastRenderedPageBreak/>
        <w:t xml:space="preserve">this Act, or the Swan Valley Planning Scheme that has effect under the </w:t>
      </w:r>
      <w:r>
        <w:rPr>
          <w:i/>
        </w:rPr>
        <w:t>Swan Valley Planning Act 2020</w:t>
      </w:r>
      <w:r>
        <w:t xml:space="preserve">, and includes — </w:t>
      </w:r>
    </w:p>
    <w:p>
      <w:pPr>
        <w:pStyle w:val="Indenta"/>
      </w:pPr>
      <w:r>
        <w:tab/>
        <w:t>(a)</w:t>
      </w:r>
      <w:r>
        <w:tab/>
        <w:t xml:space="preserve">in the case of a local planning scheme, region planning scheme or improvement scheme that has effect under this Act — the provisions of the scheme being — </w:t>
      </w:r>
    </w:p>
    <w:p>
      <w:pPr>
        <w:pStyle w:val="Indenti"/>
      </w:pPr>
      <w:r>
        <w:tab/>
        <w:t>(i)</w:t>
      </w:r>
      <w:r>
        <w:tab/>
        <w:t>the provisions set out in the scheme; and</w:t>
      </w:r>
    </w:p>
    <w:p>
      <w:pPr>
        <w:pStyle w:val="Indenti"/>
      </w:pPr>
      <w:r>
        <w:tab/>
        <w:t>(ii)</w:t>
      </w:r>
      <w:r>
        <w:tab/>
        <w:t>any State planning policy that, with any modifications set out in the scheme, has effect under section 77(2)(b) as part of the scheme; and</w:t>
      </w:r>
    </w:p>
    <w:p>
      <w:pPr>
        <w:pStyle w:val="Indenti"/>
      </w:pPr>
      <w:r>
        <w:tab/>
        <w:t>(iii)</w:t>
      </w:r>
      <w:r>
        <w:tab/>
        <w:t>any provisions that have effect under section 257B(2) as part of the scheme;</w:t>
      </w:r>
    </w:p>
    <w:p>
      <w:pPr>
        <w:pStyle w:val="Indenta"/>
      </w:pPr>
      <w:r>
        <w:tab/>
      </w:r>
      <w:r>
        <w:tab/>
        <w:t>and</w:t>
      </w:r>
    </w:p>
    <w:p>
      <w:pPr>
        <w:pStyle w:val="Defpara"/>
      </w:pPr>
      <w:r>
        <w:tab/>
        <w:t>(aa)</w:t>
      </w:r>
      <w:r>
        <w:tab/>
        <w:t xml:space="preserve">in the case of the Swan Valley Planning Scheme — the provisions of the scheme being — </w:t>
      </w:r>
    </w:p>
    <w:p>
      <w:pPr>
        <w:pStyle w:val="Defsubpara"/>
      </w:pPr>
      <w:r>
        <w:tab/>
        <w:t>(i)</w:t>
      </w:r>
      <w:r>
        <w:tab/>
        <w:t>the provisions set out in the scheme; and</w:t>
      </w:r>
    </w:p>
    <w:p>
      <w:pPr>
        <w:pStyle w:val="Defsubpara"/>
      </w:pPr>
      <w:r>
        <w:tab/>
        <w:t>(ii)</w:t>
      </w:r>
      <w:r>
        <w:tab/>
        <w:t xml:space="preserve">any provisions of a kind referred to in the </w:t>
      </w:r>
      <w:r>
        <w:rPr>
          <w:i/>
        </w:rPr>
        <w:t>Swan Valley Planning Act 2020</w:t>
      </w:r>
      <w:r>
        <w:t xml:space="preserve"> section 11 that, with any modifications set out in the scheme, have effect under that section as part of the scheme;</w:t>
      </w:r>
    </w:p>
    <w:p>
      <w:pPr>
        <w:pStyle w:val="Defpara"/>
      </w:pPr>
      <w:r>
        <w:tab/>
      </w:r>
      <w:r>
        <w:tab/>
        <w:t>and</w:t>
      </w:r>
    </w:p>
    <w:p>
      <w:pPr>
        <w:pStyle w:val="Defpara"/>
      </w:pPr>
      <w:r>
        <w:tab/>
        <w:t>(b)</w:t>
      </w:r>
      <w:r>
        <w:tab/>
        <w:t>all maps, plans, specifications and other particulars contained in the scheme and colourings, markings or legends on the scheme;</w:t>
      </w:r>
    </w:p>
    <w:p>
      <w:pPr>
        <w:pStyle w:val="Defstart"/>
        <w:keepNext/>
        <w:keepLines/>
      </w:pPr>
      <w:r>
        <w:tab/>
      </w:r>
      <w:r>
        <w:rPr>
          <w:rStyle w:val="CharDefText"/>
        </w:rPr>
        <w:t>public authority</w:t>
      </w:r>
      <w:r>
        <w:t xml:space="preserve"> means any of the following — </w:t>
      </w:r>
    </w:p>
    <w:p>
      <w:pPr>
        <w:pStyle w:val="Defpara"/>
        <w:keepLines/>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keepNext/>
      </w:pPr>
      <w:r>
        <w:lastRenderedPageBreak/>
        <w:tab/>
      </w:r>
      <w:r>
        <w:rPr>
          <w:rStyle w:val="CharDefText"/>
        </w:rPr>
        <w:t>public work</w:t>
      </w:r>
      <w:r>
        <w:t xml:space="preserve"> includes the following — </w:t>
      </w:r>
    </w:p>
    <w:p>
      <w:pPr>
        <w:pStyle w:val="Defpara"/>
      </w:pPr>
      <w:r>
        <w:tab/>
        <w:t>(a)</w:t>
      </w:r>
      <w:r>
        <w:tab/>
        <w:t xml:space="preserve">any public work as defined in the </w:t>
      </w:r>
      <w:r>
        <w:rPr>
          <w:i/>
        </w:rPr>
        <w:t>Public Works Act 1902</w:t>
      </w:r>
      <w:r>
        <w:t>;</w:t>
      </w:r>
    </w:p>
    <w:p>
      <w:pPr>
        <w:pStyle w:val="Defpara"/>
      </w:pPr>
      <w:r>
        <w:tab/>
        <w:t>(b)</w:t>
      </w:r>
      <w:r>
        <w:tab/>
        <w:t>development in any area to which a region planning scheme applies if the development is of a class or kind designated as public work under the scheme;</w:t>
      </w:r>
    </w:p>
    <w:p>
      <w:pPr>
        <w:pStyle w:val="Defpara"/>
      </w:pPr>
      <w:r>
        <w:tab/>
        <w:t>(c)</w:t>
      </w:r>
      <w:r>
        <w:tab/>
        <w:t>development in any area to which a local planning scheme applies if the development is of a class or kind designated as public work under the scheme;</w:t>
      </w:r>
    </w:p>
    <w:p>
      <w:pPr>
        <w:pStyle w:val="Defstart"/>
      </w:pPr>
      <w:r>
        <w:tab/>
      </w:r>
      <w:r>
        <w:rPr>
          <w:rStyle w:val="CharDefText"/>
        </w:rPr>
        <w:t>region</w:t>
      </w:r>
      <w:r>
        <w:t xml:space="preserve"> means the metropolitan region or a region referred to in Schedule 4;</w:t>
      </w:r>
    </w:p>
    <w:p>
      <w:pPr>
        <w:pStyle w:val="Defstart"/>
      </w:pPr>
      <w:r>
        <w:tab/>
      </w:r>
      <w:r>
        <w:rPr>
          <w:rStyle w:val="CharDefText"/>
        </w:rPr>
        <w:t>region planning scheme</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rStyle w:val="CharDefText"/>
        </w:rPr>
        <w:t>regional interim development order</w:t>
      </w:r>
      <w:r>
        <w:t xml:space="preserve"> means an interim development order made under section 98;</w:t>
      </w:r>
    </w:p>
    <w:p>
      <w:pPr>
        <w:pStyle w:val="Defstart"/>
      </w:pPr>
      <w:r>
        <w:tab/>
      </w:r>
      <w:r>
        <w:rPr>
          <w:rStyle w:val="CharDefText"/>
        </w:rPr>
        <w:t>Regional Minister</w:t>
      </w:r>
      <w:r>
        <w:t xml:space="preserve"> means the Minister to whom the Governor has for the time being committed the administration of the </w:t>
      </w:r>
      <w:r>
        <w:rPr>
          <w:i/>
        </w:rPr>
        <w:t>Regional Development Commissions Act 1993</w:t>
      </w:r>
      <w:r>
        <w:t>;</w:t>
      </w:r>
    </w:p>
    <w:p>
      <w:pPr>
        <w:pStyle w:val="Defstart"/>
      </w:pPr>
      <w:r>
        <w:tab/>
      </w:r>
      <w:r>
        <w:rPr>
          <w:rStyle w:val="CharDefText"/>
        </w:rPr>
        <w:t>regional order area</w:t>
      </w:r>
      <w:r>
        <w:t xml:space="preserve"> means an area affected by, and specified in, a regional interim development order;</w:t>
      </w:r>
    </w:p>
    <w:p>
      <w:pPr>
        <w:pStyle w:val="Defstart"/>
      </w:pPr>
      <w:r>
        <w:tab/>
      </w:r>
      <w:r>
        <w:rPr>
          <w:rStyle w:val="CharDefText"/>
        </w:rPr>
        <w:t>responsible authority</w:t>
      </w:r>
      <w:r>
        <w:t xml:space="preserve">, except as provided in regulations made under section 171A(2)(a),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keepLines/>
      </w:pPr>
      <w:r>
        <w:lastRenderedPageBreak/>
        <w:tab/>
        <w:t>(b)</w:t>
      </w:r>
      <w:r>
        <w:tab/>
        <w:t>in relation to a region planning scheme, regional interim development order or planning control area, the Commission or a local government exercising the powers of the Commission; and</w:t>
      </w:r>
    </w:p>
    <w:p>
      <w:pPr>
        <w:pStyle w:val="Defpara"/>
      </w:pPr>
      <w:r>
        <w:tab/>
        <w:t>(c)</w:t>
      </w:r>
      <w:r>
        <w:tab/>
        <w:t>in relation to an improvement scheme or the Swan Valley Planning Scheme, the Commission;</w:t>
      </w:r>
    </w:p>
    <w:p>
      <w:pPr>
        <w:pStyle w:val="Defstart"/>
      </w:pPr>
      <w:r>
        <w:tab/>
      </w:r>
      <w:r>
        <w:rPr>
          <w:rStyle w:val="CharDefText"/>
        </w:rPr>
        <w:t>road</w:t>
      </w:r>
      <w:r>
        <w:t xml:space="preserve"> means a public thoroughfare for vehicles (as defined in the </w:t>
      </w:r>
      <w:r>
        <w:rPr>
          <w:i/>
          <w:iCs/>
        </w:rPr>
        <w:t>Road Traffic (Administration) Act 2008</w:t>
      </w:r>
      <w:r>
        <w:t xml:space="preserve"> section 4) or pedestrians, and includes structures or other things appurtenant to the road that are within its limits, and a thoroughfare is not prevented from being a road only because it is not open at each end;</w:t>
      </w:r>
    </w:p>
    <w:p>
      <w:pPr>
        <w:pStyle w:val="Defstart"/>
      </w:pPr>
      <w:r>
        <w:tab/>
      </w:r>
      <w:r>
        <w:rPr>
          <w:rStyle w:val="CharDefText"/>
        </w:rPr>
        <w:t>State planning policy</w:t>
      </w:r>
      <w:r>
        <w:t xml:space="preserve"> means a planning policy approved under section 29;</w:t>
      </w:r>
    </w:p>
    <w:p>
      <w:pPr>
        <w:pStyle w:val="Defstart"/>
      </w:pPr>
      <w:r>
        <w:tab/>
      </w:r>
      <w:r>
        <w:rPr>
          <w:rStyle w:val="CharDefText"/>
        </w:rPr>
        <w:t>subdivision</w:t>
      </w:r>
      <w:r>
        <w:t xml:space="preserve"> includes amalgamation;</w:t>
      </w:r>
    </w:p>
    <w:p>
      <w:pPr>
        <w:pStyle w:val="Defstart"/>
      </w:pPr>
      <w:r>
        <w:tab/>
      </w:r>
      <w:r>
        <w:rPr>
          <w:rStyle w:val="CharDefText"/>
        </w:rPr>
        <w:t>Swan Valley</w:t>
      </w:r>
      <w:r>
        <w:t xml:space="preserve"> has the meaning given in the </w:t>
      </w:r>
      <w:r>
        <w:rPr>
          <w:i/>
        </w:rPr>
        <w:t>Swan Valley Planning Act 2020</w:t>
      </w:r>
      <w:r>
        <w:t xml:space="preserve"> section 3;</w:t>
      </w:r>
    </w:p>
    <w:p>
      <w:pPr>
        <w:pStyle w:val="Defstart"/>
      </w:pPr>
      <w:r>
        <w:tab/>
      </w:r>
      <w:r>
        <w:rPr>
          <w:rStyle w:val="CharDefText"/>
        </w:rPr>
        <w:t>Swan Valley Planning Scheme</w:t>
      </w:r>
      <w:r>
        <w:t xml:space="preserve"> has the meaning given in the </w:t>
      </w:r>
      <w:r>
        <w:rPr>
          <w:i/>
        </w:rPr>
        <w:t>Swan Valley Planning Act 2020</w:t>
      </w:r>
      <w:r>
        <w:t xml:space="preserve"> section 3;</w:t>
      </w:r>
    </w:p>
    <w:p>
      <w:pPr>
        <w:pStyle w:val="Defstart"/>
      </w:pPr>
      <w:r>
        <w:tab/>
      </w:r>
      <w:r>
        <w:rPr>
          <w:rStyle w:val="CharDefText"/>
        </w:rPr>
        <w:t>utility services</w:t>
      </w:r>
      <w:r>
        <w:t xml:space="preserve"> means drainage, electricity, sewerage or water supply services or such other services as are prescribed;</w:t>
      </w:r>
    </w:p>
    <w:p>
      <w:pPr>
        <w:pStyle w:val="Defstart"/>
      </w:pPr>
      <w:r>
        <w:tab/>
      </w:r>
      <w:r>
        <w:rPr>
          <w:rStyle w:val="CharDefText"/>
        </w:rPr>
        <w:t>WALGA</w:t>
      </w:r>
      <w:r>
        <w:t xml:space="preserve"> means the body constituted under section 9.58 of the </w:t>
      </w:r>
      <w:r>
        <w:rPr>
          <w:i/>
        </w:rPr>
        <w:t>Local Government Act 1995</w:t>
      </w:r>
      <w:r>
        <w:t xml:space="preserve"> and known as the Western Australian Local Government Association.</w:t>
      </w:r>
    </w:p>
    <w:p>
      <w:pPr>
        <w:pStyle w:val="Subsection"/>
        <w:keepNext/>
      </w:pPr>
      <w:r>
        <w:tab/>
        <w:t>(2)</w:t>
      </w:r>
      <w:r>
        <w:tab/>
        <w:t xml:space="preserve">In this Act, unless the contrary intention appears, a reference to — </w:t>
      </w:r>
    </w:p>
    <w:p>
      <w:pPr>
        <w:pStyle w:val="Indenta"/>
      </w:pPr>
      <w:r>
        <w:tab/>
        <w:t>(a)</w:t>
      </w:r>
      <w:r>
        <w:tab/>
        <w:t>“the preparation of a local planning scheme” or “the amendment of a local planning scheme” includes a reference to the adoption of a local planning scheme or amendment;</w:t>
      </w:r>
    </w:p>
    <w:p>
      <w:pPr>
        <w:pStyle w:val="Indenta"/>
        <w:keepNext/>
      </w:pPr>
      <w:r>
        <w:tab/>
        <w:t>(b)</w:t>
      </w:r>
      <w:r>
        <w:tab/>
        <w:t xml:space="preserve">“a local planning scheme prepared by a local government” or “an amendment prepared by a local </w:t>
      </w:r>
      <w:r>
        <w:lastRenderedPageBreak/>
        <w:t>government” includes a reference to a planning scheme or amendment adopted by it,</w:t>
      </w:r>
    </w:p>
    <w:p>
      <w:pPr>
        <w:pStyle w:val="Subsection"/>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[Section 4 amended: No. 60 of 2006 s. 147(2); No. 77 of 2006 Sch. 1 cl. 127(1); No. 21 of 2008 s. 690; No. 28 of 2010 s. 4, 41 and 52; No. 8 of 2012 s. 161; No. 22 of 2018 s. 186(2); No. 30 of 2018 s. 161; No. 26 of 2020 s. 11; No. 45 of 2020 s. 57; No. 9 of 2022 s. 424.]</w:t>
      </w:r>
    </w:p>
    <w:p>
      <w:pPr>
        <w:pStyle w:val="Heading5"/>
        <w:spacing w:before="180"/>
      </w:pPr>
      <w:bookmarkStart w:id="7" w:name="_Toc199322255"/>
      <w:r>
        <w:rPr>
          <w:rStyle w:val="CharSectno"/>
        </w:rPr>
        <w:t>5</w:t>
      </w:r>
      <w:r>
        <w:t>.</w:t>
      </w:r>
      <w:r>
        <w:tab/>
        <w:t>Crown bound</w:t>
      </w:r>
      <w:bookmarkEnd w:id="7"/>
    </w:p>
    <w:p>
      <w:pPr>
        <w:pStyle w:val="Subsection"/>
        <w:spacing w:before="120"/>
      </w:pPr>
      <w:r>
        <w:tab/>
        <w:t>(1)</w:t>
      </w:r>
      <w:r>
        <w:tab/>
        <w:t>Except as provided in section 6 this Act binds the Crown.</w:t>
      </w:r>
    </w:p>
    <w:p>
      <w:pPr>
        <w:pStyle w:val="Subsection"/>
        <w:spacing w:before="120"/>
      </w:pPr>
      <w:r>
        <w:tab/>
        <w:t>(2)</w:t>
      </w:r>
      <w:r>
        <w:tab/>
        <w:t>A region planning scheme binds the Crown.</w:t>
      </w:r>
    </w:p>
    <w:p>
      <w:pPr>
        <w:pStyle w:val="Subsection"/>
      </w:pPr>
      <w:r>
        <w:tab/>
        <w:t>(3)</w:t>
      </w:r>
      <w:r>
        <w:tab/>
        <w:t>An improvement scheme binds the Crown.</w:t>
      </w:r>
    </w:p>
    <w:p>
      <w:pPr>
        <w:pStyle w:val="Footnotesection"/>
      </w:pPr>
      <w:r>
        <w:tab/>
        <w:t xml:space="preserve">[Section 5 amended: No. 28 of 2010 s. 5.] </w:t>
      </w:r>
    </w:p>
    <w:p>
      <w:pPr>
        <w:pStyle w:val="Heading5"/>
        <w:spacing w:before="180"/>
      </w:pPr>
      <w:bookmarkStart w:id="8" w:name="_Toc199322256"/>
      <w:r>
        <w:rPr>
          <w:rStyle w:val="CharSectno"/>
        </w:rPr>
        <w:t>6</w:t>
      </w:r>
      <w:r>
        <w:t>.</w:t>
      </w:r>
      <w:r>
        <w:tab/>
        <w:t>Act does not interfere with public works</w:t>
      </w:r>
      <w:bookmarkEnd w:id="8"/>
    </w:p>
    <w:p>
      <w:pPr>
        <w:pStyle w:val="Subsection"/>
        <w:keepNext/>
        <w:keepLines/>
      </w:pPr>
      <w:r>
        <w:tab/>
        <w:t>(1)</w:t>
      </w:r>
      <w:r>
        <w:tab/>
        <w:t xml:space="preserve">Subject to subsections (2) to (4), nothing in this Act interferes with the right of the Crown, or the Governor, or a public authority,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keepNext/>
      </w:pPr>
      <w:r>
        <w:lastRenderedPageBreak/>
        <w:tab/>
        <w:t>(2)</w:t>
      </w:r>
      <w:r>
        <w:tab/>
        <w:t xml:space="preserve">Rights referred to in subsection (1) are to be exercised having due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 and</w:t>
      </w:r>
    </w:p>
    <w:p>
      <w:pPr>
        <w:pStyle w:val="Indenta"/>
      </w:pPr>
      <w:r>
        <w:tab/>
        <w:t>(c)</w:t>
      </w:r>
      <w:r>
        <w:tab/>
        <w:t>any advice provided by the responsible authority in the course of the consultation required under subsection (3) in respect of the exercise of the right.</w:t>
      </w:r>
    </w:p>
    <w:p>
      <w:pPr>
        <w:pStyle w:val="Subsection"/>
      </w:pPr>
      <w:r>
        <w:tab/>
        <w:t>(3)</w:t>
      </w:r>
      <w:r>
        <w:tab/>
        <w:t>At the time when a proposal for any public work, or for the taking of land for a public work, is being formulated, the responsible authority is to be consulted as to whether the undertaking, construction or provision of, or the taking of land for, the public work will be consistent with the matters referred to in subsection (2)(a) and (b).</w:t>
      </w:r>
    </w:p>
    <w:p>
      <w:pPr>
        <w:pStyle w:val="Subsection"/>
      </w:pPr>
      <w:r>
        <w:tab/>
        <w:t>(4)</w:t>
      </w:r>
      <w:r>
        <w:tab/>
        <w:t xml:space="preserve">This section does not affect — </w:t>
      </w:r>
    </w:p>
    <w:p>
      <w:pPr>
        <w:pStyle w:val="Indenta"/>
      </w:pPr>
      <w:r>
        <w:tab/>
        <w:t>(a)</w:t>
      </w:r>
      <w:r>
        <w:tab/>
        <w:t>the application of section 5(2) and (3); or</w:t>
      </w:r>
    </w:p>
    <w:p>
      <w:pPr>
        <w:pStyle w:val="Indenta"/>
      </w:pPr>
      <w:r>
        <w:tab/>
        <w:t>(b)</w:t>
      </w:r>
      <w:r>
        <w:tab/>
        <w:t>the application of a region planning scheme or an improvement scheme in relation to anything done, or proposed to be done, by a public authority that is not an agency of the Crown.</w:t>
      </w:r>
    </w:p>
    <w:p>
      <w:pPr>
        <w:pStyle w:val="Footnotesection"/>
      </w:pPr>
      <w:r>
        <w:tab/>
        <w:t xml:space="preserve">[Section 6 amended: No. 28 of 2010 s. 6; No. 26 of 2020 s. 12.] </w:t>
      </w:r>
    </w:p>
    <w:p>
      <w:pPr>
        <w:pStyle w:val="Heading2"/>
      </w:pPr>
      <w:bookmarkStart w:id="9" w:name="_Toc199322257"/>
      <w:r>
        <w:rPr>
          <w:rStyle w:val="CharPartNo"/>
        </w:rPr>
        <w:lastRenderedPageBreak/>
        <w:t>Part 2</w:t>
      </w:r>
      <w:r>
        <w:t> — </w:t>
      </w:r>
      <w:r>
        <w:rPr>
          <w:rStyle w:val="CharPartText"/>
        </w:rPr>
        <w:t>The Western Australian Planning Commission</w:t>
      </w:r>
      <w:bookmarkEnd w:id="9"/>
    </w:p>
    <w:p>
      <w:pPr>
        <w:pStyle w:val="Heading3"/>
      </w:pPr>
      <w:bookmarkStart w:id="10" w:name="_Toc199322258"/>
      <w:r>
        <w:rPr>
          <w:rStyle w:val="CharDivNo"/>
        </w:rPr>
        <w:t>Division 1</w:t>
      </w:r>
      <w:r>
        <w:t> — </w:t>
      </w:r>
      <w:r>
        <w:rPr>
          <w:rStyle w:val="CharDivText"/>
        </w:rPr>
        <w:t>Establishment and management</w:t>
      </w:r>
      <w:bookmarkEnd w:id="10"/>
    </w:p>
    <w:p>
      <w:pPr>
        <w:pStyle w:val="Heading5"/>
      </w:pPr>
      <w:bookmarkStart w:id="11" w:name="_Toc199322259"/>
      <w:r>
        <w:rPr>
          <w:rStyle w:val="CharSectno"/>
        </w:rPr>
        <w:t>7</w:t>
      </w:r>
      <w:r>
        <w:t>.</w:t>
      </w:r>
      <w:r>
        <w:tab/>
        <w:t>Commission established</w:t>
      </w:r>
      <w:bookmarkEnd w:id="11"/>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12" w:name="_Toc199322260"/>
      <w:r>
        <w:rPr>
          <w:rStyle w:val="CharSectno"/>
        </w:rPr>
        <w:t>8</w:t>
      </w:r>
      <w:r>
        <w:t>.</w:t>
      </w:r>
      <w:r>
        <w:tab/>
        <w:t>Status</w:t>
      </w:r>
      <w:bookmarkEnd w:id="12"/>
    </w:p>
    <w:p>
      <w:pPr>
        <w:pStyle w:val="Subsection"/>
      </w:pPr>
      <w:r>
        <w:tab/>
      </w:r>
      <w:r>
        <w:tab/>
        <w:t>The Commission is an agent of the State and has the status, immunities and privileges of the State.</w:t>
      </w:r>
    </w:p>
    <w:p>
      <w:pPr>
        <w:pStyle w:val="Heading5"/>
      </w:pPr>
      <w:bookmarkStart w:id="13" w:name="_Toc199322261"/>
      <w:r>
        <w:rPr>
          <w:rStyle w:val="CharSectno"/>
        </w:rPr>
        <w:t>9</w:t>
      </w:r>
      <w:r>
        <w:t>.</w:t>
      </w:r>
      <w:r>
        <w:tab/>
        <w:t>Board of management</w:t>
      </w:r>
      <w:bookmarkEnd w:id="13"/>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14" w:name="_Toc199322262"/>
      <w:r>
        <w:rPr>
          <w:rStyle w:val="CharSectno"/>
        </w:rPr>
        <w:t>10</w:t>
      </w:r>
      <w:r>
        <w:t>.</w:t>
      </w:r>
      <w:r>
        <w:tab/>
        <w:t>Membership of board</w:t>
      </w:r>
      <w:bookmarkEnd w:id="14"/>
    </w:p>
    <w:p>
      <w:pPr>
        <w:pStyle w:val="Subsection"/>
        <w:spacing w:before="120"/>
      </w:pPr>
      <w:r>
        <w:tab/>
        <w:t>(1)</w:t>
      </w:r>
      <w:r>
        <w:tab/>
        <w:t xml:space="preserve">The board is to consist of the following members — </w:t>
      </w:r>
    </w:p>
    <w:p>
      <w:pPr>
        <w:pStyle w:val="Indenta"/>
      </w:pPr>
      <w:r>
        <w:tab/>
        <w:t>(a)</w:t>
      </w:r>
      <w:r>
        <w:tab/>
        <w:t>a chairperson appointed by the Governor on the nomination of the Minister; and</w:t>
      </w:r>
    </w:p>
    <w:p>
      <w:pPr>
        <w:pStyle w:val="Indenta"/>
      </w:pPr>
      <w:r>
        <w:tab/>
        <w:t>(b)</w:t>
      </w:r>
      <w:r>
        <w:tab/>
        <w:t xml:space="preserve">6 members appointed by the Governor, of whom — </w:t>
      </w:r>
    </w:p>
    <w:p>
      <w:pPr>
        <w:pStyle w:val="Indenti"/>
      </w:pPr>
      <w:r>
        <w:tab/>
        <w:t>(i)</w:t>
      </w:r>
      <w:r>
        <w:tab/>
        <w:t xml:space="preserve">one is to be a person nominated by the Minister from a list of the names of 4 persons representing the interests of local governments within the </w:t>
      </w:r>
      <w:r>
        <w:lastRenderedPageBreak/>
        <w:t>metropolitan region submitted to the Minister by WALGA; and</w:t>
      </w:r>
    </w:p>
    <w:p>
      <w:pPr>
        <w:pStyle w:val="Indenti"/>
      </w:pPr>
      <w:r>
        <w:tab/>
        <w:t>(ii)</w:t>
      </w:r>
      <w:r>
        <w:tab/>
        <w:t>one is to be a person nominated by the Minister from a list of the names of 4 persons representing the interests of the local governments outside the metropolitan region submitted to the Minister by WALGA; and</w:t>
      </w:r>
    </w:p>
    <w:p>
      <w:pPr>
        <w:pStyle w:val="Indenti"/>
      </w:pPr>
      <w:r>
        <w:tab/>
        <w:t>(iii)</w:t>
      </w:r>
      <w:r>
        <w:tab/>
        <w:t>one is to be a person nominated by the Minister as having experience of the field of coastal planning and management; and</w:t>
      </w:r>
    </w:p>
    <w:p>
      <w:pPr>
        <w:pStyle w:val="Indenti"/>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 and</w:t>
      </w:r>
    </w:p>
    <w:p>
      <w:pPr>
        <w:pStyle w:val="Indenti"/>
      </w:pPr>
      <w:r>
        <w:tab/>
        <w:t>(v)</w:t>
      </w:r>
      <w:r>
        <w:tab/>
        <w:t>one is to be a person nominated by the Minister as having practical knowledge of and experience in one or more of the fields of environmental conservation, natural resource management or heritage interests; and</w:t>
      </w:r>
    </w:p>
    <w:p>
      <w:pPr>
        <w:pStyle w:val="Indenti"/>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pPr>
      <w:r>
        <w:tab/>
      </w:r>
      <w:r>
        <w:tab/>
        <w:t>and</w:t>
      </w:r>
    </w:p>
    <w:p>
      <w:pPr>
        <w:pStyle w:val="Indenta"/>
      </w:pPr>
      <w:r>
        <w:tab/>
        <w:t>(c)</w:t>
      </w:r>
      <w:r>
        <w:tab/>
        <w:t xml:space="preserve">the least number of other members who include — </w:t>
      </w:r>
    </w:p>
    <w:p>
      <w:pPr>
        <w:pStyle w:val="Indenti"/>
      </w:pPr>
      <w:r>
        <w:tab/>
        <w:t>(i)</w:t>
      </w:r>
      <w:r>
        <w:tab/>
        <w:t>the chief executive officer of the department principally assisting in the administration of this Act; and</w:t>
      </w:r>
    </w:p>
    <w:p>
      <w:pPr>
        <w:pStyle w:val="Indenti"/>
      </w:pPr>
      <w:r>
        <w:lastRenderedPageBreak/>
        <w:tab/>
        <w:t>(ii)</w:t>
      </w:r>
      <w:r>
        <w:tab/>
        <w:t>the chief executive officer of the department principally assisting in the administration of the</w:t>
      </w:r>
      <w:r>
        <w:rPr>
          <w:i/>
        </w:rPr>
        <w:t xml:space="preserve"> </w:t>
      </w:r>
      <w:r>
        <w:rPr>
          <w:i/>
          <w:iCs/>
        </w:rPr>
        <w:t>Water Agencies (Powers) Act 1984</w:t>
      </w:r>
      <w:r>
        <w:t>; and</w:t>
      </w:r>
    </w:p>
    <w:p>
      <w:pPr>
        <w:pStyle w:val="Indenti"/>
      </w:pPr>
      <w:r>
        <w:tab/>
        <w:t>(iii)</w:t>
      </w:r>
      <w:r>
        <w:tab/>
        <w:t xml:space="preserve">the chief executive officer of the department principally assisting in the administration of the </w:t>
      </w:r>
      <w:r>
        <w:rPr>
          <w:i/>
        </w:rPr>
        <w:t>Transport Co</w:t>
      </w:r>
      <w:r>
        <w:rPr>
          <w:i/>
        </w:rPr>
        <w:noBreakHyphen/>
        <w:t>ordination Act 1966</w:t>
      </w:r>
      <w:r>
        <w:t>; and</w:t>
      </w:r>
    </w:p>
    <w:p>
      <w:pPr>
        <w:pStyle w:val="Indenti"/>
      </w:pPr>
      <w:r>
        <w:tab/>
        <w:t>(iv)</w:t>
      </w:r>
      <w:r>
        <w:tab/>
        <w:t xml:space="preserve">the chief executive officer of the department principally assisting in the administration of the </w:t>
      </w:r>
      <w:r>
        <w:rPr>
          <w:i/>
        </w:rPr>
        <w:t>Environmental Protection Act 1986</w:t>
      </w:r>
      <w:r>
        <w:t>; and</w:t>
      </w:r>
    </w:p>
    <w:p>
      <w:pPr>
        <w:pStyle w:val="Indenti"/>
      </w:pPr>
      <w:r>
        <w:tab/>
        <w:t>(v)</w:t>
      </w:r>
      <w:r>
        <w:tab/>
        <w:t xml:space="preserve">the chief executive officer of the department principally assisting in the administration of the </w:t>
      </w:r>
      <w:r>
        <w:rPr>
          <w:i/>
        </w:rPr>
        <w:t>Government Agreements Act 1979</w:t>
      </w:r>
      <w:r>
        <w:t>; and</w:t>
      </w:r>
    </w:p>
    <w:p>
      <w:pPr>
        <w:pStyle w:val="Indenti"/>
      </w:pPr>
      <w:r>
        <w:tab/>
        <w:t>(vi)</w:t>
      </w:r>
      <w:r>
        <w:tab/>
        <w:t xml:space="preserve">the chief executive officer of the department principally assisting in the administration of the </w:t>
      </w:r>
      <w:r>
        <w:rPr>
          <w:i/>
        </w:rPr>
        <w:t>Housing Act 1980</w:t>
      </w:r>
      <w:r>
        <w:t>; and</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keepNext/>
      </w:pPr>
      <w:r>
        <w:tab/>
        <w:t>(3)</w:t>
      </w:r>
      <w:r>
        <w:tab/>
        <w:t xml:space="preserve">If a submission is not made under subsection (2) within the time specified under that subsection, the Minister may nominate a </w:t>
      </w:r>
      <w:r>
        <w:lastRenderedPageBreak/>
        <w:t>person the Minister thinks fit to be a member in place of the person referred to in subsection (1)(b)(i) or (ii).</w:t>
      </w:r>
    </w:p>
    <w:p>
      <w:pPr>
        <w:pStyle w:val="Footnotesection"/>
      </w:pPr>
      <w:r>
        <w:tab/>
        <w:t>[Section 10 amended: No. 25 of 2012 s. 222(2).]</w:t>
      </w:r>
    </w:p>
    <w:p>
      <w:pPr>
        <w:pStyle w:val="Heading5"/>
        <w:keepLines w:val="0"/>
      </w:pPr>
      <w:bookmarkStart w:id="15" w:name="_Toc199322263"/>
      <w:r>
        <w:rPr>
          <w:rStyle w:val="CharSectno"/>
        </w:rPr>
        <w:t>11</w:t>
      </w:r>
      <w:r>
        <w:t>.</w:t>
      </w:r>
      <w:r>
        <w:tab/>
        <w:t>Associate members of board, for regions</w:t>
      </w:r>
      <w:bookmarkEnd w:id="15"/>
    </w:p>
    <w:p>
      <w:pPr>
        <w:pStyle w:val="Subsection"/>
        <w:keepNext/>
      </w:pPr>
      <w:r>
        <w:tab/>
        <w:t>(1)</w:t>
      </w:r>
      <w:r>
        <w:tab/>
        <w:t xml:space="preserve">In this section — </w:t>
      </w:r>
    </w:p>
    <w:p>
      <w:pPr>
        <w:pStyle w:val="Defstart"/>
      </w:pPr>
      <w:r>
        <w:tab/>
      </w:r>
      <w:r>
        <w:rPr>
          <w:rStyle w:val="CharDefText"/>
        </w:rPr>
        <w:t>regional matter</w:t>
      </w:r>
      <w:r>
        <w:t xml:space="preserve"> means a matter that, in the opinion of the chairperson, affects more than one local government in a region referred to in Schedule 4.</w:t>
      </w:r>
    </w:p>
    <w:p>
      <w:pPr>
        <w:pStyle w:val="Subsection"/>
        <w:spacing w:before="120"/>
      </w:pPr>
      <w:r>
        <w:tab/>
        <w:t>(2)</w:t>
      </w:r>
      <w:r>
        <w:tab/>
        <w:t>The Governor may, on the nomination of the Minister, appoint an associate member for a region referred to in Schedule 4.</w:t>
      </w:r>
    </w:p>
    <w:p>
      <w:pPr>
        <w:pStyle w:val="Subsection"/>
        <w:spacing w:before="120"/>
      </w:pPr>
      <w:r>
        <w:tab/>
        <w:t>(3)</w:t>
      </w:r>
      <w:r>
        <w:tab/>
        <w:t>Each nomination by the Minister for appointment as an associate member under subsection (2) is to be made on the recommendation of the Regional Minister.</w:t>
      </w:r>
    </w:p>
    <w:p>
      <w:pPr>
        <w:pStyle w:val="Subsection"/>
        <w:spacing w:before="120"/>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pPr>
      <w:bookmarkStart w:id="16" w:name="_Toc199322264"/>
      <w:r>
        <w:rPr>
          <w:rStyle w:val="CharSectno"/>
        </w:rPr>
        <w:t>12</w:t>
      </w:r>
      <w:r>
        <w:t>.</w:t>
      </w:r>
      <w:r>
        <w:tab/>
        <w:t>Board’s constitution and proceedings (Sch. 1)</w:t>
      </w:r>
      <w:bookmarkEnd w:id="16"/>
    </w:p>
    <w:p>
      <w:pPr>
        <w:pStyle w:val="Subsection"/>
        <w:spacing w:before="120"/>
      </w:pPr>
      <w:r>
        <w:tab/>
      </w:r>
      <w:r>
        <w:tab/>
        <w:t>Schedule 1 has effect.</w:t>
      </w:r>
    </w:p>
    <w:p>
      <w:pPr>
        <w:pStyle w:val="Heading5"/>
      </w:pPr>
      <w:bookmarkStart w:id="17" w:name="_Toc199322265"/>
      <w:r>
        <w:rPr>
          <w:rStyle w:val="CharSectno"/>
        </w:rPr>
        <w:t>13</w:t>
      </w:r>
      <w:r>
        <w:t>.</w:t>
      </w:r>
      <w:r>
        <w:tab/>
        <w:t>Remuneration and allowances</w:t>
      </w:r>
      <w:bookmarkEnd w:id="17"/>
    </w:p>
    <w:p>
      <w:pPr>
        <w:pStyle w:val="Subsection"/>
        <w:spacing w:before="120"/>
      </w:pPr>
      <w:r>
        <w:tab/>
      </w:r>
      <w:r>
        <w:tab/>
        <w:t xml:space="preserve">A member, a deputy member, an associate member or a member of a committee established under Schedule 2 or the </w:t>
      </w:r>
      <w:r>
        <w:rPr>
          <w:i/>
        </w:rPr>
        <w:t>Swan Valley Planning Act 2020</w:t>
      </w:r>
      <w:r>
        <w:t xml:space="preserve"> section 33 is to be paid such remuneration and allowances as are determined by the Minister on the recommendation of the Public Sector Commissioner.</w:t>
      </w:r>
    </w:p>
    <w:p>
      <w:pPr>
        <w:pStyle w:val="Footnotesection"/>
      </w:pPr>
      <w:r>
        <w:tab/>
        <w:t>[Section 13 amended: No. 39 of 2010 s. 89; No. 45 of 2020 s. 58.]</w:t>
      </w:r>
    </w:p>
    <w:p>
      <w:pPr>
        <w:pStyle w:val="Heading3"/>
      </w:pPr>
      <w:bookmarkStart w:id="18" w:name="_Toc199322266"/>
      <w:r>
        <w:rPr>
          <w:rStyle w:val="CharDivNo"/>
        </w:rPr>
        <w:lastRenderedPageBreak/>
        <w:t>Division 2</w:t>
      </w:r>
      <w:r>
        <w:t> — </w:t>
      </w:r>
      <w:r>
        <w:rPr>
          <w:rStyle w:val="CharDivText"/>
        </w:rPr>
        <w:t>Functions and powers</w:t>
      </w:r>
      <w:bookmarkEnd w:id="18"/>
    </w:p>
    <w:p>
      <w:pPr>
        <w:pStyle w:val="Heading5"/>
        <w:spacing w:before="180"/>
      </w:pPr>
      <w:bookmarkStart w:id="19" w:name="_Toc199322267"/>
      <w:r>
        <w:rPr>
          <w:rStyle w:val="CharSectno"/>
        </w:rPr>
        <w:t>14</w:t>
      </w:r>
      <w:r>
        <w:t>.</w:t>
      </w:r>
      <w:r>
        <w:tab/>
        <w:t>Functions</w:t>
      </w:r>
      <w:bookmarkEnd w:id="19"/>
    </w:p>
    <w:p>
      <w:pPr>
        <w:pStyle w:val="Subsection"/>
        <w:keepNext/>
        <w:spacing w:before="120"/>
      </w:pPr>
      <w:r>
        <w:tab/>
      </w:r>
      <w:r>
        <w:tab/>
        <w:t xml:space="preserve">The functions of the Commission are — </w:t>
      </w:r>
    </w:p>
    <w:p>
      <w:pPr>
        <w:pStyle w:val="Indenta"/>
        <w:keepNext/>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r>
      <w:r>
        <w:tab/>
        <w:t>and</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 and</w:t>
      </w:r>
    </w:p>
    <w:p>
      <w:pPr>
        <w:pStyle w:val="Indenta"/>
      </w:pPr>
      <w:r>
        <w:tab/>
        <w:t>(c)</w:t>
      </w:r>
      <w:r>
        <w:tab/>
        <w:t>to plan for the coordinated provision of transport and infrastructure for land development; and</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 and</w:t>
      </w:r>
    </w:p>
    <w:p>
      <w:pPr>
        <w:pStyle w:val="Indenta"/>
      </w:pPr>
      <w:r>
        <w:tab/>
        <w:t>(e)</w:t>
      </w:r>
      <w:r>
        <w:tab/>
        <w:t>to undertake research and develop planning methods and models relating to land use planning, land development and associated matters; and</w:t>
      </w:r>
    </w:p>
    <w:p>
      <w:pPr>
        <w:pStyle w:val="Indenta"/>
        <w:keepLines/>
      </w:pPr>
      <w:r>
        <w:lastRenderedPageBreak/>
        <w:tab/>
        <w:t>(f)</w:t>
      </w:r>
      <w:r>
        <w:tab/>
        <w:t>to keep under review the strategic planning for the metropolitan region and any other part of the State to which a region planning scheme applies and to make recommendations to the Minister on that strategic planning; and</w:t>
      </w:r>
    </w:p>
    <w:p>
      <w:pPr>
        <w:pStyle w:val="Indenta"/>
      </w:pPr>
      <w:r>
        <w:tab/>
        <w:t>(g)</w:t>
      </w:r>
      <w:r>
        <w:tab/>
        <w:t>to prepare and amend State planning policies under Part 3; and</w:t>
      </w:r>
    </w:p>
    <w:p>
      <w:pPr>
        <w:pStyle w:val="Indenta"/>
      </w:pPr>
      <w:r>
        <w:tab/>
        <w:t>(h)</w:t>
      </w:r>
      <w:r>
        <w:tab/>
        <w:t>to prepare region planning schemes under Part 4; and</w:t>
      </w:r>
    </w:p>
    <w:p>
      <w:pPr>
        <w:pStyle w:val="Indenta"/>
      </w:pPr>
      <w:r>
        <w:tab/>
        <w:t>(ia)</w:t>
      </w:r>
      <w:r>
        <w:tab/>
        <w:t>to prepare improvement plans and improvement schemes under Part 8; and</w:t>
      </w:r>
    </w:p>
    <w:p>
      <w:pPr>
        <w:pStyle w:val="Indenta"/>
      </w:pPr>
      <w:r>
        <w:tab/>
        <w:t>(i)</w:t>
      </w:r>
      <w:r>
        <w:tab/>
        <w:t>to keep under review each region planning scheme and improvement scheme, to review the scheme completely whenever requested by the Minister to do so and to submit for approval under Part 4 or 8 any amendment considered necessary as a result of a review; and</w:t>
      </w:r>
    </w:p>
    <w:p>
      <w:pPr>
        <w:pStyle w:val="Indenta"/>
      </w:pPr>
      <w:r>
        <w:tab/>
        <w:t>(j)</w:t>
      </w:r>
      <w:r>
        <w:tab/>
        <w:t>to develop, maintain and manage land held by it that is reserved under a region planning scheme, an improvement scheme or the Swan Valley Planning Scheme and to carry out such works, including the provision of facilities on the land, as may be incidental to development, maintenance or management or to be conducive to the use of the land for any purpose for which it is reserved; and</w:t>
      </w:r>
    </w:p>
    <w:p>
      <w:pPr>
        <w:pStyle w:val="Indenta"/>
      </w:pPr>
      <w:r>
        <w:tab/>
        <w:t>(k)</w:t>
      </w:r>
      <w:r>
        <w:tab/>
        <w:t xml:space="preserve">to establish, and exercise powers in relation to, committees under Schedule 2 and the </w:t>
      </w:r>
      <w:r>
        <w:rPr>
          <w:i/>
        </w:rPr>
        <w:t>Swan Valley Planning Act 2020</w:t>
      </w:r>
      <w:r>
        <w:t>; and</w:t>
      </w:r>
    </w:p>
    <w:p>
      <w:pPr>
        <w:pStyle w:val="Indenta"/>
      </w:pPr>
      <w:r>
        <w:tab/>
        <w:t>(l)</w:t>
      </w:r>
      <w:r>
        <w:tab/>
        <w:t>to do all things that are necessary for the purpose of carrying out this Act, region planning schemes, improvement schemes and the Swan Valley Planning Scheme; and</w:t>
      </w:r>
    </w:p>
    <w:p>
      <w:pPr>
        <w:pStyle w:val="Indenta"/>
        <w:keepNext/>
      </w:pPr>
      <w:r>
        <w:lastRenderedPageBreak/>
        <w:tab/>
        <w:t>(m)</w:t>
      </w:r>
      <w:r>
        <w:tab/>
        <w:t xml:space="preserve">to do anything else that it is required or authorised to do by this Act, the </w:t>
      </w:r>
      <w:r>
        <w:rPr>
          <w:i/>
        </w:rPr>
        <w:t>Swan Valley Planning Act 2020</w:t>
      </w:r>
      <w:r>
        <w:t xml:space="preserve"> or any other written law.</w:t>
      </w:r>
    </w:p>
    <w:p>
      <w:pPr>
        <w:pStyle w:val="Footnotesection"/>
      </w:pPr>
      <w:r>
        <w:tab/>
        <w:t xml:space="preserve">[Section 14 amended: No. 28 of 2010 s. 7; No. 45 of 2020 s. 59.] </w:t>
      </w:r>
    </w:p>
    <w:p>
      <w:pPr>
        <w:pStyle w:val="Heading5"/>
      </w:pPr>
      <w:bookmarkStart w:id="20" w:name="_Toc199322268"/>
      <w:r>
        <w:rPr>
          <w:rStyle w:val="CharSectno"/>
        </w:rPr>
        <w:t>15</w:t>
      </w:r>
      <w:r>
        <w:t>.</w:t>
      </w:r>
      <w:r>
        <w:tab/>
        <w:t>Powers</w:t>
      </w:r>
      <w:bookmarkEnd w:id="20"/>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 and</w:t>
      </w:r>
    </w:p>
    <w:p>
      <w:pPr>
        <w:pStyle w:val="Indenta"/>
      </w:pPr>
      <w:r>
        <w:tab/>
        <w:t>(b)</w:t>
      </w:r>
      <w:r>
        <w:tab/>
        <w:t>enter into an agreement with any person under which that person may acquire a lease of, a licence in respect of, or any other estate or interest in, any land mentioned in section 14(j); and</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 or</w:t>
      </w:r>
    </w:p>
    <w:p>
      <w:pPr>
        <w:pStyle w:val="Indenti"/>
      </w:pPr>
      <w:r>
        <w:tab/>
        <w:t>(ii)</w:t>
      </w:r>
      <w:r>
        <w:tab/>
        <w:t>to provide consultancy or advisory services to that person or body; or</w:t>
      </w:r>
    </w:p>
    <w:p>
      <w:pPr>
        <w:pStyle w:val="Indenti"/>
      </w:pPr>
      <w:r>
        <w:tab/>
        <w:t>(iii)</w:t>
      </w:r>
      <w:r>
        <w:tab/>
        <w:t xml:space="preserve">for the commercial exploitation of the knowledge, expertise and resources of the </w:t>
      </w:r>
      <w:r>
        <w:lastRenderedPageBreak/>
        <w:t>Commission and the rights referred to in paragraph (c);</w:t>
      </w:r>
    </w:p>
    <w:p>
      <w:pPr>
        <w:pStyle w:val="Indenta"/>
      </w:pPr>
      <w:r>
        <w:tab/>
      </w:r>
      <w:r>
        <w:tab/>
        <w:t>and</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 and</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rStyle w:val="CharDefText"/>
        </w:rPr>
        <w:t>business arrangement</w:t>
      </w:r>
      <w:r>
        <w:t xml:space="preserve"> means a company, a partnership, a trust, a joint venture, an arrangement for sharing profits or an arrangement for sponsorship;</w:t>
      </w:r>
    </w:p>
    <w:p>
      <w:pPr>
        <w:pStyle w:val="Defstart"/>
      </w:pPr>
      <w:r>
        <w:lastRenderedPageBreak/>
        <w:tab/>
      </w:r>
      <w:r>
        <w:rPr>
          <w:rStyle w:val="CharDefText"/>
        </w:rPr>
        <w:t>participate</w:t>
      </w:r>
      <w:r>
        <w:t xml:space="preserve"> includes form, promote, establish, enter into, manage, dissolve, wind up, and do anything incidental to the participating in a business arrangement.</w:t>
      </w:r>
    </w:p>
    <w:p>
      <w:pPr>
        <w:pStyle w:val="Heading5"/>
      </w:pPr>
      <w:bookmarkStart w:id="21" w:name="_Toc199322269"/>
      <w:r>
        <w:rPr>
          <w:rStyle w:val="CharSectno"/>
        </w:rPr>
        <w:t>16</w:t>
      </w:r>
      <w:r>
        <w:t>.</w:t>
      </w:r>
      <w:r>
        <w:tab/>
        <w:t>Delegation by Commission</w:t>
      </w:r>
      <w:bookmarkEnd w:id="21"/>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 or</w:t>
      </w:r>
    </w:p>
    <w:p>
      <w:pPr>
        <w:pStyle w:val="Indenta"/>
      </w:pPr>
      <w:r>
        <w:tab/>
        <w:t>(b)</w:t>
      </w:r>
      <w:r>
        <w:tab/>
        <w:t>a committee established under Schedule 2, or a member of such a committee; or</w:t>
      </w:r>
    </w:p>
    <w:p>
      <w:pPr>
        <w:pStyle w:val="Indenta"/>
      </w:pPr>
      <w:r>
        <w:tab/>
        <w:t>(c)</w:t>
      </w:r>
      <w:r>
        <w:tab/>
        <w:t>an officer of the Commission; or</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lastRenderedPageBreak/>
        <w:tab/>
        <w:t>(6)</w:t>
      </w:r>
      <w:r>
        <w:tab/>
        <w:t>Except as provided in subsection (7A), a delegate must not further delegate any function.</w:t>
      </w:r>
    </w:p>
    <w:p>
      <w:pPr>
        <w:pStyle w:val="Subsection"/>
      </w:pPr>
      <w:r>
        <w:tab/>
        <w:t>(7A)</w:t>
      </w:r>
      <w:r>
        <w:tab/>
        <w:t xml:space="preserve">If the Commission delegates a function of the Commission to the Metropolitan Redevelopment Authority established under the </w:t>
      </w:r>
      <w:r>
        <w:rPr>
          <w:i/>
        </w:rPr>
        <w:t>Metropolitan Redevelopment Authority Act 2011</w:t>
      </w:r>
      <w:r>
        <w:t>, the Authority may subdelegate the exercise or performance of the function to any land redevelopment committee established under that Act.</w:t>
      </w:r>
    </w:p>
    <w:p>
      <w:pPr>
        <w:pStyle w:val="Subsection"/>
      </w:pPr>
      <w:r>
        <w:tab/>
        <w:t>(7B)</w:t>
      </w:r>
      <w:r>
        <w:tab/>
        <w:t xml:space="preserve">A subdelegation under subsection (7A) takes effect when notice of the subdelegation is published in the </w:t>
      </w:r>
      <w:r>
        <w:rPr>
          <w:i/>
        </w:rPr>
        <w:t>Gazette</w:t>
      </w:r>
      <w:r>
        <w:t>.</w:t>
      </w:r>
    </w:p>
    <w:p>
      <w:pPr>
        <w:pStyle w:val="Subsection"/>
      </w:pPr>
      <w:r>
        <w:tab/>
        <w:t>(7C)</w:t>
      </w:r>
      <w:r>
        <w:tab/>
        <w:t xml:space="preserve">Subsections (4), (5) and (7) and the </w:t>
      </w:r>
      <w:r>
        <w:rPr>
          <w:i/>
          <w:iCs/>
        </w:rPr>
        <w:t>Interpretation Act 1984</w:t>
      </w:r>
      <w:r>
        <w:t xml:space="preserve"> sections 58 and 59 apply to a subdelegation of a function under this section in the same way as they apply to a delegation of a function.</w:t>
      </w:r>
    </w:p>
    <w:p>
      <w:pPr>
        <w:pStyle w:val="Subsection"/>
      </w:pPr>
      <w:r>
        <w:tab/>
        <w:t>(7D)</w:t>
      </w:r>
      <w:r>
        <w:tab/>
        <w:t>A subdelegate must not further delegate any function subdelegated under subsection (7A).</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Subsection"/>
      </w:pPr>
      <w:r>
        <w:tab/>
        <w:t>(10)</w:t>
      </w:r>
      <w:r>
        <w:tab/>
        <w:t>This section does not affect the operation of section 171B.</w:t>
      </w:r>
    </w:p>
    <w:p>
      <w:pPr>
        <w:pStyle w:val="Footnotesection"/>
      </w:pPr>
      <w:r>
        <w:tab/>
        <w:t xml:space="preserve">[Section 16 amended: No. 28 of 2010 s. 42; </w:t>
      </w:r>
      <w:r>
        <w:rPr>
          <w:spacing w:val="-4"/>
        </w:rPr>
        <w:t>No. 45 of 2011 s. 1</w:t>
      </w:r>
      <w:r>
        <w:t>41(2) and (3).]</w:t>
      </w:r>
    </w:p>
    <w:p>
      <w:pPr>
        <w:pStyle w:val="Heading5"/>
      </w:pPr>
      <w:bookmarkStart w:id="22" w:name="_Toc199322270"/>
      <w:r>
        <w:rPr>
          <w:rStyle w:val="CharSectno"/>
        </w:rPr>
        <w:t>17</w:t>
      </w:r>
      <w:r>
        <w:t>.</w:t>
      </w:r>
      <w:r>
        <w:tab/>
        <w:t>Minister may give Commission directions</w:t>
      </w:r>
      <w:bookmarkEnd w:id="22"/>
    </w:p>
    <w:p>
      <w:pPr>
        <w:pStyle w:val="Subsection"/>
        <w:spacing w:before="150"/>
      </w:pPr>
      <w:r>
        <w:tab/>
        <w:t>(1)</w:t>
      </w:r>
      <w:r>
        <w:tab/>
        <w:t xml:space="preserve">The Minister may give written directions to the Commission with respect to the exercise or performance of its functions, </w:t>
      </w:r>
      <w:r>
        <w:lastRenderedPageBreak/>
        <w:t>either generally or in relation to a particular matter, and the Commission is to give effect to any such direction.</w:t>
      </w:r>
    </w:p>
    <w:p>
      <w:pPr>
        <w:pStyle w:val="Subsection"/>
        <w:spacing w:before="150"/>
      </w:pPr>
      <w:r>
        <w:tab/>
        <w:t>(2)</w:t>
      </w:r>
      <w:r>
        <w:tab/>
        <w:t>The Minister is to cause the text of any direction given under subsection (1) to be laid before each House of Parliament, or dealt with under subsection (3), within 14 days after the direction is given.</w:t>
      </w:r>
    </w:p>
    <w:p>
      <w:pPr>
        <w:pStyle w:val="Subsection"/>
        <w:spacing w:before="150"/>
      </w:pPr>
      <w:r>
        <w:tab/>
        <w:t>(3)</w:t>
      </w:r>
      <w:r>
        <w:tab/>
        <w:t xml:space="preserve">If — </w:t>
      </w:r>
    </w:p>
    <w:p>
      <w:pPr>
        <w:pStyle w:val="Indenta"/>
        <w:spacing w:before="60"/>
      </w:pPr>
      <w:r>
        <w:tab/>
        <w:t>(a)</w:t>
      </w:r>
      <w:r>
        <w:tab/>
        <w:t>at the commencement of the period referred to in subsection (2) a House of Parliament is not sitting; and</w:t>
      </w:r>
    </w:p>
    <w:p>
      <w:pPr>
        <w:pStyle w:val="Indenta"/>
        <w:keepLines/>
      </w:pPr>
      <w:r>
        <w:tab/>
        <w:t>(b)</w:t>
      </w:r>
      <w:r>
        <w:tab/>
        <w:t>the Minister is of the opinion that that House will not sit during that period,</w:t>
      </w:r>
    </w:p>
    <w:p>
      <w:pPr>
        <w:pStyle w:val="Subsection"/>
        <w:keepLines/>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section 26(1), 28(4)(b), 31(1), 31(2), 51(1), 51(2), 52(2), 62A(1), 63(1) or 67(1).</w:t>
      </w:r>
    </w:p>
    <w:p>
      <w:pPr>
        <w:pStyle w:val="Footnotesection"/>
      </w:pPr>
      <w:r>
        <w:tab/>
        <w:t>[Section 17 amended: No. 77 of 2006 Sch. 1 cl. 127(2); No. 26 of 2020 s. 21.]</w:t>
      </w:r>
    </w:p>
    <w:p>
      <w:pPr>
        <w:pStyle w:val="Heading5"/>
      </w:pPr>
      <w:bookmarkStart w:id="23" w:name="_Toc199322271"/>
      <w:r>
        <w:rPr>
          <w:rStyle w:val="CharSectno"/>
        </w:rPr>
        <w:lastRenderedPageBreak/>
        <w:t>18</w:t>
      </w:r>
      <w:r>
        <w:t>.</w:t>
      </w:r>
      <w:r>
        <w:tab/>
        <w:t>Minister to have access to information</w:t>
      </w:r>
      <w:bookmarkEnd w:id="23"/>
    </w:p>
    <w:p>
      <w:pPr>
        <w:pStyle w:val="Subsection"/>
        <w:keepNext/>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 and</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spacing w:before="140"/>
      </w:pPr>
      <w:r>
        <w:tab/>
        <w:t>(3)</w:t>
      </w:r>
      <w:r>
        <w:tab/>
        <w:t>The Commission has to comply with a request under subsection (2) and make its staff and facilities available to the Minister for the purposes of paragraph (c) of that subsection.</w:t>
      </w:r>
    </w:p>
    <w:p>
      <w:pPr>
        <w:pStyle w:val="Subsection"/>
        <w:keepNext/>
        <w:keepLines/>
        <w:spacing w:before="140"/>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Commission.</w:t>
      </w:r>
    </w:p>
    <w:p>
      <w:pPr>
        <w:pStyle w:val="Heading5"/>
      </w:pPr>
      <w:bookmarkStart w:id="24" w:name="_Toc199322272"/>
      <w:r>
        <w:rPr>
          <w:rStyle w:val="CharSectno"/>
        </w:rPr>
        <w:t>19</w:t>
      </w:r>
      <w:r>
        <w:t>.</w:t>
      </w:r>
      <w:r>
        <w:tab/>
        <w:t>Committees (Sch. 2)</w:t>
      </w:r>
      <w:bookmarkEnd w:id="24"/>
    </w:p>
    <w:p>
      <w:pPr>
        <w:pStyle w:val="Subsection"/>
        <w:spacing w:before="140"/>
      </w:pPr>
      <w:r>
        <w:tab/>
      </w:r>
      <w:r>
        <w:tab/>
        <w:t xml:space="preserve">Schedule 2 has effect with respect to committees established by the Commission under that Schedule or the </w:t>
      </w:r>
      <w:r>
        <w:rPr>
          <w:i/>
        </w:rPr>
        <w:t>Swan Valley Planning Act 2020</w:t>
      </w:r>
      <w:r>
        <w:t xml:space="preserve"> section 33.</w:t>
      </w:r>
    </w:p>
    <w:p>
      <w:pPr>
        <w:pStyle w:val="Footnotesection"/>
      </w:pPr>
      <w:r>
        <w:tab/>
        <w:t>[Section 19 amended: No. 45 of 2020 s. 60.]</w:t>
      </w:r>
    </w:p>
    <w:p>
      <w:pPr>
        <w:pStyle w:val="Heading5"/>
      </w:pPr>
      <w:bookmarkStart w:id="25" w:name="_Toc199322273"/>
      <w:r>
        <w:rPr>
          <w:rStyle w:val="CharSectno"/>
        </w:rPr>
        <w:lastRenderedPageBreak/>
        <w:t>20</w:t>
      </w:r>
      <w:r>
        <w:t>.</w:t>
      </w:r>
      <w:r>
        <w:tab/>
        <w:t>Fees for Commission’s services</w:t>
      </w:r>
      <w:bookmarkEnd w:id="25"/>
    </w:p>
    <w:p>
      <w:pPr>
        <w:pStyle w:val="Subsection"/>
        <w:spacing w:before="140"/>
      </w:pPr>
      <w:r>
        <w:tab/>
        <w:t>(1)</w:t>
      </w:r>
      <w:r>
        <w:tab/>
        <w:t xml:space="preserve">The Minister may by notice published in the </w:t>
      </w:r>
      <w:r>
        <w:rPr>
          <w:i/>
        </w:rPr>
        <w:t xml:space="preserve">Gazette </w:t>
      </w:r>
      <w:r>
        <w:t xml:space="preserve">set fees to be charged in respect of anything done under this Act or the </w:t>
      </w:r>
      <w:r>
        <w:rPr>
          <w:i/>
        </w:rPr>
        <w:t>Swan Valley Planning Act 2020</w:t>
      </w:r>
      <w:r>
        <w:t xml:space="preserve"> and services provided by the Commission in connection with its functions.</w:t>
      </w:r>
    </w:p>
    <w:p>
      <w:pPr>
        <w:pStyle w:val="Subsection"/>
        <w:spacing w:before="140"/>
      </w:pPr>
      <w:r>
        <w:tab/>
        <w:t>(2)</w:t>
      </w:r>
      <w:r>
        <w:tab/>
        <w:t>Fees set under subsection (1) are payable by the person at whose request or on whose application the act is done.</w:t>
      </w:r>
    </w:p>
    <w:p>
      <w:pPr>
        <w:pStyle w:val="Footnotesection"/>
      </w:pPr>
      <w:r>
        <w:tab/>
        <w:t>[Section 20 amended: No. 45 of 2020 s. 61.]</w:t>
      </w:r>
    </w:p>
    <w:p>
      <w:pPr>
        <w:pStyle w:val="Heading3"/>
      </w:pPr>
      <w:bookmarkStart w:id="26" w:name="_Toc199322274"/>
      <w:r>
        <w:rPr>
          <w:rStyle w:val="CharDivNo"/>
        </w:rPr>
        <w:t>Division 3</w:t>
      </w:r>
      <w:r>
        <w:t> — </w:t>
      </w:r>
      <w:r>
        <w:rPr>
          <w:rStyle w:val="CharDivText"/>
        </w:rPr>
        <w:t>Administration</w:t>
      </w:r>
      <w:bookmarkEnd w:id="26"/>
    </w:p>
    <w:p>
      <w:pPr>
        <w:pStyle w:val="Heading5"/>
      </w:pPr>
      <w:bookmarkStart w:id="27" w:name="_Toc199322275"/>
      <w:r>
        <w:rPr>
          <w:rStyle w:val="CharSectno"/>
        </w:rPr>
        <w:t>21</w:t>
      </w:r>
      <w:r>
        <w:t>.</w:t>
      </w:r>
      <w:r>
        <w:tab/>
        <w:t>Secretary</w:t>
      </w:r>
      <w:bookmarkEnd w:id="27"/>
    </w:p>
    <w:p>
      <w:pPr>
        <w:pStyle w:val="Subsection"/>
        <w:spacing w:before="150"/>
      </w:pPr>
      <w:r>
        <w:tab/>
        <w:t>(1)</w:t>
      </w:r>
      <w:r>
        <w:tab/>
        <w:t>The Commission may appoint a person to the office of Secretary to the Commission.</w:t>
      </w:r>
    </w:p>
    <w:p>
      <w:pPr>
        <w:pStyle w:val="Subsection"/>
        <w:spacing w:before="150"/>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28" w:name="_Toc199322276"/>
      <w:r>
        <w:rPr>
          <w:rStyle w:val="CharSectno"/>
        </w:rPr>
        <w:t>22</w:t>
      </w:r>
      <w:r>
        <w:t>.</w:t>
      </w:r>
      <w:r>
        <w:tab/>
        <w:t>Staff</w:t>
      </w:r>
      <w:bookmarkEnd w:id="28"/>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29" w:name="_Toc199322277"/>
      <w:r>
        <w:rPr>
          <w:rStyle w:val="CharSectno"/>
        </w:rPr>
        <w:t>23</w:t>
      </w:r>
      <w:r>
        <w:t>.</w:t>
      </w:r>
      <w:r>
        <w:tab/>
        <w:t>Use of staff and facilities of public authorities</w:t>
      </w:r>
      <w:bookmarkEnd w:id="29"/>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keepNext/>
      </w:pPr>
      <w:r>
        <w:lastRenderedPageBreak/>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30" w:name="_Toc199322278"/>
      <w:r>
        <w:rPr>
          <w:rStyle w:val="CharDivNo"/>
        </w:rPr>
        <w:t>Division 4</w:t>
      </w:r>
      <w:r>
        <w:t> — </w:t>
      </w:r>
      <w:r>
        <w:rPr>
          <w:rStyle w:val="CharDivText"/>
        </w:rPr>
        <w:t>Miscellaneous</w:t>
      </w:r>
      <w:bookmarkEnd w:id="30"/>
    </w:p>
    <w:p>
      <w:pPr>
        <w:pStyle w:val="Heading5"/>
      </w:pPr>
      <w:bookmarkStart w:id="31" w:name="_Toc199322279"/>
      <w:r>
        <w:rPr>
          <w:rStyle w:val="CharSectno"/>
        </w:rPr>
        <w:t>24</w:t>
      </w:r>
      <w:r>
        <w:t>.</w:t>
      </w:r>
      <w:r>
        <w:tab/>
        <w:t>Execution of documents</w:t>
      </w:r>
      <w:bookmarkEnd w:id="31"/>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pPr>
      <w:r>
        <w:lastRenderedPageBreak/>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32" w:name="_Toc199322280"/>
      <w:r>
        <w:rPr>
          <w:rStyle w:val="CharPartNo"/>
        </w:rPr>
        <w:lastRenderedPageBreak/>
        <w:t>Part 3</w:t>
      </w:r>
      <w:r>
        <w:rPr>
          <w:rStyle w:val="CharDivNo"/>
        </w:rPr>
        <w:t> </w:t>
      </w:r>
      <w:r>
        <w:t>—</w:t>
      </w:r>
      <w:r>
        <w:rPr>
          <w:rStyle w:val="CharDivText"/>
        </w:rPr>
        <w:t> </w:t>
      </w:r>
      <w:r>
        <w:rPr>
          <w:rStyle w:val="CharPartText"/>
        </w:rPr>
        <w:t>State planning policies</w:t>
      </w:r>
      <w:bookmarkEnd w:id="32"/>
    </w:p>
    <w:p>
      <w:pPr>
        <w:pStyle w:val="Heading5"/>
      </w:pPr>
      <w:bookmarkStart w:id="33" w:name="_Toc199322281"/>
      <w:r>
        <w:rPr>
          <w:rStyle w:val="CharSectno"/>
        </w:rPr>
        <w:t>25</w:t>
      </w:r>
      <w:r>
        <w:t>.</w:t>
      </w:r>
      <w:r>
        <w:tab/>
        <w:t>Statements of planning policy under repealed Act, effect of</w:t>
      </w:r>
      <w:bookmarkEnd w:id="33"/>
    </w:p>
    <w:p>
      <w:pPr>
        <w:pStyle w:val="Subsection"/>
        <w:spacing w:before="120"/>
      </w:pPr>
      <w:r>
        <w:tab/>
      </w:r>
      <w:r>
        <w:tab/>
        <w:t xml:space="preserve">Any statement of planning policy in force under the </w:t>
      </w:r>
      <w:r>
        <w:rPr>
          <w:i/>
        </w:rPr>
        <w:t>Town Planning and Development Act 1928</w:t>
      </w:r>
      <w:r>
        <w:t xml:space="preserve"> immediately before this section comes into operation — </w:t>
      </w:r>
    </w:p>
    <w:p>
      <w:pPr>
        <w:pStyle w:val="Indenta"/>
        <w:spacing w:before="60"/>
      </w:pPr>
      <w:r>
        <w:tab/>
        <w:t>(a)</w:t>
      </w:r>
      <w:r>
        <w:tab/>
        <w:t>continues in force as a State planning policy under this Act; and</w:t>
      </w:r>
    </w:p>
    <w:p>
      <w:pPr>
        <w:pStyle w:val="Indenta"/>
        <w:spacing w:before="60"/>
      </w:pPr>
      <w:r>
        <w:tab/>
        <w:t>(b)</w:t>
      </w:r>
      <w:r>
        <w:tab/>
        <w:t>has effect accordingly.</w:t>
      </w:r>
    </w:p>
    <w:p>
      <w:pPr>
        <w:pStyle w:val="Heading5"/>
        <w:spacing w:before="180"/>
      </w:pPr>
      <w:bookmarkStart w:id="34" w:name="_Toc199322282"/>
      <w:r>
        <w:rPr>
          <w:rStyle w:val="CharSectno"/>
        </w:rPr>
        <w:t>26</w:t>
      </w:r>
      <w:r>
        <w:t>.</w:t>
      </w:r>
      <w:r>
        <w:tab/>
        <w:t>State planning policies, preparation and content of</w:t>
      </w:r>
      <w:bookmarkEnd w:id="34"/>
    </w:p>
    <w:p>
      <w:pPr>
        <w:pStyle w:val="Subsection"/>
        <w:spacing w:before="120"/>
      </w:pPr>
      <w:r>
        <w:tab/>
        <w:t>(1)</w:t>
      </w:r>
      <w:r>
        <w:tab/>
        <w:t>The Commission may, with the approval or on the direction of the Minister, prepare State planning policies.</w:t>
      </w:r>
    </w:p>
    <w:p>
      <w:pPr>
        <w:pStyle w:val="Subsection"/>
        <w:spacing w:before="120"/>
      </w:pPr>
      <w:r>
        <w:tab/>
        <w:t>(2)</w:t>
      </w:r>
      <w:r>
        <w:tab/>
        <w:t>A State planning policy is to be directed primarily towards broad general planning and facilitating the coordination of planning throughout the State by local governments.</w:t>
      </w:r>
    </w:p>
    <w:p>
      <w:pPr>
        <w:pStyle w:val="Subsection"/>
        <w:spacing w:before="120"/>
      </w:pPr>
      <w:r>
        <w:tab/>
        <w:t>(3)</w:t>
      </w:r>
      <w:r>
        <w:tab/>
        <w:t>Despite subsection (2), a State planning policy may make provision for any matter which may be the subject of a local planning scheme.</w:t>
      </w:r>
    </w:p>
    <w:p>
      <w:pPr>
        <w:pStyle w:val="Subsection"/>
        <w:spacing w:before="120"/>
      </w:pPr>
      <w:r>
        <w:tab/>
        <w:t>(4)</w:t>
      </w:r>
      <w:r>
        <w:tab/>
        <w:t xml:space="preserve">A State planning policy may be prepared so as to apply — </w:t>
      </w:r>
    </w:p>
    <w:p>
      <w:pPr>
        <w:pStyle w:val="Indenta"/>
        <w:spacing w:before="60"/>
      </w:pPr>
      <w:r>
        <w:tab/>
        <w:t>(a)</w:t>
      </w:r>
      <w:r>
        <w:tab/>
        <w:t>generally or in a particular class of matter or in particular classes of matter; and</w:t>
      </w:r>
    </w:p>
    <w:p>
      <w:pPr>
        <w:pStyle w:val="Indenta"/>
        <w:spacing w:before="60"/>
      </w:pPr>
      <w:r>
        <w:tab/>
        <w:t>(b)</w:t>
      </w:r>
      <w:r>
        <w:tab/>
        <w:t>throughout the State or in a specified portion or specified portions of the State, whether or not a planning scheme has been prepared or is being prepared in that portion or those portions of the State.</w:t>
      </w:r>
    </w:p>
    <w:p>
      <w:pPr>
        <w:pStyle w:val="Footnotesection"/>
      </w:pPr>
      <w:r>
        <w:tab/>
        <w:t xml:space="preserve">[Section 26 amended: No. 28 of 2010 s. 8.] </w:t>
      </w:r>
    </w:p>
    <w:p>
      <w:pPr>
        <w:pStyle w:val="Heading5"/>
        <w:spacing w:before="180"/>
      </w:pPr>
      <w:bookmarkStart w:id="35" w:name="_Toc199322283"/>
      <w:r>
        <w:rPr>
          <w:rStyle w:val="CharSectno"/>
        </w:rPr>
        <w:lastRenderedPageBreak/>
        <w:t>27</w:t>
      </w:r>
      <w:r>
        <w:t>.</w:t>
      </w:r>
      <w:r>
        <w:tab/>
        <w:t>Matters to be considered when preparing State planning policy</w:t>
      </w:r>
      <w:bookmarkEnd w:id="35"/>
    </w:p>
    <w:p>
      <w:pPr>
        <w:pStyle w:val="Subsection"/>
        <w:keepNext/>
        <w:spacing w:before="120"/>
      </w:pPr>
      <w:r>
        <w:tab/>
      </w:r>
      <w:r>
        <w:tab/>
        <w:t xml:space="preserve">In the preparation of a State planning policy the Commission is to have regard to — </w:t>
      </w:r>
    </w:p>
    <w:p>
      <w:pPr>
        <w:pStyle w:val="Indenta"/>
        <w:spacing w:before="60"/>
      </w:pPr>
      <w:r>
        <w:tab/>
        <w:t>(a)</w:t>
      </w:r>
      <w:r>
        <w:tab/>
        <w:t>demographic, social and economic factors and influences; and</w:t>
      </w:r>
    </w:p>
    <w:p>
      <w:pPr>
        <w:pStyle w:val="Indenta"/>
      </w:pPr>
      <w:r>
        <w:tab/>
        <w:t>(b)</w:t>
      </w:r>
      <w:r>
        <w:tab/>
        <w:t>conservation of natural or cultural resources for social, economic, environmental, ecological and scientific purposes; and</w:t>
      </w:r>
    </w:p>
    <w:p>
      <w:pPr>
        <w:pStyle w:val="Indenta"/>
      </w:pPr>
      <w:r>
        <w:tab/>
        <w:t>(c)</w:t>
      </w:r>
      <w:r>
        <w:tab/>
        <w:t>characteristics of land; and</w:t>
      </w:r>
    </w:p>
    <w:p>
      <w:pPr>
        <w:pStyle w:val="Indenta"/>
      </w:pPr>
      <w:r>
        <w:tab/>
        <w:t>(d)</w:t>
      </w:r>
      <w:r>
        <w:tab/>
        <w:t>characteristics and disposition of land use; and</w:t>
      </w:r>
    </w:p>
    <w:p>
      <w:pPr>
        <w:pStyle w:val="Indenta"/>
      </w:pPr>
      <w:r>
        <w:tab/>
        <w:t>(e)</w:t>
      </w:r>
      <w:r>
        <w:tab/>
        <w:t>amenity, design and environment; and</w:t>
      </w:r>
    </w:p>
    <w:p>
      <w:pPr>
        <w:pStyle w:val="Indenta"/>
      </w:pPr>
      <w:r>
        <w:tab/>
        <w:t>(f)</w:t>
      </w:r>
      <w:r>
        <w:tab/>
        <w:t>communications; and</w:t>
      </w:r>
    </w:p>
    <w:p>
      <w:pPr>
        <w:pStyle w:val="Indenta"/>
      </w:pPr>
      <w:r>
        <w:tab/>
        <w:t>(g)</w:t>
      </w:r>
      <w:r>
        <w:tab/>
        <w:t>developmental requirements of public authorities,</w:t>
      </w:r>
    </w:p>
    <w:p>
      <w:pPr>
        <w:pStyle w:val="Subsection"/>
        <w:spacing w:before="180"/>
      </w:pPr>
      <w:r>
        <w:tab/>
      </w:r>
      <w:r>
        <w:tab/>
        <w:t>in respect of the State or the portion of the State, or portions of the State, to which the State planning policy is to apply, as the case requires.</w:t>
      </w:r>
    </w:p>
    <w:p>
      <w:pPr>
        <w:pStyle w:val="Heading5"/>
        <w:spacing w:before="240"/>
      </w:pPr>
      <w:bookmarkStart w:id="36" w:name="_Toc199322284"/>
      <w:r>
        <w:rPr>
          <w:rStyle w:val="CharSectno"/>
        </w:rPr>
        <w:t>28</w:t>
      </w:r>
      <w:r>
        <w:t>.</w:t>
      </w:r>
      <w:r>
        <w:tab/>
        <w:t>Consultation on and public notice of proposed State planning policy</w:t>
      </w:r>
      <w:bookmarkEnd w:id="36"/>
      <w:r>
        <w:t xml:space="preserve"> </w:t>
      </w:r>
    </w:p>
    <w:p>
      <w:pPr>
        <w:pStyle w:val="Subsection"/>
        <w:spacing w:before="180"/>
      </w:pPr>
      <w:r>
        <w:tab/>
        <w:t>(1)</w:t>
      </w:r>
      <w:r>
        <w:tab/>
        <w:t xml:space="preserve">When preparing a State planning policy, the Commission — </w:t>
      </w:r>
    </w:p>
    <w:p>
      <w:pPr>
        <w:pStyle w:val="Indenta"/>
      </w:pPr>
      <w:r>
        <w:tab/>
        <w:t>(a)</w:t>
      </w:r>
      <w:r>
        <w:tab/>
        <w:t>if the State planning policy is likely to affect a district or districts in particular, is to consult the local government for that district or the local governments for those districts; and</w:t>
      </w:r>
    </w:p>
    <w:p>
      <w:pPr>
        <w:pStyle w:val="Indenta"/>
      </w:pPr>
      <w:r>
        <w:tab/>
        <w:t>(b)</w:t>
      </w:r>
      <w:r>
        <w:tab/>
        <w:t>in any other case is to consult WALGA,</w:t>
      </w:r>
    </w:p>
    <w:p>
      <w:pPr>
        <w:pStyle w:val="Subsection"/>
        <w:spacing w:before="180"/>
      </w:pPr>
      <w:r>
        <w:tab/>
      </w:r>
      <w:r>
        <w:tab/>
        <w:t>with respect to the proposed State planning policy.</w:t>
      </w:r>
    </w:p>
    <w:p>
      <w:pPr>
        <w:pStyle w:val="Subsection"/>
        <w:spacing w:before="180"/>
      </w:pPr>
      <w:r>
        <w:tab/>
        <w:t>(2)</w:t>
      </w:r>
      <w:r>
        <w:tab/>
        <w:t xml:space="preserve">The Commission is to deposit copies of the proposed State planning policy for public inspection during ordinary business hours free of charge — </w:t>
      </w:r>
    </w:p>
    <w:p>
      <w:pPr>
        <w:pStyle w:val="Indenta"/>
      </w:pPr>
      <w:r>
        <w:tab/>
        <w:t>(a)</w:t>
      </w:r>
      <w:r>
        <w:tab/>
        <w:t>at the office of the Commission; and</w:t>
      </w:r>
    </w:p>
    <w:p>
      <w:pPr>
        <w:pStyle w:val="Indenta"/>
      </w:pPr>
      <w:r>
        <w:lastRenderedPageBreak/>
        <w:tab/>
        <w:t>(b)</w:t>
      </w:r>
      <w:r>
        <w:tab/>
        <w:t>at not less than 3 other public places which the Commission considers to be convenient for public inspection.</w:t>
      </w:r>
    </w:p>
    <w:p>
      <w:pPr>
        <w:pStyle w:val="Subsection"/>
        <w:spacing w:before="180"/>
      </w:pPr>
      <w:r>
        <w:tab/>
        <w:t>(3)</w:t>
      </w:r>
      <w:r>
        <w:tab/>
        <w:t xml:space="preserve">As soon as practicable after the deposit of the copies of the proposed State planning policy under subsection (2) the Commission is to cause to be inserted in a daily newspaper and a Sunday newspaper a notice stating — </w:t>
      </w:r>
    </w:p>
    <w:p>
      <w:pPr>
        <w:pStyle w:val="Indenta"/>
      </w:pPr>
      <w:r>
        <w:tab/>
        <w:t>(a)</w:t>
      </w:r>
      <w:r>
        <w:tab/>
        <w:t>in short, the purpose of the proposed State planning policy; and</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spacing w:before="120"/>
      </w:pPr>
      <w:r>
        <w:tab/>
      </w:r>
      <w:r>
        <w:tab/>
        <w:t>and may take such other steps as it considers necessary to make public the details of the proposed policy.</w:t>
      </w:r>
    </w:p>
    <w:p>
      <w:pPr>
        <w:pStyle w:val="Subsection"/>
        <w:spacing w:before="120"/>
      </w:pPr>
      <w:r>
        <w:tab/>
        <w:t>(5)</w:t>
      </w:r>
      <w:r>
        <w:tab/>
        <w:t>The Commission is to consider any submissions with respect to the proposed State planning policy and may modify the proposed policy as it thinks fit.</w:t>
      </w:r>
    </w:p>
    <w:p>
      <w:pPr>
        <w:pStyle w:val="Heading5"/>
        <w:spacing w:before="180"/>
      </w:pPr>
      <w:bookmarkStart w:id="37" w:name="_Toc199322285"/>
      <w:r>
        <w:rPr>
          <w:rStyle w:val="CharSectno"/>
        </w:rPr>
        <w:lastRenderedPageBreak/>
        <w:t>29</w:t>
      </w:r>
      <w:r>
        <w:t>.</w:t>
      </w:r>
      <w:r>
        <w:tab/>
        <w:t>Approval of Governor</w:t>
      </w:r>
      <w:bookmarkEnd w:id="37"/>
    </w:p>
    <w:p>
      <w:pPr>
        <w:pStyle w:val="Subsection"/>
        <w:spacing w:before="120"/>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spacing w:before="120"/>
      </w:pPr>
      <w:r>
        <w:tab/>
        <w:t>(2)</w:t>
      </w:r>
      <w:r>
        <w:tab/>
        <w:t xml:space="preserve">A State planning policy has no force or effect until it is approved by the Governor and published in the </w:t>
      </w:r>
      <w:r>
        <w:rPr>
          <w:i/>
        </w:rPr>
        <w:t>Gazette</w:t>
      </w:r>
      <w:r>
        <w:t>.</w:t>
      </w:r>
    </w:p>
    <w:p>
      <w:pPr>
        <w:pStyle w:val="Heading5"/>
      </w:pPr>
      <w:bookmarkStart w:id="38" w:name="_Toc199322286"/>
      <w:r>
        <w:rPr>
          <w:rStyle w:val="CharSectno"/>
        </w:rPr>
        <w:t>30</w:t>
      </w:r>
      <w:r>
        <w:t>.</w:t>
      </w:r>
      <w:r>
        <w:tab/>
        <w:t>Publicising approved State planning policy</w:t>
      </w:r>
      <w:bookmarkEnd w:id="38"/>
    </w:p>
    <w:p>
      <w:pPr>
        <w:pStyle w:val="Subsection"/>
      </w:pPr>
      <w:r>
        <w:tab/>
      </w:r>
      <w:r>
        <w:tab/>
        <w:t xml:space="preserve">The Commission is to cause a copy of any State planning policy approved by the Governor — </w:t>
      </w:r>
    </w:p>
    <w:p>
      <w:pPr>
        <w:pStyle w:val="Indenta"/>
      </w:pPr>
      <w:r>
        <w:tab/>
        <w:t>(a)</w:t>
      </w:r>
      <w:r>
        <w:tab/>
        <w:t xml:space="preserve">to be published in the </w:t>
      </w:r>
      <w:r>
        <w:rPr>
          <w:i/>
        </w:rPr>
        <w:t>Gazette</w:t>
      </w:r>
      <w:r>
        <w:t>; and</w:t>
      </w:r>
    </w:p>
    <w:p>
      <w:pPr>
        <w:pStyle w:val="Indenta"/>
      </w:pPr>
      <w:r>
        <w:tab/>
        <w:t>(b)</w:t>
      </w:r>
      <w:r>
        <w:tab/>
        <w:t>to be forwarded to each local government, any portion of the district of which is included in the area covered by the policy.</w:t>
      </w:r>
    </w:p>
    <w:p>
      <w:pPr>
        <w:pStyle w:val="Heading5"/>
      </w:pPr>
      <w:bookmarkStart w:id="39" w:name="_Toc199322287"/>
      <w:r>
        <w:rPr>
          <w:rStyle w:val="CharSectno"/>
        </w:rPr>
        <w:t>31</w:t>
      </w:r>
      <w:r>
        <w:t>.</w:t>
      </w:r>
      <w:r>
        <w:tab/>
        <w:t>Amending or repealing State planning policy</w:t>
      </w:r>
      <w:bookmarkEnd w:id="39"/>
    </w:p>
    <w:p>
      <w:pPr>
        <w:pStyle w:val="Subsection"/>
      </w:pPr>
      <w:r>
        <w:tab/>
        <w:t>(1)</w:t>
      </w:r>
      <w:r>
        <w:tab/>
        <w:t>A State planning policy may be amended by amendments prepared by the Commission with the approval of the Minister, or on a direction of the Minister.</w:t>
      </w:r>
    </w:p>
    <w:p>
      <w:pPr>
        <w:pStyle w:val="Subsection"/>
      </w:pPr>
      <w:r>
        <w:tab/>
        <w:t>(2)</w:t>
      </w:r>
      <w:r>
        <w:tab/>
        <w:t xml:space="preserve">A State planning policy may be repealed by — </w:t>
      </w:r>
    </w:p>
    <w:p>
      <w:pPr>
        <w:pStyle w:val="Indenta"/>
      </w:pPr>
      <w:r>
        <w:tab/>
        <w:t>(a)</w:t>
      </w:r>
      <w:r>
        <w:tab/>
        <w:t>a subsequent State planning policy; or</w:t>
      </w:r>
    </w:p>
    <w:p>
      <w:pPr>
        <w:pStyle w:val="Indenta"/>
      </w:pPr>
      <w:r>
        <w:tab/>
        <w:t>(b)</w:t>
      </w:r>
      <w:r>
        <w:tab/>
        <w:t xml:space="preserve">an instrument of repeal — </w:t>
      </w:r>
    </w:p>
    <w:p>
      <w:pPr>
        <w:pStyle w:val="Indenti"/>
      </w:pPr>
      <w:r>
        <w:tab/>
        <w:t>(i)</w:t>
      </w:r>
      <w:r>
        <w:tab/>
        <w:t>made by the Commission with the approval of the Minister, or on a direction of the Minister; and</w:t>
      </w:r>
    </w:p>
    <w:p>
      <w:pPr>
        <w:pStyle w:val="Indenti"/>
      </w:pPr>
      <w:r>
        <w:tab/>
        <w:t>(ii)</w:t>
      </w:r>
      <w:r>
        <w:tab/>
        <w:t xml:space="preserve">approved by the Minister and published in the </w:t>
      </w:r>
      <w:r>
        <w:rPr>
          <w:i/>
        </w:rPr>
        <w:t>Gazette</w:t>
      </w:r>
      <w:r>
        <w:t>.</w:t>
      </w:r>
    </w:p>
    <w:p>
      <w:pPr>
        <w:pStyle w:val="Subsection"/>
      </w:pPr>
      <w:r>
        <w:tab/>
        <w:t>(3)</w:t>
      </w:r>
      <w:r>
        <w:tab/>
        <w:t>Sections 26, 27, 28, 29 and 30 apply, with such modifications as are necessary, to and in relation to an amendment as if the amendment were a State planning policy.</w:t>
      </w:r>
    </w:p>
    <w:p>
      <w:pPr>
        <w:pStyle w:val="Heading5"/>
      </w:pPr>
      <w:bookmarkStart w:id="40" w:name="_Toc199322288"/>
      <w:r>
        <w:rPr>
          <w:rStyle w:val="CharSectno"/>
        </w:rPr>
        <w:lastRenderedPageBreak/>
        <w:t>32</w:t>
      </w:r>
      <w:r>
        <w:t>.</w:t>
      </w:r>
      <w:r>
        <w:tab/>
        <w:t>Environmental review</w:t>
      </w:r>
      <w:bookmarkEnd w:id="40"/>
    </w:p>
    <w:p>
      <w:pPr>
        <w:pStyle w:val="Subsection"/>
      </w:pPr>
      <w:r>
        <w:tab/>
      </w:r>
      <w:r>
        <w:tab/>
        <w:t xml:space="preserve">The Commission may, in relation to a particular State planning policy or an amendment to such a policy, act under sections 81, 82, 84, 85 and 86 as if — </w:t>
      </w:r>
    </w:p>
    <w:p>
      <w:pPr>
        <w:pStyle w:val="Indenta"/>
      </w:pPr>
      <w:r>
        <w:tab/>
        <w:t>(a)</w:t>
      </w:r>
      <w:r>
        <w:tab/>
        <w:t>the Commission were a local government; and</w:t>
      </w:r>
    </w:p>
    <w:p>
      <w:pPr>
        <w:pStyle w:val="Indenta"/>
        <w:keepNext/>
      </w:pPr>
      <w:r>
        <w:tab/>
        <w:t>(b)</w:t>
      </w:r>
      <w:r>
        <w:tab/>
        <w:t>that policy or amendment were a local planning scheme,</w:t>
      </w:r>
    </w:p>
    <w:p>
      <w:pPr>
        <w:pStyle w:val="Subsection"/>
      </w:pPr>
      <w:r>
        <w:tab/>
      </w:r>
      <w:r>
        <w:tab/>
        <w:t>but otherwise this Part applies to that policy or amendment.</w:t>
      </w:r>
    </w:p>
    <w:p>
      <w:pPr>
        <w:pStyle w:val="Heading2"/>
      </w:pPr>
      <w:bookmarkStart w:id="41" w:name="_Toc199322289"/>
      <w:r>
        <w:rPr>
          <w:rStyle w:val="CharPartNo"/>
        </w:rPr>
        <w:lastRenderedPageBreak/>
        <w:t>Part 4</w:t>
      </w:r>
      <w:r>
        <w:t> — </w:t>
      </w:r>
      <w:r>
        <w:rPr>
          <w:rStyle w:val="CharPartText"/>
        </w:rPr>
        <w:t>Region planning schemes</w:t>
      </w:r>
      <w:bookmarkEnd w:id="41"/>
    </w:p>
    <w:p>
      <w:pPr>
        <w:pStyle w:val="Heading3"/>
        <w:spacing w:before="220"/>
      </w:pPr>
      <w:bookmarkStart w:id="42" w:name="_Toc199322290"/>
      <w:r>
        <w:rPr>
          <w:rStyle w:val="CharDivNo"/>
        </w:rPr>
        <w:t>Division 1</w:t>
      </w:r>
      <w:r>
        <w:t> — </w:t>
      </w:r>
      <w:r>
        <w:rPr>
          <w:rStyle w:val="CharDivText"/>
        </w:rPr>
        <w:t>Continuation and formulation of region planning schemes</w:t>
      </w:r>
      <w:bookmarkEnd w:id="42"/>
    </w:p>
    <w:p>
      <w:pPr>
        <w:pStyle w:val="Heading5"/>
        <w:spacing w:before="180"/>
      </w:pPr>
      <w:bookmarkStart w:id="43" w:name="_Toc199322291"/>
      <w:r>
        <w:rPr>
          <w:rStyle w:val="CharSectno"/>
        </w:rPr>
        <w:t>33</w:t>
      </w:r>
      <w:r>
        <w:t>.</w:t>
      </w:r>
      <w:r>
        <w:tab/>
        <w:t>Schemes under repealed Act, effect of</w:t>
      </w:r>
      <w:bookmarkEnd w:id="43"/>
    </w:p>
    <w:p>
      <w:pPr>
        <w:pStyle w:val="Subsection"/>
        <w:spacing w:before="120"/>
      </w:pPr>
      <w:r>
        <w:tab/>
        <w:t>(1)</w:t>
      </w:r>
      <w:r>
        <w:tab/>
        <w:t xml:space="preserve">The Metropolitan Region Scheme in force under the </w:t>
      </w:r>
      <w:r>
        <w:rPr>
          <w:i/>
        </w:rPr>
        <w:t>Metropolitan Region Town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spacing w:before="120"/>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spacing w:before="180"/>
      </w:pPr>
      <w:bookmarkStart w:id="44" w:name="_Toc199322292"/>
      <w:r>
        <w:rPr>
          <w:rStyle w:val="CharSectno"/>
        </w:rPr>
        <w:t>34</w:t>
      </w:r>
      <w:r>
        <w:t>.</w:t>
      </w:r>
      <w:r>
        <w:tab/>
        <w:t>Region planning schemes, preparation and content of</w:t>
      </w:r>
      <w:bookmarkEnd w:id="44"/>
    </w:p>
    <w:p>
      <w:pPr>
        <w:pStyle w:val="Subsection"/>
        <w:spacing w:before="120"/>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spacing w:before="120"/>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spacing w:before="180"/>
      </w:pPr>
      <w:bookmarkStart w:id="45" w:name="_Toc199322293"/>
      <w:r>
        <w:rPr>
          <w:rStyle w:val="CharSectno"/>
        </w:rPr>
        <w:lastRenderedPageBreak/>
        <w:t>35</w:t>
      </w:r>
      <w:r>
        <w:t>.</w:t>
      </w:r>
      <w:r>
        <w:tab/>
        <w:t>Commission may resolve to prepare or amend region planning scheme</w:t>
      </w:r>
      <w:bookmarkEnd w:id="45"/>
    </w:p>
    <w:p>
      <w:pPr>
        <w:pStyle w:val="Subsection"/>
        <w:spacing w:before="120"/>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pPr>
      <w:r>
        <w:tab/>
        <w:t>(3)</w:t>
      </w:r>
      <w:r>
        <w:tab/>
        <w:t>Immediately after resolving to prepare an amendment to a region planning scheme, the Commission is to ensure compliance in respect of that amendment with the relevant procedures set out in Divisions 2, 3 and 4.</w:t>
      </w:r>
    </w:p>
    <w:p>
      <w:pPr>
        <w:pStyle w:val="Heading5"/>
      </w:pPr>
      <w:bookmarkStart w:id="46" w:name="_Toc199322294"/>
      <w:r>
        <w:rPr>
          <w:rStyle w:val="CharSectno"/>
        </w:rPr>
        <w:t>36</w:t>
      </w:r>
      <w:r>
        <w:t>.</w:t>
      </w:r>
      <w:r>
        <w:tab/>
        <w:t>Restrictions on making or amending region planning scheme for metropolitan region</w:t>
      </w:r>
      <w:bookmarkEnd w:id="46"/>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or</w:t>
      </w:r>
    </w:p>
    <w:p>
      <w:pPr>
        <w:pStyle w:val="Indenti"/>
      </w:pPr>
      <w:r>
        <w:tab/>
        <w:t>(ii)</w:t>
      </w:r>
      <w:r>
        <w:tab/>
        <w:t xml:space="preserve">any amendment made to the Metropolitan Region Scheme by the </w:t>
      </w:r>
      <w:r>
        <w:rPr>
          <w:i/>
          <w:iCs/>
        </w:rPr>
        <w:t>Acts Amendment (Swan River Trust) Act 1988</w:t>
      </w:r>
      <w:r>
        <w:t xml:space="preserve"> section 14, 15 or 17; or</w:t>
      </w:r>
    </w:p>
    <w:p>
      <w:pPr>
        <w:pStyle w:val="Indenti"/>
      </w:pPr>
      <w:r>
        <w:tab/>
        <w:t>(iii)</w:t>
      </w:r>
      <w:r>
        <w:tab/>
        <w:t xml:space="preserve">any amendment made to the Metropolitan Region Scheme by the </w:t>
      </w:r>
      <w:r>
        <w:rPr>
          <w:i/>
          <w:iCs/>
        </w:rPr>
        <w:t>Swan and Canning Rivers (Consequential and Transitional Provisions) Act 2006</w:t>
      </w:r>
      <w:r>
        <w:t xml:space="preserve"> section 21;</w:t>
      </w:r>
    </w:p>
    <w:p>
      <w:pPr>
        <w:pStyle w:val="Indenta"/>
      </w:pPr>
      <w:r>
        <w:tab/>
      </w:r>
      <w:r>
        <w:tab/>
        <w:t>or</w:t>
      </w:r>
    </w:p>
    <w:p>
      <w:pPr>
        <w:pStyle w:val="Indenta"/>
      </w:pPr>
      <w:r>
        <w:tab/>
        <w:t>(b)</w:t>
      </w:r>
      <w:r>
        <w:tab/>
        <w:t xml:space="preserve">in a manner that is contrary to or inconsistent with any protection order made under the </w:t>
      </w:r>
      <w:r>
        <w:rPr>
          <w:i/>
        </w:rPr>
        <w:t>Heritage Act 2018</w:t>
      </w:r>
      <w:r>
        <w:t xml:space="preserve"> Part 4 Division 1, except in so far as may be ordered on </w:t>
      </w:r>
      <w:r>
        <w:lastRenderedPageBreak/>
        <w:t>an application or referral made under section 62 of that Act to the State Administrative Tribunal; or</w:t>
      </w:r>
    </w:p>
    <w:p>
      <w:pPr>
        <w:pStyle w:val="Indenta"/>
      </w:pPr>
      <w:r>
        <w:tab/>
        <w:t>(c)</w:t>
      </w:r>
      <w:r>
        <w:tab/>
        <w:t xml:space="preserve">except as provided in the </w:t>
      </w:r>
      <w:r>
        <w:rPr>
          <w:i/>
        </w:rPr>
        <w:t>Metropolitan Redevelopment Authority Act 2011</w:t>
      </w:r>
      <w:r>
        <w:rPr>
          <w:iCs/>
        </w:rPr>
        <w:t xml:space="preserve"> section 58 and </w:t>
      </w:r>
      <w:r>
        <w:t xml:space="preserve">without limiting </w:t>
      </w:r>
      <w:r>
        <w:rPr>
          <w:iCs/>
        </w:rPr>
        <w:t>section 51 of that Act</w:t>
      </w:r>
      <w:r>
        <w:t>, to make any provision in respect of any land to which an approved redevelopment scheme that is in operation under that Act applies; or</w:t>
      </w:r>
    </w:p>
    <w:p>
      <w:pPr>
        <w:pStyle w:val="Indenta"/>
        <w:spacing w:before="60"/>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 or</w:t>
      </w:r>
    </w:p>
    <w:p>
      <w:pPr>
        <w:pStyle w:val="Indenta"/>
      </w:pPr>
      <w:r>
        <w:tab/>
        <w:t>(e)</w:t>
      </w:r>
      <w:r>
        <w:tab/>
        <w:t xml:space="preserve">without limiting the </w:t>
      </w:r>
      <w:r>
        <w:rPr>
          <w:i/>
        </w:rPr>
        <w:t xml:space="preserve">Swan Valley Planning Act 2020 </w:t>
      </w:r>
      <w:r>
        <w:t>section 9, to make any provision in respect of any land in the Swan Valley once the first Swan Valley Planning Scheme has come into operation under that Act.</w:t>
      </w:r>
    </w:p>
    <w:p>
      <w:pPr>
        <w:pStyle w:val="Footnotesection"/>
        <w:ind w:left="890" w:hanging="890"/>
      </w:pPr>
      <w:r>
        <w:tab/>
        <w:t xml:space="preserve">[Section 36 amended: No. 52 of 2006 s. 6; </w:t>
      </w:r>
      <w:r>
        <w:rPr>
          <w:spacing w:val="-4"/>
        </w:rPr>
        <w:t>No. 45 of 2011 s. 141</w:t>
      </w:r>
      <w:r>
        <w:t>(4); No. 22 of 2018 s. 186(3); No. 45 of 2020 s. 63.]</w:t>
      </w:r>
    </w:p>
    <w:p>
      <w:pPr>
        <w:pStyle w:val="Heading5"/>
        <w:spacing w:before="180"/>
      </w:pPr>
      <w:bookmarkStart w:id="47" w:name="_Toc199322295"/>
      <w:r>
        <w:rPr>
          <w:rStyle w:val="CharSectno"/>
        </w:rPr>
        <w:t>37</w:t>
      </w:r>
      <w:r>
        <w:t>.</w:t>
      </w:r>
      <w:r>
        <w:tab/>
        <w:t>Region planning scheme may be amended or repealed</w:t>
      </w:r>
      <w:bookmarkEnd w:id="47"/>
    </w:p>
    <w:p>
      <w:pPr>
        <w:pStyle w:val="Subsection"/>
        <w:spacing w:before="120"/>
      </w:pPr>
      <w:r>
        <w:tab/>
        <w:t>(1)</w:t>
      </w:r>
      <w:r>
        <w:tab/>
        <w:t>A region planning scheme may be amended under this Act.</w:t>
      </w:r>
    </w:p>
    <w:p>
      <w:pPr>
        <w:pStyle w:val="Subsection"/>
        <w:spacing w:before="120"/>
      </w:pPr>
      <w:r>
        <w:tab/>
        <w:t>(2)</w:t>
      </w:r>
      <w:r>
        <w:tab/>
        <w:t xml:space="preserve">A region planning scheme may be repealed by — </w:t>
      </w:r>
    </w:p>
    <w:p>
      <w:pPr>
        <w:pStyle w:val="Indenta"/>
        <w:spacing w:before="60"/>
      </w:pPr>
      <w:r>
        <w:tab/>
        <w:t>(a)</w:t>
      </w:r>
      <w:r>
        <w:tab/>
        <w:t>a subsequent region planning scheme; or</w:t>
      </w:r>
    </w:p>
    <w:p>
      <w:pPr>
        <w:pStyle w:val="Indenta"/>
        <w:spacing w:before="60"/>
      </w:pPr>
      <w:r>
        <w:tab/>
        <w:t>(b)</w:t>
      </w:r>
      <w:r>
        <w:tab/>
        <w:t xml:space="preserve">an instrument of repeal prepared by the Commission, approved by the Minister and published in the </w:t>
      </w:r>
      <w:r>
        <w:rPr>
          <w:i/>
        </w:rPr>
        <w:t>Gazette</w:t>
      </w:r>
      <w:r>
        <w:t>.</w:t>
      </w:r>
    </w:p>
    <w:p>
      <w:pPr>
        <w:pStyle w:val="Heading3"/>
        <w:spacing w:before="180"/>
      </w:pPr>
      <w:bookmarkStart w:id="48" w:name="_Toc199322296"/>
      <w:r>
        <w:rPr>
          <w:rStyle w:val="CharDivNo"/>
        </w:rPr>
        <w:t>Division 2</w:t>
      </w:r>
      <w:r>
        <w:t> — </w:t>
      </w:r>
      <w:r>
        <w:rPr>
          <w:rStyle w:val="CharDivText"/>
        </w:rPr>
        <w:t>Relevant considerations in preparation or amendment of region planning scheme or amendment and requirement to advertise</w:t>
      </w:r>
      <w:bookmarkEnd w:id="48"/>
    </w:p>
    <w:p>
      <w:pPr>
        <w:pStyle w:val="Footnoteheading"/>
      </w:pPr>
      <w:r>
        <w:tab/>
        <w:t>[Heading inserted: No. 26 of 2020 s. 22.]</w:t>
      </w:r>
    </w:p>
    <w:p>
      <w:pPr>
        <w:pStyle w:val="Heading5"/>
      </w:pPr>
      <w:bookmarkStart w:id="49" w:name="_Toc199322297"/>
      <w:r>
        <w:rPr>
          <w:rStyle w:val="CharSectno"/>
        </w:rPr>
        <w:t>38</w:t>
      </w:r>
      <w:r>
        <w:t>.</w:t>
      </w:r>
      <w:r>
        <w:tab/>
        <w:t>Referral of proposed scheme or amendment to EPA</w:t>
      </w:r>
      <w:bookmarkEnd w:id="49"/>
    </w:p>
    <w:p>
      <w:pPr>
        <w:pStyle w:val="Subsection"/>
      </w:pPr>
      <w:r>
        <w:tab/>
        <w:t>(1)</w:t>
      </w:r>
      <w:r>
        <w:tab/>
        <w:t xml:space="preserve">As soon as practicable after preparing a proposed region planning scheme or a proposed amendment to a region planning </w:t>
      </w:r>
      <w:r>
        <w:lastRenderedPageBreak/>
        <w:t xml:space="preserve">scheme, the Commission must refer the proposed scheme or amendment to the EPA by giving to the EPA — </w:t>
      </w:r>
    </w:p>
    <w:p>
      <w:pPr>
        <w:pStyle w:val="Indenta"/>
      </w:pPr>
      <w:r>
        <w:tab/>
        <w:t>(a)</w:t>
      </w:r>
      <w:r>
        <w:tab/>
        <w:t>a copy of the proposed scheme or amendment; and</w:t>
      </w:r>
    </w:p>
    <w:p>
      <w:pPr>
        <w:pStyle w:val="Indenta"/>
      </w:pPr>
      <w:r>
        <w:tab/>
        <w:t>(b)</w:t>
      </w:r>
      <w:r>
        <w:tab/>
        <w:t>any other written information about the proposed scheme or amendment that is necessary to enable the EPA to comply with the EP Act section 48A in relation to the proposed scheme or amendment.</w:t>
      </w:r>
    </w:p>
    <w:p>
      <w:pPr>
        <w:pStyle w:val="Subsection"/>
      </w:pPr>
      <w:r>
        <w:tab/>
        <w:t>(2)</w:t>
      </w:r>
      <w:r>
        <w:tab/>
        <w:t>Subsection (1) applies to a proposed amendment to a region planning scheme whether or not the amendment constitutes a substantial alteration to the scheme.</w:t>
      </w:r>
    </w:p>
    <w:p>
      <w:pPr>
        <w:pStyle w:val="Subsection"/>
      </w:pPr>
      <w:r>
        <w:tab/>
        <w:t>(3)</w:t>
      </w:r>
      <w:r>
        <w:tab/>
        <w:t>Despite subsections (1) and (2), a proposed region planning scheme or amendment to a region planning scheme of a class prescribed by regulations under the EP Act section 48AAA(2) is not required to be referred to the EPA.</w:t>
      </w:r>
    </w:p>
    <w:p>
      <w:pPr>
        <w:pStyle w:val="Footnotesection"/>
      </w:pPr>
      <w:r>
        <w:tab/>
        <w:t>[Section 38 inserted: No. 26 of 2020 s. 23.]</w:t>
      </w:r>
    </w:p>
    <w:p>
      <w:pPr>
        <w:pStyle w:val="Heading5"/>
        <w:keepLines w:val="0"/>
        <w:spacing w:before="180"/>
      </w:pPr>
      <w:bookmarkStart w:id="50" w:name="_Toc199322298"/>
      <w:r>
        <w:rPr>
          <w:rStyle w:val="CharSectno"/>
        </w:rPr>
        <w:t>39</w:t>
      </w:r>
      <w:r>
        <w:t>.</w:t>
      </w:r>
      <w:r>
        <w:tab/>
        <w:t>Environmental review of proposed scheme or amendment</w:t>
      </w:r>
      <w:bookmarkEnd w:id="50"/>
    </w:p>
    <w:p>
      <w:pPr>
        <w:pStyle w:val="Subsection"/>
        <w:keepNext/>
        <w:spacing w:before="120"/>
      </w:pPr>
      <w:r>
        <w:tab/>
        <w:t>(1)</w:t>
      </w:r>
      <w:r>
        <w:tab/>
        <w:t xml:space="preserve">In this section — </w:t>
      </w:r>
    </w:p>
    <w:p>
      <w:pPr>
        <w:pStyle w:val="Defstart"/>
      </w:pPr>
      <w:r>
        <w:tab/>
      </w:r>
      <w:r>
        <w:rPr>
          <w:rStyle w:val="CharDefText"/>
        </w:rPr>
        <w:t>instructions</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referred to the EPA under section 38,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advertise the proposed region planning scheme or amendment under section 43 until — </w:t>
      </w:r>
    </w:p>
    <w:p>
      <w:pPr>
        <w:pStyle w:val="Indenta"/>
      </w:pPr>
      <w:r>
        <w:tab/>
        <w:t>(a)</w:t>
      </w:r>
      <w:r>
        <w:tab/>
        <w:t>the Commission has forwarded the environmental review to the EPA; and</w:t>
      </w:r>
    </w:p>
    <w:p>
      <w:pPr>
        <w:pStyle w:val="Indenta"/>
      </w:pPr>
      <w:r>
        <w:lastRenderedPageBreak/>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keepNext/>
        <w:keepLines/>
      </w:pPr>
      <w:r>
        <w:tab/>
        <w:t>(4)</w:t>
      </w:r>
      <w:r>
        <w:tab/>
        <w:t xml:space="preserve">If the EPA has advised that the review has not been undertaken in accordance with the relevant instructions, the Commission may — </w:t>
      </w:r>
    </w:p>
    <w:p>
      <w:pPr>
        <w:pStyle w:val="Indenta"/>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Footnotesection"/>
      </w:pPr>
      <w:r>
        <w:tab/>
        <w:t>[Section 39 amended: No. 26 of 2020 s. 24.]</w:t>
      </w:r>
    </w:p>
    <w:p>
      <w:pPr>
        <w:pStyle w:val="Ednotesection"/>
      </w:pPr>
      <w:r>
        <w:t>[</w:t>
      </w:r>
      <w:r>
        <w:rPr>
          <w:b/>
        </w:rPr>
        <w:t>40.</w:t>
      </w:r>
      <w:r>
        <w:tab/>
        <w:t>Deleted: No. 45 of 2020 s. 64.]</w:t>
      </w:r>
    </w:p>
    <w:p>
      <w:pPr>
        <w:pStyle w:val="Ednotedivision"/>
      </w:pPr>
      <w:r>
        <w:t>[Division 3 heading deleted: No. 26 of 2020 s. 26.]</w:t>
      </w:r>
    </w:p>
    <w:p>
      <w:pPr>
        <w:pStyle w:val="Ednotesection"/>
      </w:pPr>
      <w:r>
        <w:t>[</w:t>
      </w:r>
      <w:r>
        <w:rPr>
          <w:b/>
        </w:rPr>
        <w:t>41, 42.</w:t>
      </w:r>
      <w:r>
        <w:tab/>
        <w:t>Deleted: No. 26 of 2020 s. 27.]</w:t>
      </w:r>
    </w:p>
    <w:p>
      <w:pPr>
        <w:pStyle w:val="Heading5"/>
      </w:pPr>
      <w:bookmarkStart w:id="51" w:name="_Toc199322299"/>
      <w:r>
        <w:rPr>
          <w:rStyle w:val="CharSectno"/>
        </w:rPr>
        <w:t>43</w:t>
      </w:r>
      <w:r>
        <w:t>.</w:t>
      </w:r>
      <w:r>
        <w:tab/>
        <w:t>Advertising proposed scheme or amendment</w:t>
      </w:r>
      <w:bookmarkEnd w:id="51"/>
    </w:p>
    <w:p>
      <w:pPr>
        <w:pStyle w:val="Subsection"/>
      </w:pPr>
      <w:r>
        <w:tab/>
      </w:r>
      <w:r>
        <w:tab/>
        <w:t xml:space="preserve">After preparing a proposed region planning scheme or a proposed amendment to a region planning scheme, and complying with sections 38 and 39 (if applicable) in relation to </w:t>
      </w:r>
      <w:r>
        <w:lastRenderedPageBreak/>
        <w:t xml:space="preserve">the proposed scheme or amendment, the Commission must, in accordance with the regulations — </w:t>
      </w:r>
    </w:p>
    <w:p>
      <w:pPr>
        <w:pStyle w:val="Indenta"/>
      </w:pPr>
      <w:r>
        <w:tab/>
        <w:t>(a)</w:t>
      </w:r>
      <w:r>
        <w:tab/>
        <w:t>advertise the proposed scheme or amendment for public inspection; and</w:t>
      </w:r>
    </w:p>
    <w:p>
      <w:pPr>
        <w:pStyle w:val="Indenta"/>
      </w:pPr>
      <w:r>
        <w:tab/>
        <w:t>(b)</w:t>
      </w:r>
      <w:r>
        <w:tab/>
        <w:t>consider public submissions made on the proposed scheme or amendment.</w:t>
      </w:r>
    </w:p>
    <w:p>
      <w:pPr>
        <w:pStyle w:val="Footnotesection"/>
      </w:pPr>
      <w:r>
        <w:tab/>
        <w:t>[Section 43 inserted: No. 26 of 2020 s. 27.]</w:t>
      </w:r>
    </w:p>
    <w:p>
      <w:pPr>
        <w:pStyle w:val="Ednotesection"/>
      </w:pPr>
      <w:r>
        <w:t>[</w:t>
      </w:r>
      <w:r>
        <w:rPr>
          <w:b/>
        </w:rPr>
        <w:t>44.</w:t>
      </w:r>
      <w:r>
        <w:tab/>
        <w:t>Deleted: No. 26 of 2020 s. 27.]</w:t>
      </w:r>
    </w:p>
    <w:p>
      <w:pPr>
        <w:pStyle w:val="Heading5"/>
      </w:pPr>
      <w:bookmarkStart w:id="52" w:name="_Toc199322300"/>
      <w:r>
        <w:rPr>
          <w:rStyle w:val="CharSectno"/>
        </w:rPr>
        <w:t>45</w:t>
      </w:r>
      <w:r>
        <w:t>.</w:t>
      </w:r>
      <w:r>
        <w:tab/>
        <w:t>Commission’s duties if proposed scheme or amendment is to be assessed under EP Act</w:t>
      </w:r>
      <w:bookmarkEnd w:id="52"/>
    </w:p>
    <w:p>
      <w:pPr>
        <w:pStyle w:val="Subsection"/>
        <w:keepNext/>
        <w:keepLines/>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pPr>
      <w:r>
        <w:tab/>
        <w:t>(2)</w:t>
      </w:r>
      <w:r>
        <w:tab/>
        <w:t xml:space="preserve">When the Commission has been informed under section 48A(1)(b)(i) of the EP Act that a proposed scheme or proposed amendment referred to the EPA under section 38 should be assessed by the EPA under Part IV Division 3 of the EP Act, the Commission is to — </w:t>
      </w:r>
    </w:p>
    <w:p>
      <w:pPr>
        <w:pStyle w:val="Indenta"/>
      </w:pPr>
      <w:r>
        <w:tab/>
        <w:t>(a)</w:t>
      </w:r>
      <w:r>
        <w:tab/>
        <w:t xml:space="preserve">as soon as practicable, but in any event within 7 days after the expiry of the period during which the proposed scheme or proposed amendment is advertised under section 43, transmit to the EPA a copy of each submission — </w:t>
      </w:r>
    </w:p>
    <w:p>
      <w:pPr>
        <w:pStyle w:val="Indenti"/>
      </w:pPr>
      <w:r>
        <w:tab/>
        <w:t>(i)</w:t>
      </w:r>
      <w:r>
        <w:tab/>
        <w:t>made during that period; and</w:t>
      </w:r>
    </w:p>
    <w:p>
      <w:pPr>
        <w:pStyle w:val="Indenti"/>
      </w:pPr>
      <w:r>
        <w:tab/>
        <w:t>(ii)</w:t>
      </w:r>
      <w:r>
        <w:tab/>
        <w:t>relating wholly or in part to environmental issues raised by the proposed scheme or proposed amendment;</w:t>
      </w:r>
    </w:p>
    <w:p>
      <w:pPr>
        <w:pStyle w:val="Indenta"/>
      </w:pPr>
      <w:r>
        <w:tab/>
      </w:r>
      <w:r>
        <w:tab/>
        <w:t>and</w:t>
      </w:r>
    </w:p>
    <w:p>
      <w:pPr>
        <w:pStyle w:val="Indenta"/>
      </w:pPr>
      <w:r>
        <w:tab/>
        <w:t>(b)</w:t>
      </w:r>
      <w:r>
        <w:tab/>
        <w:t xml:space="preserve">within 42 days, or such longer period as the Minister allows, after the expiry of the period referred to in paragraph (a), inform the EPA of its views on and </w:t>
      </w:r>
      <w:r>
        <w:lastRenderedPageBreak/>
        <w:t>response to the environmental issues raised by the submissions referred to in paragraph (a) and received within that period.</w:t>
      </w:r>
    </w:p>
    <w:p>
      <w:pPr>
        <w:pStyle w:val="Footnotesection"/>
      </w:pPr>
      <w:r>
        <w:tab/>
        <w:t>[Section 45 amended: No. 26 of 2020 s. 28.]</w:t>
      </w:r>
    </w:p>
    <w:p>
      <w:pPr>
        <w:pStyle w:val="Ednotesection"/>
      </w:pPr>
      <w:r>
        <w:t>[</w:t>
      </w:r>
      <w:r>
        <w:rPr>
          <w:b/>
        </w:rPr>
        <w:t>46.</w:t>
      </w:r>
      <w:r>
        <w:tab/>
        <w:t>Deleted: No. 26 of 2020 s. 29.]</w:t>
      </w:r>
    </w:p>
    <w:p>
      <w:pPr>
        <w:pStyle w:val="Ednotesection"/>
      </w:pPr>
      <w:r>
        <w:t>[</w:t>
      </w:r>
      <w:r>
        <w:rPr>
          <w:b/>
        </w:rPr>
        <w:t>47.</w:t>
      </w:r>
      <w:r>
        <w:tab/>
        <w:t>Deleted: No. 45 of 2020 s. 65.]</w:t>
      </w:r>
    </w:p>
    <w:p>
      <w:pPr>
        <w:pStyle w:val="Heading3"/>
      </w:pPr>
      <w:bookmarkStart w:id="53" w:name="_Toc199322301"/>
      <w:r>
        <w:rPr>
          <w:rStyle w:val="CharDivNo"/>
        </w:rPr>
        <w:t>Division 3</w:t>
      </w:r>
      <w:r>
        <w:t xml:space="preserve"> — </w:t>
      </w:r>
      <w:r>
        <w:rPr>
          <w:rStyle w:val="CharDivText"/>
        </w:rPr>
        <w:t>Submission and approval of region planning schemes or amendment other than minor amendments</w:t>
      </w:r>
      <w:bookmarkEnd w:id="53"/>
    </w:p>
    <w:p>
      <w:pPr>
        <w:pStyle w:val="Footnoteheading"/>
      </w:pPr>
      <w:r>
        <w:tab/>
        <w:t>[Heading inserted: No. 26 of 2020 s. 31.]</w:t>
      </w:r>
    </w:p>
    <w:p>
      <w:pPr>
        <w:pStyle w:val="Heading5"/>
      </w:pPr>
      <w:bookmarkStart w:id="54" w:name="_Toc199322302"/>
      <w:r>
        <w:rPr>
          <w:rStyle w:val="CharSectno"/>
        </w:rPr>
        <w:t>47A</w:t>
      </w:r>
      <w:r>
        <w:t>.</w:t>
      </w:r>
      <w:r>
        <w:tab/>
        <w:t>Region planning scheme or non</w:t>
      </w:r>
      <w:r>
        <w:noBreakHyphen/>
        <w:t>minor amendment to be submitted and approved under this Division</w:t>
      </w:r>
      <w:bookmarkEnd w:id="54"/>
    </w:p>
    <w:p>
      <w:pPr>
        <w:pStyle w:val="Subsection"/>
      </w:pPr>
      <w:r>
        <w:tab/>
      </w:r>
      <w:r>
        <w:tab/>
        <w:t>A proposed region planning scheme, or a proposed amendment to a region planning scheme (other than a proposed amendment to be submitted and approved under Division 4), must be submitted and approved in accordance with this Division.</w:t>
      </w:r>
    </w:p>
    <w:p>
      <w:pPr>
        <w:pStyle w:val="Footnotesection"/>
      </w:pPr>
      <w:r>
        <w:tab/>
        <w:t>[Section 47A inserted: No. 26 of 2020 s. 32.]</w:t>
      </w:r>
    </w:p>
    <w:p>
      <w:pPr>
        <w:pStyle w:val="Heading5"/>
      </w:pPr>
      <w:bookmarkStart w:id="55" w:name="_Toc199322303"/>
      <w:r>
        <w:rPr>
          <w:rStyle w:val="CharSectno"/>
        </w:rPr>
        <w:t>48</w:t>
      </w:r>
      <w:r>
        <w:t>.</w:t>
      </w:r>
      <w:r>
        <w:tab/>
        <w:t>Proposed scheme or amendment and public submissions to be submitted to Minister</w:t>
      </w:r>
      <w:bookmarkEnd w:id="55"/>
    </w:p>
    <w:p>
      <w:pPr>
        <w:pStyle w:val="Subsection"/>
      </w:pPr>
      <w:r>
        <w:tab/>
      </w:r>
      <w:r>
        <w:tab/>
        <w:t xml:space="preserve">After complying with the applicable requirements of Division 2 in relation to a proposed region planning scheme or a proposed amendment to a region planning scheme, the Commission, unless the proposed scheme or amendment has been withdrawn under section 62A, is to submit to the Minister — </w:t>
      </w:r>
    </w:p>
    <w:p>
      <w:pPr>
        <w:pStyle w:val="Indenta"/>
      </w:pPr>
      <w:r>
        <w:tab/>
        <w:t>(a)</w:t>
      </w:r>
      <w:r>
        <w:tab/>
        <w:t>the proposed scheme or amendment, with the modifications, if any, the Commission thinks fit to make, including as a result of public submissions made under regulations made for the purposes of section 43; and</w:t>
      </w:r>
    </w:p>
    <w:p>
      <w:pPr>
        <w:pStyle w:val="Indenta"/>
      </w:pPr>
      <w:r>
        <w:tab/>
        <w:t>(b)</w:t>
      </w:r>
      <w:r>
        <w:tab/>
        <w:t>a copy of each of those submissions; and</w:t>
      </w:r>
    </w:p>
    <w:p>
      <w:pPr>
        <w:pStyle w:val="Indenta"/>
      </w:pPr>
      <w:r>
        <w:lastRenderedPageBreak/>
        <w:tab/>
        <w:t>(c)</w:t>
      </w:r>
      <w:r>
        <w:tab/>
        <w:t>a report by the Commission on those submissions.</w:t>
      </w:r>
    </w:p>
    <w:p>
      <w:pPr>
        <w:pStyle w:val="Footnotesection"/>
      </w:pPr>
      <w:r>
        <w:tab/>
        <w:t>[Section 48 inserted: No. 26 of 2020 s. 33.]</w:t>
      </w:r>
    </w:p>
    <w:p>
      <w:pPr>
        <w:pStyle w:val="Ednotesection"/>
      </w:pPr>
      <w:r>
        <w:t>[</w:t>
      </w:r>
      <w:r>
        <w:rPr>
          <w:b/>
        </w:rPr>
        <w:t>49.</w:t>
      </w:r>
      <w:r>
        <w:tab/>
        <w:t>Deleted: No. 26 of 2020 s. 33.]</w:t>
      </w:r>
    </w:p>
    <w:p>
      <w:pPr>
        <w:pStyle w:val="Heading5"/>
      </w:pPr>
      <w:bookmarkStart w:id="56" w:name="_Toc199322304"/>
      <w:r>
        <w:rPr>
          <w:rStyle w:val="CharSectno"/>
        </w:rPr>
        <w:t>50</w:t>
      </w:r>
      <w:r>
        <w:t>.</w:t>
      </w:r>
      <w:r>
        <w:tab/>
        <w:t>When Minister may submit proposed scheme or amendment for Governor’s approval</w:t>
      </w:r>
      <w:bookmarkEnd w:id="56"/>
    </w:p>
    <w:p>
      <w:pPr>
        <w:pStyle w:val="Subsection"/>
        <w:keepNext/>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scheme or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scheme or amendment is subject have been incorporated into that scheme or amendment.</w:t>
      </w:r>
    </w:p>
    <w:p>
      <w:pPr>
        <w:pStyle w:val="Heading5"/>
      </w:pPr>
      <w:bookmarkStart w:id="57" w:name="_Toc199322305"/>
      <w:r>
        <w:rPr>
          <w:rStyle w:val="CharSectno"/>
        </w:rPr>
        <w:t>51</w:t>
      </w:r>
      <w:r>
        <w:t>.</w:t>
      </w:r>
      <w:r>
        <w:tab/>
        <w:t>Minister may direct proposed scheme or amendment to be republicised</w:t>
      </w:r>
      <w:bookmarkEnd w:id="57"/>
    </w:p>
    <w:p>
      <w:pPr>
        <w:pStyle w:val="Subsection"/>
      </w:pPr>
      <w:r>
        <w:tab/>
        <w:t>(1)</w:t>
      </w:r>
      <w:r>
        <w:tab/>
        <w:t xml:space="preserve">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advertise the scheme or amendment as so modified, or that </w:t>
      </w:r>
      <w:r>
        <w:lastRenderedPageBreak/>
        <w:t>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Footnotesection"/>
      </w:pPr>
      <w:r>
        <w:tab/>
        <w:t>[Section 51 amended: No. 26 of 2020 s. 34.]</w:t>
      </w:r>
    </w:p>
    <w:p>
      <w:pPr>
        <w:pStyle w:val="Heading5"/>
      </w:pPr>
      <w:bookmarkStart w:id="58" w:name="_Toc199322306"/>
      <w:r>
        <w:rPr>
          <w:rStyle w:val="CharSectno"/>
        </w:rPr>
        <w:t>52</w:t>
      </w:r>
      <w:r>
        <w:t>.</w:t>
      </w:r>
      <w:r>
        <w:tab/>
        <w:t>Modifications to proposed scheme or amendment, procedure on</w:t>
      </w:r>
      <w:bookmarkEnd w:id="58"/>
    </w:p>
    <w:p>
      <w:pPr>
        <w:pStyle w:val="Subsection"/>
        <w:keepNext/>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the regulations.</w:t>
      </w:r>
    </w:p>
    <w:p>
      <w:pPr>
        <w:pStyle w:val="Ednotesubsection"/>
      </w:pPr>
      <w:r>
        <w:tab/>
        <w:t>[(3)</w:t>
      </w:r>
      <w:r>
        <w:tab/>
        <w:t>deleted]</w:t>
      </w:r>
    </w:p>
    <w:p>
      <w:pPr>
        <w:pStyle w:val="Footnotesection"/>
      </w:pPr>
      <w:r>
        <w:tab/>
        <w:t>[Section 52 amended: No. 26 of 2020 s. 35.]</w:t>
      </w:r>
    </w:p>
    <w:p>
      <w:pPr>
        <w:pStyle w:val="Heading5"/>
        <w:spacing w:before="240"/>
      </w:pPr>
      <w:bookmarkStart w:id="59" w:name="_Toc199322307"/>
      <w:r>
        <w:rPr>
          <w:rStyle w:val="CharSectno"/>
        </w:rPr>
        <w:t>53</w:t>
      </w:r>
      <w:r>
        <w:t>.</w:t>
      </w:r>
      <w:r>
        <w:tab/>
        <w:t>Approval of Governor</w:t>
      </w:r>
      <w:bookmarkEnd w:id="59"/>
    </w:p>
    <w:p>
      <w:pPr>
        <w:pStyle w:val="Subsection"/>
      </w:pPr>
      <w:r>
        <w:tab/>
        <w:t>(1)</w:t>
      </w:r>
      <w:r>
        <w:tab/>
        <w:t>If the Minister has not withdrawn the scheme or amendment under section 62A,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Footnotesection"/>
      </w:pPr>
      <w:r>
        <w:tab/>
        <w:t>[Section 53 amended: No. 26 of 2020 s. 36.]</w:t>
      </w:r>
    </w:p>
    <w:p>
      <w:pPr>
        <w:pStyle w:val="Heading5"/>
      </w:pPr>
      <w:bookmarkStart w:id="60" w:name="_Toc199322308"/>
      <w:r>
        <w:rPr>
          <w:rStyle w:val="CharSectno"/>
        </w:rPr>
        <w:lastRenderedPageBreak/>
        <w:t>54</w:t>
      </w:r>
      <w:r>
        <w:t>.</w:t>
      </w:r>
      <w:r>
        <w:tab/>
        <w:t>Publicising approved scheme or amendment</w:t>
      </w:r>
      <w:bookmarkEnd w:id="60"/>
    </w:p>
    <w:p>
      <w:pPr>
        <w:pStyle w:val="Subsection"/>
        <w:keepNext/>
        <w:keepLines/>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spacing w:before="240"/>
      </w:pPr>
      <w:bookmarkStart w:id="61" w:name="_Toc199322309"/>
      <w:r>
        <w:rPr>
          <w:rStyle w:val="CharSectno"/>
        </w:rPr>
        <w:t>55</w:t>
      </w:r>
      <w:r>
        <w:t>.</w:t>
      </w:r>
      <w:r>
        <w:tab/>
        <w:t>Revoking approval of scheme or amendment</w:t>
      </w:r>
      <w:bookmarkEnd w:id="61"/>
    </w:p>
    <w:p>
      <w:pPr>
        <w:pStyle w:val="Subsection"/>
        <w:spacing w:before="180"/>
      </w:pPr>
      <w:r>
        <w:tab/>
        <w:t>(1)</w:t>
      </w:r>
      <w:r>
        <w:tab/>
        <w:t>The Governor may, on the recommendation of the Minister and at any time before the scheme or amendment has effect, revoke his or her approval of the scheme or amendment.</w:t>
      </w:r>
    </w:p>
    <w:p>
      <w:pPr>
        <w:pStyle w:val="Subsection"/>
        <w:spacing w:before="180"/>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spacing w:before="180"/>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spacing w:before="180"/>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lastRenderedPageBreak/>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62" w:name="_Toc199322310"/>
      <w:r>
        <w:rPr>
          <w:rStyle w:val="CharSectno"/>
        </w:rPr>
        <w:t>56</w:t>
      </w:r>
      <w:r>
        <w:t>.</w:t>
      </w:r>
      <w:r>
        <w:tab/>
        <w:t>Parliament may disallow scheme or amendment</w:t>
      </w:r>
      <w:bookmarkEnd w:id="62"/>
    </w:p>
    <w:p>
      <w:pPr>
        <w:pStyle w:val="Subsection"/>
        <w:keepNext/>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63" w:name="_Toc199322311"/>
      <w:r>
        <w:rPr>
          <w:rStyle w:val="CharDivNo"/>
        </w:rPr>
        <w:lastRenderedPageBreak/>
        <w:t>Division 4</w:t>
      </w:r>
      <w:r>
        <w:t> — </w:t>
      </w:r>
      <w:r>
        <w:rPr>
          <w:rStyle w:val="CharDivText"/>
        </w:rPr>
        <w:t>Submission and approval of minor amendments to region planning schemes</w:t>
      </w:r>
      <w:bookmarkEnd w:id="63"/>
    </w:p>
    <w:p>
      <w:pPr>
        <w:pStyle w:val="Footnoteheading"/>
      </w:pPr>
      <w:r>
        <w:tab/>
        <w:t>[Heading inserted: No. 26 of 2020 s. 37.]</w:t>
      </w:r>
    </w:p>
    <w:p>
      <w:pPr>
        <w:pStyle w:val="Heading5"/>
      </w:pPr>
      <w:bookmarkStart w:id="64" w:name="_Toc199322312"/>
      <w:r>
        <w:rPr>
          <w:rStyle w:val="CharSectno"/>
        </w:rPr>
        <w:t>56A</w:t>
      </w:r>
      <w:r>
        <w:t>.</w:t>
      </w:r>
      <w:r>
        <w:tab/>
        <w:t>Term used: minor region planning scheme amendment</w:t>
      </w:r>
      <w:bookmarkEnd w:id="64"/>
    </w:p>
    <w:p>
      <w:pPr>
        <w:pStyle w:val="Subsection"/>
      </w:pPr>
      <w:r>
        <w:tab/>
      </w:r>
      <w:r>
        <w:tab/>
        <w:t xml:space="preserve">In this Division — </w:t>
      </w:r>
    </w:p>
    <w:p>
      <w:pPr>
        <w:pStyle w:val="Defstart"/>
      </w:pPr>
      <w:r>
        <w:tab/>
      </w:r>
      <w:r>
        <w:rPr>
          <w:rStyle w:val="CharDefText"/>
        </w:rPr>
        <w:t>minor region planning scheme amendment</w:t>
      </w:r>
      <w:r>
        <w:t xml:space="preserve"> means an amendment to a region planning scheme that does not, in the opinion of the Commission, constitute a substantial alteration to the region planning scheme.</w:t>
      </w:r>
    </w:p>
    <w:p>
      <w:pPr>
        <w:pStyle w:val="Footnotesection"/>
      </w:pPr>
      <w:r>
        <w:tab/>
        <w:t>[Section 56A inserted: No. 26 of 2020 s. 38.]</w:t>
      </w:r>
    </w:p>
    <w:p>
      <w:pPr>
        <w:pStyle w:val="Heading5"/>
      </w:pPr>
      <w:bookmarkStart w:id="65" w:name="_Toc199322313"/>
      <w:r>
        <w:rPr>
          <w:rStyle w:val="CharSectno"/>
        </w:rPr>
        <w:t>57</w:t>
      </w:r>
      <w:r>
        <w:t>.</w:t>
      </w:r>
      <w:r>
        <w:tab/>
        <w:t>Proposed minor amendment may be submitted and approved under this Division</w:t>
      </w:r>
      <w:bookmarkEnd w:id="65"/>
    </w:p>
    <w:p>
      <w:pPr>
        <w:pStyle w:val="Subsection"/>
      </w:pPr>
      <w:r>
        <w:tab/>
        <w:t>(1)</w:t>
      </w:r>
      <w:r>
        <w:tab/>
        <w:t xml:space="preserve">A proposed minor region planning scheme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Ednotesubsection"/>
        <w:keepNext/>
      </w:pPr>
      <w:r>
        <w:tab/>
        <w:t>[(2)</w:t>
      </w:r>
      <w:r>
        <w:tab/>
        <w:t>deleted]</w:t>
      </w:r>
    </w:p>
    <w:p>
      <w:pPr>
        <w:pStyle w:val="Footnotesection"/>
      </w:pPr>
      <w:r>
        <w:tab/>
        <w:t>[Section 57 amended: No. 45 of 2020 s. 68; No. 26 of 2020 s. 39.]</w:t>
      </w:r>
    </w:p>
    <w:p>
      <w:pPr>
        <w:pStyle w:val="Ednotesection"/>
      </w:pPr>
      <w:r>
        <w:t>[</w:t>
      </w:r>
      <w:r>
        <w:rPr>
          <w:b/>
        </w:rPr>
        <w:t>58-60.</w:t>
      </w:r>
      <w:r>
        <w:tab/>
        <w:t>Deleted: No. 26 of 2020 s. 40.]</w:t>
      </w:r>
    </w:p>
    <w:p>
      <w:pPr>
        <w:pStyle w:val="Heading5"/>
      </w:pPr>
      <w:bookmarkStart w:id="66" w:name="_Toc199322314"/>
      <w:r>
        <w:rPr>
          <w:rStyle w:val="CharSectno"/>
        </w:rPr>
        <w:t>61</w:t>
      </w:r>
      <w:r>
        <w:t>.</w:t>
      </w:r>
      <w:r>
        <w:tab/>
        <w:t>Minister not to approve proposed minor amendment in some cases</w:t>
      </w:r>
      <w:bookmarkEnd w:id="66"/>
    </w:p>
    <w:p>
      <w:pPr>
        <w:pStyle w:val="Subsection"/>
        <w:keepNext/>
      </w:pPr>
      <w:r>
        <w:tab/>
      </w:r>
      <w:r>
        <w:tab/>
        <w:t xml:space="preserve">The Minister is not to approve under section 62(1) a proposed minor region planning scheme amendment referred to the EPA under section 38 if the Minister has reached agreement with the </w:t>
      </w:r>
      <w:r>
        <w:lastRenderedPageBreak/>
        <w:t xml:space="preserve">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 or</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Footnotesection"/>
      </w:pPr>
      <w:r>
        <w:tab/>
        <w:t>[Section 61 amended: No. 26 of 2020 s. 41.]</w:t>
      </w:r>
    </w:p>
    <w:p>
      <w:pPr>
        <w:pStyle w:val="Heading5"/>
      </w:pPr>
      <w:bookmarkStart w:id="67" w:name="_Toc199322315"/>
      <w:r>
        <w:rPr>
          <w:rStyle w:val="CharSectno"/>
        </w:rPr>
        <w:t>62</w:t>
      </w:r>
      <w:r>
        <w:t>.</w:t>
      </w:r>
      <w:r>
        <w:tab/>
        <w:t>Minister may approve or decline to approve minor amendment</w:t>
      </w:r>
      <w:bookmarkEnd w:id="67"/>
    </w:p>
    <w:p>
      <w:pPr>
        <w:pStyle w:val="Subsection"/>
      </w:pPr>
      <w:r>
        <w:tab/>
        <w:t>(1A)</w:t>
      </w:r>
      <w:r>
        <w:tab/>
        <w:t xml:space="preserve">After complying with the applicable requirements of Division 2 in relation to a proposed minor region planning scheme amendment, the Commission must, unless the proposed amendment has been withdrawn under section 62A, submit to the Minister — </w:t>
      </w:r>
    </w:p>
    <w:p>
      <w:pPr>
        <w:pStyle w:val="Indenta"/>
      </w:pPr>
      <w:r>
        <w:tab/>
        <w:t>(a)</w:t>
      </w:r>
      <w:r>
        <w:tab/>
        <w:t>the proposed amendment; and</w:t>
      </w:r>
    </w:p>
    <w:p>
      <w:pPr>
        <w:pStyle w:val="Indenta"/>
      </w:pPr>
      <w:r>
        <w:tab/>
        <w:t>(b)</w:t>
      </w:r>
      <w:r>
        <w:tab/>
        <w:t>a report and recommendation on the proposed amendment.</w:t>
      </w:r>
    </w:p>
    <w:p>
      <w:pPr>
        <w:pStyle w:val="Subsection"/>
      </w:pPr>
      <w:r>
        <w:tab/>
        <w:t>(1)</w:t>
      </w:r>
      <w:r>
        <w:tab/>
        <w:t xml:space="preserve">The Minister may, if a proposed minor region planning scheme amendment is submitted under this section — </w:t>
      </w:r>
    </w:p>
    <w:p>
      <w:pPr>
        <w:pStyle w:val="Indenta"/>
      </w:pPr>
      <w:r>
        <w:tab/>
        <w:t>(a)</w:t>
      </w:r>
      <w:r>
        <w:tab/>
        <w:t>approve the amendment; or</w:t>
      </w:r>
    </w:p>
    <w:p>
      <w:pPr>
        <w:pStyle w:val="Indenta"/>
      </w:pPr>
      <w:r>
        <w:tab/>
        <w:t>(b)</w:t>
      </w:r>
      <w:r>
        <w:tab/>
        <w:t xml:space="preserve">require the Commission to modify the amendment in such manner as the Minister specifies before the </w:t>
      </w:r>
      <w:r>
        <w:lastRenderedPageBreak/>
        <w:t>amendment is resubmitted for the Minister’s approval under this subsection; or</w:t>
      </w:r>
    </w:p>
    <w:p>
      <w:pPr>
        <w:pStyle w:val="Indenta"/>
      </w:pPr>
      <w:r>
        <w:tab/>
        <w:t>(c)</w:t>
      </w:r>
      <w:r>
        <w:tab/>
        <w:t>refuse to approve the amendment.</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has effect on publication under subsection (2) as if it were enacted by this Act.</w:t>
      </w:r>
    </w:p>
    <w:p>
      <w:pPr>
        <w:pStyle w:val="Footnotesection"/>
      </w:pPr>
      <w:r>
        <w:tab/>
        <w:t>[Section 62 amended: No. 26 of 2020 s. 42.]</w:t>
      </w:r>
    </w:p>
    <w:p>
      <w:pPr>
        <w:pStyle w:val="Heading3"/>
      </w:pPr>
      <w:bookmarkStart w:id="68" w:name="_Toc199322316"/>
      <w:r>
        <w:rPr>
          <w:rStyle w:val="CharDivNo"/>
        </w:rPr>
        <w:t>Division 4A</w:t>
      </w:r>
      <w:r>
        <w:t> — </w:t>
      </w:r>
      <w:r>
        <w:rPr>
          <w:rStyle w:val="CharDivText"/>
        </w:rPr>
        <w:t>Withdrawal of region planning scheme or amendment</w:t>
      </w:r>
      <w:bookmarkEnd w:id="68"/>
    </w:p>
    <w:p>
      <w:pPr>
        <w:pStyle w:val="Footnoteheading"/>
      </w:pPr>
      <w:r>
        <w:tab/>
        <w:t>[Heading inserted: No. 26 of 2020 s. 43.]</w:t>
      </w:r>
    </w:p>
    <w:p>
      <w:pPr>
        <w:pStyle w:val="Heading5"/>
      </w:pPr>
      <w:bookmarkStart w:id="69" w:name="_Toc199322317"/>
      <w:r>
        <w:rPr>
          <w:rStyle w:val="CharSectno"/>
        </w:rPr>
        <w:t>62A</w:t>
      </w:r>
      <w:r>
        <w:t>.</w:t>
      </w:r>
      <w:r>
        <w:tab/>
        <w:t>Minister may withdraw or direct withdrawal of proposed scheme or amendment</w:t>
      </w:r>
      <w:bookmarkEnd w:id="69"/>
    </w:p>
    <w:p>
      <w:pPr>
        <w:pStyle w:val="Subsection"/>
      </w:pPr>
      <w:r>
        <w:tab/>
        <w:t>(1)</w:t>
      </w:r>
      <w:r>
        <w:tab/>
        <w:t>The Minister may, if the Minister considers it appropriate, withdraw, or direct the Commission to withdraw, a proposed region planning scheme or proposed amendment to a region planning scheme at any time before the proposed scheme or amendment is presented to the Governor under section 53(1) or submitted to the Minister under section 62.</w:t>
      </w:r>
    </w:p>
    <w:p>
      <w:pPr>
        <w:pStyle w:val="Subsection"/>
      </w:pPr>
      <w:r>
        <w:tab/>
        <w:t>(2)</w:t>
      </w:r>
      <w:r>
        <w:tab/>
        <w:t xml:space="preserve">The Minister must cause notice of the withdrawal of a proposed region planning scheme or amendment under subsection (1) to be published in the </w:t>
      </w:r>
      <w:r>
        <w:rPr>
          <w:i/>
        </w:rPr>
        <w:t>Gazette</w:t>
      </w:r>
      <w:r>
        <w:t>.</w:t>
      </w:r>
    </w:p>
    <w:p>
      <w:pPr>
        <w:pStyle w:val="Footnotesection"/>
      </w:pPr>
      <w:r>
        <w:tab/>
        <w:t>[Section 62A inserted: No. 26 of 2020 s. 43.]</w:t>
      </w:r>
    </w:p>
    <w:p>
      <w:pPr>
        <w:pStyle w:val="Heading3"/>
      </w:pPr>
      <w:bookmarkStart w:id="70" w:name="_Toc199322318"/>
      <w:r>
        <w:rPr>
          <w:rStyle w:val="CharDivNo"/>
        </w:rPr>
        <w:lastRenderedPageBreak/>
        <w:t>Division 5</w:t>
      </w:r>
      <w:r>
        <w:t> — </w:t>
      </w:r>
      <w:r>
        <w:rPr>
          <w:rStyle w:val="CharDivText"/>
        </w:rPr>
        <w:t>Consolidation of region planning scheme</w:t>
      </w:r>
      <w:bookmarkEnd w:id="70"/>
    </w:p>
    <w:p>
      <w:pPr>
        <w:pStyle w:val="Heading5"/>
      </w:pPr>
      <w:bookmarkStart w:id="71" w:name="_Toc199322319"/>
      <w:r>
        <w:rPr>
          <w:rStyle w:val="CharSectno"/>
        </w:rPr>
        <w:t>63</w:t>
      </w:r>
      <w:r>
        <w:t>.</w:t>
      </w:r>
      <w:r>
        <w:tab/>
        <w:t>Minister may direct consolidation</w:t>
      </w:r>
      <w:bookmarkEnd w:id="71"/>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72" w:name="_Toc199322320"/>
      <w:r>
        <w:rPr>
          <w:rStyle w:val="CharSectno"/>
        </w:rPr>
        <w:t>64</w:t>
      </w:r>
      <w:r>
        <w:t>.</w:t>
      </w:r>
      <w:r>
        <w:tab/>
        <w:t>Maps, plans, diagrams may be added or substituted</w:t>
      </w:r>
      <w:bookmarkEnd w:id="72"/>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keepLines w:val="0"/>
      </w:pPr>
      <w:bookmarkStart w:id="73" w:name="_Toc199322321"/>
      <w:r>
        <w:rPr>
          <w:rStyle w:val="CharSectno"/>
        </w:rPr>
        <w:lastRenderedPageBreak/>
        <w:t>65</w:t>
      </w:r>
      <w:r>
        <w:t>.</w:t>
      </w:r>
      <w:r>
        <w:tab/>
        <w:t>Certification and delivery of consolidation</w:t>
      </w:r>
      <w:bookmarkEnd w:id="73"/>
    </w:p>
    <w:p>
      <w:pPr>
        <w:pStyle w:val="Subsection"/>
        <w:keepNext/>
      </w:pPr>
      <w:r>
        <w:tab/>
      </w:r>
      <w:r>
        <w:tab/>
        <w:t xml:space="preserve">After preparing the consolidation the Commission is to — </w:t>
      </w:r>
    </w:p>
    <w:p>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74" w:name="_Toc199322322"/>
      <w:r>
        <w:rPr>
          <w:rStyle w:val="CharSectno"/>
        </w:rPr>
        <w:t>66</w:t>
      </w:r>
      <w:r>
        <w:t>.</w:t>
      </w:r>
      <w:r>
        <w:tab/>
        <w:t>Proof of consolidation</w:t>
      </w:r>
      <w:bookmarkEnd w:id="74"/>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keepNext/>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75" w:name="_Toc199322323"/>
      <w:r>
        <w:rPr>
          <w:rStyle w:val="CharSectno"/>
        </w:rPr>
        <w:t>67</w:t>
      </w:r>
      <w:r>
        <w:t>.</w:t>
      </w:r>
      <w:r>
        <w:tab/>
        <w:t>Consolidation of portion of region planning scheme</w:t>
      </w:r>
      <w:bookmarkEnd w:id="75"/>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76" w:name="_Toc199322324"/>
      <w:r>
        <w:rPr>
          <w:rStyle w:val="CharPartNo"/>
        </w:rPr>
        <w:lastRenderedPageBreak/>
        <w:t>Part 5</w:t>
      </w:r>
      <w:r>
        <w:t> — </w:t>
      </w:r>
      <w:r>
        <w:rPr>
          <w:rStyle w:val="CharPartText"/>
        </w:rPr>
        <w:t>Local planning schemes</w:t>
      </w:r>
      <w:bookmarkEnd w:id="76"/>
    </w:p>
    <w:p>
      <w:pPr>
        <w:pStyle w:val="Heading3"/>
      </w:pPr>
      <w:bookmarkStart w:id="77" w:name="_Toc199322325"/>
      <w:r>
        <w:rPr>
          <w:rStyle w:val="CharDivNo"/>
        </w:rPr>
        <w:t>Division 1</w:t>
      </w:r>
      <w:r>
        <w:t> — </w:t>
      </w:r>
      <w:r>
        <w:rPr>
          <w:rStyle w:val="CharDivText"/>
        </w:rPr>
        <w:t>Continuation and formulation of local planning schemes</w:t>
      </w:r>
      <w:bookmarkEnd w:id="77"/>
    </w:p>
    <w:p>
      <w:pPr>
        <w:pStyle w:val="Heading5"/>
      </w:pPr>
      <w:bookmarkStart w:id="78" w:name="_Toc199322326"/>
      <w:r>
        <w:rPr>
          <w:rStyle w:val="CharSectno"/>
        </w:rPr>
        <w:t>68</w:t>
      </w:r>
      <w:r>
        <w:t>.</w:t>
      </w:r>
      <w:r>
        <w:tab/>
        <w:t>Town planning schemes under repealed Act, effect of</w:t>
      </w:r>
      <w:bookmarkEnd w:id="78"/>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Except as provided in section 257B(3), nothing in this Act affects the validity of a town planning scheme continued under subsection (1).</w:t>
      </w:r>
    </w:p>
    <w:p>
      <w:pPr>
        <w:pStyle w:val="Footnotesection"/>
      </w:pPr>
      <w:r>
        <w:tab/>
        <w:t xml:space="preserve">[Section 68 amended: No. 28 of 2010 s. 53.] </w:t>
      </w:r>
    </w:p>
    <w:p>
      <w:pPr>
        <w:pStyle w:val="Heading5"/>
      </w:pPr>
      <w:bookmarkStart w:id="79" w:name="_Toc199322327"/>
      <w:r>
        <w:rPr>
          <w:rStyle w:val="CharSectno"/>
        </w:rPr>
        <w:t>69</w:t>
      </w:r>
      <w:r>
        <w:t>.</w:t>
      </w:r>
      <w:r>
        <w:tab/>
        <w:t>General objects of schemes</w:t>
      </w:r>
      <w:bookmarkEnd w:id="79"/>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Subsection"/>
      </w:pPr>
      <w:r>
        <w:tab/>
        <w:t>(3)</w:t>
      </w:r>
      <w:r>
        <w:tab/>
        <w:t>This section applies subject to section 256 and the regulations made under it and sections 257A and 257B.</w:t>
      </w:r>
    </w:p>
    <w:p>
      <w:pPr>
        <w:pStyle w:val="Footnotesection"/>
      </w:pPr>
      <w:r>
        <w:tab/>
        <w:t xml:space="preserve">[Section 69 amended: No. 28 of 2010 s. 54.] </w:t>
      </w:r>
    </w:p>
    <w:p>
      <w:pPr>
        <w:pStyle w:val="Heading5"/>
        <w:spacing w:before="180"/>
      </w:pPr>
      <w:bookmarkStart w:id="80" w:name="_Toc199322328"/>
      <w:r>
        <w:rPr>
          <w:rStyle w:val="CharSectno"/>
        </w:rPr>
        <w:lastRenderedPageBreak/>
        <w:t>70</w:t>
      </w:r>
      <w:r>
        <w:t>.</w:t>
      </w:r>
      <w:r>
        <w:tab/>
        <w:t>Scheme may be made for land outside scheme or be concurrent with another scheme</w:t>
      </w:r>
      <w:bookmarkEnd w:id="80"/>
    </w:p>
    <w:p>
      <w:pPr>
        <w:pStyle w:val="Subsection"/>
      </w:pPr>
      <w:r>
        <w:tab/>
        <w:t>(1)</w:t>
      </w:r>
      <w:r>
        <w:tab/>
        <w:t xml:space="preserve">Nothing in this Act prevents — </w:t>
      </w:r>
    </w:p>
    <w:p>
      <w:pPr>
        <w:pStyle w:val="Indenta"/>
        <w:spacing w:before="100"/>
      </w:pPr>
      <w:r>
        <w:tab/>
        <w:t>(a)</w:t>
      </w:r>
      <w:r>
        <w:tab/>
        <w:t>a local planning scheme from being made with respect to land comprised in another local planning scheme; or</w:t>
      </w:r>
    </w:p>
    <w:p>
      <w:pPr>
        <w:pStyle w:val="Indenta"/>
        <w:spacing w:before="100"/>
      </w:pPr>
      <w:r>
        <w:tab/>
        <w:t>(b)</w:t>
      </w:r>
      <w:r>
        <w:tab/>
        <w:t>subject to subsection (2), 2 or more local planning schemes from having force and effect concurrently with respect to any land.</w:t>
      </w:r>
    </w:p>
    <w:p>
      <w:pPr>
        <w:pStyle w:val="Subsection"/>
      </w:pPr>
      <w:r>
        <w:tab/>
        <w:t>(2)</w:t>
      </w:r>
      <w:r>
        <w:tab/>
        <w:t>The zoning of land in an area to which a local planning scheme applies is not to be provided for in more than one local planning scheme applicable to that area.</w:t>
      </w:r>
    </w:p>
    <w:p>
      <w:pPr>
        <w:pStyle w:val="Heading5"/>
      </w:pPr>
      <w:bookmarkStart w:id="81" w:name="_Toc199322329"/>
      <w:r>
        <w:rPr>
          <w:rStyle w:val="CharSectno"/>
        </w:rPr>
        <w:t>71</w:t>
      </w:r>
      <w:r>
        <w:t>.</w:t>
      </w:r>
      <w:r>
        <w:tab/>
        <w:t>Scheme not to apply to redevelopment area or Swan Valley</w:t>
      </w:r>
      <w:bookmarkEnd w:id="81"/>
    </w:p>
    <w:p>
      <w:pPr>
        <w:pStyle w:val="Subsection"/>
      </w:pPr>
      <w:r>
        <w:tab/>
      </w:r>
      <w:r>
        <w:tab/>
        <w:t xml:space="preserve">A local planning scheme must not be made or amended under this Act — </w:t>
      </w:r>
    </w:p>
    <w:p>
      <w:pPr>
        <w:pStyle w:val="Indenta"/>
      </w:pPr>
      <w:r>
        <w:tab/>
        <w:t>(a)</w:t>
      </w:r>
      <w:r>
        <w:tab/>
        <w:t xml:space="preserve">except as provided in the </w:t>
      </w:r>
      <w:r>
        <w:rPr>
          <w:i/>
        </w:rPr>
        <w:t>Metropolitan Redevelopment Authority Act 2011</w:t>
      </w:r>
      <w:r>
        <w:rPr>
          <w:iCs/>
        </w:rPr>
        <w:t xml:space="preserve"> sections 57 and 58 and without limiting section 51 of that Act</w:t>
      </w:r>
      <w:r>
        <w:t>, to make any provision in respect of any land to which an approved redevelopment scheme that is in operation under that Act applies; or</w:t>
      </w:r>
    </w:p>
    <w:p>
      <w:pPr>
        <w:pStyle w:val="Indenta"/>
      </w:pPr>
      <w:r>
        <w:tab/>
        <w:t>(b)</w:t>
      </w:r>
      <w:r>
        <w:tab/>
        <w:t xml:space="preserve">without limiting the </w:t>
      </w:r>
      <w:r>
        <w:rPr>
          <w:i/>
        </w:rPr>
        <w:t>Hope Valley</w:t>
      </w:r>
      <w:r>
        <w:rPr>
          <w:i/>
        </w:rPr>
        <w:noBreakHyphen/>
        <w:t>Wattleup Redevelopment Act 2000</w:t>
      </w:r>
      <w:r>
        <w:t xml:space="preserve"> section 23, to make any provision in respect of land in the redevelopment area as defined in that Act; or</w:t>
      </w:r>
    </w:p>
    <w:p>
      <w:pPr>
        <w:pStyle w:val="Indenta"/>
      </w:pPr>
      <w:r>
        <w:tab/>
        <w:t>(c)</w:t>
      </w:r>
      <w:r>
        <w:tab/>
        <w:t xml:space="preserve">without limiting the </w:t>
      </w:r>
      <w:r>
        <w:rPr>
          <w:i/>
        </w:rPr>
        <w:t xml:space="preserve">Swan Valley Planning Act 2020 </w:t>
      </w:r>
      <w:r>
        <w:t>section 9, to make any provision in respect of any land in the Swan Valley once the first Swan Valley Planning Scheme has come into operation under that Act.</w:t>
      </w:r>
    </w:p>
    <w:p>
      <w:pPr>
        <w:pStyle w:val="Footnotesection"/>
      </w:pPr>
      <w:r>
        <w:tab/>
        <w:t>[Section 71 inserted: No. 45 of 2011 s. 141(5); amended: No. 45 of 2020 s. 69.]</w:t>
      </w:r>
    </w:p>
    <w:p>
      <w:pPr>
        <w:pStyle w:val="Heading5"/>
        <w:spacing w:before="240"/>
      </w:pPr>
      <w:bookmarkStart w:id="82" w:name="_Toc199322330"/>
      <w:r>
        <w:rPr>
          <w:rStyle w:val="CharSectno"/>
        </w:rPr>
        <w:lastRenderedPageBreak/>
        <w:t>72</w:t>
      </w:r>
      <w:r>
        <w:t>.</w:t>
      </w:r>
      <w:r>
        <w:tab/>
        <w:t>Local government may prepare or adopt scheme</w:t>
      </w:r>
      <w:bookmarkEnd w:id="82"/>
    </w:p>
    <w:p>
      <w:pPr>
        <w:pStyle w:val="Subsection"/>
        <w:keepNext/>
      </w:pPr>
      <w:r>
        <w:tab/>
        <w:t>(1)</w:t>
      </w:r>
      <w:r>
        <w:tab/>
        <w:t xml:space="preserve">Subject to section 71, a local government may — </w:t>
      </w:r>
    </w:p>
    <w:p>
      <w:pPr>
        <w:pStyle w:val="Indenta"/>
        <w:spacing w:before="100"/>
      </w:pPr>
      <w:r>
        <w:tab/>
        <w:t>(a)</w:t>
      </w:r>
      <w:r>
        <w:tab/>
        <w:t>prepare a local planning scheme with reference to any land within its district, or with reference to land within its district and other land within any adjacent district; or</w:t>
      </w:r>
    </w:p>
    <w:p>
      <w:pPr>
        <w:pStyle w:val="Indenta"/>
        <w:spacing w:before="100"/>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83" w:name="_Toc199322331"/>
      <w:r>
        <w:rPr>
          <w:rStyle w:val="CharSectno"/>
        </w:rPr>
        <w:t>73</w:t>
      </w:r>
      <w:r>
        <w:t>.</w:t>
      </w:r>
      <w:r>
        <w:tab/>
        <w:t>Contents of scheme</w:t>
      </w:r>
      <w:bookmarkEnd w:id="83"/>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Subsection"/>
        <w:keepNext/>
      </w:pPr>
      <w:r>
        <w:lastRenderedPageBreak/>
        <w:tab/>
        <w:t>(2A)</w:t>
      </w:r>
      <w:r>
        <w:tab/>
        <w:t xml:space="preserve">A local planning scheme may — </w:t>
      </w:r>
    </w:p>
    <w:p>
      <w:pPr>
        <w:pStyle w:val="Indenta"/>
      </w:pPr>
      <w:r>
        <w:tab/>
        <w:t>(a)</w:t>
      </w:r>
      <w:r>
        <w:tab/>
        <w:t>supplement provisions prescribed under section 256; and</w:t>
      </w:r>
    </w:p>
    <w:p>
      <w:pPr>
        <w:pStyle w:val="Indenta"/>
      </w:pPr>
      <w:r>
        <w:tab/>
        <w:t>(b)</w:t>
      </w:r>
      <w:r>
        <w:tab/>
        <w:t>deal with any special circumstances or contingencies for which adequate provisions are not prescribed under section 256.</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Footnotesection"/>
      </w:pPr>
      <w:r>
        <w:tab/>
        <w:t xml:space="preserve">[Section 73 amended: No. 28 of 2010 s. 55.] </w:t>
      </w:r>
    </w:p>
    <w:p>
      <w:pPr>
        <w:pStyle w:val="Heading5"/>
        <w:spacing w:before="180"/>
      </w:pPr>
      <w:bookmarkStart w:id="84" w:name="_Toc199322332"/>
      <w:r>
        <w:rPr>
          <w:rStyle w:val="CharSectno"/>
        </w:rPr>
        <w:t>74</w:t>
      </w:r>
      <w:r>
        <w:t>.</w:t>
      </w:r>
      <w:r>
        <w:tab/>
        <w:t>Repealing scheme</w:t>
      </w:r>
      <w:bookmarkEnd w:id="84"/>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spacing w:before="180"/>
      </w:pPr>
      <w:bookmarkStart w:id="85" w:name="_Toc199322333"/>
      <w:r>
        <w:rPr>
          <w:rStyle w:val="CharSectno"/>
        </w:rPr>
        <w:t>75</w:t>
      </w:r>
      <w:r>
        <w:t>.</w:t>
      </w:r>
      <w:r>
        <w:tab/>
        <w:t>Amending scheme</w:t>
      </w:r>
      <w:bookmarkEnd w:id="85"/>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spacing w:before="180"/>
      </w:pPr>
      <w:bookmarkStart w:id="86" w:name="_Toc199322334"/>
      <w:r>
        <w:rPr>
          <w:rStyle w:val="CharDivNo"/>
        </w:rPr>
        <w:lastRenderedPageBreak/>
        <w:t>Division 2</w:t>
      </w:r>
      <w:r>
        <w:t> — </w:t>
      </w:r>
      <w:r>
        <w:rPr>
          <w:rStyle w:val="CharDivText"/>
        </w:rPr>
        <w:t>Minister’s powers in relation to local planning schemes</w:t>
      </w:r>
      <w:bookmarkEnd w:id="86"/>
    </w:p>
    <w:p>
      <w:pPr>
        <w:pStyle w:val="Heading5"/>
        <w:spacing w:before="180"/>
      </w:pPr>
      <w:bookmarkStart w:id="87" w:name="_Toc199322335"/>
      <w:r>
        <w:rPr>
          <w:rStyle w:val="CharSectno"/>
        </w:rPr>
        <w:t>76</w:t>
      </w:r>
      <w:r>
        <w:t>.</w:t>
      </w:r>
      <w:r>
        <w:tab/>
        <w:t>Minister may order local government to prepare or adopt scheme or amendment</w:t>
      </w:r>
      <w:bookmarkEnd w:id="87"/>
    </w:p>
    <w:p>
      <w:pPr>
        <w:pStyle w:val="Subsection"/>
      </w:pPr>
      <w:r>
        <w:tab/>
        <w:t>(1A)</w:t>
      </w:r>
      <w:r>
        <w:tab/>
        <w:t xml:space="preserve">Subsection (1) applies if the Minister is satisfied on any representation that a local government — </w:t>
      </w:r>
    </w:p>
    <w:p>
      <w:pPr>
        <w:pStyle w:val="Indenta"/>
      </w:pPr>
      <w:r>
        <w:tab/>
        <w:t>(a)</w:t>
      </w:r>
      <w:r>
        <w:tab/>
        <w:t>has failed to prepare a local planning scheme, or an amendment to a local planning scheme, where one ought to be prepared; or</w:t>
      </w:r>
    </w:p>
    <w:p>
      <w:pPr>
        <w:pStyle w:val="Indenta"/>
      </w:pPr>
      <w:r>
        <w:tab/>
        <w:t>(b)</w:t>
      </w:r>
      <w:r>
        <w:tab/>
        <w:t>has failed to adopt a local planning scheme, or an amendment to a local planning scheme, where one ought to be adopted; or</w:t>
      </w:r>
    </w:p>
    <w:p>
      <w:pPr>
        <w:pStyle w:val="Indenta"/>
      </w:pPr>
      <w:r>
        <w:tab/>
        <w:t>(c)</w:t>
      </w:r>
      <w:r>
        <w:tab/>
        <w:t>has failed to take a requisite step for getting approval for a local planning scheme, or an amendment to a local planning scheme, that has been prepared or adopted by the local government where that step ought to be taken; or</w:t>
      </w:r>
    </w:p>
    <w:p>
      <w:pPr>
        <w:pStyle w:val="Indenta"/>
      </w:pPr>
      <w:r>
        <w:tab/>
        <w:t>(d)</w:t>
      </w:r>
      <w:r>
        <w:tab/>
        <w:t>without limiting paragraph (c), has failed to give effect to any decision of the Minister under section 87(2)(b).</w:t>
      </w:r>
    </w:p>
    <w:p>
      <w:pPr>
        <w:pStyle w:val="Subsection"/>
      </w:pPr>
      <w:r>
        <w:tab/>
        <w:t>(1)</w:t>
      </w:r>
      <w:r>
        <w:tab/>
        <w:t xml:space="preserve">The Minister may order the local government, within such time as is specified in the order, as the case requires — </w:t>
      </w:r>
    </w:p>
    <w:p>
      <w:pPr>
        <w:pStyle w:val="Indenta"/>
      </w:pPr>
      <w:r>
        <w:tab/>
        <w:t>(a)</w:t>
      </w:r>
      <w:r>
        <w:tab/>
        <w:t>to prepare and submit to the Minister a local planning scheme or an amendment to a local planning scheme; or</w:t>
      </w:r>
    </w:p>
    <w:p>
      <w:pPr>
        <w:pStyle w:val="Indenta"/>
      </w:pPr>
      <w:r>
        <w:tab/>
        <w:t>(b)</w:t>
      </w:r>
      <w:r>
        <w:tab/>
        <w:t>to adopt and submit to the Minister a local planning scheme or an amendment to a local planning scheme; or</w:t>
      </w:r>
    </w:p>
    <w:p>
      <w:pPr>
        <w:pStyle w:val="Indenta"/>
      </w:pPr>
      <w:r>
        <w:tab/>
        <w:t>(c)</w:t>
      </w:r>
      <w:r>
        <w:tab/>
        <w:t>to take the requisite step referred to in subsection (1A)(c); or</w:t>
      </w:r>
    </w:p>
    <w:p>
      <w:pPr>
        <w:pStyle w:val="Indenta"/>
      </w:pPr>
      <w:r>
        <w:tab/>
        <w:t>(d)</w:t>
      </w:r>
      <w:r>
        <w:tab/>
        <w:t>to give effect to the decision referred to in subsection (1A)(d).</w:t>
      </w:r>
    </w:p>
    <w:p>
      <w:pPr>
        <w:pStyle w:val="Subsection"/>
        <w:spacing w:before="120"/>
      </w:pPr>
      <w:r>
        <w:tab/>
        <w:t>(2)</w:t>
      </w:r>
      <w:r>
        <w:tab/>
        <w:t xml:space="preserve">If the representation under subsection (1A) is that a local government has failed to adopt a local planning scheme or an amendment to a local planning scheme, the Minister, in lieu of </w:t>
      </w:r>
      <w:r>
        <w:lastRenderedPageBreak/>
        <w:t>making an order to adopt the scheme or amendment, may approve of the proposed scheme or amendment subject to such modifications and conditions, if any, as the Minister thinks fit.</w:t>
      </w:r>
    </w:p>
    <w:p>
      <w:pPr>
        <w:pStyle w:val="Subsection"/>
        <w:spacing w:before="120"/>
      </w:pPr>
      <w:r>
        <w:tab/>
        <w:t>(3)</w:t>
      </w:r>
      <w:r>
        <w:tab/>
        <w:t>A local planning scheme or an amendment approved under subsection (2) has effect as if it had been adopted by the local government and approved by the Minister under this Part.</w:t>
      </w:r>
    </w:p>
    <w:p>
      <w:pPr>
        <w:pStyle w:val="Subsection"/>
        <w:spacing w:before="120"/>
      </w:pPr>
      <w:r>
        <w:tab/>
        <w:t>(4)</w:t>
      </w:r>
      <w:r>
        <w:tab/>
        <w:t>The Minister must ensure that written reasons for making an order under subsection (1) are provided with the order.</w:t>
      </w:r>
    </w:p>
    <w:p>
      <w:pPr>
        <w:pStyle w:val="Subsection"/>
        <w:spacing w:before="120"/>
      </w:pPr>
      <w:r>
        <w:tab/>
        <w:t>(5)</w:t>
      </w:r>
      <w:r>
        <w:tab/>
        <w:t xml:space="preserve">The Minister must, as soon as is practicable after an order is given to the local government under subsection (1), cause to be laid before each House of Parliament or dealt with under section 268A — </w:t>
      </w:r>
    </w:p>
    <w:p>
      <w:pPr>
        <w:pStyle w:val="Indenta"/>
      </w:pPr>
      <w:r>
        <w:tab/>
        <w:t>(a)</w:t>
      </w:r>
      <w:r>
        <w:tab/>
        <w:t>a copy of the order; and</w:t>
      </w:r>
    </w:p>
    <w:p>
      <w:pPr>
        <w:pStyle w:val="Indenta"/>
        <w:keepLines/>
      </w:pPr>
      <w:r>
        <w:tab/>
        <w:t>(b)</w:t>
      </w:r>
      <w:r>
        <w:tab/>
        <w:t>a copy of the reasons for making the order.</w:t>
      </w:r>
    </w:p>
    <w:p>
      <w:pPr>
        <w:pStyle w:val="Footnotesection"/>
        <w:spacing w:before="80"/>
        <w:ind w:left="890" w:hanging="890"/>
      </w:pPr>
      <w:r>
        <w:tab/>
        <w:t xml:space="preserve">[Section 76 amended: No. 28 of 2010 s. 56(1)-(3); </w:t>
      </w:r>
      <w:r>
        <w:rPr>
          <w:spacing w:val="-4"/>
        </w:rPr>
        <w:t>No. 45 of 2011 s. 1</w:t>
      </w:r>
      <w:r>
        <w:t xml:space="preserve">41(6); No. 26 of 2020 s. 44.] </w:t>
      </w:r>
    </w:p>
    <w:p>
      <w:pPr>
        <w:pStyle w:val="Heading5"/>
      </w:pPr>
      <w:bookmarkStart w:id="88" w:name="_Toc199322336"/>
      <w:r>
        <w:rPr>
          <w:rStyle w:val="CharSectno"/>
        </w:rPr>
        <w:t>77A</w:t>
      </w:r>
      <w:r>
        <w:t>.</w:t>
      </w:r>
      <w:r>
        <w:tab/>
        <w:t>Minister may order local government to amend scheme to be consistent with State planning policy</w:t>
      </w:r>
      <w:bookmarkEnd w:id="88"/>
    </w:p>
    <w:p>
      <w:pPr>
        <w:pStyle w:val="Subsection"/>
      </w:pPr>
      <w:r>
        <w:tab/>
        <w:t>(1)</w:t>
      </w:r>
      <w:r>
        <w:tab/>
        <w:t>The Minister may, on the recommendation of the Commission, order a local government to prepare and submit for the approval of the Minister an amendment to a local planning scheme for the purpose of rendering the local planning scheme consistent with a specified State planning policy.</w:t>
      </w:r>
    </w:p>
    <w:p>
      <w:pPr>
        <w:pStyle w:val="Subsection"/>
      </w:pPr>
      <w:r>
        <w:tab/>
        <w:t>(2)</w:t>
      </w:r>
      <w:r>
        <w:tab/>
        <w:t xml:space="preserve">The order must specify the following — </w:t>
      </w:r>
    </w:p>
    <w:p>
      <w:pPr>
        <w:pStyle w:val="Indenta"/>
      </w:pPr>
      <w:r>
        <w:tab/>
        <w:t>(a)</w:t>
      </w:r>
      <w:r>
        <w:tab/>
        <w:t>the relevant State planning policy;</w:t>
      </w:r>
    </w:p>
    <w:p>
      <w:pPr>
        <w:pStyle w:val="Indenta"/>
      </w:pPr>
      <w:r>
        <w:tab/>
        <w:t>(b)</w:t>
      </w:r>
      <w:r>
        <w:tab/>
        <w:t>the amendments that are to be made to the local planning scheme;</w:t>
      </w:r>
    </w:p>
    <w:p>
      <w:pPr>
        <w:pStyle w:val="Indenta"/>
      </w:pPr>
      <w:r>
        <w:tab/>
        <w:t>(c)</w:t>
      </w:r>
      <w:r>
        <w:tab/>
        <w:t>the time (being sufficient time to allow the local government to comply with its obligations under Divisions 3 and 4) by which the local government must comply with the order.</w:t>
      </w:r>
    </w:p>
    <w:p>
      <w:pPr>
        <w:pStyle w:val="Subsection"/>
      </w:pPr>
      <w:r>
        <w:lastRenderedPageBreak/>
        <w:tab/>
        <w:t>(3)</w:t>
      </w:r>
      <w:r>
        <w:tab/>
        <w:t>The Minister must, as soon as is practicable after the order is given to the local government, cause a copy of the order to be laid before each House of Parliament or dealt with under section 268A.</w:t>
      </w:r>
    </w:p>
    <w:p>
      <w:pPr>
        <w:pStyle w:val="Subsection"/>
        <w:keepNext/>
      </w:pPr>
      <w:r>
        <w:tab/>
        <w:t>(4)</w:t>
      </w:r>
      <w:r>
        <w:tab/>
        <w:t xml:space="preserve">If — </w:t>
      </w:r>
    </w:p>
    <w:p>
      <w:pPr>
        <w:pStyle w:val="Indenta"/>
      </w:pPr>
      <w:r>
        <w:tab/>
        <w:t>(a)</w:t>
      </w:r>
      <w:r>
        <w:tab/>
        <w:t>the Commission makes a recommendation for the purposes of subsection (1); and</w:t>
      </w:r>
    </w:p>
    <w:p>
      <w:pPr>
        <w:pStyle w:val="Indenta"/>
      </w:pPr>
      <w:r>
        <w:tab/>
        <w:t>(b)</w:t>
      </w:r>
      <w:r>
        <w:tab/>
        <w:t>the Minister decides not to make an order pursuant to the recommendation,</w:t>
      </w:r>
    </w:p>
    <w:p>
      <w:pPr>
        <w:pStyle w:val="Subsection"/>
      </w:pPr>
      <w:r>
        <w:tab/>
      </w:r>
      <w:r>
        <w:tab/>
        <w:t xml:space="preserve">the Minister must, as soon as is practicable — </w:t>
      </w:r>
    </w:p>
    <w:p>
      <w:pPr>
        <w:pStyle w:val="Indenta"/>
      </w:pPr>
      <w:r>
        <w:tab/>
        <w:t>(c)</w:t>
      </w:r>
      <w:r>
        <w:tab/>
        <w:t>give the Commission written reasons for the Minister’s decision; and</w:t>
      </w:r>
    </w:p>
    <w:p>
      <w:pPr>
        <w:pStyle w:val="Indenta"/>
      </w:pPr>
      <w:r>
        <w:tab/>
        <w:t>(d)</w:t>
      </w:r>
      <w:r>
        <w:tab/>
        <w:t>cause a copy of the reasons to be laid before each House of Parliament or dealt with under section 268A.</w:t>
      </w:r>
    </w:p>
    <w:p>
      <w:pPr>
        <w:pStyle w:val="Footnotesection"/>
      </w:pPr>
      <w:r>
        <w:tab/>
        <w:t xml:space="preserve">[Section 77A inserted: No. 28 of 2010 s. 46.] </w:t>
      </w:r>
    </w:p>
    <w:p>
      <w:pPr>
        <w:pStyle w:val="Heading3"/>
        <w:spacing w:before="180"/>
      </w:pPr>
      <w:bookmarkStart w:id="89" w:name="_Toc199322337"/>
      <w:r>
        <w:rPr>
          <w:rStyle w:val="CharDivNo"/>
        </w:rPr>
        <w:t>Division 3</w:t>
      </w:r>
      <w:r>
        <w:t> — </w:t>
      </w:r>
      <w:r>
        <w:rPr>
          <w:rStyle w:val="CharDivText"/>
        </w:rPr>
        <w:t>Relevant considerations in preparation or amendment of local planning scheme</w:t>
      </w:r>
      <w:bookmarkEnd w:id="89"/>
    </w:p>
    <w:p>
      <w:pPr>
        <w:pStyle w:val="Heading5"/>
        <w:spacing w:before="180"/>
      </w:pPr>
      <w:bookmarkStart w:id="90" w:name="_Toc199322338"/>
      <w:r>
        <w:rPr>
          <w:rStyle w:val="CharSectno"/>
        </w:rPr>
        <w:t>77</w:t>
      </w:r>
      <w:r>
        <w:t>.</w:t>
      </w:r>
      <w:r>
        <w:tab/>
        <w:t>State planning policies, effect of on scheme</w:t>
      </w:r>
      <w:bookmarkEnd w:id="90"/>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spacing w:before="120"/>
      </w:pPr>
      <w:r>
        <w:tab/>
        <w:t>(2)</w:t>
      </w:r>
      <w:r>
        <w:tab/>
        <w:t xml:space="preserve">Where a scheme includes a provision referred to in subsection (1)(b) — </w:t>
      </w:r>
    </w:p>
    <w:p>
      <w:pPr>
        <w:pStyle w:val="Indenta"/>
      </w:pPr>
      <w:r>
        <w:tab/>
        <w:t>(a)</w:t>
      </w:r>
      <w:r>
        <w:tab/>
        <w:t xml:space="preserve">the scheme is to have effect as if the State planning policy, as from time to time amended, or any subsequent </w:t>
      </w:r>
      <w:r>
        <w:lastRenderedPageBreak/>
        <w:t>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spacing w:before="120"/>
      </w:pPr>
      <w:r>
        <w:tab/>
        <w:t>(3)</w:t>
      </w:r>
      <w:r>
        <w:tab/>
        <w:t>Modifications referred to in subsection (2)(b) prevail over any later amendment of the State planning policy, or subsequent policy referred to in subsection (2)(a), which is inconsistent with the modifications.</w:t>
      </w:r>
    </w:p>
    <w:p>
      <w:pPr>
        <w:pStyle w:val="Ednotesection"/>
      </w:pPr>
      <w:r>
        <w:t>[</w:t>
      </w:r>
      <w:r>
        <w:rPr>
          <w:b/>
        </w:rPr>
        <w:t>78.</w:t>
      </w:r>
      <w:r>
        <w:tab/>
        <w:t>Deleted: No. 45 of 2020 s. 70.]</w:t>
      </w:r>
    </w:p>
    <w:p>
      <w:pPr>
        <w:pStyle w:val="Heading5"/>
        <w:spacing w:before="180"/>
      </w:pPr>
      <w:bookmarkStart w:id="91" w:name="_Toc199322339"/>
      <w:r>
        <w:rPr>
          <w:rStyle w:val="CharSectno"/>
        </w:rPr>
        <w:t>79</w:t>
      </w:r>
      <w:r>
        <w:t>.</w:t>
      </w:r>
      <w:r>
        <w:tab/>
        <w:t>Heritage Council’s advice to be sought in some cases</w:t>
      </w:r>
      <w:bookmarkEnd w:id="91"/>
    </w:p>
    <w:p>
      <w:pPr>
        <w:pStyle w:val="Subsection"/>
        <w:spacing w:before="120"/>
      </w:pPr>
      <w:r>
        <w:tab/>
      </w:r>
      <w:r>
        <w:tab/>
        <w:t xml:space="preserve">If an entry in the register established and maintained under the </w:t>
      </w:r>
      <w:r>
        <w:rPr>
          <w:i/>
        </w:rPr>
        <w:t>Heritage Act 2018</w:t>
      </w:r>
      <w:r>
        <w:t xml:space="preserve"> section 35(1) or in any local heritage survey prepared under section 103(1) of that Act relates to land or waters that are within or abut a local government district, the local government in preparing or amending a local planning scheme — </w:t>
      </w:r>
    </w:p>
    <w:p>
      <w:pPr>
        <w:pStyle w:val="Indenta"/>
      </w:pPr>
      <w:r>
        <w:tab/>
        <w:t>(a)</w:t>
      </w:r>
      <w:r>
        <w:tab/>
        <w:t>is to refer the proposed scheme or amendment to the Heritage Council for advice in so far as any proposal under that scheme or amendment affects or may affect any such land or waters; and</w:t>
      </w:r>
    </w:p>
    <w:p>
      <w:pPr>
        <w:pStyle w:val="Indenta"/>
      </w:pPr>
      <w:r>
        <w:tab/>
        <w:t>(b)</w:t>
      </w:r>
      <w:r>
        <w:tab/>
        <w:t>is to have regard to any advice given; and</w:t>
      </w:r>
    </w:p>
    <w:p>
      <w:pPr>
        <w:pStyle w:val="Indenta"/>
      </w:pPr>
      <w:r>
        <w:tab/>
        <w:t>(c)</w:t>
      </w:r>
      <w:r>
        <w:tab/>
        <w:t>is not to proceed, without the consent of the Minister, with the proposal unless or until that advice has been received.</w:t>
      </w:r>
    </w:p>
    <w:p>
      <w:pPr>
        <w:pStyle w:val="Footnotesection"/>
        <w:ind w:left="890" w:hanging="890"/>
      </w:pPr>
      <w:r>
        <w:tab/>
        <w:t>[Section 79 amended: No. 22 of 2018 s. 186(4).]</w:t>
      </w:r>
    </w:p>
    <w:p>
      <w:pPr>
        <w:pStyle w:val="Heading5"/>
        <w:keepLines w:val="0"/>
        <w:spacing w:before="180"/>
      </w:pPr>
      <w:bookmarkStart w:id="92" w:name="_Toc199322340"/>
      <w:r>
        <w:rPr>
          <w:rStyle w:val="CharSectno"/>
        </w:rPr>
        <w:t>80</w:t>
      </w:r>
      <w:r>
        <w:t>.</w:t>
      </w:r>
      <w:r>
        <w:tab/>
        <w:t>Swan and Canning Rivers management programme, effect of</w:t>
      </w:r>
      <w:bookmarkEnd w:id="92"/>
    </w:p>
    <w:p>
      <w:pPr>
        <w:pStyle w:val="Subsection"/>
        <w:keepNext/>
        <w:spacing w:before="120"/>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to in Schedule 7 of that Act, the local government in preparing </w:t>
      </w:r>
      <w:r>
        <w:lastRenderedPageBreak/>
        <w:t>or amending a local planning scheme is to have due regard to that management programme.</w:t>
      </w:r>
    </w:p>
    <w:p>
      <w:pPr>
        <w:pStyle w:val="Footnotesection"/>
        <w:ind w:left="890" w:hanging="890"/>
      </w:pPr>
      <w:r>
        <w:tab/>
        <w:t>[Section 80 amended: No. 52 of 2006 s. 6.]</w:t>
      </w:r>
    </w:p>
    <w:p>
      <w:pPr>
        <w:pStyle w:val="Heading5"/>
      </w:pPr>
      <w:bookmarkStart w:id="93" w:name="_Toc199322341"/>
      <w:r>
        <w:rPr>
          <w:rStyle w:val="CharSectno"/>
        </w:rPr>
        <w:t>81</w:t>
      </w:r>
      <w:r>
        <w:t>.</w:t>
      </w:r>
      <w:r>
        <w:tab/>
        <w:t>Referral of proposed scheme or amendment to EPA</w:t>
      </w:r>
      <w:bookmarkEnd w:id="93"/>
    </w:p>
    <w:p>
      <w:pPr>
        <w:pStyle w:val="Subsection"/>
      </w:pPr>
      <w:r>
        <w:tab/>
        <w:t>(1)</w:t>
      </w:r>
      <w:r>
        <w:tab/>
        <w:t xml:space="preserve">As soon as practicable after preparing, or resolving to adopt, a proposed local planning scheme or a proposed amendment to a local planning scheme, a local government must refer the proposed scheme or amendment to the EPA by giving to the EPA — </w:t>
      </w:r>
    </w:p>
    <w:p>
      <w:pPr>
        <w:pStyle w:val="Indenta"/>
      </w:pPr>
      <w:r>
        <w:tab/>
        <w:t>(a)</w:t>
      </w:r>
      <w:r>
        <w:tab/>
        <w:t>a copy of the proposed scheme or amendment; and</w:t>
      </w:r>
    </w:p>
    <w:p>
      <w:pPr>
        <w:pStyle w:val="Indenta"/>
      </w:pPr>
      <w:r>
        <w:tab/>
        <w:t>(b)</w:t>
      </w:r>
      <w:r>
        <w:tab/>
        <w:t>any other written information about the proposed scheme or amendment that is necessary to enable the EPA to comply with the EP Act section 48A in relation to the proposed scheme or amendment.</w:t>
      </w:r>
    </w:p>
    <w:p>
      <w:pPr>
        <w:pStyle w:val="Subsection"/>
      </w:pPr>
      <w:r>
        <w:tab/>
        <w:t>(2)</w:t>
      </w:r>
      <w:r>
        <w:tab/>
        <w:t>Despite subsection (1), a proposed local planning scheme or amendment to a local planning scheme of a class prescribed by regulations under the EP Act section 48AAA(2) is not required to be referred to the EPA.</w:t>
      </w:r>
    </w:p>
    <w:p>
      <w:pPr>
        <w:pStyle w:val="Footnotesection"/>
      </w:pPr>
      <w:r>
        <w:tab/>
        <w:t>[Section 81 inserted: No. 26 of 2020 s. 45.]</w:t>
      </w:r>
    </w:p>
    <w:p>
      <w:pPr>
        <w:pStyle w:val="Heading5"/>
        <w:spacing w:before="180"/>
      </w:pPr>
      <w:bookmarkStart w:id="94" w:name="_Toc199322342"/>
      <w:r>
        <w:rPr>
          <w:rStyle w:val="CharSectno"/>
        </w:rPr>
        <w:t>82</w:t>
      </w:r>
      <w:r>
        <w:t>.</w:t>
      </w:r>
      <w:r>
        <w:tab/>
        <w:t>Environmental review, when required etc.</w:t>
      </w:r>
      <w:bookmarkEnd w:id="94"/>
    </w:p>
    <w:p>
      <w:pPr>
        <w:pStyle w:val="Subsection"/>
      </w:pPr>
      <w:r>
        <w:tab/>
        <w:t>(1)</w:t>
      </w:r>
      <w:r>
        <w:tab/>
        <w:t>When the EPA has acted under section 48C(1)(a) of the EP Act in relation to a proposed local planning scheme or a proposed amendment to a local planning scheme referred to the EPA under section 81,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keepNext/>
      </w:pPr>
      <w:r>
        <w:lastRenderedPageBreak/>
        <w:tab/>
        <w:t>(2)</w:t>
      </w:r>
      <w:r>
        <w:tab/>
        <w:t xml:space="preserve">The local government is not to advertise that local planning scheme or amendment under section 84 until — </w:t>
      </w:r>
    </w:p>
    <w:p>
      <w:pPr>
        <w:pStyle w:val="Indenta"/>
      </w:pPr>
      <w:r>
        <w:tab/>
        <w:t>(a)</w:t>
      </w:r>
      <w:r>
        <w:tab/>
        <w:t>the local government has forwarded the environmental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keepNext/>
      </w:pPr>
      <w:r>
        <w:tab/>
        <w:t>(3)</w:t>
      </w:r>
      <w:r>
        <w:tab/>
        <w:t xml:space="preserve">If the EPA has advised that the review has not been undertaken in accordance with the relevant instructions issued under section 48C(1)(a) of the EP Act, the local government may — </w:t>
      </w:r>
    </w:p>
    <w:p>
      <w:pPr>
        <w:pStyle w:val="Indenta"/>
      </w:pPr>
      <w:r>
        <w:tab/>
        <w:t>(a)</w:t>
      </w:r>
      <w:r>
        <w:tab/>
        <w:t>comply with subsection (1) in respect of the local planning scheme or amendment concerned; or</w:t>
      </w:r>
    </w:p>
    <w:p>
      <w:pPr>
        <w:pStyle w:val="Indenta"/>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pPr>
      <w:r>
        <w:tab/>
        <w:t>(5)</w:t>
      </w:r>
      <w:r>
        <w:tab/>
        <w:t xml:space="preserve">If — </w:t>
      </w:r>
    </w:p>
    <w:p>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 and</w:t>
      </w:r>
    </w:p>
    <w:p>
      <w:pPr>
        <w:pStyle w:val="Indenta"/>
        <w:keepLines/>
      </w:pPr>
      <w:r>
        <w:lastRenderedPageBreak/>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pPr>
      <w:r>
        <w:tab/>
        <w:t>(c)</w:t>
      </w:r>
      <w:r>
        <w:tab/>
        <w:t>that owner wishes that local planning scheme or amendment to proceed,</w:t>
      </w:r>
    </w:p>
    <w:p>
      <w:pPr>
        <w:pStyle w:val="Subsection"/>
        <w:spacing w:before="120"/>
      </w:pPr>
      <w:r>
        <w:tab/>
      </w:r>
      <w:r>
        <w:tab/>
        <w:t>the owner is to undertake the environmental review and forward that review to that local government.</w:t>
      </w:r>
    </w:p>
    <w:p>
      <w:pPr>
        <w:pStyle w:val="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Footnotesection"/>
      </w:pPr>
      <w:r>
        <w:tab/>
        <w:t>[Section 82 amended: No. 26 of 2020 s. 46.]</w:t>
      </w:r>
    </w:p>
    <w:p>
      <w:pPr>
        <w:pStyle w:val="Heading5"/>
        <w:spacing w:before="180"/>
      </w:pPr>
      <w:bookmarkStart w:id="95" w:name="_Toc199322343"/>
      <w:r>
        <w:rPr>
          <w:rStyle w:val="CharSectno"/>
        </w:rPr>
        <w:t>83</w:t>
      </w:r>
      <w:r>
        <w:t>.</w:t>
      </w:r>
      <w:r>
        <w:tab/>
        <w:t>Consultation requirements</w:t>
      </w:r>
      <w:bookmarkEnd w:id="95"/>
    </w:p>
    <w:p>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keepNext w:val="0"/>
        <w:spacing w:before="180"/>
      </w:pPr>
      <w:bookmarkStart w:id="96" w:name="_Toc199322344"/>
      <w:r>
        <w:rPr>
          <w:rStyle w:val="CharDivNo"/>
        </w:rPr>
        <w:t>Division 4</w:t>
      </w:r>
      <w:r>
        <w:t> — </w:t>
      </w:r>
      <w:r>
        <w:rPr>
          <w:rStyle w:val="CharDivText"/>
        </w:rPr>
        <w:t>Advertisement and approval</w:t>
      </w:r>
      <w:bookmarkEnd w:id="96"/>
    </w:p>
    <w:p>
      <w:pPr>
        <w:pStyle w:val="Heading5"/>
      </w:pPr>
      <w:bookmarkStart w:id="97" w:name="_Toc199322345"/>
      <w:r>
        <w:rPr>
          <w:rStyle w:val="CharSectno"/>
        </w:rPr>
        <w:t>83A</w:t>
      </w:r>
      <w:r>
        <w:t>.</w:t>
      </w:r>
      <w:r>
        <w:tab/>
        <w:t>Proposed scheme or amendment to be submitted to Minister for approval to advertise</w:t>
      </w:r>
      <w:bookmarkEnd w:id="97"/>
    </w:p>
    <w:p>
      <w:pPr>
        <w:pStyle w:val="Subsection"/>
      </w:pPr>
      <w:r>
        <w:tab/>
        <w:t>(1)</w:t>
      </w:r>
      <w:r>
        <w:tab/>
        <w:t>After preparing, or resolving to adopt, a proposed local planning scheme or a proposed amendment to a local planning scheme, and complying with sections 81 and 82 (if applicable) in relation to the proposed scheme or amendment, a local government must submit the proposed scheme or amendment to the Minister.</w:t>
      </w:r>
    </w:p>
    <w:p>
      <w:pPr>
        <w:pStyle w:val="Subsection"/>
      </w:pPr>
      <w:r>
        <w:lastRenderedPageBreak/>
        <w:tab/>
        <w:t>(2)</w:t>
      </w:r>
      <w:r>
        <w:tab/>
        <w:t xml:space="preserve">The Minister may — </w:t>
      </w:r>
    </w:p>
    <w:p>
      <w:pPr>
        <w:pStyle w:val="Indenta"/>
      </w:pPr>
      <w:r>
        <w:tab/>
        <w:t>(a)</w:t>
      </w:r>
      <w:r>
        <w:tab/>
        <w:t>approve the proposed scheme or amendment for advertising under section 84; or</w:t>
      </w:r>
    </w:p>
    <w:p>
      <w:pPr>
        <w:pStyle w:val="Indenta"/>
      </w:pPr>
      <w:r>
        <w:tab/>
        <w:t>(b)</w:t>
      </w:r>
      <w:r>
        <w:tab/>
        <w:t>require the local government to modify the proposed scheme or amendment in such manner as the Minister specifies and to resubmit the proposed scheme or amendment to the Minister under subsection (1); or</w:t>
      </w:r>
    </w:p>
    <w:p>
      <w:pPr>
        <w:pStyle w:val="Indenta"/>
      </w:pPr>
      <w:r>
        <w:tab/>
        <w:t>(c)</w:t>
      </w:r>
      <w:r>
        <w:tab/>
        <w:t>refuse approval for the proposed scheme or amendment to be advertised under section 84.</w:t>
      </w:r>
    </w:p>
    <w:p>
      <w:pPr>
        <w:pStyle w:val="Subsection"/>
      </w:pPr>
      <w:r>
        <w:tab/>
        <w:t>(3)</w:t>
      </w:r>
      <w:r>
        <w:tab/>
        <w:t>A requirement under subsection (2)(b) may include a requirement that sections 81 and 82 (if applicable) be complied with again in relation to the modified scheme or amendment.</w:t>
      </w:r>
    </w:p>
    <w:p>
      <w:pPr>
        <w:pStyle w:val="Subsection"/>
      </w:pPr>
      <w:r>
        <w:tab/>
        <w:t>(4)</w:t>
      </w:r>
      <w:r>
        <w:tab/>
        <w:t>If approval is refused under subsection (2)(c), the local government cannot proceed with the proposed scheme or amendment.</w:t>
      </w:r>
    </w:p>
    <w:p>
      <w:pPr>
        <w:pStyle w:val="Footnotesection"/>
      </w:pPr>
      <w:r>
        <w:tab/>
        <w:t>[Section 83A inserted: No. 26 of 2020 s. 47.]</w:t>
      </w:r>
    </w:p>
    <w:p>
      <w:pPr>
        <w:pStyle w:val="Heading5"/>
      </w:pPr>
      <w:bookmarkStart w:id="98" w:name="_Toc199322346"/>
      <w:r>
        <w:rPr>
          <w:rStyle w:val="CharSectno"/>
        </w:rPr>
        <w:t>84</w:t>
      </w:r>
      <w:r>
        <w:t>.</w:t>
      </w:r>
      <w:r>
        <w:tab/>
        <w:t>Advertising proposed scheme or amendment</w:t>
      </w:r>
      <w:bookmarkEnd w:id="98"/>
    </w:p>
    <w:p>
      <w:pPr>
        <w:pStyle w:val="Subsection"/>
      </w:pPr>
      <w:r>
        <w:tab/>
      </w:r>
      <w:r>
        <w:tab/>
        <w:t xml:space="preserve">If under section 83A(2)(a) the Minister approves a proposed local planning scheme, or a proposed amendment to a local planning scheme, for advertising under this section, the local government must, in accordance with the regulations — </w:t>
      </w:r>
    </w:p>
    <w:p>
      <w:pPr>
        <w:pStyle w:val="Indenta"/>
      </w:pPr>
      <w:r>
        <w:tab/>
        <w:t>(a)</w:t>
      </w:r>
      <w:r>
        <w:tab/>
        <w:t>advertise the proposed scheme or amendment for public inspection; and</w:t>
      </w:r>
    </w:p>
    <w:p>
      <w:pPr>
        <w:pStyle w:val="Indenta"/>
      </w:pPr>
      <w:r>
        <w:tab/>
        <w:t>(b)</w:t>
      </w:r>
      <w:r>
        <w:tab/>
        <w:t>consider public submissions on the proposed scheme or amendment.</w:t>
      </w:r>
    </w:p>
    <w:p>
      <w:pPr>
        <w:pStyle w:val="Footnotesection"/>
      </w:pPr>
      <w:r>
        <w:tab/>
        <w:t>[Section 84 inserted: No. 26 of 2020 s. 47.]</w:t>
      </w:r>
    </w:p>
    <w:p>
      <w:pPr>
        <w:pStyle w:val="Heading5"/>
        <w:keepNext w:val="0"/>
        <w:keepLines w:val="0"/>
        <w:spacing w:before="180"/>
      </w:pPr>
      <w:bookmarkStart w:id="99" w:name="_Toc199322347"/>
      <w:r>
        <w:rPr>
          <w:rStyle w:val="CharSectno"/>
        </w:rPr>
        <w:t>85</w:t>
      </w:r>
      <w:r>
        <w:t>.</w:t>
      </w:r>
      <w:r>
        <w:tab/>
        <w:t>Local government’s duties if proposed scheme or amendment to be assessed under EP Act</w:t>
      </w:r>
      <w:bookmarkEnd w:id="99"/>
    </w:p>
    <w:p>
      <w:pPr>
        <w:pStyle w:val="Subsection"/>
        <w:widowControl w:val="0"/>
        <w:spacing w:before="120"/>
      </w:pPr>
      <w:r>
        <w:tab/>
        <w:t>(1)</w:t>
      </w:r>
      <w:r>
        <w:tab/>
        <w:t xml:space="preserve">When a local government has been informed under section 48A(1)(b)(i) of the EP Act that a proposed local planning scheme or amendment referred to the EPA under </w:t>
      </w:r>
      <w:r>
        <w:lastRenderedPageBreak/>
        <w:t xml:space="preserve">section 81 should be assessed by the EPA under Part IV Division 3 of the EP Act, the local government is to — </w:t>
      </w:r>
    </w:p>
    <w:p>
      <w:pPr>
        <w:pStyle w:val="Indenta"/>
        <w:spacing w:before="60"/>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spacing w:before="60"/>
      </w:pPr>
      <w:r>
        <w:tab/>
        <w:t>(i)</w:t>
      </w:r>
      <w:r>
        <w:tab/>
        <w:t>made during that period; and</w:t>
      </w:r>
    </w:p>
    <w:p>
      <w:pPr>
        <w:pStyle w:val="Indenti"/>
        <w:spacing w:before="60"/>
      </w:pPr>
      <w:r>
        <w:tab/>
        <w:t>(ii)</w:t>
      </w:r>
      <w:r>
        <w:tab/>
        <w:t>relating wholly or in part to environmental issues raised by that local planning scheme or amendment;</w:t>
      </w:r>
    </w:p>
    <w:p>
      <w:pPr>
        <w:pStyle w:val="Indenta"/>
        <w:spacing w:before="60"/>
      </w:pPr>
      <w:r>
        <w:tab/>
      </w:r>
      <w:r>
        <w:tab/>
        <w:t>and</w:t>
      </w:r>
    </w:p>
    <w:p>
      <w:pPr>
        <w:pStyle w:val="Indenta"/>
        <w:spacing w:before="60"/>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Footnotesection"/>
      </w:pPr>
      <w:r>
        <w:tab/>
        <w:t>[Section 85 amended: No. 26 of 2020 s. 48.]</w:t>
      </w:r>
    </w:p>
    <w:p>
      <w:pPr>
        <w:pStyle w:val="Heading5"/>
        <w:spacing w:before="160"/>
      </w:pPr>
      <w:bookmarkStart w:id="100" w:name="_Toc199322348"/>
      <w:r>
        <w:rPr>
          <w:rStyle w:val="CharSectno"/>
        </w:rPr>
        <w:t>86</w:t>
      </w:r>
      <w:r>
        <w:t>.</w:t>
      </w:r>
      <w:r>
        <w:tab/>
        <w:t>Minister not to approve proposed scheme or amendment in some cases</w:t>
      </w:r>
      <w:bookmarkEnd w:id="100"/>
    </w:p>
    <w:p>
      <w:pPr>
        <w:pStyle w:val="Subsection"/>
        <w:spacing w:before="120"/>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spacing w:before="60"/>
      </w:pPr>
      <w:r>
        <w:tab/>
        <w:t>(a)</w:t>
      </w:r>
      <w:r>
        <w:tab/>
        <w:t>the Minister is informed under section 48A(1)(a) of the EP Act that the EPA considers that that local planning scheme or amendment should not be assessed by the EPA under Part IV Division 3 of the EP Act; or</w:t>
      </w:r>
    </w:p>
    <w:p>
      <w:pPr>
        <w:pStyle w:val="Indenta"/>
        <w:spacing w:before="60"/>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spacing w:before="60"/>
      </w:pPr>
      <w:r>
        <w:lastRenderedPageBreak/>
        <w:tab/>
        <w:t>(c)</w:t>
      </w:r>
      <w:r>
        <w:tab/>
        <w:t>the period of 28 days referred to in section 48A(1)(b)(i) of the EP Act has expired without the EPA having informed the local government under that section,</w:t>
      </w:r>
    </w:p>
    <w:p>
      <w:pPr>
        <w:pStyle w:val="Subsection"/>
        <w:spacing w:before="100"/>
      </w:pPr>
      <w:r>
        <w:tab/>
      </w:r>
      <w:r>
        <w:tab/>
        <w:t>whichever first occurs, and the Minister is satisfied that the conditions, if any, to which that amendment is subject have been incorporated into that local planning scheme or amendment.</w:t>
      </w:r>
    </w:p>
    <w:p>
      <w:pPr>
        <w:pStyle w:val="Heading5"/>
        <w:keepNext w:val="0"/>
        <w:keepLines w:val="0"/>
        <w:spacing w:before="180"/>
      </w:pPr>
      <w:bookmarkStart w:id="101" w:name="_Toc199322349"/>
      <w:r>
        <w:rPr>
          <w:rStyle w:val="CharSectno"/>
        </w:rPr>
        <w:t>87</w:t>
      </w:r>
      <w:r>
        <w:t>.</w:t>
      </w:r>
      <w:r>
        <w:tab/>
        <w:t>Approving and publicising scheme or amendment</w:t>
      </w:r>
      <w:bookmarkEnd w:id="101"/>
    </w:p>
    <w:p>
      <w:pPr>
        <w:pStyle w:val="Subsection"/>
      </w:pPr>
      <w:r>
        <w:tab/>
        <w:t>(1)</w:t>
      </w:r>
      <w:r>
        <w:tab/>
        <w:t>Subject to section 83, after advertisement under section 84 and compliance with sections 85 and 86 (if applicable),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spacing w:before="60"/>
      </w:pPr>
      <w:r>
        <w:tab/>
        <w:t>(a)</w:t>
      </w:r>
      <w:r>
        <w:tab/>
        <w:t>approve of that local planning scheme or amendment; or</w:t>
      </w:r>
    </w:p>
    <w:p>
      <w:pPr>
        <w:pStyle w:val="Indenta"/>
        <w:spacing w:before="60"/>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spacing w:before="60"/>
      </w:pPr>
      <w:r>
        <w:tab/>
        <w:t>(c)</w:t>
      </w:r>
      <w:r>
        <w:tab/>
        <w:t>refuse to approve of that local planning scheme or amendment.</w:t>
      </w:r>
    </w:p>
    <w:p>
      <w:pPr>
        <w:pStyle w:val="Subsection"/>
      </w:pPr>
      <w:r>
        <w:tab/>
        <w:t>(3)</w:t>
      </w:r>
      <w:r>
        <w:tab/>
        <w:t xml:space="preserve">When the Minister notifies the Commission that the Minister has approved a local planning scheme or an amendment to a local planning scheme, the Commission is to cause the scheme or amendment to be published in the </w:t>
      </w:r>
      <w:r>
        <w:rPr>
          <w:i/>
          <w:iCs/>
        </w:rPr>
        <w:t>Gazette</w:t>
      </w:r>
      <w:r>
        <w:t>.</w:t>
      </w:r>
    </w:p>
    <w:p>
      <w:pPr>
        <w:pStyle w:val="Subsection"/>
      </w:pPr>
      <w:r>
        <w:tab/>
        <w:t>(4A)</w:t>
      </w:r>
      <w:r>
        <w:tab/>
        <w:t>Any costs incurred by the Commission in publishing a scheme or amendment under subsection (3) may be recovered by the Commission from the local government which prepared or adopted the scheme or amendment as a debt due to the Crown.</w:t>
      </w:r>
    </w:p>
    <w:p>
      <w:pPr>
        <w:pStyle w:val="Subsection"/>
        <w:keepNext/>
      </w:pPr>
      <w:r>
        <w:lastRenderedPageBreak/>
        <w:tab/>
        <w:t>(4B)</w:t>
      </w:r>
      <w:r>
        <w:tab/>
        <w:t xml:space="preserve">When the Minister has approved a local planning scheme or an amendment to a local planning scheme, the local government which prepared or adopted the scheme or amendment is to — </w:t>
      </w:r>
    </w:p>
    <w:p>
      <w:pPr>
        <w:pStyle w:val="Indenta"/>
        <w:spacing w:before="60"/>
      </w:pPr>
      <w:r>
        <w:tab/>
        <w:t>(a)</w:t>
      </w:r>
      <w:r>
        <w:tab/>
        <w:t>advertise the scheme or amendment in accordance with the regulations; and</w:t>
      </w:r>
    </w:p>
    <w:p>
      <w:pPr>
        <w:pStyle w:val="Indenta"/>
        <w:spacing w:before="60"/>
      </w:pPr>
      <w:r>
        <w:tab/>
        <w:t>(b)</w:t>
      </w:r>
      <w:r>
        <w:tab/>
        <w:t>ensure that copies of the scheme or amendment are available to the public.</w:t>
      </w:r>
    </w:p>
    <w:p>
      <w:pPr>
        <w:pStyle w:val="Subsection"/>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Footnotesection"/>
        <w:spacing w:before="80"/>
        <w:ind w:left="890" w:hanging="890"/>
      </w:pPr>
      <w:r>
        <w:tab/>
        <w:t xml:space="preserve">[Section 87 amended: No. 28 of 2010 s. 57; No. 26 of 2020 s. 49.] </w:t>
      </w:r>
    </w:p>
    <w:p>
      <w:pPr>
        <w:pStyle w:val="Heading3"/>
      </w:pPr>
      <w:bookmarkStart w:id="102" w:name="_Toc199322350"/>
      <w:r>
        <w:rPr>
          <w:rStyle w:val="CharDivNo"/>
        </w:rPr>
        <w:t>Division 5</w:t>
      </w:r>
      <w:r>
        <w:t> — </w:t>
      </w:r>
      <w:r>
        <w:rPr>
          <w:rStyle w:val="CharDivText"/>
        </w:rPr>
        <w:t>Review of local planning schemes</w:t>
      </w:r>
      <w:bookmarkEnd w:id="102"/>
    </w:p>
    <w:p>
      <w:pPr>
        <w:pStyle w:val="Heading5"/>
      </w:pPr>
      <w:bookmarkStart w:id="103" w:name="_Toc199322351"/>
      <w:r>
        <w:rPr>
          <w:rStyle w:val="CharSectno"/>
        </w:rPr>
        <w:t>88</w:t>
      </w:r>
      <w:r>
        <w:t>.</w:t>
      </w:r>
      <w:r>
        <w:tab/>
        <w:t>Consolidated scheme, when to be prepared</w:t>
      </w:r>
      <w:bookmarkEnd w:id="103"/>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 and</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lastRenderedPageBreak/>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keepNext/>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keepNext/>
        <w:keepLines/>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spacing w:before="180"/>
      </w:pPr>
      <w:bookmarkStart w:id="104" w:name="_Toc199322352"/>
      <w:r>
        <w:rPr>
          <w:rStyle w:val="CharSectno"/>
        </w:rPr>
        <w:t>89</w:t>
      </w:r>
      <w:r>
        <w:t>.</w:t>
      </w:r>
      <w:r>
        <w:tab/>
        <w:t>Consolidated scheme, public submissions to be sought on</w:t>
      </w:r>
      <w:bookmarkEnd w:id="104"/>
    </w:p>
    <w:p>
      <w:pPr>
        <w:pStyle w:val="Subsection"/>
      </w:pPr>
      <w:r>
        <w:tab/>
        <w:t>(1)</w:t>
      </w:r>
      <w:r>
        <w:tab/>
        <w:t>After preparing the consolidation the local government is to ensure that the consolidation is approved by the Commission and made available for inspection.</w:t>
      </w:r>
    </w:p>
    <w:p>
      <w:pPr>
        <w:pStyle w:val="Subsection"/>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105" w:name="_Toc199322353"/>
      <w:r>
        <w:rPr>
          <w:rStyle w:val="CharSectno"/>
        </w:rPr>
        <w:lastRenderedPageBreak/>
        <w:t>90</w:t>
      </w:r>
      <w:r>
        <w:t>.</w:t>
      </w:r>
      <w:r>
        <w:tab/>
        <w:t>Consolidated scheme, report on operation of required</w:t>
      </w:r>
      <w:bookmarkEnd w:id="105"/>
    </w:p>
    <w:p>
      <w:pPr>
        <w:pStyle w:val="Subsection"/>
      </w:pPr>
      <w:r>
        <w:tab/>
        <w:t>(1)</w:t>
      </w:r>
      <w:r>
        <w:tab/>
        <w:t>Not later than 6 months after preparing a consolidation of a local planning scheme, the local government is to make a report to the Minister on the operation of the scheme.</w:t>
      </w:r>
    </w:p>
    <w:p>
      <w:pPr>
        <w:pStyle w:val="Subsection"/>
        <w:keepNext/>
      </w:pPr>
      <w:r>
        <w:tab/>
        <w:t>(2)</w:t>
      </w:r>
      <w:r>
        <w:tab/>
        <w:t xml:space="preserve">In its report the local government is to — </w:t>
      </w:r>
    </w:p>
    <w:p>
      <w:pPr>
        <w:pStyle w:val="Indenta"/>
      </w:pPr>
      <w:r>
        <w:tab/>
        <w:t>(a)</w:t>
      </w:r>
      <w:r>
        <w:tab/>
        <w:t>include all submissions received under section 89; and</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 or</w:t>
      </w:r>
    </w:p>
    <w:p>
      <w:pPr>
        <w:pStyle w:val="Indenti"/>
      </w:pPr>
      <w:r>
        <w:tab/>
        <w:t>(ii)</w:t>
      </w:r>
      <w:r>
        <w:tab/>
        <w:t>should be amended; or</w:t>
      </w:r>
    </w:p>
    <w:p>
      <w:pPr>
        <w:pStyle w:val="Indenti"/>
        <w:keepNext/>
      </w:pPr>
      <w:r>
        <w:tab/>
        <w:t>(iii)</w:t>
      </w:r>
      <w:r>
        <w:tab/>
        <w:t>should be repealed and a new scheme prepared in its place; or</w:t>
      </w:r>
    </w:p>
    <w:p>
      <w:pPr>
        <w:pStyle w:val="Indenti"/>
      </w:pPr>
      <w:r>
        <w:tab/>
        <w:t>(iv)</w:t>
      </w:r>
      <w:r>
        <w:tab/>
        <w:t>should be repealed.</w:t>
      </w:r>
    </w:p>
    <w:p>
      <w:pPr>
        <w:pStyle w:val="Heading5"/>
        <w:spacing w:before="180"/>
      </w:pPr>
      <w:bookmarkStart w:id="106" w:name="_Toc199322354"/>
      <w:r>
        <w:rPr>
          <w:rStyle w:val="CharSectno"/>
        </w:rPr>
        <w:t>91</w:t>
      </w:r>
      <w:r>
        <w:t>.</w:t>
      </w:r>
      <w:r>
        <w:tab/>
        <w:t>Procedure if s. 90 report does not recommend change to scheme</w:t>
      </w:r>
      <w:bookmarkEnd w:id="106"/>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pPr>
      <w:r>
        <w:tab/>
        <w:t>(2)</w:t>
      </w:r>
      <w:r>
        <w:tab/>
        <w:t xml:space="preserve">It is sufficient compliance with subsection (1) if a consolidation of a local planning scheme is published in the </w:t>
      </w:r>
      <w:r>
        <w:rPr>
          <w:i/>
        </w:rPr>
        <w:t>Gazette</w:t>
      </w:r>
      <w:r>
        <w:t xml:space="preserve"> without </w:t>
      </w:r>
      <w:r>
        <w:lastRenderedPageBreak/>
        <w:t>any maps, plans or diagrams which form part of the local planning scheme.</w:t>
      </w:r>
    </w:p>
    <w:p>
      <w:pPr>
        <w:pStyle w:val="Subsection"/>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spacing w:before="180"/>
      </w:pPr>
      <w:bookmarkStart w:id="107" w:name="_Toc199322355"/>
      <w:r>
        <w:rPr>
          <w:rStyle w:val="CharSectno"/>
        </w:rPr>
        <w:t>92</w:t>
      </w:r>
      <w:r>
        <w:t>.</w:t>
      </w:r>
      <w:r>
        <w:tab/>
        <w:t>Procedure if s. 90 report recommends change to scheme</w:t>
      </w:r>
      <w:bookmarkEnd w:id="107"/>
    </w:p>
    <w:p>
      <w:pPr>
        <w:pStyle w:val="Subsection"/>
        <w:keepNext/>
      </w:pPr>
      <w:r>
        <w:tab/>
        <w:t>(1)</w:t>
      </w:r>
      <w:r>
        <w:tab/>
        <w:t xml:space="preserve">If — </w:t>
      </w:r>
    </w:p>
    <w:p>
      <w:pPr>
        <w:pStyle w:val="Indenta"/>
        <w:spacing w:before="60"/>
      </w:pPr>
      <w:r>
        <w:tab/>
        <w:t>(a)</w:t>
      </w:r>
      <w:r>
        <w:tab/>
        <w:t>a report of a local government under section 90 recommends amendment of a local planning scheme and the Minister concurs; or</w:t>
      </w:r>
    </w:p>
    <w:p>
      <w:pPr>
        <w:pStyle w:val="Indenta"/>
        <w:keepNext/>
        <w:spacing w:before="60"/>
      </w:pPr>
      <w:r>
        <w:tab/>
        <w:t>(b)</w:t>
      </w:r>
      <w:r>
        <w:tab/>
        <w:t>the Minister, after considering the report, advises the local government that amendment is recommended,</w:t>
      </w:r>
    </w:p>
    <w:p>
      <w:pPr>
        <w:pStyle w:val="Subsection"/>
        <w:spacing w:before="120"/>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pPr>
      <w:r>
        <w:tab/>
        <w:t>(2)</w:t>
      </w:r>
      <w:r>
        <w:tab/>
        <w:t xml:space="preserve">After the Minister has under section 87(2), approved the amendments prepared for the purposes of subsection (1), the local government is to — </w:t>
      </w:r>
    </w:p>
    <w:p>
      <w:pPr>
        <w:pStyle w:val="Indenta"/>
        <w:keepNext/>
      </w:pPr>
      <w:r>
        <w:tab/>
        <w:t>(a)</w:t>
      </w:r>
      <w:r>
        <w:tab/>
        <w:t xml:space="preserve">prepare a consolidation of the local planning scheme, incorporating — </w:t>
      </w:r>
    </w:p>
    <w:p>
      <w:pPr>
        <w:pStyle w:val="Indenti"/>
      </w:pPr>
      <w:r>
        <w:tab/>
        <w:t>(i)</w:t>
      </w:r>
      <w:r>
        <w:tab/>
        <w:t>all the amendments that have been made to the scheme and are of effect on the day on which the resolution to prepare the consolidation is made; and</w:t>
      </w:r>
    </w:p>
    <w:p>
      <w:pPr>
        <w:pStyle w:val="Indenti"/>
        <w:keepNext/>
      </w:pPr>
      <w:r>
        <w:tab/>
        <w:t>(ii)</w:t>
      </w:r>
      <w:r>
        <w:tab/>
        <w:t>the amendments prepared for the purposes of subsection (1) and approved by the Minister under section 87(2);</w:t>
      </w:r>
    </w:p>
    <w:p>
      <w:pPr>
        <w:pStyle w:val="Indenta"/>
        <w:ind w:firstLine="0"/>
      </w:pPr>
      <w:r>
        <w:t>and</w:t>
      </w:r>
    </w:p>
    <w:p>
      <w:pPr>
        <w:pStyle w:val="Indenta"/>
      </w:pPr>
      <w:r>
        <w:lastRenderedPageBreak/>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108" w:name="_Toc199322356"/>
      <w:r>
        <w:rPr>
          <w:rStyle w:val="CharSectno"/>
        </w:rPr>
        <w:t>93</w:t>
      </w:r>
      <w:r>
        <w:t>.</w:t>
      </w:r>
      <w:r>
        <w:tab/>
        <w:t>Consolidated scheme, effect of publication of</w:t>
      </w:r>
      <w:bookmarkEnd w:id="108"/>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109" w:name="_Toc199322357"/>
      <w:r>
        <w:rPr>
          <w:rStyle w:val="CharSectno"/>
        </w:rPr>
        <w:t>94</w:t>
      </w:r>
      <w:r>
        <w:t>.</w:t>
      </w:r>
      <w:r>
        <w:tab/>
        <w:t>Procedure if new scheme prepared following s. 90 report</w:t>
      </w:r>
      <w:bookmarkEnd w:id="109"/>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keepNext/>
      </w:pPr>
      <w:r>
        <w:lastRenderedPageBreak/>
        <w:tab/>
        <w:t>(b)</w:t>
      </w:r>
      <w:r>
        <w:tab/>
        <w:t>the Minister, after considering the report, advises the local government that the local planning scheme should be repealed and a new scheme prepared in its place,</w:t>
      </w:r>
    </w:p>
    <w:p>
      <w:pPr>
        <w:pStyle w:val="Subsection"/>
        <w:spacing w:before="200"/>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spacing w:before="260"/>
      </w:pPr>
      <w:bookmarkStart w:id="110" w:name="_Toc199322358"/>
      <w:r>
        <w:rPr>
          <w:rStyle w:val="CharSectno"/>
        </w:rPr>
        <w:t>95</w:t>
      </w:r>
      <w:r>
        <w:t>.</w:t>
      </w:r>
      <w:r>
        <w:tab/>
        <w:t>Procedure if scheme repealed following s. 90 report</w:t>
      </w:r>
      <w:bookmarkEnd w:id="110"/>
    </w:p>
    <w:p>
      <w:pPr>
        <w:pStyle w:val="Subsection"/>
        <w:spacing w:before="200"/>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spacing w:before="200"/>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spacing w:before="260"/>
      </w:pPr>
      <w:bookmarkStart w:id="111" w:name="_Toc199322359"/>
      <w:r>
        <w:rPr>
          <w:rStyle w:val="CharSectno"/>
        </w:rPr>
        <w:t>96</w:t>
      </w:r>
      <w:r>
        <w:t>.</w:t>
      </w:r>
      <w:r>
        <w:tab/>
        <w:t>Consolidation of 2 or more schemes, when this Div. applies to</w:t>
      </w:r>
      <w:bookmarkEnd w:id="111"/>
    </w:p>
    <w:p>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spacing w:before="180"/>
      </w:pPr>
      <w:bookmarkStart w:id="112" w:name="_Toc199322360"/>
      <w:r>
        <w:rPr>
          <w:rStyle w:val="CharDivNo"/>
        </w:rPr>
        <w:lastRenderedPageBreak/>
        <w:t>Division 6</w:t>
      </w:r>
      <w:r>
        <w:t> — </w:t>
      </w:r>
      <w:r>
        <w:rPr>
          <w:rStyle w:val="CharDivText"/>
        </w:rPr>
        <w:t>Crown land</w:t>
      </w:r>
      <w:bookmarkEnd w:id="112"/>
    </w:p>
    <w:p>
      <w:pPr>
        <w:pStyle w:val="Heading5"/>
        <w:spacing w:before="180"/>
      </w:pPr>
      <w:bookmarkStart w:id="113" w:name="_Toc199322361"/>
      <w:r>
        <w:rPr>
          <w:rStyle w:val="CharSectno"/>
        </w:rPr>
        <w:t>97</w:t>
      </w:r>
      <w:r>
        <w:t>.</w:t>
      </w:r>
      <w:r>
        <w:tab/>
        <w:t>Schemes for Crown lands</w:t>
      </w:r>
      <w:bookmarkEnd w:id="113"/>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keepNext/>
      </w:pPr>
      <w:r>
        <w:tab/>
        <w:t>(5)</w:t>
      </w:r>
      <w:r>
        <w:tab/>
        <w:t xml:space="preserve">If — </w:t>
      </w:r>
    </w:p>
    <w:p>
      <w:pPr>
        <w:pStyle w:val="Indenta"/>
      </w:pPr>
      <w:r>
        <w:tab/>
        <w:t>(a)</w:t>
      </w:r>
      <w:r>
        <w:tab/>
        <w:t>a scheme is prepared, approved and published under this section; and</w:t>
      </w:r>
    </w:p>
    <w:p>
      <w:pPr>
        <w:pStyle w:val="Indenta"/>
      </w:pPr>
      <w:r>
        <w:tab/>
        <w:t>(b)</w:t>
      </w:r>
      <w:r>
        <w:tab/>
        <w:t>Crown land the subject of the scheme is sold, leased or disposed of,</w:t>
      </w:r>
    </w:p>
    <w:p>
      <w:pPr>
        <w:pStyle w:val="Subsection"/>
      </w:pPr>
      <w:r>
        <w:tab/>
      </w:r>
      <w:r>
        <w:tab/>
        <w:t xml:space="preserve">the Commission, with the approval of the Minister, may — </w:t>
      </w:r>
    </w:p>
    <w:p>
      <w:pPr>
        <w:pStyle w:val="Indenta"/>
      </w:pPr>
      <w:r>
        <w:tab/>
        <w:t>(c)</w:t>
      </w:r>
      <w:r>
        <w:tab/>
        <w:t>suspend, vary, supplement, or supersede any of the provisions of the scheme; or</w:t>
      </w:r>
    </w:p>
    <w:p>
      <w:pPr>
        <w:pStyle w:val="Indenta"/>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keepLines/>
      </w:pPr>
      <w:r>
        <w:lastRenderedPageBreak/>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114" w:name="_Toc199322362"/>
      <w:r>
        <w:rPr>
          <w:rStyle w:val="CharPartNo"/>
        </w:rPr>
        <w:lastRenderedPageBreak/>
        <w:t>Part 6</w:t>
      </w:r>
      <w:r>
        <w:t> — </w:t>
      </w:r>
      <w:r>
        <w:rPr>
          <w:rStyle w:val="CharPartText"/>
        </w:rPr>
        <w:t>Interim development orders</w:t>
      </w:r>
      <w:bookmarkEnd w:id="114"/>
    </w:p>
    <w:p>
      <w:pPr>
        <w:pStyle w:val="Heading3"/>
      </w:pPr>
      <w:bookmarkStart w:id="115" w:name="_Toc199322363"/>
      <w:r>
        <w:rPr>
          <w:rStyle w:val="CharDivNo"/>
        </w:rPr>
        <w:t>Division 1</w:t>
      </w:r>
      <w:r>
        <w:t> — </w:t>
      </w:r>
      <w:r>
        <w:rPr>
          <w:rStyle w:val="CharDivText"/>
        </w:rPr>
        <w:t>Regional interim development orders</w:t>
      </w:r>
      <w:bookmarkEnd w:id="115"/>
    </w:p>
    <w:p>
      <w:pPr>
        <w:pStyle w:val="Heading5"/>
      </w:pPr>
      <w:bookmarkStart w:id="116" w:name="_Toc199322364"/>
      <w:r>
        <w:rPr>
          <w:rStyle w:val="CharSectno"/>
        </w:rPr>
        <w:t>98</w:t>
      </w:r>
      <w:r>
        <w:t>.</w:t>
      </w:r>
      <w:r>
        <w:tab/>
        <w:t>Making and purpose of order</w:t>
      </w:r>
      <w:bookmarkEnd w:id="116"/>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 and</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117" w:name="_Toc199322365"/>
      <w:r>
        <w:rPr>
          <w:rStyle w:val="CharSectno"/>
        </w:rPr>
        <w:lastRenderedPageBreak/>
        <w:t>99</w:t>
      </w:r>
      <w:r>
        <w:t>.</w:t>
      </w:r>
      <w:r>
        <w:tab/>
        <w:t>Contents of order</w:t>
      </w:r>
      <w:bookmarkEnd w:id="117"/>
    </w:p>
    <w:p>
      <w:pPr>
        <w:pStyle w:val="Subsection"/>
        <w:spacing w:before="140"/>
      </w:pPr>
      <w:r>
        <w:tab/>
        <w:t>(1)</w:t>
      </w:r>
      <w:r>
        <w:tab/>
        <w:t>A regional interim development order is to specify the land affected by the regional development order.</w:t>
      </w:r>
    </w:p>
    <w:p>
      <w:pPr>
        <w:pStyle w:val="Subsection"/>
        <w:spacing w:before="140"/>
      </w:pPr>
      <w:r>
        <w:tab/>
        <w:t>(2)</w:t>
      </w:r>
      <w:r>
        <w:tab/>
        <w:t xml:space="preserve">A regional interim development order may — </w:t>
      </w:r>
    </w:p>
    <w:p>
      <w:pPr>
        <w:pStyle w:val="Indenta"/>
        <w:spacing w:before="60"/>
      </w:pPr>
      <w:r>
        <w:tab/>
        <w:t>(a)</w:t>
      </w:r>
      <w:r>
        <w:tab/>
        <w:t>require a person, before commencing to carry out any specified development within the regional order area, to obtain the written approval of the Commission;</w:t>
      </w:r>
    </w:p>
    <w:p>
      <w:pPr>
        <w:pStyle w:val="Indenta"/>
        <w:spacing w:before="60"/>
      </w:pPr>
      <w:r>
        <w:tab/>
        <w:t>(b)</w:t>
      </w:r>
      <w:r>
        <w:tab/>
        <w:t>regulate, restrict or prohibit any specified class of development within the regional order area;</w:t>
      </w:r>
    </w:p>
    <w:p>
      <w:pPr>
        <w:pStyle w:val="Indenta"/>
        <w:spacing w:before="60"/>
      </w:pPr>
      <w:r>
        <w:tab/>
        <w:t>(c)</w:t>
      </w:r>
      <w:r>
        <w:tab/>
        <w:t>exempt from the operation of the order any development of a specified class within the regional order area;</w:t>
      </w:r>
    </w:p>
    <w:p>
      <w:pPr>
        <w:pStyle w:val="Indenta"/>
        <w:spacing w:before="60"/>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spacing w:before="60"/>
      </w:pPr>
      <w:r>
        <w:tab/>
        <w:t>(i)</w:t>
      </w:r>
      <w:r>
        <w:tab/>
        <w:t>a condition limiting the period during which that development may be carried out; and</w:t>
      </w:r>
    </w:p>
    <w:p>
      <w:pPr>
        <w:pStyle w:val="Indenti"/>
        <w:spacing w:before="60"/>
      </w:pPr>
      <w:r>
        <w:tab/>
        <w:t>(ii)</w:t>
      </w:r>
      <w:r>
        <w:tab/>
        <w:t>a condition requiring the cessation of the development and removal of any structure or building erected under that approval at the expiry of the period so limited;</w:t>
      </w:r>
    </w:p>
    <w:p>
      <w:pPr>
        <w:pStyle w:val="Indenta"/>
        <w:spacing w:before="60"/>
      </w:pPr>
      <w:r>
        <w:tab/>
        <w:t>(e)</w:t>
      </w:r>
      <w:r>
        <w:tab/>
        <w:t>provide that the Commission may refuse to grant to an applicant its approval of development of a specified class in a specified part of the regional order area;</w:t>
      </w:r>
    </w:p>
    <w:p>
      <w:pPr>
        <w:pStyle w:val="Indenta"/>
        <w:spacing w:before="60"/>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keepNext/>
        <w:spacing w:before="140"/>
      </w:pPr>
      <w:r>
        <w:lastRenderedPageBreak/>
        <w:tab/>
        <w:t>(3)</w:t>
      </w:r>
      <w:r>
        <w:tab/>
        <w:t xml:space="preserve">In subsection (2) — </w:t>
      </w:r>
    </w:p>
    <w:p>
      <w:pPr>
        <w:pStyle w:val="Defstart"/>
      </w:pPr>
      <w:r>
        <w:tab/>
      </w:r>
      <w:r>
        <w:rPr>
          <w:rStyle w:val="CharDefText"/>
        </w:rPr>
        <w:t>specified</w:t>
      </w:r>
      <w:r>
        <w:t xml:space="preserve"> means specified in the regional interim development order concerned.</w:t>
      </w:r>
    </w:p>
    <w:p>
      <w:pPr>
        <w:pStyle w:val="Heading5"/>
      </w:pPr>
      <w:bookmarkStart w:id="118" w:name="_Toc199322366"/>
      <w:r>
        <w:rPr>
          <w:rStyle w:val="CharSectno"/>
        </w:rPr>
        <w:t>100</w:t>
      </w:r>
      <w:r>
        <w:t>.</w:t>
      </w:r>
      <w:r>
        <w:tab/>
        <w:t>Commission to consult local government on some development applications</w:t>
      </w:r>
      <w:bookmarkEnd w:id="118"/>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 and</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pPr>
      <w:bookmarkStart w:id="119" w:name="_Toc199322367"/>
      <w:r>
        <w:rPr>
          <w:rStyle w:val="CharSectno"/>
        </w:rPr>
        <w:t>101</w:t>
      </w:r>
      <w:r>
        <w:t>.</w:t>
      </w:r>
      <w:r>
        <w:tab/>
        <w:t>Restrictions on power to grant development approval</w:t>
      </w:r>
      <w:bookmarkEnd w:id="119"/>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120" w:name="_Toc199322368"/>
      <w:r>
        <w:rPr>
          <w:rStyle w:val="CharDivNo"/>
        </w:rPr>
        <w:t>Division 2</w:t>
      </w:r>
      <w:r>
        <w:t> — </w:t>
      </w:r>
      <w:r>
        <w:rPr>
          <w:rStyle w:val="CharDivText"/>
        </w:rPr>
        <w:t>Local interim development orders</w:t>
      </w:r>
      <w:bookmarkEnd w:id="120"/>
    </w:p>
    <w:p>
      <w:pPr>
        <w:pStyle w:val="Heading5"/>
      </w:pPr>
      <w:bookmarkStart w:id="121" w:name="_Toc199322369"/>
      <w:r>
        <w:rPr>
          <w:rStyle w:val="CharSectno"/>
        </w:rPr>
        <w:t>102</w:t>
      </w:r>
      <w:r>
        <w:t>.</w:t>
      </w:r>
      <w:r>
        <w:tab/>
        <w:t>Making and purpose of order</w:t>
      </w:r>
      <w:bookmarkEnd w:id="121"/>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pPr>
      <w:r>
        <w:tab/>
        <w:t>(2)</w:t>
      </w:r>
      <w:r>
        <w:tab/>
        <w:t xml:space="preserve">If a local planning scheme is already in effect in a district or part of a district and it is proposed to make a further local planning </w:t>
      </w:r>
      <w:r>
        <w:lastRenderedPageBreak/>
        <w:t>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122" w:name="_Toc199322370"/>
      <w:r>
        <w:rPr>
          <w:rStyle w:val="CharSectno"/>
        </w:rPr>
        <w:t>103</w:t>
      </w:r>
      <w:r>
        <w:t>.</w:t>
      </w:r>
      <w:r>
        <w:tab/>
        <w:t>Contents of order</w:t>
      </w:r>
      <w:bookmarkEnd w:id="122"/>
    </w:p>
    <w:p>
      <w:pPr>
        <w:pStyle w:val="Subsection"/>
      </w:pPr>
      <w:r>
        <w:tab/>
        <w:t>(1)</w:t>
      </w:r>
      <w:r>
        <w:tab/>
        <w:t>A local interim development order is to specify the land affected by the order.</w:t>
      </w:r>
    </w:p>
    <w:p>
      <w:pPr>
        <w:pStyle w:val="Subsection"/>
      </w:pPr>
      <w:r>
        <w:tab/>
        <w:t>(2)</w:t>
      </w:r>
      <w:r>
        <w:tab/>
        <w:t xml:space="preserve">A local interim development order may — </w:t>
      </w:r>
    </w:p>
    <w:p>
      <w:pPr>
        <w:pStyle w:val="Indenta"/>
        <w:spacing w:before="90"/>
      </w:pPr>
      <w:r>
        <w:tab/>
        <w:t>(a)</w:t>
      </w:r>
      <w:r>
        <w:tab/>
        <w:t>require a person, before commencing to carry out any specified development within the local order area, to obtain the written approval of the local government administering the order;</w:t>
      </w:r>
    </w:p>
    <w:p>
      <w:pPr>
        <w:pStyle w:val="Indenta"/>
        <w:spacing w:before="90"/>
      </w:pPr>
      <w:r>
        <w:tab/>
        <w:t>(b)</w:t>
      </w:r>
      <w:r>
        <w:tab/>
        <w:t>regulate, restrict or prohibit any specified class of development within the local order area;</w:t>
      </w:r>
    </w:p>
    <w:p>
      <w:pPr>
        <w:pStyle w:val="Indenta"/>
        <w:spacing w:before="90"/>
      </w:pPr>
      <w:r>
        <w:tab/>
        <w:t>(c)</w:t>
      </w:r>
      <w:r>
        <w:tab/>
        <w:t>exempt from the operation of the order any development of a specified class within the local order area;</w:t>
      </w:r>
    </w:p>
    <w:p>
      <w:pPr>
        <w:pStyle w:val="Indenta"/>
        <w:spacing w:before="90"/>
      </w:pPr>
      <w:r>
        <w:tab/>
        <w:t>(d)</w:t>
      </w:r>
      <w:r>
        <w:tab/>
        <w:t xml:space="preserve">in the case of land to which the </w:t>
      </w:r>
      <w:r>
        <w:rPr>
          <w:i/>
        </w:rPr>
        <w:t xml:space="preserve">Heritage Act 2018 </w:t>
      </w:r>
      <w:r>
        <w:t xml:space="preserve">applies, require the local government administering the order before approving a development application — </w:t>
      </w:r>
    </w:p>
    <w:p>
      <w:pPr>
        <w:pStyle w:val="Indenti"/>
        <w:spacing w:before="90"/>
      </w:pPr>
      <w:r>
        <w:tab/>
        <w:t>(i)</w:t>
      </w:r>
      <w:r>
        <w:tab/>
        <w:t>to refer the application in question to the Heritage Council; and</w:t>
      </w:r>
    </w:p>
    <w:p>
      <w:pPr>
        <w:pStyle w:val="Indenti"/>
        <w:spacing w:before="90"/>
      </w:pPr>
      <w:r>
        <w:tab/>
        <w:t>(ii)</w:t>
      </w:r>
      <w:r>
        <w:tab/>
        <w:t>not to proceed, without the consent of the Minister, with the application unless or until the advice of the Heritage Council has been received; and</w:t>
      </w:r>
    </w:p>
    <w:p>
      <w:pPr>
        <w:pStyle w:val="Indenti"/>
        <w:spacing w:before="90"/>
      </w:pPr>
      <w:r>
        <w:tab/>
        <w:t>(iii)</w:t>
      </w:r>
      <w:r>
        <w:tab/>
        <w:t>to have regard to that advice;</w:t>
      </w:r>
    </w:p>
    <w:p>
      <w:pPr>
        <w:pStyle w:val="Indenta"/>
        <w:keepNext/>
        <w:spacing w:before="90"/>
      </w:pPr>
      <w:r>
        <w:tab/>
        <w:t>(e)</w:t>
      </w:r>
      <w:r>
        <w:tab/>
        <w:t xml:space="preserve">provide that the approval of the local government for the carrying out of any development referred to in the order may, if granted, be granted subject to such conditions as the local government considers necessary to impose, </w:t>
      </w:r>
      <w:r>
        <w:lastRenderedPageBreak/>
        <w:t xml:space="preserve">including, without limiting the generality of those conditions — </w:t>
      </w:r>
    </w:p>
    <w:p>
      <w:pPr>
        <w:pStyle w:val="Indenti"/>
        <w:spacing w:before="90"/>
      </w:pPr>
      <w:r>
        <w:tab/>
        <w:t>(i)</w:t>
      </w:r>
      <w:r>
        <w:tab/>
        <w:t>a condition limiting the period during which that development may be carried out; and</w:t>
      </w:r>
    </w:p>
    <w:p>
      <w:pPr>
        <w:pStyle w:val="Indenti"/>
        <w:keepNext/>
        <w:keepLines/>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rStyle w:val="CharDefText"/>
        </w:rPr>
        <w:t>specified</w:t>
      </w:r>
      <w:r>
        <w:t xml:space="preserve"> means specified in the local interim development order concerned.</w:t>
      </w:r>
    </w:p>
    <w:p>
      <w:pPr>
        <w:pStyle w:val="Footnotesection"/>
        <w:ind w:left="890" w:hanging="890"/>
      </w:pPr>
      <w:r>
        <w:tab/>
        <w:t>[Section 103 amended: No. 22 of 2018 s. 186(5).]</w:t>
      </w:r>
    </w:p>
    <w:p>
      <w:pPr>
        <w:pStyle w:val="Heading3"/>
        <w:spacing w:before="280"/>
      </w:pPr>
      <w:bookmarkStart w:id="123" w:name="_Toc199322371"/>
      <w:r>
        <w:rPr>
          <w:rStyle w:val="CharDivNo"/>
        </w:rPr>
        <w:t>Division 3</w:t>
      </w:r>
      <w:r>
        <w:t> — </w:t>
      </w:r>
      <w:r>
        <w:rPr>
          <w:rStyle w:val="CharDivText"/>
        </w:rPr>
        <w:t>Provisions applying to regional and local interim development orders</w:t>
      </w:r>
      <w:bookmarkEnd w:id="123"/>
    </w:p>
    <w:p>
      <w:pPr>
        <w:pStyle w:val="Heading5"/>
      </w:pPr>
      <w:bookmarkStart w:id="124" w:name="_Toc199322372"/>
      <w:r>
        <w:rPr>
          <w:rStyle w:val="CharSectno"/>
        </w:rPr>
        <w:t>104</w:t>
      </w:r>
      <w:r>
        <w:t>.</w:t>
      </w:r>
      <w:r>
        <w:tab/>
        <w:t>Consultation requirements</w:t>
      </w:r>
      <w:bookmarkEnd w:id="124"/>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 and</w:t>
      </w:r>
    </w:p>
    <w:p>
      <w:pPr>
        <w:pStyle w:val="Indenta"/>
      </w:pPr>
      <w:r>
        <w:lastRenderedPageBreak/>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125" w:name="_Toc199322373"/>
      <w:r>
        <w:rPr>
          <w:rStyle w:val="CharSectno"/>
        </w:rPr>
        <w:t>105</w:t>
      </w:r>
      <w:r>
        <w:t>.</w:t>
      </w:r>
      <w:r>
        <w:tab/>
        <w:t>Publicising interim development order</w:t>
      </w:r>
      <w:bookmarkEnd w:id="125"/>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126" w:name="_Toc199322374"/>
      <w:r>
        <w:rPr>
          <w:rStyle w:val="CharSectno"/>
        </w:rPr>
        <w:lastRenderedPageBreak/>
        <w:t>106</w:t>
      </w:r>
      <w:r>
        <w:t>.</w:t>
      </w:r>
      <w:r>
        <w:tab/>
        <w:t>Administration of interim development order</w:t>
      </w:r>
      <w:bookmarkEnd w:id="126"/>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127" w:name="_Toc199322375"/>
      <w:r>
        <w:rPr>
          <w:rStyle w:val="CharSectno"/>
        </w:rPr>
        <w:t>107</w:t>
      </w:r>
      <w:r>
        <w:t>.</w:t>
      </w:r>
      <w:r>
        <w:tab/>
        <w:t>Effect and duration of interim development order</w:t>
      </w:r>
      <w:bookmarkEnd w:id="127"/>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 or</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w:t>
      </w:r>
      <w:r>
        <w:lastRenderedPageBreak/>
        <w:t>exceeding 12 months and may, if the Minister thinks fit, exercise that power of extension more than once.</w:t>
      </w:r>
    </w:p>
    <w:p>
      <w:pPr>
        <w:pStyle w:val="Heading5"/>
      </w:pPr>
      <w:bookmarkStart w:id="128" w:name="_Toc199322376"/>
      <w:r>
        <w:rPr>
          <w:rStyle w:val="CharSectno"/>
        </w:rPr>
        <w:t>108</w:t>
      </w:r>
      <w:r>
        <w:t>.</w:t>
      </w:r>
      <w:r>
        <w:tab/>
        <w:t>Existing lawful development not affected</w:t>
      </w:r>
      <w:bookmarkEnd w:id="128"/>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129" w:name="_Toc199322377"/>
      <w:r>
        <w:rPr>
          <w:rStyle w:val="CharSectno"/>
        </w:rPr>
        <w:t>109</w:t>
      </w:r>
      <w:r>
        <w:t>.</w:t>
      </w:r>
      <w:r>
        <w:tab/>
        <w:t>Amending interim development order</w:t>
      </w:r>
      <w:bookmarkEnd w:id="129"/>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130" w:name="_Toc199322378"/>
      <w:r>
        <w:rPr>
          <w:rStyle w:val="CharSectno"/>
        </w:rPr>
        <w:t>110</w:t>
      </w:r>
      <w:r>
        <w:t>.</w:t>
      </w:r>
      <w:r>
        <w:tab/>
        <w:t>Revoking interim development order</w:t>
      </w:r>
      <w:bookmarkEnd w:id="130"/>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keepNext/>
      </w:pPr>
      <w:r>
        <w:lastRenderedPageBreak/>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131" w:name="_Toc199322379"/>
      <w:r>
        <w:rPr>
          <w:rStyle w:val="CharSectno"/>
        </w:rPr>
        <w:t>111</w:t>
      </w:r>
      <w:r>
        <w:t>.</w:t>
      </w:r>
      <w:r>
        <w:tab/>
        <w:t>Non</w:t>
      </w:r>
      <w:r>
        <w:noBreakHyphen/>
        <w:t>conforming development by local government or public authority, procedure for</w:t>
      </w:r>
      <w:bookmarkEnd w:id="131"/>
    </w:p>
    <w:p>
      <w:pPr>
        <w:pStyle w:val="Subsection"/>
        <w:spacing w:before="120"/>
      </w:pPr>
      <w:r>
        <w:tab/>
        <w:t>(1)</w:t>
      </w:r>
      <w:r>
        <w:tab/>
        <w:t xml:space="preserve">If — </w:t>
      </w:r>
    </w:p>
    <w:p>
      <w:pPr>
        <w:pStyle w:val="Indenta"/>
        <w:spacing w:before="60"/>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spacing w:before="60"/>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spacing w:before="100"/>
      </w:pPr>
      <w:r>
        <w:tab/>
      </w:r>
      <w:r>
        <w:tab/>
        <w:t>the Commission may submit the matter to the Minister for determination by the Governor.</w:t>
      </w:r>
    </w:p>
    <w:p>
      <w:pPr>
        <w:pStyle w:val="Subsection"/>
        <w:spacing w:before="120"/>
      </w:pPr>
      <w:r>
        <w:tab/>
        <w:t>(2)</w:t>
      </w:r>
      <w:r>
        <w:tab/>
        <w:t xml:space="preserve">If — </w:t>
      </w:r>
    </w:p>
    <w:p>
      <w:pPr>
        <w:pStyle w:val="Indenta"/>
        <w:spacing w:before="60"/>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spacing w:before="60"/>
      </w:pPr>
      <w:r>
        <w:lastRenderedPageBreak/>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local planning scheme,</w:t>
      </w:r>
    </w:p>
    <w:p>
      <w:pPr>
        <w:pStyle w:val="Subsection"/>
        <w:spacing w:before="100"/>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Footnotesection"/>
      </w:pPr>
      <w:r>
        <w:tab/>
        <w:t>[Section 111 amended: No. 8 of 2009 s. 100(2).]</w:t>
      </w:r>
    </w:p>
    <w:p>
      <w:pPr>
        <w:pStyle w:val="Heading2"/>
      </w:pPr>
      <w:bookmarkStart w:id="132" w:name="_Toc199322380"/>
      <w:r>
        <w:rPr>
          <w:rStyle w:val="CharPartNo"/>
        </w:rPr>
        <w:lastRenderedPageBreak/>
        <w:t>Part 7</w:t>
      </w:r>
      <w:r>
        <w:rPr>
          <w:rStyle w:val="CharDivNo"/>
        </w:rPr>
        <w:t> </w:t>
      </w:r>
      <w:r>
        <w:t>—</w:t>
      </w:r>
      <w:r>
        <w:rPr>
          <w:rStyle w:val="CharDivText"/>
        </w:rPr>
        <w:t> </w:t>
      </w:r>
      <w:r>
        <w:rPr>
          <w:rStyle w:val="CharPartText"/>
        </w:rPr>
        <w:t>Planning control areas</w:t>
      </w:r>
      <w:bookmarkEnd w:id="132"/>
    </w:p>
    <w:p>
      <w:pPr>
        <w:pStyle w:val="Heading5"/>
      </w:pPr>
      <w:bookmarkStart w:id="133" w:name="_Toc199322381"/>
      <w:r>
        <w:rPr>
          <w:rStyle w:val="CharSectno"/>
        </w:rPr>
        <w:t>112</w:t>
      </w:r>
      <w:r>
        <w:t>.</w:t>
      </w:r>
      <w:r>
        <w:tab/>
        <w:t>Declaration of planning control areas</w:t>
      </w:r>
      <w:bookmarkEnd w:id="133"/>
    </w:p>
    <w:p>
      <w:pPr>
        <w:pStyle w:val="Subsection"/>
      </w:pPr>
      <w:r>
        <w:tab/>
        <w:t>(1)</w:t>
      </w:r>
      <w:r>
        <w:tab/>
        <w:t xml:space="preserve">If the Commission considers that any land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cannot be exercised in respect of any land that is — </w:t>
      </w:r>
    </w:p>
    <w:p>
      <w:pPr>
        <w:pStyle w:val="Indenta"/>
      </w:pPr>
      <w:r>
        <w:tab/>
        <w:t>(a)</w:t>
      </w:r>
      <w:r>
        <w:tab/>
        <w:t xml:space="preserve">land to which an approved redevelopment scheme under the </w:t>
      </w:r>
      <w:r>
        <w:rPr>
          <w:i/>
        </w:rPr>
        <w:t>Metropolitan Redevelopment Authority Act 2011</w:t>
      </w:r>
      <w:r>
        <w:t xml:space="preserve"> applies; or</w:t>
      </w:r>
    </w:p>
    <w:p>
      <w:pPr>
        <w:pStyle w:val="Indenta"/>
      </w:pPr>
      <w:r>
        <w:tab/>
        <w:t>(b)</w:t>
      </w:r>
      <w:r>
        <w:tab/>
        <w:t xml:space="preserve">in the redevelopment area as defined in the </w:t>
      </w:r>
      <w:r>
        <w:rPr>
          <w:i/>
          <w:iCs/>
        </w:rPr>
        <w:t>Hope Valley</w:t>
      </w:r>
      <w:r>
        <w:rPr>
          <w:i/>
          <w:iCs/>
        </w:rPr>
        <w:noBreakHyphen/>
        <w:t>Wattleup Redevelopment Act 2000</w:t>
      </w:r>
      <w:r>
        <w:t>; or</w:t>
      </w:r>
    </w:p>
    <w:p>
      <w:pPr>
        <w:pStyle w:val="Indenta"/>
        <w:rPr>
          <w:iCs/>
        </w:rPr>
      </w:pPr>
      <w:r>
        <w:tab/>
        <w:t>(c)</w:t>
      </w:r>
      <w:r>
        <w:tab/>
        <w:t xml:space="preserve">in the development control area as defined in the </w:t>
      </w:r>
      <w:r>
        <w:rPr>
          <w:i/>
        </w:rPr>
        <w:t>Swan and Canning Rivers Management Act 2006</w:t>
      </w:r>
      <w:r>
        <w:rPr>
          <w:iCs/>
        </w:rPr>
        <w:t>; or</w:t>
      </w:r>
    </w:p>
    <w:p>
      <w:pPr>
        <w:pStyle w:val="Indenta"/>
      </w:pPr>
      <w:r>
        <w:tab/>
        <w:t>(d)</w:t>
      </w:r>
      <w:r>
        <w:tab/>
        <w:t>in an improvement scheme area.</w:t>
      </w:r>
    </w:p>
    <w:p>
      <w:pPr>
        <w:pStyle w:val="Ednotesubsection"/>
      </w:pPr>
      <w:r>
        <w:tab/>
        <w:t>[(3)</w:t>
      </w:r>
      <w:r>
        <w:tab/>
        <w:t>deleted]</w:t>
      </w:r>
    </w:p>
    <w:p>
      <w:pPr>
        <w:pStyle w:val="Subsection"/>
      </w:pPr>
      <w:r>
        <w:tab/>
        <w:t>(4)</w:t>
      </w:r>
      <w:r>
        <w:tab/>
        <w:t xml:space="preserve">This Part and the operation of any approval of development granted under this Part have effect subject to the </w:t>
      </w:r>
      <w:r>
        <w:rPr>
          <w:i/>
        </w:rPr>
        <w:t>Heritage Act 2018</w:t>
      </w:r>
      <w:r>
        <w:t xml:space="preserve"> Part 5 Division 2.</w:t>
      </w:r>
    </w:p>
    <w:p>
      <w:pPr>
        <w:pStyle w:val="Subsection"/>
        <w:keepNext/>
      </w:pPr>
      <w:r>
        <w:tab/>
        <w:t>(5)</w:t>
      </w:r>
      <w:r>
        <w:tab/>
        <w:t xml:space="preserve">Where any land is comprised within an area to which the Commission considers that this section should apply and is land to which the </w:t>
      </w:r>
      <w:r>
        <w:rPr>
          <w:i/>
        </w:rPr>
        <w:t xml:space="preserve">Heritage Act 2018 </w:t>
      </w:r>
      <w:r>
        <w:t xml:space="preserve">applies, the Commission is to satisfy the Minister before seeking approval to the declaration of that land as a planning control area that full disclosure has been made to, and consultations concluded with, the Heritage Council </w:t>
      </w:r>
      <w:r>
        <w:lastRenderedPageBreak/>
        <w:t>as to the likely effect of the declaration as regards places to which that Act applies.</w:t>
      </w:r>
    </w:p>
    <w:p>
      <w:pPr>
        <w:pStyle w:val="Footnotesection"/>
      </w:pPr>
      <w:r>
        <w:tab/>
        <w:t xml:space="preserve">[Section 112 amended: No. 52 of 2006 s. 6; No. 28 of 2010 s. 58; </w:t>
      </w:r>
      <w:r>
        <w:rPr>
          <w:spacing w:val="-4"/>
        </w:rPr>
        <w:t>No. 45 of 2011 s. 1</w:t>
      </w:r>
      <w:r>
        <w:t>41(7); No. 22 of 2018 s. 186(6) and (7); No. 45 of 2020 s. 71.]</w:t>
      </w:r>
    </w:p>
    <w:p>
      <w:pPr>
        <w:pStyle w:val="Heading5"/>
      </w:pPr>
      <w:bookmarkStart w:id="134" w:name="_Toc199322382"/>
      <w:r>
        <w:rPr>
          <w:rStyle w:val="CharSectno"/>
        </w:rPr>
        <w:t>113</w:t>
      </w:r>
      <w:r>
        <w:t>.</w:t>
      </w:r>
      <w:r>
        <w:tab/>
        <w:t>Amending or revoking s. 112 declaration</w:t>
      </w:r>
      <w:bookmarkEnd w:id="134"/>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135" w:name="_Toc199322383"/>
      <w:r>
        <w:rPr>
          <w:rStyle w:val="CharSectno"/>
        </w:rPr>
        <w:t>114</w:t>
      </w:r>
      <w:r>
        <w:t>.</w:t>
      </w:r>
      <w:r>
        <w:tab/>
        <w:t>Duration of s. 112 declaration</w:t>
      </w:r>
      <w:bookmarkEnd w:id="135"/>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136" w:name="_Toc199322384"/>
      <w:r>
        <w:rPr>
          <w:rStyle w:val="CharSectno"/>
        </w:rPr>
        <w:t>115</w:t>
      </w:r>
      <w:r>
        <w:t>.</w:t>
      </w:r>
      <w:r>
        <w:tab/>
        <w:t>Development in planning control area, applying for approval of</w:t>
      </w:r>
      <w:bookmarkEnd w:id="136"/>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137" w:name="_Toc199322385"/>
      <w:r>
        <w:rPr>
          <w:rStyle w:val="CharSectno"/>
        </w:rPr>
        <w:lastRenderedPageBreak/>
        <w:t>116</w:t>
      </w:r>
      <w:r>
        <w:t>.</w:t>
      </w:r>
      <w:r>
        <w:tab/>
        <w:t>Commission may approve or refuse s. 115 application</w:t>
      </w:r>
      <w:bookmarkEnd w:id="137"/>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 and</w:t>
      </w:r>
    </w:p>
    <w:p>
      <w:pPr>
        <w:pStyle w:val="Indenti"/>
      </w:pPr>
      <w:r>
        <w:tab/>
        <w:t>(ii)</w:t>
      </w:r>
      <w:r>
        <w:tab/>
        <w:t>the purposes for which the land to which that application relates is zoned or reserved under any planning scheme; and</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Footnotesection"/>
      </w:pPr>
      <w:r>
        <w:tab/>
        <w:t xml:space="preserve">[Section 116 amended: No. 28 of 2010 s. 59.] </w:t>
      </w:r>
    </w:p>
    <w:p>
      <w:pPr>
        <w:pStyle w:val="Heading5"/>
        <w:spacing w:before="240"/>
      </w:pPr>
      <w:bookmarkStart w:id="138" w:name="_Toc199322386"/>
      <w:r>
        <w:rPr>
          <w:rStyle w:val="CharSectno"/>
        </w:rPr>
        <w:t>117</w:t>
      </w:r>
      <w:r>
        <w:t>.</w:t>
      </w:r>
      <w:r>
        <w:tab/>
        <w:t>Commission may revoke approval if development does not conform with it</w:t>
      </w:r>
      <w:bookmarkEnd w:id="138"/>
    </w:p>
    <w:p>
      <w:pPr>
        <w:pStyle w:val="Subsection"/>
        <w:spacing w:before="180"/>
      </w:pPr>
      <w:r>
        <w:tab/>
        <w:t>(1)</w:t>
      </w:r>
      <w:r>
        <w:tab/>
        <w:t xml:space="preserve">If — </w:t>
      </w:r>
    </w:p>
    <w:p>
      <w:pPr>
        <w:pStyle w:val="Indenta"/>
      </w:pPr>
      <w:r>
        <w:tab/>
        <w:t>(a)</w:t>
      </w:r>
      <w:r>
        <w:tab/>
        <w:t>the Commission approves an application forwarded to it under section 115(3); and</w:t>
      </w:r>
    </w:p>
    <w:p>
      <w:pPr>
        <w:pStyle w:val="Indenta"/>
      </w:pPr>
      <w:r>
        <w:tab/>
        <w:t>(b)</w:t>
      </w:r>
      <w:r>
        <w:tab/>
        <w:t xml:space="preserve">the development concerned is carried out in a manner which is not in conformity with that approval, or any </w:t>
      </w:r>
      <w:r>
        <w:lastRenderedPageBreak/>
        <w:t>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139" w:name="_Toc199322387"/>
      <w:r>
        <w:rPr>
          <w:rStyle w:val="CharSectno"/>
        </w:rPr>
        <w:t>118</w:t>
      </w:r>
      <w:r>
        <w:t>.</w:t>
      </w:r>
      <w:r>
        <w:tab/>
        <w:t>Existing lawful development not affected</w:t>
      </w:r>
      <w:bookmarkEnd w:id="139"/>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140" w:name="_Toc199322388"/>
      <w:r>
        <w:rPr>
          <w:rStyle w:val="CharPartNo"/>
        </w:rPr>
        <w:lastRenderedPageBreak/>
        <w:t>Part 8</w:t>
      </w:r>
      <w:r>
        <w:rPr>
          <w:b w:val="0"/>
        </w:rPr>
        <w:t> </w:t>
      </w:r>
      <w:r>
        <w:t>—</w:t>
      </w:r>
      <w:r>
        <w:rPr>
          <w:b w:val="0"/>
        </w:rPr>
        <w:t> </w:t>
      </w:r>
      <w:r>
        <w:rPr>
          <w:rStyle w:val="CharPartText"/>
        </w:rPr>
        <w:t>Improvement plans and schemes</w:t>
      </w:r>
      <w:bookmarkEnd w:id="140"/>
    </w:p>
    <w:p>
      <w:pPr>
        <w:pStyle w:val="Footnoteheading"/>
      </w:pPr>
      <w:r>
        <w:tab/>
        <w:t>[Heading inserted: No. 28 of 2010 s. 9.]</w:t>
      </w:r>
    </w:p>
    <w:p>
      <w:pPr>
        <w:pStyle w:val="Heading3"/>
      </w:pPr>
      <w:bookmarkStart w:id="141" w:name="_Toc199322389"/>
      <w:r>
        <w:rPr>
          <w:rStyle w:val="CharDivNo"/>
        </w:rPr>
        <w:t>Division 1</w:t>
      </w:r>
      <w:r>
        <w:t> — </w:t>
      </w:r>
      <w:r>
        <w:rPr>
          <w:rStyle w:val="CharDivText"/>
        </w:rPr>
        <w:t>Improvement plans</w:t>
      </w:r>
      <w:bookmarkEnd w:id="141"/>
    </w:p>
    <w:p>
      <w:pPr>
        <w:pStyle w:val="Footnoteheading"/>
      </w:pPr>
      <w:r>
        <w:tab/>
        <w:t>[Heading inserted: No. 28 of 2010 s. 9.]</w:t>
      </w:r>
    </w:p>
    <w:p>
      <w:pPr>
        <w:pStyle w:val="Heading5"/>
      </w:pPr>
      <w:bookmarkStart w:id="142" w:name="_Toc199322390"/>
      <w:r>
        <w:rPr>
          <w:rStyle w:val="CharSectno"/>
        </w:rPr>
        <w:t>119</w:t>
      </w:r>
      <w:r>
        <w:t>.</w:t>
      </w:r>
      <w:r>
        <w:tab/>
        <w:t>Preparing and making improvement plan</w:t>
      </w:r>
      <w:bookmarkEnd w:id="142"/>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pPr>
      <w:r>
        <w:tab/>
        <w:t>(2A)</w:t>
      </w:r>
      <w:r>
        <w:tab/>
        <w:t>A recommendation under subsection (1) may relate to land in 1 or more districts.</w:t>
      </w:r>
    </w:p>
    <w:p>
      <w:pPr>
        <w:pStyle w:val="Subsection"/>
        <w:keepNext/>
      </w:pPr>
      <w:r>
        <w:lastRenderedPageBreak/>
        <w:tab/>
        <w:t>(3A)</w:t>
      </w:r>
      <w:r>
        <w:tab/>
        <w:t xml:space="preserve">The power in subsection (1) cannot be exercised in respect of any land that is — </w:t>
      </w:r>
    </w:p>
    <w:p>
      <w:pPr>
        <w:pStyle w:val="Indenta"/>
      </w:pPr>
      <w:r>
        <w:tab/>
        <w:t>(a)</w:t>
      </w:r>
      <w:r>
        <w:tab/>
        <w:t xml:space="preserve">land to which an approved redevelopment scheme under the </w:t>
      </w:r>
      <w:r>
        <w:rPr>
          <w:i/>
        </w:rPr>
        <w:t xml:space="preserve">Metropolitan Redevelopment Authority Act 2011 </w:t>
      </w:r>
      <w:r>
        <w:rPr>
          <w:iCs/>
        </w:rPr>
        <w:t>applies</w:t>
      </w:r>
      <w:r>
        <w:t>; or</w:t>
      </w:r>
    </w:p>
    <w:p>
      <w:pPr>
        <w:pStyle w:val="Indenta"/>
        <w:rPr>
          <w:i/>
          <w:iCs/>
        </w:rPr>
      </w:pPr>
      <w:r>
        <w:tab/>
        <w:t>(b)</w:t>
      </w:r>
      <w:r>
        <w:tab/>
        <w:t xml:space="preserve">in the redevelopment area as defined in the </w:t>
      </w:r>
      <w:r>
        <w:rPr>
          <w:i/>
          <w:iCs/>
        </w:rPr>
        <w:t>Hope Valley</w:t>
      </w:r>
      <w:r>
        <w:rPr>
          <w:i/>
          <w:iCs/>
        </w:rPr>
        <w:noBreakHyphen/>
        <w:t>Wattleup Redevelopment Act 2000</w:t>
      </w:r>
      <w:r>
        <w:t>; or</w:t>
      </w:r>
    </w:p>
    <w:p>
      <w:pPr>
        <w:pStyle w:val="Indenta"/>
      </w:pPr>
      <w:r>
        <w:tab/>
        <w:t>(c)</w:t>
      </w:r>
      <w:r>
        <w:tab/>
        <w:t xml:space="preserve">in the development control area as defined in the </w:t>
      </w:r>
      <w:r>
        <w:rPr>
          <w:i/>
        </w:rPr>
        <w:t>Swan and Canning Rivers Management Act 2006</w:t>
      </w:r>
      <w:r>
        <w:t>; or</w:t>
      </w:r>
    </w:p>
    <w:p>
      <w:pPr>
        <w:pStyle w:val="Indenta"/>
      </w:pPr>
      <w:r>
        <w:tab/>
        <w:t>(d)</w:t>
      </w:r>
      <w:r>
        <w:tab/>
        <w:t>in the Swan Valley.</w:t>
      </w:r>
    </w:p>
    <w:p>
      <w:pPr>
        <w:pStyle w:val="Subsection"/>
      </w:pPr>
      <w:r>
        <w:tab/>
        <w:t>(3B)</w:t>
      </w:r>
      <w:r>
        <w:tab/>
        <w:t xml:space="preserve">Before making a recommendation under subsection (1) in relation to any land, the Commission must consult with — </w:t>
      </w:r>
    </w:p>
    <w:p>
      <w:pPr>
        <w:pStyle w:val="Indenta"/>
      </w:pPr>
      <w:r>
        <w:tab/>
        <w:t>(a)</w:t>
      </w:r>
      <w:r>
        <w:tab/>
        <w:t>the local government for the district in which the land is situated; or</w:t>
      </w:r>
    </w:p>
    <w:p>
      <w:pPr>
        <w:pStyle w:val="Indenta"/>
      </w:pPr>
      <w:r>
        <w:tab/>
        <w:t>(b)</w:t>
      </w:r>
      <w:r>
        <w:tab/>
        <w:t>if the land is situated in more than 1 district — each of the local governments for those districts.</w:t>
      </w:r>
    </w:p>
    <w:p>
      <w:pPr>
        <w:pStyle w:val="Subsection"/>
      </w:pPr>
      <w:r>
        <w:tab/>
        <w:t>(3C)</w:t>
      </w:r>
      <w:r>
        <w:tab/>
        <w:t>An improvement plan that authorises the making of an improvement scheme must set out the objectives of the improvement scheme.</w:t>
      </w:r>
    </w:p>
    <w:p>
      <w:pPr>
        <w:pStyle w:val="Subsection"/>
      </w:pPr>
      <w:r>
        <w:tab/>
        <w:t>(3)</w:t>
      </w:r>
      <w:r>
        <w:tab/>
        <w:t>If the Minister accepts the recommendation, the Minister is to forward the recommendation to the Governor for acceptance.</w:t>
      </w:r>
    </w:p>
    <w:p>
      <w:pPr>
        <w:pStyle w:val="Subsection"/>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pPr>
      <w:r>
        <w:tab/>
        <w:t>(5A)</w:t>
      </w:r>
      <w:r>
        <w:tab/>
        <w:t>The Minister must, as soon as is practicable after notice in respect of an improvement plan is published under subsection (4), cause a copy of the improvement plan to be laid before each House of Parliament or dealt with under section 268A.</w:t>
      </w:r>
    </w:p>
    <w:p>
      <w:pPr>
        <w:pStyle w:val="Subsection"/>
        <w:keepNext/>
      </w:pPr>
      <w:r>
        <w:lastRenderedPageBreak/>
        <w:tab/>
        <w:t>(5)</w:t>
      </w:r>
      <w:r>
        <w:tab/>
        <w:t>Section 195 applies in respect of the acquisition of land included in an improvement plan in force under this section.</w:t>
      </w:r>
    </w:p>
    <w:p>
      <w:pPr>
        <w:pStyle w:val="Footnotesection"/>
      </w:pPr>
      <w:r>
        <w:tab/>
        <w:t xml:space="preserve">[Section 119 amended: No. 28 of 2010 s. 10; </w:t>
      </w:r>
      <w:r>
        <w:rPr>
          <w:spacing w:val="-4"/>
        </w:rPr>
        <w:t>No. 45 of 2011 s. 1</w:t>
      </w:r>
      <w:r>
        <w:t xml:space="preserve">41(8); No. 26 of 2020 s. 97; No. 45 of 2020 s. 72.] </w:t>
      </w:r>
    </w:p>
    <w:p>
      <w:pPr>
        <w:pStyle w:val="Heading5"/>
        <w:spacing w:before="120"/>
      </w:pPr>
      <w:bookmarkStart w:id="143" w:name="_Toc199322391"/>
      <w:r>
        <w:rPr>
          <w:rStyle w:val="CharSectno"/>
        </w:rPr>
        <w:t>120</w:t>
      </w:r>
      <w:r>
        <w:t>.</w:t>
      </w:r>
      <w:r>
        <w:tab/>
        <w:t>Amending or revoking improvement plan</w:t>
      </w:r>
      <w:bookmarkEnd w:id="143"/>
    </w:p>
    <w:p>
      <w:pPr>
        <w:pStyle w:val="Subsection"/>
      </w:pPr>
      <w:r>
        <w:tab/>
        <w:t>(1)</w:t>
      </w:r>
      <w:r>
        <w:tab/>
        <w:t xml:space="preserve">The Commission may — </w:t>
      </w:r>
    </w:p>
    <w:p>
      <w:pPr>
        <w:pStyle w:val="Indenta"/>
        <w:spacing w:before="60"/>
      </w:pPr>
      <w:r>
        <w:tab/>
        <w:t>(a)</w:t>
      </w:r>
      <w:r>
        <w:tab/>
        <w:t>amend an improvement plan by notice of amendment; or</w:t>
      </w:r>
    </w:p>
    <w:p>
      <w:pPr>
        <w:pStyle w:val="Indenta"/>
        <w:spacing w:before="60"/>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pPr>
      <w:bookmarkStart w:id="144" w:name="_Toc199322392"/>
      <w:r>
        <w:rPr>
          <w:rStyle w:val="CharSectno"/>
        </w:rPr>
        <w:t>121</w:t>
      </w:r>
      <w:r>
        <w:t>.</w:t>
      </w:r>
      <w:r>
        <w:tab/>
        <w:t>Commission’s powers as to land under improvement plan</w:t>
      </w:r>
      <w:bookmarkEnd w:id="144"/>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 and</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 and</w:t>
      </w:r>
    </w:p>
    <w:p>
      <w:pPr>
        <w:pStyle w:val="Indenta"/>
        <w:keepNext/>
      </w:pPr>
      <w:r>
        <w:lastRenderedPageBreak/>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 and</w:t>
      </w:r>
    </w:p>
    <w:p>
      <w:pPr>
        <w:pStyle w:val="Indenti"/>
      </w:pPr>
      <w:r>
        <w:tab/>
        <w:t>(ii)</w:t>
      </w:r>
      <w:r>
        <w:tab/>
        <w:t>the construction, repair, rehabilitation or improvement of any buildings, works, services, improvements or facilities on the land; 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 and</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3"/>
        <w:keepLines/>
      </w:pPr>
      <w:bookmarkStart w:id="145" w:name="_Toc199322393"/>
      <w:r>
        <w:rPr>
          <w:rStyle w:val="CharDivNo"/>
        </w:rPr>
        <w:lastRenderedPageBreak/>
        <w:t>Division 2</w:t>
      </w:r>
      <w:r>
        <w:t> — </w:t>
      </w:r>
      <w:r>
        <w:rPr>
          <w:rStyle w:val="CharDivText"/>
        </w:rPr>
        <w:t>Improvement schemes</w:t>
      </w:r>
      <w:bookmarkEnd w:id="145"/>
    </w:p>
    <w:p>
      <w:pPr>
        <w:pStyle w:val="Footnoteheading"/>
        <w:keepNext/>
        <w:keepLines/>
      </w:pPr>
      <w:r>
        <w:tab/>
        <w:t>[Heading inserted: No. 28 of 2010 s. 11.]</w:t>
      </w:r>
    </w:p>
    <w:p>
      <w:pPr>
        <w:pStyle w:val="Heading5"/>
        <w:spacing w:before="180"/>
      </w:pPr>
      <w:bookmarkStart w:id="146" w:name="_Toc199322394"/>
      <w:r>
        <w:rPr>
          <w:rStyle w:val="CharSectno"/>
        </w:rPr>
        <w:t>122A</w:t>
      </w:r>
      <w:r>
        <w:t>.</w:t>
      </w:r>
      <w:r>
        <w:tab/>
        <w:t>Content of improvement scheme</w:t>
      </w:r>
      <w:bookmarkEnd w:id="146"/>
    </w:p>
    <w:p>
      <w:pPr>
        <w:pStyle w:val="Subsection"/>
        <w:keepNext/>
        <w:keepLines/>
      </w:pPr>
      <w:r>
        <w:tab/>
        <w:t>(1)</w:t>
      </w:r>
      <w:r>
        <w:tab/>
        <w:t>Without limiting section 119, an improvement plan may authorise the making of an improvement scheme by the Commission in respect of some or all of the land to which the improvement plan applies.</w:t>
      </w:r>
    </w:p>
    <w:p>
      <w:pPr>
        <w:pStyle w:val="Subsection"/>
        <w:keepNext/>
        <w:keepLines/>
      </w:pPr>
      <w:r>
        <w:tab/>
        <w:t>(2)</w:t>
      </w:r>
      <w:r>
        <w:tab/>
        <w:t xml:space="preserve">An improvement scheme must specify the land to which it applies (the </w:t>
      </w:r>
      <w:r>
        <w:rPr>
          <w:rStyle w:val="CharDefText"/>
        </w:rPr>
        <w:t>improvement scheme area</w:t>
      </w:r>
      <w:r>
        <w:t>).</w:t>
      </w:r>
    </w:p>
    <w:p>
      <w:pPr>
        <w:pStyle w:val="Subsection"/>
      </w:pPr>
      <w:r>
        <w:tab/>
        <w:t>(3)</w:t>
      </w:r>
      <w:r>
        <w:tab/>
        <w:t xml:space="preserve">An improvement scheme may, in relation to the whole or any part of the relevant improvement scheme area, provide for all or any of — </w:t>
      </w:r>
    </w:p>
    <w:p>
      <w:pPr>
        <w:pStyle w:val="Indenta"/>
      </w:pPr>
      <w:r>
        <w:tab/>
        <w:t>(a)</w:t>
      </w:r>
      <w:r>
        <w:tab/>
        <w:t>the matters referred to in section 119(1)(a); and</w:t>
      </w:r>
    </w:p>
    <w:p>
      <w:pPr>
        <w:pStyle w:val="Indenta"/>
      </w:pPr>
      <w:r>
        <w:tab/>
        <w:t>(b)</w:t>
      </w:r>
      <w:r>
        <w:tab/>
        <w:t>the objects, purposes, provisions, powers and works referred to in section 69(1).</w:t>
      </w:r>
    </w:p>
    <w:p>
      <w:pPr>
        <w:pStyle w:val="Footnotesection"/>
      </w:pPr>
      <w:r>
        <w:tab/>
        <w:t xml:space="preserve">[Section 122A inserted: No. 28 of 2010 s. 11.] </w:t>
      </w:r>
    </w:p>
    <w:p>
      <w:pPr>
        <w:pStyle w:val="Heading5"/>
      </w:pPr>
      <w:bookmarkStart w:id="147" w:name="_Toc199322395"/>
      <w:r>
        <w:rPr>
          <w:rStyle w:val="CharSectno"/>
        </w:rPr>
        <w:t>122B</w:t>
      </w:r>
      <w:r>
        <w:t>.</w:t>
      </w:r>
      <w:r>
        <w:tab/>
        <w:t>Preparing, approving and reviewing improvement scheme</w:t>
      </w:r>
      <w:bookmarkEnd w:id="147"/>
    </w:p>
    <w:p>
      <w:pPr>
        <w:pStyle w:val="Subsection"/>
      </w:pPr>
      <w:r>
        <w:tab/>
        <w:t>(1)</w:t>
      </w:r>
      <w:r>
        <w:tab/>
        <w:t xml:space="preserve">Sections 75, 77 and 79 to 95 apply, with such modifications as are necessary, to and in relation to an improvement scheme as if, in each of those provisions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 and</w:t>
      </w:r>
    </w:p>
    <w:p>
      <w:pPr>
        <w:pStyle w:val="Indenta"/>
      </w:pPr>
      <w:r>
        <w:tab/>
        <w:t>(c)</w:t>
      </w:r>
      <w:r>
        <w:tab/>
        <w:t>a reference to a local government district or land in a district were a reference to the improvement scheme area.</w:t>
      </w:r>
    </w:p>
    <w:p>
      <w:pPr>
        <w:pStyle w:val="Ednotesubsection"/>
      </w:pPr>
      <w:r>
        <w:tab/>
        <w:t>[(2)</w:t>
      </w:r>
      <w:r>
        <w:tab/>
        <w:t>deleted]</w:t>
      </w:r>
    </w:p>
    <w:p>
      <w:pPr>
        <w:pStyle w:val="Subsection"/>
      </w:pPr>
      <w:r>
        <w:lastRenderedPageBreak/>
        <w:tab/>
        <w:t>(3A)</w:t>
      </w:r>
      <w:r>
        <w:tab/>
        <w:t>Before submitting an improvement scheme or amendment to an improvement scheme to the Minister under section 87, the Commission must consult with any affected local government.</w:t>
      </w:r>
    </w:p>
    <w:p>
      <w:pPr>
        <w:pStyle w:val="Subsection"/>
      </w:pPr>
      <w:r>
        <w:tab/>
        <w:t>(3B)</w:t>
      </w:r>
      <w:r>
        <w:tab/>
        <w:t>In subsection (3A) —</w:t>
      </w:r>
    </w:p>
    <w:p>
      <w:pPr>
        <w:pStyle w:val="Defstart"/>
      </w:pPr>
      <w:r>
        <w:tab/>
      </w:r>
      <w:r>
        <w:rPr>
          <w:rStyle w:val="CharDefText"/>
        </w:rPr>
        <w:t>affected local government</w:t>
      </w:r>
      <w:r>
        <w:t xml:space="preserve"> means —</w:t>
      </w:r>
    </w:p>
    <w:p>
      <w:pPr>
        <w:pStyle w:val="Defpara"/>
      </w:pPr>
      <w:r>
        <w:tab/>
        <w:t>(a)</w:t>
      </w:r>
      <w:r>
        <w:tab/>
        <w:t>in the case of an improvement scheme — a local government in the district of which the improvement scheme is proposed to apply; and</w:t>
      </w:r>
    </w:p>
    <w:p>
      <w:pPr>
        <w:pStyle w:val="Defpara"/>
      </w:pPr>
      <w:r>
        <w:tab/>
        <w:t>(b)</w:t>
      </w:r>
      <w:r>
        <w:tab/>
        <w:t>in the case of an amendment — a local government in the district of which the improvement scheme applies.</w:t>
      </w:r>
    </w:p>
    <w:p>
      <w:pPr>
        <w:pStyle w:val="Subsection"/>
      </w:pPr>
      <w:r>
        <w:tab/>
        <w:t>(3)</w:t>
      </w:r>
      <w:r>
        <w:tab/>
        <w:t>Regulations made under section 258 apply, with such modifications as are necessary, to and in relation to an improvement scheme as if the improvement scheme were a local planning scheme.</w:t>
      </w:r>
    </w:p>
    <w:p>
      <w:pPr>
        <w:pStyle w:val="Subsection"/>
      </w:pPr>
      <w:r>
        <w:tab/>
        <w:t>(4)</w:t>
      </w:r>
      <w:r>
        <w:tab/>
        <w:t xml:space="preserve">An improvement scheme may be repealed by an instrument of repeal prepared by the Commission, approved by the Minister and published in the </w:t>
      </w:r>
      <w:r>
        <w:rPr>
          <w:i/>
          <w:iCs/>
        </w:rPr>
        <w:t>Gazette</w:t>
      </w:r>
      <w:r>
        <w:t>.</w:t>
      </w:r>
    </w:p>
    <w:p>
      <w:pPr>
        <w:pStyle w:val="Subsection"/>
      </w:pPr>
      <w:r>
        <w:tab/>
        <w:t>(5)</w:t>
      </w:r>
      <w:r>
        <w:tab/>
        <w:t xml:space="preserve">Unless otherwise specified in an instrument of repeal, the instrument has effect on the day on which it is published in the </w:t>
      </w:r>
      <w:r>
        <w:rPr>
          <w:i/>
          <w:iCs/>
        </w:rPr>
        <w:t>Gazette</w:t>
      </w:r>
      <w:r>
        <w:t>.</w:t>
      </w:r>
    </w:p>
    <w:p>
      <w:pPr>
        <w:pStyle w:val="Subsection"/>
      </w:pPr>
      <w:r>
        <w:tab/>
        <w:t>(6)</w:t>
      </w:r>
      <w:r>
        <w:tab/>
        <w:t xml:space="preserve">The Minister must not approve an amendment to an improvement scheme that removes land from an improvement scheme area, or approve an instrument of repeal under subsection (4), unless satisfied that any other planning scheme, insofar as it will apply to the improvement scheme area on the amendment day or repeal day, does not — </w:t>
      </w:r>
    </w:p>
    <w:p>
      <w:pPr>
        <w:pStyle w:val="Indenta"/>
      </w:pPr>
      <w:r>
        <w:tab/>
        <w:t>(a)</w:t>
      </w:r>
      <w:r>
        <w:tab/>
        <w:t>prevent any development that would be permitted; or</w:t>
      </w:r>
    </w:p>
    <w:p>
      <w:pPr>
        <w:pStyle w:val="Indenta"/>
      </w:pPr>
      <w:r>
        <w:tab/>
        <w:t>(b)</w:t>
      </w:r>
      <w:r>
        <w:tab/>
        <w:t>allow any development that would not be permitted,</w:t>
      </w:r>
    </w:p>
    <w:p>
      <w:pPr>
        <w:pStyle w:val="Subsection"/>
      </w:pPr>
      <w:r>
        <w:tab/>
      </w:r>
      <w:r>
        <w:tab/>
        <w:t>in the improvement scheme area immediately before the amendment day or repeal day.</w:t>
      </w:r>
    </w:p>
    <w:p>
      <w:pPr>
        <w:pStyle w:val="Subsection"/>
        <w:keepNext/>
      </w:pPr>
      <w:r>
        <w:lastRenderedPageBreak/>
        <w:tab/>
        <w:t>(7)</w:t>
      </w:r>
      <w:r>
        <w:tab/>
        <w:t xml:space="preserve">In subsection (6) — </w:t>
      </w:r>
    </w:p>
    <w:p>
      <w:pPr>
        <w:pStyle w:val="Defstart"/>
      </w:pPr>
      <w:r>
        <w:tab/>
      </w:r>
      <w:r>
        <w:rPr>
          <w:rStyle w:val="CharDefText"/>
        </w:rPr>
        <w:t>amendment day</w:t>
      </w:r>
      <w:r>
        <w:t>, for an improvement scheme, means the day on which the amendment to the scheme has effect;</w:t>
      </w:r>
    </w:p>
    <w:p>
      <w:pPr>
        <w:pStyle w:val="Defstart"/>
      </w:pPr>
      <w:r>
        <w:tab/>
      </w:r>
      <w:r>
        <w:rPr>
          <w:rStyle w:val="CharDefText"/>
        </w:rPr>
        <w:t>repeal day</w:t>
      </w:r>
      <w:r>
        <w:t>, for an improvement scheme, means the day on which an instrument of repeal of that scheme has effect.</w:t>
      </w:r>
    </w:p>
    <w:p>
      <w:pPr>
        <w:pStyle w:val="Footnotesection"/>
      </w:pPr>
      <w:r>
        <w:tab/>
        <w:t xml:space="preserve">[Section 122B inserted: No. 28 of 2010 s. 11; amended: No. 45 of 2020 s. 73.] </w:t>
      </w:r>
    </w:p>
    <w:p>
      <w:pPr>
        <w:pStyle w:val="Heading5"/>
      </w:pPr>
      <w:bookmarkStart w:id="148" w:name="_Toc199322396"/>
      <w:r>
        <w:rPr>
          <w:rStyle w:val="CharSectno"/>
        </w:rPr>
        <w:t>122C</w:t>
      </w:r>
      <w:r>
        <w:t>.</w:t>
      </w:r>
      <w:r>
        <w:tab/>
        <w:t>Existing lawful development not affected</w:t>
      </w:r>
      <w:bookmarkEnd w:id="148"/>
    </w:p>
    <w:p>
      <w:pPr>
        <w:pStyle w:val="Subsection"/>
      </w:pPr>
      <w:r>
        <w:tab/>
        <w:t>(1)</w:t>
      </w:r>
      <w:r>
        <w:tab/>
        <w:t>This Division (other than this section) does not apply to a development that was lawfully being carried out on land immediately before an improvement scheme applied to the land.</w:t>
      </w:r>
    </w:p>
    <w:p>
      <w:pPr>
        <w:pStyle w:val="Subsection"/>
      </w:pPr>
      <w:r>
        <w:tab/>
        <w:t>(2)</w:t>
      </w:r>
      <w:r>
        <w:tab/>
        <w:t xml:space="preserve">A development referred to in subsection (1) or in respect of which all necessary approvals under the relevant region planning scheme and local planning scheme were in force immediately before the improvement scheme applied to the land — </w:t>
      </w:r>
    </w:p>
    <w:p>
      <w:pPr>
        <w:pStyle w:val="Indenta"/>
      </w:pPr>
      <w:r>
        <w:tab/>
        <w:t>(a)</w:t>
      </w:r>
      <w:r>
        <w:tab/>
        <w:t>may be lawfully carried out as if this Division had not been enacted; and</w:t>
      </w:r>
    </w:p>
    <w:p>
      <w:pPr>
        <w:pStyle w:val="Indenta"/>
      </w:pPr>
      <w:r>
        <w:tab/>
        <w:t>(b)</w:t>
      </w:r>
      <w:r>
        <w:tab/>
        <w:t>is governed by those schemes despite section 122D.</w:t>
      </w:r>
    </w:p>
    <w:p>
      <w:pPr>
        <w:pStyle w:val="Footnotesection"/>
      </w:pPr>
      <w:r>
        <w:tab/>
        <w:t xml:space="preserve">[Section 122C inserted: No. 28 of 2010 s. 11.] </w:t>
      </w:r>
    </w:p>
    <w:p>
      <w:pPr>
        <w:pStyle w:val="Heading5"/>
      </w:pPr>
      <w:bookmarkStart w:id="149" w:name="_Toc199322397"/>
      <w:r>
        <w:rPr>
          <w:rStyle w:val="CharSectno"/>
        </w:rPr>
        <w:t>122D</w:t>
      </w:r>
      <w:r>
        <w:t>.</w:t>
      </w:r>
      <w:r>
        <w:tab/>
        <w:t>Effect of improvement scheme on other planning schemes</w:t>
      </w:r>
      <w:bookmarkEnd w:id="149"/>
    </w:p>
    <w:p>
      <w:pPr>
        <w:pStyle w:val="Subsection"/>
      </w:pPr>
      <w:r>
        <w:tab/>
        <w:t>(1)</w:t>
      </w:r>
      <w:r>
        <w:tab/>
        <w:t xml:space="preserve">In this section — </w:t>
      </w:r>
    </w:p>
    <w:p>
      <w:pPr>
        <w:pStyle w:val="Defstart"/>
      </w:pPr>
      <w:r>
        <w:tab/>
      </w:r>
      <w:r>
        <w:rPr>
          <w:rStyle w:val="CharDefText"/>
        </w:rPr>
        <w:t>start day</w:t>
      </w:r>
      <w:r>
        <w:t>, for an improvement scheme, means the day on which the improvement scheme has effect under section 87(4) as applied by section 122B(1).</w:t>
      </w:r>
    </w:p>
    <w:p>
      <w:pPr>
        <w:pStyle w:val="Subsection"/>
      </w:pPr>
      <w:r>
        <w:tab/>
        <w:t>(2)</w:t>
      </w:r>
      <w:r>
        <w:tab/>
        <w:t xml:space="preserve">On the start day for an improvement scheme, any other planning scheme that applies to land in the improvement scheme area immediately before that day ceases to apply — </w:t>
      </w:r>
    </w:p>
    <w:p>
      <w:pPr>
        <w:pStyle w:val="Indenta"/>
      </w:pPr>
      <w:r>
        <w:tab/>
        <w:t>(a)</w:t>
      </w:r>
      <w:r>
        <w:tab/>
        <w:t>to that land; and</w:t>
      </w:r>
    </w:p>
    <w:p>
      <w:pPr>
        <w:pStyle w:val="Indenta"/>
      </w:pPr>
      <w:r>
        <w:lastRenderedPageBreak/>
        <w:tab/>
        <w:t>(b)</w:t>
      </w:r>
      <w:r>
        <w:tab/>
        <w:t>to any development of that land commenced on or after that day.</w:t>
      </w:r>
    </w:p>
    <w:p>
      <w:pPr>
        <w:pStyle w:val="Subsection"/>
      </w:pPr>
      <w:r>
        <w:tab/>
        <w:t>(3)</w:t>
      </w:r>
      <w:r>
        <w:tab/>
        <w:t xml:space="preserve">If, after the start day, any land is added to an improvement scheme area by an amendment to the improvement scheme, any other planning scheme that applies to the land area immediately before the amendment comes into operation ceases to apply — </w:t>
      </w:r>
    </w:p>
    <w:p>
      <w:pPr>
        <w:pStyle w:val="Indenta"/>
      </w:pPr>
      <w:r>
        <w:tab/>
        <w:t>(a)</w:t>
      </w:r>
      <w:r>
        <w:tab/>
        <w:t>to that land; and</w:t>
      </w:r>
    </w:p>
    <w:p>
      <w:pPr>
        <w:pStyle w:val="Indenta"/>
      </w:pPr>
      <w:r>
        <w:tab/>
        <w:t>(b)</w:t>
      </w:r>
      <w:r>
        <w:tab/>
        <w:t>to any development of that land commenced on or after that time.</w:t>
      </w:r>
    </w:p>
    <w:p>
      <w:pPr>
        <w:pStyle w:val="Subsection"/>
      </w:pPr>
      <w:r>
        <w:tab/>
        <w:t>(4)</w:t>
      </w:r>
      <w:r>
        <w:tab/>
        <w:t>Subsections (2) and (3) do not affect the operation of sections 122I to 122K.</w:t>
      </w:r>
    </w:p>
    <w:p>
      <w:pPr>
        <w:pStyle w:val="Subsection"/>
      </w:pPr>
      <w:r>
        <w:tab/>
        <w:t>(5)</w:t>
      </w:r>
      <w:r>
        <w:tab/>
        <w:t xml:space="preserve">The </w:t>
      </w:r>
      <w:r>
        <w:rPr>
          <w:i/>
          <w:iCs/>
        </w:rPr>
        <w:t>Interpretation Act 1984</w:t>
      </w:r>
      <w:r>
        <w:t xml:space="preserve"> section 37 applies in respect of subsections (2) and (3) as if a planning scheme were an enactment and the subsections repealed the scheme in so far as it applies to the land in the improvement scheme area and development of that land.</w:t>
      </w:r>
    </w:p>
    <w:p>
      <w:pPr>
        <w:pStyle w:val="Subsection"/>
      </w:pPr>
      <w:r>
        <w:tab/>
        <w:t>(6)</w:t>
      </w:r>
      <w:r>
        <w:tab/>
        <w:t>Subsection (5) has effect subject to any provision of an improvement scheme that relates to non</w:t>
      </w:r>
      <w:r>
        <w:noBreakHyphen/>
        <w:t>conforming uses.</w:t>
      </w:r>
    </w:p>
    <w:p>
      <w:pPr>
        <w:pStyle w:val="Footnotesection"/>
      </w:pPr>
      <w:r>
        <w:tab/>
        <w:t xml:space="preserve">[Section 122D inserted: No. 28 of 2010 s. 11.] </w:t>
      </w:r>
    </w:p>
    <w:p>
      <w:pPr>
        <w:pStyle w:val="Heading5"/>
      </w:pPr>
      <w:bookmarkStart w:id="150" w:name="_Toc199322398"/>
      <w:r>
        <w:rPr>
          <w:rStyle w:val="CharSectno"/>
        </w:rPr>
        <w:t>122E</w:t>
      </w:r>
      <w:r>
        <w:t>.</w:t>
      </w:r>
      <w:r>
        <w:tab/>
        <w:t>Removal of land from improvement scheme area or repeal of improvement scheme, effect of</w:t>
      </w:r>
      <w:bookmarkEnd w:id="150"/>
    </w:p>
    <w:p>
      <w:pPr>
        <w:pStyle w:val="Subsection"/>
      </w:pPr>
      <w:r>
        <w:tab/>
        <w:t>(1)</w:t>
      </w:r>
      <w:r>
        <w:tab/>
        <w:t xml:space="preserve">If land is removed from an improvement scheme area by an amendment to an improvement scheme (the </w:t>
      </w:r>
      <w:r>
        <w:rPr>
          <w:rStyle w:val="CharDefText"/>
        </w:rPr>
        <w:t>removed land</w:t>
      </w:r>
      <w:r>
        <w:t xml:space="preserve">) — </w:t>
      </w:r>
    </w:p>
    <w:p>
      <w:pPr>
        <w:pStyle w:val="Indenta"/>
      </w:pPr>
      <w:r>
        <w:tab/>
        <w:t>(a)</w:t>
      </w:r>
      <w:r>
        <w:tab/>
        <w:t>the improvement scheme for the area ceases to apply to the removed land; and</w:t>
      </w:r>
    </w:p>
    <w:p>
      <w:pPr>
        <w:pStyle w:val="Indenta"/>
      </w:pPr>
      <w:r>
        <w:tab/>
        <w:t>(b)</w:t>
      </w:r>
      <w:r>
        <w:tab/>
        <w:t>a planning scheme that, but for section 122D, would apply to the land, applies to the land.</w:t>
      </w:r>
    </w:p>
    <w:p>
      <w:pPr>
        <w:pStyle w:val="Subsection"/>
        <w:keepNext/>
      </w:pPr>
      <w:r>
        <w:lastRenderedPageBreak/>
        <w:tab/>
        <w:t>(2)</w:t>
      </w:r>
      <w:r>
        <w:tab/>
        <w:t>If an improvement scheme is repealed, a planning scheme that, but for section 122D would apply to the improvement scheme area, applies to the area.</w:t>
      </w:r>
    </w:p>
    <w:p>
      <w:pPr>
        <w:pStyle w:val="Footnotesection"/>
      </w:pPr>
      <w:r>
        <w:tab/>
        <w:t xml:space="preserve">[Section 122E inserted: No. 28 of 2010 s. 11.] </w:t>
      </w:r>
    </w:p>
    <w:p>
      <w:pPr>
        <w:pStyle w:val="Heading5"/>
      </w:pPr>
      <w:bookmarkStart w:id="151" w:name="_Toc199322399"/>
      <w:r>
        <w:rPr>
          <w:rStyle w:val="CharSectno"/>
        </w:rPr>
        <w:t>122F</w:t>
      </w:r>
      <w:r>
        <w:t>.</w:t>
      </w:r>
      <w:r>
        <w:tab/>
        <w:t>Amended improvement scheme area, transitional provisions for</w:t>
      </w:r>
      <w:bookmarkEnd w:id="151"/>
    </w:p>
    <w:p>
      <w:pPr>
        <w:pStyle w:val="Subsection"/>
        <w:spacing w:before="120"/>
      </w:pPr>
      <w:r>
        <w:tab/>
      </w:r>
      <w:r>
        <w:tab/>
        <w:t>If land is added to or removed from an improvement scheme area by amendment to the improvement scheme, regulations may make provisions of a transitional nature that are expedient to be made, including provisions that save rights existing at the time of the amendment, but subject to any provisions of the improvement scheme relating to non</w:t>
      </w:r>
      <w:r>
        <w:noBreakHyphen/>
        <w:t>conforming uses.</w:t>
      </w:r>
    </w:p>
    <w:p>
      <w:pPr>
        <w:pStyle w:val="Footnotesection"/>
      </w:pPr>
      <w:r>
        <w:tab/>
        <w:t xml:space="preserve">[Section 122F inserted: No. 28 of 2010 s. 11.] </w:t>
      </w:r>
    </w:p>
    <w:p>
      <w:pPr>
        <w:pStyle w:val="Heading5"/>
        <w:spacing w:before="180"/>
      </w:pPr>
      <w:bookmarkStart w:id="152" w:name="_Toc199322400"/>
      <w:r>
        <w:rPr>
          <w:rStyle w:val="CharSectno"/>
        </w:rPr>
        <w:t>122G</w:t>
      </w:r>
      <w:r>
        <w:t>.</w:t>
      </w:r>
      <w:r>
        <w:tab/>
        <w:t>Applications for development pending when land removed or improvement scheme repealed</w:t>
      </w:r>
      <w:bookmarkEnd w:id="152"/>
    </w:p>
    <w:p>
      <w:pPr>
        <w:pStyle w:val="Subsection"/>
        <w:spacing w:before="120"/>
      </w:pPr>
      <w:r>
        <w:tab/>
        <w:t>(1)</w:t>
      </w:r>
      <w:r>
        <w:tab/>
        <w:t xml:space="preserve">This section applies if — </w:t>
      </w:r>
    </w:p>
    <w:p>
      <w:pPr>
        <w:pStyle w:val="Indenta"/>
      </w:pPr>
      <w:r>
        <w:tab/>
        <w:t>(a)</w:t>
      </w:r>
      <w:r>
        <w:tab/>
        <w:t xml:space="preserve">when land is removed from an improvement scheme area by an amendment to an improvement scheme (the </w:t>
      </w:r>
      <w:r>
        <w:rPr>
          <w:rStyle w:val="CharDefText"/>
        </w:rPr>
        <w:t>removed land</w:t>
      </w:r>
      <w:r>
        <w:t>); or</w:t>
      </w:r>
    </w:p>
    <w:p>
      <w:pPr>
        <w:pStyle w:val="Indenta"/>
      </w:pPr>
      <w:r>
        <w:tab/>
        <w:t>(b)</w:t>
      </w:r>
      <w:r>
        <w:tab/>
        <w:t>when an improvement scheme is repealed,</w:t>
      </w:r>
    </w:p>
    <w:p>
      <w:pPr>
        <w:pStyle w:val="Subsection"/>
        <w:spacing w:before="120"/>
      </w:pPr>
      <w:r>
        <w:tab/>
      </w:r>
      <w:r>
        <w:tab/>
        <w:t xml:space="preserve">an application for approval of development of any of the removed land or of any part of the improvement scheme area under the repealed improvement scheme made under this Act to the Commission — </w:t>
      </w:r>
    </w:p>
    <w:p>
      <w:pPr>
        <w:pStyle w:val="Indenta"/>
      </w:pPr>
      <w:r>
        <w:tab/>
        <w:t>(c)</w:t>
      </w:r>
      <w:r>
        <w:tab/>
        <w:t>has not been determined by the Commission; or</w:t>
      </w:r>
    </w:p>
    <w:p>
      <w:pPr>
        <w:pStyle w:val="Indenta"/>
      </w:pPr>
      <w:r>
        <w:tab/>
        <w:t>(d)</w:t>
      </w:r>
      <w:r>
        <w:tab/>
        <w:t>having been so determined, is the subject of an application to the State Administrative Tribunal for a review that has not been finalised.</w:t>
      </w:r>
    </w:p>
    <w:p>
      <w:pPr>
        <w:pStyle w:val="Subsection"/>
        <w:spacing w:before="120"/>
      </w:pPr>
      <w:r>
        <w:tab/>
        <w:t>(2)</w:t>
      </w:r>
      <w:r>
        <w:tab/>
        <w:t xml:space="preserve">This Act continues to apply, and the Commission must continue to perform its functions, in relation to the application for approval and any application for review as if the land had not </w:t>
      </w:r>
      <w:r>
        <w:lastRenderedPageBreak/>
        <w:t>been removed or the scheme had not been repealed, as the case requires.</w:t>
      </w:r>
    </w:p>
    <w:p>
      <w:pPr>
        <w:pStyle w:val="Subsection"/>
        <w:spacing w:before="120"/>
      </w:pPr>
      <w:r>
        <w:tab/>
        <w:t>(3)</w:t>
      </w:r>
      <w:r>
        <w:tab/>
        <w:t>This section applies irrespective of whether or not another planning scheme applies to the land after the land is removed or the improvement scheme is repealed.</w:t>
      </w:r>
    </w:p>
    <w:p>
      <w:pPr>
        <w:pStyle w:val="Footnotesection"/>
        <w:spacing w:before="80"/>
        <w:ind w:left="890" w:hanging="890"/>
      </w:pPr>
      <w:r>
        <w:tab/>
        <w:t xml:space="preserve">[Section 122G inserted: No. 28 of 2010 s. 11.] </w:t>
      </w:r>
    </w:p>
    <w:p>
      <w:pPr>
        <w:pStyle w:val="Heading5"/>
      </w:pPr>
      <w:bookmarkStart w:id="153" w:name="_Toc199322401"/>
      <w:r>
        <w:rPr>
          <w:rStyle w:val="CharSectno"/>
        </w:rPr>
        <w:t>122H</w:t>
      </w:r>
      <w:r>
        <w:t>.</w:t>
      </w:r>
      <w:r>
        <w:tab/>
        <w:t>Permanently closing street in improvement scheme area</w:t>
      </w:r>
      <w:bookmarkEnd w:id="153"/>
    </w:p>
    <w:p>
      <w:pPr>
        <w:pStyle w:val="Subsection"/>
      </w:pPr>
      <w:r>
        <w:tab/>
      </w:r>
      <w:r>
        <w:tab/>
        <w:t xml:space="preserve">For the purposes of permanently closing a street in an improvement scheme area, the </w:t>
      </w:r>
      <w:r>
        <w:rPr>
          <w:i/>
          <w:iCs/>
        </w:rPr>
        <w:t>Land Administration Act 1997</w:t>
      </w:r>
      <w:r>
        <w:t xml:space="preserve"> section 58 and regulations made under that Act apply as if each reference to a local government in that section and in those regulations — </w:t>
      </w:r>
    </w:p>
    <w:p>
      <w:pPr>
        <w:pStyle w:val="Indenta"/>
      </w:pPr>
      <w:r>
        <w:tab/>
        <w:t>(a)</w:t>
      </w:r>
      <w:r>
        <w:tab/>
        <w:t>were a reference to the Commission; and</w:t>
      </w:r>
    </w:p>
    <w:p>
      <w:pPr>
        <w:pStyle w:val="Indenta"/>
      </w:pPr>
      <w:r>
        <w:tab/>
        <w:t>(b)</w:t>
      </w:r>
      <w:r>
        <w:tab/>
        <w:t>were not a reference to the local government of the district in which the street is wholly or partly situated.</w:t>
      </w:r>
    </w:p>
    <w:p>
      <w:pPr>
        <w:pStyle w:val="Footnotesection"/>
      </w:pPr>
      <w:r>
        <w:tab/>
        <w:t xml:space="preserve">[Section 122H inserted: No. 28 of 2010 s. 11.] </w:t>
      </w:r>
    </w:p>
    <w:p>
      <w:pPr>
        <w:pStyle w:val="Heading5"/>
        <w:spacing w:before="180"/>
      </w:pPr>
      <w:bookmarkStart w:id="154" w:name="_Toc199322402"/>
      <w:r>
        <w:rPr>
          <w:rStyle w:val="CharSectno"/>
        </w:rPr>
        <w:t>122I</w:t>
      </w:r>
      <w:r>
        <w:t>.</w:t>
      </w:r>
      <w:r>
        <w:tab/>
        <w:t>Some planning schemes have no force while improvement scheme in force</w:t>
      </w:r>
      <w:bookmarkEnd w:id="154"/>
    </w:p>
    <w:p>
      <w:pPr>
        <w:pStyle w:val="Subsection"/>
      </w:pPr>
      <w:r>
        <w:tab/>
        <w:t>(1)</w:t>
      </w:r>
      <w:r>
        <w:tab/>
        <w:t>A local or region planning scheme, or an amendment to a local or region planning scheme, made after an improvement scheme has effect, insofar as it purports to apply to land in an improvement scheme area, has no effect while the improvement scheme applies to the land.</w:t>
      </w:r>
    </w:p>
    <w:p>
      <w:pPr>
        <w:pStyle w:val="Subsection"/>
      </w:pPr>
      <w:r>
        <w:tab/>
        <w:t>(2)</w:t>
      </w:r>
      <w:r>
        <w:tab/>
        <w:t>Subject to subsection (1) and without limiting sections 122J to 122L, this Division does not prevent a local or region planning scheme or amendment referred to in that subsection being made after an improvement scheme has effect so as to commence when the improvement scheme ceases to apply to the land.</w:t>
      </w:r>
    </w:p>
    <w:p>
      <w:pPr>
        <w:pStyle w:val="Footnotesection"/>
      </w:pPr>
      <w:r>
        <w:tab/>
        <w:t xml:space="preserve">[Section 122I inserted: No. 28 of 2010 s. 11.] </w:t>
      </w:r>
    </w:p>
    <w:p>
      <w:pPr>
        <w:pStyle w:val="Heading5"/>
        <w:spacing w:before="180"/>
      </w:pPr>
      <w:bookmarkStart w:id="155" w:name="_Toc199322403"/>
      <w:r>
        <w:rPr>
          <w:rStyle w:val="CharSectno"/>
        </w:rPr>
        <w:lastRenderedPageBreak/>
        <w:t>122J</w:t>
      </w:r>
      <w:r>
        <w:t>.</w:t>
      </w:r>
      <w:r>
        <w:tab/>
        <w:t>Minister may amend local planning scheme to conform with improvement scheme</w:t>
      </w:r>
      <w:bookmarkEnd w:id="155"/>
    </w:p>
    <w:p>
      <w:pPr>
        <w:pStyle w:val="Subsection"/>
      </w:pPr>
      <w:r>
        <w:tab/>
        <w:t>(1)</w:t>
      </w:r>
      <w:r>
        <w:tab/>
        <w:t xml:space="preserve">The Minister may, while an improvement scheme is of effect, publish in the </w:t>
      </w:r>
      <w:r>
        <w:rPr>
          <w:i/>
          <w:iCs/>
        </w:rPr>
        <w:t>Gazette</w:t>
      </w:r>
      <w:r>
        <w:t xml:space="preserve"> a notice amending a local planning scheme so that the local planning scheme is consistent with the improvement scheme in relation to land in the improvement scheme area.</w:t>
      </w:r>
    </w:p>
    <w:p>
      <w:pPr>
        <w:pStyle w:val="Subsection"/>
      </w:pPr>
      <w:r>
        <w:tab/>
        <w:t>(2)</w:t>
      </w:r>
      <w:r>
        <w:tab/>
        <w:t>An amendment published under subsection (1) has effect, by force of this subsection and without further action under this Act, on the day on which the improvement scheme ceases to apply to the land.</w:t>
      </w:r>
    </w:p>
    <w:p>
      <w:pPr>
        <w:pStyle w:val="Footnotesection"/>
      </w:pPr>
      <w:r>
        <w:tab/>
        <w:t xml:space="preserve">[Section 122J inserted: No. 28 of 2010 s. 11.] </w:t>
      </w:r>
    </w:p>
    <w:p>
      <w:pPr>
        <w:pStyle w:val="Heading5"/>
      </w:pPr>
      <w:bookmarkStart w:id="156" w:name="_Toc199322404"/>
      <w:r>
        <w:rPr>
          <w:rStyle w:val="CharSectno"/>
        </w:rPr>
        <w:t>122K</w:t>
      </w:r>
      <w:r>
        <w:t>.</w:t>
      </w:r>
      <w:r>
        <w:tab/>
        <w:t>Region planning scheme may be amended to conform with improvement scheme</w:t>
      </w:r>
      <w:bookmarkEnd w:id="156"/>
    </w:p>
    <w:p>
      <w:pPr>
        <w:pStyle w:val="Subsection"/>
      </w:pPr>
      <w:r>
        <w:tab/>
        <w:t>(1)</w:t>
      </w:r>
      <w:r>
        <w:tab/>
        <w:t>A region planning scheme may be amended under Part 4 Division 4 while an improvement scheme is of effect so that the region planning scheme is consistent with the improvement scheme in relation to land in the improvement scheme area.</w:t>
      </w:r>
    </w:p>
    <w:p>
      <w:pPr>
        <w:pStyle w:val="Subsection"/>
      </w:pPr>
      <w:r>
        <w:tab/>
        <w:t>(2)</w:t>
      </w:r>
      <w:r>
        <w:tab/>
        <w:t>An amendment referred to in subsection (1) has effect on the day on which the improvement scheme ceases to apply to the land.</w:t>
      </w:r>
    </w:p>
    <w:p>
      <w:pPr>
        <w:pStyle w:val="Footnotesection"/>
      </w:pPr>
      <w:r>
        <w:tab/>
        <w:t xml:space="preserve">[Section 122K inserted: No. 28 of 2010 s. 11.] </w:t>
      </w:r>
    </w:p>
    <w:p>
      <w:pPr>
        <w:pStyle w:val="Heading5"/>
      </w:pPr>
      <w:bookmarkStart w:id="157" w:name="_Toc199322405"/>
      <w:r>
        <w:rPr>
          <w:rStyle w:val="CharSectno"/>
        </w:rPr>
        <w:t>122L</w:t>
      </w:r>
      <w:r>
        <w:t>.</w:t>
      </w:r>
      <w:r>
        <w:tab/>
        <w:t>Minister has s. 211 and 212 powers for improvement scheme</w:t>
      </w:r>
      <w:bookmarkEnd w:id="157"/>
    </w:p>
    <w:p>
      <w:pPr>
        <w:pStyle w:val="Subsection"/>
      </w:pPr>
      <w:r>
        <w:tab/>
      </w:r>
      <w:r>
        <w:tab/>
        <w:t xml:space="preserve">Sections 211 and 212 apply in relation to an improvement scheme as if, in each of those sections — </w:t>
      </w:r>
    </w:p>
    <w:p>
      <w:pPr>
        <w:pStyle w:val="Indenta"/>
      </w:pPr>
      <w:r>
        <w:tab/>
        <w:t>(a)</w:t>
      </w:r>
      <w:r>
        <w:tab/>
        <w:t>a reference to a local planning scheme were a reference to the improvement scheme; and</w:t>
      </w:r>
    </w:p>
    <w:p>
      <w:pPr>
        <w:pStyle w:val="Indenta"/>
      </w:pPr>
      <w:r>
        <w:tab/>
        <w:t>(b)</w:t>
      </w:r>
      <w:r>
        <w:tab/>
        <w:t>a reference to a local government were a reference to the Commission.</w:t>
      </w:r>
    </w:p>
    <w:p>
      <w:pPr>
        <w:pStyle w:val="Footnotesection"/>
      </w:pPr>
      <w:r>
        <w:tab/>
        <w:t xml:space="preserve">[Section 122L inserted: No. 28 of 2010 s. 11.] </w:t>
      </w:r>
    </w:p>
    <w:p>
      <w:pPr>
        <w:pStyle w:val="Heading5"/>
      </w:pPr>
      <w:bookmarkStart w:id="158" w:name="_Toc199322406"/>
      <w:r>
        <w:rPr>
          <w:rStyle w:val="CharSectno"/>
        </w:rPr>
        <w:lastRenderedPageBreak/>
        <w:t>122M</w:t>
      </w:r>
      <w:r>
        <w:t>.</w:t>
      </w:r>
      <w:r>
        <w:tab/>
        <w:t>Fees for planning matters under improvement scheme, Commission may impose</w:t>
      </w:r>
      <w:bookmarkEnd w:id="158"/>
    </w:p>
    <w:p>
      <w:pPr>
        <w:pStyle w:val="Subsection"/>
      </w:pPr>
      <w:r>
        <w:tab/>
      </w:r>
      <w:r>
        <w:tab/>
        <w:t>The Commission may, in relation to an improvement scheme, impose fees under section 261 as if it were a local government, and that section, and the regulations made under that section, apply accordingly.</w:t>
      </w:r>
    </w:p>
    <w:p>
      <w:pPr>
        <w:pStyle w:val="Footnotesection"/>
      </w:pPr>
      <w:r>
        <w:tab/>
        <w:t xml:space="preserve">[Section 122M inserted: No. 28 of 2010 s. 11.] </w:t>
      </w:r>
    </w:p>
    <w:p>
      <w:pPr>
        <w:pStyle w:val="Heading3"/>
      </w:pPr>
      <w:bookmarkStart w:id="159" w:name="_Toc199322407"/>
      <w:r>
        <w:rPr>
          <w:rStyle w:val="CharDivNo"/>
        </w:rPr>
        <w:t>Division 3</w:t>
      </w:r>
      <w:r>
        <w:t> — </w:t>
      </w:r>
      <w:r>
        <w:rPr>
          <w:rStyle w:val="CharDivText"/>
        </w:rPr>
        <w:t>General</w:t>
      </w:r>
      <w:bookmarkEnd w:id="159"/>
    </w:p>
    <w:p>
      <w:pPr>
        <w:pStyle w:val="Footnoteheading"/>
      </w:pPr>
      <w:r>
        <w:tab/>
        <w:t>[Heading inserted: No. 28 of 2010 s. 12.]</w:t>
      </w:r>
    </w:p>
    <w:p>
      <w:pPr>
        <w:pStyle w:val="Heading5"/>
      </w:pPr>
      <w:bookmarkStart w:id="160" w:name="_Toc199322408"/>
      <w:r>
        <w:rPr>
          <w:rStyle w:val="CharSectno"/>
        </w:rPr>
        <w:t>122</w:t>
      </w:r>
      <w:r>
        <w:t>.</w:t>
      </w:r>
      <w:r>
        <w:tab/>
        <w:t>This Part does not derogate from other powers</w:t>
      </w:r>
      <w:bookmarkEnd w:id="160"/>
    </w:p>
    <w:p>
      <w:pPr>
        <w:pStyle w:val="Subsection"/>
      </w:pPr>
      <w:r>
        <w:tab/>
      </w:r>
      <w:r>
        <w:tab/>
        <w:t>Except as provided in Division 2, nothing in this Part is to be construed as taking away or in any way derogating from or diminishing any power otherwise conferred by this or any other Act upon the Commission or any other authority, body or person.</w:t>
      </w:r>
    </w:p>
    <w:p>
      <w:pPr>
        <w:pStyle w:val="Footnotesection"/>
      </w:pPr>
      <w:r>
        <w:tab/>
        <w:t xml:space="preserve">[Section 122 amended: No. 28 of 2010 s. 13.] </w:t>
      </w:r>
    </w:p>
    <w:p>
      <w:pPr>
        <w:pStyle w:val="Heading2"/>
      </w:pPr>
      <w:bookmarkStart w:id="161" w:name="_Toc199322409"/>
      <w:r>
        <w:rPr>
          <w:rStyle w:val="CharPartNo"/>
        </w:rPr>
        <w:lastRenderedPageBreak/>
        <w:t>Part 9</w:t>
      </w:r>
      <w:r>
        <w:rPr>
          <w:rStyle w:val="CharDivNo"/>
        </w:rPr>
        <w:t> </w:t>
      </w:r>
      <w:r>
        <w:t>—</w:t>
      </w:r>
      <w:r>
        <w:rPr>
          <w:rStyle w:val="CharDivText"/>
        </w:rPr>
        <w:t> </w:t>
      </w:r>
      <w:r>
        <w:rPr>
          <w:rStyle w:val="CharPartText"/>
        </w:rPr>
        <w:t>Relationship between planning schemes, planning control provisions and written laws</w:t>
      </w:r>
      <w:bookmarkEnd w:id="161"/>
    </w:p>
    <w:p>
      <w:pPr>
        <w:pStyle w:val="Footnoteheading"/>
      </w:pPr>
      <w:r>
        <w:tab/>
        <w:t>[Heading inserted: No. 28 of 2010 s. 14.]</w:t>
      </w:r>
    </w:p>
    <w:p>
      <w:pPr>
        <w:pStyle w:val="Heading5"/>
      </w:pPr>
      <w:bookmarkStart w:id="162" w:name="_Toc199322410"/>
      <w:r>
        <w:rPr>
          <w:rStyle w:val="CharSectno"/>
        </w:rPr>
        <w:t>123</w:t>
      </w:r>
      <w:r>
        <w:t>.</w:t>
      </w:r>
      <w:r>
        <w:tab/>
        <w:t>Local planning scheme or local law to be consistent with region planning scheme or Swan Valley Planning Scheme</w:t>
      </w:r>
      <w:bookmarkEnd w:id="162"/>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or the Swan Valley Planning Scheme are not to be made by a local government unless the provisions of the local laws are in accordance with and consistent with each relevant region planning scheme or (if relevant) the Swan Valley Planning Scheme.</w:t>
      </w:r>
    </w:p>
    <w:p>
      <w:pPr>
        <w:pStyle w:val="Footnotesection"/>
      </w:pPr>
      <w:r>
        <w:tab/>
        <w:t>[Section 123 amended: No. 45 of 2020 s. 74.]</w:t>
      </w:r>
    </w:p>
    <w:p>
      <w:pPr>
        <w:pStyle w:val="Heading5"/>
      </w:pPr>
      <w:bookmarkStart w:id="163" w:name="_Toc199322411"/>
      <w:r>
        <w:rPr>
          <w:rStyle w:val="CharSectno"/>
        </w:rPr>
        <w:t>124</w:t>
      </w:r>
      <w:r>
        <w:t>.</w:t>
      </w:r>
      <w:r>
        <w:tab/>
        <w:t>Effect of region planning scheme on local planning scheme</w:t>
      </w:r>
      <w:bookmarkEnd w:id="163"/>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keepNext/>
      </w:pPr>
      <w:r>
        <w:lastRenderedPageBreak/>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Footnotesection"/>
      </w:pPr>
      <w:r>
        <w:tab/>
        <w:t>[Section 124 amended: No. 26 of 2020 s. 50.]</w:t>
      </w:r>
    </w:p>
    <w:p>
      <w:pPr>
        <w:pStyle w:val="Heading5"/>
      </w:pPr>
      <w:bookmarkStart w:id="164" w:name="_Toc199322412"/>
      <w:r>
        <w:rPr>
          <w:rStyle w:val="CharSectno"/>
        </w:rPr>
        <w:lastRenderedPageBreak/>
        <w:t>125</w:t>
      </w:r>
      <w:r>
        <w:t>.</w:t>
      </w:r>
      <w:r>
        <w:tab/>
        <w:t>Minister may direct local government to amend local planning scheme to be consistent with region planning scheme etc.</w:t>
      </w:r>
      <w:bookmarkEnd w:id="164"/>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 and</w:t>
      </w:r>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the advertisement of the relevant region planning scheme or amendment under regulations made for the purposes of section 43.</w:t>
      </w:r>
    </w:p>
    <w:p>
      <w:pPr>
        <w:pStyle w:val="Footnotesection"/>
      </w:pPr>
      <w:r>
        <w:tab/>
        <w:t>[Section 125 amended: No. 26 of 2020 s. 51.]</w:t>
      </w:r>
    </w:p>
    <w:p>
      <w:pPr>
        <w:pStyle w:val="Heading5"/>
      </w:pPr>
      <w:bookmarkStart w:id="165" w:name="_Toc199322413"/>
      <w:r>
        <w:rPr>
          <w:rStyle w:val="CharSectno"/>
        </w:rPr>
        <w:t>126</w:t>
      </w:r>
      <w:r>
        <w:t>.</w:t>
      </w:r>
      <w:r>
        <w:tab/>
        <w:t>Local planning scheme, amendment of due to region planning scheme</w:t>
      </w:r>
      <w:bookmarkEnd w:id="165"/>
    </w:p>
    <w:p>
      <w:pPr>
        <w:pStyle w:val="Subsection"/>
      </w:pPr>
      <w:r>
        <w:tab/>
        <w:t>(1)</w:t>
      </w:r>
      <w:r>
        <w:tab/>
        <w:t xml:space="preserve">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w:t>
      </w:r>
      <w:r>
        <w:lastRenderedPageBreak/>
        <w:t>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r>
        <w:tab/>
        <w:t>(3)</w:t>
      </w:r>
      <w:r>
        <w:tab/>
        <w:t xml:space="preserve">If a region planning scheme delineates, or it is proposed that a region planning scheme delineate, land comprised in a local planning scheme as land in an Urban zone, the Commission may publish in the </w:t>
      </w:r>
      <w:r>
        <w:rPr>
          <w:i/>
          <w:iCs/>
        </w:rPr>
        <w:t>Gazette</w:t>
      </w:r>
      <w:r>
        <w:t xml:space="preserve"> a notice amending the local planning scheme, insofar as it operates in relation to that land, so that the land is zoned in the local planning scheme in a manner that is consistent with the objectives of the delineation or proposed delineation under the region planning scheme.</w:t>
      </w:r>
    </w:p>
    <w:p>
      <w:pPr>
        <w:pStyle w:val="Subsection"/>
      </w:pPr>
      <w:r>
        <w:tab/>
        <w:t>(4)</w:t>
      </w:r>
      <w:r>
        <w:tab/>
        <w:t>The Commission must not publish a notice under subsection (3) amending a local planning scheme until the local government that made or adopted the scheme has been consulted.</w:t>
      </w:r>
    </w:p>
    <w:p>
      <w:pPr>
        <w:pStyle w:val="Subsection"/>
      </w:pPr>
      <w:r>
        <w:tab/>
        <w:t>(5)</w:t>
      </w:r>
      <w:r>
        <w:tab/>
        <w:t xml:space="preserve">An amendment in a notice published under subsection (3) takes effect — </w:t>
      </w:r>
    </w:p>
    <w:p>
      <w:pPr>
        <w:pStyle w:val="Indenta"/>
      </w:pPr>
      <w:r>
        <w:tab/>
        <w:t>(a)</w:t>
      </w:r>
      <w:r>
        <w:tab/>
        <w:t>if the relevant region planning scheme is in operation on the day on which the notice is published under subsection (3) — on that day;</w:t>
      </w:r>
    </w:p>
    <w:p>
      <w:pPr>
        <w:pStyle w:val="Indenta"/>
      </w:pPr>
      <w:r>
        <w:tab/>
        <w:t>(b)</w:t>
      </w:r>
      <w:r>
        <w:tab/>
        <w:t>otherwise — on the day on which the relevant region planning scheme comes into operation.</w:t>
      </w:r>
    </w:p>
    <w:p>
      <w:pPr>
        <w:pStyle w:val="Subsection"/>
      </w:pPr>
      <w:r>
        <w:tab/>
        <w:t>(6)</w:t>
      </w:r>
      <w:r>
        <w:tab/>
        <w:t>When an amendment to a local planning scheme takes effect under subsection (5), the local planning scheme is, by force of this subsection and without further action under this Act, amended as set out in the notice.</w:t>
      </w:r>
    </w:p>
    <w:p>
      <w:pPr>
        <w:pStyle w:val="Footnotesection"/>
      </w:pPr>
      <w:r>
        <w:tab/>
        <w:t xml:space="preserve">[Section 126 amended: No. 28 of 2010 s. 60.] </w:t>
      </w:r>
    </w:p>
    <w:p>
      <w:pPr>
        <w:pStyle w:val="Heading5"/>
      </w:pPr>
      <w:bookmarkStart w:id="166" w:name="_Toc199322414"/>
      <w:r>
        <w:rPr>
          <w:rStyle w:val="CharSectno"/>
        </w:rPr>
        <w:lastRenderedPageBreak/>
        <w:t>127</w:t>
      </w:r>
      <w:r>
        <w:t>.</w:t>
      </w:r>
      <w:r>
        <w:tab/>
        <w:t>Minister may direct local government to modify proposed scheme or amendment to be consistent with region planning scheme</w:t>
      </w:r>
      <w:bookmarkEnd w:id="166"/>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keepNext/>
      </w:pPr>
      <w:r>
        <w:tab/>
        <w:t>(ii)</w:t>
      </w:r>
      <w:r>
        <w:tab/>
        <w:t>will not impede the implementation of the region planning scheme;</w:t>
      </w:r>
    </w:p>
    <w:p>
      <w:pPr>
        <w:pStyle w:val="Indenta"/>
      </w:pPr>
      <w:r>
        <w:tab/>
      </w:r>
      <w:r>
        <w:tab/>
        <w:t>and</w:t>
      </w:r>
    </w:p>
    <w:p>
      <w:pPr>
        <w:pStyle w:val="Indenta"/>
      </w:pPr>
      <w:r>
        <w:tab/>
        <w:t>(b)</w:t>
      </w:r>
      <w:r>
        <w:tab/>
        <w:t>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Footnotesection"/>
      </w:pPr>
      <w:r>
        <w:tab/>
        <w:t>[Section 127 amended: No. 8 of 2009 s. 100(3).]</w:t>
      </w:r>
    </w:p>
    <w:p>
      <w:pPr>
        <w:pStyle w:val="Heading5"/>
      </w:pPr>
      <w:bookmarkStart w:id="167" w:name="_Toc199322415"/>
      <w:r>
        <w:rPr>
          <w:rStyle w:val="CharSectno"/>
        </w:rPr>
        <w:t>128</w:t>
      </w:r>
      <w:r>
        <w:t>.</w:t>
      </w:r>
      <w:r>
        <w:tab/>
        <w:t>Breach of s. 124(2), 125 or 127(2), Minister’s powers in case of</w:t>
      </w:r>
      <w:bookmarkEnd w:id="167"/>
    </w:p>
    <w:p>
      <w:pPr>
        <w:pStyle w:val="Subsection"/>
      </w:pPr>
      <w:r>
        <w:tab/>
        <w:t>(1)</w:t>
      </w:r>
      <w:r>
        <w:tab/>
        <w:t xml:space="preserve">If a local government does not comply with — </w:t>
      </w:r>
    </w:p>
    <w:p>
      <w:pPr>
        <w:pStyle w:val="Indenta"/>
      </w:pPr>
      <w:r>
        <w:tab/>
        <w:t>(a)</w:t>
      </w:r>
      <w:r>
        <w:tab/>
        <w:t>section 124(2); or</w:t>
      </w:r>
    </w:p>
    <w:p>
      <w:pPr>
        <w:pStyle w:val="Indenta"/>
      </w:pPr>
      <w:r>
        <w:tab/>
        <w:t>(b)</w:t>
      </w:r>
      <w:r>
        <w:tab/>
        <w:t>section 125; or</w:t>
      </w:r>
    </w:p>
    <w:p>
      <w:pPr>
        <w:pStyle w:val="Indenta"/>
        <w:keepNext/>
      </w:pPr>
      <w:r>
        <w:lastRenderedPageBreak/>
        <w:tab/>
        <w:t>(c)</w:t>
      </w:r>
      <w:r>
        <w:tab/>
        <w:t>not later than 60 days after the giving of the direction concerned, section 127(2),</w:t>
      </w:r>
    </w:p>
    <w:p>
      <w:pPr>
        <w:pStyle w:val="Subsection"/>
        <w:keepNext/>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keepLines/>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168" w:name="_Toc199322416"/>
      <w:r>
        <w:rPr>
          <w:rStyle w:val="CharSectno"/>
        </w:rPr>
        <w:lastRenderedPageBreak/>
        <w:t>129</w:t>
      </w:r>
      <w:r>
        <w:t>.</w:t>
      </w:r>
      <w:r>
        <w:tab/>
        <w:t>Inconsistency between interim development order and local planning scheme or local law, effect of</w:t>
      </w:r>
      <w:bookmarkEnd w:id="168"/>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w:t>
      </w:r>
      <w:r>
        <w:rPr>
          <w:i/>
          <w:iCs/>
        </w:rPr>
        <w:t>1960</w:t>
      </w:r>
      <w:r>
        <w:t>;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Footnotesection"/>
      </w:pPr>
      <w:r>
        <w:tab/>
        <w:t>[Section 129 amended: No. 24 of 2011 s. 168(2).]</w:t>
      </w:r>
    </w:p>
    <w:p>
      <w:pPr>
        <w:pStyle w:val="Heading5"/>
      </w:pPr>
      <w:bookmarkStart w:id="169" w:name="_Toc199322417"/>
      <w:r>
        <w:rPr>
          <w:rStyle w:val="CharSectno"/>
        </w:rPr>
        <w:t>130</w:t>
      </w:r>
      <w:r>
        <w:t>.</w:t>
      </w:r>
      <w:r>
        <w:tab/>
        <w:t>Planning control area provisions (Part 7) prevail</w:t>
      </w:r>
      <w:bookmarkEnd w:id="169"/>
    </w:p>
    <w:p>
      <w:pPr>
        <w:pStyle w:val="Subsection"/>
      </w:pPr>
      <w:r>
        <w:tab/>
      </w:r>
      <w:r>
        <w:tab/>
        <w:t xml:space="preserve">The provisions of Part 7 prevail over — </w:t>
      </w:r>
    </w:p>
    <w:p>
      <w:pPr>
        <w:pStyle w:val="Indenta"/>
      </w:pPr>
      <w:r>
        <w:tab/>
        <w:t>(a)</w:t>
      </w:r>
      <w:r>
        <w:tab/>
        <w:t>every other provision of this Act; and</w:t>
      </w:r>
    </w:p>
    <w:p>
      <w:pPr>
        <w:pStyle w:val="Indenta"/>
      </w:pPr>
      <w:r>
        <w:tab/>
        <w:t>(b)</w:t>
      </w:r>
      <w:r>
        <w:tab/>
        <w:t>any region planning scheme; and</w:t>
      </w:r>
    </w:p>
    <w:p>
      <w:pPr>
        <w:pStyle w:val="Indenta"/>
      </w:pPr>
      <w:r>
        <w:tab/>
        <w:t>(c)</w:t>
      </w:r>
      <w:r>
        <w:tab/>
        <w:t>any local planning scheme; and</w:t>
      </w:r>
    </w:p>
    <w:p>
      <w:pPr>
        <w:pStyle w:val="Indenta"/>
        <w:keepNext/>
      </w:pPr>
      <w:r>
        <w:lastRenderedPageBreak/>
        <w:tab/>
        <w:t>(d)</w:t>
      </w:r>
      <w:r>
        <w:tab/>
        <w:t>the Swan Valley Planning Scheme,</w:t>
      </w:r>
    </w:p>
    <w:p>
      <w:pPr>
        <w:pStyle w:val="Subsection"/>
        <w:keepNext/>
      </w:pPr>
      <w:r>
        <w:tab/>
      </w:r>
      <w:r>
        <w:tab/>
        <w:t>to the extent of any inconsistency with those provisions and schemes.</w:t>
      </w:r>
    </w:p>
    <w:p>
      <w:pPr>
        <w:pStyle w:val="Footnotesection"/>
      </w:pPr>
      <w:r>
        <w:tab/>
        <w:t>[Section 130 amended: No. 45 of 2020 s. 75.]</w:t>
      </w:r>
    </w:p>
    <w:p>
      <w:pPr>
        <w:pStyle w:val="Heading5"/>
        <w:spacing w:before="180"/>
      </w:pPr>
      <w:bookmarkStart w:id="170" w:name="_Toc199322418"/>
      <w:r>
        <w:rPr>
          <w:rStyle w:val="CharSectno"/>
        </w:rPr>
        <w:t>131</w:t>
      </w:r>
      <w:r>
        <w:t>.</w:t>
      </w:r>
      <w:r>
        <w:tab/>
      </w:r>
      <w:r>
        <w:rPr>
          <w:bCs/>
        </w:rPr>
        <w:t>Building standards etc. prevail</w:t>
      </w:r>
      <w:bookmarkEnd w:id="170"/>
    </w:p>
    <w:p>
      <w:pPr>
        <w:pStyle w:val="Subsection"/>
      </w:pPr>
      <w:r>
        <w:tab/>
        <w:t>(1)</w:t>
      </w:r>
      <w:r>
        <w:tab/>
        <w:t xml:space="preserve">If there is any inconsistency between a local planning scheme or the Swan Valley Planning Scheme and a regulation made under the </w:t>
      </w:r>
      <w:r>
        <w:rPr>
          <w:i/>
          <w:iCs/>
        </w:rPr>
        <w:t>Building Act 2011</w:t>
      </w:r>
      <w:r>
        <w:t>, the regulation prevails to the extent of the inconsistency.</w:t>
      </w:r>
    </w:p>
    <w:p>
      <w:pPr>
        <w:pStyle w:val="Subsection"/>
      </w:pPr>
      <w:r>
        <w:tab/>
        <w:t>(2)</w:t>
      </w:r>
      <w:r>
        <w:tab/>
        <w:t xml:space="preserve">In the exercise of any power conferred on it by a local planning scheme a local government is obliged to have regard to any regulations made under the </w:t>
      </w:r>
      <w:r>
        <w:rPr>
          <w:i/>
          <w:iCs/>
        </w:rPr>
        <w:t>Building Act 2011</w:t>
      </w:r>
      <w:r>
        <w:t>.</w:t>
      </w:r>
    </w:p>
    <w:p>
      <w:pPr>
        <w:pStyle w:val="Subsection"/>
      </w:pPr>
      <w:r>
        <w:tab/>
        <w:t>(3)</w:t>
      </w:r>
      <w:r>
        <w:tab/>
        <w:t xml:space="preserve">In the exercise of any power conferred on it by the Swan Valley Planning Scheme the Commission is obliged to have regard to any regulations made under the </w:t>
      </w:r>
      <w:r>
        <w:rPr>
          <w:i/>
        </w:rPr>
        <w:t>Building Act 2011</w:t>
      </w:r>
      <w:r>
        <w:t>.</w:t>
      </w:r>
    </w:p>
    <w:p>
      <w:pPr>
        <w:pStyle w:val="Footnotesection"/>
      </w:pPr>
      <w:r>
        <w:tab/>
        <w:t>[Section 131 amended: No. 24 of 2011 s. 168(3) and (4); No. 45 of 2020 s. 76.]</w:t>
      </w:r>
    </w:p>
    <w:p>
      <w:pPr>
        <w:pStyle w:val="Heading5"/>
      </w:pPr>
      <w:bookmarkStart w:id="171" w:name="_Toc199322419"/>
      <w:r>
        <w:rPr>
          <w:rStyle w:val="CharSectno"/>
        </w:rPr>
        <w:t>131A</w:t>
      </w:r>
      <w:r>
        <w:t>.</w:t>
      </w:r>
      <w:r>
        <w:tab/>
        <w:t>Relationship between Swan Valley Planning Scheme and other planning schemes or policies</w:t>
      </w:r>
      <w:bookmarkEnd w:id="171"/>
    </w:p>
    <w:p>
      <w:pPr>
        <w:pStyle w:val="Subsection"/>
      </w:pPr>
      <w:r>
        <w:tab/>
        <w:t>(1)</w:t>
      </w:r>
      <w:r>
        <w:tab/>
        <w:t xml:space="preserve">The Minister may, by notice published in the </w:t>
      </w:r>
      <w:r>
        <w:rPr>
          <w:i/>
        </w:rPr>
        <w:t>Gazette</w:t>
      </w:r>
      <w:r>
        <w:t xml:space="preserve">, make any amendments to a region planning scheme, local planning scheme or improvement scheme that are necessary as a result of the </w:t>
      </w:r>
      <w:r>
        <w:rPr>
          <w:i/>
        </w:rPr>
        <w:t xml:space="preserve">Swan Valley Planning Act 2020 </w:t>
      </w:r>
      <w:r>
        <w:t>section 9.</w:t>
      </w:r>
    </w:p>
    <w:p>
      <w:pPr>
        <w:pStyle w:val="Subsection"/>
      </w:pPr>
      <w:r>
        <w:tab/>
        <w:t>(2)</w:t>
      </w:r>
      <w:r>
        <w:tab/>
        <w:t xml:space="preserve">On and after the day on which the first Swan Valley Planning Scheme comes into operation under the </w:t>
      </w:r>
      <w:r>
        <w:rPr>
          <w:i/>
        </w:rPr>
        <w:t>Swan Valley Planning Act 2020</w:t>
      </w:r>
      <w:r>
        <w:t>, a State planning policy that applies to land in the Swan Valley has no effect to the extent that it is inconsistent with the Swan Valley Planning Scheme.</w:t>
      </w:r>
    </w:p>
    <w:p>
      <w:pPr>
        <w:pStyle w:val="Subsection"/>
      </w:pPr>
      <w:r>
        <w:tab/>
        <w:t>(3)</w:t>
      </w:r>
      <w:r>
        <w:tab/>
        <w:t xml:space="preserve">The Minister may, by notice published in the </w:t>
      </w:r>
      <w:r>
        <w:rPr>
          <w:i/>
        </w:rPr>
        <w:t>Gazette</w:t>
      </w:r>
      <w:r>
        <w:t xml:space="preserve">, amend a State planning policy so that the policy is consistent with the </w:t>
      </w:r>
      <w:r>
        <w:lastRenderedPageBreak/>
        <w:t>Swan Valley Planning Scheme in relation to land in the Swan Valley.</w:t>
      </w:r>
    </w:p>
    <w:p>
      <w:pPr>
        <w:pStyle w:val="Subsection"/>
      </w:pPr>
      <w:r>
        <w:tab/>
        <w:t>(4)</w:t>
      </w:r>
      <w:r>
        <w:tab/>
        <w:t xml:space="preserve">An amendment in a notice published under subsection (1) or (3) has effect, by force of this subsection and without further action under this Act, on the day on which it is published or a later day stated in the notice (which must not be earlier than the day on which the first Swan Valley Planning Scheme comes into operation under the </w:t>
      </w:r>
      <w:r>
        <w:rPr>
          <w:i/>
        </w:rPr>
        <w:t>Swan Valley Planning Act 2020</w:t>
      </w:r>
      <w:r>
        <w:t>).</w:t>
      </w:r>
    </w:p>
    <w:p>
      <w:pPr>
        <w:pStyle w:val="Footnotesection"/>
      </w:pPr>
      <w:r>
        <w:tab/>
        <w:t>[Section 131A inserted: No. 45 of 2020 s. 77.]</w:t>
      </w:r>
    </w:p>
    <w:p>
      <w:pPr>
        <w:pStyle w:val="Heading5"/>
        <w:spacing w:before="180"/>
      </w:pPr>
      <w:bookmarkStart w:id="172" w:name="_Toc199322420"/>
      <w:r>
        <w:rPr>
          <w:rStyle w:val="CharSectno"/>
        </w:rPr>
        <w:t>132</w:t>
      </w:r>
      <w:r>
        <w:t>.</w:t>
      </w:r>
      <w:r>
        <w:tab/>
        <w:t>Governor may modify or suspend law to enable planning scheme to have effect</w:t>
      </w:r>
      <w:bookmarkEnd w:id="172"/>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spacing w:before="120"/>
      </w:pPr>
      <w:r>
        <w:tab/>
        <w:t>(3)</w:t>
      </w:r>
      <w:r>
        <w:tab/>
        <w:t>An order under subsection (2) does not take effect unless and until it has been approved by a resolution of both Houses of Parliament.</w:t>
      </w:r>
    </w:p>
    <w:p>
      <w:pPr>
        <w:pStyle w:val="Heading2"/>
      </w:pPr>
      <w:bookmarkStart w:id="173" w:name="_Toc199322421"/>
      <w:r>
        <w:rPr>
          <w:rStyle w:val="CharPartNo"/>
        </w:rPr>
        <w:lastRenderedPageBreak/>
        <w:t>Part 10</w:t>
      </w:r>
      <w:r>
        <w:t> — </w:t>
      </w:r>
      <w:r>
        <w:rPr>
          <w:rStyle w:val="CharPartText"/>
        </w:rPr>
        <w:t>Subdivision and development control</w:t>
      </w:r>
      <w:bookmarkEnd w:id="173"/>
    </w:p>
    <w:p>
      <w:pPr>
        <w:pStyle w:val="Heading3"/>
      </w:pPr>
      <w:bookmarkStart w:id="174" w:name="_Toc199322422"/>
      <w:r>
        <w:rPr>
          <w:rStyle w:val="CharDivNo"/>
        </w:rPr>
        <w:t>Division 1</w:t>
      </w:r>
      <w:r>
        <w:t> — </w:t>
      </w:r>
      <w:r>
        <w:rPr>
          <w:rStyle w:val="CharDivText"/>
        </w:rPr>
        <w:t>Application</w:t>
      </w:r>
      <w:bookmarkEnd w:id="174"/>
    </w:p>
    <w:p>
      <w:pPr>
        <w:pStyle w:val="Heading5"/>
      </w:pPr>
      <w:bookmarkStart w:id="175" w:name="_Toc199322423"/>
      <w:r>
        <w:rPr>
          <w:rStyle w:val="CharSectno"/>
        </w:rPr>
        <w:t>133</w:t>
      </w:r>
      <w:r>
        <w:t>.</w:t>
      </w:r>
      <w:r>
        <w:tab/>
        <w:t>Application of Part to Crown land</w:t>
      </w:r>
      <w:bookmarkEnd w:id="175"/>
    </w:p>
    <w:p>
      <w:pPr>
        <w:pStyle w:val="Subsection"/>
      </w:pPr>
      <w:r>
        <w:tab/>
        <w:t>(1)</w:t>
      </w:r>
      <w:r>
        <w:tab/>
        <w:t>Except as provided in subsection (2) and section 168, this Part (other than Division 5)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Footnotesection"/>
      </w:pPr>
      <w:r>
        <w:tab/>
        <w:t xml:space="preserve">[Section 133 amended: No. 28 of 2010 s. 61.] </w:t>
      </w:r>
    </w:p>
    <w:p>
      <w:pPr>
        <w:pStyle w:val="Heading5"/>
      </w:pPr>
      <w:bookmarkStart w:id="176" w:name="_Toc199322424"/>
      <w:r>
        <w:rPr>
          <w:rStyle w:val="CharSectno"/>
        </w:rPr>
        <w:t>134</w:t>
      </w:r>
      <w:r>
        <w:t>.</w:t>
      </w:r>
      <w:r>
        <w:tab/>
        <w:t>Relationship of Part to some other laws</w:t>
      </w:r>
      <w:bookmarkEnd w:id="176"/>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rPr>
          <w:vertAlign w:val="superscript"/>
        </w:rPr>
        <w:t> 2</w:t>
      </w:r>
      <w:r>
        <w:t xml:space="preserve"> or the </w:t>
      </w:r>
      <w:r>
        <w:rPr>
          <w:i/>
        </w:rPr>
        <w:t>Mining Act 1978</w:t>
      </w:r>
      <w:r>
        <w:t xml:space="preserve"> or a portion of such a mining tenement or any shares in the mining tenement or portion; or</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Ednotesubsection"/>
        <w:keepNext/>
      </w:pPr>
      <w:r>
        <w:lastRenderedPageBreak/>
        <w:tab/>
        <w:t>[(3)</w:t>
      </w:r>
      <w:r>
        <w:noBreakHyphen/>
        <w:t>(8)</w:t>
      </w:r>
      <w:r>
        <w:tab/>
        <w:t>deleted]</w:t>
      </w:r>
    </w:p>
    <w:p>
      <w:pPr>
        <w:pStyle w:val="Footnotesection"/>
      </w:pPr>
      <w:r>
        <w:tab/>
        <w:t>[Section 134 amended: No. 7 of 2006 s. 20(3); No. 45 of 2020 s. 78.]</w:t>
      </w:r>
    </w:p>
    <w:p>
      <w:pPr>
        <w:pStyle w:val="Heading3"/>
      </w:pPr>
      <w:bookmarkStart w:id="177" w:name="_Toc199322425"/>
      <w:r>
        <w:rPr>
          <w:rStyle w:val="CharDivNo"/>
        </w:rPr>
        <w:t>Division 2</w:t>
      </w:r>
      <w:r>
        <w:t> — </w:t>
      </w:r>
      <w:r>
        <w:rPr>
          <w:rStyle w:val="CharDivText"/>
        </w:rPr>
        <w:t>Approval for subdivision and certain transactions</w:t>
      </w:r>
      <w:bookmarkEnd w:id="177"/>
    </w:p>
    <w:p>
      <w:pPr>
        <w:pStyle w:val="Heading5"/>
      </w:pPr>
      <w:bookmarkStart w:id="178" w:name="_Toc199322426"/>
      <w:r>
        <w:rPr>
          <w:rStyle w:val="CharSectno"/>
        </w:rPr>
        <w:t>135</w:t>
      </w:r>
      <w:r>
        <w:t>.</w:t>
      </w:r>
      <w:r>
        <w:tab/>
        <w:t>No subdivision etc. without approval</w:t>
      </w:r>
      <w:bookmarkEnd w:id="178"/>
    </w:p>
    <w:p>
      <w:pPr>
        <w:pStyle w:val="Subsection"/>
      </w:pPr>
      <w:r>
        <w:tab/>
        <w:t>(1)</w:t>
      </w:r>
      <w:r>
        <w:tab/>
        <w:t xml:space="preserve">A person is not to — </w:t>
      </w:r>
    </w:p>
    <w:p>
      <w:pPr>
        <w:pStyle w:val="Indenta"/>
      </w:pPr>
      <w:r>
        <w:tab/>
        <w:t>(a)</w:t>
      </w:r>
      <w:r>
        <w:tab/>
        <w:t>subdivide any lot; or</w:t>
      </w:r>
    </w:p>
    <w:p>
      <w:pPr>
        <w:pStyle w:val="Indenta"/>
      </w:pPr>
      <w:r>
        <w:tab/>
        <w:t>(b)</w:t>
      </w:r>
      <w:r>
        <w:tab/>
        <w:t>amalgamate any lot with any other lot, whether within the same district or otherwise; or</w:t>
      </w:r>
    </w:p>
    <w:p>
      <w:pPr>
        <w:pStyle w:val="Indenta"/>
        <w:keepNext/>
      </w:pPr>
      <w:r>
        <w:tab/>
        <w:t>(c)</w:t>
      </w:r>
      <w:r>
        <w:tab/>
        <w:t>lay out, grant or convey a road,</w:t>
      </w:r>
    </w:p>
    <w:p>
      <w:pPr>
        <w:pStyle w:val="Subsection"/>
      </w:pPr>
      <w:r>
        <w:tab/>
      </w:r>
      <w:r>
        <w:tab/>
        <w:t>without the approval of the Commission.</w:t>
      </w:r>
    </w:p>
    <w:p>
      <w:pPr>
        <w:pStyle w:val="Subsection"/>
      </w:pPr>
      <w:r>
        <w:tab/>
        <w:t>(2)</w:t>
      </w:r>
      <w:r>
        <w:tab/>
        <w:t>A person who contravenes subsection (1) commits an offence.</w:t>
      </w:r>
    </w:p>
    <w:p>
      <w:pPr>
        <w:pStyle w:val="Subsection"/>
      </w:pPr>
      <w:r>
        <w:tab/>
        <w:t>(3)</w:t>
      </w:r>
      <w:r>
        <w:tab/>
        <w:t xml:space="preserve">In this section — </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pPr>
      <w:bookmarkStart w:id="179" w:name="_Toc199322427"/>
      <w:r>
        <w:rPr>
          <w:rStyle w:val="CharSectno"/>
        </w:rPr>
        <w:t>136</w:t>
      </w:r>
      <w:r>
        <w:t>.</w:t>
      </w:r>
      <w:r>
        <w:tab/>
        <w:t>Approval required for some dealings as to land not dealt with as lot or lots</w:t>
      </w:r>
      <w:bookmarkEnd w:id="179"/>
    </w:p>
    <w:p>
      <w:pPr>
        <w:pStyle w:val="Subsection"/>
      </w:pPr>
      <w:r>
        <w:tab/>
        <w:t>(1)</w:t>
      </w:r>
      <w:r>
        <w:tab/>
        <w:t xml:space="preserve">Subject to sections 139 and 140 a person is not to — </w:t>
      </w:r>
    </w:p>
    <w:p>
      <w:pPr>
        <w:pStyle w:val="Indenta"/>
      </w:pPr>
      <w:r>
        <w:tab/>
        <w:t>(a)</w:t>
      </w:r>
      <w:r>
        <w:tab/>
        <w:t>lease or grant a licence to use or occupy land for any term exceeding 20 years, including any option to extend or renew the term or period; or</w:t>
      </w:r>
    </w:p>
    <w:p>
      <w:pPr>
        <w:pStyle w:val="Indenta"/>
      </w:pPr>
      <w:r>
        <w:tab/>
        <w:t>(b)</w:t>
      </w:r>
      <w:r>
        <w:tab/>
        <w:t>lease and grant a licence to use or occupy land for terms in the aggregate exceeding 20 years, including any option to renew or extend the terms or periods; or</w:t>
      </w:r>
    </w:p>
    <w:p>
      <w:pPr>
        <w:pStyle w:val="Indenta"/>
      </w:pPr>
      <w:r>
        <w:tab/>
        <w:t>(c)</w:t>
      </w:r>
      <w:r>
        <w:tab/>
        <w:t>sell or agree to sell land; or</w:t>
      </w:r>
    </w:p>
    <w:p>
      <w:pPr>
        <w:pStyle w:val="Indenta"/>
        <w:keepNext/>
      </w:pPr>
      <w:r>
        <w:lastRenderedPageBreak/>
        <w:tab/>
        <w:t>(d)</w:t>
      </w:r>
      <w:r>
        <w:tab/>
        <w:t>grant any option of purchase of land,</w:t>
      </w:r>
    </w:p>
    <w:p>
      <w:pPr>
        <w:pStyle w:val="Subsection"/>
      </w:pPr>
      <w:r>
        <w:tab/>
      </w:r>
      <w:r>
        <w:tab/>
        <w:t>without the approval of the Commission unless the land is dealt with by way of such lease, licence, agreement or option of purchase as a lot or lots.</w:t>
      </w:r>
    </w:p>
    <w:p>
      <w:pPr>
        <w:pStyle w:val="Subsection"/>
      </w:pPr>
      <w:r>
        <w:tab/>
        <w:t>(2)</w:t>
      </w:r>
      <w:r>
        <w:tab/>
        <w:t>A person who contravenes subsection (1) commits an offence.</w:t>
      </w:r>
    </w:p>
    <w:p>
      <w:pPr>
        <w:pStyle w:val="Subsection"/>
      </w:pPr>
      <w:r>
        <w:tab/>
        <w:t>(2A)</w:t>
      </w:r>
      <w:r>
        <w:tab/>
        <w:t>Subsection (1) applies to land comprised of common property or a lot in a community titles scheme and a reference in that subsection to a lot includes a reference to a lot in a community titles scheme.</w:t>
      </w:r>
    </w:p>
    <w:p>
      <w:pPr>
        <w:pStyle w:val="Subsection"/>
      </w:pPr>
      <w:r>
        <w:tab/>
        <w:t>(2B)</w:t>
      </w:r>
      <w:r>
        <w:tab/>
        <w:t>However, subsection (1) does not apply to the sale of common property or part of a lot, an agreement to sell common property or part of a lot or the grant of an option of purchase of common property or part of a lot if the transaction is associated with a subdivision by registration of an amendment of a community titles scheme.</w:t>
      </w:r>
    </w:p>
    <w:p>
      <w:pPr>
        <w:pStyle w:val="Subsection"/>
      </w:pPr>
      <w:r>
        <w:tab/>
        <w:t>(2C)</w:t>
      </w:r>
      <w:r>
        <w:tab/>
        <w:t xml:space="preserve">Words in subsections (2A) and (2B) have the meanings given in the </w:t>
      </w:r>
      <w:r>
        <w:rPr>
          <w:i/>
        </w:rPr>
        <w:t xml:space="preserve">Community Titles Act 2018 </w:t>
      </w:r>
      <w:r>
        <w:t>section 3(1) (and references to those words in sections 139 and 140 are to be read accordingly).</w:t>
      </w:r>
    </w:p>
    <w:p>
      <w:pPr>
        <w:pStyle w:val="Subsection"/>
      </w:pPr>
      <w:r>
        <w:tab/>
        <w:t>(2D)</w:t>
      </w:r>
      <w:r>
        <w:tab/>
        <w:t>Subsection (1) applies to land comprised of common property or a lot in a strata titles scheme and a reference in that subsection to a lot includes a reference to a lot in a strata titles scheme.</w:t>
      </w:r>
    </w:p>
    <w:p>
      <w:pPr>
        <w:pStyle w:val="Subsection"/>
      </w:pPr>
      <w:r>
        <w:tab/>
        <w:t>(2E)</w:t>
      </w:r>
      <w:r>
        <w:tab/>
        <w:t>However, subsection (1) does not apply to the sale of common property or part of a lot, an agreement to sell common property or part of a lot or the grant of an option of purchase of common property or part of a lot if the transaction is associated with a subdivision by registration of an amendment of a strata titles scheme.</w:t>
      </w:r>
    </w:p>
    <w:p>
      <w:pPr>
        <w:pStyle w:val="Subsection"/>
      </w:pPr>
      <w:r>
        <w:tab/>
        <w:t>(2F)</w:t>
      </w:r>
      <w:r>
        <w:tab/>
        <w:t xml:space="preserve">Words in subsections (2D) and (2E) have the meanings given in the </w:t>
      </w:r>
      <w:r>
        <w:rPr>
          <w:i/>
        </w:rPr>
        <w:t>Strata Titles Act 1985</w:t>
      </w:r>
      <w:r>
        <w:t xml:space="preserve"> section 3(1) (and references to those words in sections 139 and 140 are to be read accordingly).</w:t>
      </w:r>
    </w:p>
    <w:p>
      <w:pPr>
        <w:pStyle w:val="Ednotesubsection"/>
      </w:pPr>
      <w:r>
        <w:tab/>
        <w:t>[(3A)</w:t>
      </w:r>
      <w:r>
        <w:tab/>
        <w:t>deleted]</w:t>
      </w:r>
    </w:p>
    <w:p>
      <w:pPr>
        <w:pStyle w:val="Subsection"/>
        <w:keepNext/>
        <w:spacing w:before="120"/>
      </w:pPr>
      <w:r>
        <w:lastRenderedPageBreak/>
        <w:tab/>
        <w:t>(3)</w:t>
      </w:r>
      <w:r>
        <w:tab/>
        <w:t xml:space="preserve">In this section — </w:t>
      </w:r>
    </w:p>
    <w:p>
      <w:pPr>
        <w:pStyle w:val="Defstart"/>
      </w:pPr>
      <w:r>
        <w:tab/>
      </w:r>
      <w:r>
        <w:rPr>
          <w:rStyle w:val="CharDefText"/>
        </w:rPr>
        <w:t>land</w:t>
      </w:r>
      <w:r>
        <w:t xml:space="preserve">, in relation to the leasing or the granting of a licence to use or occupy or, where applicable, the leasing and the granting of such a licence, does not include the whole or a portion of a building if — </w:t>
      </w:r>
    </w:p>
    <w:p>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(deleted by the </w:t>
      </w:r>
      <w:r>
        <w:rPr>
          <w:i/>
          <w:iCs/>
        </w:rPr>
        <w:t>Building Act 2011</w:t>
      </w:r>
      <w:r>
        <w:t xml:space="preserve"> section 153(2)) or a building permit granted under the </w:t>
      </w:r>
      <w:r>
        <w:rPr>
          <w:i/>
          <w:iCs/>
        </w:rPr>
        <w:t>Building Act 2011</w:t>
      </w:r>
      <w:r>
        <w:t xml:space="preserve">, or a building permit, occupancy permit or building approval certificate is in effect under the </w:t>
      </w:r>
      <w:r>
        <w:rPr>
          <w:i/>
          <w:iCs/>
        </w:rPr>
        <w:t>Building Act 2011</w:t>
      </w:r>
      <w:r>
        <w:t xml:space="preserve"> in respect of the building; and</w:t>
      </w:r>
    </w:p>
    <w:p>
      <w:pPr>
        <w:pStyle w:val="Defpara"/>
      </w:pPr>
      <w:r>
        <w:tab/>
        <w:t>(b)</w:t>
      </w:r>
      <w:r>
        <w:tab/>
        <w:t>subject to subsection (4), the leasing or the granting of a licence does not relate to any land other than that building or portion;</w:t>
      </w:r>
    </w:p>
    <w:p>
      <w:pPr>
        <w:pStyle w:val="Defstart"/>
      </w:pPr>
      <w:r>
        <w:tab/>
      </w:r>
      <w:r>
        <w:rPr>
          <w:rStyle w:val="CharDefText"/>
        </w:rPr>
        <w:t>licence to use or occupy</w:t>
      </w:r>
      <w:r>
        <w:t xml:space="preserve"> does not include an easement. </w:t>
      </w:r>
    </w:p>
    <w:p>
      <w:pPr>
        <w:pStyle w:val="Subsection"/>
      </w:pPr>
      <w:r>
        <w:tab/>
        <w:t>(4)</w:t>
      </w:r>
      <w:r>
        <w:tab/>
        <w:t xml:space="preserve">A reference in the definition of </w:t>
      </w:r>
      <w:r>
        <w:rPr>
          <w:b/>
          <w:bCs/>
          <w:i/>
          <w:iCs/>
        </w:rPr>
        <w:t>land</w:t>
      </w:r>
      <w:r>
        <w:t xml:space="preserve">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Footnotesection"/>
      </w:pPr>
      <w:r>
        <w:tab/>
        <w:t xml:space="preserve">[Section 136 amended: No. 28 of 2010 s. 62; No. 24 of 2011 s. 168(5); No. 30 of 2018 s. 162; No. 32 of 2018 s. 223.] </w:t>
      </w:r>
    </w:p>
    <w:p>
      <w:pPr>
        <w:pStyle w:val="Heading5"/>
      </w:pPr>
      <w:bookmarkStart w:id="180" w:name="_Toc199322428"/>
      <w:r>
        <w:rPr>
          <w:rStyle w:val="CharSectno"/>
        </w:rPr>
        <w:lastRenderedPageBreak/>
        <w:t>137</w:t>
      </w:r>
      <w:r>
        <w:t>.</w:t>
      </w:r>
      <w:r>
        <w:tab/>
        <w:t>Heritage land, subdivision etc. of</w:t>
      </w:r>
      <w:bookmarkEnd w:id="180"/>
    </w:p>
    <w:p>
      <w:pPr>
        <w:pStyle w:val="Subsection"/>
      </w:pPr>
      <w:r>
        <w:tab/>
        <w:t>(1)</w:t>
      </w:r>
      <w:r>
        <w:tab/>
        <w:t xml:space="preserve">This section applies to land included in a place of a kind mentioned in the </w:t>
      </w:r>
      <w:r>
        <w:rPr>
          <w:i/>
        </w:rPr>
        <w:t xml:space="preserve">Heritage Act 2018 </w:t>
      </w:r>
      <w:r>
        <w:t>section 72(1).</w:t>
      </w:r>
    </w:p>
    <w:p>
      <w:pPr>
        <w:pStyle w:val="Subsection"/>
      </w:pPr>
      <w:r>
        <w:tab/>
        <w:t>(2)</w:t>
      </w:r>
      <w:r>
        <w:tab/>
        <w:t xml:space="preserve">The Commission must not grant an application for its approval under section 135 or 136 in respect of land to which this section applies unless the requirements of the </w:t>
      </w:r>
      <w:r>
        <w:rPr>
          <w:i/>
        </w:rPr>
        <w:t>Heritage Act 2018</w:t>
      </w:r>
      <w:r>
        <w:t xml:space="preserve"> Part 5 Division 2 have been observed.</w:t>
      </w:r>
    </w:p>
    <w:p>
      <w:pPr>
        <w:pStyle w:val="Subsection"/>
        <w:keepNext/>
      </w:pPr>
      <w:r>
        <w:tab/>
        <w:t>(3)</w:t>
      </w:r>
      <w:r>
        <w:tab/>
        <w:t xml:space="preserve">If the </w:t>
      </w:r>
      <w:r>
        <w:rPr>
          <w:i/>
        </w:rPr>
        <w:t>Heritage Act 2018</w:t>
      </w:r>
      <w:r>
        <w:t xml:space="preserve"> section 76(3) applies, the holder of an approval given by the Commission under section 135 or 136 in respect of land to which this section applies is not to give effect to that approval — </w:t>
      </w:r>
    </w:p>
    <w:p>
      <w:pPr>
        <w:pStyle w:val="Indenta"/>
      </w:pPr>
      <w:r>
        <w:tab/>
        <w:t>(a)</w:t>
      </w:r>
      <w:r>
        <w:tab/>
        <w:t xml:space="preserve">during such time as the operation of the approval is suspended the </w:t>
      </w:r>
      <w:r>
        <w:rPr>
          <w:i/>
        </w:rPr>
        <w:t>Heritage Act 2018</w:t>
      </w:r>
      <w:r>
        <w:t xml:space="preserve"> section 76(3); or</w:t>
      </w:r>
    </w:p>
    <w:p>
      <w:pPr>
        <w:pStyle w:val="Indenta"/>
      </w:pPr>
      <w:r>
        <w:tab/>
        <w:t>(b)</w:t>
      </w:r>
      <w:r>
        <w:tab/>
        <w:t xml:space="preserve">otherwise than in accordance with the </w:t>
      </w:r>
      <w:r>
        <w:rPr>
          <w:i/>
        </w:rPr>
        <w:t>Heritage Act 2018</w:t>
      </w:r>
      <w:r>
        <w:t xml:space="preserve"> section 76(6).</w:t>
      </w:r>
    </w:p>
    <w:p>
      <w:pPr>
        <w:pStyle w:val="Ednotesubsection"/>
      </w:pPr>
      <w:r>
        <w:tab/>
        <w:t>[(4)</w:t>
      </w:r>
      <w:r>
        <w:tab/>
        <w:t>deleted]</w:t>
      </w:r>
    </w:p>
    <w:p>
      <w:pPr>
        <w:pStyle w:val="Footnotesection"/>
      </w:pPr>
      <w:r>
        <w:tab/>
        <w:t>[Section 137 amended: No. 22 of 2018 s. 186(8)-(11).]</w:t>
      </w:r>
    </w:p>
    <w:p>
      <w:pPr>
        <w:pStyle w:val="Heading5"/>
      </w:pPr>
      <w:bookmarkStart w:id="181" w:name="_Toc199322429"/>
      <w:r>
        <w:rPr>
          <w:rStyle w:val="CharSectno"/>
        </w:rPr>
        <w:t>138</w:t>
      </w:r>
      <w:r>
        <w:t>.</w:t>
      </w:r>
      <w:r>
        <w:tab/>
        <w:t>Commission’s functions when approving subdivision etc.</w:t>
      </w:r>
      <w:bookmarkEnd w:id="181"/>
    </w:p>
    <w:p>
      <w:pPr>
        <w:pStyle w:val="Subsection"/>
      </w:pPr>
      <w:r>
        <w:tab/>
        <w:t>(1)</w:t>
      </w:r>
      <w:r>
        <w:tab/>
        <w:t>The Commission may give its approval under section 135 or 136 subject to conditions which are to be carried out before the approval becomes effective.</w:t>
      </w:r>
    </w:p>
    <w:p>
      <w:pPr>
        <w:pStyle w:val="Subsection"/>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keepNext/>
        <w:spacing w:before="180"/>
      </w:pPr>
      <w:r>
        <w:lastRenderedPageBreak/>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 or</w:t>
      </w:r>
    </w:p>
    <w:p>
      <w:pPr>
        <w:pStyle w:val="Indenta"/>
      </w:pPr>
      <w:r>
        <w:tab/>
        <w:t>(b)</w:t>
      </w:r>
      <w:r>
        <w:tab/>
        <w:t>the approval is consistent with a region planning scheme that deals with substantially the same matter; or</w:t>
      </w:r>
    </w:p>
    <w:p>
      <w:pPr>
        <w:pStyle w:val="Indenta"/>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r>
      <w:r>
        <w:tab/>
        <w:t>or</w:t>
      </w:r>
    </w:p>
    <w:p>
      <w:pPr>
        <w:pStyle w:val="Indenta"/>
      </w:pPr>
      <w:r>
        <w:tab/>
        <w:t>(d)</w:t>
      </w:r>
      <w:r>
        <w:tab/>
        <w:t>the local planning scheme includes provisions permitting a variation of the local planning scheme that would remove the conflict; or</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182" w:name="_Toc199322430"/>
      <w:r>
        <w:rPr>
          <w:rStyle w:val="CharSectno"/>
        </w:rPr>
        <w:lastRenderedPageBreak/>
        <w:t>138A</w:t>
      </w:r>
      <w:r>
        <w:t>.</w:t>
      </w:r>
      <w:r>
        <w:tab/>
        <w:t>Commission’s functions when approving subdivision etc. in Swan Valley</w:t>
      </w:r>
      <w:bookmarkEnd w:id="182"/>
    </w:p>
    <w:p>
      <w:pPr>
        <w:pStyle w:val="Subsection"/>
      </w:pPr>
      <w:r>
        <w:tab/>
        <w:t>(1)</w:t>
      </w:r>
      <w:r>
        <w:tab/>
        <w:t xml:space="preserve">In this section — </w:t>
      </w:r>
    </w:p>
    <w:p>
      <w:pPr>
        <w:pStyle w:val="Defstart"/>
      </w:pPr>
      <w:r>
        <w:tab/>
      </w:r>
      <w:r>
        <w:rPr>
          <w:rStyle w:val="CharDefText"/>
        </w:rPr>
        <w:t>scheme start day</w:t>
      </w:r>
      <w:r>
        <w:t xml:space="preserve"> means the day on which the first Swan Valley Planning Scheme comes into operation under the </w:t>
      </w:r>
      <w:r>
        <w:rPr>
          <w:i/>
        </w:rPr>
        <w:t>Swan Valley Planning Act 2020</w:t>
      </w:r>
      <w:r>
        <w:t>.</w:t>
      </w:r>
    </w:p>
    <w:p>
      <w:pPr>
        <w:pStyle w:val="Subsection"/>
      </w:pPr>
      <w:r>
        <w:tab/>
        <w:t>(2)</w:t>
      </w:r>
      <w:r>
        <w:tab/>
        <w:t xml:space="preserve">On and after the scheme start day, section 138(2) to (4) do not apply in relation to the Commission giving an approval under section 135 or 136 relating to land in the Swan Valley (a </w:t>
      </w:r>
      <w:r>
        <w:rPr>
          <w:rStyle w:val="CharDefText"/>
        </w:rPr>
        <w:t>Swan Valley approval</w:t>
      </w:r>
      <w:r>
        <w:t>).</w:t>
      </w:r>
    </w:p>
    <w:p>
      <w:pPr>
        <w:pStyle w:val="Subsection"/>
      </w:pPr>
      <w:r>
        <w:tab/>
        <w:t>(3)</w:t>
      </w:r>
      <w:r>
        <w:tab/>
        <w:t xml:space="preserve">Subject to subsection (4), in giving a Swan Valley approval on or after the scheme start day, the Commission — </w:t>
      </w:r>
    </w:p>
    <w:p>
      <w:pPr>
        <w:pStyle w:val="Indenta"/>
      </w:pPr>
      <w:r>
        <w:tab/>
        <w:t>(a)</w:t>
      </w:r>
      <w:r>
        <w:tab/>
        <w:t>must have regard to the provisions of the Swan Valley Planning Scheme; and</w:t>
      </w:r>
    </w:p>
    <w:p>
      <w:pPr>
        <w:pStyle w:val="Indenta"/>
      </w:pPr>
      <w:r>
        <w:tab/>
        <w:t>(b)</w:t>
      </w:r>
      <w:r>
        <w:tab/>
        <w:t>must not give an approval that conflicts with the provisions of the Swan Valley Planning Scheme.</w:t>
      </w:r>
    </w:p>
    <w:p>
      <w:pPr>
        <w:pStyle w:val="Subsection"/>
      </w:pPr>
      <w:r>
        <w:tab/>
        <w:t>(4)</w:t>
      </w:r>
      <w:r>
        <w:tab/>
        <w:t>The Commission may give a Swan Valley approval that conflicts with the provisions of the Swan Valley Planning Scheme on or after the scheme start day if the approval is given in circumstances set out in the regulations.</w:t>
      </w:r>
    </w:p>
    <w:p>
      <w:pPr>
        <w:pStyle w:val="Footnotesection"/>
      </w:pPr>
      <w:r>
        <w:tab/>
        <w:t>[Section 138A inserted: No. 45 of 2020 s. 79.]</w:t>
      </w:r>
    </w:p>
    <w:p>
      <w:pPr>
        <w:pStyle w:val="Heading5"/>
      </w:pPr>
      <w:bookmarkStart w:id="183" w:name="_Toc199322431"/>
      <w:r>
        <w:rPr>
          <w:rStyle w:val="CharSectno"/>
        </w:rPr>
        <w:t>139</w:t>
      </w:r>
      <w:r>
        <w:t>.</w:t>
      </w:r>
      <w:r>
        <w:tab/>
        <w:t>Leases and licences that do not need approval under s. 136</w:t>
      </w:r>
      <w:bookmarkEnd w:id="183"/>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pPr>
      <w:r>
        <w:lastRenderedPageBreak/>
        <w:tab/>
        <w:t>(2)</w:t>
      </w:r>
      <w:r>
        <w:tab/>
        <w:t>A person may apply to the Commission in writing for a class of lease or licence to use or occupy land to be approved under subsection (3) in respect of that person.</w:t>
      </w:r>
    </w:p>
    <w:p>
      <w:pPr>
        <w:pStyle w:val="Subsection"/>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 and</w:t>
      </w:r>
    </w:p>
    <w:p>
      <w:pPr>
        <w:pStyle w:val="Indenta"/>
      </w:pPr>
      <w:r>
        <w:tab/>
        <w:t>(b)</w:t>
      </w:r>
      <w:r>
        <w:tab/>
        <w:t>the classification or zoning of the land to which leases or licences of the class concerned will relate; and</w:t>
      </w:r>
    </w:p>
    <w:p>
      <w:pPr>
        <w:pStyle w:val="Indenta"/>
      </w:pPr>
      <w:r>
        <w:tab/>
        <w:t>(c)</w:t>
      </w:r>
      <w:r>
        <w:tab/>
        <w:t>the proposed terms of leases or licences of the class concerned, whether for the lives of the proposed lessees or licensees or for fixed periods; and</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pPr>
      <w:bookmarkStart w:id="184" w:name="_Toc199322432"/>
      <w:r>
        <w:rPr>
          <w:rStyle w:val="CharSectno"/>
        </w:rPr>
        <w:t>140</w:t>
      </w:r>
      <w:r>
        <w:t>.</w:t>
      </w:r>
      <w:r>
        <w:tab/>
        <w:t>Saving of some agreements entered into without approval under s. 136</w:t>
      </w:r>
      <w:bookmarkEnd w:id="184"/>
    </w:p>
    <w:p>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w:t>
      </w:r>
      <w:r>
        <w:lastRenderedPageBreak/>
        <w:t xml:space="preserve">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spacing w:before="60"/>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185" w:name="_Toc199322433"/>
      <w:r>
        <w:rPr>
          <w:rStyle w:val="CharSectno"/>
        </w:rPr>
        <w:t>141</w:t>
      </w:r>
      <w:r>
        <w:t>.</w:t>
      </w:r>
      <w:r>
        <w:tab/>
        <w:t>Refund where land transaction cannot be completed</w:t>
      </w:r>
      <w:bookmarkEnd w:id="185"/>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lastRenderedPageBreak/>
        <w:tab/>
        <w:t>(b)</w:t>
      </w:r>
      <w:r>
        <w:tab/>
        <w:t xml:space="preserve">within such further period as is stipulated in a subsequent agreement in writing made — </w:t>
      </w:r>
    </w:p>
    <w:p>
      <w:pPr>
        <w:pStyle w:val="Indenti"/>
      </w:pPr>
      <w:r>
        <w:tab/>
        <w:t>(i)</w:t>
      </w:r>
      <w:r>
        <w:tab/>
        <w:t>by all the parties to the transaction; or</w:t>
      </w:r>
    </w:p>
    <w:p>
      <w:pPr>
        <w:pStyle w:val="Indenti"/>
        <w:keepLines/>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186" w:name="_Toc199322434"/>
      <w:r>
        <w:rPr>
          <w:rStyle w:val="CharSectno"/>
        </w:rPr>
        <w:t>142</w:t>
      </w:r>
      <w:r>
        <w:t>.</w:t>
      </w:r>
      <w:r>
        <w:tab/>
        <w:t>Consultation requirements as to proposed subdivision</w:t>
      </w:r>
      <w:bookmarkEnd w:id="186"/>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keepLines/>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w:t>
      </w:r>
      <w:r>
        <w:lastRenderedPageBreak/>
        <w:t xml:space="preserve">that it is to be taken to have no </w:t>
      </w:r>
      <w:r>
        <w:rPr>
          <w:rFonts w:ascii="Times" w:hAnsi="Times"/>
        </w:rPr>
        <w:t>obj</w:t>
      </w:r>
      <w:r>
        <w:t>ections or recommendations to make or advice to give.</w:t>
      </w:r>
    </w:p>
    <w:p>
      <w:pPr>
        <w:pStyle w:val="Heading5"/>
      </w:pPr>
      <w:bookmarkStart w:id="187" w:name="_Toc199322435"/>
      <w:r>
        <w:rPr>
          <w:rStyle w:val="CharSectno"/>
        </w:rPr>
        <w:t>143</w:t>
      </w:r>
      <w:r>
        <w:t>.</w:t>
      </w:r>
      <w:r>
        <w:tab/>
        <w:t>Commission’s duties when dealing with plan of subdivision</w:t>
      </w:r>
      <w:bookmarkEnd w:id="187"/>
    </w:p>
    <w:p>
      <w:pPr>
        <w:pStyle w:val="Subsection"/>
        <w:keepNext/>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 or</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188" w:name="_Toc199322436"/>
      <w:r>
        <w:rPr>
          <w:rStyle w:val="CharSectno"/>
        </w:rPr>
        <w:t>144</w:t>
      </w:r>
      <w:r>
        <w:t>.</w:t>
      </w:r>
      <w:r>
        <w:tab/>
        <w:t>Reconsidering refusal to approve plan of subdivision</w:t>
      </w:r>
      <w:bookmarkEnd w:id="188"/>
    </w:p>
    <w:p>
      <w:pPr>
        <w:pStyle w:val="Subsection"/>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 or</w:t>
      </w:r>
    </w:p>
    <w:p>
      <w:pPr>
        <w:pStyle w:val="Indenta"/>
      </w:pPr>
      <w:r>
        <w:lastRenderedPageBreak/>
        <w:tab/>
        <w:t>(b)</w:t>
      </w:r>
      <w:r>
        <w:tab/>
        <w:t>again refuse to approve the plan of subdivision; or</w:t>
      </w:r>
    </w:p>
    <w:p>
      <w:pPr>
        <w:pStyle w:val="Indenta"/>
        <w:keepLines/>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189" w:name="_Toc199322437"/>
      <w:r>
        <w:rPr>
          <w:rStyle w:val="CharSectno"/>
        </w:rPr>
        <w:t>145</w:t>
      </w:r>
      <w:r>
        <w:t>.</w:t>
      </w:r>
      <w:r>
        <w:tab/>
        <w:t>Diagram or plan of survey of approved plan of subdivision, approval of</w:t>
      </w:r>
      <w:bookmarkEnd w:id="189"/>
    </w:p>
    <w:p>
      <w:pPr>
        <w:pStyle w:val="Subsection"/>
        <w:keepNext/>
      </w:pPr>
      <w:r>
        <w:tab/>
        <w:t>(1)</w:t>
      </w:r>
      <w:r>
        <w:tab/>
        <w:t>A person to whom approval of a plan of subdivision has been given may, within the period that applies under section 145A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Ednotesubsection"/>
      </w:pPr>
      <w:r>
        <w:tab/>
        <w:t>[(2)</w:t>
      </w:r>
      <w:r>
        <w:tab/>
        <w:t>deleted]</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the Commission must endorse its approval on the diagram or plan of survey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 xml:space="preserve">if that approval was given subject to conditions — </w:t>
      </w:r>
    </w:p>
    <w:p>
      <w:pPr>
        <w:pStyle w:val="Indenti"/>
      </w:pPr>
      <w:r>
        <w:tab/>
        <w:t>(i)</w:t>
      </w:r>
      <w:r>
        <w:tab/>
        <w:t>the conditions (other than any conditions to which subparagraph (ii) applies) have been complied with; and</w:t>
      </w:r>
    </w:p>
    <w:p>
      <w:pPr>
        <w:pStyle w:val="Indenti"/>
      </w:pPr>
      <w:r>
        <w:lastRenderedPageBreak/>
        <w:tab/>
        <w:t>(ii)</w:t>
      </w:r>
      <w:r>
        <w:tab/>
        <w:t>any conditions that cannot be complied with until a certificate of title is created or registered will be complied with at that time.</w:t>
      </w:r>
    </w:p>
    <w:p>
      <w:pPr>
        <w:pStyle w:val="Subsection"/>
      </w:pPr>
      <w:r>
        <w:tab/>
        <w:t>(4A)</w:t>
      </w:r>
      <w:r>
        <w:tab/>
        <w:t>In the case of a diagram or plan of survey submitted in relation to a stage of subdivision, the conditions to which subsection (4)(b) applies are the conditions imposed on the approval in relation to that stage of subdivision or that, in the opinion of the Commission, are relevant to that stage of subdivision or the subdivision as a whole.</w:t>
      </w:r>
    </w:p>
    <w:p>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Footnotesection"/>
      </w:pPr>
      <w:r>
        <w:tab/>
        <w:t>[Section 145 amended: No. 26 of 2020 s. 90.]</w:t>
      </w:r>
    </w:p>
    <w:p>
      <w:pPr>
        <w:pStyle w:val="Heading5"/>
      </w:pPr>
      <w:bookmarkStart w:id="190" w:name="_Toc199322438"/>
      <w:r>
        <w:rPr>
          <w:rStyle w:val="CharSectno"/>
        </w:rPr>
        <w:t>145A</w:t>
      </w:r>
      <w:r>
        <w:t>.</w:t>
      </w:r>
      <w:r>
        <w:tab/>
        <w:t>Period for submission of diagram or plan of survey for approval by Commission</w:t>
      </w:r>
      <w:bookmarkEnd w:id="190"/>
    </w:p>
    <w:p>
      <w:pPr>
        <w:pStyle w:val="Subsection"/>
      </w:pPr>
      <w:r>
        <w:tab/>
        <w:t>(1)</w:t>
      </w:r>
      <w:r>
        <w:tab/>
        <w:t xml:space="preserve">Subject to any extension granted under subsection (2), the period within which a person to whom approval of a plan of subdivision was given must submit, and request approval of, a </w:t>
      </w:r>
      <w:r>
        <w:lastRenderedPageBreak/>
        <w:t xml:space="preserve">diagram or plan of survey of the subdivision under section 145(1) is — </w:t>
      </w:r>
    </w:p>
    <w:p>
      <w:pPr>
        <w:pStyle w:val="Indenta"/>
      </w:pPr>
      <w:r>
        <w:tab/>
        <w:t>(a)</w:t>
      </w:r>
      <w:r>
        <w:tab/>
        <w:t>in relation to a plan of subdivision creating more than 5 lots — the period of 4 years beginning on the day on which the Commission approved the plan of subdivision; and</w:t>
      </w:r>
    </w:p>
    <w:p>
      <w:pPr>
        <w:pStyle w:val="Indenta"/>
      </w:pPr>
      <w:r>
        <w:tab/>
        <w:t>(b)</w:t>
      </w:r>
      <w:r>
        <w:tab/>
        <w:t>in any other case — the period of 3 years beginning on the day on which the Commission approved the plan of subdivision.</w:t>
      </w:r>
    </w:p>
    <w:p>
      <w:pPr>
        <w:pStyle w:val="Subsection"/>
      </w:pPr>
      <w:r>
        <w:tab/>
        <w:t>(2)</w:t>
      </w:r>
      <w:r>
        <w:tab/>
        <w:t>On the application of a person to whom approval of a plan of subdivision has been given, the Commission may, by written notice, grant an extension of 2 years to the period that would otherwise apply under subsection (1).</w:t>
      </w:r>
    </w:p>
    <w:p>
      <w:pPr>
        <w:pStyle w:val="Subsection"/>
      </w:pPr>
      <w:r>
        <w:tab/>
        <w:t>(3)</w:t>
      </w:r>
      <w:r>
        <w:tab/>
        <w:t>An application under subsection (2) must be made in the manner and form approved by the Commission.</w:t>
      </w:r>
    </w:p>
    <w:p>
      <w:pPr>
        <w:pStyle w:val="Subsection"/>
      </w:pPr>
      <w:r>
        <w:tab/>
        <w:t>(4)</w:t>
      </w:r>
      <w:r>
        <w:tab/>
        <w:t>The Commission must not grant an extension under subsection (2) unless the Commission is satisfied that —</w:t>
      </w:r>
    </w:p>
    <w:p>
      <w:pPr>
        <w:pStyle w:val="Indenta"/>
      </w:pPr>
      <w:r>
        <w:tab/>
        <w:t>(a)</w:t>
      </w:r>
      <w:r>
        <w:tab/>
        <w:t>the applicant has done everything that is reasonably practicable to enable the applicant to submit, and request approval of, the diagram or plan of survey in accordance with section 145(1) within the period that would otherwise apply under subsection (1); and</w:t>
      </w:r>
    </w:p>
    <w:p>
      <w:pPr>
        <w:pStyle w:val="Indenta"/>
      </w:pPr>
      <w:r>
        <w:tab/>
        <w:t>(b)</w:t>
      </w:r>
      <w:r>
        <w:tab/>
        <w:t>since the approval of the plan of subdivision was granted, there have been no significant changes to the requirements that apply under this Act to the area covered by the plan of subdivision.</w:t>
      </w:r>
    </w:p>
    <w:p>
      <w:pPr>
        <w:pStyle w:val="Subsection"/>
      </w:pPr>
      <w:r>
        <w:tab/>
        <w:t>(5)</w:t>
      </w:r>
      <w:r>
        <w:tab/>
        <w:t>The Commission must not grant more than 1 extension under this section in relation to a plan of subdivision.</w:t>
      </w:r>
    </w:p>
    <w:p>
      <w:pPr>
        <w:pStyle w:val="Subsection"/>
      </w:pPr>
      <w:r>
        <w:tab/>
        <w:t>(6)</w:t>
      </w:r>
      <w:r>
        <w:tab/>
        <w:t>The Commission must try to deal with an application under subsection (2) within the period of 30 days after the day on which the application is made or within such longer period after that day as may be agreed in writing between the Commission and the applicant.</w:t>
      </w:r>
    </w:p>
    <w:p>
      <w:pPr>
        <w:pStyle w:val="Subsection"/>
      </w:pPr>
      <w:r>
        <w:lastRenderedPageBreak/>
        <w:tab/>
        <w:t>(7)</w:t>
      </w:r>
      <w:r>
        <w:tab/>
        <w:t xml:space="preserve">If an extension is granted under subsection (2) after the expiry of the period that would otherwise have applied under subsection (1) (the </w:t>
      </w:r>
      <w:r>
        <w:rPr>
          <w:rStyle w:val="CharDefText"/>
        </w:rPr>
        <w:t>original period</w:t>
      </w:r>
      <w:r>
        <w:t>), the approval of the plan of subdivision is taken not to have ceased to have effect under section 145(7) at the end of the original period.</w:t>
      </w:r>
    </w:p>
    <w:p>
      <w:pPr>
        <w:pStyle w:val="Footnotesection"/>
      </w:pPr>
      <w:r>
        <w:tab/>
        <w:t>[Section 145A inserted: No. 26 of 2020 s. 91.]</w:t>
      </w:r>
    </w:p>
    <w:p>
      <w:pPr>
        <w:pStyle w:val="Heading5"/>
      </w:pPr>
      <w:bookmarkStart w:id="191" w:name="_Toc199322439"/>
      <w:r>
        <w:rPr>
          <w:rStyle w:val="CharSectno"/>
        </w:rPr>
        <w:t>146</w:t>
      </w:r>
      <w:r>
        <w:t>.</w:t>
      </w:r>
      <w:r>
        <w:tab/>
        <w:t>No certificate of title for subdivided land without approved diagram or plan of survey</w:t>
      </w:r>
      <w:bookmarkEnd w:id="191"/>
    </w:p>
    <w:p>
      <w:pPr>
        <w:pStyle w:val="Subsection"/>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 and</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keepNext/>
        <w:spacing w:before="180"/>
      </w:pPr>
      <w:r>
        <w:lastRenderedPageBreak/>
        <w:tab/>
        <w:t>(2)</w:t>
      </w:r>
      <w:r>
        <w:tab/>
        <w:t xml:space="preserve">In subsection (1)(a) and (b) — </w:t>
      </w:r>
    </w:p>
    <w:p>
      <w:pPr>
        <w:pStyle w:val="Defstart"/>
      </w:pPr>
      <w:r>
        <w:tab/>
      </w:r>
      <w:r>
        <w:rPr>
          <w:rStyle w:val="CharDefText"/>
        </w:rPr>
        <w:t>title application</w:t>
      </w:r>
      <w:r>
        <w:t>, in relation to a diagram or plan of survey, means an application for new titles to be created and registered for land the subject of the diagram or plan of survey.</w:t>
      </w:r>
    </w:p>
    <w:p>
      <w:pPr>
        <w:pStyle w:val="Subsection"/>
        <w:spacing w:before="180"/>
      </w:pPr>
      <w:r>
        <w:tab/>
        <w:t>(3)</w:t>
      </w:r>
      <w:r>
        <w:tab/>
        <w:t xml:space="preserve">A plan containing one lot only is deemed a diagram or plan of survey of a subdivision provided that it is a portion of land comprised in — </w:t>
      </w:r>
    </w:p>
    <w:p>
      <w:pPr>
        <w:pStyle w:val="Indenta"/>
      </w:pPr>
      <w:r>
        <w:tab/>
        <w:t>(a)</w:t>
      </w:r>
      <w:r>
        <w:tab/>
        <w:t>a certificate of title; or</w:t>
      </w:r>
    </w:p>
    <w:p>
      <w:pPr>
        <w:pStyle w:val="Indenta"/>
      </w:pPr>
      <w:r>
        <w:tab/>
        <w:t>(b)</w:t>
      </w:r>
      <w:r>
        <w:tab/>
        <w:t>a registered conveyance; or</w:t>
      </w:r>
    </w:p>
    <w:p>
      <w:pPr>
        <w:pStyle w:val="Indenta"/>
      </w:pPr>
      <w:r>
        <w:tab/>
        <w:t>(c)</w:t>
      </w:r>
      <w:r>
        <w:tab/>
        <w:t>a Crown grant; or</w:t>
      </w:r>
    </w:p>
    <w:p>
      <w:pPr>
        <w:pStyle w:val="Indenta"/>
      </w:pPr>
      <w:r>
        <w:tab/>
        <w:t>(d)</w:t>
      </w:r>
      <w:r>
        <w:tab/>
        <w:t>a lot on a plan deposited with the Authority.</w:t>
      </w:r>
    </w:p>
    <w:p>
      <w:pPr>
        <w:pStyle w:val="Footnotesection"/>
        <w:spacing w:before="80"/>
        <w:ind w:left="890" w:hanging="890"/>
      </w:pPr>
      <w:r>
        <w:tab/>
        <w:t>[Section 146 amended: No. 60 of 2006 s. 147(3).]</w:t>
      </w:r>
    </w:p>
    <w:p>
      <w:pPr>
        <w:pStyle w:val="Heading5"/>
        <w:spacing w:before="180"/>
      </w:pPr>
      <w:bookmarkStart w:id="192" w:name="_Toc199322440"/>
      <w:r>
        <w:rPr>
          <w:rStyle w:val="CharSectno"/>
        </w:rPr>
        <w:t>147</w:t>
      </w:r>
      <w:r>
        <w:t>.</w:t>
      </w:r>
      <w:r>
        <w:tab/>
        <w:t>No registration etc. of some land dealings without Commission’s approval</w:t>
      </w:r>
      <w:bookmarkEnd w:id="192"/>
    </w:p>
    <w:p>
      <w:pPr>
        <w:pStyle w:val="Subsection"/>
        <w:keepNext/>
        <w:spacing w:before="120"/>
      </w:pPr>
      <w:r>
        <w:tab/>
        <w:t>(1)</w:t>
      </w:r>
      <w:r>
        <w:tab/>
        <w:t xml:space="preserve">The Registrar of Titles is not to register a transfer, conveyance, lease or mortgage of any land unless — </w:t>
      </w:r>
    </w:p>
    <w:p>
      <w:pPr>
        <w:pStyle w:val="Indenta"/>
      </w:pPr>
      <w:r>
        <w:tab/>
        <w:t>(a)</w:t>
      </w:r>
      <w:r>
        <w:tab/>
        <w:t>it has first been approved in writing by the Commission; or</w:t>
      </w:r>
    </w:p>
    <w:p>
      <w:pPr>
        <w:pStyle w:val="Indenta"/>
      </w:pPr>
      <w:r>
        <w:tab/>
        <w:t>(b)</w:t>
      </w:r>
      <w:r>
        <w:tab/>
        <w:t>the land comprises the whole of one or more lots, or the land comprises part of a lot included in a diagram or plan of survey of subdivision that has been approved by the Commission; or</w:t>
      </w:r>
    </w:p>
    <w:p>
      <w:pPr>
        <w:pStyle w:val="Indenta"/>
        <w:keepNext/>
        <w:tabs>
          <w:tab w:val="left" w:pos="2280"/>
        </w:tabs>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 or</w:t>
      </w:r>
    </w:p>
    <w:p>
      <w:pPr>
        <w:pStyle w:val="Indenti"/>
      </w:pPr>
      <w:r>
        <w:tab/>
        <w:t>(ii)</w:t>
      </w:r>
      <w:r>
        <w:tab/>
        <w:t xml:space="preserve">section 136(1) does not apply to the lease by virtue of the definition of </w:t>
      </w:r>
      <w:r>
        <w:rPr>
          <w:b/>
          <w:bCs/>
          <w:i/>
          <w:iCs/>
        </w:rPr>
        <w:t>land</w:t>
      </w:r>
      <w:r>
        <w:t xml:space="preserve"> in section 136; or</w:t>
      </w:r>
    </w:p>
    <w:p>
      <w:pPr>
        <w:pStyle w:val="Indenti"/>
      </w:pPr>
      <w:r>
        <w:lastRenderedPageBreak/>
        <w:tab/>
        <w:t>(iii)</w:t>
      </w:r>
      <w:r>
        <w:tab/>
        <w:t>the lease is a lease which may be entered into without the approval of the Commission by virtue of section 139(1).</w:t>
      </w:r>
    </w:p>
    <w:p>
      <w:pPr>
        <w:pStyle w:val="Subsection"/>
        <w:spacing w:before="120"/>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193" w:name="_Toc199322441"/>
      <w:r>
        <w:rPr>
          <w:rStyle w:val="CharDivNo"/>
        </w:rPr>
        <w:t>Division 3</w:t>
      </w:r>
      <w:r>
        <w:t> — </w:t>
      </w:r>
      <w:r>
        <w:rPr>
          <w:rStyle w:val="CharDivText"/>
        </w:rPr>
        <w:t>Conditions of subdivision</w:t>
      </w:r>
      <w:bookmarkEnd w:id="193"/>
    </w:p>
    <w:p>
      <w:pPr>
        <w:pStyle w:val="Ednotesection"/>
      </w:pPr>
      <w:r>
        <w:t>[</w:t>
      </w:r>
      <w:r>
        <w:rPr>
          <w:b/>
        </w:rPr>
        <w:t>148</w:t>
      </w:r>
      <w:r>
        <w:t>.</w:t>
      </w:r>
      <w:r>
        <w:tab/>
        <w:t>Deleted: No. 30 of 2018 s. 163.]</w:t>
      </w:r>
    </w:p>
    <w:p>
      <w:pPr>
        <w:pStyle w:val="Ednotesection"/>
      </w:pPr>
      <w:r>
        <w:t>[</w:t>
      </w:r>
      <w:r>
        <w:rPr>
          <w:b/>
        </w:rPr>
        <w:t>149.</w:t>
      </w:r>
      <w:r>
        <w:tab/>
        <w:t>Has not come into operation.]</w:t>
      </w:r>
    </w:p>
    <w:p>
      <w:pPr>
        <w:pStyle w:val="Heading5"/>
      </w:pPr>
      <w:bookmarkStart w:id="194" w:name="_Toc199322442"/>
      <w:r>
        <w:rPr>
          <w:rStyle w:val="CharSectno"/>
        </w:rPr>
        <w:t>150</w:t>
      </w:r>
      <w:r>
        <w:t>.</w:t>
      </w:r>
      <w:r>
        <w:tab/>
        <w:t>Road access, conditions as to</w:t>
      </w:r>
      <w:bookmarkEnd w:id="194"/>
    </w:p>
    <w:p>
      <w:pPr>
        <w:pStyle w:val="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Subsection"/>
      </w:pPr>
      <w:r>
        <w:tab/>
        <w:t>(2)</w:t>
      </w:r>
      <w:r>
        <w:tab/>
        <w:t>A condition referred to in subsection (1) is to specify a covenantee.</w:t>
      </w:r>
    </w:p>
    <w:p>
      <w:pPr>
        <w:pStyle w:val="Subsection"/>
      </w:pPr>
      <w:r>
        <w:tab/>
        <w:t>(3)</w:t>
      </w:r>
      <w:r>
        <w:tab/>
        <w:t xml:space="preserve">Where — </w:t>
      </w:r>
    </w:p>
    <w:p>
      <w:pPr>
        <w:pStyle w:val="Indenta"/>
      </w:pPr>
      <w:r>
        <w:tab/>
        <w:t>(a)</w:t>
      </w:r>
      <w:r>
        <w:tab/>
        <w:t xml:space="preserve">a diagram or plan of survey of a subdivision, or a scheme plan lodged for registration under the </w:t>
      </w:r>
      <w:r>
        <w:rPr>
          <w:i/>
        </w:rPr>
        <w:t>Strata Titles Act 1985</w:t>
      </w:r>
      <w:r>
        <w:rPr>
          <w:iCs/>
        </w:rPr>
        <w:t xml:space="preserve">, </w:t>
      </w:r>
      <w:r>
        <w:t>is received by the Authority; and</w:t>
      </w:r>
    </w:p>
    <w:p>
      <w:pPr>
        <w:pStyle w:val="Indenta"/>
        <w:keepNext/>
      </w:pPr>
      <w:r>
        <w:tab/>
        <w:t>(b)</w:t>
      </w:r>
      <w:r>
        <w:tab/>
        <w:t xml:space="preserve">it is shown on the plan or diagram that access to and from any portion of land shown on the plan or diagram to and from a road abutting the portion of land is subject </w:t>
      </w:r>
      <w:r>
        <w:lastRenderedPageBreak/>
        <w:t>to or intended to be subject to a restriction or prohibition as set out in a condition imposed by the Commission,</w:t>
      </w:r>
    </w:p>
    <w:p>
      <w:pPr>
        <w:pStyle w:val="Subsection"/>
      </w:pPr>
      <w:r>
        <w:tab/>
      </w:r>
      <w:r>
        <w:tab/>
        <w:t xml:space="preserve">the land becomes subject to a covenant so restricting or prohibiting that access — </w:t>
      </w:r>
    </w:p>
    <w:p>
      <w:pPr>
        <w:pStyle w:val="Indenta"/>
      </w:pPr>
      <w:r>
        <w:tab/>
        <w:t>(c)</w:t>
      </w:r>
      <w:r>
        <w:tab/>
        <w:t xml:space="preserve">in the case of a scheme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(4)</w:t>
      </w:r>
      <w:r>
        <w:tab/>
        <w:t>It is sufficient description for the purposes of subsection (3)(b) if reference is made on the plan or diagram to this section and regulations made for the purposes of this section.</w:t>
      </w:r>
    </w:p>
    <w:p>
      <w:pPr>
        <w:pStyle w:val="Footnotesection"/>
      </w:pPr>
      <w:r>
        <w:tab/>
        <w:t>[Section 150 amended: No. 60 of 2006 s. 147(4); No. 30 of 2018 s. 164.]</w:t>
      </w:r>
    </w:p>
    <w:p>
      <w:pPr>
        <w:pStyle w:val="Heading5"/>
      </w:pPr>
      <w:bookmarkStart w:id="195" w:name="_Toc199322443"/>
      <w:r>
        <w:rPr>
          <w:rStyle w:val="CharSectno"/>
        </w:rPr>
        <w:t>151</w:t>
      </w:r>
      <w:r>
        <w:t>.</w:t>
      </w:r>
      <w:r>
        <w:tab/>
        <w:t>Reconsidering conditions</w:t>
      </w:r>
      <w:bookmarkEnd w:id="195"/>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196" w:name="_Toc199322444"/>
      <w:r>
        <w:rPr>
          <w:rStyle w:val="CharSectno"/>
        </w:rPr>
        <w:t>152</w:t>
      </w:r>
      <w:r>
        <w:t>.</w:t>
      </w:r>
      <w:r>
        <w:tab/>
        <w:t>Certain land to vest in Crown</w:t>
      </w:r>
      <w:bookmarkEnd w:id="196"/>
    </w:p>
    <w:p>
      <w:pPr>
        <w:pStyle w:val="Subsection"/>
      </w:pPr>
      <w:r>
        <w:tab/>
        <w:t>(1)</w:t>
      </w:r>
      <w:r>
        <w:tab/>
        <w:t xml:space="preserve">If the Commission has approved a subdivision of land subject to a condition that one or more portions of land shown on a </w:t>
      </w:r>
      <w:r>
        <w:lastRenderedPageBreak/>
        <w:t xml:space="preserve">diagram or plan of survey relating to the subdivision or a scheme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pPr>
      <w:r>
        <w:tab/>
        <w:t>(e)</w:t>
      </w:r>
      <w:r>
        <w:tab/>
        <w:t>a reserve for water supply, sewerage, drainage, foreshore management, waterway management or recreation;</w:t>
      </w:r>
    </w:p>
    <w:p>
      <w:pPr>
        <w:pStyle w:val="Indenta"/>
      </w:pPr>
      <w:r>
        <w:tab/>
        <w:t>(f)</w:t>
      </w:r>
      <w:r>
        <w:tab/>
        <w:t>a public purpose specified in the condition and related to the subdivision,</w:t>
      </w:r>
    </w:p>
    <w:p>
      <w:pPr>
        <w:pStyle w:val="Subsection"/>
        <w:keepLines/>
      </w:pPr>
      <w:r>
        <w:tab/>
      </w:r>
      <w:r>
        <w:tab/>
        <w:t>then, subject to the encumbrances referred to in subsection (5), the land subject to the condition vests in the Crown by force of this section without any conveyance, transfer or assignment or the payment of any fee.</w:t>
      </w:r>
    </w:p>
    <w:p>
      <w:pPr>
        <w:pStyle w:val="Subsection"/>
        <w:keepNext/>
      </w:pPr>
      <w:r>
        <w:tab/>
        <w:t>(2)</w:t>
      </w:r>
      <w:r>
        <w:tab/>
        <w:t xml:space="preserve">Land vested under subsection (1) is vested — </w:t>
      </w:r>
    </w:p>
    <w:p>
      <w:pPr>
        <w:pStyle w:val="Indenta"/>
      </w:pPr>
      <w:r>
        <w:tab/>
        <w:t>(a)</w:t>
      </w:r>
      <w:r>
        <w:tab/>
        <w:t xml:space="preserve">in the case of a scheme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 and</w:t>
      </w:r>
    </w:p>
    <w:p>
      <w:pPr>
        <w:pStyle w:val="Indenta"/>
      </w:pPr>
      <w:r>
        <w:tab/>
        <w:t>(b)</w:t>
      </w:r>
      <w:r>
        <w:tab/>
        <w:t xml:space="preserve">does not form part of a parcel comprised in a scheme plan that is registered under the </w:t>
      </w:r>
      <w:r>
        <w:rPr>
          <w:i/>
        </w:rPr>
        <w:t>Strata Titles Act 1985</w:t>
      </w:r>
      <w:r>
        <w:t>; and</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lastRenderedPageBreak/>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 and</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 and</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Footnotesection"/>
      </w:pPr>
      <w:r>
        <w:tab/>
        <w:t>[Section 152 amended: No. 30 of 2018 s. 165.]</w:t>
      </w:r>
    </w:p>
    <w:p>
      <w:pPr>
        <w:pStyle w:val="Heading5"/>
      </w:pPr>
      <w:bookmarkStart w:id="197" w:name="_Toc199322445"/>
      <w:r>
        <w:rPr>
          <w:rStyle w:val="CharSectno"/>
        </w:rPr>
        <w:t>153</w:t>
      </w:r>
      <w:r>
        <w:t>.</w:t>
      </w:r>
      <w:r>
        <w:tab/>
        <w:t>Setting aside land for open space or payment in lieu</w:t>
      </w:r>
      <w:bookmarkEnd w:id="197"/>
    </w:p>
    <w:p>
      <w:pPr>
        <w:pStyle w:val="Subsection"/>
      </w:pPr>
      <w:r>
        <w:tab/>
        <w:t>(1)</w:t>
      </w:r>
      <w:r>
        <w:tab/>
        <w:t xml:space="preserve">The Commission may under section 143(1)(c) impose either of the following conditions on the approval of a plan of subdivision of land — </w:t>
      </w:r>
    </w:p>
    <w:p>
      <w:pPr>
        <w:pStyle w:val="Indenta"/>
      </w:pPr>
      <w:r>
        <w:tab/>
        <w:t>(a)</w:t>
      </w:r>
      <w:r>
        <w:tab/>
        <w:t>a requirement that a specified portion of the land be set aside and vested in the Crown for parks, recreation grounds or open spaces generally;</w:t>
      </w:r>
    </w:p>
    <w:p>
      <w:pPr>
        <w:pStyle w:val="Indenta"/>
      </w:pPr>
      <w:r>
        <w:tab/>
        <w:t>(b)</w:t>
      </w:r>
      <w:r>
        <w:tab/>
        <w:t xml:space="preserve">a requirement that the owner of the land make a payment to the local government in whose district the land is situated of a sum that represents the value of a specified portion of the land in lieu of a requirement to set aside </w:t>
      </w:r>
      <w:r>
        <w:lastRenderedPageBreak/>
        <w:t>and vest in the Crown that portion of the land for parks, recreation grounds or open spaces generally.</w:t>
      </w:r>
    </w:p>
    <w:p>
      <w:pPr>
        <w:pStyle w:val="Subsection"/>
      </w:pPr>
      <w:r>
        <w:tab/>
        <w:t>(2)</w:t>
      </w:r>
      <w:r>
        <w:tab/>
        <w:t>The Commission must not impose a requirement referred to in subsection (1)(b) unless the local government in whose district the land is situated has been consulted.</w:t>
      </w:r>
    </w:p>
    <w:p>
      <w:pPr>
        <w:pStyle w:val="Subsection"/>
      </w:pPr>
      <w:r>
        <w:tab/>
        <w:t>(3)</w:t>
      </w:r>
      <w:r>
        <w:tab/>
        <w:t>The Commission must not impose a requirement referred to in subsection (1)(b) in respect of a plan of subdivision that creates fewer than 3 lots.</w:t>
      </w:r>
    </w:p>
    <w:p>
      <w:pPr>
        <w:pStyle w:val="Subsection"/>
      </w:pPr>
      <w:r>
        <w:tab/>
        <w:t>(4)</w:t>
      </w:r>
      <w:r>
        <w:tab/>
        <w:t>If the Commission has imposed a condition referred to in subsection (1)(a) on an approval of a plan of subdivision, the Commission may, with the agreement of the local government in whose district the land is situated, consent to the owner of the land making a payment to the local government of a sum that represents the value of a portion of the land in lieu of setting aside that portion.</w:t>
      </w:r>
    </w:p>
    <w:p>
      <w:pPr>
        <w:pStyle w:val="Subsection"/>
      </w:pPr>
      <w:r>
        <w:tab/>
        <w:t>(5)</w:t>
      </w:r>
      <w:r>
        <w:tab/>
        <w:t>This section does not limit any other condition that the Commission may impose under section 143(1)(c).</w:t>
      </w:r>
    </w:p>
    <w:p>
      <w:pPr>
        <w:pStyle w:val="Footnotesection"/>
      </w:pPr>
      <w:r>
        <w:tab/>
        <w:t>[Section 153 inserted: No. 26 of 2020 s. 85.]</w:t>
      </w:r>
    </w:p>
    <w:p>
      <w:pPr>
        <w:pStyle w:val="Heading5"/>
      </w:pPr>
      <w:bookmarkStart w:id="198" w:name="_Toc199322446"/>
      <w:r>
        <w:rPr>
          <w:rStyle w:val="CharSectno"/>
        </w:rPr>
        <w:t>154</w:t>
      </w:r>
      <w:r>
        <w:t>.</w:t>
      </w:r>
      <w:r>
        <w:tab/>
        <w:t>Money paid in lieu of open space, application of</w:t>
      </w:r>
      <w:bookmarkEnd w:id="198"/>
    </w:p>
    <w:p>
      <w:pPr>
        <w:pStyle w:val="Subsection"/>
        <w:spacing w:before="120"/>
      </w:pPr>
      <w:r>
        <w:tab/>
        <w:t>(1)</w:t>
      </w:r>
      <w:r>
        <w:tab/>
        <w:t xml:space="preserve">All money received by a local government under section 153 is to be paid into a separate reserve account established and maintained under the </w:t>
      </w:r>
      <w:r>
        <w:rPr>
          <w:i/>
        </w:rPr>
        <w:t>Local Government Act 1995</w:t>
      </w:r>
      <w:r>
        <w:t xml:space="preserve"> section 6.11 for the purposes set out in subsection (2)(a) to (d).</w:t>
      </w:r>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 or</w:t>
      </w:r>
    </w:p>
    <w:p>
      <w:pPr>
        <w:pStyle w:val="Indenta"/>
      </w:pPr>
      <w:r>
        <w:tab/>
        <w:t>(b)</w:t>
      </w:r>
      <w:r>
        <w:tab/>
        <w:t>in repaying any loans raised by the local government for the purchase of any such land; or</w:t>
      </w:r>
    </w:p>
    <w:p>
      <w:pPr>
        <w:pStyle w:val="Indenta"/>
      </w:pPr>
      <w:r>
        <w:lastRenderedPageBreak/>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rStyle w:val="CharDefText"/>
        </w:rPr>
        <w:t>first owner</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rStyle w:val="CharDefText"/>
        </w:rPr>
        <w:t>second owner</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Footnotesection"/>
      </w:pPr>
      <w:r>
        <w:tab/>
        <w:t>[Section 154 amended: No. 26 of 2020 s. 86.]</w:t>
      </w:r>
    </w:p>
    <w:p>
      <w:pPr>
        <w:pStyle w:val="Heading5"/>
        <w:spacing w:before="180"/>
      </w:pPr>
      <w:bookmarkStart w:id="199" w:name="_Toc199322447"/>
      <w:r>
        <w:rPr>
          <w:rStyle w:val="CharSectno"/>
        </w:rPr>
        <w:t>155</w:t>
      </w:r>
      <w:r>
        <w:t>.</w:t>
      </w:r>
      <w:r>
        <w:tab/>
        <w:t>Value of land for s. 153, how determined</w:t>
      </w:r>
      <w:bookmarkEnd w:id="199"/>
    </w:p>
    <w:p>
      <w:pPr>
        <w:pStyle w:val="Subsection"/>
        <w:keepNext/>
        <w:keepLines/>
        <w:spacing w:before="120"/>
      </w:pPr>
      <w:r>
        <w:tab/>
        <w:t>(1)</w:t>
      </w:r>
      <w:r>
        <w:tab/>
        <w:t xml:space="preserve">In this section — </w:t>
      </w:r>
    </w:p>
    <w:p>
      <w:pPr>
        <w:pStyle w:val="Defstart"/>
        <w:keepNext/>
        <w:keepLines/>
      </w:pPr>
      <w:r>
        <w:tab/>
      </w:r>
      <w:r>
        <w:rPr>
          <w:rStyle w:val="CharDefText"/>
        </w:rPr>
        <w:t>licensed valuer</w:t>
      </w:r>
      <w:r>
        <w:t xml:space="preserve"> means — </w:t>
      </w:r>
    </w:p>
    <w:p>
      <w:pPr>
        <w:pStyle w:val="Defpara"/>
        <w:keepLines/>
        <w:spacing w:before="60"/>
      </w:pPr>
      <w:r>
        <w:tab/>
        <w:t>(a)</w:t>
      </w:r>
      <w:r>
        <w:tab/>
        <w:t xml:space="preserve">a licensed valuer as defined in the </w:t>
      </w:r>
      <w:r>
        <w:rPr>
          <w:i/>
        </w:rPr>
        <w:t>Land Valuers Licensing Act 1978</w:t>
      </w:r>
      <w:r>
        <w:t>; or</w:t>
      </w:r>
    </w:p>
    <w:p>
      <w:pPr>
        <w:pStyle w:val="Defpara"/>
        <w:keepNext/>
        <w:keepLines/>
        <w:spacing w:before="60"/>
      </w:pPr>
      <w:r>
        <w:tab/>
        <w:t>(b)</w:t>
      </w:r>
      <w:r>
        <w:tab/>
        <w:t>the Valuer</w:t>
      </w:r>
      <w:r>
        <w:noBreakHyphen/>
        <w:t>General,</w:t>
      </w:r>
    </w:p>
    <w:p>
      <w:pPr>
        <w:pStyle w:val="Defstart"/>
        <w:keepLines/>
        <w:spacing w:before="60"/>
      </w:pPr>
      <w:r>
        <w:tab/>
        <w:t>but nothing in subsection (3)(a) or in this definition is to be construed as obliging the Valuer</w:t>
      </w:r>
      <w:r>
        <w:noBreakHyphen/>
        <w:t>General to undertake a valuation for the purposes of this section;</w:t>
      </w:r>
    </w:p>
    <w:p>
      <w:pPr>
        <w:pStyle w:val="Defstart"/>
        <w:spacing w:before="60"/>
      </w:pPr>
      <w:r>
        <w:lastRenderedPageBreak/>
        <w:tab/>
      </w:r>
      <w:r>
        <w:rPr>
          <w:rStyle w:val="CharDefText"/>
        </w:rPr>
        <w:t>market value of land</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spacing w:before="120"/>
      </w:pPr>
      <w:r>
        <w:tab/>
        <w:t>(2)</w:t>
      </w:r>
      <w:r>
        <w:tab/>
        <w:t>For the purposes of section 153, the value of the portion is to be such percentage of the market value of the land of which the portion forms part as the area of the portion bears to the area of that land.</w:t>
      </w:r>
    </w:p>
    <w:p>
      <w:pPr>
        <w:pStyle w:val="Subsection"/>
        <w:spacing w:before="120"/>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 and</w:t>
      </w:r>
    </w:p>
    <w:p>
      <w:pPr>
        <w:pStyle w:val="Indenti"/>
      </w:pPr>
      <w:r>
        <w:tab/>
        <w:t>(ii)</w:t>
      </w:r>
      <w:r>
        <w:tab/>
        <w:t>on the basis that there are no buildings, fences or other improvements of a like nature on the land; 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spacing w:before="200"/>
      </w:pPr>
      <w:r>
        <w:tab/>
        <w:t>(4)</w:t>
      </w:r>
      <w:r>
        <w:tab/>
        <w:t>The licensed valuer is to give the valuation to the owner of the land and the local government.</w:t>
      </w:r>
    </w:p>
    <w:p>
      <w:pPr>
        <w:pStyle w:val="Subsection"/>
        <w:spacing w:before="200"/>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keepNext/>
      </w:pPr>
      <w:r>
        <w:lastRenderedPageBreak/>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200" w:name="_Toc199322448"/>
      <w:r>
        <w:rPr>
          <w:rStyle w:val="CharSectno"/>
        </w:rPr>
        <w:t>156</w:t>
      </w:r>
      <w:r>
        <w:t>.</w:t>
      </w:r>
      <w:r>
        <w:tab/>
        <w:t>Valuation under s. 155, dispute as to</w:t>
      </w:r>
      <w:bookmarkEnd w:id="200"/>
    </w:p>
    <w:p>
      <w:pPr>
        <w:pStyle w:val="Subsection"/>
        <w:spacing w:before="200"/>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spacing w:before="200"/>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2012</w:t>
      </w:r>
      <w:r>
        <w:t>.</w:t>
      </w:r>
    </w:p>
    <w:p>
      <w:pPr>
        <w:pStyle w:val="Footnotesection"/>
      </w:pPr>
      <w:r>
        <w:tab/>
        <w:t>[Section 156 amended: No. 23 of 2012 s. 45.]</w:t>
      </w:r>
    </w:p>
    <w:p>
      <w:pPr>
        <w:pStyle w:val="Heading5"/>
      </w:pPr>
      <w:bookmarkStart w:id="201" w:name="_Toc199322449"/>
      <w:r>
        <w:rPr>
          <w:rStyle w:val="CharSectno"/>
        </w:rPr>
        <w:t>157</w:t>
      </w:r>
      <w:r>
        <w:t>.</w:t>
      </w:r>
      <w:r>
        <w:tab/>
        <w:t>When approval of subdivision deemed to be approval under planning scheme</w:t>
      </w:r>
      <w:bookmarkEnd w:id="201"/>
    </w:p>
    <w:p>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keepNext/>
      </w:pPr>
      <w:r>
        <w:tab/>
        <w:t>(b)</w:t>
      </w:r>
      <w:r>
        <w:tab/>
        <w:t>required by the Commission to be carried out as a condition of approval of the plan of subdivision.</w:t>
      </w:r>
    </w:p>
    <w:p>
      <w:pPr>
        <w:pStyle w:val="Subsection"/>
        <w:spacing w:before="180"/>
      </w:pPr>
      <w:r>
        <w:tab/>
        <w:t>(2)</w:t>
      </w:r>
      <w:r>
        <w:tab/>
        <w:t xml:space="preserve">When approving a plan of subdivision the Commission may determine that the approval is not to be taken under subsection (1) to be approval by the responsible authority under </w:t>
      </w:r>
      <w:r>
        <w:lastRenderedPageBreak/>
        <w:t>the planning scheme of the carrying out of works specified in the determination, and the determination has effect accordingly.</w:t>
      </w:r>
    </w:p>
    <w:p>
      <w:pPr>
        <w:pStyle w:val="Heading3"/>
      </w:pPr>
      <w:bookmarkStart w:id="202" w:name="_Toc199322450"/>
      <w:r>
        <w:rPr>
          <w:rStyle w:val="CharDivNo"/>
        </w:rPr>
        <w:t>Division 4</w:t>
      </w:r>
      <w:r>
        <w:t> — </w:t>
      </w:r>
      <w:r>
        <w:rPr>
          <w:rStyle w:val="CharDivText"/>
        </w:rPr>
        <w:t>Subdivision costs</w:t>
      </w:r>
      <w:bookmarkEnd w:id="202"/>
    </w:p>
    <w:p>
      <w:pPr>
        <w:pStyle w:val="Heading5"/>
      </w:pPr>
      <w:bookmarkStart w:id="203" w:name="_Toc199322451"/>
      <w:r>
        <w:rPr>
          <w:rStyle w:val="CharSectno"/>
        </w:rPr>
        <w:t>158</w:t>
      </w:r>
      <w:r>
        <w:t>.</w:t>
      </w:r>
      <w:r>
        <w:tab/>
        <w:t>Expenses of construction etc. of roads etc.</w:t>
      </w:r>
      <w:bookmarkEnd w:id="203"/>
    </w:p>
    <w:p>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spacing w:before="180"/>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spacing w:before="180"/>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spacing w:before="60"/>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spacing w:before="180"/>
      </w:pPr>
      <w:r>
        <w:tab/>
        <w:t>(4)</w:t>
      </w:r>
      <w:r>
        <w:tab/>
        <w:t xml:space="preserve">The local government may require the person to employ a consulting engineer and clerk of works to design and supervise </w:t>
      </w:r>
      <w:r>
        <w:lastRenderedPageBreak/>
        <w:t>the construction and drainage and that person, when required to do so by the local government, is to carry out the requirement.</w:t>
      </w:r>
    </w:p>
    <w:p>
      <w:pPr>
        <w:pStyle w:val="Heading5"/>
        <w:spacing w:before="240"/>
      </w:pPr>
      <w:bookmarkStart w:id="204" w:name="_Toc199322452"/>
      <w:r>
        <w:rPr>
          <w:rStyle w:val="CharSectno"/>
        </w:rPr>
        <w:t>159</w:t>
      </w:r>
      <w:r>
        <w:t>.</w:t>
      </w:r>
      <w:r>
        <w:tab/>
        <w:t>Subdivider may recover portion of road costs from later subdivider</w:t>
      </w:r>
      <w:bookmarkEnd w:id="204"/>
    </w:p>
    <w:p>
      <w:pPr>
        <w:pStyle w:val="Subsection"/>
      </w:pPr>
      <w:r>
        <w:tab/>
        <w:t>(1)</w:t>
      </w:r>
      <w:r>
        <w:tab/>
        <w:t xml:space="preserve">Where — </w:t>
      </w:r>
    </w:p>
    <w:p>
      <w:pPr>
        <w:pStyle w:val="Indenta"/>
      </w:pPr>
      <w:r>
        <w:tab/>
        <w:t>(a)</w:t>
      </w:r>
      <w:r>
        <w:tab/>
        <w:t xml:space="preserve">a person (in this section called the </w:t>
      </w:r>
      <w:r>
        <w:rPr>
          <w:rStyle w:val="CharDefText"/>
        </w:rPr>
        <w:t>later subdivider</w:t>
      </w:r>
      <w:r>
        <w:t xml:space="preserve">) has subdivided land in which — </w:t>
      </w:r>
    </w:p>
    <w:p>
      <w:pPr>
        <w:pStyle w:val="Indenti"/>
      </w:pPr>
      <w:r>
        <w:tab/>
        <w:t>(i)</w:t>
      </w:r>
      <w:r>
        <w:tab/>
        <w:t>a lot or lots has or have a common boundary with; or</w:t>
      </w:r>
    </w:p>
    <w:p>
      <w:pPr>
        <w:pStyle w:val="Indenti"/>
      </w:pPr>
      <w:r>
        <w:tab/>
        <w:t>(ii)</w:t>
      </w:r>
      <w:r>
        <w:tab/>
        <w:t>a road joins,</w:t>
      </w:r>
    </w:p>
    <w:p>
      <w:pPr>
        <w:pStyle w:val="Indenta"/>
      </w:pPr>
      <w:r>
        <w:tab/>
      </w:r>
      <w:r>
        <w:tab/>
        <w:t>an existing road to which there is access from the subdivided land; and</w:t>
      </w:r>
    </w:p>
    <w:p>
      <w:pPr>
        <w:pStyle w:val="Indenta"/>
      </w:pPr>
      <w:r>
        <w:tab/>
        <w:t>(b)</w:t>
      </w:r>
      <w:r>
        <w:tab/>
        <w:t xml:space="preserve">a person (in this section called the </w:t>
      </w:r>
      <w:r>
        <w:rPr>
          <w:rStyle w:val="CharDefText"/>
        </w:rPr>
        <w:t>original subdivider</w:t>
      </w:r>
      <w:r>
        <w:t>) who previously subdivided land that also has a common boundary with that existing road, in connection with that subdivision, contributed to or bore solely the cost of providing or upgrading the existing road; and</w:t>
      </w:r>
    </w:p>
    <w:p>
      <w:pPr>
        <w:pStyle w:val="Indenta"/>
        <w:keepNext/>
      </w:pPr>
      <w:r>
        <w:tab/>
        <w:t>(c)</w:t>
      </w:r>
      <w:r>
        <w:tab/>
        <w:t>the later subdivider did not contribute to that cost,</w:t>
      </w:r>
    </w:p>
    <w:p>
      <w:pPr>
        <w:pStyle w:val="Subsection"/>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pPr>
      <w:r>
        <w:tab/>
        <w:t>(2)</w:t>
      </w:r>
      <w:r>
        <w:tab/>
        <w:t xml:space="preserve">In this section — </w:t>
      </w:r>
    </w:p>
    <w:p>
      <w:pPr>
        <w:pStyle w:val="Defstart"/>
      </w:pPr>
      <w:r>
        <w:tab/>
      </w:r>
      <w:r>
        <w:rPr>
          <w:rStyle w:val="CharDefText"/>
        </w:rPr>
        <w:t>CPI</w:t>
      </w:r>
      <w:r>
        <w:t xml:space="preserve"> means the Table described as the Consumer Price Index (All Groups Index) for Perth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rStyle w:val="CharDefText"/>
        </w:rPr>
        <w:t>market value of land</w:t>
      </w:r>
      <w:r>
        <w:t xml:space="preserve"> means the capital sum, determined in accordance with section 155(3)(b)(ii), (iii) and (iv), which an </w:t>
      </w:r>
      <w:r>
        <w:lastRenderedPageBreak/>
        <w:t>unencumbered estate in fee simple in the land might reasonably be expected to realise if offered for sale on such reasonable terms and conditions as a bona fide seller would require;</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spacing w:before="120"/>
      </w:pPr>
      <w:r>
        <w:tab/>
        <w:t>(3)</w:t>
      </w:r>
      <w:r>
        <w:tab/>
        <w:t xml:space="preserve">In this section a reference to the </w:t>
      </w:r>
      <w:r>
        <w:rPr>
          <w:rStyle w:val="CharDefText"/>
        </w:rPr>
        <w:t>cost of providing a road</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 and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spacing w:before="120"/>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keepLines w:val="0"/>
        <w:spacing w:before="180"/>
      </w:pPr>
      <w:bookmarkStart w:id="205" w:name="_Toc199322453"/>
      <w:r>
        <w:rPr>
          <w:rStyle w:val="CharSectno"/>
        </w:rPr>
        <w:t>160</w:t>
      </w:r>
      <w:r>
        <w:t>.</w:t>
      </w:r>
      <w:r>
        <w:tab/>
        <w:t>Money payable under s. 159, recovery of</w:t>
      </w:r>
      <w:bookmarkEnd w:id="205"/>
    </w:p>
    <w:p>
      <w:pPr>
        <w:pStyle w:val="Subsection"/>
        <w:spacing w:before="120"/>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keepNext w:val="0"/>
        <w:keepLines w:val="0"/>
        <w:spacing w:before="180"/>
      </w:pPr>
      <w:bookmarkStart w:id="206" w:name="_Toc199322454"/>
      <w:r>
        <w:rPr>
          <w:rStyle w:val="CharSectno"/>
        </w:rPr>
        <w:lastRenderedPageBreak/>
        <w:t>161</w:t>
      </w:r>
      <w:r>
        <w:t>.</w:t>
      </w:r>
      <w:r>
        <w:tab/>
        <w:t>When subdivision occurs</w:t>
      </w:r>
      <w:bookmarkEnd w:id="206"/>
    </w:p>
    <w:p>
      <w:pPr>
        <w:pStyle w:val="Subsection"/>
        <w:spacing w:before="120"/>
      </w:pPr>
      <w:r>
        <w:tab/>
      </w:r>
      <w:r>
        <w:tab/>
        <w:t>For the purposes of this Division land is subdivided on the date on which the approval of the Commission is endorsed on the diagram or plan of survey relating to the subdivision of the land.</w:t>
      </w:r>
    </w:p>
    <w:p>
      <w:pPr>
        <w:pStyle w:val="Heading3"/>
      </w:pPr>
      <w:bookmarkStart w:id="207" w:name="_Toc199322455"/>
      <w:r>
        <w:rPr>
          <w:rStyle w:val="CharDivNo"/>
        </w:rPr>
        <w:t>Division 5</w:t>
      </w:r>
      <w:r>
        <w:t> — </w:t>
      </w:r>
      <w:r>
        <w:rPr>
          <w:rStyle w:val="CharDivText"/>
        </w:rPr>
        <w:t>Development controls</w:t>
      </w:r>
      <w:bookmarkEnd w:id="207"/>
    </w:p>
    <w:p>
      <w:pPr>
        <w:pStyle w:val="Heading5"/>
        <w:spacing w:before="180"/>
      </w:pPr>
      <w:bookmarkStart w:id="208" w:name="_Toc199322456"/>
      <w:r>
        <w:rPr>
          <w:rStyle w:val="CharSectno"/>
        </w:rPr>
        <w:t>162</w:t>
      </w:r>
      <w:r>
        <w:t>.</w:t>
      </w:r>
      <w:r>
        <w:tab/>
        <w:t>No development except with approval</w:t>
      </w:r>
      <w:bookmarkEnd w:id="208"/>
    </w:p>
    <w:p>
      <w:pPr>
        <w:pStyle w:val="Subsection"/>
        <w:spacing w:before="120"/>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pPr>
      <w:bookmarkStart w:id="209" w:name="_Toc199322457"/>
      <w:r>
        <w:rPr>
          <w:rStyle w:val="CharSectno"/>
        </w:rPr>
        <w:t>163</w:t>
      </w:r>
      <w:r>
        <w:t>.</w:t>
      </w:r>
      <w:r>
        <w:tab/>
        <w:t>Application for development of heritage place</w:t>
      </w:r>
      <w:bookmarkEnd w:id="209"/>
    </w:p>
    <w:p>
      <w:pPr>
        <w:pStyle w:val="Subsection"/>
        <w:keepNext/>
      </w:pPr>
      <w:r>
        <w:tab/>
      </w:r>
      <w:r>
        <w:tab/>
        <w:t xml:space="preserve">An application for approval of development must, if the application is a proposal to which the </w:t>
      </w:r>
      <w:r>
        <w:rPr>
          <w:i/>
        </w:rPr>
        <w:t xml:space="preserve">Heritage Act 2018 </w:t>
      </w:r>
      <w:r>
        <w:t xml:space="preserve">section 73(1) applies, be made — </w:t>
      </w:r>
    </w:p>
    <w:p>
      <w:pPr>
        <w:pStyle w:val="Indenta"/>
      </w:pPr>
      <w:r>
        <w:tab/>
        <w:t>(a)</w:t>
      </w:r>
      <w:r>
        <w:tab/>
        <w:t>in the case of an application under a local planning scheme or local interim development order, to the responsible authority; and</w:t>
      </w:r>
    </w:p>
    <w:p>
      <w:pPr>
        <w:pStyle w:val="Indenta"/>
        <w:keepNext/>
      </w:pPr>
      <w:r>
        <w:tab/>
        <w:t>(b)</w:t>
      </w:r>
      <w:r>
        <w:tab/>
        <w:t>in any other case, to the Commission.</w:t>
      </w:r>
    </w:p>
    <w:p>
      <w:pPr>
        <w:pStyle w:val="Footnotesection"/>
      </w:pPr>
      <w:r>
        <w:tab/>
        <w:t>[Section 163 inserted: No. 22 of 2018 s. 186(12).]</w:t>
      </w:r>
    </w:p>
    <w:p>
      <w:pPr>
        <w:pStyle w:val="Heading5"/>
      </w:pPr>
      <w:bookmarkStart w:id="210" w:name="_Toc199322458"/>
      <w:r>
        <w:rPr>
          <w:rStyle w:val="CharSectno"/>
        </w:rPr>
        <w:lastRenderedPageBreak/>
        <w:t>164</w:t>
      </w:r>
      <w:r>
        <w:t>.</w:t>
      </w:r>
      <w:r>
        <w:tab/>
        <w:t>Development commenced or carried out, subsequent approval of</w:t>
      </w:r>
      <w:bookmarkEnd w:id="210"/>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pPr>
      <w:bookmarkStart w:id="211" w:name="_Toc199322459"/>
      <w:r>
        <w:rPr>
          <w:rStyle w:val="CharDivNo"/>
        </w:rPr>
        <w:t>Division 5A</w:t>
      </w:r>
      <w:r>
        <w:t> — </w:t>
      </w:r>
      <w:r>
        <w:rPr>
          <w:rStyle w:val="CharDivText"/>
        </w:rPr>
        <w:t>Integration of subdivision and development</w:t>
      </w:r>
      <w:bookmarkEnd w:id="211"/>
    </w:p>
    <w:p>
      <w:pPr>
        <w:pStyle w:val="Footnoteheading"/>
        <w:keepNext/>
      </w:pPr>
      <w:r>
        <w:tab/>
        <w:t>[Heading inserted: No. 30 of 2018 s. 166.]</w:t>
      </w:r>
    </w:p>
    <w:p>
      <w:pPr>
        <w:pStyle w:val="Heading5"/>
      </w:pPr>
      <w:bookmarkStart w:id="212" w:name="_Toc199322460"/>
      <w:r>
        <w:rPr>
          <w:rStyle w:val="CharSectno"/>
        </w:rPr>
        <w:t>164A</w:t>
      </w:r>
      <w:r>
        <w:t>.</w:t>
      </w:r>
      <w:r>
        <w:tab/>
        <w:t>Integration of subdivision and development</w:t>
      </w:r>
      <w:bookmarkEnd w:id="212"/>
    </w:p>
    <w:p>
      <w:pPr>
        <w:pStyle w:val="Subsection"/>
      </w:pPr>
      <w:r>
        <w:tab/>
        <w:t>(1)</w:t>
      </w:r>
      <w:r>
        <w:tab/>
        <w:t>This section applies if, on an application for subdivision approval or development approval, the Commission or responsible authority forms the opinion that the integration of subdivision and development approvals or multiple subdivision or development approvals is necessary or desirable —</w:t>
      </w:r>
    </w:p>
    <w:p>
      <w:pPr>
        <w:pStyle w:val="Indenta"/>
      </w:pPr>
      <w:r>
        <w:tab/>
        <w:t>(a)</w:t>
      </w:r>
      <w:r>
        <w:tab/>
        <w:t>due to the size of the lots and potential impact on the amenity of the locality; or</w:t>
      </w:r>
    </w:p>
    <w:p>
      <w:pPr>
        <w:pStyle w:val="Indenta"/>
      </w:pPr>
      <w:r>
        <w:lastRenderedPageBreak/>
        <w:tab/>
        <w:t>(b)</w:t>
      </w:r>
      <w:r>
        <w:tab/>
        <w:t>for other reasons associated with the achievement of orderly and proper planning, and the preservation of the amenity, of the locality.</w:t>
      </w:r>
    </w:p>
    <w:p>
      <w:pPr>
        <w:pStyle w:val="Subsection"/>
      </w:pPr>
      <w:r>
        <w:tab/>
        <w:t>(2)</w:t>
      </w:r>
      <w:r>
        <w:tab/>
        <w:t>The main purposes of integrating subdivision and development approvals are —</w:t>
      </w:r>
    </w:p>
    <w:p>
      <w:pPr>
        <w:pStyle w:val="Indenta"/>
      </w:pPr>
      <w:r>
        <w:tab/>
        <w:t>(a)</w:t>
      </w:r>
      <w:r>
        <w:tab/>
        <w:t>to facilitate a cohesive approach to planning and development in circumstances where subdivision and development should only be undertaken in conjunction with each other; and</w:t>
      </w:r>
    </w:p>
    <w:p>
      <w:pPr>
        <w:pStyle w:val="Indenta"/>
      </w:pPr>
      <w:r>
        <w:tab/>
        <w:t>(b)</w:t>
      </w:r>
      <w:r>
        <w:tab/>
        <w:t>to ensure that, in those circumstances, appropriate conditions for both the subdivision and development of land are determined as early as is practicable.</w:t>
      </w:r>
    </w:p>
    <w:p>
      <w:pPr>
        <w:pStyle w:val="Subsection"/>
      </w:pPr>
      <w:r>
        <w:tab/>
        <w:t>(3)</w:t>
      </w:r>
      <w:r>
        <w:tab/>
        <w:t>If this section applies —</w:t>
      </w:r>
    </w:p>
    <w:p>
      <w:pPr>
        <w:pStyle w:val="Indenta"/>
      </w:pPr>
      <w:r>
        <w:tab/>
        <w:t>(a)</w:t>
      </w:r>
      <w:r>
        <w:tab/>
        <w:t>the Commission may, in order to achieve the necessary or desirable integration of subdivision and development approvals, refuse to determine an application for subdivision approval until other applications for subdivision or development approvals are made or are made and determined; and</w:t>
      </w:r>
    </w:p>
    <w:p>
      <w:pPr>
        <w:pStyle w:val="Indenta"/>
      </w:pPr>
      <w:r>
        <w:tab/>
        <w:t>(b)</w:t>
      </w:r>
      <w:r>
        <w:tab/>
        <w:t xml:space="preserve">the Commission may refuse to unconditionally endorse a diagram or plan of survey with a subdivision approval in order for the plan to be registered in the Register under the </w:t>
      </w:r>
      <w:r>
        <w:rPr>
          <w:i/>
          <w:iCs/>
        </w:rPr>
        <w:t>Transfer of Land Act 1893</w:t>
      </w:r>
      <w:r>
        <w:t xml:space="preserve"> unless satisfied that —</w:t>
      </w:r>
    </w:p>
    <w:p>
      <w:pPr>
        <w:pStyle w:val="Indenti"/>
      </w:pPr>
      <w:r>
        <w:tab/>
        <w:t>(i)</w:t>
      </w:r>
      <w:r>
        <w:tab/>
        <w:t>the diagram or plan of survey is an accurate depiction of the subdivision that has been prepared after completion of the works necessary for the subdivision and the construction or modification of the buildings necessary for the development, the approvals of which have been required to be integrated; and</w:t>
      </w:r>
    </w:p>
    <w:p>
      <w:pPr>
        <w:pStyle w:val="Indenti"/>
      </w:pPr>
      <w:r>
        <w:tab/>
        <w:t>(ii)</w:t>
      </w:r>
      <w:r>
        <w:tab/>
        <w:t>the subdivision and development has been undertaken consistently with the relevant approvals, including their conditions; and</w:t>
      </w:r>
    </w:p>
    <w:p>
      <w:pPr>
        <w:pStyle w:val="Indenti"/>
      </w:pPr>
      <w:r>
        <w:lastRenderedPageBreak/>
        <w:tab/>
        <w:t>(iii)</w:t>
      </w:r>
      <w:r>
        <w:tab/>
        <w:t xml:space="preserve">the requirements of the </w:t>
      </w:r>
      <w:r>
        <w:rPr>
          <w:i/>
          <w:iCs/>
        </w:rPr>
        <w:t>Building Act 2011</w:t>
      </w:r>
      <w:r>
        <w:t xml:space="preserve"> have been complied with for the development.</w:t>
      </w:r>
    </w:p>
    <w:p>
      <w:pPr>
        <w:pStyle w:val="Subsection"/>
      </w:pPr>
      <w:r>
        <w:tab/>
        <w:t>(4)</w:t>
      </w:r>
      <w:r>
        <w:tab/>
        <w:t>Regulations may be made —</w:t>
      </w:r>
    </w:p>
    <w:p>
      <w:pPr>
        <w:pStyle w:val="Indenta"/>
      </w:pPr>
      <w:r>
        <w:tab/>
        <w:t>(a)</w:t>
      </w:r>
      <w:r>
        <w:tab/>
        <w:t>requiring the Commission or a responsible authority to inform each other and share information about an application for subdivision approval or development approval; or</w:t>
      </w:r>
    </w:p>
    <w:p>
      <w:pPr>
        <w:pStyle w:val="Indenta"/>
      </w:pPr>
      <w:r>
        <w:tab/>
        <w:t>(b)</w:t>
      </w:r>
      <w:r>
        <w:tab/>
        <w:t>requiring an applicant to provide additional documents or information reasonably required to determine whether subdivision and development approvals should be integrated under this section and to give effect to any such integration; or</w:t>
      </w:r>
    </w:p>
    <w:p>
      <w:pPr>
        <w:pStyle w:val="Indenta"/>
      </w:pPr>
      <w:r>
        <w:tab/>
        <w:t>(c)</w:t>
      </w:r>
      <w:r>
        <w:tab/>
        <w:t>establishing processes for the concurrent or separate consideration of subdivision and development approvals to which this section applies and for the imposition of conditions of approvals to which this section applies; or</w:t>
      </w:r>
    </w:p>
    <w:p>
      <w:pPr>
        <w:pStyle w:val="Indenta"/>
      </w:pPr>
      <w:r>
        <w:tab/>
        <w:t>(d)</w:t>
      </w:r>
      <w:r>
        <w:tab/>
        <w:t>otherwise facilitating the integration of subdivision and development approvals.</w:t>
      </w:r>
    </w:p>
    <w:p>
      <w:pPr>
        <w:pStyle w:val="Footnotesection"/>
      </w:pPr>
      <w:r>
        <w:tab/>
        <w:t>[Section 164A inserted: No. 30 of 2018 s. 166.]</w:t>
      </w:r>
    </w:p>
    <w:p>
      <w:pPr>
        <w:pStyle w:val="Heading3"/>
        <w:spacing w:before="300"/>
      </w:pPr>
      <w:bookmarkStart w:id="213" w:name="_Toc199322461"/>
      <w:r>
        <w:rPr>
          <w:rStyle w:val="CharDivNo"/>
        </w:rPr>
        <w:t>Division 6</w:t>
      </w:r>
      <w:r>
        <w:t> — </w:t>
      </w:r>
      <w:r>
        <w:rPr>
          <w:rStyle w:val="CharDivText"/>
        </w:rPr>
        <w:t>Miscellaneous</w:t>
      </w:r>
      <w:bookmarkEnd w:id="213"/>
    </w:p>
    <w:p>
      <w:pPr>
        <w:pStyle w:val="Heading5"/>
      </w:pPr>
      <w:bookmarkStart w:id="214" w:name="_Toc199322462"/>
      <w:r>
        <w:rPr>
          <w:rStyle w:val="CharSectno"/>
        </w:rPr>
        <w:t>165</w:t>
      </w:r>
      <w:r>
        <w:t>.</w:t>
      </w:r>
      <w:r>
        <w:tab/>
        <w:t>Hazard etc. affecting land, notating titles as to</w:t>
      </w:r>
      <w:bookmarkEnd w:id="214"/>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pPr>
      <w:r>
        <w:tab/>
        <w:t>(b)</w:t>
      </w:r>
      <w:r>
        <w:tab/>
        <w:t xml:space="preserve">a strata titles scheme as defined in the </w:t>
      </w:r>
      <w:r>
        <w:rPr>
          <w:i/>
        </w:rPr>
        <w:t>Strata Titles Act 1985</w:t>
      </w:r>
      <w:r>
        <w:t xml:space="preserve"> section 3(1), registered, or lodged for registration, under that Act,</w:t>
      </w:r>
    </w:p>
    <w:p>
      <w:pPr>
        <w:pStyle w:val="Subsection"/>
      </w:pPr>
      <w:r>
        <w:tab/>
      </w:r>
      <w:r>
        <w:tab/>
        <w:t>be made aware of hazards or other factors seriously affecting the use or enjoyment of that land and determines that the title and land register in respect of that land should be noted accordingly.</w:t>
      </w:r>
    </w:p>
    <w:p>
      <w:pPr>
        <w:pStyle w:val="Subsection"/>
      </w:pPr>
      <w:r>
        <w:lastRenderedPageBreak/>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pPr>
      <w:r>
        <w:tab/>
        <w:t>(3)</w:t>
      </w:r>
      <w:r>
        <w:tab/>
        <w:t>Where a notification is deposited under subsection (2), the Registrar of Titles is to endorse or note the title and land register in respect of the land with that notification.</w:t>
      </w:r>
    </w:p>
    <w:p>
      <w:pPr>
        <w:pStyle w:val="Subsection"/>
      </w:pPr>
      <w:r>
        <w:tab/>
        <w:t>(4)</w:t>
      </w:r>
      <w:r>
        <w:tab/>
        <w:t>The Commission may, at any time after the notification has been deposited under subsection (2), lodge a withdrawal of that notification with the Authority.</w:t>
      </w:r>
    </w:p>
    <w:p>
      <w:pPr>
        <w:pStyle w:val="Subsection"/>
        <w:spacing w:before="120"/>
      </w:pPr>
      <w:r>
        <w:tab/>
        <w:t>(5)</w:t>
      </w:r>
      <w:r>
        <w:tab/>
        <w:t>A withdrawal of a notification under subsection (4) is to be in a form acceptable to the Registrar of Titles.</w:t>
      </w:r>
    </w:p>
    <w:p>
      <w:pPr>
        <w:pStyle w:val="Footnotesection"/>
      </w:pPr>
      <w:r>
        <w:tab/>
        <w:t>[Section 165 amended: No. 60 of 2006 s. 147(5); No. 30 of 2018 s. 167.]</w:t>
      </w:r>
    </w:p>
    <w:p>
      <w:pPr>
        <w:pStyle w:val="Heading5"/>
        <w:spacing w:before="180"/>
      </w:pPr>
      <w:bookmarkStart w:id="215" w:name="_Toc199322463"/>
      <w:r>
        <w:rPr>
          <w:rStyle w:val="CharSectno"/>
        </w:rPr>
        <w:t>166</w:t>
      </w:r>
      <w:r>
        <w:t>.</w:t>
      </w:r>
      <w:r>
        <w:tab/>
        <w:t>Encroachment that leads to approved subdivision</w:t>
      </w:r>
      <w:bookmarkEnd w:id="215"/>
    </w:p>
    <w:p>
      <w:pPr>
        <w:pStyle w:val="Subsection"/>
        <w:spacing w:before="120"/>
      </w:pPr>
      <w:r>
        <w:tab/>
      </w:r>
      <w:r>
        <w:tab/>
        <w:t xml:space="preserve">If, after the erection of a building on land the property of one owner — </w:t>
      </w:r>
    </w:p>
    <w:p>
      <w:pPr>
        <w:pStyle w:val="Indenta"/>
        <w:spacing w:before="60"/>
      </w:pPr>
      <w:r>
        <w:tab/>
        <w:t>(a)</w:t>
      </w:r>
      <w:r>
        <w:tab/>
        <w:t>it is found that the building encroaches upon land the property of another owner to the extent of not more than one metre; and</w:t>
      </w:r>
    </w:p>
    <w:p>
      <w:pPr>
        <w:pStyle w:val="Indenta"/>
        <w:spacing w:before="60"/>
      </w:pPr>
      <w:r>
        <w:tab/>
        <w:t>(b)</w:t>
      </w:r>
      <w:r>
        <w:tab/>
        <w:t>the encroaching owner desires to purchase the land upon which the encroachment stands; and</w:t>
      </w:r>
    </w:p>
    <w:p>
      <w:pPr>
        <w:pStyle w:val="Indenta"/>
        <w:spacing w:before="60"/>
      </w:pPr>
      <w:r>
        <w:tab/>
        <w:t>(c)</w:t>
      </w:r>
      <w:r>
        <w:tab/>
        <w:t>an application for approval of the necessary subdivision is made by the owner of the land encroached upon; and</w:t>
      </w:r>
    </w:p>
    <w:p>
      <w:pPr>
        <w:pStyle w:val="Indenta"/>
        <w:spacing w:before="60"/>
      </w:pPr>
      <w:r>
        <w:tab/>
        <w:t>(d)</w:t>
      </w:r>
      <w:r>
        <w:tab/>
        <w:t>the Commission is satisfied that there has not been collusion and that everything has been done in good faith without intention to evade the law,</w:t>
      </w:r>
    </w:p>
    <w:p>
      <w:pPr>
        <w:pStyle w:val="Subsection"/>
        <w:spacing w:before="100"/>
      </w:pPr>
      <w:r>
        <w:tab/>
      </w:r>
      <w:r>
        <w:tab/>
        <w:t>the Commission is to approve of the necessary subdivision.</w:t>
      </w:r>
    </w:p>
    <w:p>
      <w:pPr>
        <w:pStyle w:val="Heading5"/>
      </w:pPr>
      <w:bookmarkStart w:id="216" w:name="_Toc199322464"/>
      <w:r>
        <w:rPr>
          <w:rStyle w:val="CharSectno"/>
        </w:rPr>
        <w:lastRenderedPageBreak/>
        <w:t>167</w:t>
      </w:r>
      <w:r>
        <w:t>.</w:t>
      </w:r>
      <w:r>
        <w:tab/>
        <w:t>Easement, creation of etc. on subdivision etc.</w:t>
      </w:r>
      <w:bookmarkEnd w:id="216"/>
    </w:p>
    <w:p>
      <w:pPr>
        <w:pStyle w:val="Subsection"/>
        <w:keepNext/>
        <w:spacing w:before="120"/>
      </w:pPr>
      <w:r>
        <w:tab/>
        <w:t>(1)</w:t>
      </w:r>
      <w:r>
        <w:tab/>
        <w:t xml:space="preserve">Where — </w:t>
      </w:r>
    </w:p>
    <w:p>
      <w:pPr>
        <w:pStyle w:val="Indenta"/>
        <w:spacing w:before="56"/>
      </w:pPr>
      <w:r>
        <w:tab/>
        <w:t>(a)</w:t>
      </w:r>
      <w:r>
        <w:tab/>
        <w:t xml:space="preserve">a diagram or plan of survey of a subdivision, or a scheme plan lodged for registration under the </w:t>
      </w:r>
      <w:r>
        <w:rPr>
          <w:i/>
        </w:rPr>
        <w:t>Strata Titles Act 1985</w:t>
      </w:r>
      <w:r>
        <w:rPr>
          <w:iCs/>
        </w:rPr>
        <w:t xml:space="preserve">, </w:t>
      </w:r>
      <w:r>
        <w:t>is received by the Authority; and</w:t>
      </w:r>
    </w:p>
    <w:p>
      <w:pPr>
        <w:pStyle w:val="Indenta"/>
        <w:spacing w:before="56"/>
      </w:pPr>
      <w:r>
        <w:tab/>
        <w:t>(b)</w:t>
      </w:r>
      <w:r>
        <w:tab/>
        <w:t xml:space="preserve">it is shown on the plan or diagram that any land comprised in the diagram or plan is subject to or intended to be subject to an easement in favour of — </w:t>
      </w:r>
    </w:p>
    <w:p>
      <w:pPr>
        <w:pStyle w:val="Indenti"/>
        <w:spacing w:before="56"/>
      </w:pPr>
      <w:r>
        <w:tab/>
        <w:t>(i)</w:t>
      </w:r>
      <w:r>
        <w:tab/>
        <w:t>the local government in whose district the land is situated, for the purposes of sewerage or drainage or access to sewerage or drainage works; or</w:t>
      </w:r>
    </w:p>
    <w:p>
      <w:pPr>
        <w:pStyle w:val="Indenti"/>
      </w:pPr>
      <w:r>
        <w:tab/>
        <w:t>(ii)</w:t>
      </w:r>
      <w:r>
        <w:tab/>
        <w:t xml:space="preserve">a licensee as defined in the </w:t>
      </w:r>
      <w:r>
        <w:rPr>
          <w:i/>
          <w:iCs/>
        </w:rPr>
        <w:t xml:space="preserve">Water Services Act 2012 </w:t>
      </w:r>
      <w:r>
        <w:t>section 3(1), for the purpose of water supply, sewerage, irrigation or drainage works or access to water supply, sewerage, irrigation or drainage works; or</w:t>
      </w:r>
    </w:p>
    <w:p>
      <w:pPr>
        <w:pStyle w:val="Indenti"/>
      </w:pPr>
      <w:r>
        <w:tab/>
        <w:t>(iii)</w:t>
      </w:r>
      <w:r>
        <w:tab/>
        <w:t xml:space="preserve">the holder of a licence under the </w:t>
      </w:r>
      <w:r>
        <w:rPr>
          <w:i/>
        </w:rPr>
        <w:t>Electricity Industry Act 2004</w:t>
      </w:r>
      <w:r>
        <w:t xml:space="preserve"> for the purpose of the supply of electricity or access to electricity supply works; or</w:t>
      </w:r>
    </w:p>
    <w:p>
      <w:pPr>
        <w:pStyle w:val="Indenti"/>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pPr>
      <w:r>
        <w:tab/>
        <w:t>(v)</w:t>
      </w:r>
      <w:r>
        <w:tab/>
        <w:t>any holder of a licence under a written law for the purpose of the supply of a utility service or access to a utility service, under the authority of that licence,</w:t>
      </w:r>
    </w:p>
    <w:p>
      <w:pPr>
        <w:pStyle w:val="Subsection"/>
        <w:spacing w:before="80"/>
      </w:pPr>
      <w:r>
        <w:tab/>
      </w:r>
      <w:r>
        <w:tab/>
        <w:t xml:space="preserve">the land becomes subject to an easement in favour of the person or authority mentioned on the plan or diagram for the purpose mentioned on the diagram or plan — </w:t>
      </w:r>
    </w:p>
    <w:p>
      <w:pPr>
        <w:pStyle w:val="Indenta"/>
      </w:pPr>
      <w:r>
        <w:tab/>
        <w:t>(c)</w:t>
      </w:r>
      <w:r>
        <w:tab/>
        <w:t xml:space="preserve">in the case of a scheme plan lodged for registration under the </w:t>
      </w:r>
      <w:r>
        <w:rPr>
          <w:i/>
        </w:rPr>
        <w:t>Strata Titles Act 1985</w:t>
      </w:r>
      <w:r>
        <w:t>, at the time the Registrar of Titles registers the plan under that Act; and</w:t>
      </w:r>
    </w:p>
    <w:p>
      <w:pPr>
        <w:pStyle w:val="Indenta"/>
      </w:pPr>
      <w:r>
        <w:lastRenderedPageBreak/>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keepNext/>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keepNext/>
      </w:pPr>
      <w:r>
        <w:lastRenderedPageBreak/>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No. 60 of 2006 s. 147(6); No. 25 of 2012 s. 222(3); No. 30 of 2018 s. 168.]</w:t>
      </w:r>
    </w:p>
    <w:p>
      <w:pPr>
        <w:pStyle w:val="Heading5"/>
      </w:pPr>
      <w:bookmarkStart w:id="217" w:name="_Toc199322465"/>
      <w:r>
        <w:rPr>
          <w:rStyle w:val="CharSectno"/>
        </w:rPr>
        <w:t>168</w:t>
      </w:r>
      <w:r>
        <w:t>.</w:t>
      </w:r>
      <w:r>
        <w:tab/>
        <w:t>Road, creation of etc. on subdivision etc.</w:t>
      </w:r>
      <w:bookmarkEnd w:id="217"/>
    </w:p>
    <w:p>
      <w:pPr>
        <w:pStyle w:val="Subsection"/>
      </w:pPr>
      <w:r>
        <w:tab/>
        <w:t>(1)</w:t>
      </w:r>
      <w:r>
        <w:tab/>
        <w:t xml:space="preserve">All land on a diagram or plan of survey of a subdivision, or a scheme plan lodged for registration under the </w:t>
      </w:r>
      <w:r>
        <w:rPr>
          <w:i/>
        </w:rPr>
        <w:t>Strata Titles Act 1985</w:t>
      </w:r>
      <w:r>
        <w:rPr>
          <w:iCs/>
        </w:rPr>
        <w:t xml:space="preserve">, </w:t>
      </w:r>
      <w:r>
        <w:t>deposited with the Authority that is shown as a new road is dedicated as a road.</w:t>
      </w:r>
    </w:p>
    <w:p>
      <w:pPr>
        <w:pStyle w:val="Subsection"/>
      </w:pPr>
      <w:r>
        <w:tab/>
        <w:t>(2)</w:t>
      </w:r>
      <w:r>
        <w:tab/>
        <w:t>The local government within the district in which the dedicated road is situated has the care, control and management of the road.</w:t>
      </w:r>
    </w:p>
    <w:p>
      <w:pPr>
        <w:pStyle w:val="Subsection"/>
      </w:pPr>
      <w:r>
        <w:tab/>
        <w:t>(3)</w:t>
      </w:r>
      <w:r>
        <w:tab/>
        <w:t xml:space="preserve">All land on a diagram or plan of survey of a subdivision, or a scheme 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pPr>
        <w:pStyle w:val="Subsection"/>
        <w:keepNext/>
      </w:pPr>
      <w:r>
        <w:tab/>
        <w:t>(4)</w:t>
      </w:r>
      <w:r>
        <w:tab/>
        <w:t xml:space="preserve">Subsections (1) and (3) operate — </w:t>
      </w:r>
    </w:p>
    <w:p>
      <w:pPr>
        <w:pStyle w:val="Indenta"/>
      </w:pPr>
      <w:r>
        <w:tab/>
        <w:t>(a)</w:t>
      </w:r>
      <w:r>
        <w:tab/>
        <w:t xml:space="preserve">in the case of a scheme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lastRenderedPageBreak/>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or the LAA Department is subsequently rounded off or truncated, the portion of land so excised forms part of the road and is dedicated to the public use.</w:t>
      </w:r>
    </w:p>
    <w:p>
      <w:pPr>
        <w:pStyle w:val="Subsection"/>
      </w:pPr>
      <w:r>
        <w:tab/>
        <w:t>(7)</w:t>
      </w:r>
      <w:r>
        <w:tab/>
        <w:t>The local government within the district in which the land referred to in subsection (6) is situated has the care, control and management of the land.</w:t>
      </w:r>
    </w:p>
    <w:p>
      <w:pPr>
        <w:pStyle w:val="Subsection"/>
        <w:keepNext/>
      </w:pPr>
      <w:r>
        <w:tab/>
        <w:t>(8)</w:t>
      </w:r>
      <w:r>
        <w:tab/>
        <w:t xml:space="preserve">Subsection (6) operates — </w:t>
      </w:r>
    </w:p>
    <w:p>
      <w:pPr>
        <w:pStyle w:val="Indenta"/>
      </w:pPr>
      <w:r>
        <w:tab/>
        <w:t>(a)</w:t>
      </w:r>
      <w:r>
        <w:tab/>
        <w:t xml:space="preserve">in the case of a scheme plan lodged for registration under the </w:t>
      </w:r>
      <w:r>
        <w:rPr>
          <w:i/>
        </w:rPr>
        <w:t>Strata Titles Act 1985</w:t>
      </w:r>
      <w:r>
        <w:t>, at the time the Registrar of Titles registers the plan under that Act;</w:t>
      </w:r>
    </w:p>
    <w:p>
      <w:pPr>
        <w:pStyle w:val="Indenta"/>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keepLines/>
      </w:pPr>
      <w:r>
        <w:tab/>
        <w:t>(c)</w:t>
      </w:r>
      <w:r>
        <w:tab/>
        <w:t>in the case of a plan lodged with an application for registration of a document giving effect to the rounding off or truncation, at the time of the registration of that document.</w:t>
      </w:r>
    </w:p>
    <w:p>
      <w:pPr>
        <w:pStyle w:val="Subsection"/>
      </w:pPr>
      <w:r>
        <w:tab/>
        <w:t>(9)</w:t>
      </w:r>
      <w:r>
        <w:tab/>
        <w:t xml:space="preserve">Land referred to in subsection (1), (3) or (6) does not form part of a parcel comprised in a scheme plan that is registered under the </w:t>
      </w:r>
      <w:r>
        <w:rPr>
          <w:i/>
        </w:rPr>
        <w:t>Strata Titles Act 1985</w:t>
      </w:r>
      <w:r>
        <w:t>.</w:t>
      </w:r>
    </w:p>
    <w:p>
      <w:pPr>
        <w:pStyle w:val="Footnotesection"/>
        <w:ind w:left="890" w:hanging="890"/>
      </w:pPr>
      <w:r>
        <w:tab/>
        <w:t>[Section 168 amended: No. 60 of 2006 s. 147(7); No. 30 of 2018 s. 169.]</w:t>
      </w:r>
    </w:p>
    <w:p>
      <w:pPr>
        <w:pStyle w:val="Heading5"/>
      </w:pPr>
      <w:bookmarkStart w:id="218" w:name="_Toc199322466"/>
      <w:r>
        <w:rPr>
          <w:rStyle w:val="CharSectno"/>
        </w:rPr>
        <w:lastRenderedPageBreak/>
        <w:t>169</w:t>
      </w:r>
      <w:r>
        <w:t>.</w:t>
      </w:r>
      <w:r>
        <w:tab/>
        <w:t>Roads and waterways, minimum standards of construction for</w:t>
      </w:r>
      <w:bookmarkEnd w:id="218"/>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pPr>
      <w:r>
        <w:tab/>
        <w:t>(3)</w:t>
      </w:r>
      <w:r>
        <w:tab/>
        <w:t xml:space="preserve">A notice published under subsection (1) is subsidiary legislation for the purposes of sections 43 and 44 of the </w:t>
      </w:r>
      <w:r>
        <w:rPr>
          <w:i/>
        </w:rPr>
        <w:t>Interpretation Act 1984</w:t>
      </w:r>
      <w:r>
        <w:t>.</w:t>
      </w:r>
    </w:p>
    <w:p>
      <w:pPr>
        <w:pStyle w:val="Subsection"/>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spacing w:before="180"/>
      </w:pPr>
      <w:bookmarkStart w:id="219" w:name="_Toc199322467"/>
      <w:r>
        <w:rPr>
          <w:rStyle w:val="CharSectno"/>
        </w:rPr>
        <w:t>170</w:t>
      </w:r>
      <w:r>
        <w:t>.</w:t>
      </w:r>
      <w:r>
        <w:tab/>
        <w:t>Proposed road or waterway, drawings etc. of required</w:t>
      </w:r>
      <w:bookmarkEnd w:id="219"/>
    </w:p>
    <w:p>
      <w:pPr>
        <w:pStyle w:val="Subsection"/>
        <w:keepNext/>
      </w:pPr>
      <w:r>
        <w:tab/>
        <w:t>(1A)</w:t>
      </w:r>
      <w:r>
        <w:tab/>
        <w:t xml:space="preserve">In this section — </w:t>
      </w:r>
    </w:p>
    <w:p>
      <w:pPr>
        <w:pStyle w:val="Defstart"/>
        <w:keepNext/>
      </w:pPr>
      <w:r>
        <w:tab/>
      </w:r>
      <w:r>
        <w:rPr>
          <w:rStyle w:val="CharDefText"/>
        </w:rPr>
        <w:t>responsible authority</w:t>
      </w:r>
      <w:r>
        <w:t xml:space="preserve"> means — </w:t>
      </w:r>
    </w:p>
    <w:p>
      <w:pPr>
        <w:pStyle w:val="Defpara"/>
        <w:spacing w:before="60"/>
      </w:pPr>
      <w:r>
        <w:tab/>
        <w:t>(a)</w:t>
      </w:r>
      <w:r>
        <w:tab/>
        <w:t>in relation to land that is subject to a local planning scheme — the local government responsible for the enforcement of the observance of the scheme; and</w:t>
      </w:r>
    </w:p>
    <w:p>
      <w:pPr>
        <w:pStyle w:val="Defpara"/>
        <w:spacing w:before="60"/>
      </w:pPr>
      <w:r>
        <w:tab/>
        <w:t>(b)</w:t>
      </w:r>
      <w:r>
        <w:tab/>
        <w:t>in relation to land that is subject to an improvement scheme or the Swan Valley Planning Scheme — the Commission.</w:t>
      </w:r>
    </w:p>
    <w:p>
      <w:pPr>
        <w:pStyle w:val="Subsection"/>
        <w:keepNext/>
      </w:pPr>
      <w:r>
        <w:tab/>
        <w:t>(1)</w:t>
      </w:r>
      <w:r>
        <w:tab/>
        <w:t xml:space="preserve">Before a person who is subdividing land commences to construct and drain roads or construct artificial waterways </w:t>
      </w:r>
      <w:r>
        <w:lastRenderedPageBreak/>
        <w:t>shown in the diagram or plan of survey, that person is to give to the responsible authority —</w:t>
      </w:r>
    </w:p>
    <w:p>
      <w:pPr>
        <w:pStyle w:val="Indenta"/>
      </w:pPr>
      <w:r>
        <w:tab/>
        <w:t>(a)</w:t>
      </w:r>
      <w:r>
        <w:tab/>
        <w:t>drawings showing longitudinal and cross sections of the proposed road or artificial waterway; and</w:t>
      </w:r>
    </w:p>
    <w:p>
      <w:pPr>
        <w:pStyle w:val="Indenta"/>
      </w:pPr>
      <w:r>
        <w:tab/>
        <w:t>(b)</w:t>
      </w:r>
      <w:r>
        <w:tab/>
        <w:t>specifications of the proposed road or artificial waterway; and</w:t>
      </w:r>
    </w:p>
    <w:p>
      <w:pPr>
        <w:pStyle w:val="Indenta"/>
      </w:pPr>
      <w:r>
        <w:tab/>
        <w:t>(c)</w:t>
      </w:r>
      <w:r>
        <w:tab/>
        <w:t>such other information including information relating to levels, drainage, nature of soil, and physical features as the responsible authority requires.</w:t>
      </w:r>
    </w:p>
    <w:p>
      <w:pPr>
        <w:pStyle w:val="Subsection"/>
      </w:pPr>
      <w:r>
        <w:tab/>
        <w:t>(2)</w:t>
      </w:r>
      <w:r>
        <w:tab/>
        <w:t>A person who does not comply with subsection (1) commits an offence.</w:t>
      </w:r>
    </w:p>
    <w:p>
      <w:pPr>
        <w:pStyle w:val="Subsection"/>
      </w:pPr>
      <w:r>
        <w:tab/>
        <w:t>(3)</w:t>
      </w:r>
      <w:r>
        <w:tab/>
        <w:t xml:space="preserve">The responsible authority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responsible authority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keepNext/>
      </w:pPr>
      <w:r>
        <w:tab/>
        <w:t>(4)</w:t>
      </w:r>
      <w:r>
        <w:tab/>
        <w:t xml:space="preserve">Without limiting the powers conferred on a responsible authority by subsection (3), where — </w:t>
      </w:r>
    </w:p>
    <w:p>
      <w:pPr>
        <w:pStyle w:val="Indenta"/>
      </w:pPr>
      <w:r>
        <w:tab/>
        <w:t>(a)</w:t>
      </w:r>
      <w:r>
        <w:tab/>
        <w:t>a person delivers drawings and specifications of a proposed road or artificial waterway to a responsible authority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 xml:space="preserve">the responsible authority is to by written notice require the person to so amend the drawing or specifications, or both, as to </w:t>
      </w:r>
      <w:r>
        <w:lastRenderedPageBreak/>
        <w:t>cause the proposed road or artificial waterway to satisfy those minimum standards.</w:t>
      </w:r>
    </w:p>
    <w:p>
      <w:pPr>
        <w:pStyle w:val="Subsection"/>
      </w:pPr>
      <w:r>
        <w:tab/>
        <w:t>(5)</w:t>
      </w:r>
      <w:r>
        <w:tab/>
        <w:t>A person who is aggrieved by a requirement of the responsible authority made under subsection (3) may apply to the State Administrative Tribunal for a review, in accordance with Part 14, of the responsible authority’s decision.</w:t>
      </w:r>
    </w:p>
    <w:p>
      <w:pPr>
        <w:pStyle w:val="Subsection"/>
        <w:keepNext/>
      </w:pPr>
      <w:r>
        <w:tab/>
        <w:t>(6)</w:t>
      </w:r>
      <w:r>
        <w:tab/>
        <w:t>A person who does not comply with a requirement of a responsible authority made by written notice given to that person under subsection (3) commits an offence.</w:t>
      </w:r>
    </w:p>
    <w:p>
      <w:pPr>
        <w:pStyle w:val="Footnotesection"/>
      </w:pPr>
      <w:r>
        <w:tab/>
        <w:t xml:space="preserve">[Section 170 amended: No. 28 of 2010 s. 15; No. 45 of 2020 s. 80.] </w:t>
      </w:r>
    </w:p>
    <w:p>
      <w:pPr>
        <w:pStyle w:val="Heading2"/>
      </w:pPr>
      <w:bookmarkStart w:id="220" w:name="_Toc199322468"/>
      <w:r>
        <w:rPr>
          <w:rStyle w:val="CharPartNo"/>
        </w:rPr>
        <w:lastRenderedPageBreak/>
        <w:t>Part 11A</w:t>
      </w:r>
      <w:r>
        <w:rPr>
          <w:b w:val="0"/>
        </w:rPr>
        <w:t> </w:t>
      </w:r>
      <w:r>
        <w:t>—</w:t>
      </w:r>
      <w:r>
        <w:rPr>
          <w:b w:val="0"/>
        </w:rPr>
        <w:t> </w:t>
      </w:r>
      <w:r>
        <w:rPr>
          <w:rStyle w:val="CharPartText"/>
        </w:rPr>
        <w:t>Development Assessment Panels and development control</w:t>
      </w:r>
      <w:bookmarkEnd w:id="220"/>
    </w:p>
    <w:p>
      <w:pPr>
        <w:pStyle w:val="Footnoteheading"/>
      </w:pPr>
      <w:r>
        <w:tab/>
        <w:t xml:space="preserve">[Heading inserted: No. 28 of 2010 s. 43.] </w:t>
      </w:r>
    </w:p>
    <w:p>
      <w:pPr>
        <w:pStyle w:val="Heading3"/>
      </w:pPr>
      <w:bookmarkStart w:id="221" w:name="_Toc199322469"/>
      <w:r>
        <w:rPr>
          <w:rStyle w:val="CharDivNo"/>
        </w:rPr>
        <w:t>Division 1</w:t>
      </w:r>
      <w:r>
        <w:t> — </w:t>
      </w:r>
      <w:r>
        <w:rPr>
          <w:rStyle w:val="CharDivText"/>
        </w:rPr>
        <w:t>Functions of DAPs</w:t>
      </w:r>
      <w:bookmarkEnd w:id="221"/>
    </w:p>
    <w:p>
      <w:pPr>
        <w:pStyle w:val="Footnoteheading"/>
      </w:pPr>
      <w:r>
        <w:tab/>
        <w:t xml:space="preserve">[Heading inserted: No. 28 of 2010 s. 43.] </w:t>
      </w:r>
    </w:p>
    <w:p>
      <w:pPr>
        <w:pStyle w:val="Heading5"/>
      </w:pPr>
      <w:bookmarkStart w:id="222" w:name="_Toc199322470"/>
      <w:r>
        <w:rPr>
          <w:rStyle w:val="CharSectno"/>
        </w:rPr>
        <w:t>171A</w:t>
      </w:r>
      <w:r>
        <w:t>.</w:t>
      </w:r>
      <w:r>
        <w:tab/>
        <w:t>Prescribed development applications, DAP to determine and regulations for</w:t>
      </w:r>
      <w:bookmarkEnd w:id="222"/>
    </w:p>
    <w:p>
      <w:pPr>
        <w:pStyle w:val="Subsection"/>
      </w:pPr>
      <w:r>
        <w:tab/>
        <w:t>(1)</w:t>
      </w:r>
      <w:r>
        <w:tab/>
        <w:t xml:space="preserve">In this section — </w:t>
      </w:r>
    </w:p>
    <w:p>
      <w:pPr>
        <w:pStyle w:val="Defstart"/>
      </w:pPr>
      <w:r>
        <w:tab/>
      </w:r>
      <w:r>
        <w:rPr>
          <w:rStyle w:val="CharDefText"/>
        </w:rPr>
        <w:t>planning instrument</w:t>
      </w:r>
      <w:r>
        <w:t xml:space="preserve"> means — </w:t>
      </w:r>
    </w:p>
    <w:p>
      <w:pPr>
        <w:pStyle w:val="Defpara"/>
      </w:pPr>
      <w:r>
        <w:tab/>
        <w:t>(a)</w:t>
      </w:r>
      <w:r>
        <w:tab/>
        <w:t>a planning scheme; or</w:t>
      </w:r>
    </w:p>
    <w:p>
      <w:pPr>
        <w:pStyle w:val="Defpara"/>
      </w:pPr>
      <w:r>
        <w:tab/>
        <w:t>(b)</w:t>
      </w:r>
      <w:r>
        <w:tab/>
        <w:t>an interim development order;</w:t>
      </w:r>
    </w:p>
    <w:p>
      <w:pPr>
        <w:pStyle w:val="Defstart"/>
      </w:pPr>
      <w:r>
        <w:tab/>
      </w:r>
      <w:r>
        <w:rPr>
          <w:rStyle w:val="CharDefText"/>
        </w:rPr>
        <w:t>prescribed development application</w:t>
      </w:r>
      <w:r>
        <w:t xml:space="preserve"> means — </w:t>
      </w:r>
    </w:p>
    <w:p>
      <w:pPr>
        <w:pStyle w:val="Indenta"/>
      </w:pPr>
      <w:r>
        <w:tab/>
        <w:t>(a)</w:t>
      </w:r>
      <w:r>
        <w:tab/>
        <w:t>a development application of a class or kind prescribed for the purposes of subsection (2)(a); or</w:t>
      </w:r>
    </w:p>
    <w:p>
      <w:pPr>
        <w:pStyle w:val="Indenta"/>
      </w:pPr>
      <w:r>
        <w:tab/>
        <w:t>(b)</w:t>
      </w:r>
      <w:r>
        <w:tab/>
        <w:t>a development application of a class or kind prescribed for the purposes of subsection (2)(ba) in respect of which an applicant has made an election in accordance with regulations made under subsection (2)(ba)(i);</w:t>
      </w:r>
    </w:p>
    <w:p>
      <w:pPr>
        <w:pStyle w:val="Subsection"/>
      </w:pPr>
      <w:r>
        <w:tab/>
        <w:t>(2)</w:t>
      </w:r>
      <w:r>
        <w:tab/>
        <w:t xml:space="preserve">The Governor may make regulations — </w:t>
      </w:r>
    </w:p>
    <w:p>
      <w:pPr>
        <w:pStyle w:val="Indenta"/>
      </w:pPr>
      <w:r>
        <w:tab/>
        <w:t>(a)</w:t>
      </w:r>
      <w:r>
        <w:tab/>
        <w:t xml:space="preserve">providing that, despite any other provision of this Act or a planning instrument, a development application of a class or kind prescribed for the purposes of this paragraph — </w:t>
      </w:r>
    </w:p>
    <w:p>
      <w:pPr>
        <w:pStyle w:val="Indenti"/>
      </w:pPr>
      <w:r>
        <w:tab/>
        <w:t>(i)</w:t>
      </w:r>
      <w:r>
        <w:tab/>
        <w:t>must be determined by a DAP as if the DAP were the responsible authority under the relevant planning instrument in relation to the development; and</w:t>
      </w:r>
    </w:p>
    <w:p>
      <w:pPr>
        <w:pStyle w:val="Indenti"/>
      </w:pPr>
      <w:r>
        <w:tab/>
        <w:t>(ii)</w:t>
      </w:r>
      <w:r>
        <w:tab/>
        <w:t>cannot be determined by a local government or the Commission;</w:t>
      </w:r>
    </w:p>
    <w:p>
      <w:pPr>
        <w:pStyle w:val="Indenta"/>
      </w:pPr>
      <w:r>
        <w:lastRenderedPageBreak/>
        <w:tab/>
        <w:t>(ba)</w:t>
      </w:r>
      <w:r>
        <w:tab/>
        <w:t xml:space="preserve">providing that, despite any other provision of this Act or a planning instrument, if — </w:t>
      </w:r>
    </w:p>
    <w:p>
      <w:pPr>
        <w:pStyle w:val="Indenti"/>
      </w:pPr>
      <w:r>
        <w:tab/>
        <w:t>(i)</w:t>
      </w:r>
      <w:r>
        <w:tab/>
        <w:t>an applicant for approval of development elects in accordance with the prescribed procedure to have a development application determined by a DAP; and</w:t>
      </w:r>
    </w:p>
    <w:p>
      <w:pPr>
        <w:pStyle w:val="Indenti"/>
      </w:pPr>
      <w:r>
        <w:tab/>
        <w:t>(ii)</w:t>
      </w:r>
      <w:r>
        <w:tab/>
        <w:t>the development application is of a class or kind prescribed by the regulations for the purposes of this paragraph,</w:t>
      </w:r>
    </w:p>
    <w:p>
      <w:pPr>
        <w:pStyle w:val="Indenta"/>
      </w:pPr>
      <w:r>
        <w:tab/>
      </w:r>
      <w:r>
        <w:tab/>
        <w:t xml:space="preserve">the development application — </w:t>
      </w:r>
    </w:p>
    <w:p>
      <w:pPr>
        <w:pStyle w:val="Indenti"/>
      </w:pPr>
      <w:r>
        <w:tab/>
        <w:t>(iii)</w:t>
      </w:r>
      <w:r>
        <w:tab/>
        <w:t>must be determined by a DAP as if the DAP were the responsible authority under the relevant planning instrument in relation to the development; and</w:t>
      </w:r>
    </w:p>
    <w:p>
      <w:pPr>
        <w:pStyle w:val="Indenti"/>
      </w:pPr>
      <w:r>
        <w:tab/>
        <w:t>(iv)</w:t>
      </w:r>
      <w:r>
        <w:tab/>
        <w:t>cannot be determined by a local government or the Commission;</w:t>
      </w:r>
    </w:p>
    <w:p>
      <w:pPr>
        <w:pStyle w:val="Indenta"/>
      </w:pPr>
      <w:r>
        <w:tab/>
        <w:t>(b)</w:t>
      </w:r>
      <w:r>
        <w:tab/>
        <w:t>providing for the duties and responsibilities of local governments and the Commission in relation to prescribed development applications;</w:t>
      </w:r>
    </w:p>
    <w:p>
      <w:pPr>
        <w:pStyle w:val="Indenta"/>
      </w:pPr>
      <w:r>
        <w:tab/>
        <w:t>(c)</w:t>
      </w:r>
      <w:r>
        <w:tab/>
        <w:t>providing for the procedures for dealing with prescribed development applications;</w:t>
      </w:r>
    </w:p>
    <w:p>
      <w:pPr>
        <w:pStyle w:val="Indenta"/>
      </w:pPr>
      <w:r>
        <w:tab/>
        <w:t>(d)</w:t>
      </w:r>
      <w:r>
        <w:tab/>
        <w:t>providing for the application of the provisions of this Act and planning instruments in relation to prescribed development applications;</w:t>
      </w:r>
    </w:p>
    <w:p>
      <w:pPr>
        <w:pStyle w:val="Indenta"/>
      </w:pPr>
      <w:r>
        <w:tab/>
        <w:t>(e)</w:t>
      </w:r>
      <w:r>
        <w:tab/>
        <w:t>providing for the procedures to be followed by, and powers of, a DAP when determining a prescribed development application;</w:t>
      </w:r>
    </w:p>
    <w:p>
      <w:pPr>
        <w:pStyle w:val="Indenta"/>
      </w:pPr>
      <w:r>
        <w:tab/>
        <w:t>(f)</w:t>
      </w:r>
      <w:r>
        <w:tab/>
        <w:t>providing for the effect of a determination of a prescribed development application;</w:t>
      </w:r>
    </w:p>
    <w:p>
      <w:pPr>
        <w:pStyle w:val="Indenta"/>
      </w:pPr>
      <w:r>
        <w:tab/>
        <w:t>(g)</w:t>
      </w:r>
      <w:r>
        <w:tab/>
        <w:t>providing for the notification of a determination of a prescribed development application;</w:t>
      </w:r>
    </w:p>
    <w:p>
      <w:pPr>
        <w:pStyle w:val="Indenta"/>
        <w:keepNext/>
      </w:pPr>
      <w:r>
        <w:lastRenderedPageBreak/>
        <w:tab/>
        <w:t>(h)</w:t>
      </w:r>
      <w:r>
        <w:tab/>
        <w:t>providing for the review of a determination of a prescribed development application.</w:t>
      </w:r>
    </w:p>
    <w:p>
      <w:pPr>
        <w:pStyle w:val="Subsection"/>
      </w:pPr>
      <w:r>
        <w:tab/>
        <w:t>(2A)</w:t>
      </w:r>
      <w:r>
        <w:tab/>
        <w:t>A development application that relates to land in the Swan Valley cannot be a prescribed development application.</w:t>
      </w:r>
    </w:p>
    <w:p>
      <w:pPr>
        <w:pStyle w:val="Subsection"/>
      </w:pPr>
      <w:r>
        <w:tab/>
        <w:t>(3)</w:t>
      </w:r>
      <w:r>
        <w:tab/>
        <w:t xml:space="preserve">Unless otherwise provided under regulations made for the purposes of subsection (2) — </w:t>
      </w:r>
    </w:p>
    <w:p>
      <w:pPr>
        <w:pStyle w:val="Indenta"/>
      </w:pPr>
      <w:r>
        <w:tab/>
        <w:t>(a)</w:t>
      </w:r>
      <w:r>
        <w:tab/>
        <w:t>a determination by a DAP of a prescribed development application; and</w:t>
      </w:r>
    </w:p>
    <w:p>
      <w:pPr>
        <w:pStyle w:val="Indenta"/>
      </w:pPr>
      <w:r>
        <w:tab/>
        <w:t>(b)</w:t>
      </w:r>
      <w:r>
        <w:tab/>
        <w:t>a failure by a DAP to make a determination of a prescribed development application,</w:t>
      </w:r>
    </w:p>
    <w:p>
      <w:pPr>
        <w:pStyle w:val="Subsection"/>
      </w:pPr>
      <w:r>
        <w:tab/>
      </w:r>
      <w:r>
        <w:tab/>
        <w:t>is to be regarded as, and has effect as if it were, a determination or failure of the responsible authority to which the application was made.</w:t>
      </w:r>
    </w:p>
    <w:p>
      <w:pPr>
        <w:pStyle w:val="Footnotesection"/>
      </w:pPr>
      <w:r>
        <w:tab/>
        <w:t xml:space="preserve">[Section 171A inserted: No. 28 of 2010 s. 43; amended: No. 45 of 2020 s. 81.] </w:t>
      </w:r>
    </w:p>
    <w:p>
      <w:pPr>
        <w:pStyle w:val="Heading5"/>
      </w:pPr>
      <w:bookmarkStart w:id="223" w:name="_Toc199322471"/>
      <w:r>
        <w:rPr>
          <w:rStyle w:val="CharSectno"/>
        </w:rPr>
        <w:t>171B</w:t>
      </w:r>
      <w:r>
        <w:t>.</w:t>
      </w:r>
      <w:r>
        <w:tab/>
        <w:t>DAP to carry out delegated functions</w:t>
      </w:r>
      <w:bookmarkEnd w:id="223"/>
    </w:p>
    <w:p>
      <w:pPr>
        <w:pStyle w:val="Subsection"/>
      </w:pPr>
      <w:r>
        <w:tab/>
        <w:t>(1)</w:t>
      </w:r>
      <w:r>
        <w:tab/>
        <w:t>In addition to the functions conferred on it by regulations made under section 171A, a DAP is to perform the functions that are delegated to it by a responsible authority in accordance with regulations made under subsection (2).</w:t>
      </w:r>
    </w:p>
    <w:p>
      <w:pPr>
        <w:pStyle w:val="Subsection"/>
      </w:pPr>
      <w:r>
        <w:tab/>
        <w:t>(2)</w:t>
      </w:r>
      <w:r>
        <w:tab/>
        <w:t xml:space="preserve">The Governor may make regulations — </w:t>
      </w:r>
    </w:p>
    <w:p>
      <w:pPr>
        <w:pStyle w:val="Indenta"/>
      </w:pPr>
      <w:r>
        <w:tab/>
        <w:t>(a)</w:t>
      </w:r>
      <w:r>
        <w:tab/>
        <w:t>prescribing the functions under this Act or a planning scheme that may be delegated by a responsible authority to a DAP; and</w:t>
      </w:r>
    </w:p>
    <w:p>
      <w:pPr>
        <w:pStyle w:val="Indenta"/>
      </w:pPr>
      <w:r>
        <w:tab/>
        <w:t>(b)</w:t>
      </w:r>
      <w:r>
        <w:tab/>
        <w:t>making provision in relation to the making and effect of the delegation of functions by a responsible authority to a DAP.</w:t>
      </w:r>
    </w:p>
    <w:p>
      <w:pPr>
        <w:pStyle w:val="Footnotesection"/>
      </w:pPr>
      <w:r>
        <w:tab/>
        <w:t xml:space="preserve">[Section 171B inserted: No. 28 of 2010 s. 43.] </w:t>
      </w:r>
    </w:p>
    <w:p>
      <w:pPr>
        <w:pStyle w:val="Heading3"/>
      </w:pPr>
      <w:bookmarkStart w:id="224" w:name="_Toc199322472"/>
      <w:r>
        <w:rPr>
          <w:rStyle w:val="CharDivNo"/>
        </w:rPr>
        <w:lastRenderedPageBreak/>
        <w:t>Division 2</w:t>
      </w:r>
      <w:r>
        <w:t> — </w:t>
      </w:r>
      <w:r>
        <w:rPr>
          <w:rStyle w:val="CharDivText"/>
        </w:rPr>
        <w:t>Development Assessment Panels: establishment and administration</w:t>
      </w:r>
      <w:bookmarkEnd w:id="224"/>
    </w:p>
    <w:p>
      <w:pPr>
        <w:pStyle w:val="Footnoteheading"/>
        <w:keepNext/>
      </w:pPr>
      <w:r>
        <w:tab/>
        <w:t xml:space="preserve">[Heading inserted: No. 28 of 2010 s. 43.] </w:t>
      </w:r>
    </w:p>
    <w:p>
      <w:pPr>
        <w:pStyle w:val="Heading5"/>
        <w:spacing w:before="180"/>
      </w:pPr>
      <w:bookmarkStart w:id="225" w:name="_Toc199322473"/>
      <w:r>
        <w:rPr>
          <w:rStyle w:val="CharSectno"/>
        </w:rPr>
        <w:t>171C</w:t>
      </w:r>
      <w:r>
        <w:t>.</w:t>
      </w:r>
      <w:r>
        <w:tab/>
        <w:t>Establishment of DAPs</w:t>
      </w:r>
      <w:bookmarkEnd w:id="225"/>
    </w:p>
    <w:p>
      <w:pPr>
        <w:pStyle w:val="Subsection"/>
      </w:pPr>
      <w:r>
        <w:tab/>
        <w:t>(1)</w:t>
      </w:r>
      <w:r>
        <w:tab/>
        <w:t xml:space="preserve">The Minister may, by order published in the </w:t>
      </w:r>
      <w:r>
        <w:rPr>
          <w:i/>
          <w:iCs/>
        </w:rPr>
        <w:t>Gazette</w:t>
      </w:r>
      <w:r>
        <w:t xml:space="preserve">, establish — </w:t>
      </w:r>
    </w:p>
    <w:p>
      <w:pPr>
        <w:pStyle w:val="Indenta"/>
      </w:pPr>
      <w:r>
        <w:tab/>
        <w:t>(a)</w:t>
      </w:r>
      <w:r>
        <w:tab/>
        <w:t>a LDAP for a district;</w:t>
      </w:r>
    </w:p>
    <w:p>
      <w:pPr>
        <w:pStyle w:val="Indenta"/>
      </w:pPr>
      <w:r>
        <w:tab/>
        <w:t>(b)</w:t>
      </w:r>
      <w:r>
        <w:tab/>
        <w:t>a JDAP for 2 or more districts.</w:t>
      </w:r>
    </w:p>
    <w:p>
      <w:pPr>
        <w:pStyle w:val="Subsection"/>
      </w:pPr>
      <w:r>
        <w:tab/>
        <w:t>(2)</w:t>
      </w:r>
      <w:r>
        <w:tab/>
        <w:t>The order must give the DAP a name.</w:t>
      </w:r>
    </w:p>
    <w:p>
      <w:pPr>
        <w:pStyle w:val="Subsection"/>
      </w:pPr>
      <w:r>
        <w:tab/>
        <w:t>(3)</w:t>
      </w:r>
      <w:r>
        <w:tab/>
        <w:t>A JDAP cannot be established for a district for which a LDAP is established.</w:t>
      </w:r>
    </w:p>
    <w:p>
      <w:pPr>
        <w:pStyle w:val="Subsection"/>
      </w:pPr>
      <w:r>
        <w:tab/>
        <w:t>(4)</w:t>
      </w:r>
      <w:r>
        <w:tab/>
        <w:t>A LDAP cannot be established for a district for which a JDAP is established.</w:t>
      </w:r>
    </w:p>
    <w:p>
      <w:pPr>
        <w:pStyle w:val="Subsection"/>
      </w:pPr>
      <w:r>
        <w:tab/>
        <w:t>(5)</w:t>
      </w:r>
      <w:r>
        <w:tab/>
        <w:t>If a JDAP is established for 2 or more districts, the districts need not be contiguous.</w:t>
      </w:r>
    </w:p>
    <w:p>
      <w:pPr>
        <w:pStyle w:val="Subsection"/>
      </w:pPr>
      <w:r>
        <w:tab/>
        <w:t>(6)</w:t>
      </w:r>
      <w:r>
        <w:tab/>
        <w:t xml:space="preserve">The Minister may revoke or amend an order made under subsection (1) by further order published in the </w:t>
      </w:r>
      <w:r>
        <w:rPr>
          <w:i/>
          <w:iCs/>
        </w:rPr>
        <w:t>Gazette</w:t>
      </w:r>
      <w:r>
        <w:t>.</w:t>
      </w:r>
    </w:p>
    <w:p>
      <w:pPr>
        <w:pStyle w:val="Subsection"/>
      </w:pPr>
      <w:r>
        <w:tab/>
        <w:t>(7)</w:t>
      </w:r>
      <w:r>
        <w:tab/>
        <w:t>The regulations may prescribe transitional provisions in relation to the revocation or amendment of an order under this section.</w:t>
      </w:r>
    </w:p>
    <w:p>
      <w:pPr>
        <w:pStyle w:val="Footnotesection"/>
      </w:pPr>
      <w:r>
        <w:tab/>
        <w:t xml:space="preserve">[Section 171C inserted: No. 28 of 2010 s. 43.] </w:t>
      </w:r>
    </w:p>
    <w:p>
      <w:pPr>
        <w:pStyle w:val="Heading5"/>
      </w:pPr>
      <w:bookmarkStart w:id="226" w:name="_Toc199322474"/>
      <w:r>
        <w:rPr>
          <w:rStyle w:val="CharSectno"/>
        </w:rPr>
        <w:t>171D</w:t>
      </w:r>
      <w:r>
        <w:t>.</w:t>
      </w:r>
      <w:r>
        <w:tab/>
        <w:t>Constitution, procedure and conduct of DAPs</w:t>
      </w:r>
      <w:bookmarkEnd w:id="226"/>
    </w:p>
    <w:p>
      <w:pPr>
        <w:pStyle w:val="Subsection"/>
      </w:pPr>
      <w:r>
        <w:tab/>
        <w:t>(1)</w:t>
      </w:r>
      <w:r>
        <w:tab/>
        <w:t>The Governor may make regulations prescribing all matters that are required or permitted by this Act to be prescribed, or that are necessary or convenient to be prescribed, for the establishment and functioning of DAPs.</w:t>
      </w:r>
    </w:p>
    <w:p>
      <w:pPr>
        <w:pStyle w:val="Subsection"/>
        <w:keepNext/>
      </w:pPr>
      <w:r>
        <w:lastRenderedPageBreak/>
        <w:tab/>
        <w:t>(2)</w:t>
      </w:r>
      <w:r>
        <w:tab/>
        <w:t xml:space="preserve">Without limiting subsection (1), regulations may be made about the constitution, procedure and conduct of DAPs, including but not limited to regulations about the following — </w:t>
      </w:r>
    </w:p>
    <w:p>
      <w:pPr>
        <w:pStyle w:val="Indenta"/>
      </w:pPr>
      <w:r>
        <w:tab/>
        <w:t>(a)</w:t>
      </w:r>
      <w:r>
        <w:tab/>
        <w:t>the total number of persons who are to be on a DAP;</w:t>
      </w:r>
    </w:p>
    <w:p>
      <w:pPr>
        <w:pStyle w:val="Indenta"/>
      </w:pPr>
      <w:r>
        <w:tab/>
        <w:t>(b)</w:t>
      </w:r>
      <w:r>
        <w:tab/>
        <w:t>the qualifications to be held by each person on a DAP;</w:t>
      </w:r>
    </w:p>
    <w:p>
      <w:pPr>
        <w:pStyle w:val="Indenta"/>
      </w:pPr>
      <w:r>
        <w:tab/>
        <w:t>(c)</w:t>
      </w:r>
      <w:r>
        <w:tab/>
        <w:t>the procedure to be followed for nominating and appointing DAP members;</w:t>
      </w:r>
    </w:p>
    <w:p>
      <w:pPr>
        <w:pStyle w:val="Indenta"/>
      </w:pPr>
      <w:r>
        <w:tab/>
        <w:t>(d)</w:t>
      </w:r>
      <w:r>
        <w:tab/>
        <w:t>the remuneration and allowances payable to DAP members;</w:t>
      </w:r>
    </w:p>
    <w:p>
      <w:pPr>
        <w:pStyle w:val="Indenta"/>
      </w:pPr>
      <w:r>
        <w:tab/>
        <w:t>(e)</w:t>
      </w:r>
      <w:r>
        <w:tab/>
        <w:t>the term of office of DAP members;</w:t>
      </w:r>
    </w:p>
    <w:p>
      <w:pPr>
        <w:pStyle w:val="Indenta"/>
      </w:pPr>
      <w:r>
        <w:tab/>
        <w:t>(f)</w:t>
      </w:r>
      <w:r>
        <w:tab/>
        <w:t>the removal of DAP members;</w:t>
      </w:r>
    </w:p>
    <w:p>
      <w:pPr>
        <w:pStyle w:val="Indenta"/>
      </w:pPr>
      <w:r>
        <w:tab/>
        <w:t>(g)</w:t>
      </w:r>
      <w:r>
        <w:tab/>
        <w:t>compiling and maintaining a register of persons who are eligible to be DAP members;</w:t>
      </w:r>
    </w:p>
    <w:p>
      <w:pPr>
        <w:pStyle w:val="Indenta"/>
      </w:pPr>
      <w:r>
        <w:tab/>
        <w:t>(h)</w:t>
      </w:r>
      <w:r>
        <w:tab/>
        <w:t>the paid training of persons appointed to be DAP members;</w:t>
      </w:r>
    </w:p>
    <w:p>
      <w:pPr>
        <w:pStyle w:val="Indenta"/>
      </w:pPr>
      <w:r>
        <w:tab/>
        <w:t>(i)</w:t>
      </w:r>
      <w:r>
        <w:tab/>
        <w:t>procedures at DAP meetings;</w:t>
      </w:r>
    </w:p>
    <w:p>
      <w:pPr>
        <w:pStyle w:val="Indenta"/>
      </w:pPr>
      <w:r>
        <w:tab/>
        <w:t>(j)</w:t>
      </w:r>
      <w:r>
        <w:tab/>
        <w:t>the conduct of DAP members.</w:t>
      </w:r>
    </w:p>
    <w:p>
      <w:pPr>
        <w:pStyle w:val="Subsection"/>
      </w:pPr>
      <w:r>
        <w:tab/>
        <w:t>(3)</w:t>
      </w:r>
      <w:r>
        <w:tab/>
        <w:t xml:space="preserve">The qualifications to be held by a person on a DAP may be specified in the regulations by reference to one or more of these — </w:t>
      </w:r>
    </w:p>
    <w:p>
      <w:pPr>
        <w:pStyle w:val="Indenta"/>
      </w:pPr>
      <w:r>
        <w:tab/>
        <w:t>(a)</w:t>
      </w:r>
      <w:r>
        <w:tab/>
        <w:t>an office or position;</w:t>
      </w:r>
    </w:p>
    <w:p>
      <w:pPr>
        <w:pStyle w:val="Indenta"/>
      </w:pPr>
      <w:r>
        <w:tab/>
        <w:t>(b)</w:t>
      </w:r>
      <w:r>
        <w:tab/>
        <w:t>an educational qualification;</w:t>
      </w:r>
    </w:p>
    <w:p>
      <w:pPr>
        <w:pStyle w:val="Indenta"/>
      </w:pPr>
      <w:r>
        <w:tab/>
        <w:t>(c)</w:t>
      </w:r>
      <w:r>
        <w:tab/>
        <w:t>a type or level of knowledge;</w:t>
      </w:r>
    </w:p>
    <w:p>
      <w:pPr>
        <w:pStyle w:val="Indenta"/>
      </w:pPr>
      <w:r>
        <w:tab/>
        <w:t>(d)</w:t>
      </w:r>
      <w:r>
        <w:tab/>
        <w:t>a type or level of experience.</w:t>
      </w:r>
    </w:p>
    <w:p>
      <w:pPr>
        <w:pStyle w:val="Footnotesection"/>
      </w:pPr>
      <w:r>
        <w:tab/>
        <w:t xml:space="preserve">[Section 171D inserted: No. 28 of 2010 s. 43.] </w:t>
      </w:r>
    </w:p>
    <w:p>
      <w:pPr>
        <w:pStyle w:val="Heading5"/>
      </w:pPr>
      <w:bookmarkStart w:id="227" w:name="_Toc199322475"/>
      <w:r>
        <w:rPr>
          <w:rStyle w:val="CharSectno"/>
        </w:rPr>
        <w:t>171E</w:t>
      </w:r>
      <w:r>
        <w:t>.</w:t>
      </w:r>
      <w:r>
        <w:tab/>
        <w:t>Administration and costs of DAPs</w:t>
      </w:r>
      <w:bookmarkEnd w:id="227"/>
    </w:p>
    <w:p>
      <w:pPr>
        <w:pStyle w:val="Subsection"/>
      </w:pPr>
      <w:r>
        <w:tab/>
        <w:t>(1)</w:t>
      </w:r>
      <w:r>
        <w:tab/>
        <w:t xml:space="preserve">The Governor may make regulations about — </w:t>
      </w:r>
    </w:p>
    <w:p>
      <w:pPr>
        <w:pStyle w:val="Indenta"/>
      </w:pPr>
      <w:r>
        <w:tab/>
        <w:t>(a)</w:t>
      </w:r>
      <w:r>
        <w:tab/>
        <w:t>the administration of DAPs; and</w:t>
      </w:r>
    </w:p>
    <w:p>
      <w:pPr>
        <w:pStyle w:val="Indenta"/>
      </w:pPr>
      <w:r>
        <w:tab/>
        <w:t>(b)</w:t>
      </w:r>
      <w:r>
        <w:tab/>
        <w:t>the payment of the costs and expenses of DAPs.</w:t>
      </w:r>
    </w:p>
    <w:p>
      <w:pPr>
        <w:pStyle w:val="Subsection"/>
      </w:pPr>
      <w:r>
        <w:lastRenderedPageBreak/>
        <w:tab/>
        <w:t>(2)</w:t>
      </w:r>
      <w:r>
        <w:tab/>
        <w:t xml:space="preserve">Without limiting subsection (1), regulations may be made — </w:t>
      </w:r>
    </w:p>
    <w:p>
      <w:pPr>
        <w:pStyle w:val="Indenta"/>
      </w:pPr>
      <w:r>
        <w:tab/>
        <w:t>(a)</w:t>
      </w:r>
      <w:r>
        <w:tab/>
        <w:t>about the staffing, facilities and services that are to be provided to DAPs by the chief executive officer or by local governments; and</w:t>
      </w:r>
    </w:p>
    <w:p>
      <w:pPr>
        <w:pStyle w:val="Indenta"/>
      </w:pPr>
      <w:r>
        <w:tab/>
        <w:t>(b)</w:t>
      </w:r>
      <w:r>
        <w:tab/>
        <w:t>about the access of the Minister to information in the possession of a DAP; and</w:t>
      </w:r>
    </w:p>
    <w:p>
      <w:pPr>
        <w:pStyle w:val="Indenta"/>
      </w:pPr>
      <w:r>
        <w:tab/>
        <w:t>(c)</w:t>
      </w:r>
      <w:r>
        <w:tab/>
        <w:t xml:space="preserve">about reporting requirements in relation to — </w:t>
      </w:r>
    </w:p>
    <w:p>
      <w:pPr>
        <w:pStyle w:val="Indenti"/>
      </w:pPr>
      <w:r>
        <w:tab/>
        <w:t>(i)</w:t>
      </w:r>
      <w:r>
        <w:tab/>
        <w:t>directions under the regulations; and</w:t>
      </w:r>
    </w:p>
    <w:p>
      <w:pPr>
        <w:pStyle w:val="Indenti"/>
      </w:pPr>
      <w:r>
        <w:tab/>
        <w:t>(ii)</w:t>
      </w:r>
      <w:r>
        <w:tab/>
        <w:t>expenditure in relation to DAPs; and</w:t>
      </w:r>
    </w:p>
    <w:p>
      <w:pPr>
        <w:pStyle w:val="Indenti"/>
      </w:pPr>
      <w:r>
        <w:tab/>
        <w:t>(iii)</w:t>
      </w:r>
      <w:r>
        <w:tab/>
        <w:t>determinations by DAPs; and</w:t>
      </w:r>
    </w:p>
    <w:p>
      <w:pPr>
        <w:pStyle w:val="Indenti"/>
      </w:pPr>
      <w:r>
        <w:tab/>
        <w:t>(iv)</w:t>
      </w:r>
      <w:r>
        <w:tab/>
        <w:t>any other matter specified in the regulations.</w:t>
      </w:r>
    </w:p>
    <w:p>
      <w:pPr>
        <w:pStyle w:val="Subsection"/>
      </w:pPr>
      <w:r>
        <w:tab/>
        <w:t>(3)</w:t>
      </w:r>
      <w:r>
        <w:tab/>
        <w:t>A local government must comply with a direction given and requirements prescribed under subsection (2)</w:t>
      </w:r>
      <w:r>
        <w:rPr>
          <w:iCs/>
          <w:szCs w:val="24"/>
        </w:rPr>
        <w:t>.</w:t>
      </w:r>
    </w:p>
    <w:p>
      <w:pPr>
        <w:pStyle w:val="Footnotesection"/>
      </w:pPr>
      <w:r>
        <w:tab/>
        <w:t xml:space="preserve">[Section 171E inserted: No. 28 of 2010 s. 43.] </w:t>
      </w:r>
    </w:p>
    <w:p>
      <w:pPr>
        <w:pStyle w:val="Heading5"/>
      </w:pPr>
      <w:bookmarkStart w:id="228" w:name="_Toc199322476"/>
      <w:r>
        <w:rPr>
          <w:rStyle w:val="CharSectno"/>
        </w:rPr>
        <w:t>171F</w:t>
      </w:r>
      <w:r>
        <w:t>.</w:t>
      </w:r>
      <w:r>
        <w:tab/>
        <w:t>Review of regulations</w:t>
      </w:r>
      <w:bookmarkEnd w:id="228"/>
    </w:p>
    <w:p>
      <w:pPr>
        <w:pStyle w:val="Subsection"/>
      </w:pPr>
      <w:r>
        <w:tab/>
        <w:t>(1)</w:t>
      </w:r>
      <w:r>
        <w:tab/>
        <w:t>An appropriate Standing Committee of the Legislative Council is to carry out a review of the operation and effectiveness of all regulations made under this Part as soon as practicable  after the expiry of 2 years from the day on which regulations made under this Part first come into operation.</w:t>
      </w:r>
    </w:p>
    <w:p>
      <w:pPr>
        <w:pStyle w:val="Subsection"/>
      </w:pPr>
      <w:r>
        <w:tab/>
        <w:t>(2)</w:t>
      </w:r>
      <w:r>
        <w:tab/>
        <w:t>The Standing Committee is to prepare a report based on the review and, as soon as practicable after the report is prepared, is to cause the report to be laid before each House of Parliament.</w:t>
      </w:r>
    </w:p>
    <w:p>
      <w:pPr>
        <w:pStyle w:val="Footnotesection"/>
      </w:pPr>
      <w:r>
        <w:tab/>
        <w:t xml:space="preserve">[Section 171F inserted: No. 28 of 2010 s. 43.] </w:t>
      </w:r>
    </w:p>
    <w:p>
      <w:pPr>
        <w:pStyle w:val="Heading2"/>
      </w:pPr>
      <w:bookmarkStart w:id="229" w:name="_Toc199322477"/>
      <w:r>
        <w:rPr>
          <w:rStyle w:val="CharPartNo"/>
        </w:rPr>
        <w:lastRenderedPageBreak/>
        <w:t>Part 11</w:t>
      </w:r>
      <w:r>
        <w:t> — </w:t>
      </w:r>
      <w:r>
        <w:rPr>
          <w:rStyle w:val="CharPartText"/>
        </w:rPr>
        <w:t>Compensation and acquisition</w:t>
      </w:r>
      <w:bookmarkEnd w:id="229"/>
    </w:p>
    <w:p>
      <w:pPr>
        <w:pStyle w:val="Heading3"/>
      </w:pPr>
      <w:bookmarkStart w:id="230" w:name="_Toc199322478"/>
      <w:r>
        <w:rPr>
          <w:rStyle w:val="CharDivNo"/>
        </w:rPr>
        <w:t>Division 1</w:t>
      </w:r>
      <w:r>
        <w:t> — </w:t>
      </w:r>
      <w:r>
        <w:rPr>
          <w:rStyle w:val="CharDivText"/>
        </w:rPr>
        <w:t>General matters in relation to compensation</w:t>
      </w:r>
      <w:bookmarkEnd w:id="230"/>
    </w:p>
    <w:p>
      <w:pPr>
        <w:pStyle w:val="Heading5"/>
      </w:pPr>
      <w:bookmarkStart w:id="231" w:name="_Toc199322479"/>
      <w:r>
        <w:rPr>
          <w:rStyle w:val="CharSectno"/>
        </w:rPr>
        <w:t>171</w:t>
      </w:r>
      <w:r>
        <w:t>.</w:t>
      </w:r>
      <w:r>
        <w:tab/>
        <w:t>Entitlement to compensation, limits on</w:t>
      </w:r>
      <w:bookmarkEnd w:id="231"/>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232" w:name="_Toc199322480"/>
      <w:r>
        <w:rPr>
          <w:rStyle w:val="CharDivNo"/>
        </w:rPr>
        <w:t>Division 2</w:t>
      </w:r>
      <w:r>
        <w:t> — </w:t>
      </w:r>
      <w:r>
        <w:rPr>
          <w:rStyle w:val="CharDivText"/>
        </w:rPr>
        <w:t>Compensation where land injuriously affected by planning scheme</w:t>
      </w:r>
      <w:bookmarkEnd w:id="232"/>
    </w:p>
    <w:p>
      <w:pPr>
        <w:pStyle w:val="Heading5"/>
      </w:pPr>
      <w:bookmarkStart w:id="233" w:name="_Toc199322481"/>
      <w:r>
        <w:rPr>
          <w:rStyle w:val="CharSectno"/>
        </w:rPr>
        <w:t>172</w:t>
      </w:r>
      <w:r>
        <w:t>.</w:t>
      </w:r>
      <w:r>
        <w:tab/>
        <w:t>Terms used</w:t>
      </w:r>
      <w:bookmarkEnd w:id="233"/>
    </w:p>
    <w:p>
      <w:pPr>
        <w:pStyle w:val="Subsection"/>
      </w:pPr>
      <w:r>
        <w:tab/>
      </w:r>
      <w:r>
        <w:tab/>
        <w:t xml:space="preserve">In this Division — </w:t>
      </w:r>
    </w:p>
    <w:p>
      <w:pPr>
        <w:pStyle w:val="Defstart"/>
      </w:pPr>
      <w:r>
        <w:tab/>
      </w:r>
      <w:r>
        <w:rPr>
          <w:rStyle w:val="CharDefText"/>
        </w:rPr>
        <w:t>Board</w:t>
      </w:r>
      <w:r>
        <w:t xml:space="preserve"> means the Board of Valuers established under section 182;</w:t>
      </w:r>
    </w:p>
    <w:p>
      <w:pPr>
        <w:pStyle w:val="Defstart"/>
      </w:pPr>
      <w:r>
        <w:tab/>
      </w:r>
      <w:r>
        <w:rPr>
          <w:rStyle w:val="CharDefText"/>
        </w:rPr>
        <w:t>non</w:t>
      </w:r>
      <w:r>
        <w:rPr>
          <w:rStyle w:val="CharDefText"/>
        </w:rPr>
        <w:noBreakHyphen/>
        <w:t>conforming use</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rStyle w:val="CharDefText"/>
        </w:rPr>
        <w:t>public purpose</w:t>
      </w:r>
      <w:r>
        <w:t xml:space="preserve"> means a purpose which serves or is intended to serve the interests of the public or a section of the public and includes a public work.</w:t>
      </w:r>
    </w:p>
    <w:p>
      <w:pPr>
        <w:pStyle w:val="Heading5"/>
      </w:pPr>
      <w:bookmarkStart w:id="234" w:name="_Toc199322482"/>
      <w:r>
        <w:rPr>
          <w:rStyle w:val="CharSectno"/>
        </w:rPr>
        <w:lastRenderedPageBreak/>
        <w:t>173</w:t>
      </w:r>
      <w:r>
        <w:t>.</w:t>
      </w:r>
      <w:r>
        <w:tab/>
        <w:t>Injurious affection, compensation for</w:t>
      </w:r>
      <w:bookmarkEnd w:id="234"/>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spacing w:before="240"/>
      </w:pPr>
      <w:bookmarkStart w:id="235" w:name="_Toc199322483"/>
      <w:r>
        <w:rPr>
          <w:rStyle w:val="CharSectno"/>
        </w:rPr>
        <w:t>174</w:t>
      </w:r>
      <w:r>
        <w:t>.</w:t>
      </w:r>
      <w:r>
        <w:tab/>
        <w:t>When land is injuriously affected</w:t>
      </w:r>
      <w:bookmarkEnd w:id="235"/>
    </w:p>
    <w:p>
      <w:pPr>
        <w:pStyle w:val="Subsection"/>
      </w:pPr>
      <w:r>
        <w:tab/>
        <w:t>(1)</w:t>
      </w:r>
      <w:r>
        <w:tab/>
        <w:t xml:space="preserve">Subject to subsection (2), land is injuriously affected by reason of the making or amendment of a planning scheme if, and only if — </w:t>
      </w:r>
    </w:p>
    <w:p>
      <w:pPr>
        <w:pStyle w:val="Indenta"/>
      </w:pPr>
      <w:r>
        <w:tab/>
        <w:t>(a)</w:t>
      </w:r>
      <w:r>
        <w:tab/>
        <w:t>that land is reserved (whether before or after the coming into operation of this section) under the planning scheme for a public purpose; or</w:t>
      </w:r>
    </w:p>
    <w:p>
      <w:pPr>
        <w:pStyle w:val="Indenta"/>
      </w:pPr>
      <w:r>
        <w:tab/>
        <w:t>(b)</w:t>
      </w:r>
      <w:r>
        <w:tab/>
        <w:t>the scheme permits development on that land for no purpose other than a public purpose; or</w:t>
      </w:r>
    </w:p>
    <w:p>
      <w:pPr>
        <w:pStyle w:val="Indenta"/>
      </w:pPr>
      <w:r>
        <w:tab/>
        <w:t>(c)</w:t>
      </w:r>
      <w:r>
        <w:tab/>
        <w:t xml:space="preserve">the scheme prohibits wholly or partially — </w:t>
      </w:r>
    </w:p>
    <w:p>
      <w:pPr>
        <w:pStyle w:val="Indenti"/>
      </w:pPr>
      <w:r>
        <w:tab/>
        <w:t>(i)</w:t>
      </w:r>
      <w:r>
        <w:tab/>
        <w:t>the continuance of any non</w:t>
      </w:r>
      <w:r>
        <w:noBreakHyphen/>
        <w:t>conforming use of that land; or</w:t>
      </w:r>
    </w:p>
    <w:p>
      <w:pPr>
        <w:pStyle w:val="Indenti"/>
      </w:pPr>
      <w:r>
        <w:tab/>
        <w:t>(ii)</w:t>
      </w:r>
      <w:r>
        <w:tab/>
        <w:t>the erection, alteration or extension on the land of any building in connection with or in furtherance of, any non</w:t>
      </w:r>
      <w:r>
        <w:noBreakHyphen/>
        <w:t xml:space="preserve">conforming use of the land, which, but for that prohibition, would not </w:t>
      </w:r>
      <w:r>
        <w:lastRenderedPageBreak/>
        <w:t>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 or</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 or</w:t>
      </w:r>
    </w:p>
    <w:p>
      <w:pPr>
        <w:pStyle w:val="Indenta"/>
      </w:pPr>
      <w:r>
        <w:lastRenderedPageBreak/>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236" w:name="_Toc199322484"/>
      <w:r>
        <w:rPr>
          <w:rStyle w:val="CharSectno"/>
        </w:rPr>
        <w:t>175</w:t>
      </w:r>
      <w:r>
        <w:t>.</w:t>
      </w:r>
      <w:r>
        <w:tab/>
        <w:t>No compensation if scheme’s provisions are, or could have been, in certain other laws</w:t>
      </w:r>
      <w:bookmarkEnd w:id="236"/>
    </w:p>
    <w:p>
      <w:pPr>
        <w:pStyle w:val="Subsection"/>
      </w:pPr>
      <w:r>
        <w:tab/>
        <w:t>(1)</w:t>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Subsection"/>
      </w:pPr>
      <w:r>
        <w:tab/>
        <w:t>(2)</w:t>
      </w:r>
      <w:r>
        <w:tab/>
        <w:t xml:space="preserve">When land is alleged to be injuriously affected by the making of the first Swan Valley Planning Scheme, no compensation is payable in respect of the injurious affection if or so far as the relevant provisions of the Swan Valley Planning Scheme were also contained in a relevant planning scheme (as defined in the </w:t>
      </w:r>
      <w:r>
        <w:rPr>
          <w:i/>
        </w:rPr>
        <w:t>Swan Valley Planning Act 2020</w:t>
      </w:r>
      <w:r>
        <w:t xml:space="preserve"> section 9) that applied to the Swan Valley before the scheme start day referred to in that section.</w:t>
      </w:r>
    </w:p>
    <w:p>
      <w:pPr>
        <w:pStyle w:val="Subsection"/>
      </w:pPr>
      <w:r>
        <w:tab/>
        <w:t>(3)</w:t>
      </w:r>
      <w:r>
        <w:tab/>
        <w:t>A reference in this section to provisions includes a reference to maps, plans and diagrams.</w:t>
      </w:r>
    </w:p>
    <w:p>
      <w:pPr>
        <w:pStyle w:val="Footnotesection"/>
      </w:pPr>
      <w:r>
        <w:tab/>
        <w:t>[Section 175 amended: No. 45 of 2020 s. 82.]</w:t>
      </w:r>
    </w:p>
    <w:p>
      <w:pPr>
        <w:pStyle w:val="Heading5"/>
      </w:pPr>
      <w:bookmarkStart w:id="237" w:name="_Toc199322485"/>
      <w:r>
        <w:rPr>
          <w:rStyle w:val="CharSectno"/>
        </w:rPr>
        <w:lastRenderedPageBreak/>
        <w:t>176</w:t>
      </w:r>
      <w:r>
        <w:t>.</w:t>
      </w:r>
      <w:r>
        <w:tab/>
        <w:t>Questions as to injurious affection etc., how determined</w:t>
      </w:r>
      <w:bookmarkEnd w:id="237"/>
    </w:p>
    <w:p>
      <w:pPr>
        <w:pStyle w:val="Subsection"/>
        <w:keepNext/>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2012</w:t>
      </w:r>
      <w:r>
        <w:t>, unless the parties agree on some other method of determination.</w:t>
      </w:r>
    </w:p>
    <w:p>
      <w:pPr>
        <w:pStyle w:val="Footnotesection"/>
      </w:pPr>
      <w:r>
        <w:tab/>
        <w:t>[Section 176 amended: No. 23 of 2012 s. 45.]</w:t>
      </w:r>
    </w:p>
    <w:p>
      <w:pPr>
        <w:pStyle w:val="Heading5"/>
        <w:keepLines w:val="0"/>
      </w:pPr>
      <w:bookmarkStart w:id="238" w:name="_Toc199322486"/>
      <w:r>
        <w:rPr>
          <w:rStyle w:val="CharSectno"/>
        </w:rPr>
        <w:t>177</w:t>
      </w:r>
      <w:r>
        <w:t>.</w:t>
      </w:r>
      <w:r>
        <w:tab/>
        <w:t>When compensation payable if land reserved</w:t>
      </w:r>
      <w:bookmarkEnd w:id="238"/>
    </w:p>
    <w:p>
      <w:pPr>
        <w:pStyle w:val="Subsection"/>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keepNext/>
      </w:pPr>
      <w:r>
        <w:lastRenderedPageBreak/>
        <w:tab/>
        <w:t>(b)</w:t>
      </w:r>
      <w:r>
        <w:tab/>
        <w:t>under subsection (1)(b) to the person who was the owner of the land at the date of application referred to in subsection (1)(b),</w:t>
      </w:r>
    </w:p>
    <w:p>
      <w:pPr>
        <w:pStyle w:val="Subsection"/>
        <w:keepNext/>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pPr>
      <w:r>
        <w:tab/>
        <w:t>(3)</w:t>
      </w:r>
      <w:r>
        <w:tab/>
        <w:t xml:space="preserve">Before compensation is payable under subsection (1) — </w:t>
      </w:r>
    </w:p>
    <w:p>
      <w:pPr>
        <w:pStyle w:val="Indenta"/>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 and</w:t>
      </w:r>
    </w:p>
    <w:p>
      <w:pPr>
        <w:pStyle w:val="Indenti"/>
      </w:pPr>
      <w:r>
        <w:tab/>
        <w:t>(ii)</w:t>
      </w:r>
      <w:r>
        <w:tab/>
        <w:t>the owner before selling the land gave written notice to the responsible authority of the owner’s intention to sell the land; and</w:t>
      </w:r>
    </w:p>
    <w:p>
      <w:pPr>
        <w:pStyle w:val="Indenti"/>
      </w:pPr>
      <w:r>
        <w:tab/>
        <w:t>(iii)</w:t>
      </w:r>
      <w:r>
        <w:tab/>
        <w:t>the owner sold the land in good faith and took reasonable steps to obtain a fair and reasonable price for the land;</w:t>
      </w:r>
    </w:p>
    <w:p>
      <w:pPr>
        <w:pStyle w:val="Indenta"/>
      </w:pPr>
      <w:r>
        <w:tab/>
      </w:r>
      <w:r>
        <w:tab/>
        <w:t>or</w:t>
      </w:r>
    </w:p>
    <w:p>
      <w:pPr>
        <w:pStyle w:val="Indenta"/>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pPr>
      <w:bookmarkStart w:id="239" w:name="_Toc199322487"/>
      <w:r>
        <w:rPr>
          <w:rStyle w:val="CharSectno"/>
        </w:rPr>
        <w:lastRenderedPageBreak/>
        <w:t>178</w:t>
      </w:r>
      <w:r>
        <w:t>.</w:t>
      </w:r>
      <w:r>
        <w:tab/>
        <w:t>Claim for compensation, time for making</w:t>
      </w:r>
      <w:bookmarkEnd w:id="239"/>
    </w:p>
    <w:p>
      <w:pPr>
        <w:pStyle w:val="Subsection"/>
      </w:pPr>
      <w:r>
        <w:tab/>
        <w:t>(1)</w:t>
      </w:r>
      <w:r>
        <w:tab/>
        <w:t xml:space="preserve">A claim for compensation for injurious affection to land by the making or amendment of a planning scheme is to be made — </w:t>
      </w:r>
    </w:p>
    <w:p>
      <w:pPr>
        <w:pStyle w:val="Indenta"/>
        <w:keepNext/>
      </w:pPr>
      <w:r>
        <w:tab/>
        <w:t>(a)</w:t>
      </w:r>
      <w:r>
        <w:tab/>
        <w:t xml:space="preserve">in the case of a claim in respect of injurious affection referred to in section 174(1)(a) or (b), at any time within 6 months after — </w:t>
      </w:r>
    </w:p>
    <w:p>
      <w:pPr>
        <w:pStyle w:val="Indenti"/>
      </w:pPr>
      <w:r>
        <w:tab/>
        <w:t>(i)</w:t>
      </w:r>
      <w:r>
        <w:tab/>
        <w:t>the land is sold; or</w:t>
      </w:r>
    </w:p>
    <w:p>
      <w:pPr>
        <w:pStyle w:val="Indenti"/>
      </w:pPr>
      <w:r>
        <w:tab/>
        <w:t>(ii)</w:t>
      </w:r>
      <w:r>
        <w:tab/>
        <w:t>the application for approval of development on the land is refused; or</w:t>
      </w:r>
    </w:p>
    <w:p>
      <w:pPr>
        <w:pStyle w:val="Indenti"/>
      </w:pPr>
      <w:r>
        <w:tab/>
        <w:t>(iii)</w:t>
      </w:r>
      <w:r>
        <w:tab/>
        <w:t>the approval is granted subject to conditions that are unacceptable to the applicant;</w:t>
      </w:r>
    </w:p>
    <w:p>
      <w:pPr>
        <w:pStyle w:val="Indenta"/>
        <w:ind w:firstLine="0"/>
      </w:pPr>
      <w:r>
        <w:t>or</w:t>
      </w:r>
    </w:p>
    <w:p>
      <w:pPr>
        <w:pStyle w:val="Indenta"/>
      </w:pPr>
      <w:r>
        <w:tab/>
        <w:t>(b)</w:t>
      </w:r>
      <w:r>
        <w:tab/>
        <w:t>in the case of a claim in respect of injurious affection referred to in section 174(1)(c), within the time, if any, limited by the planning scheme.</w:t>
      </w:r>
    </w:p>
    <w:p>
      <w:pPr>
        <w:pStyle w:val="Subsection"/>
        <w:keepLines/>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240" w:name="_Toc199322488"/>
      <w:r>
        <w:rPr>
          <w:rStyle w:val="CharSectno"/>
        </w:rPr>
        <w:t>179</w:t>
      </w:r>
      <w:r>
        <w:t>.</w:t>
      </w:r>
      <w:r>
        <w:tab/>
        <w:t>Injurious affection due to land being reserved, amount of compensation for</w:t>
      </w:r>
      <w:bookmarkEnd w:id="240"/>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keepNext/>
      </w:pPr>
      <w:r>
        <w:lastRenderedPageBreak/>
        <w:tab/>
        <w:t>(2)</w:t>
      </w:r>
      <w:r>
        <w:tab/>
        <w:t xml:space="preserve">The values referred to in subsection (1)(a) and (b) are to be assessed as at the date on which — </w:t>
      </w:r>
    </w:p>
    <w:p>
      <w:pPr>
        <w:pStyle w:val="Indenta"/>
      </w:pPr>
      <w:r>
        <w:tab/>
        <w:t>(a)</w:t>
      </w:r>
      <w:r>
        <w:tab/>
        <w:t>the land is sold as referred to in section 178(1)(a); or</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241" w:name="_Toc199322489"/>
      <w:r>
        <w:rPr>
          <w:rStyle w:val="CharSectno"/>
        </w:rPr>
        <w:t>180</w:t>
      </w:r>
      <w:r>
        <w:t>.</w:t>
      </w:r>
      <w:r>
        <w:tab/>
        <w:t>Notating title to land after compensation paid</w:t>
      </w:r>
      <w:bookmarkEnd w:id="241"/>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 and</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242" w:name="_Toc199322490"/>
      <w:r>
        <w:rPr>
          <w:rStyle w:val="CharSectno"/>
        </w:rPr>
        <w:t>181</w:t>
      </w:r>
      <w:r>
        <w:t>.</w:t>
      </w:r>
      <w:r>
        <w:tab/>
        <w:t>Recovering paid compensation if reservation revoked or reduced</w:t>
      </w:r>
      <w:bookmarkEnd w:id="242"/>
    </w:p>
    <w:p>
      <w:pPr>
        <w:pStyle w:val="Subsection"/>
        <w:spacing w:before="180"/>
      </w:pPr>
      <w:r>
        <w:tab/>
        <w:t>(1)</w:t>
      </w:r>
      <w:r>
        <w:tab/>
        <w:t xml:space="preserve">Where — </w:t>
      </w:r>
    </w:p>
    <w:p>
      <w:pPr>
        <w:pStyle w:val="Indenta"/>
      </w:pPr>
      <w:r>
        <w:tab/>
        <w:t>(a)</w:t>
      </w:r>
      <w:r>
        <w:tab/>
        <w:t xml:space="preserve">compensation for injurious affection to land (the </w:t>
      </w:r>
      <w:r>
        <w:rPr>
          <w:rStyle w:val="CharDefText"/>
        </w:rPr>
        <w:t>original compensation</w:t>
      </w:r>
      <w:r>
        <w:t>) has been paid to an owner of land in the circumstances set out in section 177; and</w:t>
      </w:r>
    </w:p>
    <w:p>
      <w:pPr>
        <w:pStyle w:val="Indenta"/>
      </w:pPr>
      <w:r>
        <w:tab/>
        <w:t>(b)</w:t>
      </w:r>
      <w:r>
        <w:tab/>
        <w:t xml:space="preserve">as a result of the planning scheme being amended or revoked the reservation of the land for a public purpose </w:t>
      </w:r>
      <w:r>
        <w:lastRenderedPageBreak/>
        <w:t>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rStyle w:val="CharDefText"/>
        </w:rPr>
        <w:t>refund</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keepNext/>
        <w:rPr>
          <w:snapToGrid w:val="0"/>
        </w:rPr>
      </w:pPr>
      <w:r>
        <w:tab/>
        <w:t>(5)</w:t>
      </w:r>
      <w:r>
        <w:tab/>
      </w:r>
      <w:r>
        <w:rPr>
          <w:snapToGrid w:val="0"/>
        </w:rPr>
        <w:t>Where the area of the reservation has been reduced the relevant proportion for the purposes of subsection (1) is to be determined as follows — </w:t>
      </w:r>
    </w:p>
    <w:p>
      <w:pPr>
        <w:pStyle w:val="Indenta"/>
        <w:spacing w:before="100"/>
        <w:rPr>
          <w:snapToGrid w:val="0"/>
        </w:rPr>
      </w:pPr>
      <w:r>
        <w:rPr>
          <w:snapToGrid w:val="0"/>
        </w:rPr>
        <w:tab/>
        <w:t>(a)</w:t>
      </w:r>
      <w:r>
        <w:rPr>
          <w:snapToGrid w:val="0"/>
        </w:rPr>
        <w:tab/>
        <w:t>a notional amount of compensation is determined under sections 177 and 179 as if — </w:t>
      </w:r>
    </w:p>
    <w:p>
      <w:pPr>
        <w:pStyle w:val="Indenti"/>
        <w:spacing w:before="100"/>
        <w:rPr>
          <w:snapToGrid w:val="0"/>
        </w:rPr>
      </w:pPr>
      <w:r>
        <w:rPr>
          <w:snapToGrid w:val="0"/>
        </w:rPr>
        <w:tab/>
        <w:t>(i)</w:t>
      </w:r>
      <w:r>
        <w:rPr>
          <w:snapToGrid w:val="0"/>
        </w:rPr>
        <w:tab/>
        <w:t>the reservation had never occurred; and</w:t>
      </w:r>
    </w:p>
    <w:p>
      <w:pPr>
        <w:pStyle w:val="Indenti"/>
        <w:spacing w:before="100"/>
        <w:rPr>
          <w:snapToGrid w:val="0"/>
        </w:rPr>
      </w:pPr>
      <w:r>
        <w:rPr>
          <w:snapToGrid w:val="0"/>
        </w:rPr>
        <w:tab/>
        <w:t>(ii)</w:t>
      </w:r>
      <w:r>
        <w:rPr>
          <w:snapToGrid w:val="0"/>
        </w:rPr>
        <w:tab/>
        <w:t>a reservation of the reduced area had occurred when the reduction occurred; and</w:t>
      </w:r>
    </w:p>
    <w:p>
      <w:pPr>
        <w:pStyle w:val="Indenti"/>
        <w:spacing w:before="100"/>
        <w:rPr>
          <w:snapToGrid w:val="0"/>
        </w:rPr>
      </w:pPr>
      <w:r>
        <w:rPr>
          <w:snapToGrid w:val="0"/>
        </w:rPr>
        <w:tab/>
        <w:t>(iii)</w:t>
      </w:r>
      <w:r>
        <w:rPr>
          <w:snapToGrid w:val="0"/>
        </w:rPr>
        <w:tab/>
        <w:t>the land were being sold;</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spacing w:after="40"/>
        <w:rPr>
          <w:snapToGrid w:val="0"/>
        </w:rPr>
      </w:pPr>
      <w:r>
        <w:rPr>
          <w:snapToGrid w:val="0"/>
        </w:rPr>
        <w:lastRenderedPageBreak/>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NAm"/>
              <w:keepNext/>
              <w:tabs>
                <w:tab w:val="clear" w:pos="567"/>
                <w:tab w:val="left" w:pos="1157"/>
              </w:tabs>
            </w:pPr>
            <w:r>
              <w:rPr>
                <w:i/>
              </w:rPr>
              <w:t>Example</w:t>
            </w:r>
            <w:r>
              <w:t>:</w:t>
            </w:r>
            <w:r>
              <w:tab/>
              <w:t>Original compensation</w:t>
            </w:r>
            <w:r>
              <w:br/>
            </w:r>
            <w:r>
              <w:tab/>
              <w:t>proportion</w:t>
            </w:r>
          </w:p>
        </w:tc>
        <w:tc>
          <w:tcPr>
            <w:tcW w:w="1134" w:type="dxa"/>
          </w:tcPr>
          <w:p>
            <w:pPr>
              <w:pStyle w:val="TableNAm"/>
              <w:keepNext/>
            </w:pPr>
            <w:r>
              <w:br/>
              <w:t>25%</w:t>
            </w:r>
          </w:p>
        </w:tc>
      </w:tr>
      <w:tr>
        <w:trPr>
          <w:cantSplit/>
        </w:trPr>
        <w:tc>
          <w:tcPr>
            <w:tcW w:w="4252" w:type="dxa"/>
          </w:tcPr>
          <w:p>
            <w:pPr>
              <w:pStyle w:val="TableNAm"/>
              <w:keepNext/>
              <w:tabs>
                <w:tab w:val="clear" w:pos="567"/>
                <w:tab w:val="left" w:pos="1157"/>
              </w:tabs>
            </w:pPr>
            <w:r>
              <w:tab/>
              <w:t xml:space="preserve">      Less</w:t>
            </w:r>
          </w:p>
        </w:tc>
        <w:tc>
          <w:tcPr>
            <w:tcW w:w="1134" w:type="dxa"/>
          </w:tcPr>
          <w:p>
            <w:pPr>
              <w:pStyle w:val="TableNAm"/>
              <w:keepNext/>
            </w:pPr>
          </w:p>
        </w:tc>
      </w:tr>
      <w:tr>
        <w:trPr>
          <w:cantSplit/>
        </w:trPr>
        <w:tc>
          <w:tcPr>
            <w:tcW w:w="4252" w:type="dxa"/>
          </w:tcPr>
          <w:p>
            <w:pPr>
              <w:pStyle w:val="TableNAm"/>
              <w:tabs>
                <w:tab w:val="clear" w:pos="567"/>
                <w:tab w:val="left" w:pos="1157"/>
              </w:tabs>
            </w:pPr>
            <w:r>
              <w:tab/>
              <w:t>Notional compensation</w:t>
            </w:r>
            <w:r>
              <w:br/>
            </w:r>
            <w:r>
              <w:tab/>
              <w:t>proportion</w:t>
            </w:r>
          </w:p>
        </w:tc>
        <w:tc>
          <w:tcPr>
            <w:tcW w:w="1134" w:type="dxa"/>
          </w:tcPr>
          <w:p>
            <w:pPr>
              <w:pStyle w:val="TableNAm"/>
              <w:rPr>
                <w:u w:val="single"/>
              </w:rPr>
            </w:pPr>
            <w:r>
              <w:rPr>
                <w:u w:val="single"/>
              </w:rPr>
              <w:br/>
              <w:t>15%</w:t>
            </w:r>
          </w:p>
        </w:tc>
      </w:tr>
      <w:tr>
        <w:trPr>
          <w:cantSplit/>
        </w:trPr>
        <w:tc>
          <w:tcPr>
            <w:tcW w:w="4252" w:type="dxa"/>
          </w:tcPr>
          <w:p>
            <w:pPr>
              <w:pStyle w:val="TableNAm"/>
              <w:tabs>
                <w:tab w:val="clear" w:pos="567"/>
                <w:tab w:val="left" w:pos="1157"/>
              </w:tabs>
            </w:pPr>
            <w:r>
              <w:tab/>
              <w:t>Relevant proportion =</w:t>
            </w:r>
          </w:p>
        </w:tc>
        <w:tc>
          <w:tcPr>
            <w:tcW w:w="1134" w:type="dxa"/>
          </w:tcPr>
          <w:p>
            <w:pPr>
              <w:pStyle w:val="TableNAm"/>
            </w:pPr>
            <w: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NAm"/>
              <w:tabs>
                <w:tab w:val="clear" w:pos="567"/>
                <w:tab w:val="left" w:pos="1157"/>
              </w:tabs>
            </w:pPr>
            <w:r>
              <w:rPr>
                <w:i/>
              </w:rPr>
              <w:t>Example</w:t>
            </w:r>
            <w:r>
              <w:t>:</w:t>
            </w:r>
            <w:r>
              <w:tab/>
              <w:t>Notional compensation</w:t>
            </w:r>
            <w:r>
              <w:br/>
            </w:r>
            <w:r>
              <w:tab/>
              <w:t xml:space="preserve">proportion calculated </w:t>
            </w:r>
            <w:r>
              <w:br/>
            </w:r>
            <w:r>
              <w:tab/>
              <w:t>under subsection (5)(a)</w:t>
            </w:r>
            <w:r>
              <w:br/>
            </w:r>
            <w:r>
              <w:rPr>
                <w:spacing w:val="-2"/>
              </w:rPr>
              <w:lastRenderedPageBreak/>
              <w:tab/>
            </w:r>
            <w:r>
              <w:t>and (b) on previous</w:t>
            </w:r>
            <w:r>
              <w:br/>
            </w:r>
            <w:r>
              <w:rPr>
                <w:spacing w:val="-2"/>
              </w:rPr>
              <w:tab/>
            </w:r>
            <w:r>
              <w:t>reduction</w:t>
            </w:r>
          </w:p>
        </w:tc>
        <w:tc>
          <w:tcPr>
            <w:tcW w:w="1134" w:type="dxa"/>
          </w:tcPr>
          <w:p>
            <w:pPr>
              <w:pStyle w:val="TableNAm"/>
            </w:pPr>
            <w:r>
              <w:lastRenderedPageBreak/>
              <w:br/>
            </w:r>
            <w:r>
              <w:br/>
            </w:r>
            <w:r>
              <w:br/>
            </w:r>
            <w:r>
              <w:lastRenderedPageBreak/>
              <w:br/>
              <w:t>15%</w:t>
            </w:r>
          </w:p>
        </w:tc>
      </w:tr>
      <w:tr>
        <w:tc>
          <w:tcPr>
            <w:tcW w:w="4252" w:type="dxa"/>
          </w:tcPr>
          <w:p>
            <w:pPr>
              <w:pStyle w:val="TableNAm"/>
              <w:keepNext/>
              <w:keepLines/>
              <w:tabs>
                <w:tab w:val="clear" w:pos="567"/>
                <w:tab w:val="left" w:pos="1157"/>
              </w:tabs>
            </w:pPr>
            <w:r>
              <w:lastRenderedPageBreak/>
              <w:tab/>
              <w:t xml:space="preserve">      Less</w:t>
            </w:r>
          </w:p>
        </w:tc>
        <w:tc>
          <w:tcPr>
            <w:tcW w:w="1134" w:type="dxa"/>
          </w:tcPr>
          <w:p>
            <w:pPr>
              <w:pStyle w:val="TableNAm"/>
              <w:keepNext/>
              <w:keepLines/>
            </w:pPr>
          </w:p>
        </w:tc>
      </w:tr>
      <w:tr>
        <w:tc>
          <w:tcPr>
            <w:tcW w:w="4252" w:type="dxa"/>
          </w:tcPr>
          <w:p>
            <w:pPr>
              <w:pStyle w:val="TableNAm"/>
              <w:keepLines/>
              <w:tabs>
                <w:tab w:val="clear" w:pos="567"/>
                <w:tab w:val="left" w:pos="1157"/>
              </w:tabs>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NAm"/>
              <w:keepLines/>
              <w:rPr>
                <w:u w:val="single"/>
              </w:rPr>
            </w:pPr>
            <w:r>
              <w:rPr>
                <w:u w:val="single"/>
              </w:rPr>
              <w:br/>
            </w:r>
            <w:r>
              <w:rPr>
                <w:u w:val="single"/>
              </w:rPr>
              <w:br/>
            </w:r>
            <w:r>
              <w:rPr>
                <w:u w:val="single"/>
              </w:rPr>
              <w:br/>
            </w:r>
            <w:r>
              <w:rPr>
                <w:u w:val="single"/>
              </w:rPr>
              <w:br/>
              <w:t>8%</w:t>
            </w:r>
          </w:p>
        </w:tc>
      </w:tr>
      <w:tr>
        <w:tc>
          <w:tcPr>
            <w:tcW w:w="4252" w:type="dxa"/>
          </w:tcPr>
          <w:p>
            <w:pPr>
              <w:pStyle w:val="TableNAm"/>
              <w:tabs>
                <w:tab w:val="clear" w:pos="567"/>
                <w:tab w:val="left" w:pos="1157"/>
              </w:tabs>
            </w:pPr>
            <w:r>
              <w:tab/>
              <w:t>Relevant proportion</w:t>
            </w:r>
            <w:r>
              <w:br/>
            </w:r>
            <w:r>
              <w:tab/>
              <w:t>on subsequent</w:t>
            </w:r>
            <w:r>
              <w:br/>
            </w:r>
            <w:r>
              <w:tab/>
              <w:t>reduction</w:t>
            </w:r>
            <w:r>
              <w:tab/>
              <w:t>=</w:t>
            </w:r>
          </w:p>
        </w:tc>
        <w:tc>
          <w:tcPr>
            <w:tcW w:w="1134" w:type="dxa"/>
          </w:tcPr>
          <w:p>
            <w:pPr>
              <w:pStyle w:val="TableNAm"/>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 or (c),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lastRenderedPageBreak/>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1988;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pPr>
      <w:r>
        <w:tab/>
        <w:t>(16A)</w:t>
      </w:r>
      <w:r>
        <w:tab/>
        <w:t xml:space="preserve">The reference in subsection (1)(b) to the planning scheme being amended or revoked includes, in relation to land in the Swan Valley for which compensation for injurious affection was paid before the scheme start day referred to in the </w:t>
      </w:r>
      <w:r>
        <w:rPr>
          <w:i/>
        </w:rPr>
        <w:t>Swan Valley Planning Act 2020</w:t>
      </w:r>
      <w:r>
        <w:t xml:space="preserve"> section 9 — </w:t>
      </w:r>
    </w:p>
    <w:p>
      <w:pPr>
        <w:pStyle w:val="Indenta"/>
      </w:pPr>
      <w:r>
        <w:tab/>
        <w:t>(a)</w:t>
      </w:r>
      <w:r>
        <w:tab/>
        <w:t xml:space="preserve">a reference to that planning scheme ceasing to apply, and the first Swan Valley Planning Scheme beginning to </w:t>
      </w:r>
      <w:r>
        <w:lastRenderedPageBreak/>
        <w:t xml:space="preserve">apply instead, under the </w:t>
      </w:r>
      <w:r>
        <w:rPr>
          <w:i/>
        </w:rPr>
        <w:t>Swan Valley Planning Act 2020</w:t>
      </w:r>
      <w:r>
        <w:t xml:space="preserve"> section 9; and</w:t>
      </w:r>
    </w:p>
    <w:p>
      <w:pPr>
        <w:pStyle w:val="Indenta"/>
      </w:pPr>
      <w:r>
        <w:tab/>
        <w:t>(b)</w:t>
      </w:r>
      <w:r>
        <w:tab/>
        <w:t>a reference to the making of a subsequent Swan Valley Planning Scheme or the amendment of the Swan Valley Planning Scheme.</w:t>
      </w:r>
    </w:p>
    <w:p>
      <w:pPr>
        <w:pStyle w:val="Subsection"/>
        <w:keepNext/>
      </w:pPr>
      <w:r>
        <w:tab/>
        <w:t>(17)</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181 amended: No. 28 of 2010 s. 63; No. 45 of 2020 s. 83.] </w:t>
      </w:r>
    </w:p>
    <w:p>
      <w:pPr>
        <w:pStyle w:val="Heading5"/>
      </w:pPr>
      <w:bookmarkStart w:id="243" w:name="_Toc199322491"/>
      <w:r>
        <w:rPr>
          <w:rStyle w:val="CharSectno"/>
        </w:rPr>
        <w:t>182</w:t>
      </w:r>
      <w:r>
        <w:t>.</w:t>
      </w:r>
      <w:r>
        <w:tab/>
        <w:t>Board of Valuers</w:t>
      </w:r>
      <w:bookmarkEnd w:id="243"/>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 incorporated association under the </w:t>
      </w:r>
      <w:r>
        <w:rPr>
          <w:i/>
        </w:rPr>
        <w:t>Associations Incorporation Act 2015</w:t>
      </w:r>
      <w:r>
        <w:t>.</w:t>
      </w:r>
    </w:p>
    <w:p>
      <w:pPr>
        <w:pStyle w:val="Subsection"/>
      </w:pPr>
      <w:r>
        <w:tab/>
        <w:t>(3)</w:t>
      </w:r>
      <w:r>
        <w:tab/>
        <w:t>Each of the persons appointed to the Board is to be an Associate or a Fellow of the Australian Property Institute, an association incorporated under the laws of South Australia.</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Footnotesection"/>
      </w:pPr>
      <w:r>
        <w:tab/>
        <w:t>[Section 182 amended: No. 30 of 2015 s. 226.]</w:t>
      </w:r>
    </w:p>
    <w:p>
      <w:pPr>
        <w:pStyle w:val="Heading5"/>
      </w:pPr>
      <w:bookmarkStart w:id="244" w:name="_Toc199322492"/>
      <w:r>
        <w:rPr>
          <w:rStyle w:val="CharSectno"/>
        </w:rPr>
        <w:lastRenderedPageBreak/>
        <w:t>183</w:t>
      </w:r>
      <w:r>
        <w:t>.</w:t>
      </w:r>
      <w:r>
        <w:tab/>
        <w:t>Valuations by Board</w:t>
      </w:r>
      <w:bookmarkEnd w:id="244"/>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245" w:name="_Toc199322493"/>
      <w:r>
        <w:rPr>
          <w:rStyle w:val="CharDivNo"/>
        </w:rPr>
        <w:lastRenderedPageBreak/>
        <w:t>Division 3</w:t>
      </w:r>
      <w:r>
        <w:t> — </w:t>
      </w:r>
      <w:r>
        <w:rPr>
          <w:rStyle w:val="CharDivText"/>
        </w:rPr>
        <w:t>Other compensation</w:t>
      </w:r>
      <w:bookmarkEnd w:id="245"/>
    </w:p>
    <w:p>
      <w:pPr>
        <w:pStyle w:val="Heading5"/>
      </w:pPr>
      <w:bookmarkStart w:id="246" w:name="_Toc199322494"/>
      <w:r>
        <w:rPr>
          <w:rStyle w:val="CharSectno"/>
        </w:rPr>
        <w:t>184</w:t>
      </w:r>
      <w:r>
        <w:t>.</w:t>
      </w:r>
      <w:r>
        <w:tab/>
        <w:t>Betterment; compensation for expenses rendered abortive by amendment or repeal of scheme</w:t>
      </w:r>
      <w:bookmarkEnd w:id="246"/>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2012</w:t>
      </w:r>
      <w:r>
        <w:t xml:space="preserve"> or by some other method agreed by the parties.</w:t>
      </w:r>
    </w:p>
    <w:p>
      <w:pPr>
        <w:pStyle w:val="Footnotesection"/>
      </w:pPr>
      <w:r>
        <w:tab/>
        <w:t>[Section 184 amended: No. 23 of 2012 s. 45.]</w:t>
      </w:r>
    </w:p>
    <w:p>
      <w:pPr>
        <w:pStyle w:val="Heading5"/>
        <w:spacing w:before="180"/>
      </w:pPr>
      <w:bookmarkStart w:id="247" w:name="_Toc199322495"/>
      <w:r>
        <w:rPr>
          <w:rStyle w:val="CharSectno"/>
        </w:rPr>
        <w:lastRenderedPageBreak/>
        <w:t>185</w:t>
      </w:r>
      <w:r>
        <w:t>.</w:t>
      </w:r>
      <w:r>
        <w:tab/>
        <w:t>Injurious affection due to interim development order</w:t>
      </w:r>
      <w:bookmarkEnd w:id="247"/>
    </w:p>
    <w:p>
      <w:pPr>
        <w:pStyle w:val="Subsection"/>
        <w:spacing w:before="120"/>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spacing w:before="120"/>
      </w:pPr>
      <w:r>
        <w:tab/>
        <w:t>(3)</w:t>
      </w:r>
      <w:r>
        <w:tab/>
        <w:t xml:space="preserve">If the land is not purchased under subsection (2), when compensation of the kind referred to in subsection (1) is claimed that compensation is to be determined by arbitration in </w:t>
      </w:r>
      <w:r>
        <w:lastRenderedPageBreak/>
        <w:t xml:space="preserve">accordance with the </w:t>
      </w:r>
      <w:r>
        <w:rPr>
          <w:i/>
        </w:rPr>
        <w:t>Commercial Arbitration Act 2012</w:t>
      </w:r>
      <w:r>
        <w:t xml:space="preserve"> or by some other method agreed by the parties.</w:t>
      </w:r>
    </w:p>
    <w:p>
      <w:pPr>
        <w:pStyle w:val="Footnotesection"/>
      </w:pPr>
      <w:r>
        <w:tab/>
        <w:t>[Section 185 amended: No. 23 of 2012 s. 45.]</w:t>
      </w:r>
    </w:p>
    <w:p>
      <w:pPr>
        <w:pStyle w:val="Heading5"/>
        <w:spacing w:before="180"/>
      </w:pPr>
      <w:bookmarkStart w:id="248" w:name="_Toc199322496"/>
      <w:r>
        <w:rPr>
          <w:rStyle w:val="CharSectno"/>
        </w:rPr>
        <w:t>186</w:t>
      </w:r>
      <w:r>
        <w:t>.</w:t>
      </w:r>
      <w:r>
        <w:tab/>
        <w:t>Injurious affection due to planning control area</w:t>
      </w:r>
      <w:bookmarkEnd w:id="248"/>
    </w:p>
    <w:p>
      <w:pPr>
        <w:pStyle w:val="Subsection"/>
        <w:spacing w:before="120"/>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keepNext/>
        <w:keepLines/>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spacing w:before="180"/>
      </w:pPr>
      <w:bookmarkStart w:id="249" w:name="_Toc199322497"/>
      <w:r>
        <w:rPr>
          <w:rStyle w:val="CharDivNo"/>
        </w:rPr>
        <w:t>Division 4</w:t>
      </w:r>
      <w:r>
        <w:t> — </w:t>
      </w:r>
      <w:r>
        <w:rPr>
          <w:rStyle w:val="CharDivText"/>
        </w:rPr>
        <w:t>Purchase or compulsory acquisition</w:t>
      </w:r>
      <w:bookmarkEnd w:id="249"/>
    </w:p>
    <w:p>
      <w:pPr>
        <w:pStyle w:val="Heading5"/>
        <w:spacing w:before="180"/>
      </w:pPr>
      <w:bookmarkStart w:id="250" w:name="_Toc199322498"/>
      <w:r>
        <w:rPr>
          <w:rStyle w:val="CharSectno"/>
        </w:rPr>
        <w:t>187</w:t>
      </w:r>
      <w:r>
        <w:t>.</w:t>
      </w:r>
      <w:r>
        <w:tab/>
        <w:t>Acquiring land in lieu of paying compensation</w:t>
      </w:r>
      <w:bookmarkEnd w:id="250"/>
    </w:p>
    <w:p>
      <w:pPr>
        <w:pStyle w:val="Subsection"/>
        <w:spacing w:before="120"/>
      </w:pPr>
      <w:r>
        <w:tab/>
        <w:t>(1)</w:t>
      </w:r>
      <w:r>
        <w:tab/>
        <w:t>Where compensation for injurious affection is claimed as a result of the operation of the provisions of section 174(1), the responsible authority may at its option elect to acquire the land so affected instead of paying compensation.</w:t>
      </w:r>
    </w:p>
    <w:p>
      <w:pPr>
        <w:pStyle w:val="Subsection"/>
        <w:spacing w:before="120"/>
      </w:pPr>
      <w:r>
        <w:tab/>
        <w:t>(2)</w:t>
      </w:r>
      <w:r>
        <w:tab/>
        <w:t xml:space="preserve">The responsible authority, within 3 months of the claim for injurious affection being made, is to by written notice given to the claimant — </w:t>
      </w:r>
    </w:p>
    <w:p>
      <w:pPr>
        <w:pStyle w:val="Indenta"/>
      </w:pPr>
      <w:r>
        <w:tab/>
        <w:t>(a)</w:t>
      </w:r>
      <w:r>
        <w:tab/>
        <w:t>elect to acquire the land; or</w:t>
      </w:r>
    </w:p>
    <w:p>
      <w:pPr>
        <w:pStyle w:val="Indenta"/>
      </w:pPr>
      <w:r>
        <w:tab/>
        <w:t>(b)</w:t>
      </w:r>
      <w:r>
        <w:tab/>
        <w:t>advise that it does not intend to acquire the land.</w:t>
      </w:r>
    </w:p>
    <w:p>
      <w:pPr>
        <w:pStyle w:val="Subsection"/>
        <w:spacing w:before="120"/>
      </w:pPr>
      <w:r>
        <w:tab/>
        <w:t>(3)</w:t>
      </w:r>
      <w:r>
        <w:tab/>
        <w:t xml:space="preserve">Where the responsible authority elects to acquire the land as provided in subsections (1) and (2), if the responsible authority and the owner of the land are unable to agree as to the price to </w:t>
      </w:r>
      <w:r>
        <w:lastRenderedPageBreak/>
        <w:t>be paid for the land by the responsible authority, the price at which the land may be acquired by the responsible authority is to be the value of the land as determined in accordance with section 188.</w:t>
      </w:r>
    </w:p>
    <w:p>
      <w:pPr>
        <w:pStyle w:val="Subsection"/>
        <w:spacing w:before="120"/>
      </w:pPr>
      <w:r>
        <w:tab/>
        <w:t>(4)</w:t>
      </w:r>
      <w:r>
        <w:tab/>
        <w:t xml:space="preserve">If — </w:t>
      </w:r>
    </w:p>
    <w:p>
      <w:pPr>
        <w:pStyle w:val="Indenta"/>
      </w:pPr>
      <w:r>
        <w:tab/>
        <w:t>(a)</w:t>
      </w:r>
      <w:r>
        <w:tab/>
        <w:t>an owner of land claims compensation and the responsible authority elects to purchase the land instead of paying compensation; and</w:t>
      </w:r>
    </w:p>
    <w:p>
      <w:pPr>
        <w:pStyle w:val="Indenta"/>
      </w:pPr>
      <w:r>
        <w:tab/>
        <w:t>(b)</w:t>
      </w:r>
      <w:r>
        <w:tab/>
        <w:t>the price to be paid for the land by the responsible authority has not been determined for the purposes of subsection (3),</w:t>
      </w:r>
    </w:p>
    <w:p>
      <w:pPr>
        <w:pStyle w:val="Subsection"/>
      </w:pPr>
      <w:r>
        <w:tab/>
      </w:r>
      <w:r>
        <w:tab/>
        <w:t>the owner of the land may withdraw the claim for compensation and, upon that withdrawal, the election has no effect.</w:t>
      </w:r>
    </w:p>
    <w:p>
      <w:pPr>
        <w:pStyle w:val="Footnotesection"/>
      </w:pPr>
      <w:r>
        <w:tab/>
        <w:t>[Section 187 amended: No. 8 of 2009 s. 100(4).]</w:t>
      </w:r>
    </w:p>
    <w:p>
      <w:pPr>
        <w:pStyle w:val="Heading5"/>
      </w:pPr>
      <w:bookmarkStart w:id="251" w:name="_Toc199322499"/>
      <w:r>
        <w:rPr>
          <w:rStyle w:val="CharSectno"/>
        </w:rPr>
        <w:t>188</w:t>
      </w:r>
      <w:r>
        <w:t>.</w:t>
      </w:r>
      <w:r>
        <w:tab/>
        <w:t>Land to be acquired under s. 187, valuing</w:t>
      </w:r>
      <w:bookmarkEnd w:id="251"/>
    </w:p>
    <w:p>
      <w:pPr>
        <w:pStyle w:val="Subsection"/>
        <w:keepNext/>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keepNext/>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2012</w:t>
      </w:r>
      <w:r>
        <w:t>; or</w:t>
      </w:r>
    </w:p>
    <w:p>
      <w:pPr>
        <w:pStyle w:val="Indenta"/>
      </w:pPr>
      <w:r>
        <w:tab/>
        <w:t>(b)</w:t>
      </w:r>
      <w:r>
        <w:tab/>
        <w:t>by the State Administrative Tribunal on the owner of the land applying to it for a determination of that value; or</w:t>
      </w:r>
    </w:p>
    <w:p>
      <w:pPr>
        <w:pStyle w:val="Indenta"/>
      </w:pPr>
      <w:r>
        <w:tab/>
        <w:t>(c)</w:t>
      </w:r>
      <w:r>
        <w:tab/>
        <w:t>by some other method agreed upon by the responsible authority and the owner of the land.</w:t>
      </w:r>
    </w:p>
    <w:p>
      <w:pPr>
        <w:pStyle w:val="Subsection"/>
      </w:pPr>
      <w:r>
        <w:lastRenderedPageBreak/>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rPr>
          <w:spacing w:val="-2"/>
        </w:rPr>
      </w:pPr>
      <w:r>
        <w:tab/>
        <w:t>(a)</w:t>
      </w:r>
      <w:r>
        <w:tab/>
        <w:t xml:space="preserve">refer the matter for determination by arbitration in accordance with the </w:t>
      </w:r>
      <w:r>
        <w:rPr>
          <w:i/>
        </w:rPr>
        <w:t>Commercial Arbitration Act 2012</w:t>
      </w:r>
      <w:r>
        <w:rPr>
          <w:spacing w:val="-2"/>
        </w:rP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2012</w:t>
      </w:r>
      <w:r>
        <w:t>, an arbitration agreement to refer the dispute, and the parties to the agreement are to be taken to be the owner of the land and the responsible authority.</w:t>
      </w:r>
    </w:p>
    <w:p>
      <w:pPr>
        <w:pStyle w:val="Footnotesection"/>
      </w:pPr>
      <w:r>
        <w:tab/>
        <w:t>[Section 188 amended: No. 23 of 2012 s. 45.]</w:t>
      </w:r>
    </w:p>
    <w:p>
      <w:pPr>
        <w:pStyle w:val="Heading5"/>
      </w:pPr>
      <w:bookmarkStart w:id="252" w:name="_Toc199322500"/>
      <w:r>
        <w:rPr>
          <w:rStyle w:val="CharSectno"/>
        </w:rPr>
        <w:t>189</w:t>
      </w:r>
      <w:r>
        <w:t>.</w:t>
      </w:r>
      <w:r>
        <w:tab/>
        <w:t>Land in proposed region planning scheme, Commission may purchase</w:t>
      </w:r>
      <w:bookmarkEnd w:id="252"/>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253" w:name="_Toc199322501"/>
      <w:r>
        <w:rPr>
          <w:rStyle w:val="CharSectno"/>
        </w:rPr>
        <w:t>190</w:t>
      </w:r>
      <w:r>
        <w:t>.</w:t>
      </w:r>
      <w:r>
        <w:tab/>
        <w:t>Responsible authority may purchase land for planning scheme</w:t>
      </w:r>
      <w:bookmarkEnd w:id="253"/>
    </w:p>
    <w:p>
      <w:pPr>
        <w:pStyle w:val="Subsection"/>
      </w:pPr>
      <w:r>
        <w:tab/>
        <w:t>(1)</w:t>
      </w:r>
      <w:r>
        <w:tab/>
        <w:t>The responsible authority may, for the purpose of a planning scheme, in the name and on behalf of such responsible authority, purchase any land comprised in the planning scheme from any person who may be willing to sell the same.</w:t>
      </w:r>
    </w:p>
    <w:p>
      <w:pPr>
        <w:pStyle w:val="Subsection"/>
      </w:pPr>
      <w:r>
        <w:lastRenderedPageBreak/>
        <w:tab/>
        <w:t>(2)</w:t>
      </w:r>
      <w:r>
        <w:tab/>
        <w:t xml:space="preserve">If the land to be purchased under subsection (1) (the </w:t>
      </w:r>
      <w:r>
        <w:rPr>
          <w:rStyle w:val="CharDefText"/>
        </w:rPr>
        <w:t>relevant land</w:t>
      </w:r>
      <w:r>
        <w:t>) forms only part of a lot, the responsible authority may also purchase under subsection (1) the rest of the lot, or any part of the rest of the lot, for purposes related to the purchase of the relevant land.</w:t>
      </w:r>
    </w:p>
    <w:p>
      <w:pPr>
        <w:pStyle w:val="Subsection"/>
      </w:pPr>
      <w:r>
        <w:tab/>
        <w:t>(3)</w:t>
      </w:r>
      <w:r>
        <w:tab/>
        <w:t>Subsection (2) applies whether or not the rest of the lot, or the part of the rest of the lot, is comprised in the planning scheme and whether or not its purchase is for the purpose of the scheme.</w:t>
      </w:r>
    </w:p>
    <w:p>
      <w:pPr>
        <w:pStyle w:val="Footnotesection"/>
      </w:pPr>
      <w:r>
        <w:tab/>
        <w:t>[Section 190 amended: No. 26 of 2020 s. 15.]</w:t>
      </w:r>
    </w:p>
    <w:p>
      <w:pPr>
        <w:pStyle w:val="Heading5"/>
      </w:pPr>
      <w:bookmarkStart w:id="254" w:name="_Toc199322502"/>
      <w:r>
        <w:rPr>
          <w:rStyle w:val="CharSectno"/>
        </w:rPr>
        <w:t>191</w:t>
      </w:r>
      <w:r>
        <w:t>.</w:t>
      </w:r>
      <w:r>
        <w:tab/>
        <w:t>Compulsory acquisition of land in scheme area</w:t>
      </w:r>
      <w:bookmarkEnd w:id="254"/>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 as if the land were required for a public work (as defined in section 151(1) of that Act).</w:t>
      </w:r>
    </w:p>
    <w:p>
      <w:pPr>
        <w:pStyle w:val="Subsection"/>
      </w:pPr>
      <w:r>
        <w:tab/>
        <w:t>(1A)</w:t>
      </w:r>
      <w:r>
        <w:tab/>
        <w:t xml:space="preserve">If the land to be taken under subsection (1) (the </w:t>
      </w:r>
      <w:r>
        <w:rPr>
          <w:rStyle w:val="CharDefText"/>
        </w:rPr>
        <w:t>relevant land</w:t>
      </w:r>
      <w:r>
        <w:t>) forms only part of a lot, the responsible authority may also take under subsection (1) the rest of the lot, or any part of the rest of the lot, for purposes related to the taking of the relevant land.</w:t>
      </w:r>
    </w:p>
    <w:p>
      <w:pPr>
        <w:pStyle w:val="Subsection"/>
      </w:pPr>
      <w:r>
        <w:tab/>
        <w:t>(1B)</w:t>
      </w:r>
      <w:r>
        <w:tab/>
        <w:t>Subsection (1A) applies whether or not the rest of the lot, or the part of the rest of the lot, is comprised in the planning scheme and whether or not the taking of the rest of the lot, or the part of the rest of the lot, is for the purpose of the scheme.</w:t>
      </w:r>
    </w:p>
    <w:p>
      <w:pPr>
        <w:pStyle w:val="Subsection"/>
      </w:pPr>
      <w:r>
        <w:tab/>
        <w:t>(2)</w:t>
      </w:r>
      <w:r>
        <w:tab/>
        <w:t>Land acquired under subsection (1) is to be acquired in the name and on behalf of the responsible authority.</w:t>
      </w:r>
    </w:p>
    <w:p>
      <w:pPr>
        <w:pStyle w:val="Subsection"/>
        <w:keepNext/>
      </w:pPr>
      <w:r>
        <w:lastRenderedPageBreak/>
        <w:tab/>
        <w:t>(3)</w:t>
      </w:r>
      <w:r>
        <w:tab/>
        <w:t xml:space="preserve">When any land is taken compulsorily under the powers conferred by this section the provisions of — </w:t>
      </w:r>
    </w:p>
    <w:p>
      <w:pPr>
        <w:pStyle w:val="Indenta"/>
        <w:keepNext/>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Footnotesection"/>
      </w:pPr>
      <w:r>
        <w:tab/>
        <w:t>[Section 191 amended: No. 26 of 2020 s. 16.]</w:t>
      </w:r>
    </w:p>
    <w:p>
      <w:pPr>
        <w:pStyle w:val="Heading5"/>
      </w:pPr>
      <w:bookmarkStart w:id="255" w:name="_Toc199322503"/>
      <w:r>
        <w:rPr>
          <w:rStyle w:val="CharSectno"/>
        </w:rPr>
        <w:t>192</w:t>
      </w:r>
      <w:r>
        <w:t>.</w:t>
      </w:r>
      <w:r>
        <w:tab/>
        <w:t>Land etc. to be acquired under s. 191, valuing</w:t>
      </w:r>
      <w:bookmarkEnd w:id="255"/>
    </w:p>
    <w:p>
      <w:pPr>
        <w:pStyle w:val="Subsection"/>
        <w:spacing w:before="120"/>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spacing w:before="60"/>
      </w:pPr>
      <w:r>
        <w:tab/>
        <w:t>(a)</w:t>
      </w:r>
      <w:r>
        <w:tab/>
        <w:t>without regard to any increase or decrease in value attributed wholly or in part to any of the provisions contained in, or to the operation or effect of, the relevant planning scheme; and</w:t>
      </w:r>
    </w:p>
    <w:p>
      <w:pPr>
        <w:pStyle w:val="Indenta"/>
        <w:spacing w:before="60"/>
      </w:pPr>
      <w:r>
        <w:tab/>
        <w:t>(b)</w:t>
      </w:r>
      <w:r>
        <w:tab/>
        <w:t>having regard to values current at the time of acquisition,</w:t>
      </w:r>
    </w:p>
    <w:p>
      <w:pPr>
        <w:pStyle w:val="Subsection"/>
        <w:spacing w:before="100"/>
      </w:pPr>
      <w:r>
        <w:tab/>
      </w:r>
      <w:r>
        <w:tab/>
        <w:t>but in assessing the amount of compensation regard is to be had to any amounts of compensation already paid, or payable, by the responsible authority in respect of the land under Division 2.</w:t>
      </w:r>
    </w:p>
    <w:p>
      <w:pPr>
        <w:pStyle w:val="Subsection"/>
        <w:spacing w:before="120"/>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keepNext/>
        <w:spacing w:before="120"/>
      </w:pPr>
      <w:r>
        <w:lastRenderedPageBreak/>
        <w:tab/>
        <w:t>(3)</w:t>
      </w:r>
      <w:r>
        <w:tab/>
        <w:t xml:space="preserve">In assessing the amount to be deducted from compensation under subsection (2), the person lawfully appointed to determine the amount of compensation is to have regard to — </w:t>
      </w:r>
    </w:p>
    <w:p>
      <w:pPr>
        <w:pStyle w:val="Indenta"/>
        <w:spacing w:before="60"/>
      </w:pPr>
      <w:r>
        <w:tab/>
        <w:t>(a)</w:t>
      </w:r>
      <w:r>
        <w:tab/>
        <w:t>any improvements or demolitions lawfully made to or on the land, subsequently to the determination of the unaffected value of the land; and</w:t>
      </w:r>
    </w:p>
    <w:p>
      <w:pPr>
        <w:pStyle w:val="Indenta"/>
        <w:keepNext/>
        <w:keepLines/>
        <w:spacing w:before="60"/>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256" w:name="_Toc199322504"/>
      <w:r>
        <w:rPr>
          <w:rStyle w:val="CharSectno"/>
        </w:rPr>
        <w:t>193</w:t>
      </w:r>
      <w:r>
        <w:t>.</w:t>
      </w:r>
      <w:r>
        <w:tab/>
        <w:t>Responsible authority’s powers as to acquired land</w:t>
      </w:r>
      <w:bookmarkEnd w:id="256"/>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257" w:name="_Toc199322505"/>
      <w:r>
        <w:rPr>
          <w:rStyle w:val="CharSectno"/>
        </w:rPr>
        <w:t>194</w:t>
      </w:r>
      <w:r>
        <w:t>.</w:t>
      </w:r>
      <w:r>
        <w:tab/>
        <w:t>Responsible authority may grant easement over acquired land</w:t>
      </w:r>
      <w:bookmarkEnd w:id="257"/>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258" w:name="_Toc199322506"/>
      <w:r>
        <w:rPr>
          <w:rStyle w:val="CharSectno"/>
        </w:rPr>
        <w:lastRenderedPageBreak/>
        <w:t>195</w:t>
      </w:r>
      <w:r>
        <w:t>.</w:t>
      </w:r>
      <w:r>
        <w:tab/>
        <w:t>Commission’s powers to acquire land in improvement plan</w:t>
      </w:r>
      <w:bookmarkEnd w:id="258"/>
    </w:p>
    <w:p>
      <w:pPr>
        <w:pStyle w:val="Subsection"/>
      </w:pPr>
      <w:r>
        <w:tab/>
        <w:t>(1)</w:t>
      </w:r>
      <w:r>
        <w:tab/>
        <w:t>The Commission may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 xml:space="preserve">Land Administration Act 1997 </w:t>
      </w:r>
      <w:r>
        <w:t>as if the land were required for a public work (as defined in section 151(1) of that Act), subject to subsection (3).</w:t>
      </w:r>
    </w:p>
    <w:p>
      <w:pPr>
        <w:pStyle w:val="Subsection"/>
      </w:pPr>
      <w:r>
        <w:tab/>
        <w:t>(3)</w:t>
      </w:r>
      <w:r>
        <w:tab/>
        <w:t>Sections 191(3) and 192 apply with any necessary modifications to the taking of land under subsection (2) as they apply to the taking of land under section 191.</w:t>
      </w:r>
    </w:p>
    <w:p>
      <w:pPr>
        <w:pStyle w:val="Subsection"/>
      </w:pPr>
      <w:r>
        <w:tab/>
        <w:t>(3A)</w:t>
      </w:r>
      <w:r>
        <w:tab/>
        <w:t>For the purposes of subsection (3), in section 192(1)(a), the reference to the relevant planning scheme is to be read as a reference to the improvement plan.</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Footnotesection"/>
      </w:pPr>
      <w:r>
        <w:tab/>
        <w:t xml:space="preserve">[Section 195 amended: No. 28 of 2010 s. 16; No. 26 of 2020 s. 17.] </w:t>
      </w:r>
    </w:p>
    <w:p>
      <w:pPr>
        <w:pStyle w:val="Heading5"/>
      </w:pPr>
      <w:bookmarkStart w:id="259" w:name="_Toc199322507"/>
      <w:r>
        <w:rPr>
          <w:rStyle w:val="CharSectno"/>
        </w:rPr>
        <w:t>196</w:t>
      </w:r>
      <w:r>
        <w:t>.</w:t>
      </w:r>
      <w:r>
        <w:tab/>
        <w:t>Commission may sell etc. acquired land</w:t>
      </w:r>
      <w:bookmarkEnd w:id="259"/>
    </w:p>
    <w:p>
      <w:pPr>
        <w:pStyle w:val="Subsection"/>
        <w:keepNext/>
        <w:keepLines/>
      </w:pPr>
      <w:r>
        <w:tab/>
        <w:t>(1)</w:t>
      </w:r>
      <w:r>
        <w:tab/>
        <w:t xml:space="preserve">The Commission is to hold for the purposes of the relevant region planning scheme, Swan Valley Planning Scheme or improvement plan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Swan Valley Planning Scheme or improvement plan; or</w:t>
      </w:r>
    </w:p>
    <w:p>
      <w:pPr>
        <w:pStyle w:val="Indenta"/>
      </w:pPr>
      <w:r>
        <w:tab/>
        <w:t>(b)</w:t>
      </w:r>
      <w:r>
        <w:tab/>
        <w:t>if that land is no longer required by the Commission.</w:t>
      </w:r>
    </w:p>
    <w:p>
      <w:pPr>
        <w:pStyle w:val="Subsection"/>
      </w:pPr>
      <w:r>
        <w:lastRenderedPageBreak/>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 Swan Valley Planning Scheme or improvement plan.</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Subsection"/>
      </w:pPr>
      <w:r>
        <w:tab/>
        <w:t>(4)</w:t>
      </w:r>
      <w:r>
        <w:tab/>
        <w:t>In relation to a part of a lot purchased or taken by the Commission in accordance with section 190(2) or 191(1A), in subsection (1), the reference to the purposes of the relevant region planning scheme or the Swan Valley Planning Scheme is a reference to the purposes for which the part of the lot was purchased or taken.</w:t>
      </w:r>
    </w:p>
    <w:p>
      <w:pPr>
        <w:pStyle w:val="Footnotesection"/>
      </w:pPr>
      <w:r>
        <w:tab/>
        <w:t xml:space="preserve">[Section 196 amended: No. 28 of 2010 s. 17; No. 26 of 2020 s. 18; No. 45 of 2020 s. 84.] </w:t>
      </w:r>
    </w:p>
    <w:p>
      <w:pPr>
        <w:pStyle w:val="Heading5"/>
      </w:pPr>
      <w:bookmarkStart w:id="260" w:name="_Toc199322508"/>
      <w:r>
        <w:rPr>
          <w:rStyle w:val="CharSectno"/>
        </w:rPr>
        <w:t>197</w:t>
      </w:r>
      <w:r>
        <w:t>.</w:t>
      </w:r>
      <w:r>
        <w:tab/>
        <w:t>Declaring land for public work to be instead held etc. for region planning scheme or improvement plan</w:t>
      </w:r>
      <w:bookmarkEnd w:id="260"/>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the Swan Valley Planning Scheme or an improvement plan,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 Swan Valley Planning Scheme or improvement plan.</w:t>
      </w:r>
    </w:p>
    <w:p>
      <w:pPr>
        <w:pStyle w:val="Subsection"/>
      </w:pPr>
      <w:r>
        <w:lastRenderedPageBreak/>
        <w:tab/>
        <w:t>(2)</w:t>
      </w:r>
      <w:r>
        <w:tab/>
        <w:t>From the date of the publication of the notice the land described in the notice, by force of this section, vests in the Commission for the purposes of the region planning scheme, Swan Valley Planning Scheme or improvement plan.</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Footnotesection"/>
      </w:pPr>
      <w:r>
        <w:tab/>
        <w:t xml:space="preserve">[Section 197 amended: No. 28 of 2010 s. 18; No. 45 of 2020 s. 85.] </w:t>
      </w:r>
    </w:p>
    <w:p>
      <w:pPr>
        <w:pStyle w:val="Heading5"/>
      </w:pPr>
      <w:bookmarkStart w:id="261" w:name="_Toc199322509"/>
      <w:r>
        <w:rPr>
          <w:rStyle w:val="CharSectno"/>
        </w:rPr>
        <w:t>197A</w:t>
      </w:r>
      <w:r>
        <w:t>.</w:t>
      </w:r>
      <w:r>
        <w:tab/>
        <w:t>Planning control areas</w:t>
      </w:r>
      <w:bookmarkEnd w:id="261"/>
    </w:p>
    <w:p>
      <w:pPr>
        <w:pStyle w:val="Subsection"/>
      </w:pPr>
      <w:r>
        <w:tab/>
        <w:t>(1)</w:t>
      </w:r>
      <w:r>
        <w:tab/>
        <w:t>In section 187(1), the reference to the provisions of section 174(1) includes those provisions as applied by section 186(2).</w:t>
      </w:r>
    </w:p>
    <w:p>
      <w:pPr>
        <w:pStyle w:val="Subsection"/>
        <w:keepNext/>
      </w:pPr>
      <w:r>
        <w:tab/>
        <w:t>(2)</w:t>
      </w:r>
      <w:r>
        <w:tab/>
        <w:t xml:space="preserve">The Commission may purchase any of the following land — </w:t>
      </w:r>
    </w:p>
    <w:p>
      <w:pPr>
        <w:pStyle w:val="Indenta"/>
      </w:pPr>
      <w:r>
        <w:tab/>
        <w:t>(a)</w:t>
      </w:r>
      <w:r>
        <w:tab/>
        <w:t>land within a proposed planning control area;</w:t>
      </w:r>
    </w:p>
    <w:p>
      <w:pPr>
        <w:pStyle w:val="Indenta"/>
      </w:pPr>
      <w:r>
        <w:tab/>
        <w:t>(b)</w:t>
      </w:r>
      <w:r>
        <w:tab/>
        <w:t>land that would be brought within a planning control area as a result of a proposed change to the area;</w:t>
      </w:r>
    </w:p>
    <w:p>
      <w:pPr>
        <w:pStyle w:val="Indenta"/>
      </w:pPr>
      <w:r>
        <w:tab/>
        <w:t>(c)</w:t>
      </w:r>
      <w:r>
        <w:tab/>
        <w:t>land within a planning control area.</w:t>
      </w:r>
    </w:p>
    <w:p>
      <w:pPr>
        <w:pStyle w:val="Subsection"/>
      </w:pPr>
      <w:r>
        <w:lastRenderedPageBreak/>
        <w:tab/>
        <w:t>(3)</w:t>
      </w:r>
      <w:r>
        <w:tab/>
        <w:t xml:space="preserve">The Commission may compulsorily take any land within a planning control area under and subject to the </w:t>
      </w:r>
      <w:r>
        <w:rPr>
          <w:i/>
        </w:rPr>
        <w:t xml:space="preserve">Land Administration Act 1997 </w:t>
      </w:r>
      <w:r>
        <w:t>Part 9 as if the land were required for a public work (as defined in section 151(1) of that Act).</w:t>
      </w:r>
    </w:p>
    <w:p>
      <w:pPr>
        <w:pStyle w:val="Subsection"/>
      </w:pPr>
      <w:r>
        <w:tab/>
        <w:t>(4)</w:t>
      </w:r>
      <w:r>
        <w:tab/>
        <w:t>Sections 191(3) and 192 apply with any necessary modifications to the taking of land under subsection (3) as they apply to the taking of land under section 191.</w:t>
      </w:r>
    </w:p>
    <w:p>
      <w:pPr>
        <w:pStyle w:val="Subsection"/>
      </w:pPr>
      <w:r>
        <w:tab/>
        <w:t>(5)</w:t>
      </w:r>
      <w:r>
        <w:tab/>
        <w:t>For the purposes of subsection (4), in section 192(1)(a), the reference to the relevant planning scheme is to be read as a reference to the declaration of the planning control area under section 112.</w:t>
      </w:r>
    </w:p>
    <w:p>
      <w:pPr>
        <w:pStyle w:val="Subsection"/>
      </w:pPr>
      <w:r>
        <w:tab/>
        <w:t>(6)</w:t>
      </w:r>
      <w:r>
        <w:tab/>
        <w:t xml:space="preserve">The Commission — </w:t>
      </w:r>
    </w:p>
    <w:p>
      <w:pPr>
        <w:pStyle w:val="Indenta"/>
      </w:pPr>
      <w:r>
        <w:tab/>
        <w:t>(a)</w:t>
      </w:r>
      <w:r>
        <w:tab/>
        <w:t>must hold any land acquired by the Commission under this section for the purpose, or for any 1 or more of the purposes, for which the land is required as referred to in section 112(1); and</w:t>
      </w:r>
    </w:p>
    <w:p>
      <w:pPr>
        <w:pStyle w:val="Indenta"/>
      </w:pPr>
      <w:r>
        <w:tab/>
        <w:t>(b)</w:t>
      </w:r>
      <w:r>
        <w:tab/>
        <w:t xml:space="preserve">may dispose of or alienate the land — </w:t>
      </w:r>
    </w:p>
    <w:p>
      <w:pPr>
        <w:pStyle w:val="Indenti"/>
      </w:pPr>
      <w:r>
        <w:tab/>
        <w:t>(i)</w:t>
      </w:r>
      <w:r>
        <w:tab/>
        <w:t>for that purpose or 1 or more of those purposes; or</w:t>
      </w:r>
    </w:p>
    <w:p>
      <w:pPr>
        <w:pStyle w:val="Indenti"/>
      </w:pPr>
      <w:r>
        <w:tab/>
        <w:t>(ii)</w:t>
      </w:r>
      <w:r>
        <w:tab/>
        <w:t>if the land is no longer required for that purpose or any of those purposes.</w:t>
      </w:r>
    </w:p>
    <w:p>
      <w:pPr>
        <w:pStyle w:val="Subsection"/>
      </w:pPr>
      <w:r>
        <w:tab/>
        <w:t>(7)</w:t>
      </w:r>
      <w:r>
        <w:tab/>
        <w:t>Land acquired under subsection (3) can be disposed of or alienated under subsection (6)(b)(ii) only with the Governor’s consent.</w:t>
      </w:r>
    </w:p>
    <w:p>
      <w:pPr>
        <w:pStyle w:val="Subsection"/>
      </w:pPr>
      <w:r>
        <w:tab/>
        <w:t>(8)</w:t>
      </w:r>
      <w:r>
        <w:tab/>
        <w:t>Section 196(3) applies to the power to dispose of or alienate land conferred by subsection (6)(b) as it applies to a power conferred by section 196.</w:t>
      </w:r>
    </w:p>
    <w:p>
      <w:pPr>
        <w:pStyle w:val="Subsection"/>
      </w:pPr>
      <w:r>
        <w:tab/>
        <w:t>(9)</w:t>
      </w:r>
      <w:r>
        <w:tab/>
        <w:t>In section 197, references to the purposes of a region planning scheme include the purposes, or any 1 or more of the purposes, for which land within a planning control area is required as referred to in section 112(1).</w:t>
      </w:r>
    </w:p>
    <w:p>
      <w:pPr>
        <w:pStyle w:val="Footnotesection"/>
      </w:pPr>
      <w:r>
        <w:tab/>
        <w:t>[Section 197A inserted: No. 26 of 2020 s. 19.]</w:t>
      </w:r>
    </w:p>
    <w:p>
      <w:pPr>
        <w:pStyle w:val="Heading2"/>
      </w:pPr>
      <w:bookmarkStart w:id="262" w:name="_Toc199322510"/>
      <w:r>
        <w:rPr>
          <w:rStyle w:val="CharPartNo"/>
        </w:rPr>
        <w:lastRenderedPageBreak/>
        <w:t>Part 12</w:t>
      </w:r>
      <w:r>
        <w:t> — </w:t>
      </w:r>
      <w:r>
        <w:rPr>
          <w:rStyle w:val="CharPartText"/>
        </w:rPr>
        <w:t>Financial provisions</w:t>
      </w:r>
      <w:bookmarkEnd w:id="262"/>
    </w:p>
    <w:p>
      <w:pPr>
        <w:pStyle w:val="Heading3"/>
      </w:pPr>
      <w:bookmarkStart w:id="263" w:name="_Toc199322511"/>
      <w:r>
        <w:rPr>
          <w:rStyle w:val="CharDivNo"/>
        </w:rPr>
        <w:t>Division 1</w:t>
      </w:r>
      <w:r>
        <w:t> — </w:t>
      </w:r>
      <w:r>
        <w:rPr>
          <w:rStyle w:val="CharDivText"/>
        </w:rPr>
        <w:t>Metropolitan Region Improvement Fund</w:t>
      </w:r>
      <w:bookmarkEnd w:id="263"/>
    </w:p>
    <w:p>
      <w:pPr>
        <w:pStyle w:val="Heading5"/>
        <w:spacing w:before="240"/>
      </w:pPr>
      <w:bookmarkStart w:id="264" w:name="_Toc199322512"/>
      <w:r>
        <w:rPr>
          <w:rStyle w:val="CharSectno"/>
        </w:rPr>
        <w:t>198</w:t>
      </w:r>
      <w:r>
        <w:t>.</w:t>
      </w:r>
      <w:r>
        <w:tab/>
        <w:t>Metropolitan Region Improvement Account</w:t>
      </w:r>
      <w:bookmarkEnd w:id="264"/>
    </w:p>
    <w:p>
      <w:pPr>
        <w:pStyle w:val="Subsection"/>
        <w:spacing w:before="180"/>
      </w:pPr>
      <w:r>
        <w:tab/>
        <w:t>(1)</w:t>
      </w:r>
      <w:r>
        <w:tab/>
        <w:t xml:space="preserve">For the purposes of reviewing, amending, carrying out and giving effect to the Metropolitan Region Scheme, the Swan Valley Planning Scheme and any improvement scheme that has effect in part or all of the metropolitan region, an agency special purpose account called the Metropolitan Region Improvement Account is established under section 16 of the </w:t>
      </w:r>
      <w:r>
        <w:rPr>
          <w:i/>
        </w:rPr>
        <w:t>Financial Management Act 2006</w:t>
      </w:r>
      <w:r>
        <w:t>.</w:t>
      </w:r>
    </w:p>
    <w:p>
      <w:pPr>
        <w:pStyle w:val="Subsection"/>
        <w:spacing w:before="180"/>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spacing w:before="180"/>
      </w:pPr>
      <w:r>
        <w:tab/>
        <w:t>(3)</w:t>
      </w:r>
      <w:r>
        <w:tab/>
        <w:t xml:space="preserve">The Commission is to credit to the MRI Account — </w:t>
      </w:r>
    </w:p>
    <w:p>
      <w:pPr>
        <w:pStyle w:val="Indenta"/>
        <w:spacing w:before="100"/>
      </w:pPr>
      <w:r>
        <w:tab/>
        <w:t>(a)</w:t>
      </w:r>
      <w:r>
        <w:tab/>
        <w:t>moneys appropriated to the MRI Account under section 201(2); and</w:t>
      </w:r>
    </w:p>
    <w:p>
      <w:pPr>
        <w:pStyle w:val="Indenta"/>
        <w:spacing w:before="100"/>
      </w:pPr>
      <w:r>
        <w:tab/>
        <w:t>(b)</w:t>
      </w:r>
      <w:r>
        <w:tab/>
        <w:t>any purchase moneys or rents or profits or other money received by the Commission from land acquired by it or arising out of the use or occupation of the land by the Commission; and</w:t>
      </w:r>
    </w:p>
    <w:p>
      <w:pPr>
        <w:pStyle w:val="Indenta"/>
        <w:spacing w:before="100"/>
      </w:pPr>
      <w:r>
        <w:tab/>
        <w:t>(c)</w:t>
      </w:r>
      <w:r>
        <w:tab/>
        <w:t>moneys borrowed by the Commission for the performance of any function referred to in section 14 in relation to the metropolitan region; and</w:t>
      </w:r>
    </w:p>
    <w:p>
      <w:pPr>
        <w:pStyle w:val="Indenta"/>
        <w:spacing w:before="100"/>
      </w:pPr>
      <w:r>
        <w:tab/>
        <w:t>(d)</w:t>
      </w:r>
      <w:r>
        <w:tab/>
        <w:t>any other payments made to the Commission in connection with the performance of a function referred to in paragraph (c).</w:t>
      </w:r>
    </w:p>
    <w:p>
      <w:pPr>
        <w:pStyle w:val="Footnotesection"/>
      </w:pPr>
      <w:r>
        <w:tab/>
        <w:t>[Section 198 amended: No. 77 of 2006 Sch. 1 cl. 127(3) and (5); No. 28 of 2010 s. 19; No. 45 of 2020 s. 86.]</w:t>
      </w:r>
    </w:p>
    <w:p>
      <w:pPr>
        <w:pStyle w:val="Heading5"/>
        <w:spacing w:before="240"/>
      </w:pPr>
      <w:bookmarkStart w:id="265" w:name="_Toc199322513"/>
      <w:r>
        <w:rPr>
          <w:rStyle w:val="CharSectno"/>
        </w:rPr>
        <w:lastRenderedPageBreak/>
        <w:t>199</w:t>
      </w:r>
      <w:r>
        <w:t>.</w:t>
      </w:r>
      <w:r>
        <w:tab/>
        <w:t>MRI Account, application of</w:t>
      </w:r>
      <w:bookmarkEnd w:id="265"/>
    </w:p>
    <w:p>
      <w:pPr>
        <w:pStyle w:val="Subsection"/>
        <w:keepNext/>
      </w:pPr>
      <w:r>
        <w:tab/>
        <w:t>(1A)</w:t>
      </w:r>
      <w:r>
        <w:tab/>
        <w:t xml:space="preserve">In this section — </w:t>
      </w:r>
    </w:p>
    <w:p>
      <w:pPr>
        <w:pStyle w:val="Defstart"/>
      </w:pPr>
      <w:r>
        <w:tab/>
      </w:r>
      <w:r>
        <w:rPr>
          <w:rStyle w:val="CharDefText"/>
        </w:rPr>
        <w:t>metropolitan improvement scheme</w:t>
      </w:r>
      <w:r>
        <w:t xml:space="preserve"> means an improvement scheme that has effect in part or all of the metropolitan region. </w:t>
      </w:r>
    </w:p>
    <w:p>
      <w:pPr>
        <w:pStyle w:val="Subsection"/>
      </w:pPr>
      <w:r>
        <w:tab/>
        <w:t>(1)</w:t>
      </w:r>
      <w:r>
        <w:tab/>
        <w:t>The Commission may apply money in the MRI Account to payment of all expenditure incurred by it for the purpose of reviewing, amending, carrying out and giving effect to the Metropolitan Region Scheme, the Swan Valley Planning Scheme and any metropolitan improvement scheme, including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the Swan Valley Planning Scheme, a regional interim development order in respect of land in the metropolitan region or a metropolitan improvement scheme or the establishment and maintenance of any works in connection with the Metropolitan Region Scheme, Swan Valley Planning Scheme, regional interim development order or metropolitan improvement scheme; or</w:t>
      </w:r>
    </w:p>
    <w:p>
      <w:pPr>
        <w:pStyle w:val="Indenti"/>
        <w:spacing w:before="60"/>
      </w:pPr>
      <w:r>
        <w:tab/>
        <w:t>(ii)</w:t>
      </w:r>
      <w:r>
        <w:tab/>
        <w:t>the development, maintenance and management of any land held by the Commission that is reserved under the Metropolitan Region Scheme, Swan Valley Planning Scheme or metropolitan improvement scheme; or</w:t>
      </w:r>
    </w:p>
    <w:p>
      <w:pPr>
        <w:pStyle w:val="Indenti"/>
        <w:spacing w:before="60"/>
      </w:pPr>
      <w:r>
        <w:tab/>
        <w:t>(iii)</w:t>
      </w:r>
      <w:r>
        <w:tab/>
        <w:t xml:space="preserve">the carrying out of any works, including the provision of facilities, incidental to such development, maintenance and management or </w:t>
      </w:r>
      <w:r>
        <w:lastRenderedPageBreak/>
        <w:t>conducive to the use of such land for any purpose for which it is reserved.</w:t>
      </w:r>
    </w:p>
    <w:p>
      <w:pPr>
        <w:pStyle w:val="Subsection"/>
      </w:pPr>
      <w:r>
        <w:tab/>
        <w:t>(2)</w:t>
      </w:r>
      <w:r>
        <w:tab/>
        <w:t xml:space="preserve">The Commission is also authorised to apply money standing to the credit of the MRI Account to payment of expenditure required for the purpose of carrying out the </w:t>
      </w:r>
      <w:r>
        <w:rPr>
          <w:i/>
        </w:rPr>
        <w:t>Metropolitan Redevelopment Authority Act 2011</w:t>
      </w:r>
      <w:r>
        <w:t xml:space="preserve">, the </w:t>
      </w:r>
      <w:r>
        <w:rPr>
          <w:i/>
        </w:rPr>
        <w:t>Hope Valley</w:t>
      </w:r>
      <w:r>
        <w:rPr>
          <w:i/>
        </w:rPr>
        <w:noBreakHyphen/>
        <w:t>Wattleup Redevelopment Act 2000</w:t>
      </w:r>
      <w:r>
        <w:t xml:space="preserve"> or the </w:t>
      </w:r>
      <w:r>
        <w:rPr>
          <w:i/>
        </w:rPr>
        <w:t>Swan Valley Planning Act 2020</w:t>
      </w:r>
      <w:r>
        <w:t>.</w:t>
      </w:r>
    </w:p>
    <w:p>
      <w:pPr>
        <w:pStyle w:val="Footnotesection"/>
      </w:pPr>
      <w:r>
        <w:tab/>
        <w:t xml:space="preserve">[Section 199 amended: No. 77 of 2006 Sch. 1 cl. 127(5); No. 28 of 2010 s. 20; </w:t>
      </w:r>
      <w:r>
        <w:rPr>
          <w:spacing w:val="-4"/>
        </w:rPr>
        <w:t>No. 45 of 2011 s. 1</w:t>
      </w:r>
      <w:r>
        <w:t xml:space="preserve">41(9); No. 45 of 2020 s. 87.] </w:t>
      </w:r>
    </w:p>
    <w:p>
      <w:pPr>
        <w:pStyle w:val="Heading3"/>
      </w:pPr>
      <w:bookmarkStart w:id="266" w:name="_Toc199322514"/>
      <w:r>
        <w:rPr>
          <w:rStyle w:val="CharDivNo"/>
        </w:rPr>
        <w:t>Division 2</w:t>
      </w:r>
      <w:r>
        <w:t> — </w:t>
      </w:r>
      <w:r>
        <w:rPr>
          <w:rStyle w:val="CharDivText"/>
        </w:rPr>
        <w:t>Metropolitan Region Improvement Tax</w:t>
      </w:r>
      <w:bookmarkEnd w:id="266"/>
    </w:p>
    <w:p>
      <w:pPr>
        <w:pStyle w:val="Heading5"/>
      </w:pPr>
      <w:bookmarkStart w:id="267" w:name="_Toc199322515"/>
      <w:r>
        <w:rPr>
          <w:rStyle w:val="CharSectno"/>
        </w:rPr>
        <w:t>200</w:t>
      </w:r>
      <w:r>
        <w:t>.</w:t>
      </w:r>
      <w:r>
        <w:tab/>
        <w:t>Owners’ liability to pay tax</w:t>
      </w:r>
      <w:bookmarkEnd w:id="267"/>
    </w:p>
    <w:p>
      <w:pPr>
        <w:pStyle w:val="Subsection"/>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lastRenderedPageBreak/>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268" w:name="_Toc199322516"/>
      <w:r>
        <w:rPr>
          <w:rStyle w:val="CharSectno"/>
        </w:rPr>
        <w:t>201</w:t>
      </w:r>
      <w:r>
        <w:t>.</w:t>
      </w:r>
      <w:r>
        <w:rPr>
          <w:vertAlign w:val="superscript"/>
        </w:rPr>
        <w:t> 1MC</w:t>
      </w:r>
      <w:r>
        <w:tab/>
        <w:t>Tax collections, how to be dealt with</w:t>
      </w:r>
      <w:bookmarkEnd w:id="268"/>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No. 77 of 2006 s. 4 and Sch. 1 cl. 127(4).]</w:t>
      </w:r>
    </w:p>
    <w:p>
      <w:pPr>
        <w:pStyle w:val="Ednotesection"/>
      </w:pPr>
      <w:r>
        <w:t>[</w:t>
      </w:r>
      <w:r>
        <w:rPr>
          <w:b/>
          <w:bCs/>
        </w:rPr>
        <w:t xml:space="preserve">201. </w:t>
      </w:r>
      <w:r>
        <w:rPr>
          <w:vertAlign w:val="superscript"/>
        </w:rPr>
        <w:t>1MC</w:t>
      </w:r>
      <w:r>
        <w:tab/>
        <w:t>Modification, to replace section 201, to have effect under the Commonwealth Places (Mirror Taxes) Act 1998 (Commonwealth) s. 8, see Commonwealth Places (Mirror Taxes) (Modification of Applied Laws (WA)) Notice 2007 cl. 25 and endnote 1MC.]</w:t>
      </w:r>
    </w:p>
    <w:p>
      <w:pPr>
        <w:pStyle w:val="Ednotesection"/>
      </w:pPr>
      <w:r>
        <w:t>[</w:t>
      </w:r>
      <w:r>
        <w:rPr>
          <w:b/>
          <w:bCs/>
        </w:rPr>
        <w:t xml:space="preserve">201A. </w:t>
      </w:r>
      <w:r>
        <w:rPr>
          <w:vertAlign w:val="superscript"/>
        </w:rPr>
        <w:t>1M</w:t>
      </w:r>
      <w:r>
        <w:tab/>
        <w:t>Modification, to insert section 201A, to have effect under the Commonwealth Places (Mirror Taxes Administration) Act 1999 s. 7, see Commonwealth Places (Mirror Taxes Administration) Regulations 2007 r. 24 and endnote 1M.]</w:t>
      </w:r>
    </w:p>
    <w:p>
      <w:pPr>
        <w:pStyle w:val="Heading3"/>
      </w:pPr>
      <w:bookmarkStart w:id="269" w:name="_Toc199322517"/>
      <w:r>
        <w:rPr>
          <w:rStyle w:val="CharDivNo"/>
        </w:rPr>
        <w:t>Division 3</w:t>
      </w:r>
      <w:r>
        <w:t> — </w:t>
      </w:r>
      <w:r>
        <w:rPr>
          <w:rStyle w:val="CharDivText"/>
        </w:rPr>
        <w:t>Financial provisions relating to the Commission</w:t>
      </w:r>
      <w:bookmarkEnd w:id="269"/>
    </w:p>
    <w:p>
      <w:pPr>
        <w:pStyle w:val="Heading5"/>
      </w:pPr>
      <w:bookmarkStart w:id="270" w:name="_Toc199322518"/>
      <w:r>
        <w:rPr>
          <w:rStyle w:val="CharSectno"/>
        </w:rPr>
        <w:t>202</w:t>
      </w:r>
      <w:r>
        <w:t>.</w:t>
      </w:r>
      <w:r>
        <w:tab/>
        <w:t>Saving</w:t>
      </w:r>
      <w:bookmarkEnd w:id="270"/>
    </w:p>
    <w:p>
      <w:pPr>
        <w:pStyle w:val="Subsection"/>
      </w:pPr>
      <w:r>
        <w:tab/>
      </w:r>
      <w:r>
        <w:tab/>
        <w:t>Nothing in this Division is to be read as derogating from Division 1 and this Division has effect subject to that Division.</w:t>
      </w:r>
    </w:p>
    <w:p>
      <w:pPr>
        <w:pStyle w:val="Heading5"/>
      </w:pPr>
      <w:bookmarkStart w:id="271" w:name="_Toc199322519"/>
      <w:r>
        <w:rPr>
          <w:rStyle w:val="CharSectno"/>
        </w:rPr>
        <w:lastRenderedPageBreak/>
        <w:t>203</w:t>
      </w:r>
      <w:r>
        <w:t>.</w:t>
      </w:r>
      <w:r>
        <w:tab/>
        <w:t>Funds of Commission</w:t>
      </w:r>
      <w:bookmarkEnd w:id="271"/>
    </w:p>
    <w:p>
      <w:pPr>
        <w:pStyle w:val="Subsection"/>
        <w:keepNext/>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No. 77 of 2006 Sch. 1 cl. 127(6).]</w:t>
      </w:r>
    </w:p>
    <w:p>
      <w:pPr>
        <w:pStyle w:val="Heading5"/>
      </w:pPr>
      <w:bookmarkStart w:id="272" w:name="_Toc199322520"/>
      <w:r>
        <w:rPr>
          <w:rStyle w:val="CharSectno"/>
        </w:rPr>
        <w:t>204</w:t>
      </w:r>
      <w:r>
        <w:t>.</w:t>
      </w:r>
      <w:r>
        <w:tab/>
        <w:t>Minister’s approval needed for some contracts and expenditure</w:t>
      </w:r>
      <w:bookmarkEnd w:id="272"/>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273" w:name="_Toc199322521"/>
      <w:r>
        <w:rPr>
          <w:rStyle w:val="CharSectno"/>
        </w:rPr>
        <w:t>205</w:t>
      </w:r>
      <w:r>
        <w:t>.</w:t>
      </w:r>
      <w:r>
        <w:tab/>
        <w:t>Borrowing powers</w:t>
      </w:r>
      <w:bookmarkEnd w:id="273"/>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keepLines/>
      </w:pPr>
      <w:r>
        <w:lastRenderedPageBreak/>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274" w:name="_Toc199322522"/>
      <w:r>
        <w:rPr>
          <w:rStyle w:val="CharSectno"/>
        </w:rPr>
        <w:t>206</w:t>
      </w:r>
      <w:r>
        <w:t>.</w:t>
      </w:r>
      <w:r>
        <w:tab/>
        <w:t>Borrowing from Treasurer</w:t>
      </w:r>
      <w:bookmarkEnd w:id="274"/>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275" w:name="_Toc199322523"/>
      <w:r>
        <w:rPr>
          <w:rStyle w:val="CharSectno"/>
        </w:rPr>
        <w:t>207</w:t>
      </w:r>
      <w:r>
        <w:t>.</w:t>
      </w:r>
      <w:r>
        <w:tab/>
        <w:t>Guarantees by Treasurer</w:t>
      </w:r>
      <w:bookmarkEnd w:id="275"/>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lastRenderedPageBreak/>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No. 77 of 2006 s. 4.]</w:t>
      </w:r>
    </w:p>
    <w:p>
      <w:pPr>
        <w:pStyle w:val="Heading5"/>
        <w:rPr>
          <w:i/>
        </w:rPr>
      </w:pPr>
      <w:bookmarkStart w:id="276" w:name="_Toc199322524"/>
      <w:r>
        <w:rPr>
          <w:rStyle w:val="CharSectno"/>
        </w:rPr>
        <w:t>208</w:t>
      </w:r>
      <w:r>
        <w:t>.</w:t>
      </w:r>
      <w:r>
        <w:tab/>
      </w:r>
      <w:r>
        <w:rPr>
          <w:i/>
        </w:rPr>
        <w:t>Financial Management Act 2006</w:t>
      </w:r>
      <w:r>
        <w:t xml:space="preserve"> and </w:t>
      </w:r>
      <w:r>
        <w:rPr>
          <w:i/>
        </w:rPr>
        <w:t>Auditor General Act 2006</w:t>
      </w:r>
      <w:r>
        <w:t>, application of</w:t>
      </w:r>
      <w:bookmarkEnd w:id="276"/>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No. 77 of 2006 Sch. 1 cl. 127(7).]</w:t>
      </w:r>
    </w:p>
    <w:p>
      <w:pPr>
        <w:pStyle w:val="Heading5"/>
      </w:pPr>
      <w:bookmarkStart w:id="277" w:name="_Toc199322525"/>
      <w:r>
        <w:rPr>
          <w:rStyle w:val="CharSectno"/>
        </w:rPr>
        <w:t>209</w:t>
      </w:r>
      <w:r>
        <w:t>.</w:t>
      </w:r>
      <w:r>
        <w:tab/>
        <w:t>Commission’s land not subject to rates etc.</w:t>
      </w:r>
      <w:bookmarkEnd w:id="277"/>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278" w:name="_Toc199322526"/>
      <w:r>
        <w:rPr>
          <w:rStyle w:val="CharDivNo"/>
        </w:rPr>
        <w:t>Division 4</w:t>
      </w:r>
      <w:r>
        <w:t> — </w:t>
      </w:r>
      <w:r>
        <w:rPr>
          <w:rStyle w:val="CharDivText"/>
        </w:rPr>
        <w:t>Financial provisions relating to local governments</w:t>
      </w:r>
      <w:bookmarkEnd w:id="278"/>
    </w:p>
    <w:p>
      <w:pPr>
        <w:pStyle w:val="Heading5"/>
      </w:pPr>
      <w:bookmarkStart w:id="279" w:name="_Toc199322527"/>
      <w:r>
        <w:rPr>
          <w:rStyle w:val="CharSectno"/>
        </w:rPr>
        <w:t>210</w:t>
      </w:r>
      <w:r>
        <w:t>.</w:t>
      </w:r>
      <w:r>
        <w:tab/>
        <w:t>Apportioning expenses between local governments</w:t>
      </w:r>
      <w:bookmarkEnd w:id="279"/>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rStyle w:val="CharDefText"/>
        </w:rPr>
        <w:t>other local government</w:t>
      </w:r>
      <w:r>
        <w:t>).</w:t>
      </w:r>
    </w:p>
    <w:p>
      <w:pPr>
        <w:pStyle w:val="Subsection"/>
      </w:pPr>
      <w:r>
        <w:lastRenderedPageBreak/>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280" w:name="_Toc199322528"/>
      <w:r>
        <w:rPr>
          <w:rStyle w:val="CharPartNo"/>
        </w:rPr>
        <w:lastRenderedPageBreak/>
        <w:t>Part 13</w:t>
      </w:r>
      <w:r>
        <w:t> — </w:t>
      </w:r>
      <w:r>
        <w:rPr>
          <w:rStyle w:val="CharPartText"/>
        </w:rPr>
        <w:t>Enforcement and legal proceedings</w:t>
      </w:r>
      <w:bookmarkEnd w:id="280"/>
    </w:p>
    <w:p>
      <w:pPr>
        <w:pStyle w:val="Heading3"/>
      </w:pPr>
      <w:bookmarkStart w:id="281" w:name="_Toc199322529"/>
      <w:r>
        <w:rPr>
          <w:rStyle w:val="CharDivNo"/>
        </w:rPr>
        <w:t>Division 1</w:t>
      </w:r>
      <w:r>
        <w:t> — </w:t>
      </w:r>
      <w:r>
        <w:rPr>
          <w:rStyle w:val="CharDivText"/>
        </w:rPr>
        <w:t>Enforcement</w:t>
      </w:r>
      <w:bookmarkEnd w:id="281"/>
    </w:p>
    <w:p>
      <w:pPr>
        <w:pStyle w:val="Heading5"/>
      </w:pPr>
      <w:bookmarkStart w:id="282" w:name="_Toc199322530"/>
      <w:r>
        <w:rPr>
          <w:rStyle w:val="CharSectno"/>
        </w:rPr>
        <w:t>211</w:t>
      </w:r>
      <w:r>
        <w:t>.</w:t>
      </w:r>
      <w:r>
        <w:tab/>
        <w:t>Person aggrieved by local government’s omission may go to Minister; Minister’s powers</w:t>
      </w:r>
      <w:bookmarkEnd w:id="282"/>
    </w:p>
    <w:p>
      <w:pPr>
        <w:pStyle w:val="Subsection"/>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pPr>
      <w:r>
        <w:tab/>
      </w:r>
      <w:r>
        <w:tab/>
        <w:t>may make representations to the Minister.</w:t>
      </w:r>
    </w:p>
    <w:p>
      <w:pPr>
        <w:pStyle w:val="Subsection"/>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lastRenderedPageBreak/>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283" w:name="_Toc199322531"/>
      <w:r>
        <w:rPr>
          <w:rStyle w:val="CharSectno"/>
        </w:rPr>
        <w:t>212</w:t>
      </w:r>
      <w:r>
        <w:t>.</w:t>
      </w:r>
      <w:r>
        <w:tab/>
        <w:t>Breach of order etc. by local government, Minister’s powers as to</w:t>
      </w:r>
      <w:bookmarkEnd w:id="283"/>
    </w:p>
    <w:p>
      <w:pPr>
        <w:pStyle w:val="Subsection"/>
      </w:pPr>
      <w:r>
        <w:tab/>
        <w:t>(1)</w:t>
      </w:r>
      <w:r>
        <w:tab/>
        <w:t xml:space="preserve">If the Minister is satisfied that a local government has failed to — </w:t>
      </w:r>
    </w:p>
    <w:p>
      <w:pPr>
        <w:pStyle w:val="Indenta"/>
      </w:pPr>
      <w:r>
        <w:tab/>
        <w:t>(a)</w:t>
      </w:r>
      <w:r>
        <w:tab/>
        <w:t>comply with an order under section 76; or</w:t>
      </w:r>
    </w:p>
    <w:p>
      <w:pPr>
        <w:pStyle w:val="Indenta"/>
      </w:pPr>
      <w:r>
        <w:tab/>
        <w:t>(ba)</w:t>
      </w:r>
      <w:r>
        <w:tab/>
        <w:t>comply with an order made under section 77A; or</w:t>
      </w:r>
    </w:p>
    <w:p>
      <w:pPr>
        <w:pStyle w:val="Indenta"/>
      </w:pPr>
      <w:r>
        <w:tab/>
        <w:t>(b)</w:t>
      </w:r>
      <w:r>
        <w:tab/>
        <w:t xml:space="preserve">comply with a provision of Part 5 Division 5; or </w:t>
      </w:r>
    </w:p>
    <w:p>
      <w:pPr>
        <w:pStyle w:val="Indenta"/>
      </w:pPr>
      <w:r>
        <w:tab/>
        <w:t>(c)</w:t>
      </w:r>
      <w:r>
        <w:tab/>
        <w:t>comply with an order under section 211; or</w:t>
      </w:r>
    </w:p>
    <w:p>
      <w:pPr>
        <w:pStyle w:val="Indenta"/>
      </w:pPr>
      <w:r>
        <w:tab/>
        <w:t>(d)</w:t>
      </w:r>
      <w:r>
        <w:tab/>
        <w:t>comply with a provision of regulations made under this Act,</w:t>
      </w:r>
    </w:p>
    <w:p>
      <w:pPr>
        <w:pStyle w:val="Subsection"/>
      </w:pPr>
      <w:r>
        <w:tab/>
      </w:r>
      <w:r>
        <w:tab/>
        <w:t>the Minister may serve written notice on the local government under this section.</w:t>
      </w:r>
    </w:p>
    <w:p>
      <w:pPr>
        <w:pStyle w:val="Subsection"/>
        <w:keepNext/>
      </w:pPr>
      <w:r>
        <w:lastRenderedPageBreak/>
        <w:tab/>
        <w:t>(2)</w:t>
      </w:r>
      <w:r>
        <w:tab/>
        <w:t xml:space="preserve">The notice is to — </w:t>
      </w:r>
    </w:p>
    <w:p>
      <w:pPr>
        <w:pStyle w:val="Indenta"/>
      </w:pPr>
      <w:r>
        <w:tab/>
        <w:t>(a)</w:t>
      </w:r>
      <w:r>
        <w:tab/>
        <w:t>set out the relevant order or provision and the manner in which the local government has failed to comply with it; and</w:t>
      </w:r>
    </w:p>
    <w:p>
      <w:pPr>
        <w:pStyle w:val="Indenta"/>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spacing w:before="180"/>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spacing w:before="180"/>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spacing w:before="180"/>
      </w:pPr>
      <w:r>
        <w:tab/>
        <w:t>(5)</w:t>
      </w:r>
      <w:r>
        <w:tab/>
        <w:t>The Minister is to cause a copy of an order directed to a local government under subsection (4) to be served on the local government, and the local government is to comply with the order.</w:t>
      </w:r>
    </w:p>
    <w:p>
      <w:pPr>
        <w:pStyle w:val="Subsection"/>
        <w:spacing w:before="180"/>
      </w:pPr>
      <w:r>
        <w:tab/>
        <w:t>(6)</w:t>
      </w:r>
      <w:r>
        <w:tab/>
        <w:t>For the purposes of subsection (3), the provisions of the regulations that would have applied to the local government apply to the Minister with such modifications as are necessary or are prescribed.</w:t>
      </w:r>
    </w:p>
    <w:p>
      <w:pPr>
        <w:pStyle w:val="Subsection"/>
        <w:spacing w:before="180"/>
      </w:pPr>
      <w:r>
        <w:tab/>
        <w:t>(7)</w:t>
      </w:r>
      <w:r>
        <w:tab/>
        <w:t xml:space="preserve">All costs, charges and expenses incurred by the Minister in the exercise of any powers conferred by subsection (3) may be </w:t>
      </w:r>
      <w:r>
        <w:lastRenderedPageBreak/>
        <w:t>recovered from the local government as a debt due to the Crown or may be deducted from any moneys payable by the Crown to the local government.</w:t>
      </w:r>
    </w:p>
    <w:p>
      <w:pPr>
        <w:pStyle w:val="Subsection"/>
      </w:pPr>
      <w:r>
        <w:tab/>
        <w:t>(8)</w:t>
      </w:r>
      <w:r>
        <w:tab/>
        <w:t xml:space="preserve">The Minister must, as soon as is practicable after a notice is served on a local government under subsection (1) — </w:t>
      </w:r>
    </w:p>
    <w:p>
      <w:pPr>
        <w:pStyle w:val="Indenta"/>
      </w:pPr>
      <w:r>
        <w:tab/>
        <w:t>(a)</w:t>
      </w:r>
      <w:r>
        <w:tab/>
        <w:t>give a copy of the notice to the Commission; and</w:t>
      </w:r>
    </w:p>
    <w:p>
      <w:pPr>
        <w:pStyle w:val="Indenta"/>
      </w:pPr>
      <w:r>
        <w:tab/>
        <w:t>(b)</w:t>
      </w:r>
      <w:r>
        <w:tab/>
        <w:t xml:space="preserve">cause to be laid before each House of Parliament or dealt with under section 268A — </w:t>
      </w:r>
    </w:p>
    <w:p>
      <w:pPr>
        <w:pStyle w:val="Indenti"/>
      </w:pPr>
      <w:r>
        <w:tab/>
        <w:t>(i)</w:t>
      </w:r>
      <w:r>
        <w:tab/>
        <w:t>a copy of the notice; and</w:t>
      </w:r>
    </w:p>
    <w:p>
      <w:pPr>
        <w:pStyle w:val="Indenti"/>
      </w:pPr>
      <w:r>
        <w:tab/>
        <w:t>(ii)</w:t>
      </w:r>
      <w:r>
        <w:tab/>
        <w:t>a copy of the reasons for giving the notice.</w:t>
      </w:r>
    </w:p>
    <w:p>
      <w:pPr>
        <w:pStyle w:val="Footnotesection"/>
      </w:pPr>
      <w:r>
        <w:tab/>
        <w:t xml:space="preserve">[Section 212 amended: No. 28 of 2010 s. 47; No. 26 of 2020 s. 101.] </w:t>
      </w:r>
    </w:p>
    <w:p>
      <w:pPr>
        <w:pStyle w:val="Heading5"/>
        <w:spacing w:before="240"/>
      </w:pPr>
      <w:bookmarkStart w:id="284" w:name="_Toc199322532"/>
      <w:r>
        <w:rPr>
          <w:rStyle w:val="CharSectno"/>
        </w:rPr>
        <w:t>213</w:t>
      </w:r>
      <w:r>
        <w:t>.</w:t>
      </w:r>
      <w:r>
        <w:tab/>
        <w:t>Minister’s action under s. 212, effect of</w:t>
      </w:r>
      <w:bookmarkEnd w:id="284"/>
    </w:p>
    <w:p>
      <w:pPr>
        <w:pStyle w:val="Subsection"/>
        <w:spacing w:before="180"/>
      </w:pPr>
      <w:r>
        <w:tab/>
        <w:t>(1)</w:t>
      </w:r>
      <w:r>
        <w:tab/>
        <w:t xml:space="preserve">When the Minister exercises powers conferred under section 212 and prepares or causes to be prepared and published in the </w:t>
      </w:r>
      <w:r>
        <w:rPr>
          <w:i/>
        </w:rPr>
        <w:t>Gazette</w:t>
      </w:r>
      <w:r>
        <w:t xml:space="preserve"> — </w:t>
      </w:r>
    </w:p>
    <w:p>
      <w:pPr>
        <w:pStyle w:val="Indenta"/>
        <w:spacing w:before="100"/>
      </w:pPr>
      <w:r>
        <w:tab/>
        <w:t>(a)</w:t>
      </w:r>
      <w:r>
        <w:tab/>
        <w:t>an amendment to a local planning scheme; or</w:t>
      </w:r>
    </w:p>
    <w:p>
      <w:pPr>
        <w:pStyle w:val="Indenta"/>
        <w:spacing w:before="100"/>
      </w:pPr>
      <w:r>
        <w:tab/>
        <w:t>(b)</w:t>
      </w:r>
      <w:r>
        <w:tab/>
        <w:t>a local planning scheme, incorporating, if necessary, any modifications to, or conditions on, the scheme; or</w:t>
      </w:r>
    </w:p>
    <w:p>
      <w:pPr>
        <w:pStyle w:val="Indenta"/>
        <w:spacing w:before="100"/>
      </w:pPr>
      <w:r>
        <w:tab/>
        <w:t>(c)</w:t>
      </w:r>
      <w:r>
        <w:tab/>
        <w:t>a consolidated local planning scheme; or</w:t>
      </w:r>
    </w:p>
    <w:p>
      <w:pPr>
        <w:pStyle w:val="Indenta"/>
        <w:spacing w:before="100"/>
      </w:pPr>
      <w:r>
        <w:tab/>
        <w:t>(d)</w:t>
      </w:r>
      <w:r>
        <w:tab/>
        <w:t>the repeal of a local planning scheme,</w:t>
      </w:r>
    </w:p>
    <w:p>
      <w:pPr>
        <w:pStyle w:val="Subsection"/>
        <w:spacing w:before="180"/>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keepNext/>
        <w:spacing w:before="180"/>
      </w:pPr>
      <w:r>
        <w:tab/>
        <w:t>(2)</w:t>
      </w:r>
      <w:r>
        <w:tab/>
        <w:t xml:space="preserve">A reference in this or any other Act to — </w:t>
      </w:r>
    </w:p>
    <w:p>
      <w:pPr>
        <w:pStyle w:val="Indenta"/>
      </w:pPr>
      <w:r>
        <w:tab/>
        <w:t>(a)</w:t>
      </w:r>
      <w:r>
        <w:tab/>
        <w:t xml:space="preserve">an amendment to a local planning scheme is to be read and construed as including a reference to an amendment </w:t>
      </w:r>
      <w:r>
        <w:lastRenderedPageBreak/>
        <w:t>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285" w:name="_Toc199322533"/>
      <w:r>
        <w:rPr>
          <w:rStyle w:val="CharSectno"/>
        </w:rPr>
        <w:t>214</w:t>
      </w:r>
      <w:r>
        <w:t>.</w:t>
      </w:r>
      <w:r>
        <w:tab/>
        <w:t>Illegal development, responsible authority’s powers as to</w:t>
      </w:r>
      <w:bookmarkEnd w:id="285"/>
    </w:p>
    <w:p>
      <w:pPr>
        <w:pStyle w:val="Subsection"/>
        <w:keepNext/>
        <w:keepLines/>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spacing w:before="50"/>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50"/>
      </w:pPr>
      <w:r>
        <w:tab/>
        <w:t>(b)</w:t>
      </w:r>
      <w:r>
        <w:tab/>
        <w:t xml:space="preserve">a development is undertaken in contravention of planning control area requirements if the development — </w:t>
      </w:r>
    </w:p>
    <w:p>
      <w:pPr>
        <w:pStyle w:val="Indenti"/>
        <w:spacing w:before="50"/>
      </w:pPr>
      <w:r>
        <w:tab/>
        <w:t>(i)</w:t>
      </w:r>
      <w:r>
        <w:tab/>
        <w:t>is commenced, continued or carried out in a planning control area without the prior approval of that development obtained under section 116; or</w:t>
      </w:r>
    </w:p>
    <w:p>
      <w:pPr>
        <w:pStyle w:val="Indenti"/>
        <w:spacing w:before="5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20"/>
      </w:pPr>
      <w:r>
        <w:lastRenderedPageBreak/>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12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spacing w:before="50"/>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keepNext/>
      </w:pPr>
      <w:r>
        <w:lastRenderedPageBreak/>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286" w:name="_Toc199322534"/>
      <w:r>
        <w:rPr>
          <w:rStyle w:val="CharSectno"/>
        </w:rPr>
        <w:t>215</w:t>
      </w:r>
      <w:r>
        <w:t>.</w:t>
      </w:r>
      <w:r>
        <w:tab/>
        <w:t>Illegal development, responsible authority’s powers to remove etc.</w:t>
      </w:r>
      <w:bookmarkEnd w:id="286"/>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keepLines/>
      </w:pPr>
      <w:r>
        <w:lastRenderedPageBreak/>
        <w:tab/>
        <w:t>(2)</w:t>
      </w:r>
      <w:r>
        <w:tab/>
        <w:t>Any expenses incurred by a responsible authority under subsection (1) may be recovered from the person to whom the direction was given as a debt due in a court of competent jurisdiction.</w:t>
      </w:r>
    </w:p>
    <w:p>
      <w:pPr>
        <w:pStyle w:val="Heading5"/>
      </w:pPr>
      <w:bookmarkStart w:id="287" w:name="_Toc199322535"/>
      <w:r>
        <w:rPr>
          <w:rStyle w:val="CharSectno"/>
        </w:rPr>
        <w:t>216</w:t>
      </w:r>
      <w:r>
        <w:t>.</w:t>
      </w:r>
      <w:r>
        <w:tab/>
        <w:t>Breach of Act etc. or development approval, injunctions as to</w:t>
      </w:r>
      <w:bookmarkEnd w:id="287"/>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keepNext/>
      </w:pPr>
      <w:r>
        <w:tab/>
        <w:t>(i)</w:t>
      </w:r>
      <w:r>
        <w:tab/>
        <w:t xml:space="preserve">in the case where the development is commenced but not carried out, restraining the continuation </w:t>
      </w:r>
      <w:r>
        <w:lastRenderedPageBreak/>
        <w:t>or completion of the development or any use of the development; or</w:t>
      </w:r>
    </w:p>
    <w:p>
      <w:pPr>
        <w:pStyle w:val="Indenti"/>
        <w:keepNext/>
      </w:pPr>
      <w:r>
        <w:tab/>
        <w:t>(ii)</w:t>
      </w:r>
      <w:r>
        <w:tab/>
        <w:t>in the case where the development is completed, restraining the use of the development,</w:t>
      </w:r>
    </w:p>
    <w:p>
      <w:pPr>
        <w:pStyle w:val="Indenta"/>
      </w:pPr>
      <w:r>
        <w:tab/>
      </w:r>
      <w:r>
        <w:tab/>
        <w:t>until the condition is complied with.</w:t>
      </w:r>
    </w:p>
    <w:p>
      <w:pPr>
        <w:pStyle w:val="Subsection"/>
        <w:keepNext/>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spacing w:before="160"/>
      </w:pPr>
      <w:bookmarkStart w:id="288" w:name="_Toc199322536"/>
      <w:r>
        <w:rPr>
          <w:rStyle w:val="CharSectno"/>
        </w:rPr>
        <w:t>217</w:t>
      </w:r>
      <w:r>
        <w:t>.</w:t>
      </w:r>
      <w:r>
        <w:tab/>
        <w:t>Environmental conditions, Minister’s powers to enforce</w:t>
      </w:r>
      <w:bookmarkEnd w:id="288"/>
    </w:p>
    <w:p>
      <w:pPr>
        <w:pStyle w:val="Subsection"/>
        <w:spacing w:before="120"/>
      </w:pPr>
      <w:r>
        <w:tab/>
        <w:t>(1)</w:t>
      </w:r>
      <w:r>
        <w:tab/>
        <w:t xml:space="preserve">In this section — </w:t>
      </w:r>
    </w:p>
    <w:p>
      <w:pPr>
        <w:pStyle w:val="Defstart"/>
      </w:pPr>
      <w:r>
        <w:tab/>
      </w:r>
      <w:r>
        <w:rPr>
          <w:rStyle w:val="CharDefText"/>
        </w:rPr>
        <w:t>assessed scheme</w:t>
      </w:r>
      <w:r>
        <w:t xml:space="preserve"> means a planning scheme, or an amendment to a planning scheme, that is an assessed scheme as defined in the EP Act;</w:t>
      </w:r>
    </w:p>
    <w:p>
      <w:pPr>
        <w:pStyle w:val="Defstart"/>
      </w:pPr>
      <w:r>
        <w:tab/>
      </w:r>
      <w:r>
        <w:rPr>
          <w:rStyle w:val="CharDefText"/>
        </w:rPr>
        <w:t>environmental condition</w:t>
      </w:r>
      <w:r>
        <w:t xml:space="preserve"> means a condition agreed under section 48F of the EP Act or decided under section 48I of the EP Act;</w:t>
      </w:r>
    </w:p>
    <w:p>
      <w:pPr>
        <w:pStyle w:val="Defstart"/>
      </w:pPr>
      <w:r>
        <w:tab/>
      </w:r>
      <w:r>
        <w:rPr>
          <w:rStyle w:val="CharDefText"/>
        </w:rPr>
        <w:t>environmental harm</w:t>
      </w:r>
      <w:r>
        <w:t xml:space="preserve"> has the meaning given to that term in the EP Act;</w:t>
      </w:r>
    </w:p>
    <w:p>
      <w:pPr>
        <w:pStyle w:val="Defstart"/>
      </w:pPr>
      <w:r>
        <w:tab/>
      </w:r>
      <w:r>
        <w:rPr>
          <w:rStyle w:val="CharDefText"/>
        </w:rPr>
        <w:t>pollution</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pPr>
      <w:r>
        <w:tab/>
        <w:t>(3)</w:t>
      </w:r>
      <w:r>
        <w:tab/>
        <w:t xml:space="preserve">For the purposes of subsection (2) the Minister may —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 or</w:t>
      </w:r>
    </w:p>
    <w:p>
      <w:pPr>
        <w:pStyle w:val="Indenta"/>
        <w:keepLines/>
      </w:pPr>
      <w:r>
        <w:lastRenderedPageBreak/>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 or</w:t>
      </w:r>
    </w:p>
    <w:p>
      <w:pPr>
        <w:pStyle w:val="Indenta"/>
      </w:pPr>
      <w:r>
        <w:tab/>
        <w:t>(c)</w:t>
      </w:r>
      <w:r>
        <w:tab/>
        <w:t xml:space="preserve">advise the responsible authority to cause such steps to be taken as are necessary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w:t>
      </w:r>
    </w:p>
    <w:p>
      <w:pPr>
        <w:pStyle w:val="Subsection"/>
      </w:pPr>
      <w:r>
        <w:tab/>
        <w:t>(4)</w:t>
      </w:r>
      <w:r>
        <w:tab/>
        <w:t>A person who fails to comply with an order or notice served on the person under subsection (3)(a) or (b) commits an offence.</w:t>
      </w:r>
    </w:p>
    <w:p>
      <w:pPr>
        <w:pStyle w:val="Subsection"/>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Subsection"/>
      </w:pPr>
      <w:r>
        <w:tab/>
        <w:t>(6)</w:t>
      </w:r>
      <w:r>
        <w:tab/>
        <w:t xml:space="preserve">If the assessed scheme to which this section applies is the Swan Valley Planning Scheme or an amendment to that scheme, a reference in this section to the Minister is to be read as a reference to the Minister responsible for the administration of the </w:t>
      </w:r>
      <w:r>
        <w:rPr>
          <w:i/>
        </w:rPr>
        <w:t>Swan Valley Planning Act 2020</w:t>
      </w:r>
      <w:r>
        <w:t>.</w:t>
      </w:r>
    </w:p>
    <w:p>
      <w:pPr>
        <w:pStyle w:val="Footnotesection"/>
      </w:pPr>
      <w:r>
        <w:tab/>
        <w:t>[Section 217 amended: No. 45 of 2020 s. 88.]</w:t>
      </w:r>
    </w:p>
    <w:p>
      <w:pPr>
        <w:pStyle w:val="Heading3"/>
      </w:pPr>
      <w:bookmarkStart w:id="289" w:name="_Toc199322537"/>
      <w:r>
        <w:rPr>
          <w:rStyle w:val="CharDivNo"/>
        </w:rPr>
        <w:lastRenderedPageBreak/>
        <w:t>Division 2</w:t>
      </w:r>
      <w:r>
        <w:t> — </w:t>
      </w:r>
      <w:r>
        <w:rPr>
          <w:rStyle w:val="CharDivText"/>
        </w:rPr>
        <w:t>Offences</w:t>
      </w:r>
      <w:bookmarkEnd w:id="289"/>
    </w:p>
    <w:p>
      <w:pPr>
        <w:pStyle w:val="Heading5"/>
      </w:pPr>
      <w:bookmarkStart w:id="290" w:name="_Toc199322538"/>
      <w:r>
        <w:rPr>
          <w:rStyle w:val="CharSectno"/>
        </w:rPr>
        <w:t>218</w:t>
      </w:r>
      <w:r>
        <w:t>.</w:t>
      </w:r>
      <w:r>
        <w:tab/>
        <w:t>Planning scheme or condition on development, contravening etc.</w:t>
      </w:r>
      <w:bookmarkEnd w:id="290"/>
    </w:p>
    <w:p>
      <w:pPr>
        <w:pStyle w:val="Subsection"/>
        <w:keepNext/>
      </w:pPr>
      <w:r>
        <w:tab/>
      </w:r>
      <w:r>
        <w:tab/>
        <w:t xml:space="preserve">A person who — </w:t>
      </w:r>
    </w:p>
    <w:p>
      <w:pPr>
        <w:pStyle w:val="Indenta"/>
      </w:pPr>
      <w:r>
        <w:tab/>
        <w:t>(a)</w:t>
      </w:r>
      <w:r>
        <w:tab/>
        <w:t>contravenes the provisions of a planning scheme; or</w:t>
      </w:r>
    </w:p>
    <w:p>
      <w:pPr>
        <w:pStyle w:val="Indenta"/>
      </w:pPr>
      <w:r>
        <w:tab/>
        <w:t>(b)</w:t>
      </w:r>
      <w:r>
        <w:tab/>
        <w:t>commences, continues or carries out any development in any part of a region the subject of a region planning scheme or any part of an area the subject of a local planning scheme, an improvement scheme or the Swan Valley Planning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Footnotesection"/>
      </w:pPr>
      <w:r>
        <w:tab/>
        <w:t xml:space="preserve">[Section 218 amended: No. 28 of 2010 s. 21; No. 45 of 2020 s. 89.] </w:t>
      </w:r>
    </w:p>
    <w:p>
      <w:pPr>
        <w:pStyle w:val="Heading5"/>
      </w:pPr>
      <w:bookmarkStart w:id="291" w:name="_Toc199322539"/>
      <w:r>
        <w:rPr>
          <w:rStyle w:val="CharSectno"/>
        </w:rPr>
        <w:t>219</w:t>
      </w:r>
      <w:r>
        <w:t>.</w:t>
      </w:r>
      <w:r>
        <w:tab/>
        <w:t>Unauthorised subdivision works</w:t>
      </w:r>
      <w:bookmarkEnd w:id="291"/>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lastRenderedPageBreak/>
        <w:tab/>
        <w:t>(2)</w:t>
      </w:r>
      <w:r>
        <w:tab/>
        <w:t>It is a defence to a charge of an offence under subsection (1) to show that the person has development approval or other lawful authority to commence, continue or carry out the works.</w:t>
      </w:r>
    </w:p>
    <w:p>
      <w:pPr>
        <w:pStyle w:val="Heading5"/>
      </w:pPr>
      <w:bookmarkStart w:id="292" w:name="_Toc199322540"/>
      <w:r>
        <w:rPr>
          <w:rStyle w:val="CharSectno"/>
        </w:rPr>
        <w:t>220</w:t>
      </w:r>
      <w:r>
        <w:t>.</w:t>
      </w:r>
      <w:r>
        <w:tab/>
        <w:t>Planning control area, unauthorised development in</w:t>
      </w:r>
      <w:bookmarkEnd w:id="292"/>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293" w:name="_Toc199322541"/>
      <w:r>
        <w:rPr>
          <w:rStyle w:val="CharSectno"/>
        </w:rPr>
        <w:t>221</w:t>
      </w:r>
      <w:r>
        <w:t>.</w:t>
      </w:r>
      <w:r>
        <w:tab/>
        <w:t>Interim development order, contravening</w:t>
      </w:r>
      <w:bookmarkEnd w:id="293"/>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294" w:name="_Toc199322542"/>
      <w:r>
        <w:rPr>
          <w:rStyle w:val="CharSectno"/>
        </w:rPr>
        <w:t>222</w:t>
      </w:r>
      <w:r>
        <w:t>.</w:t>
      </w:r>
      <w:r>
        <w:tab/>
        <w:t>Heritage place, unauthorised development in</w:t>
      </w:r>
      <w:bookmarkEnd w:id="294"/>
    </w:p>
    <w:p>
      <w:pPr>
        <w:pStyle w:val="Subsection"/>
        <w:keepNext/>
      </w:pPr>
      <w:r>
        <w:tab/>
      </w:r>
      <w:r>
        <w:tab/>
        <w:t xml:space="preserve">A person who commences, continues or carries out any development, or causes or permits any development to be </w:t>
      </w:r>
      <w:r>
        <w:lastRenderedPageBreak/>
        <w:t xml:space="preserve">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spacing w:before="120"/>
      </w:pPr>
      <w:r>
        <w:tab/>
      </w:r>
      <w:r>
        <w:tab/>
        <w:t>commits an offence.</w:t>
      </w:r>
    </w:p>
    <w:p>
      <w:pPr>
        <w:pStyle w:val="Heading5"/>
      </w:pPr>
      <w:bookmarkStart w:id="295" w:name="_Toc199322543"/>
      <w:r>
        <w:rPr>
          <w:rStyle w:val="CharSectno"/>
        </w:rPr>
        <w:t>223</w:t>
      </w:r>
      <w:r>
        <w:t>.</w:t>
      </w:r>
      <w:r>
        <w:tab/>
        <w:t>General penalty</w:t>
      </w:r>
      <w:bookmarkEnd w:id="295"/>
    </w:p>
    <w:p>
      <w:pPr>
        <w:pStyle w:val="Subsection"/>
      </w:pPr>
      <w:r>
        <w:tab/>
      </w:r>
      <w:r>
        <w:tab/>
        <w:t>Unless otherwise provided, a person who commits an offence under this Act is liable to a fine of $200 000 and, in the case of a continuing offence, a further fine of $25 000 for each day during which the offence continues.</w:t>
      </w:r>
    </w:p>
    <w:p>
      <w:pPr>
        <w:pStyle w:val="Footnotesection"/>
      </w:pPr>
      <w:r>
        <w:tab/>
        <w:t>[Section 223 amended: No. 4 of 2011 s. 10.]</w:t>
      </w:r>
    </w:p>
    <w:p>
      <w:pPr>
        <w:pStyle w:val="Heading5"/>
      </w:pPr>
      <w:bookmarkStart w:id="296" w:name="_Toc199322544"/>
      <w:r>
        <w:rPr>
          <w:rStyle w:val="CharSectno"/>
        </w:rPr>
        <w:t>224</w:t>
      </w:r>
      <w:r>
        <w:t>.</w:t>
      </w:r>
      <w:r>
        <w:tab/>
        <w:t>Other enforcement provisions not affected</w:t>
      </w:r>
      <w:bookmarkEnd w:id="296"/>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pPr>
      <w:bookmarkStart w:id="297" w:name="_Toc199322545"/>
      <w:r>
        <w:rPr>
          <w:rStyle w:val="CharSectno"/>
        </w:rPr>
        <w:t>225</w:t>
      </w:r>
      <w:r>
        <w:t>.</w:t>
      </w:r>
      <w:r>
        <w:tab/>
        <w:t>Onus of proof in vehicle offence may be shifted</w:t>
      </w:r>
      <w:bookmarkEnd w:id="297"/>
    </w:p>
    <w:p>
      <w:pPr>
        <w:pStyle w:val="Subsection"/>
      </w:pPr>
      <w:r>
        <w:tab/>
        <w:t>(1)</w:t>
      </w:r>
      <w:r>
        <w:tab/>
        <w:t xml:space="preserve">In this section — </w:t>
      </w:r>
    </w:p>
    <w:p>
      <w:pPr>
        <w:pStyle w:val="Defstart"/>
      </w:pPr>
      <w:r>
        <w:tab/>
      </w:r>
      <w:r>
        <w:rPr>
          <w:rStyle w:val="CharDefText"/>
        </w:rPr>
        <w:t>vehicle offence</w:t>
      </w:r>
      <w:r>
        <w:t xml:space="preserve"> means an offence of which the parking, standing or leaving of a vehicle is an element.</w:t>
      </w:r>
    </w:p>
    <w:p>
      <w:pPr>
        <w:pStyle w:val="Subsection"/>
      </w:pPr>
      <w:r>
        <w:tab/>
        <w:t>(2)</w:t>
      </w:r>
      <w:r>
        <w:tab/>
        <w:t xml:space="preserve">Where a vehicle offence is alleged to have been committed and the identity of the person committing the alleged offence is not known and cannot immediately be ascertained an officer of the relevant responsible authority who is a designated person under </w:t>
      </w:r>
      <w:r>
        <w:lastRenderedPageBreak/>
        <w:t>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Footnotesection"/>
      </w:pPr>
      <w:r>
        <w:tab/>
        <w:t>[Section 225 amended: No. 8 of 2009 s. 100(5).]</w:t>
      </w:r>
    </w:p>
    <w:p>
      <w:pPr>
        <w:pStyle w:val="Heading3"/>
      </w:pPr>
      <w:bookmarkStart w:id="298" w:name="_Toc199322546"/>
      <w:r>
        <w:rPr>
          <w:rStyle w:val="CharDivNo"/>
        </w:rPr>
        <w:lastRenderedPageBreak/>
        <w:t>Division 3</w:t>
      </w:r>
      <w:r>
        <w:t> — </w:t>
      </w:r>
      <w:r>
        <w:rPr>
          <w:rStyle w:val="CharDivText"/>
        </w:rPr>
        <w:t>Infringement notices</w:t>
      </w:r>
      <w:bookmarkEnd w:id="298"/>
    </w:p>
    <w:p>
      <w:pPr>
        <w:pStyle w:val="Heading5"/>
      </w:pPr>
      <w:bookmarkStart w:id="299" w:name="_Toc199322547"/>
      <w:r>
        <w:rPr>
          <w:rStyle w:val="CharSectno"/>
        </w:rPr>
        <w:t>226</w:t>
      </w:r>
      <w:r>
        <w:t>.</w:t>
      </w:r>
      <w:r>
        <w:tab/>
        <w:t>Terms used</w:t>
      </w:r>
      <w:bookmarkEnd w:id="299"/>
    </w:p>
    <w:p>
      <w:pPr>
        <w:pStyle w:val="Subsection"/>
      </w:pPr>
      <w:r>
        <w:tab/>
      </w:r>
      <w:r>
        <w:tab/>
        <w:t xml:space="preserve">In this Division — </w:t>
      </w:r>
    </w:p>
    <w:p>
      <w:pPr>
        <w:pStyle w:val="Defstart"/>
      </w:pPr>
      <w:r>
        <w:tab/>
      </w:r>
      <w:r>
        <w:rPr>
          <w:rStyle w:val="CharDefText"/>
        </w:rPr>
        <w:t>alleged offender</w:t>
      </w:r>
      <w:r>
        <w:t xml:space="preserve"> means a person who or which is suspected of having committed an offence under this Act or under regulations made under this Act;</w:t>
      </w:r>
    </w:p>
    <w:p>
      <w:pPr>
        <w:pStyle w:val="Defstart"/>
      </w:pPr>
      <w:r>
        <w:tab/>
      </w:r>
      <w:r>
        <w:rPr>
          <w:rStyle w:val="CharDefText"/>
        </w:rPr>
        <w:t>designated person</w:t>
      </w:r>
      <w:r>
        <w:t xml:space="preserve"> in section 228, 229, 230 or 231 means a person appointed under section 234 to be a designated person for the purposes of the section in which the term is used;</w:t>
      </w:r>
    </w:p>
    <w:p>
      <w:pPr>
        <w:pStyle w:val="Defstart"/>
      </w:pPr>
      <w:r>
        <w:tab/>
      </w:r>
      <w:r>
        <w:rPr>
          <w:rStyle w:val="CharDefText"/>
        </w:rPr>
        <w:t>prescribed offence</w:t>
      </w:r>
      <w:r>
        <w:t xml:space="preserve"> means an offence prescribed under section 227(1).</w:t>
      </w:r>
    </w:p>
    <w:p>
      <w:pPr>
        <w:pStyle w:val="Heading5"/>
      </w:pPr>
      <w:bookmarkStart w:id="300" w:name="_Toc199322548"/>
      <w:r>
        <w:rPr>
          <w:rStyle w:val="CharSectno"/>
        </w:rPr>
        <w:t>227</w:t>
      </w:r>
      <w:r>
        <w:t>.</w:t>
      </w:r>
      <w:r>
        <w:tab/>
        <w:t>Prescribed offences</w:t>
      </w:r>
      <w:bookmarkEnd w:id="300"/>
    </w:p>
    <w:p>
      <w:pPr>
        <w:pStyle w:val="Subsection"/>
      </w:pPr>
      <w:r>
        <w:tab/>
        <w:t>(1)</w:t>
      </w:r>
      <w:r>
        <w:tab/>
        <w:t>The regulations may prescribe an offence under this Act, or under any regulations made under this Act, to be an offence for which an infringement notice may be issued under this Division.</w:t>
      </w:r>
    </w:p>
    <w:p>
      <w:pPr>
        <w:pStyle w:val="Subsection"/>
      </w:pPr>
      <w:r>
        <w:tab/>
        <w:t>(2)</w:t>
      </w:r>
      <w:r>
        <w:tab/>
        <w:t xml:space="preserve">For each prescribed offence the regulations must prescribe — </w:t>
      </w:r>
    </w:p>
    <w:p>
      <w:pPr>
        <w:pStyle w:val="Indenta"/>
      </w:pPr>
      <w:r>
        <w:tab/>
        <w:t>(a)</w:t>
      </w:r>
      <w:r>
        <w:tab/>
        <w:t>a modified penalty applicable in whatever the circumstances in which the offence is committed; or</w:t>
      </w:r>
    </w:p>
    <w:p>
      <w:pPr>
        <w:pStyle w:val="Indenta"/>
      </w:pPr>
      <w:r>
        <w:tab/>
        <w:t>(b)</w:t>
      </w:r>
      <w:r>
        <w:tab/>
        <w:t>a modified penalty applicable if the offence is committed in circumstances specified in the regulations.</w:t>
      </w:r>
    </w:p>
    <w:p>
      <w:pPr>
        <w:pStyle w:val="Subsection"/>
      </w:pPr>
      <w:r>
        <w:tab/>
        <w:t>(3)</w:t>
      </w:r>
      <w:r>
        <w:tab/>
        <w:t>The modified penalty for an offence is not to exceed 20% of the maximum penalty that could be imposed for that offence by a court.</w:t>
      </w:r>
    </w:p>
    <w:p>
      <w:pPr>
        <w:pStyle w:val="Heading5"/>
      </w:pPr>
      <w:bookmarkStart w:id="301" w:name="_Toc199322549"/>
      <w:r>
        <w:rPr>
          <w:rStyle w:val="CharSectno"/>
        </w:rPr>
        <w:t>228</w:t>
      </w:r>
      <w:r>
        <w:t>.</w:t>
      </w:r>
      <w:r>
        <w:tab/>
        <w:t>Giving of infringement notice</w:t>
      </w:r>
      <w:bookmarkEnd w:id="301"/>
    </w:p>
    <w:p>
      <w:pPr>
        <w:pStyle w:val="Subsection"/>
      </w:pPr>
      <w:r>
        <w:tab/>
        <w:t>(1)</w:t>
      </w:r>
      <w:r>
        <w:tab/>
        <w:t>A designated person who has reason to believe that a person has committed a prescribed offence may give an infringement notice to the alleged offender.</w:t>
      </w:r>
    </w:p>
    <w:p>
      <w:pPr>
        <w:pStyle w:val="Subsection"/>
      </w:pPr>
      <w:r>
        <w:tab/>
        <w:t>(2)</w:t>
      </w:r>
      <w:r>
        <w:tab/>
        <w:t>The notice must be given within 6 months after the alleged offence is believed to have been committed.</w:t>
      </w:r>
    </w:p>
    <w:p>
      <w:pPr>
        <w:pStyle w:val="Heading5"/>
      </w:pPr>
      <w:bookmarkStart w:id="302" w:name="_Toc199322550"/>
      <w:r>
        <w:rPr>
          <w:rStyle w:val="CharSectno"/>
        </w:rPr>
        <w:lastRenderedPageBreak/>
        <w:t>229</w:t>
      </w:r>
      <w:r>
        <w:t>.</w:t>
      </w:r>
      <w:r>
        <w:tab/>
        <w:t>Content of infringement notice</w:t>
      </w:r>
      <w:bookmarkEnd w:id="302"/>
    </w:p>
    <w:p>
      <w:pPr>
        <w:pStyle w:val="Subsection"/>
      </w:pPr>
      <w:r>
        <w:tab/>
        <w:t>(1)</w:t>
      </w:r>
      <w:r>
        <w:tab/>
        <w:t xml:space="preserve">An infringement notice is to be in the prescribed form and is to — </w:t>
      </w:r>
    </w:p>
    <w:p>
      <w:pPr>
        <w:pStyle w:val="Indenta"/>
      </w:pPr>
      <w:r>
        <w:tab/>
        <w:t>(a)</w:t>
      </w:r>
      <w:r>
        <w:tab/>
        <w:t>contain a description of the alleged offence; and</w:t>
      </w:r>
    </w:p>
    <w:p>
      <w:pPr>
        <w:pStyle w:val="Indenta"/>
      </w:pPr>
      <w:r>
        <w:tab/>
        <w:t>(b)</w:t>
      </w:r>
      <w:r>
        <w:tab/>
        <w:t>specify the amount of the modified penalty for the offence; and</w:t>
      </w:r>
    </w:p>
    <w:p>
      <w:pPr>
        <w:pStyle w:val="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Indenta"/>
      </w:pPr>
      <w:r>
        <w:tab/>
        <w:t>(d)</w:t>
      </w:r>
      <w:r>
        <w:tab/>
        <w:t>inform the alleged offender as to who are designated persons for the purposes of receiving payment of modified penalties.</w:t>
      </w:r>
    </w:p>
    <w:p>
      <w:pPr>
        <w:pStyle w:val="Subsection"/>
      </w:pPr>
      <w:r>
        <w:tab/>
        <w:t>(2)</w:t>
      </w:r>
      <w:r>
        <w:tab/>
        <w:t>The amount referred to in subsection (1)(b) is to be the amount that was the prescribed modified penalty at the time the alleged offence is believed to have been committed.</w:t>
      </w:r>
    </w:p>
    <w:p>
      <w:pPr>
        <w:pStyle w:val="Heading5"/>
        <w:spacing w:before="180"/>
      </w:pPr>
      <w:bookmarkStart w:id="303" w:name="_Toc199322551"/>
      <w:r>
        <w:rPr>
          <w:rStyle w:val="CharSectno"/>
        </w:rPr>
        <w:t>230</w:t>
      </w:r>
      <w:r>
        <w:t>.</w:t>
      </w:r>
      <w:r>
        <w:tab/>
        <w:t>Extending time to pay modified penalty</w:t>
      </w:r>
      <w:bookmarkEnd w:id="303"/>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Heading5"/>
        <w:spacing w:before="180"/>
      </w:pPr>
      <w:bookmarkStart w:id="304" w:name="_Toc199322552"/>
      <w:r>
        <w:rPr>
          <w:rStyle w:val="CharSectno"/>
        </w:rPr>
        <w:t>231</w:t>
      </w:r>
      <w:r>
        <w:t>.</w:t>
      </w:r>
      <w:r>
        <w:tab/>
        <w:t>Withdrawal of infringement notice</w:t>
      </w:r>
      <w:bookmarkEnd w:id="304"/>
    </w:p>
    <w:p>
      <w:pPr>
        <w:pStyle w:val="Subsection"/>
        <w:spacing w:before="120"/>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pPr>
      <w:bookmarkStart w:id="305" w:name="_Toc199322553"/>
      <w:r>
        <w:rPr>
          <w:rStyle w:val="CharSectno"/>
        </w:rPr>
        <w:lastRenderedPageBreak/>
        <w:t>232</w:t>
      </w:r>
      <w:r>
        <w:t>.</w:t>
      </w:r>
      <w:r>
        <w:tab/>
        <w:t>Benefit of paying modified penalty</w:t>
      </w:r>
      <w:bookmarkEnd w:id="305"/>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pPr>
      <w:bookmarkStart w:id="306" w:name="_Toc199322554"/>
      <w:r>
        <w:rPr>
          <w:rStyle w:val="CharSectno"/>
        </w:rPr>
        <w:t>233</w:t>
      </w:r>
      <w:r>
        <w:t>.</w:t>
      </w:r>
      <w:r>
        <w:tab/>
        <w:t>Paid modified penalty, application of</w:t>
      </w:r>
      <w:bookmarkEnd w:id="306"/>
    </w:p>
    <w:p>
      <w:pPr>
        <w:pStyle w:val="Subsection"/>
      </w:pPr>
      <w:r>
        <w:tab/>
      </w:r>
      <w:r>
        <w:tab/>
        <w:t>An amount paid as a modified penalty is, subject to section 231(2), to be dealt with as if it were a penalty imposed by a court as a penalty for an offence.</w:t>
      </w:r>
    </w:p>
    <w:p>
      <w:pPr>
        <w:pStyle w:val="Heading5"/>
      </w:pPr>
      <w:bookmarkStart w:id="307" w:name="_Toc199322555"/>
      <w:r>
        <w:rPr>
          <w:rStyle w:val="CharSectno"/>
        </w:rPr>
        <w:t>234</w:t>
      </w:r>
      <w:r>
        <w:t>.</w:t>
      </w:r>
      <w:r>
        <w:tab/>
        <w:t>Designated persons, appointment of</w:t>
      </w:r>
      <w:bookmarkEnd w:id="307"/>
    </w:p>
    <w:p>
      <w:pPr>
        <w:pStyle w:val="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Subsection"/>
      </w:pPr>
      <w:r>
        <w:tab/>
        <w:t>(2)</w:t>
      </w:r>
      <w:r>
        <w:tab/>
        <w:t>A person who is authorised to give infringement notices under section 228 is not eligible to be a designated person for the purposes of any of the other sections.</w:t>
      </w:r>
    </w:p>
    <w:p>
      <w:pPr>
        <w:pStyle w:val="Heading5"/>
        <w:spacing w:before="180"/>
      </w:pPr>
      <w:bookmarkStart w:id="308" w:name="_Toc199322556"/>
      <w:r>
        <w:rPr>
          <w:rStyle w:val="CharSectno"/>
        </w:rPr>
        <w:t>235</w:t>
      </w:r>
      <w:r>
        <w:t>.</w:t>
      </w:r>
      <w:r>
        <w:tab/>
        <w:t>Notice placing onus on vehicle owner</w:t>
      </w:r>
      <w:bookmarkEnd w:id="308"/>
    </w:p>
    <w:p>
      <w:pPr>
        <w:pStyle w:val="Subsection"/>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Subsection"/>
      </w:pPr>
      <w:r>
        <w:lastRenderedPageBreak/>
        <w:tab/>
        <w:t>(2)</w:t>
      </w:r>
      <w:r>
        <w:tab/>
        <w:t xml:space="preserve">For the purpose of giving the vehicle owner an infringement notice that is with a notice under section 225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225(4).</w:t>
      </w:r>
    </w:p>
    <w:p>
      <w:pPr>
        <w:pStyle w:val="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Subsection"/>
      </w:pPr>
      <w:r>
        <w:tab/>
        <w:t>(4)</w:t>
      </w:r>
      <w:r>
        <w:tab/>
        <w:t>The statement required by section 225(5) is to include a description of the effect of subsection (3) if an infringement notice is given with a notice under section 225.</w:t>
      </w:r>
    </w:p>
    <w:p>
      <w:pPr>
        <w:pStyle w:val="Heading2"/>
      </w:pPr>
      <w:bookmarkStart w:id="309" w:name="_Toc199322557"/>
      <w:r>
        <w:rPr>
          <w:rStyle w:val="CharPartNo"/>
        </w:rPr>
        <w:lastRenderedPageBreak/>
        <w:t>Part 14</w:t>
      </w:r>
      <w:r>
        <w:t> — </w:t>
      </w:r>
      <w:r>
        <w:rPr>
          <w:rStyle w:val="CharPartText"/>
        </w:rPr>
        <w:t>Applications for review</w:t>
      </w:r>
      <w:bookmarkEnd w:id="309"/>
    </w:p>
    <w:p>
      <w:pPr>
        <w:pStyle w:val="Heading3"/>
      </w:pPr>
      <w:bookmarkStart w:id="310" w:name="_Toc199322558"/>
      <w:r>
        <w:rPr>
          <w:rStyle w:val="CharDivNo"/>
        </w:rPr>
        <w:t>Division 1</w:t>
      </w:r>
      <w:r>
        <w:t> — </w:t>
      </w:r>
      <w:r>
        <w:rPr>
          <w:rStyle w:val="CharDivText"/>
        </w:rPr>
        <w:t>Making and determination of applications for review</w:t>
      </w:r>
      <w:bookmarkEnd w:id="310"/>
    </w:p>
    <w:p>
      <w:pPr>
        <w:pStyle w:val="Heading5"/>
      </w:pPr>
      <w:bookmarkStart w:id="311" w:name="_Toc199322559"/>
      <w:r>
        <w:rPr>
          <w:rStyle w:val="CharSectno"/>
        </w:rPr>
        <w:t>236</w:t>
      </w:r>
      <w:r>
        <w:t>.</w:t>
      </w:r>
      <w:r>
        <w:tab/>
        <w:t>When this Part applies</w:t>
      </w:r>
      <w:bookmarkEnd w:id="311"/>
    </w:p>
    <w:p>
      <w:pPr>
        <w:pStyle w:val="Subsection"/>
      </w:pPr>
      <w:r>
        <w:tab/>
        <w:t>(1)</w:t>
      </w:r>
      <w:r>
        <w:tab/>
        <w:t xml:space="preserve">In this section — </w:t>
      </w:r>
    </w:p>
    <w:p>
      <w:pPr>
        <w:pStyle w:val="Defstart"/>
      </w:pPr>
      <w:r>
        <w:rPr>
          <w:b/>
        </w:rPr>
        <w:tab/>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312" w:name="_Toc199322560"/>
      <w:r>
        <w:rPr>
          <w:rStyle w:val="CharSectno"/>
        </w:rPr>
        <w:lastRenderedPageBreak/>
        <w:t>237</w:t>
      </w:r>
      <w:r>
        <w:t>.</w:t>
      </w:r>
      <w:r>
        <w:tab/>
        <w:t>Terms used</w:t>
      </w:r>
      <w:bookmarkEnd w:id="312"/>
    </w:p>
    <w:p>
      <w:pPr>
        <w:pStyle w:val="Subsection"/>
      </w:pPr>
      <w:r>
        <w:tab/>
      </w:r>
      <w:r>
        <w:tab/>
        <w:t xml:space="preserve">In this Part, unless the contrary intention appears — </w:t>
      </w:r>
    </w:p>
    <w:p>
      <w:pPr>
        <w:pStyle w:val="Defstart"/>
      </w:pPr>
      <w:r>
        <w:rPr>
          <w:b/>
        </w:rPr>
        <w:tab/>
      </w:r>
      <w:r>
        <w:rPr>
          <w:rStyle w:val="CharDefText"/>
        </w:rPr>
        <w:t>judicial member</w:t>
      </w:r>
      <w:r>
        <w:t xml:space="preserve"> has the meaning given to that term in section 3(1) of the </w:t>
      </w:r>
      <w:r>
        <w:rPr>
          <w:i/>
        </w:rPr>
        <w:t>State Administrative Tribunal Act 2004</w:t>
      </w:r>
      <w:r>
        <w:rPr>
          <w:iCs/>
        </w:rPr>
        <w:t>;</w:t>
      </w:r>
    </w:p>
    <w:p>
      <w:pPr>
        <w:pStyle w:val="Defstart"/>
      </w:pPr>
      <w:r>
        <w:rPr>
          <w:b/>
        </w:rPr>
        <w:tab/>
      </w:r>
      <w:r>
        <w:rPr>
          <w:rStyle w:val="CharDefText"/>
        </w:rPr>
        <w:t>party</w:t>
      </w:r>
      <w:r>
        <w:t xml:space="preserve"> has the meaning given to that term in section 36 of the </w:t>
      </w:r>
      <w:r>
        <w:rPr>
          <w:i/>
        </w:rPr>
        <w:t>State Administrative Tribunal Act 2004</w:t>
      </w:r>
      <w:r>
        <w:t>;</w:t>
      </w:r>
    </w:p>
    <w:p>
      <w:pPr>
        <w:pStyle w:val="Defstart"/>
      </w:pPr>
      <w:r>
        <w:rPr>
          <w:b/>
        </w:rPr>
        <w:tab/>
      </w:r>
      <w:r>
        <w:rPr>
          <w:rStyle w:val="CharDefText"/>
        </w:rPr>
        <w:t>President</w:t>
      </w:r>
      <w:r>
        <w:t xml:space="preserve"> means the President of the State Administrative Tribunal;</w:t>
      </w:r>
    </w:p>
    <w:p>
      <w:pPr>
        <w:pStyle w:val="Defstart"/>
      </w:pPr>
      <w:r>
        <w:rPr>
          <w:b/>
        </w:rPr>
        <w:tab/>
      </w:r>
      <w:r>
        <w:rPr>
          <w:rStyle w:val="CharDefText"/>
        </w:rPr>
        <w:t>Tribunal member</w:t>
      </w:r>
      <w:r>
        <w:t xml:space="preserve"> has the meaning given to that term in section 3(1) of the </w:t>
      </w:r>
      <w:r>
        <w:rPr>
          <w:i/>
        </w:rPr>
        <w:t>State Administrative Tribunal Act 2004</w:t>
      </w:r>
      <w:r>
        <w:t>.</w:t>
      </w:r>
    </w:p>
    <w:p>
      <w:pPr>
        <w:pStyle w:val="Footnotesection"/>
      </w:pPr>
      <w:r>
        <w:tab/>
        <w:t>[Section 237 amended: No. 5 of 2008 s. 84.]</w:t>
      </w:r>
    </w:p>
    <w:p>
      <w:pPr>
        <w:pStyle w:val="Heading5"/>
      </w:pPr>
      <w:bookmarkStart w:id="313" w:name="_Toc199322561"/>
      <w:r>
        <w:rPr>
          <w:rStyle w:val="CharSectno"/>
        </w:rPr>
        <w:t>237A</w:t>
      </w:r>
      <w:r>
        <w:t>.</w:t>
      </w:r>
      <w:r>
        <w:tab/>
        <w:t>How SAT to be constituted</w:t>
      </w:r>
      <w:bookmarkEnd w:id="313"/>
    </w:p>
    <w:p>
      <w:pPr>
        <w:pStyle w:val="Subsection"/>
      </w:pPr>
      <w:r>
        <w:tab/>
        <w:t>(1)</w:t>
      </w:r>
      <w:r>
        <w:tab/>
        <w:t>When exercising the jurisdiction referred to in section 236(2), the State Administrative Tribunal is to be constituted under this section and section 238.</w:t>
      </w:r>
    </w:p>
    <w:p>
      <w:pPr>
        <w:pStyle w:val="Subsection"/>
      </w:pPr>
      <w:r>
        <w:tab/>
        <w:t>(2)</w:t>
      </w:r>
      <w:r>
        <w:tab/>
        <w:t xml:space="preserve">The State Administrative Tribunal is to be constituted by one Tribunal member when it is dealing with an application for a review of the determination of, or conditions imposed in respect of — </w:t>
      </w:r>
    </w:p>
    <w:p>
      <w:pPr>
        <w:pStyle w:val="Indenta"/>
      </w:pPr>
      <w:r>
        <w:tab/>
        <w:t>(a)</w:t>
      </w:r>
      <w:r>
        <w:tab/>
        <w:t xml:space="preserve">a development application to commence a development of a value of less than $250 000 or such other amount as is prescribed by regulations made under the </w:t>
      </w:r>
      <w:r>
        <w:rPr>
          <w:i/>
          <w:iCs/>
        </w:rPr>
        <w:t>State Administrative Tribunal Act 2004</w:t>
      </w:r>
      <w:r>
        <w:t>; or</w:t>
      </w:r>
    </w:p>
    <w:p>
      <w:pPr>
        <w:pStyle w:val="Indenta"/>
      </w:pPr>
      <w:r>
        <w:tab/>
        <w:t>(b)</w:t>
      </w:r>
      <w:r>
        <w:tab/>
        <w:t xml:space="preserve">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Indenta"/>
      </w:pPr>
      <w:r>
        <w:tab/>
        <w:t>(c)</w:t>
      </w:r>
      <w:r>
        <w:tab/>
        <w:t>an application for approval to subdivide a lot into not more than 3 lots.</w:t>
      </w:r>
    </w:p>
    <w:p>
      <w:pPr>
        <w:pStyle w:val="Subsection"/>
      </w:pPr>
      <w:r>
        <w:lastRenderedPageBreak/>
        <w:tab/>
        <w:t>(3)</w:t>
      </w:r>
      <w:r>
        <w:tab/>
        <w:t>The State Administrative Tribunal is to be constituted by one Tribunal member when it is dealing with an application that the applicant, with the agreement of each other party, has elected at the time of making the application to have determined by one Tribunal member.</w:t>
      </w:r>
    </w:p>
    <w:p>
      <w:pPr>
        <w:pStyle w:val="Subsection"/>
      </w:pPr>
      <w:r>
        <w:tab/>
        <w:t>(4)</w:t>
      </w:r>
      <w:r>
        <w:tab/>
        <w:t xml:space="preserve">If — </w:t>
      </w:r>
    </w:p>
    <w:p>
      <w:pPr>
        <w:pStyle w:val="Indenta"/>
      </w:pPr>
      <w:r>
        <w:tab/>
        <w:t>(a)</w:t>
      </w:r>
      <w:r>
        <w:tab/>
        <w:t>subsection (2) or (3) does not apply; or</w:t>
      </w:r>
    </w:p>
    <w:p>
      <w:pPr>
        <w:pStyle w:val="Indenta"/>
      </w:pPr>
      <w:r>
        <w:tab/>
        <w:t>(b)</w:t>
      </w:r>
      <w:r>
        <w:tab/>
        <w:t>the President is of the opinion that an application referred to in subsection (2) or (3) is likely to raise complex or significant planning issues,</w:t>
      </w:r>
    </w:p>
    <w:p>
      <w:pPr>
        <w:pStyle w:val="Subsection"/>
      </w:pPr>
      <w:r>
        <w:tab/>
      </w:r>
      <w:r>
        <w:tab/>
        <w:t xml:space="preserve">the State Administrative Tribunal is to be constituted under section 11 of the </w:t>
      </w:r>
      <w:r>
        <w:rPr>
          <w:i/>
          <w:iCs/>
        </w:rPr>
        <w:t>State Administrative Tribunal Act 2004</w:t>
      </w:r>
      <w:r>
        <w:t>.</w:t>
      </w:r>
    </w:p>
    <w:p>
      <w:pPr>
        <w:pStyle w:val="Footnotesection"/>
        <w:ind w:left="890" w:hanging="890"/>
      </w:pPr>
      <w:r>
        <w:tab/>
        <w:t>[Section 237A inserted: No. 5 of 2008 s. 85.]</w:t>
      </w:r>
    </w:p>
    <w:p>
      <w:pPr>
        <w:pStyle w:val="Heading5"/>
      </w:pPr>
      <w:bookmarkStart w:id="314" w:name="_Toc199322562"/>
      <w:r>
        <w:rPr>
          <w:rStyle w:val="CharSectno"/>
        </w:rPr>
        <w:t>238</w:t>
      </w:r>
      <w:r>
        <w:t>.</w:t>
      </w:r>
      <w:r>
        <w:tab/>
        <w:t>SAT members, qualifications of</w:t>
      </w:r>
      <w:bookmarkEnd w:id="314"/>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Footnotesection"/>
        <w:spacing w:before="100"/>
        <w:ind w:left="890" w:hanging="890"/>
      </w:pPr>
      <w:r>
        <w:tab/>
        <w:t>[Section 238 amended: No. 5 of 2008 s. 86.]</w:t>
      </w:r>
    </w:p>
    <w:p>
      <w:pPr>
        <w:pStyle w:val="Heading5"/>
      </w:pPr>
      <w:bookmarkStart w:id="315" w:name="_Toc199322563"/>
      <w:r>
        <w:rPr>
          <w:rStyle w:val="CharSectno"/>
        </w:rPr>
        <w:t>239</w:t>
      </w:r>
      <w:r>
        <w:t>.</w:t>
      </w:r>
      <w:r>
        <w:tab/>
        <w:t>Legal representation, some applicants may elect there will be none</w:t>
      </w:r>
      <w:bookmarkEnd w:id="315"/>
    </w:p>
    <w:p>
      <w:pPr>
        <w:pStyle w:val="Subsection"/>
      </w:pPr>
      <w:r>
        <w:tab/>
        <w:t>(1)</w:t>
      </w:r>
      <w:r>
        <w:tab/>
        <w:t xml:space="preserve">In the case of an application described in section 237A(2) the applicant may, at the time the application is made, elect that no </w:t>
      </w:r>
      <w:r>
        <w:lastRenderedPageBreak/>
        <w:t>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 or</w:t>
      </w:r>
    </w:p>
    <w:p>
      <w:pPr>
        <w:pStyle w:val="Indenta"/>
      </w:pPr>
      <w:r>
        <w:tab/>
        <w:t>(b)</w:t>
      </w:r>
      <w:r>
        <w:tab/>
        <w:t>the President, having regard to whether the application involves a question of law, directs in any other case that the parties may be so represented; or</w:t>
      </w:r>
    </w:p>
    <w:p>
      <w:pPr>
        <w:pStyle w:val="Indenta"/>
      </w:pPr>
      <w:r>
        <w:tab/>
        <w:t>(c)</w:t>
      </w:r>
      <w:r>
        <w:tab/>
        <w:t>the applicant is a legal practitioner; or</w:t>
      </w:r>
    </w:p>
    <w:p>
      <w:pPr>
        <w:pStyle w:val="Indenta"/>
      </w:pPr>
      <w:r>
        <w:tab/>
        <w:t>(d)</w:t>
      </w:r>
      <w:r>
        <w:tab/>
        <w:t>the applicant withdraws the election.</w:t>
      </w:r>
    </w:p>
    <w:p>
      <w:pPr>
        <w:pStyle w:val="Footnotesection"/>
        <w:ind w:left="890" w:hanging="890"/>
      </w:pPr>
      <w:r>
        <w:tab/>
        <w:t>[Section 239 amended: No. 5 of 2008 s. 87.]</w:t>
      </w:r>
    </w:p>
    <w:p>
      <w:pPr>
        <w:pStyle w:val="Heading5"/>
      </w:pPr>
      <w:bookmarkStart w:id="316" w:name="_Toc199322564"/>
      <w:r>
        <w:rPr>
          <w:rStyle w:val="CharSectno"/>
        </w:rPr>
        <w:t>240</w:t>
      </w:r>
      <w:r>
        <w:t>.</w:t>
      </w:r>
      <w:r>
        <w:tab/>
        <w:t>SAT to invite Minister for the Environment to make submission before determining certain applications</w:t>
      </w:r>
      <w:bookmarkEnd w:id="316"/>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317" w:name="_Toc199322565"/>
      <w:r>
        <w:rPr>
          <w:rStyle w:val="CharSectno"/>
        </w:rPr>
        <w:t>241</w:t>
      </w:r>
      <w:r>
        <w:t>.</w:t>
      </w:r>
      <w:r>
        <w:tab/>
        <w:t>SAT to have regard to certain matters</w:t>
      </w:r>
      <w:bookmarkEnd w:id="317"/>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 and</w:t>
      </w:r>
    </w:p>
    <w:p>
      <w:pPr>
        <w:pStyle w:val="Indenta"/>
      </w:pPr>
      <w:r>
        <w:lastRenderedPageBreak/>
        <w:tab/>
        <w:t>(c)</w:t>
      </w:r>
      <w:r>
        <w:tab/>
        <w:t xml:space="preserve">in the case of an application that relates to the Swan Valley Planning Scheme — the objects set out in the </w:t>
      </w:r>
      <w:r>
        <w:rPr>
          <w:i/>
        </w:rPr>
        <w:t>Swan Valley Planning Act 2020</w:t>
      </w:r>
      <w:r>
        <w:t xml:space="preserve"> section 5.</w:t>
      </w:r>
    </w:p>
    <w:p>
      <w:pPr>
        <w:pStyle w:val="Subsection"/>
      </w:pPr>
      <w:r>
        <w:tab/>
        <w:t>(2)</w:t>
      </w:r>
      <w:r>
        <w:tab/>
        <w:t xml:space="preserve">In the case of an application that relates to land to which the </w:t>
      </w:r>
      <w:r>
        <w:rPr>
          <w:i/>
        </w:rPr>
        <w:t xml:space="preserve">Heritage Act 2018 </w:t>
      </w:r>
      <w:r>
        <w:t xml:space="preserve">applies, and whether or not a State planning policy provides for the conservation of that land, the State Administrative Tribunal — </w:t>
      </w:r>
    </w:p>
    <w:p>
      <w:pPr>
        <w:pStyle w:val="Indenta"/>
      </w:pPr>
      <w:r>
        <w:tab/>
        <w:t>(a)</w:t>
      </w:r>
      <w:r>
        <w:tab/>
        <w:t>is to refer the matter to the Heritage Council for advice; and</w:t>
      </w:r>
    </w:p>
    <w:p>
      <w:pPr>
        <w:pStyle w:val="Indenta"/>
      </w:pPr>
      <w:r>
        <w:tab/>
        <w:t>(b)</w:t>
      </w:r>
      <w:r>
        <w:tab/>
        <w:t>may receive and hear submissions made on behalf of the Heritage Council; and</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Heritage Act 2018</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241 amended: No. 52 of 2006 s. 6; No. 22 of 2018 s. 186(13); No. 45 of 2020 s. 90.]</w:t>
      </w:r>
    </w:p>
    <w:p>
      <w:pPr>
        <w:pStyle w:val="Heading5"/>
      </w:pPr>
      <w:bookmarkStart w:id="318" w:name="_Toc199322566"/>
      <w:r>
        <w:rPr>
          <w:rStyle w:val="CharSectno"/>
        </w:rPr>
        <w:t>242</w:t>
      </w:r>
      <w:r>
        <w:t>.</w:t>
      </w:r>
      <w:r>
        <w:tab/>
        <w:t>Persons who are not parties, submissions from</w:t>
      </w:r>
      <w:bookmarkEnd w:id="318"/>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319" w:name="_Toc199322567"/>
      <w:r>
        <w:rPr>
          <w:rStyle w:val="CharSectno"/>
        </w:rPr>
        <w:lastRenderedPageBreak/>
        <w:t>243</w:t>
      </w:r>
      <w:r>
        <w:t>.</w:t>
      </w:r>
      <w:r>
        <w:tab/>
        <w:t>Exclusion of powers to join parties</w:t>
      </w:r>
      <w:bookmarkEnd w:id="319"/>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320" w:name="_Toc199322568"/>
      <w:r>
        <w:rPr>
          <w:rStyle w:val="CharSectno"/>
        </w:rPr>
        <w:t>244</w:t>
      </w:r>
      <w:r>
        <w:t>.</w:t>
      </w:r>
      <w:r>
        <w:tab/>
        <w:t>SAT review of some SAT decisions</w:t>
      </w:r>
      <w:bookmarkEnd w:id="320"/>
    </w:p>
    <w:p>
      <w:pPr>
        <w:pStyle w:val="Subsection"/>
      </w:pPr>
      <w:r>
        <w:tab/>
        <w:t>(1)</w:t>
      </w:r>
      <w:r>
        <w:tab/>
        <w:t xml:space="preserve">The State Administrative Tribunal constituted by a judicial member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a judicial member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Ednotesubsection"/>
      </w:pPr>
      <w:r>
        <w:tab/>
        <w:t>[(4)</w:t>
      </w:r>
      <w:r>
        <w:tab/>
        <w:t>deleted]</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keepNext/>
      </w:pPr>
      <w:r>
        <w:lastRenderedPageBreak/>
        <w:tab/>
        <w:t>(b)</w:t>
      </w:r>
      <w:r>
        <w:tab/>
        <w:t>on the application of a party is not to be made later than one month after the application is made.</w:t>
      </w:r>
    </w:p>
    <w:p>
      <w:pPr>
        <w:pStyle w:val="Footnotesection"/>
      </w:pPr>
      <w:r>
        <w:tab/>
        <w:t>[Section 244 amended: No. 5 of 2008 s. 88.]</w:t>
      </w:r>
    </w:p>
    <w:p>
      <w:pPr>
        <w:pStyle w:val="Heading5"/>
        <w:spacing w:before="180"/>
      </w:pPr>
      <w:bookmarkStart w:id="321" w:name="_Toc199322569"/>
      <w:r>
        <w:rPr>
          <w:rStyle w:val="CharSectno"/>
        </w:rPr>
        <w:t>245</w:t>
      </w:r>
      <w:r>
        <w:t>.</w:t>
      </w:r>
      <w:r>
        <w:tab/>
        <w:t>Submissions by Minister to SAT</w:t>
      </w:r>
      <w:bookmarkEnd w:id="321"/>
    </w:p>
    <w:p>
      <w:pPr>
        <w:pStyle w:val="Subsection"/>
        <w:keepNext/>
        <w:keepLines/>
        <w:spacing w:before="120"/>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 xml:space="preserve">Swan and Canning Rivers </w:t>
      </w:r>
      <w:r>
        <w:rPr>
          <w:i/>
          <w:iCs/>
        </w:rPr>
        <w:lastRenderedPageBreak/>
        <w:t>Management Act 2006</w:t>
      </w:r>
      <w:r>
        <w:t>,</w:t>
      </w:r>
      <w:r>
        <w:rPr>
          <w:bCs/>
        </w:rPr>
        <w:t xml:space="preserve"> </w:t>
      </w:r>
      <w:r>
        <w:rPr>
          <w:rStyle w:val="CharDefText"/>
        </w:rPr>
        <w:t>Minister</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included in a place of a kind mentioned in the </w:t>
      </w:r>
      <w:r>
        <w:rPr>
          <w:i/>
        </w:rPr>
        <w:t xml:space="preserve">Heritage Act 2018 </w:t>
      </w:r>
      <w:r>
        <w:t xml:space="preserve">section 72(1), </w:t>
      </w:r>
      <w:r>
        <w:rPr>
          <w:rStyle w:val="CharDefText"/>
        </w:rPr>
        <w:t>Minister</w:t>
      </w:r>
      <w:r>
        <w:t xml:space="preserve"> includes the Minister to whom the administration of that Act is committed.</w:t>
      </w:r>
    </w:p>
    <w:p>
      <w:pPr>
        <w:pStyle w:val="Footnotesection"/>
      </w:pPr>
      <w:r>
        <w:tab/>
        <w:t>[Section 245 amended: No. 52 of 2006 s. 6; No. 22 of 2018 s. 186(14).]</w:t>
      </w:r>
    </w:p>
    <w:p>
      <w:pPr>
        <w:pStyle w:val="Heading5"/>
      </w:pPr>
      <w:bookmarkStart w:id="322" w:name="_Toc199322570"/>
      <w:r>
        <w:rPr>
          <w:rStyle w:val="CharSectno"/>
        </w:rPr>
        <w:t>246</w:t>
      </w:r>
      <w:r>
        <w:t>.</w:t>
      </w:r>
      <w:r>
        <w:tab/>
        <w:t>Minister may call in application to SAT for review</w:t>
      </w:r>
      <w:bookmarkEnd w:id="322"/>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keepNext/>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Heritage Act 2018</w:t>
      </w:r>
      <w:r>
        <w:t>; or</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w:t>
      </w:r>
      <w:r>
        <w:lastRenderedPageBreak/>
        <w:t>is practicable, is to cause a copy of it to be laid before each House of Parliament or dealt with under section 268A.</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keepNext/>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Footnotesection"/>
        <w:ind w:left="890" w:hanging="890"/>
      </w:pPr>
      <w:r>
        <w:tab/>
        <w:t xml:space="preserve">[Section 246 amended: No. 28 of 2010 s. 48; No. 22 of 2018 s. 186(15).] </w:t>
      </w:r>
    </w:p>
    <w:p>
      <w:pPr>
        <w:pStyle w:val="Heading5"/>
      </w:pPr>
      <w:bookmarkStart w:id="323" w:name="_Toc199322571"/>
      <w:r>
        <w:rPr>
          <w:rStyle w:val="CharSectno"/>
        </w:rPr>
        <w:t>247</w:t>
      </w:r>
      <w:r>
        <w:t>.</w:t>
      </w:r>
      <w:r>
        <w:tab/>
        <w:t>Determination of application by Minister</w:t>
      </w:r>
      <w:bookmarkEnd w:id="323"/>
    </w:p>
    <w:p>
      <w:pPr>
        <w:pStyle w:val="Subsection"/>
      </w:pPr>
      <w:r>
        <w:tab/>
        <w:t>(1)</w:t>
      </w:r>
      <w:r>
        <w:tab/>
        <w:t>In determining an application the Minister is not limited to planning considerations but may make the determination having regard to any other matter affecting the public interest.</w:t>
      </w:r>
    </w:p>
    <w:p>
      <w:pPr>
        <w:pStyle w:val="Subsection"/>
      </w:pPr>
      <w:r>
        <w:tab/>
        <w:t>(2)</w:t>
      </w:r>
      <w:r>
        <w:tab/>
        <w:t>When the Minister determines an application that determination has effect according to its tenor.</w:t>
      </w:r>
    </w:p>
    <w:p>
      <w:pPr>
        <w:pStyle w:val="Subsection"/>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lastRenderedPageBreak/>
        <w:tab/>
        <w:t>(4)</w:t>
      </w:r>
      <w:r>
        <w:tab/>
        <w:t xml:space="preserve">The Minister is to — </w:t>
      </w:r>
    </w:p>
    <w:p>
      <w:pPr>
        <w:pStyle w:val="Indenta"/>
      </w:pPr>
      <w:r>
        <w:tab/>
        <w:t>(a)</w:t>
      </w:r>
      <w:r>
        <w:tab/>
        <w:t>give to each party written reasons for the determination of the Minister on the application; and</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Ednotesection"/>
        <w:spacing w:before="180"/>
      </w:pPr>
      <w:r>
        <w:t>[</w:t>
      </w:r>
      <w:r>
        <w:rPr>
          <w:b/>
          <w:bCs/>
        </w:rPr>
        <w:t>248.</w:t>
      </w:r>
      <w:r>
        <w:tab/>
        <w:t>Deleted: No. 28 of 2010 s. 49.]</w:t>
      </w:r>
    </w:p>
    <w:p>
      <w:pPr>
        <w:pStyle w:val="Heading3"/>
        <w:spacing w:before="180"/>
      </w:pPr>
      <w:bookmarkStart w:id="324" w:name="_Toc199322572"/>
      <w:r>
        <w:rPr>
          <w:rStyle w:val="CharDivNo"/>
        </w:rPr>
        <w:t>Division 2</w:t>
      </w:r>
      <w:r>
        <w:t> — </w:t>
      </w:r>
      <w:r>
        <w:rPr>
          <w:rStyle w:val="CharDivText"/>
        </w:rPr>
        <w:t>Decisions which may be reviewed</w:t>
      </w:r>
      <w:bookmarkEnd w:id="324"/>
    </w:p>
    <w:p>
      <w:pPr>
        <w:pStyle w:val="Heading5"/>
        <w:spacing w:before="180"/>
      </w:pPr>
      <w:bookmarkStart w:id="325" w:name="_Toc199322573"/>
      <w:r>
        <w:rPr>
          <w:rStyle w:val="CharSectno"/>
        </w:rPr>
        <w:t>249</w:t>
      </w:r>
      <w:r>
        <w:t>.</w:t>
      </w:r>
      <w:r>
        <w:tab/>
        <w:t>Decision as to development under interim development order</w:t>
      </w:r>
      <w:bookmarkEnd w:id="325"/>
    </w:p>
    <w:p>
      <w:pPr>
        <w:pStyle w:val="Subsection"/>
        <w:spacing w:before="120"/>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spacing w:before="120"/>
      </w:pPr>
      <w:r>
        <w:tab/>
        <w:t>(2)</w:t>
      </w:r>
      <w:r>
        <w:tab/>
        <w:t xml:space="preserve">No application for a review is to be made or heard in respect of a development that contravenes a provision of — </w:t>
      </w:r>
    </w:p>
    <w:p>
      <w:pPr>
        <w:pStyle w:val="Indenta"/>
      </w:pPr>
      <w:r>
        <w:tab/>
        <w:t>(a)</w:t>
      </w:r>
      <w:r>
        <w:tab/>
        <w:t>a local planning scheme; or</w:t>
      </w:r>
    </w:p>
    <w:p>
      <w:pPr>
        <w:pStyle w:val="Indenta"/>
      </w:pPr>
      <w:r>
        <w:tab/>
        <w:t>(b)</w:t>
      </w:r>
      <w:r>
        <w:tab/>
        <w:t>a local law of a local government that is not superseded by the interim development order; or</w:t>
      </w:r>
    </w:p>
    <w:p>
      <w:pPr>
        <w:pStyle w:val="Indenta"/>
      </w:pPr>
      <w:r>
        <w:tab/>
        <w:t>(c)</w:t>
      </w:r>
      <w:r>
        <w:tab/>
        <w:t xml:space="preserve">an order made under the </w:t>
      </w:r>
      <w:r>
        <w:rPr>
          <w:i/>
        </w:rPr>
        <w:t>Heritage Act 2018</w:t>
      </w:r>
      <w:r>
        <w:t xml:space="preserve"> Part 4 or Part 11 Division 4.</w:t>
      </w:r>
    </w:p>
    <w:p>
      <w:pPr>
        <w:pStyle w:val="Subsection"/>
        <w:spacing w:before="120"/>
      </w:pPr>
      <w:r>
        <w:tab/>
        <w:t>(3)</w:t>
      </w:r>
      <w:r>
        <w:tab/>
        <w:t xml:space="preserve">The Commission is to be taken to have refused an application for approval to carry out development under a regional interim development order, and a local government is to be taken to have refused an application for approval to carry out </w:t>
      </w:r>
      <w:r>
        <w:lastRenderedPageBreak/>
        <w:t>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Footnotesection"/>
        <w:ind w:left="890" w:hanging="890"/>
      </w:pPr>
      <w:r>
        <w:tab/>
        <w:t xml:space="preserve">[Section 249 amended: No. 22 of 2018 s. 186(16).] </w:t>
      </w:r>
    </w:p>
    <w:p>
      <w:pPr>
        <w:pStyle w:val="Heading5"/>
      </w:pPr>
      <w:bookmarkStart w:id="326" w:name="_Toc199322574"/>
      <w:r>
        <w:rPr>
          <w:rStyle w:val="CharSectno"/>
        </w:rPr>
        <w:t>250</w:t>
      </w:r>
      <w:r>
        <w:t>.</w:t>
      </w:r>
      <w:r>
        <w:tab/>
        <w:t>Decision as to development in planning control area</w:t>
      </w:r>
      <w:bookmarkEnd w:id="326"/>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Ednotesubsection"/>
      </w:pPr>
      <w:r>
        <w:tab/>
        <w:t>[(2)</w:t>
      </w:r>
      <w:r>
        <w:tab/>
        <w:t>deleted]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Footnotesection"/>
        <w:ind w:left="890" w:hanging="890"/>
      </w:pPr>
      <w:r>
        <w:tab/>
        <w:t xml:space="preserve">[Section 250 amended: No. 22 of 2018 s. 186(17).] </w:t>
      </w:r>
    </w:p>
    <w:p>
      <w:pPr>
        <w:pStyle w:val="Heading5"/>
      </w:pPr>
      <w:bookmarkStart w:id="327" w:name="_Toc199322575"/>
      <w:r>
        <w:rPr>
          <w:rStyle w:val="CharSectno"/>
        </w:rPr>
        <w:t>251</w:t>
      </w:r>
      <w:r>
        <w:t>.</w:t>
      </w:r>
      <w:r>
        <w:tab/>
        <w:t>Some decisions made under Part 10</w:t>
      </w:r>
      <w:bookmarkEnd w:id="327"/>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licence to use and occupy, or mortgage, in respect of which an application for approval was made to the Commission.</w:t>
      </w:r>
    </w:p>
    <w:p>
      <w:pPr>
        <w:pStyle w:val="Subsection"/>
      </w:pPr>
      <w:r>
        <w:lastRenderedPageBreak/>
        <w:tab/>
        <w:t>(2)</w:t>
      </w:r>
      <w:r>
        <w:tab/>
        <w:t>An applicant may apply to the State Administrative Tribunal for a review, in accordance with this Part, of conditions affixed to the granting of an approval referred to in subsection (1).</w:t>
      </w:r>
    </w:p>
    <w:p>
      <w:pPr>
        <w:pStyle w:val="Subsection"/>
        <w:spacing w:before="120"/>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Subsection"/>
      </w:pPr>
      <w:r>
        <w:tab/>
        <w:t>(6)</w:t>
      </w:r>
      <w:r>
        <w:tab/>
        <w:t>An applicant for an extension under section 145A(2) who is aggrieved by the Commission’s decision to refuse to grant the extension may apply to the State Administrative Tribunal for a review, in accordance with this Part, of the decision of the Commission.</w:t>
      </w:r>
    </w:p>
    <w:p>
      <w:pPr>
        <w:pStyle w:val="Footnotesection"/>
      </w:pPr>
      <w:r>
        <w:tab/>
        <w:t>[Section 251 amended: No. 26 of 2020 s. 92.]</w:t>
      </w:r>
    </w:p>
    <w:p>
      <w:pPr>
        <w:pStyle w:val="Heading5"/>
      </w:pPr>
      <w:bookmarkStart w:id="328" w:name="_Toc199322576"/>
      <w:r>
        <w:rPr>
          <w:rStyle w:val="CharSectno"/>
        </w:rPr>
        <w:t>252</w:t>
      </w:r>
      <w:r>
        <w:t>.</w:t>
      </w:r>
      <w:r>
        <w:tab/>
        <w:t>Decision made in exercise of discretionary power under planning scheme</w:t>
      </w:r>
      <w:bookmarkEnd w:id="328"/>
    </w:p>
    <w:p>
      <w:pPr>
        <w:pStyle w:val="Subsection"/>
      </w:pPr>
      <w:r>
        <w:tab/>
        <w:t>(1)</w:t>
      </w:r>
      <w:r>
        <w:tab/>
        <w:t xml:space="preserve">Subject to subsection (3), if — </w:t>
      </w:r>
    </w:p>
    <w:p>
      <w:pPr>
        <w:pStyle w:val="Indenta"/>
      </w:pPr>
      <w:r>
        <w:tab/>
        <w:t>(a)</w:t>
      </w:r>
      <w:r>
        <w:tab/>
        <w:t>under a planning scheme, the grant of any consent, permission, approval or other authorisation is in the discretion of a responsible authority; and</w:t>
      </w:r>
    </w:p>
    <w:p>
      <w:pPr>
        <w:pStyle w:val="Indenta"/>
      </w:pPr>
      <w:r>
        <w:tab/>
        <w:t>(b)</w:t>
      </w:r>
      <w:r>
        <w:tab/>
        <w:t>a person has applied to the responsible authority for such a grant; and</w:t>
      </w:r>
    </w:p>
    <w:p>
      <w:pPr>
        <w:pStyle w:val="Indenta"/>
        <w:keepNext/>
        <w:keepLines/>
      </w:pPr>
      <w:r>
        <w:lastRenderedPageBreak/>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an improvement scheme or the Swan Valley Planning Scheme as to — </w:t>
      </w:r>
    </w:p>
    <w:p>
      <w:pPr>
        <w:pStyle w:val="Indenta"/>
      </w:pPr>
      <w:r>
        <w:tab/>
        <w:t>(a)</w:t>
      </w:r>
      <w:r>
        <w:tab/>
        <w:t>the classification of a use under the planning scheme; or</w:t>
      </w:r>
    </w:p>
    <w:p>
      <w:pPr>
        <w:pStyle w:val="Indenta"/>
      </w:pPr>
      <w:r>
        <w:tab/>
        <w:t>(b)</w:t>
      </w:r>
      <w:r>
        <w:tab/>
        <w:t>the permissibility of a use that is not listed under the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Footnotesection"/>
        <w:spacing w:before="80"/>
        <w:ind w:left="890" w:hanging="890"/>
      </w:pPr>
      <w:r>
        <w:tab/>
        <w:t xml:space="preserve">[Section 252 amended: No. 28 of 2010 s. 22; No. 45 of 2020 s. 91.] </w:t>
      </w:r>
    </w:p>
    <w:p>
      <w:pPr>
        <w:pStyle w:val="Heading5"/>
      </w:pPr>
      <w:bookmarkStart w:id="329" w:name="_Toc199322577"/>
      <w:r>
        <w:rPr>
          <w:rStyle w:val="CharSectno"/>
        </w:rPr>
        <w:t>253</w:t>
      </w:r>
      <w:r>
        <w:t>.</w:t>
      </w:r>
      <w:r>
        <w:tab/>
        <w:t>Failure of responsible authority to make decision within decision period</w:t>
      </w:r>
      <w:bookmarkEnd w:id="329"/>
    </w:p>
    <w:p>
      <w:pPr>
        <w:pStyle w:val="Subsection"/>
        <w:keepNext/>
        <w:keepLines/>
      </w:pPr>
      <w:r>
        <w:tab/>
        <w:t>(1)</w:t>
      </w:r>
      <w:r>
        <w:tab/>
        <w:t xml:space="preserve">In this section — </w:t>
      </w:r>
    </w:p>
    <w:p>
      <w:pPr>
        <w:pStyle w:val="Defstart"/>
      </w:pPr>
      <w:r>
        <w:tab/>
      </w:r>
      <w:r>
        <w:rPr>
          <w:rStyle w:val="CharDefText"/>
        </w:rPr>
        <w:t>applicant</w:t>
      </w:r>
      <w:r>
        <w:t xml:space="preserve"> includes a person making a request under section 144(1), 145(1) or 151(1);</w:t>
      </w:r>
    </w:p>
    <w:p>
      <w:pPr>
        <w:pStyle w:val="Defstart"/>
      </w:pPr>
      <w:r>
        <w:tab/>
      </w:r>
      <w:r>
        <w:rPr>
          <w:rStyle w:val="CharDefText"/>
        </w:rPr>
        <w:t>decision period</w:t>
      </w:r>
      <w:r>
        <w:t xml:space="preserve"> means — </w:t>
      </w:r>
    </w:p>
    <w:p>
      <w:pPr>
        <w:pStyle w:val="Defpara"/>
      </w:pPr>
      <w:r>
        <w:tab/>
        <w:t>(a)</w:t>
      </w:r>
      <w:r>
        <w:tab/>
        <w:t xml:space="preserve">in the case of an application for approval of a plan of subdivision, the period of 90 days specified in section 143(2) or any longer period after that day as may </w:t>
      </w:r>
      <w:r>
        <w:lastRenderedPageBreak/>
        <w:t>be agreed between the Commission and the applicant under section 143(2); and</w:t>
      </w:r>
    </w:p>
    <w:p>
      <w:pPr>
        <w:pStyle w:val="Defpara"/>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pPr>
      <w:r>
        <w:tab/>
        <w:t>(ba)</w:t>
      </w:r>
      <w:r>
        <w:tab/>
        <w:t>in the case of an application under section 145A(2), the period of 30 days specified in section 145A(6) or any longer period as may be agreed between the Commission and the applicant under section 145A(6); and</w:t>
      </w:r>
    </w:p>
    <w:p>
      <w:pPr>
        <w:pStyle w:val="Defpara"/>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keepNext/>
      </w:pPr>
      <w:r>
        <w:tab/>
        <w:t>(2)</w:t>
      </w:r>
      <w:r>
        <w:tab/>
        <w:t xml:space="preserve">If at any time after the end of the decision period the responsible authority has not — </w:t>
      </w:r>
    </w:p>
    <w:p>
      <w:pPr>
        <w:pStyle w:val="Indenta"/>
        <w:spacing w:before="60"/>
      </w:pPr>
      <w:r>
        <w:tab/>
        <w:t>(a)</w:t>
      </w:r>
      <w:r>
        <w:tab/>
        <w:t>approved, or refused to approve, an application under section 145A(2) or referred to in section 251(1); or</w:t>
      </w:r>
    </w:p>
    <w:p>
      <w:pPr>
        <w:pStyle w:val="Indenta"/>
        <w:spacing w:before="60"/>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 xml:space="preserve">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w:t>
      </w:r>
      <w:r>
        <w:lastRenderedPageBreak/>
        <w:t>the condition, as the case requires, on the day on which the notice of default was given to the responsible authority.</w:t>
      </w:r>
    </w:p>
    <w:p>
      <w:pPr>
        <w:pStyle w:val="Footnotesection"/>
      </w:pPr>
      <w:r>
        <w:tab/>
        <w:t>[Section 253 amended: No. 26 of 2020 s. 93.]</w:t>
      </w:r>
    </w:p>
    <w:p>
      <w:pPr>
        <w:pStyle w:val="Heading3"/>
      </w:pPr>
      <w:bookmarkStart w:id="330" w:name="_Toc199322578"/>
      <w:r>
        <w:rPr>
          <w:rStyle w:val="CharDivNo"/>
        </w:rPr>
        <w:t>Division 3</w:t>
      </w:r>
      <w:r>
        <w:t> — </w:t>
      </w:r>
      <w:r>
        <w:rPr>
          <w:rStyle w:val="CharDivText"/>
        </w:rPr>
        <w:t>Other applications for review</w:t>
      </w:r>
      <w:bookmarkEnd w:id="330"/>
    </w:p>
    <w:p>
      <w:pPr>
        <w:pStyle w:val="Heading5"/>
      </w:pPr>
      <w:bookmarkStart w:id="331" w:name="_Toc199322579"/>
      <w:r>
        <w:rPr>
          <w:rStyle w:val="CharSectno"/>
        </w:rPr>
        <w:t>254</w:t>
      </w:r>
      <w:r>
        <w:t>.</w:t>
      </w:r>
      <w:r>
        <w:tab/>
        <w:t>Decision made under EP Act s. 48I</w:t>
      </w:r>
      <w:bookmarkEnd w:id="331"/>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332" w:name="_Toc199322580"/>
      <w:r>
        <w:rPr>
          <w:rStyle w:val="CharSectno"/>
        </w:rPr>
        <w:t>255</w:t>
      </w:r>
      <w:r>
        <w:t>.</w:t>
      </w:r>
      <w:r>
        <w:tab/>
        <w:t>Direction given under s. 214</w:t>
      </w:r>
      <w:bookmarkEnd w:id="332"/>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333" w:name="_Toc199322581"/>
      <w:r>
        <w:rPr>
          <w:rStyle w:val="CharPartNo"/>
        </w:rPr>
        <w:lastRenderedPageBreak/>
        <w:t>Part 15</w:t>
      </w:r>
      <w:r>
        <w:rPr>
          <w:rStyle w:val="CharDivNo"/>
        </w:rPr>
        <w:t> </w:t>
      </w:r>
      <w:r>
        <w:t>—</w:t>
      </w:r>
      <w:r>
        <w:rPr>
          <w:rStyle w:val="CharDivText"/>
        </w:rPr>
        <w:t> </w:t>
      </w:r>
      <w:r>
        <w:rPr>
          <w:rStyle w:val="CharPartText"/>
        </w:rPr>
        <w:t>Subsidiary legislation</w:t>
      </w:r>
      <w:bookmarkEnd w:id="333"/>
    </w:p>
    <w:p>
      <w:pPr>
        <w:pStyle w:val="Ednotedivision"/>
      </w:pPr>
      <w:r>
        <w:t>[Heading deleted: No. 26 of 2020 s. 73.]</w:t>
      </w:r>
    </w:p>
    <w:p>
      <w:pPr>
        <w:pStyle w:val="Heading5"/>
      </w:pPr>
      <w:bookmarkStart w:id="334" w:name="_Toc199322582"/>
      <w:r>
        <w:rPr>
          <w:rStyle w:val="CharSectno"/>
        </w:rPr>
        <w:t>256</w:t>
      </w:r>
      <w:r>
        <w:t>.</w:t>
      </w:r>
      <w:r>
        <w:tab/>
        <w:t>Regulations for content of local planning schemes</w:t>
      </w:r>
      <w:bookmarkEnd w:id="334"/>
    </w:p>
    <w:p>
      <w:pPr>
        <w:pStyle w:val="Subsection"/>
      </w:pPr>
      <w:r>
        <w:tab/>
        <w:t>(1)</w:t>
      </w:r>
      <w:r>
        <w:tab/>
        <w:t xml:space="preserve">The Governor may, on the recommendation of the Minister, make regulations prescribing provisions that deal with any or all of the following — </w:t>
      </w:r>
    </w:p>
    <w:p>
      <w:pPr>
        <w:pStyle w:val="Indenta"/>
      </w:pPr>
      <w:r>
        <w:tab/>
        <w:t>(a)</w:t>
      </w:r>
      <w:r>
        <w:tab/>
        <w:t>carrying out the general objects of local planning schemes;</w:t>
      </w:r>
    </w:p>
    <w:p>
      <w:pPr>
        <w:pStyle w:val="Indenta"/>
      </w:pPr>
      <w:r>
        <w:tab/>
        <w:t>(b)</w:t>
      </w:r>
      <w:r>
        <w:tab/>
        <w:t>any matter set out in Schedule 7.</w:t>
      </w:r>
    </w:p>
    <w:p>
      <w:pPr>
        <w:pStyle w:val="Subsection"/>
      </w:pPr>
      <w:r>
        <w:tab/>
        <w:t>(2)</w:t>
      </w:r>
      <w:r>
        <w:tab/>
        <w:t xml:space="preserve">Before making a recommendation under subsection (1) the Minister — </w:t>
      </w:r>
    </w:p>
    <w:p>
      <w:pPr>
        <w:pStyle w:val="Indenta"/>
      </w:pPr>
      <w:r>
        <w:tab/>
        <w:t>(a)</w:t>
      </w:r>
      <w:r>
        <w:tab/>
        <w:t>must consult with the EPA and local governments; and</w:t>
      </w:r>
    </w:p>
    <w:p>
      <w:pPr>
        <w:pStyle w:val="Indenta"/>
      </w:pPr>
      <w:r>
        <w:tab/>
        <w:t>(b)</w:t>
      </w:r>
      <w:r>
        <w:tab/>
        <w:t>may consult with any other public authority or person the Minister considers is likely to be affected by the proposed regulations; and</w:t>
      </w:r>
    </w:p>
    <w:p>
      <w:pPr>
        <w:pStyle w:val="Indenta"/>
      </w:pPr>
      <w:r>
        <w:tab/>
        <w:t>(c)</w:t>
      </w:r>
      <w:r>
        <w:tab/>
        <w:t>must have regard to any submissions made pursuant to consultation under paragraphs (a) and (b).</w:t>
      </w:r>
    </w:p>
    <w:p>
      <w:pPr>
        <w:pStyle w:val="Subsection"/>
      </w:pPr>
      <w:r>
        <w:tab/>
        <w:t>(3)</w:t>
      </w:r>
      <w:r>
        <w:tab/>
        <w:t>Consultation under subsection (2) may be undertaken in any way and within such period as the Minister considers appropriate in the circumstances.</w:t>
      </w:r>
    </w:p>
    <w:p>
      <w:pPr>
        <w:pStyle w:val="Subsection"/>
      </w:pPr>
      <w:r>
        <w:tab/>
        <w:t>(4)</w:t>
      </w:r>
      <w:r>
        <w:tab/>
        <w:t>Unless the regulations otherwise provide, provisions prescribed under subsection (1) apply to all local planning schemes.</w:t>
      </w:r>
    </w:p>
    <w:p>
      <w:pPr>
        <w:pStyle w:val="Subsection"/>
      </w:pPr>
      <w:r>
        <w:tab/>
        <w:t>(5)</w:t>
      </w:r>
      <w:r>
        <w:tab/>
        <w:t xml:space="preserve">The regulations must designate each provision prescribed under subsection (1) as — </w:t>
      </w:r>
    </w:p>
    <w:p>
      <w:pPr>
        <w:pStyle w:val="Indenta"/>
      </w:pPr>
      <w:r>
        <w:tab/>
        <w:t>(a)</w:t>
      </w:r>
      <w:r>
        <w:tab/>
        <w:t>a model provision, being a provision to which section 257A applies; or</w:t>
      </w:r>
    </w:p>
    <w:p>
      <w:pPr>
        <w:pStyle w:val="Indenta"/>
      </w:pPr>
      <w:r>
        <w:tab/>
        <w:t>(b)</w:t>
      </w:r>
      <w:r>
        <w:tab/>
        <w:t>a deemed provision, being a provision to which section 257B applies.</w:t>
      </w:r>
    </w:p>
    <w:p>
      <w:pPr>
        <w:pStyle w:val="Subsection"/>
      </w:pPr>
      <w:r>
        <w:lastRenderedPageBreak/>
        <w:tab/>
        <w:t>(6)</w:t>
      </w:r>
      <w:r>
        <w:tab/>
        <w:t>The regulations may include provisions of a savings or transitional nature that are necessary or convenient to be made for the purpose of dealing with matters that are incidental to or consequential on the prescribing of a model provision or a deemed provision under this section.</w:t>
      </w:r>
    </w:p>
    <w:p>
      <w:pPr>
        <w:pStyle w:val="Subsection"/>
      </w:pPr>
      <w:r>
        <w:tab/>
        <w:t>(7)</w:t>
      </w:r>
      <w:r>
        <w:tab/>
        <w:t xml:space="preserve">Without limiting subsection (6), regulations made under that subsection may provide that specified model provisions or deemed provisions of a local planning scheme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matter.</w:t>
      </w:r>
    </w:p>
    <w:p>
      <w:pPr>
        <w:pStyle w:val="Footnotesection"/>
      </w:pPr>
      <w:r>
        <w:tab/>
        <w:t xml:space="preserve">[Section 256 inserted: No. 28 of 2010 s. 64; amended: No. 26 of 2020 s. 74.] </w:t>
      </w:r>
    </w:p>
    <w:p>
      <w:pPr>
        <w:pStyle w:val="Heading5"/>
      </w:pPr>
      <w:bookmarkStart w:id="335" w:name="_Toc199322583"/>
      <w:r>
        <w:rPr>
          <w:rStyle w:val="CharSectno"/>
        </w:rPr>
        <w:t>257A</w:t>
      </w:r>
      <w:r>
        <w:t>.</w:t>
      </w:r>
      <w:r>
        <w:tab/>
        <w:t>Model provisions, effect of</w:t>
      </w:r>
      <w:bookmarkEnd w:id="335"/>
    </w:p>
    <w:p>
      <w:pPr>
        <w:pStyle w:val="Subsection"/>
      </w:pPr>
      <w:r>
        <w:tab/>
        <w:t>(1)</w:t>
      </w:r>
      <w:r>
        <w:tab/>
        <w:t xml:space="preserve">In this section — </w:t>
      </w:r>
    </w:p>
    <w:p>
      <w:pPr>
        <w:pStyle w:val="Defstart"/>
      </w:pPr>
      <w:r>
        <w:tab/>
      </w:r>
      <w:r>
        <w:rPr>
          <w:rStyle w:val="CharDefText"/>
        </w:rPr>
        <w:t>model provision</w:t>
      </w:r>
      <w:r>
        <w:t xml:space="preserve"> means a provision designated as a model provision under section 256(5)(a).</w:t>
      </w:r>
    </w:p>
    <w:p>
      <w:pPr>
        <w:pStyle w:val="Subsection"/>
      </w:pPr>
      <w:r>
        <w:tab/>
        <w:t>(2)</w:t>
      </w:r>
      <w:r>
        <w:tab/>
        <w:t xml:space="preserve">Subject to subsection (3), a local planning scheme prepared or adopted by a local government must include any model provisions that — </w:t>
      </w:r>
    </w:p>
    <w:p>
      <w:pPr>
        <w:pStyle w:val="Indenta"/>
      </w:pPr>
      <w:r>
        <w:tab/>
        <w:t>(a)</w:t>
      </w:r>
      <w:r>
        <w:tab/>
        <w:t>are prescribed by regulations in force at the time the scheme is approved under section 87; and</w:t>
      </w:r>
    </w:p>
    <w:p>
      <w:pPr>
        <w:pStyle w:val="Indenta"/>
      </w:pPr>
      <w:r>
        <w:tab/>
        <w:t>(b)</w:t>
      </w:r>
      <w:r>
        <w:tab/>
        <w:t>apply to the scheme.</w:t>
      </w:r>
    </w:p>
    <w:p>
      <w:pPr>
        <w:pStyle w:val="Subsection"/>
      </w:pPr>
      <w:r>
        <w:tab/>
        <w:t>(3)</w:t>
      </w:r>
      <w:r>
        <w:tab/>
        <w:t>When approving a local planning scheme under section 87, the Minister may approve the exclusion from, or variation in, the scheme of a model provision.</w:t>
      </w:r>
    </w:p>
    <w:p>
      <w:pPr>
        <w:pStyle w:val="Footnotesection"/>
      </w:pPr>
      <w:r>
        <w:tab/>
        <w:t xml:space="preserve">[Section 257A inserted: No. 28 of 2010 s. 64.] </w:t>
      </w:r>
    </w:p>
    <w:p>
      <w:pPr>
        <w:pStyle w:val="Heading5"/>
      </w:pPr>
      <w:bookmarkStart w:id="336" w:name="_Toc199322584"/>
      <w:r>
        <w:rPr>
          <w:rStyle w:val="CharSectno"/>
        </w:rPr>
        <w:lastRenderedPageBreak/>
        <w:t>257B</w:t>
      </w:r>
      <w:r>
        <w:t>.</w:t>
      </w:r>
      <w:r>
        <w:tab/>
        <w:t>Deemed provisions, effect of</w:t>
      </w:r>
      <w:bookmarkEnd w:id="336"/>
    </w:p>
    <w:p>
      <w:pPr>
        <w:pStyle w:val="Subsection"/>
        <w:keepNext/>
      </w:pPr>
      <w:r>
        <w:tab/>
        <w:t>(1)</w:t>
      </w:r>
      <w:r>
        <w:tab/>
        <w:t xml:space="preserve">In this section — </w:t>
      </w:r>
    </w:p>
    <w:p>
      <w:pPr>
        <w:pStyle w:val="Defstart"/>
      </w:pPr>
      <w:r>
        <w:tab/>
      </w:r>
      <w:r>
        <w:rPr>
          <w:rStyle w:val="CharDefText"/>
        </w:rPr>
        <w:t>deemed provision</w:t>
      </w:r>
      <w:r>
        <w:t xml:space="preserve"> means a provision designated as a deemed provision under section 256(5)(b).</w:t>
      </w:r>
    </w:p>
    <w:p>
      <w:pPr>
        <w:pStyle w:val="Subsection"/>
      </w:pPr>
      <w:r>
        <w:tab/>
        <w:t>(2)</w:t>
      </w:r>
      <w:r>
        <w:tab/>
        <w:t>Deemed provisions, as amended from time to time, have effect and may be enforced as part of each local planning scheme to which they apply, whether they are prescribed before or after the scheme comes into force.</w:t>
      </w:r>
    </w:p>
    <w:p>
      <w:pPr>
        <w:pStyle w:val="Subsection"/>
      </w:pPr>
      <w:r>
        <w:tab/>
        <w:t>(3)</w:t>
      </w:r>
      <w:r>
        <w:tab/>
        <w:t>If a deemed provision that has effect as part of a local planning scheme is inconsistent with another provision of the scheme, the deemed provision prevails and the other provision is to the extent of the inconsistency of no effect.</w:t>
      </w:r>
    </w:p>
    <w:p>
      <w:pPr>
        <w:pStyle w:val="Subsection"/>
      </w:pPr>
      <w:r>
        <w:tab/>
        <w:t>(4)</w:t>
      </w:r>
      <w:r>
        <w:tab/>
        <w:t>It is sufficient compliance with section 54(a), 87(3)(a), 91(1) or 92(2)(b) if a local planning scheme is published under that provision without the deemed provisions.</w:t>
      </w:r>
    </w:p>
    <w:p>
      <w:pPr>
        <w:pStyle w:val="Subsection"/>
      </w:pPr>
      <w:r>
        <w:tab/>
        <w:t>(5)</w:t>
      </w:r>
      <w:r>
        <w:tab/>
        <w:t>Each local government, in preparing a local planning scheme or a consolidation of a local planning scheme, must ensure that the scheme is consistent with any deemed provision that applies to the scheme.</w:t>
      </w:r>
    </w:p>
    <w:p>
      <w:pPr>
        <w:pStyle w:val="Footnotesection"/>
      </w:pPr>
      <w:r>
        <w:tab/>
        <w:t xml:space="preserve">[Section 257B inserted: No. 28 of 2010 s. 64.] </w:t>
      </w:r>
    </w:p>
    <w:p>
      <w:pPr>
        <w:pStyle w:val="Ednotesection"/>
      </w:pPr>
      <w:r>
        <w:t>[</w:t>
      </w:r>
      <w:r>
        <w:rPr>
          <w:b/>
          <w:bCs/>
        </w:rPr>
        <w:t>257.</w:t>
      </w:r>
      <w:r>
        <w:tab/>
        <w:t>Deleted: No. 28 of 2010 s. 65.]</w:t>
      </w:r>
    </w:p>
    <w:p>
      <w:pPr>
        <w:pStyle w:val="Heading5"/>
      </w:pPr>
      <w:bookmarkStart w:id="337" w:name="_Toc199322585"/>
      <w:r>
        <w:rPr>
          <w:rStyle w:val="CharSectno"/>
        </w:rPr>
        <w:t>258</w:t>
      </w:r>
      <w:r>
        <w:t>.</w:t>
      </w:r>
      <w:r>
        <w:tab/>
        <w:t>Regulations for procedure and costs for local planning schemes</w:t>
      </w:r>
      <w:bookmarkEnd w:id="337"/>
    </w:p>
    <w:p>
      <w:pPr>
        <w:pStyle w:val="Subsection"/>
      </w:pPr>
      <w:r>
        <w:tab/>
        <w:t>(1)</w:t>
      </w:r>
      <w:r>
        <w:tab/>
        <w:t xml:space="preserve">The Governor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lastRenderedPageBreak/>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w:t>
      </w:r>
    </w:p>
    <w:p>
      <w:pPr>
        <w:pStyle w:val="Subsection"/>
        <w:keepNext/>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 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Footnotesection"/>
      </w:pPr>
      <w:r>
        <w:tab/>
        <w:t xml:space="preserve">[Section 258 amended: No. 28 of 2010 s. 66; No. 26 of 2020 s. 75.] </w:t>
      </w:r>
    </w:p>
    <w:p>
      <w:pPr>
        <w:pStyle w:val="Heading5"/>
      </w:pPr>
      <w:bookmarkStart w:id="338" w:name="_Toc199322586"/>
      <w:r>
        <w:rPr>
          <w:rStyle w:val="CharSectno"/>
        </w:rPr>
        <w:lastRenderedPageBreak/>
        <w:t>258A</w:t>
      </w:r>
      <w:r>
        <w:t>.</w:t>
      </w:r>
      <w:r>
        <w:tab/>
        <w:t>Regulations as to procedure and costs for region planning schemes</w:t>
      </w:r>
      <w:bookmarkEnd w:id="338"/>
    </w:p>
    <w:p>
      <w:pPr>
        <w:pStyle w:val="Subsection"/>
      </w:pPr>
      <w:r>
        <w:tab/>
        <w:t>(1)</w:t>
      </w:r>
      <w:r>
        <w:tab/>
        <w:t xml:space="preserve">The Governor may make regulations for regulating the procedure to be observed — </w:t>
      </w:r>
    </w:p>
    <w:p>
      <w:pPr>
        <w:pStyle w:val="Indenta"/>
      </w:pPr>
      <w:r>
        <w:tab/>
        <w:t>(a)</w:t>
      </w:r>
      <w:r>
        <w:tab/>
        <w:t>with respect to the preparation of a region planning scheme; and</w:t>
      </w:r>
    </w:p>
    <w:p>
      <w:pPr>
        <w:pStyle w:val="Indenta"/>
      </w:pPr>
      <w:r>
        <w:tab/>
        <w:t>(b)</w:t>
      </w:r>
      <w:r>
        <w:tab/>
        <w:t>with respect to obtaining the approval of the Governor to a region planning scheme so prepared; and</w:t>
      </w:r>
    </w:p>
    <w:p>
      <w:pPr>
        <w:pStyle w:val="Indenta"/>
      </w:pPr>
      <w:r>
        <w:tab/>
        <w:t>(c)</w:t>
      </w:r>
      <w:r>
        <w:tab/>
        <w:t>with respect to the review, amendment or repeal of a region planning scheme; and</w:t>
      </w:r>
    </w:p>
    <w:p>
      <w:pPr>
        <w:pStyle w:val="Indenta"/>
      </w:pPr>
      <w:r>
        <w:tab/>
        <w:t>(d)</w:t>
      </w:r>
      <w:r>
        <w:tab/>
        <w:t>with respect to any inquiries, reports, notices, or other matters required in connection with the preparation or approval of a region planning scheme, or preliminary to the preparation or approval of the scheme.</w:t>
      </w:r>
    </w:p>
    <w:p>
      <w:pPr>
        <w:pStyle w:val="Subsection"/>
      </w:pPr>
      <w:r>
        <w:tab/>
        <w:t>(2)</w:t>
      </w:r>
      <w:r>
        <w:tab/>
        <w:t>Section 258(2) and (3) apply to regulations made under subsection (1) as if a region planning scheme were a local planning scheme.</w:t>
      </w:r>
    </w:p>
    <w:p>
      <w:pPr>
        <w:pStyle w:val="Footnotesection"/>
      </w:pPr>
      <w:r>
        <w:tab/>
        <w:t>[Section 258A inserted: No. 26 of 2020 s. 52.]</w:t>
      </w:r>
    </w:p>
    <w:p>
      <w:pPr>
        <w:pStyle w:val="Heading5"/>
      </w:pPr>
      <w:bookmarkStart w:id="339" w:name="_Toc199322587"/>
      <w:r>
        <w:rPr>
          <w:rStyle w:val="CharSectno"/>
        </w:rPr>
        <w:t>259</w:t>
      </w:r>
      <w:r>
        <w:t>.</w:t>
      </w:r>
      <w:r>
        <w:tab/>
        <w:t>Regulations for environmental review expenses</w:t>
      </w:r>
      <w:bookmarkEnd w:id="339"/>
    </w:p>
    <w:p>
      <w:pPr>
        <w:pStyle w:val="Subsection"/>
      </w:pPr>
      <w:r>
        <w:tab/>
      </w:r>
      <w:r>
        <w:tab/>
        <w:t>The Governor may make regulations with respect to the persons from whom, and the means by which, a responsible authority may recover expenses incurred by it in undertaking an environmental review required by the EP Act under section 48C(1)(a) of the EP Act.</w:t>
      </w:r>
    </w:p>
    <w:p>
      <w:pPr>
        <w:pStyle w:val="Footnotesection"/>
      </w:pPr>
      <w:r>
        <w:tab/>
        <w:t>[Section 259 amended: No. 26 of 2020 s. 76.]</w:t>
      </w:r>
    </w:p>
    <w:p>
      <w:pPr>
        <w:pStyle w:val="Ednotesection"/>
      </w:pPr>
      <w:r>
        <w:t>[</w:t>
      </w:r>
      <w:r>
        <w:rPr>
          <w:b/>
        </w:rPr>
        <w:t>260.</w:t>
      </w:r>
      <w:r>
        <w:tab/>
        <w:t>Deleted: No. 26 of 2020 s. 77.]</w:t>
      </w:r>
    </w:p>
    <w:p>
      <w:pPr>
        <w:pStyle w:val="Ednotedivision"/>
      </w:pPr>
      <w:r>
        <w:t>[Heading deleted: No. 26 of 2020 s. 78.]</w:t>
      </w:r>
    </w:p>
    <w:p>
      <w:pPr>
        <w:pStyle w:val="Heading5"/>
      </w:pPr>
      <w:bookmarkStart w:id="340" w:name="_Toc199322588"/>
      <w:r>
        <w:rPr>
          <w:rStyle w:val="CharSectno"/>
        </w:rPr>
        <w:lastRenderedPageBreak/>
        <w:t>261</w:t>
      </w:r>
      <w:r>
        <w:t>.</w:t>
      </w:r>
      <w:r>
        <w:tab/>
        <w:t>Local government fees for planning matters etc., regulations as to</w:t>
      </w:r>
      <w:bookmarkEnd w:id="340"/>
    </w:p>
    <w:p>
      <w:pPr>
        <w:pStyle w:val="Subsection"/>
      </w:pPr>
      <w:r>
        <w:tab/>
        <w:t>(1)</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Defstart"/>
      </w:pPr>
      <w:r>
        <w:tab/>
      </w:r>
      <w:r>
        <w:rPr>
          <w:rStyle w:val="CharDefText"/>
        </w:rPr>
        <w:t>planning matter</w:t>
      </w:r>
      <w:r>
        <w:t xml:space="preserve"> means any matter arising under this Act in relation to — </w:t>
      </w:r>
    </w:p>
    <w:p>
      <w:pPr>
        <w:pStyle w:val="Defpara"/>
      </w:pPr>
      <w:r>
        <w:tab/>
        <w:t>(a)</w:t>
      </w:r>
      <w:r>
        <w:tab/>
        <w:t>a local planning scheme; or</w:t>
      </w:r>
    </w:p>
    <w:p>
      <w:pPr>
        <w:pStyle w:val="Defpara"/>
      </w:pPr>
      <w:r>
        <w:tab/>
        <w:t>(b)</w:t>
      </w:r>
      <w:r>
        <w:tab/>
        <w:t>subdivision; or</w:t>
      </w:r>
    </w:p>
    <w:p>
      <w:pPr>
        <w:pStyle w:val="Defpara"/>
      </w:pPr>
      <w:r>
        <w:tab/>
        <w:t>(c)</w:t>
      </w:r>
      <w:r>
        <w:tab/>
        <w:t>approval of development.</w:t>
      </w:r>
    </w:p>
    <w:p>
      <w:pPr>
        <w:pStyle w:val="Subsection"/>
        <w:keepNext/>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 and</w:t>
      </w:r>
    </w:p>
    <w:p>
      <w:pPr>
        <w:pStyle w:val="Indenta"/>
      </w:pPr>
      <w:r>
        <w:tab/>
        <w:t>(b)</w:t>
      </w:r>
      <w:r>
        <w:tab/>
        <w:t>the fees that may be imposed for those licences and the provision of those services, and the recovery of those fees; and</w:t>
      </w:r>
    </w:p>
    <w:p>
      <w:pPr>
        <w:pStyle w:val="Indenta"/>
      </w:pPr>
      <w:r>
        <w:tab/>
        <w:t>(c)</w:t>
      </w:r>
      <w:r>
        <w:tab/>
        <w:t>any formula, index or other base to be used for the purposes of calculating or ascertaining the fee; and</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lastRenderedPageBreak/>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341" w:name="_Toc199322589"/>
      <w:r>
        <w:rPr>
          <w:rStyle w:val="CharSectno"/>
        </w:rPr>
        <w:t>262</w:t>
      </w:r>
      <w:r>
        <w:t>.</w:t>
      </w:r>
      <w:r>
        <w:tab/>
        <w:t>Uniform general local laws</w:t>
      </w:r>
      <w:bookmarkEnd w:id="341"/>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keepNext/>
      </w:pPr>
      <w:r>
        <w:lastRenderedPageBreak/>
        <w:tab/>
        <w:t>(3)</w:t>
      </w:r>
      <w:r>
        <w:tab/>
        <w:t>The Governor may at any time repeal any by</w:t>
      </w:r>
      <w:r>
        <w:noBreakHyphen/>
        <w:t xml:space="preserve">law made under section 248 of the </w:t>
      </w:r>
      <w:r>
        <w:rPr>
          <w:i/>
        </w:rPr>
        <w:t>Local Government Act 1960</w:t>
      </w:r>
      <w:r>
        <w:rPr>
          <w:i/>
          <w:vertAlign w:val="superscript"/>
        </w:rPr>
        <w:t> </w:t>
      </w:r>
      <w:r>
        <w:rPr>
          <w:vertAlign w:val="superscript"/>
        </w:rPr>
        <w:t>3</w:t>
      </w:r>
      <w:r>
        <w:t>.</w:t>
      </w:r>
    </w:p>
    <w:p>
      <w:pPr>
        <w:pStyle w:val="Subsection"/>
      </w:pPr>
      <w:r>
        <w:tab/>
        <w:t>(4)</w:t>
      </w:r>
      <w:r>
        <w:tab/>
        <w:t>If a by</w:t>
      </w:r>
      <w:r>
        <w:noBreakHyphen/>
        <w:t xml:space="preserve">law made under section 248 of the </w:t>
      </w:r>
      <w:r>
        <w:rPr>
          <w:i/>
        </w:rPr>
        <w:t>Local Government Act 1960</w:t>
      </w:r>
      <w:r>
        <w:rPr>
          <w:vertAlign w:val="superscript"/>
        </w:rPr>
        <w:t> 3</w:t>
      </w:r>
      <w:r>
        <w:t>, or a local law made under subsection (1), is inconsistent with any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planning scheme has effect, the provisions of the planning scheme prevail.</w:t>
      </w:r>
    </w:p>
    <w:p>
      <w:pPr>
        <w:pStyle w:val="Subsection"/>
      </w:pPr>
      <w:r>
        <w:tab/>
        <w:t>(5)</w:t>
      </w:r>
      <w:r>
        <w:tab/>
        <w:t xml:space="preserve">In subsection (4) a reference to a planning scheme includes a reference to — </w:t>
      </w:r>
    </w:p>
    <w:p>
      <w:pPr>
        <w:pStyle w:val="Indenta"/>
      </w:pPr>
      <w:r>
        <w:tab/>
        <w:t>(a)</w:t>
      </w:r>
      <w:r>
        <w:tab/>
        <w:t xml:space="preserve">an approved redevelopment scheme as defined in the </w:t>
      </w:r>
      <w:r>
        <w:rPr>
          <w:i/>
        </w:rPr>
        <w:t xml:space="preserve">Metropolitan Redevelopment Authority Act 2011 </w:t>
      </w:r>
      <w:r>
        <w:t>section 3; and</w:t>
      </w:r>
    </w:p>
    <w:p>
      <w:pPr>
        <w:pStyle w:val="Indenta"/>
      </w:pPr>
      <w:r>
        <w:tab/>
        <w:t>(b)</w:t>
      </w:r>
      <w:r>
        <w:tab/>
        <w:t xml:space="preserve">a master plan approved under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rPr>
          <w:vertAlign w:val="superscript"/>
        </w:rPr>
        <w:t> 3</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Footnotesection"/>
      </w:pPr>
      <w:r>
        <w:tab/>
        <w:t xml:space="preserve">[Section 262 amended: No. 28 of 2010 s. 23; </w:t>
      </w:r>
      <w:r>
        <w:rPr>
          <w:spacing w:val="-4"/>
        </w:rPr>
        <w:t>No. 45 of 2011 s. 1</w:t>
      </w:r>
      <w:r>
        <w:t xml:space="preserve">41(10).] </w:t>
      </w:r>
    </w:p>
    <w:p>
      <w:pPr>
        <w:pStyle w:val="Heading5"/>
      </w:pPr>
      <w:bookmarkStart w:id="342" w:name="_Toc199322590"/>
      <w:r>
        <w:rPr>
          <w:rStyle w:val="CharSectno"/>
        </w:rPr>
        <w:t>263</w:t>
      </w:r>
      <w:r>
        <w:t>.</w:t>
      </w:r>
      <w:r>
        <w:tab/>
        <w:t>Regulations: general</w:t>
      </w:r>
      <w:bookmarkEnd w:id="34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lastRenderedPageBreak/>
        <w:tab/>
        <w:t>(2)</w:t>
      </w:r>
      <w:r>
        <w:tab/>
        <w:t xml:space="preserve">Without limiting any other provision of this Act, regulations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pPr>
      <w:r>
        <w:tab/>
        <w:t>(d)</w:t>
      </w:r>
      <w:r>
        <w:tab/>
        <w:t>prescribe the rights, powers and privileges given to a specified person or authority where an easement for a specified purpose has effect in favour of that person or authority under section 167;</w:t>
      </w:r>
    </w:p>
    <w:p>
      <w:pPr>
        <w:pStyle w:val="Indenta"/>
      </w:pPr>
      <w:r>
        <w:tab/>
        <w:t>(ea)</w:t>
      </w:r>
      <w:r>
        <w:tab/>
        <w:t>provide for and regulate reporting by local governments in relation to planning matters;</w:t>
      </w:r>
    </w:p>
    <w:p>
      <w:pPr>
        <w:pStyle w:val="Indenta"/>
      </w:pPr>
      <w:r>
        <w:tab/>
        <w:t>(eb)</w:t>
      </w:r>
      <w:r>
        <w:tab/>
        <w:t>regulate procedures in relation to the carrying out and enforcement of region planning schemes or local planning schemes;</w:t>
      </w:r>
    </w:p>
    <w:p>
      <w:pPr>
        <w:pStyle w:val="Indenta"/>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sections 256 to 259, the regulation made under sections 256 to 259 prevails.</w:t>
      </w:r>
    </w:p>
    <w:p>
      <w:pPr>
        <w:pStyle w:val="Subsection"/>
        <w:keepNext/>
      </w:pPr>
      <w:r>
        <w:lastRenderedPageBreak/>
        <w:tab/>
        <w:t>(5)</w:t>
      </w:r>
      <w:r>
        <w:tab/>
        <w:t>If a regulation is inconsistent with a rule, the regulation prevails to the extent of the inconsistency.</w:t>
      </w:r>
    </w:p>
    <w:p>
      <w:pPr>
        <w:pStyle w:val="Footnotesection"/>
      </w:pPr>
      <w:r>
        <w:tab/>
        <w:t xml:space="preserve">[Section 263 amended: No. 28 of 2010 s. 67; No. 26 of 2020 s. 79; No. 26 of 2020 s. 53.] </w:t>
      </w:r>
    </w:p>
    <w:p>
      <w:pPr>
        <w:pStyle w:val="Ednotedivision"/>
      </w:pPr>
      <w:r>
        <w:t>[Heading deleted: No. 26 of 2020 s. 80.]</w:t>
      </w:r>
    </w:p>
    <w:p>
      <w:pPr>
        <w:pStyle w:val="Heading5"/>
      </w:pPr>
      <w:bookmarkStart w:id="343" w:name="_Toc199322591"/>
      <w:r>
        <w:rPr>
          <w:rStyle w:val="CharSectno"/>
        </w:rPr>
        <w:t>264</w:t>
      </w:r>
      <w:r>
        <w:t>.</w:t>
      </w:r>
      <w:r>
        <w:tab/>
        <w:t>Regulations may adopt codes and other texts</w:t>
      </w:r>
      <w:bookmarkEnd w:id="343"/>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344" w:name="_Toc199322592"/>
      <w:r>
        <w:rPr>
          <w:rStyle w:val="CharPartNo"/>
        </w:rPr>
        <w:lastRenderedPageBreak/>
        <w:t>Part 16</w:t>
      </w:r>
      <w:r>
        <w:rPr>
          <w:rStyle w:val="CharDivNo"/>
        </w:rPr>
        <w:t> </w:t>
      </w:r>
      <w:r>
        <w:t>—</w:t>
      </w:r>
      <w:r>
        <w:rPr>
          <w:rStyle w:val="CharDivText"/>
        </w:rPr>
        <w:t> </w:t>
      </w:r>
      <w:r>
        <w:rPr>
          <w:rStyle w:val="CharPartText"/>
        </w:rPr>
        <w:t>Miscellaneous</w:t>
      </w:r>
      <w:bookmarkEnd w:id="344"/>
    </w:p>
    <w:p>
      <w:pPr>
        <w:pStyle w:val="Heading5"/>
      </w:pPr>
      <w:bookmarkStart w:id="345" w:name="_Toc199322593"/>
      <w:r>
        <w:rPr>
          <w:rStyle w:val="CharSectno"/>
        </w:rPr>
        <w:t>265</w:t>
      </w:r>
      <w:r>
        <w:t>.</w:t>
      </w:r>
      <w:r>
        <w:tab/>
        <w:t>Delegation by Minister</w:t>
      </w:r>
      <w:bookmarkEnd w:id="345"/>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346" w:name="_Toc199322594"/>
      <w:r>
        <w:rPr>
          <w:rStyle w:val="CharSectno"/>
        </w:rPr>
        <w:t>266</w:t>
      </w:r>
      <w:r>
        <w:t>.</w:t>
      </w:r>
      <w:r>
        <w:tab/>
        <w:t xml:space="preserve">Duties and liabilities of persons performing functions under this Act or </w:t>
      </w:r>
      <w:r>
        <w:rPr>
          <w:i/>
        </w:rPr>
        <w:t>Swan Valley Planning Act 2020</w:t>
      </w:r>
      <w:bookmarkEnd w:id="346"/>
    </w:p>
    <w:p>
      <w:pPr>
        <w:pStyle w:val="Subsection"/>
      </w:pPr>
      <w:r>
        <w:tab/>
        <w:t>(1)</w:t>
      </w:r>
      <w:r>
        <w:tab/>
        <w:t xml:space="preserve">In this section — </w:t>
      </w:r>
    </w:p>
    <w:p>
      <w:pPr>
        <w:pStyle w:val="Defstart"/>
      </w:pPr>
      <w:r>
        <w:tab/>
      </w:r>
      <w:r>
        <w:rPr>
          <w:rStyle w:val="CharDefText"/>
        </w:rPr>
        <w:t>function</w:t>
      </w:r>
      <w:r>
        <w:t xml:space="preserve"> means a function in connection with the carrying out of this Act or the </w:t>
      </w:r>
      <w:r>
        <w:rPr>
          <w:i/>
        </w:rPr>
        <w:t>Swan Valley Planning Act 2020</w:t>
      </w:r>
      <w:r>
        <w:t>;</w:t>
      </w:r>
    </w:p>
    <w:p>
      <w:pPr>
        <w:pStyle w:val="Defstart"/>
      </w:pPr>
      <w:r>
        <w:tab/>
      </w:r>
      <w:r>
        <w:rPr>
          <w:rStyle w:val="CharDefText"/>
        </w:rPr>
        <w:t>meeting</w:t>
      </w:r>
      <w:r>
        <w:t xml:space="preserve"> means a meeting held in connection with the carrying out of this Act or the </w:t>
      </w:r>
      <w:r>
        <w:rPr>
          <w:i/>
        </w:rPr>
        <w:t>Swan Valley Planning Act 2020</w:t>
      </w:r>
      <w:r>
        <w:t>;</w:t>
      </w:r>
    </w:p>
    <w:p>
      <w:pPr>
        <w:pStyle w:val="Defstart"/>
      </w:pPr>
      <w:r>
        <w:tab/>
      </w:r>
      <w:r>
        <w:rPr>
          <w:rStyle w:val="CharDefText"/>
        </w:rPr>
        <w:t>member</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 xml:space="preserve">a member of a committee established under Schedule 2 or the </w:t>
      </w:r>
      <w:r>
        <w:rPr>
          <w:i/>
        </w:rPr>
        <w:t>Swan Valley Planning Act 2020</w:t>
      </w:r>
      <w:r>
        <w:t xml:space="preserve"> section 33;</w:t>
      </w:r>
    </w:p>
    <w:p>
      <w:pPr>
        <w:pStyle w:val="Defpara"/>
      </w:pPr>
      <w:r>
        <w:tab/>
        <w:t>(d)</w:t>
      </w:r>
      <w:r>
        <w:tab/>
        <w:t>a member of a public authority;</w:t>
      </w:r>
    </w:p>
    <w:p>
      <w:pPr>
        <w:pStyle w:val="Defpara"/>
      </w:pPr>
      <w:r>
        <w:lastRenderedPageBreak/>
        <w:tab/>
        <w:t>(e)</w:t>
      </w:r>
      <w:r>
        <w:tab/>
        <w:t>a member of a local government;</w:t>
      </w:r>
    </w:p>
    <w:p>
      <w:pPr>
        <w:pStyle w:val="Defpara"/>
      </w:pPr>
      <w:r>
        <w:tab/>
        <w:t>(f)</w:t>
      </w:r>
      <w:r>
        <w:tab/>
        <w:t>a member of a DAP.</w:t>
      </w:r>
    </w:p>
    <w:p>
      <w:pPr>
        <w:pStyle w:val="Subsection"/>
        <w:spacing w:before="100"/>
      </w:pPr>
      <w:r>
        <w:tab/>
        <w:t>(2)</w:t>
      </w:r>
      <w:r>
        <w:tab/>
        <w:t>A member must at all times act honestly in the performance of a function.</w:t>
      </w:r>
    </w:p>
    <w:p>
      <w:pPr>
        <w:pStyle w:val="Penstart"/>
      </w:pPr>
      <w:r>
        <w:tab/>
        <w:t>Penalty: $5 000.</w:t>
      </w:r>
    </w:p>
    <w:p>
      <w:pPr>
        <w:pStyle w:val="Subsection"/>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 xml:space="preserve">in connection with the carrying out of this Act or the </w:t>
      </w:r>
      <w:r>
        <w:rPr>
          <w:i/>
        </w:rPr>
        <w:t>Swan Valley Planning Act 2020</w:t>
      </w:r>
      <w:r>
        <w:t xml:space="preserve"> or under a legal duty; or</w:t>
      </w:r>
    </w:p>
    <w:p>
      <w:pPr>
        <w:pStyle w:val="Indenta"/>
      </w:pPr>
      <w:r>
        <w:tab/>
        <w:t>(b)</w:t>
      </w:r>
      <w:r>
        <w:tab/>
        <w:t xml:space="preserve">for the purposes of any proceedings arising out of this Act or the </w:t>
      </w:r>
      <w:r>
        <w:rPr>
          <w:i/>
        </w:rPr>
        <w:t>Swan Valley Planning Act 2020</w:t>
      </w:r>
      <w:r>
        <w:t xml:space="preserve"> or any report of such proceedings.</w:t>
      </w:r>
    </w:p>
    <w:p>
      <w:pPr>
        <w:pStyle w:val="Penstart"/>
      </w:pPr>
      <w:r>
        <w:tab/>
        <w:t>Penalty: $5 000.</w:t>
      </w:r>
    </w:p>
    <w:p>
      <w:pPr>
        <w:pStyle w:val="Subsection"/>
      </w:pPr>
      <w:r>
        <w:tab/>
        <w:t>(6)</w:t>
      </w:r>
      <w:r>
        <w:tab/>
        <w:t xml:space="preserve">A member is not to make improper use of information acquired by virtue of the performance of any function to gain, directly or </w:t>
      </w:r>
      <w:r>
        <w:lastRenderedPageBreak/>
        <w:t>indirectly, an advantage for himself or herself or to cause detriment to the Commission or any other person.</w:t>
      </w:r>
    </w:p>
    <w:p>
      <w:pPr>
        <w:pStyle w:val="Penstart"/>
      </w:pPr>
      <w:r>
        <w:tab/>
        <w:t>Penalty: $5 000.</w:t>
      </w:r>
    </w:p>
    <w:p>
      <w:pPr>
        <w:pStyle w:val="Subsection"/>
        <w:keepLines/>
      </w:pPr>
      <w:r>
        <w:tab/>
        <w:t>(7)</w:t>
      </w:r>
      <w:r>
        <w:tab/>
        <w:t>A member who commits a breach of any provision of this section is liable for any profit made by the member or for any damage suffered by the Commission as a result of the breach of that provision.</w:t>
      </w:r>
    </w:p>
    <w:p>
      <w:pPr>
        <w:pStyle w:val="Subsection"/>
      </w:pPr>
      <w:r>
        <w:tab/>
        <w:t>(8)</w:t>
      </w:r>
      <w:r>
        <w:tab/>
        <w:t>This section is in addition to and not in derogation of any other law relating to the duty or liability of the holder of a public office.</w:t>
      </w:r>
    </w:p>
    <w:p>
      <w:pPr>
        <w:pStyle w:val="Footnotesection"/>
        <w:ind w:left="890" w:hanging="890"/>
      </w:pPr>
      <w:r>
        <w:tab/>
        <w:t xml:space="preserve">[Section 266 amended: No. 28 of 2010 s. 44; No. 45 of 2020 s. 92.] </w:t>
      </w:r>
    </w:p>
    <w:p>
      <w:pPr>
        <w:pStyle w:val="Heading5"/>
      </w:pPr>
      <w:bookmarkStart w:id="347" w:name="_Toc199322595"/>
      <w:r>
        <w:rPr>
          <w:rStyle w:val="CharSectno"/>
        </w:rPr>
        <w:t>267A</w:t>
      </w:r>
      <w:r>
        <w:t>.</w:t>
      </w:r>
      <w:r>
        <w:tab/>
        <w:t>Crown and State land, who may sign documents as to</w:t>
      </w:r>
      <w:bookmarkEnd w:id="347"/>
    </w:p>
    <w:p>
      <w:pPr>
        <w:pStyle w:val="Subsection"/>
      </w:pPr>
      <w:r>
        <w:tab/>
        <w:t>(1)</w:t>
      </w:r>
      <w:r>
        <w:tab/>
        <w:t xml:space="preserve">If the approval or signature of the owner of Crown land or freehold land in the name of the State is required for the purposes of this Act, the approval or signature may be given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a person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as an owner of land mentioned in subsection (1), has under this Act in relation to that land; or </w:t>
      </w:r>
    </w:p>
    <w:p>
      <w:pPr>
        <w:pStyle w:val="Indenta"/>
      </w:pPr>
      <w:r>
        <w:tab/>
        <w:t>(b)</w:t>
      </w:r>
      <w:r>
        <w:tab/>
        <w:t>how that right may be exercised or that obligation may be satisfied.</w:t>
      </w:r>
    </w:p>
    <w:p>
      <w:pPr>
        <w:pStyle w:val="Footnotesection"/>
        <w:ind w:left="890" w:hanging="890"/>
      </w:pPr>
      <w:r>
        <w:tab/>
        <w:t>[Section 267A inserted: No. 8 of 2010 s. 25.]</w:t>
      </w:r>
    </w:p>
    <w:p>
      <w:pPr>
        <w:pStyle w:val="Heading5"/>
      </w:pPr>
      <w:bookmarkStart w:id="348" w:name="_Toc199322596"/>
      <w:r>
        <w:rPr>
          <w:rStyle w:val="CharSectno"/>
        </w:rPr>
        <w:lastRenderedPageBreak/>
        <w:t>267B</w:t>
      </w:r>
      <w:r>
        <w:t>.</w:t>
      </w:r>
      <w:r>
        <w:tab/>
        <w:t>Electronic planning maps</w:t>
      </w:r>
      <w:bookmarkEnd w:id="348"/>
    </w:p>
    <w:p>
      <w:pPr>
        <w:pStyle w:val="Subsection"/>
      </w:pPr>
      <w:r>
        <w:tab/>
        <w:t>(1)</w:t>
      </w:r>
      <w:r>
        <w:tab/>
        <w:t xml:space="preserve">In this section — </w:t>
      </w:r>
    </w:p>
    <w:p>
      <w:pPr>
        <w:pStyle w:val="Defstart"/>
      </w:pPr>
      <w:r>
        <w:tab/>
      </w:r>
      <w:r>
        <w:rPr>
          <w:rStyle w:val="CharDefText"/>
        </w:rPr>
        <w:t>minor modification</w:t>
      </w:r>
      <w:r>
        <w:t xml:space="preserve">, in relation to spatial data, means — </w:t>
      </w:r>
    </w:p>
    <w:p>
      <w:pPr>
        <w:pStyle w:val="Defpara"/>
      </w:pPr>
      <w:r>
        <w:tab/>
        <w:t>(a)</w:t>
      </w:r>
      <w:r>
        <w:tab/>
        <w:t>for cadastral data produced by the Authority — a minor modification to that data made by the Authority to reflect updated survey information; or</w:t>
      </w:r>
    </w:p>
    <w:p>
      <w:pPr>
        <w:pStyle w:val="Defpara"/>
      </w:pPr>
      <w:r>
        <w:tab/>
        <w:t>(b)</w:t>
      </w:r>
      <w:r>
        <w:tab/>
        <w:t>for other spatial data produced by the Commission — the replacement of that data with cadastral data produced by the Authority to reflect updated survey information, where the effect of that replacement is minor;</w:t>
      </w:r>
    </w:p>
    <w:p>
      <w:pPr>
        <w:pStyle w:val="Defstart"/>
      </w:pPr>
      <w:r>
        <w:rPr>
          <w:b/>
        </w:rPr>
        <w:tab/>
      </w:r>
      <w:r>
        <w:rPr>
          <w:rStyle w:val="CharDefText"/>
        </w:rPr>
        <w:t>planning instrument</w:t>
      </w:r>
      <w:r>
        <w:t xml:space="preserve"> means — </w:t>
      </w:r>
    </w:p>
    <w:p>
      <w:pPr>
        <w:pStyle w:val="Defpara"/>
      </w:pPr>
      <w:r>
        <w:tab/>
        <w:t>(a)</w:t>
      </w:r>
      <w:r>
        <w:tab/>
        <w:t>a planning scheme; or</w:t>
      </w:r>
    </w:p>
    <w:p>
      <w:pPr>
        <w:pStyle w:val="Defpara"/>
      </w:pPr>
      <w:r>
        <w:tab/>
        <w:t>(b)</w:t>
      </w:r>
      <w:r>
        <w:tab/>
        <w:t>an interim development order; or</w:t>
      </w:r>
    </w:p>
    <w:p>
      <w:pPr>
        <w:pStyle w:val="Defpara"/>
      </w:pPr>
      <w:r>
        <w:tab/>
        <w:t>(c)</w:t>
      </w:r>
      <w:r>
        <w:tab/>
        <w:t>a declaration under section 112 in relation to a planning control area;</w:t>
      </w:r>
    </w:p>
    <w:p>
      <w:pPr>
        <w:pStyle w:val="Defstart"/>
      </w:pPr>
      <w:r>
        <w:rPr>
          <w:b/>
        </w:rPr>
        <w:tab/>
      </w:r>
      <w:r>
        <w:rPr>
          <w:rStyle w:val="CharDefText"/>
        </w:rPr>
        <w:t>planning markings</w:t>
      </w:r>
      <w:r>
        <w:t>, in relation to a map, means the markings on the map that indicate different zones, reserves or other areas or boundaries relevant to planning requirements;</w:t>
      </w:r>
    </w:p>
    <w:p>
      <w:pPr>
        <w:pStyle w:val="Defstart"/>
      </w:pPr>
      <w:r>
        <w:tab/>
      </w:r>
      <w:r>
        <w:rPr>
          <w:rStyle w:val="CharDefText"/>
        </w:rPr>
        <w:t>spatial data</w:t>
      </w:r>
      <w:r>
        <w:t xml:space="preserve"> means cadastral data produced by the Authority or other spatial data produced by the Commission.</w:t>
      </w:r>
    </w:p>
    <w:p>
      <w:pPr>
        <w:pStyle w:val="Subsection"/>
      </w:pPr>
      <w:r>
        <w:tab/>
        <w:t>(2)</w:t>
      </w:r>
      <w:r>
        <w:tab/>
        <w:t xml:space="preserve">A map (the </w:t>
      </w:r>
      <w:r>
        <w:rPr>
          <w:rStyle w:val="CharDefText"/>
        </w:rPr>
        <w:t>original map</w:t>
      </w:r>
      <w:r>
        <w:t xml:space="preserve">) that forms part of a planning instrument may be prepared by the Commission as an electronic map (the </w:t>
      </w:r>
      <w:r>
        <w:rPr>
          <w:rStyle w:val="CharDefText"/>
        </w:rPr>
        <w:t>electronic planning map</w:t>
      </w:r>
      <w:r>
        <w:t>) in a format approved by the Commission.</w:t>
      </w:r>
    </w:p>
    <w:p>
      <w:pPr>
        <w:pStyle w:val="Subsection"/>
      </w:pPr>
      <w:r>
        <w:tab/>
        <w:t>(3)</w:t>
      </w:r>
      <w:r>
        <w:tab/>
        <w:t xml:space="preserve">The electronic planning map must — </w:t>
      </w:r>
    </w:p>
    <w:p>
      <w:pPr>
        <w:pStyle w:val="Indenta"/>
      </w:pPr>
      <w:r>
        <w:tab/>
        <w:t>(a)</w:t>
      </w:r>
      <w:r>
        <w:tab/>
        <w:t>replicate the planning markings on the original map in a form defined by reference to spatial data; and</w:t>
      </w:r>
    </w:p>
    <w:p>
      <w:pPr>
        <w:pStyle w:val="Indenta"/>
      </w:pPr>
      <w:r>
        <w:tab/>
        <w:t>(b)</w:t>
      </w:r>
      <w:r>
        <w:tab/>
        <w:t xml:space="preserve">include — </w:t>
      </w:r>
    </w:p>
    <w:p>
      <w:pPr>
        <w:pStyle w:val="Indenti"/>
      </w:pPr>
      <w:r>
        <w:tab/>
        <w:t>(i)</w:t>
      </w:r>
      <w:r>
        <w:tab/>
        <w:t>any key or other information on the original map that is associated with the planning markings and is necessary to interpret the map; and</w:t>
      </w:r>
    </w:p>
    <w:p>
      <w:pPr>
        <w:pStyle w:val="Indenti"/>
      </w:pPr>
      <w:r>
        <w:lastRenderedPageBreak/>
        <w:tab/>
        <w:t>(ii)</w:t>
      </w:r>
      <w:r>
        <w:tab/>
        <w:t>any other information required by the Commission.</w:t>
      </w:r>
    </w:p>
    <w:p>
      <w:pPr>
        <w:pStyle w:val="Subsection"/>
      </w:pPr>
      <w:r>
        <w:tab/>
        <w:t>(4)</w:t>
      </w:r>
      <w:r>
        <w:tab/>
        <w:t>The electronic planning map is not required to replicate the original map except to the extent required by subsection (3).</w:t>
      </w:r>
    </w:p>
    <w:p>
      <w:pPr>
        <w:pStyle w:val="Subsection"/>
      </w:pPr>
      <w:r>
        <w:tab/>
        <w:t>(5)</w:t>
      </w:r>
      <w:r>
        <w:tab/>
        <w:t xml:space="preserve">For the purposes of subsection (3)(a), the planning markings on the electronic planning map are taken to replicate the planning marks on the original map even if — </w:t>
      </w:r>
    </w:p>
    <w:p>
      <w:pPr>
        <w:pStyle w:val="Indenta"/>
      </w:pPr>
      <w:r>
        <w:tab/>
        <w:t>(a)</w:t>
      </w:r>
      <w:r>
        <w:tab/>
        <w:t>1 or more minor modifications to the spatial data by reference to which the planning markings are defined have occurred since the electronic planning map was first prepared; and</w:t>
      </w:r>
    </w:p>
    <w:p>
      <w:pPr>
        <w:pStyle w:val="Indenta"/>
      </w:pPr>
      <w:r>
        <w:tab/>
        <w:t>(b)</w:t>
      </w:r>
      <w:r>
        <w:tab/>
        <w:t>the planning markings on the electronic planning map are defined by reference to the spatial data as modified by those modifications.</w:t>
      </w:r>
    </w:p>
    <w:p>
      <w:pPr>
        <w:pStyle w:val="Subsection"/>
      </w:pPr>
      <w:r>
        <w:tab/>
        <w:t>(6)</w:t>
      </w:r>
      <w:r>
        <w:tab/>
        <w:t>The Commission must make the electronic planning map available for public inspection on its website.</w:t>
      </w:r>
    </w:p>
    <w:p>
      <w:pPr>
        <w:pStyle w:val="Subsection"/>
      </w:pPr>
      <w:r>
        <w:tab/>
        <w:t>(7)</w:t>
      </w:r>
      <w:r>
        <w:tab/>
        <w:t>An electronic planning map that is prepared and made available in accordance with this section is taken to be the original map for the purposes of the planning instrument, this Act and any other written law.</w:t>
      </w:r>
    </w:p>
    <w:p>
      <w:pPr>
        <w:pStyle w:val="Footnotesection"/>
      </w:pPr>
      <w:r>
        <w:tab/>
        <w:t>[Section 267B inserted: No. 26 of 2020 s. 99.]</w:t>
      </w:r>
    </w:p>
    <w:p>
      <w:pPr>
        <w:pStyle w:val="Heading5"/>
      </w:pPr>
      <w:bookmarkStart w:id="349" w:name="_Toc199322597"/>
      <w:r>
        <w:rPr>
          <w:rStyle w:val="CharSectno"/>
        </w:rPr>
        <w:t>267C</w:t>
      </w:r>
      <w:r>
        <w:t>.</w:t>
      </w:r>
      <w:r>
        <w:tab/>
        <w:t>Certified copies of electronic planning maps</w:t>
      </w:r>
      <w:bookmarkEnd w:id="349"/>
    </w:p>
    <w:p>
      <w:pPr>
        <w:pStyle w:val="Subsection"/>
      </w:pPr>
      <w:r>
        <w:tab/>
      </w:r>
      <w:r>
        <w:tab/>
        <w:t>In any proceedings, a copy certified by the Commission of an electronic planning map prepared under section 267B, or part of such a map, is evidence of the contents of the electronic planning map or part of the map.</w:t>
      </w:r>
    </w:p>
    <w:p>
      <w:pPr>
        <w:pStyle w:val="Footnotesection"/>
      </w:pPr>
      <w:r>
        <w:tab/>
        <w:t>[Section 267C inserted: No. 26 of 2020 s. 99.]</w:t>
      </w:r>
    </w:p>
    <w:p>
      <w:pPr>
        <w:pStyle w:val="Heading5"/>
      </w:pPr>
      <w:bookmarkStart w:id="350" w:name="_Toc199322598"/>
      <w:r>
        <w:rPr>
          <w:rStyle w:val="CharSectno"/>
        </w:rPr>
        <w:lastRenderedPageBreak/>
        <w:t>267</w:t>
      </w:r>
      <w:r>
        <w:t>.</w:t>
      </w:r>
      <w:r>
        <w:tab/>
        <w:t>Protection from personal liability</w:t>
      </w:r>
      <w:bookmarkEnd w:id="350"/>
    </w:p>
    <w:p>
      <w:pPr>
        <w:pStyle w:val="Subsection"/>
        <w:keepNext/>
        <w:keepLines/>
      </w:pPr>
      <w:r>
        <w:tab/>
        <w:t>(1)</w:t>
      </w:r>
      <w:r>
        <w:tab/>
        <w:t xml:space="preserve">An action in tort does not lie against —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152(5)(c) or 267A(1) for anything that the person has done, in good faith, in the performance or purported performance of a function to which the authority applies.</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Commission, the State nor a local government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Footnotesection"/>
      </w:pPr>
      <w:r>
        <w:tab/>
        <w:t>[Section 267 amended: No. 8 of 2010 s. 26.]</w:t>
      </w:r>
    </w:p>
    <w:p>
      <w:pPr>
        <w:pStyle w:val="Heading5"/>
      </w:pPr>
      <w:bookmarkStart w:id="351" w:name="_Toc199322599"/>
      <w:r>
        <w:rPr>
          <w:rStyle w:val="CharSectno"/>
        </w:rPr>
        <w:t>268A</w:t>
      </w:r>
      <w:r>
        <w:t>.</w:t>
      </w:r>
      <w:r>
        <w:tab/>
        <w:t>Laying documents before House of Parliament that is not sitting</w:t>
      </w:r>
      <w:bookmarkEnd w:id="351"/>
    </w:p>
    <w:p>
      <w:pPr>
        <w:pStyle w:val="Subsection"/>
      </w:pPr>
      <w:r>
        <w:tab/>
        <w:t>(1)</w:t>
      </w:r>
      <w:r>
        <w:tab/>
        <w:t xml:space="preserve">If a provision of this Act requires the Minister, as soon as is practicable, to cause a copy of an order, improvement plan or direction to be laid before each House of Parliament, or dealt with under this section, and — </w:t>
      </w:r>
    </w:p>
    <w:p>
      <w:pPr>
        <w:pStyle w:val="Indenta"/>
      </w:pPr>
      <w:r>
        <w:tab/>
        <w:t>(a)</w:t>
      </w:r>
      <w:r>
        <w:tab/>
        <w:t>at the commencement of the period after the day on which the order, improvement plan or direction is given, a House of Parliament is not sitting; and</w:t>
      </w:r>
    </w:p>
    <w:p>
      <w:pPr>
        <w:pStyle w:val="Indenta"/>
      </w:pPr>
      <w:r>
        <w:lastRenderedPageBreak/>
        <w:tab/>
        <w:t>(b)</w:t>
      </w:r>
      <w:r>
        <w:tab/>
        <w:t>the Minister is of the opinion that the House will not sit during the period of 14 days after the order or direction is given,</w:t>
      </w:r>
    </w:p>
    <w:p>
      <w:pPr>
        <w:pStyle w:val="Subsection"/>
      </w:pPr>
      <w:r>
        <w:tab/>
      </w:r>
      <w:r>
        <w:tab/>
        <w:t>the Minister is to transmit a copy of the order, improvement plan or direction to the Clerk of that House.</w:t>
      </w:r>
    </w:p>
    <w:p>
      <w:pPr>
        <w:pStyle w:val="Subsection"/>
      </w:pPr>
      <w:r>
        <w:tab/>
        <w:t>(2)</w:t>
      </w:r>
      <w:r>
        <w:tab/>
        <w:t>A copy of an order, improvement plan or direction transmitted to the Clerk of a House is to be taken to have been laid before that House.</w:t>
      </w:r>
    </w:p>
    <w:p>
      <w:pPr>
        <w:pStyle w:val="Subsection"/>
      </w:pPr>
      <w:r>
        <w:tab/>
        <w:t>(3)</w:t>
      </w:r>
      <w:r>
        <w:tab/>
        <w:t>The laying of a copy of an order, improvement plan or direction that is regarded as having occurred under subsection (2) is to be recorded in the Minutes, or Votes and Proceedings, of the House on the first sitting day of the House after the Clerk received the copy.</w:t>
      </w:r>
    </w:p>
    <w:p>
      <w:pPr>
        <w:pStyle w:val="Footnotesection"/>
      </w:pPr>
      <w:r>
        <w:tab/>
        <w:t xml:space="preserve">[Section 268A inserted: No. 28 of 2010 s. 50; amended: </w:t>
      </w:r>
      <w:r>
        <w:rPr>
          <w:spacing w:val="-4"/>
        </w:rPr>
        <w:t>No. 45 of 2011 s. 1</w:t>
      </w:r>
      <w:r>
        <w:t xml:space="preserve">41(11).] </w:t>
      </w:r>
    </w:p>
    <w:p>
      <w:pPr>
        <w:pStyle w:val="Heading5"/>
      </w:pPr>
      <w:bookmarkStart w:id="352" w:name="_Toc199322600"/>
      <w:r>
        <w:rPr>
          <w:rStyle w:val="CharSectno"/>
        </w:rPr>
        <w:t>268</w:t>
      </w:r>
      <w:r>
        <w:t>.</w:t>
      </w:r>
      <w:r>
        <w:tab/>
        <w:t>Review of Act</w:t>
      </w:r>
      <w:bookmarkEnd w:id="352"/>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Heading2"/>
      </w:pPr>
      <w:bookmarkStart w:id="353" w:name="_Toc199322601"/>
      <w:r>
        <w:rPr>
          <w:rStyle w:val="CharPartNo"/>
        </w:rPr>
        <w:lastRenderedPageBreak/>
        <w:t>Part 17</w:t>
      </w:r>
      <w:r>
        <w:t> — </w:t>
      </w:r>
      <w:r>
        <w:rPr>
          <w:rStyle w:val="CharPartText"/>
        </w:rPr>
        <w:t>Special provisions for COVID</w:t>
      </w:r>
      <w:r>
        <w:rPr>
          <w:rStyle w:val="CharPartText"/>
        </w:rPr>
        <w:noBreakHyphen/>
        <w:t>19 pandemic relating to development applications</w:t>
      </w:r>
      <w:bookmarkEnd w:id="353"/>
    </w:p>
    <w:p>
      <w:pPr>
        <w:pStyle w:val="Footnoteheading"/>
      </w:pPr>
      <w:r>
        <w:tab/>
        <w:t>[Heading inserted: No. 26 of 2020 s. 4.]</w:t>
      </w:r>
    </w:p>
    <w:p>
      <w:pPr>
        <w:pStyle w:val="Heading3"/>
      </w:pPr>
      <w:bookmarkStart w:id="354" w:name="_Toc199322602"/>
      <w:r>
        <w:rPr>
          <w:rStyle w:val="CharDivNo"/>
        </w:rPr>
        <w:t>Division 1</w:t>
      </w:r>
      <w:r>
        <w:t> — </w:t>
      </w:r>
      <w:r>
        <w:rPr>
          <w:rStyle w:val="CharDivText"/>
        </w:rPr>
        <w:t>Preliminary</w:t>
      </w:r>
      <w:bookmarkEnd w:id="354"/>
    </w:p>
    <w:p>
      <w:pPr>
        <w:pStyle w:val="Footnoteheading"/>
      </w:pPr>
      <w:r>
        <w:tab/>
        <w:t>[Heading inserted: No. 26 of 2020 s. 4.]</w:t>
      </w:r>
    </w:p>
    <w:p>
      <w:pPr>
        <w:pStyle w:val="Heading5"/>
      </w:pPr>
      <w:bookmarkStart w:id="355" w:name="_Toc199322603"/>
      <w:r>
        <w:rPr>
          <w:rStyle w:val="CharSectno"/>
        </w:rPr>
        <w:t>269</w:t>
      </w:r>
      <w:r>
        <w:t>.</w:t>
      </w:r>
      <w:r>
        <w:tab/>
        <w:t>Terms used</w:t>
      </w:r>
      <w:bookmarkEnd w:id="355"/>
    </w:p>
    <w:p>
      <w:pPr>
        <w:pStyle w:val="Subsection"/>
      </w:pPr>
      <w:r>
        <w:tab/>
        <w:t>(1)</w:t>
      </w:r>
      <w:r>
        <w:tab/>
        <w:t xml:space="preserve">In this Part — </w:t>
      </w:r>
    </w:p>
    <w:p>
      <w:pPr>
        <w:pStyle w:val="Defstart"/>
      </w:pPr>
      <w:r>
        <w:tab/>
      </w:r>
      <w:r>
        <w:rPr>
          <w:rStyle w:val="CharDefText"/>
        </w:rPr>
        <w:t>applicable legal instrument</w:t>
      </w:r>
      <w:r>
        <w:t>, in relation to a development application, means a legal instrument under which the application could, apart from this Part, be determined;</w:t>
      </w:r>
    </w:p>
    <w:p>
      <w:pPr>
        <w:pStyle w:val="Defstart"/>
      </w:pPr>
      <w:r>
        <w:tab/>
      </w:r>
      <w:r>
        <w:rPr>
          <w:rStyle w:val="CharDefText"/>
        </w:rPr>
        <w:t>development</w:t>
      </w:r>
      <w:r>
        <w:t xml:space="preserve">, in relation to a development application that is an application for approval under the </w:t>
      </w:r>
      <w:r>
        <w:rPr>
          <w:i/>
        </w:rPr>
        <w:t>Swan and Canning Rivers Management Act 2006</w:t>
      </w:r>
      <w:r>
        <w:t xml:space="preserve"> section 72(1) or (4) or to a determination of such an application, has the meaning given in section 3(1) of that Act;</w:t>
      </w:r>
    </w:p>
    <w:p>
      <w:pPr>
        <w:pStyle w:val="Defstart"/>
      </w:pPr>
      <w:r>
        <w:tab/>
      </w:r>
      <w:r>
        <w:rPr>
          <w:rStyle w:val="CharDefText"/>
        </w:rPr>
        <w:t>development application</w:t>
      </w:r>
      <w:r>
        <w:t xml:space="preserve"> — </w:t>
      </w:r>
    </w:p>
    <w:p>
      <w:pPr>
        <w:pStyle w:val="Defpara"/>
      </w:pPr>
      <w:r>
        <w:tab/>
        <w:t>(a)</w:t>
      </w:r>
      <w:r>
        <w:tab/>
        <w:t>means a development application as defined in section 4(1); and</w:t>
      </w:r>
    </w:p>
    <w:p>
      <w:pPr>
        <w:pStyle w:val="Defpara"/>
      </w:pPr>
      <w:r>
        <w:tab/>
        <w:t>(b)</w:t>
      </w:r>
      <w:r>
        <w:tab/>
        <w:t>includes (to avoid doubt) a development application as defined in section 4(1) that is to be determined, or could be determined, by a Development Assessment Panel; and</w:t>
      </w:r>
    </w:p>
    <w:p>
      <w:pPr>
        <w:pStyle w:val="Defpara"/>
      </w:pPr>
      <w:r>
        <w:tab/>
        <w:t>(c)</w:t>
      </w:r>
      <w:r>
        <w:tab/>
        <w:t>includes an application under Part 7 for approval of development in a planning control area; and</w:t>
      </w:r>
    </w:p>
    <w:p>
      <w:pPr>
        <w:pStyle w:val="Defpara"/>
      </w:pPr>
      <w:r>
        <w:tab/>
        <w:t>(d)</w:t>
      </w:r>
      <w:r>
        <w:tab/>
        <w:t xml:space="preserve">includes an application for approval under the </w:t>
      </w:r>
      <w:r>
        <w:rPr>
          <w:i/>
        </w:rPr>
        <w:t>Swan and Canning Rivers Management Act 2006</w:t>
      </w:r>
      <w:r>
        <w:t xml:space="preserve"> section 72(1) or (4);</w:t>
      </w:r>
    </w:p>
    <w:p>
      <w:pPr>
        <w:pStyle w:val="Defstart"/>
      </w:pPr>
      <w:r>
        <w:tab/>
      </w:r>
      <w:r>
        <w:rPr>
          <w:rStyle w:val="CharDefText"/>
        </w:rPr>
        <w:t>extended recovery period</w:t>
      </w:r>
      <w:r>
        <w:t xml:space="preserve"> means the period that — </w:t>
      </w:r>
    </w:p>
    <w:p>
      <w:pPr>
        <w:pStyle w:val="Defpara"/>
      </w:pPr>
      <w:r>
        <w:tab/>
        <w:t>(a)</w:t>
      </w:r>
      <w:r>
        <w:tab/>
        <w:t xml:space="preserve">begins when the </w:t>
      </w:r>
      <w:r>
        <w:rPr>
          <w:i/>
        </w:rPr>
        <w:t>Planning and Development Amendment Act 2022</w:t>
      </w:r>
      <w:r>
        <w:t xml:space="preserve"> section 4 comes into operation; and</w:t>
      </w:r>
    </w:p>
    <w:p>
      <w:pPr>
        <w:pStyle w:val="Defpara"/>
      </w:pPr>
      <w:r>
        <w:lastRenderedPageBreak/>
        <w:tab/>
        <w:t>(b)</w:t>
      </w:r>
      <w:r>
        <w:tab/>
        <w:t>ends immediately before 5 pm on 29 December 2023;</w:t>
      </w:r>
    </w:p>
    <w:p>
      <w:pPr>
        <w:pStyle w:val="Defstart"/>
      </w:pPr>
      <w:r>
        <w:tab/>
      </w:r>
      <w:r>
        <w:rPr>
          <w:rStyle w:val="CharDefText"/>
        </w:rPr>
        <w:t>Government agreement</w:t>
      </w:r>
      <w:r>
        <w:t xml:space="preserve"> has the meaning given in the </w:t>
      </w:r>
      <w:r>
        <w:rPr>
          <w:i/>
        </w:rPr>
        <w:t>Government Agreements Act 1979</w:t>
      </w:r>
      <w:r>
        <w:t xml:space="preserve"> section 2;</w:t>
      </w:r>
    </w:p>
    <w:p>
      <w:pPr>
        <w:pStyle w:val="Defstart"/>
        <w:keepNext/>
      </w:pPr>
      <w:r>
        <w:tab/>
      </w:r>
      <w:r>
        <w:rPr>
          <w:rStyle w:val="CharDefText"/>
        </w:rPr>
        <w:t>legal instrument</w:t>
      </w:r>
      <w:r>
        <w:t xml:space="preserve"> means any of the following — </w:t>
      </w:r>
    </w:p>
    <w:p>
      <w:pPr>
        <w:pStyle w:val="Defpara"/>
      </w:pPr>
      <w:r>
        <w:tab/>
        <w:t>(a)</w:t>
      </w:r>
      <w:r>
        <w:tab/>
        <w:t>this Act, other than this Part, any Part 17 regulations and any orders under section 284;</w:t>
      </w:r>
    </w:p>
    <w:p>
      <w:pPr>
        <w:pStyle w:val="Defpara"/>
      </w:pPr>
      <w:r>
        <w:tab/>
        <w:t>(b)</w:t>
      </w:r>
      <w:r>
        <w:tab/>
        <w:t xml:space="preserve">any of the following enactments — </w:t>
      </w:r>
    </w:p>
    <w:p>
      <w:pPr>
        <w:pStyle w:val="Defsubpara"/>
      </w:pPr>
      <w:r>
        <w:tab/>
        <w:t>(i)</w:t>
      </w:r>
      <w:r>
        <w:tab/>
        <w:t xml:space="preserve">the </w:t>
      </w:r>
      <w:r>
        <w:rPr>
          <w:i/>
        </w:rPr>
        <w:t>Contaminated Sites Act 2003</w:t>
      </w:r>
      <w:r>
        <w:t>;</w:t>
      </w:r>
    </w:p>
    <w:p>
      <w:pPr>
        <w:pStyle w:val="Defsubpara"/>
      </w:pPr>
      <w:r>
        <w:tab/>
        <w:t>(ii)</w:t>
      </w:r>
      <w:r>
        <w:tab/>
        <w:t xml:space="preserve">the </w:t>
      </w:r>
      <w:r>
        <w:rPr>
          <w:i/>
        </w:rPr>
        <w:t>Heritage Act 2018</w:t>
      </w:r>
      <w:r>
        <w:t>;</w:t>
      </w:r>
    </w:p>
    <w:p>
      <w:pPr>
        <w:pStyle w:val="Defsubpara"/>
      </w:pPr>
      <w:r>
        <w:tab/>
        <w:t>(iii)</w:t>
      </w:r>
      <w:r>
        <w:tab/>
        <w:t xml:space="preserve">the </w:t>
      </w:r>
      <w:r>
        <w:rPr>
          <w:i/>
        </w:rPr>
        <w:t>Swan and Canning Rivers Management Act 2006</w:t>
      </w:r>
      <w:r>
        <w:t>;</w:t>
      </w:r>
    </w:p>
    <w:p>
      <w:pPr>
        <w:pStyle w:val="Defsubpara"/>
      </w:pPr>
      <w:r>
        <w:tab/>
        <w:t>(iv)</w:t>
      </w:r>
      <w:r>
        <w:tab/>
        <w:t xml:space="preserve">the </w:t>
      </w:r>
      <w:r>
        <w:rPr>
          <w:i/>
        </w:rPr>
        <w:t>Swan Valley Planning Act 2020</w:t>
      </w:r>
      <w:r>
        <w:t>;</w:t>
      </w:r>
    </w:p>
    <w:p>
      <w:pPr>
        <w:pStyle w:val="Defsubpara"/>
      </w:pPr>
      <w:r>
        <w:tab/>
        <w:t>(v)</w:t>
      </w:r>
      <w:r>
        <w:tab/>
        <w:t xml:space="preserve">the </w:t>
      </w:r>
      <w:r>
        <w:rPr>
          <w:i/>
        </w:rPr>
        <w:t>Local Government Act 1995</w:t>
      </w:r>
      <w:r>
        <w:t>;</w:t>
      </w:r>
    </w:p>
    <w:p>
      <w:pPr>
        <w:pStyle w:val="Defpara"/>
      </w:pPr>
      <w:r>
        <w:tab/>
        <w:t>(c)</w:t>
      </w:r>
      <w:r>
        <w:tab/>
        <w:t xml:space="preserve">any enactment, other than the following — </w:t>
      </w:r>
    </w:p>
    <w:p>
      <w:pPr>
        <w:pStyle w:val="Defsubpara"/>
      </w:pPr>
      <w:r>
        <w:tab/>
        <w:t>(i)</w:t>
      </w:r>
      <w:r>
        <w:tab/>
        <w:t>this Act;</w:t>
      </w:r>
    </w:p>
    <w:p>
      <w:pPr>
        <w:pStyle w:val="Defsubpara"/>
      </w:pPr>
      <w:r>
        <w:tab/>
        <w:t>(ii)</w:t>
      </w:r>
      <w:r>
        <w:tab/>
        <w:t>an enactment covered by paragraph (b);</w:t>
      </w:r>
    </w:p>
    <w:p>
      <w:pPr>
        <w:pStyle w:val="Defsubpara"/>
      </w:pPr>
      <w:r>
        <w:tab/>
        <w:t>(iii)</w:t>
      </w:r>
      <w:r>
        <w:tab/>
        <w:t>the EP Act;</w:t>
      </w:r>
    </w:p>
    <w:p>
      <w:pPr>
        <w:pStyle w:val="Defpara"/>
      </w:pPr>
      <w:r>
        <w:tab/>
        <w:t>(d)</w:t>
      </w:r>
      <w:r>
        <w:tab/>
        <w:t>a planning scheme or an interim development order;</w:t>
      </w:r>
    </w:p>
    <w:p>
      <w:pPr>
        <w:pStyle w:val="Defpara"/>
      </w:pPr>
      <w:r>
        <w:tab/>
        <w:t>(e)</w:t>
      </w:r>
      <w:r>
        <w:tab/>
        <w:t>any other scheme, code, policy, plan, local law, by</w:t>
      </w:r>
      <w:r>
        <w:noBreakHyphen/>
        <w:t>law, rule, condition, notice or other instrument made under any enactment covered by paragraph (a), (b) or (c);</w:t>
      </w:r>
    </w:p>
    <w:p>
      <w:pPr>
        <w:pStyle w:val="Defstart"/>
      </w:pPr>
      <w:r>
        <w:tab/>
      </w:r>
      <w:r>
        <w:rPr>
          <w:rStyle w:val="CharDefText"/>
        </w:rPr>
        <w:t>mining</w:t>
      </w:r>
      <w:r>
        <w:t xml:space="preserve"> has the meaning given in the </w:t>
      </w:r>
      <w:r>
        <w:rPr>
          <w:i/>
        </w:rPr>
        <w:t>Mining Act 1978</w:t>
      </w:r>
      <w:r>
        <w:t xml:space="preserve"> section 8(1);</w:t>
      </w:r>
    </w:p>
    <w:p>
      <w:pPr>
        <w:pStyle w:val="Defstart"/>
      </w:pPr>
      <w:r>
        <w:tab/>
      </w:r>
      <w:r>
        <w:rPr>
          <w:rStyle w:val="CharDefText"/>
        </w:rPr>
        <w:t>normal decision</w:t>
      </w:r>
      <w:r>
        <w:rPr>
          <w:rStyle w:val="CharDefText"/>
        </w:rPr>
        <w:noBreakHyphen/>
        <w:t>maker</w:t>
      </w:r>
      <w:r>
        <w:t>, in relation to a development application, means a person or body who could, apart from this Part, determine the application under an applicable legal instrument;</w:t>
      </w:r>
    </w:p>
    <w:p>
      <w:pPr>
        <w:pStyle w:val="Defstart"/>
      </w:pPr>
      <w:r>
        <w:tab/>
      </w:r>
      <w:r>
        <w:rPr>
          <w:rStyle w:val="CharDefText"/>
        </w:rPr>
        <w:t>Part 17 regulations</w:t>
      </w:r>
      <w:r>
        <w:t xml:space="preserve"> means regulations under section 286(1);</w:t>
      </w:r>
    </w:p>
    <w:p>
      <w:pPr>
        <w:pStyle w:val="Defstart"/>
      </w:pPr>
      <w:r>
        <w:tab/>
      </w:r>
      <w:r>
        <w:rPr>
          <w:rStyle w:val="CharDefText"/>
        </w:rPr>
        <w:t>recovery period</w:t>
      </w:r>
      <w:r>
        <w:t xml:space="preserve"> means the period of 18 months beginning on the day on which the </w:t>
      </w:r>
      <w:r>
        <w:rPr>
          <w:i/>
        </w:rPr>
        <w:t xml:space="preserve">Planning and Development Amendment Act 2020 </w:t>
      </w:r>
      <w:r>
        <w:t>section 4 comes into operation;</w:t>
      </w:r>
    </w:p>
    <w:p>
      <w:pPr>
        <w:pStyle w:val="Defstart"/>
        <w:keepNext/>
      </w:pPr>
      <w:r>
        <w:lastRenderedPageBreak/>
        <w:tab/>
      </w:r>
      <w:r>
        <w:rPr>
          <w:rStyle w:val="CharDefText"/>
        </w:rPr>
        <w:t>significant development</w:t>
      </w:r>
      <w:r>
        <w:t xml:space="preserve">, subject to subsections (2) and (3), means — </w:t>
      </w:r>
    </w:p>
    <w:p>
      <w:pPr>
        <w:pStyle w:val="Defpara"/>
        <w:keepNext/>
      </w:pPr>
      <w:r>
        <w:tab/>
        <w:t>(a)</w:t>
      </w:r>
      <w:r>
        <w:tab/>
        <w:t xml:space="preserve">development that has an estimated cost of — </w:t>
      </w:r>
    </w:p>
    <w:p>
      <w:pPr>
        <w:pStyle w:val="Defsubpara"/>
      </w:pPr>
      <w:r>
        <w:tab/>
        <w:t>(i)</w:t>
      </w:r>
      <w:r>
        <w:tab/>
        <w:t>in the case of a development that is wholly or partly in the metropolitan region — $20 million or more;</w:t>
      </w:r>
    </w:p>
    <w:p>
      <w:pPr>
        <w:pStyle w:val="Defsubpara"/>
      </w:pPr>
      <w:r>
        <w:tab/>
      </w:r>
      <w:r>
        <w:tab/>
        <w:t>or</w:t>
      </w:r>
    </w:p>
    <w:p>
      <w:pPr>
        <w:pStyle w:val="Defsubpara"/>
      </w:pPr>
      <w:r>
        <w:tab/>
        <w:t>(ii)</w:t>
      </w:r>
      <w:r>
        <w:tab/>
        <w:t>in any other case — $5 million or more;</w:t>
      </w:r>
    </w:p>
    <w:p>
      <w:pPr>
        <w:pStyle w:val="Defpara"/>
      </w:pPr>
      <w:r>
        <w:tab/>
      </w:r>
      <w:r>
        <w:tab/>
        <w:t>or</w:t>
      </w:r>
    </w:p>
    <w:p>
      <w:pPr>
        <w:pStyle w:val="Defpara"/>
      </w:pPr>
      <w:r>
        <w:tab/>
        <w:t>(b)</w:t>
      </w:r>
      <w:r>
        <w:tab/>
        <w:t>development that is of a class or kind prescribed by Part 17 regulations for the purposes of this paragraph;</w:t>
      </w:r>
    </w:p>
    <w:p>
      <w:pPr>
        <w:pStyle w:val="Defstart"/>
      </w:pPr>
      <w:r>
        <w:tab/>
      </w:r>
      <w:r>
        <w:rPr>
          <w:rStyle w:val="CharDefText"/>
        </w:rPr>
        <w:t>substantially commenced</w:t>
      </w:r>
      <w:r>
        <w:t xml:space="preserve">, subject to subsection (4), has the meaning given in the </w:t>
      </w:r>
      <w:r>
        <w:rPr>
          <w:i/>
        </w:rPr>
        <w:t>Planning and Development (Local Planning Schemes) Regulations 2015</w:t>
      </w:r>
      <w:r>
        <w:t xml:space="preserve"> Schedule 2 clause 1 as in force at the beginning of the recovery period;</w:t>
      </w:r>
    </w:p>
    <w:p>
      <w:pPr>
        <w:pStyle w:val="Defstart"/>
      </w:pPr>
      <w:r>
        <w:tab/>
      </w:r>
      <w:r>
        <w:rPr>
          <w:rStyle w:val="CharDefText"/>
        </w:rPr>
        <w:t>warehouse</w:t>
      </w:r>
      <w:r>
        <w:t xml:space="preserve"> means a building or outdoor facility, or a part of a building or outdoor facility, used for 1 or both of the following — </w:t>
      </w:r>
    </w:p>
    <w:p>
      <w:pPr>
        <w:pStyle w:val="Defpara"/>
      </w:pPr>
      <w:r>
        <w:tab/>
        <w:t>(a)</w:t>
      </w:r>
      <w:r>
        <w:tab/>
        <w:t>the storage of goods, equipment, plant or materials;</w:t>
      </w:r>
    </w:p>
    <w:p>
      <w:pPr>
        <w:pStyle w:val="Defpara"/>
      </w:pPr>
      <w:r>
        <w:tab/>
        <w:t>(b)</w:t>
      </w:r>
      <w:r>
        <w:tab/>
        <w:t>the display or sale by wholesale of goods.</w:t>
      </w:r>
    </w:p>
    <w:p>
      <w:pPr>
        <w:pStyle w:val="Subsection"/>
      </w:pPr>
      <w:r>
        <w:tab/>
        <w:t>(2)</w:t>
      </w:r>
      <w:r>
        <w:tab/>
        <w:t xml:space="preserve">Development that is of a class or kind prescribed by Part 17 regulations for the purposes of this subsection — </w:t>
      </w:r>
    </w:p>
    <w:p>
      <w:pPr>
        <w:pStyle w:val="Indenta"/>
      </w:pPr>
      <w:r>
        <w:tab/>
        <w:t>(a)</w:t>
      </w:r>
      <w:r>
        <w:tab/>
        <w:t>is not to be regarded as significant development or as being part of any significant development; and</w:t>
      </w:r>
    </w:p>
    <w:p>
      <w:pPr>
        <w:pStyle w:val="Indenta"/>
      </w:pPr>
      <w:r>
        <w:tab/>
        <w:t>(b)</w:t>
      </w:r>
      <w:r>
        <w:tab/>
        <w:t>is not to be taken into account in determining whether any larger development of which the development forms part is significant development.</w:t>
      </w:r>
    </w:p>
    <w:p>
      <w:pPr>
        <w:pStyle w:val="Subsection"/>
      </w:pPr>
      <w:r>
        <w:tab/>
        <w:t>(3)</w:t>
      </w:r>
      <w:r>
        <w:tab/>
        <w:t xml:space="preserve">Development of a warehouse — </w:t>
      </w:r>
    </w:p>
    <w:p>
      <w:pPr>
        <w:pStyle w:val="Indenta"/>
      </w:pPr>
      <w:r>
        <w:tab/>
        <w:t>(a)</w:t>
      </w:r>
      <w:r>
        <w:tab/>
        <w:t>is not to be regarded as significant development or as being part of any significant development; and</w:t>
      </w:r>
    </w:p>
    <w:p>
      <w:pPr>
        <w:pStyle w:val="Indenta"/>
      </w:pPr>
      <w:r>
        <w:lastRenderedPageBreak/>
        <w:tab/>
        <w:t>(b)</w:t>
      </w:r>
      <w:r>
        <w:tab/>
        <w:t>is not to be taken into account in determining whether any larger development of which the development forms part is significant development.</w:t>
      </w:r>
    </w:p>
    <w:p>
      <w:pPr>
        <w:pStyle w:val="Subsection"/>
      </w:pPr>
      <w:r>
        <w:tab/>
        <w:t>(4)</w:t>
      </w:r>
      <w:r>
        <w:tab/>
        <w:t xml:space="preserve">For the purposes of the definition of </w:t>
      </w:r>
      <w:r>
        <w:rPr>
          <w:b/>
          <w:i/>
        </w:rPr>
        <w:t>substantially commenced</w:t>
      </w:r>
      <w:r>
        <w:t xml:space="preserve"> in subsection (1), the definition of that term in the </w:t>
      </w:r>
      <w:r>
        <w:rPr>
          <w:i/>
        </w:rPr>
        <w:t xml:space="preserve">Planning and Development (Local Planning Schemes) Regulations 2015 </w:t>
      </w:r>
      <w:r>
        <w:t>Schedule 2 clause 1 applies as if the reference to a development approved under a planning scheme or under an interim development order were a reference to a development approved by the Commission under section 274.</w:t>
      </w:r>
    </w:p>
    <w:p>
      <w:pPr>
        <w:pStyle w:val="Footnotesection"/>
      </w:pPr>
      <w:r>
        <w:tab/>
        <w:t>[Section 269 inserted: No. 26 of 2020 s. 4; amended: No. 45 of 2020 s. 93; No. 17 of 2022 s. 4.]</w:t>
      </w:r>
    </w:p>
    <w:p>
      <w:pPr>
        <w:pStyle w:val="Heading5"/>
      </w:pPr>
      <w:bookmarkStart w:id="356" w:name="_Toc199322604"/>
      <w:r>
        <w:rPr>
          <w:rStyle w:val="CharSectno"/>
        </w:rPr>
        <w:t>270</w:t>
      </w:r>
      <w:r>
        <w:t>.</w:t>
      </w:r>
      <w:r>
        <w:tab/>
        <w:t>Effect of Part</w:t>
      </w:r>
      <w:bookmarkEnd w:id="356"/>
    </w:p>
    <w:p>
      <w:pPr>
        <w:pStyle w:val="Subsection"/>
      </w:pPr>
      <w:r>
        <w:tab/>
        <w:t>(1)</w:t>
      </w:r>
      <w:r>
        <w:tab/>
        <w:t>This Part has effect despite any legal instrument.</w:t>
      </w:r>
    </w:p>
    <w:p>
      <w:pPr>
        <w:pStyle w:val="Subsection"/>
      </w:pPr>
      <w:r>
        <w:tab/>
        <w:t>(2)</w:t>
      </w:r>
      <w:r>
        <w:tab/>
        <w:t xml:space="preserve">However, this Part does not apply in relation to any of the following — </w:t>
      </w:r>
    </w:p>
    <w:p>
      <w:pPr>
        <w:pStyle w:val="Indenta"/>
      </w:pPr>
      <w:r>
        <w:tab/>
        <w:t>(a)</w:t>
      </w:r>
      <w:r>
        <w:tab/>
        <w:t xml:space="preserve">land to which an approved redevelopment scheme under the </w:t>
      </w:r>
      <w:r>
        <w:rPr>
          <w:i/>
        </w:rPr>
        <w:t>Metropolitan Redevelopment Authority Act 2011</w:t>
      </w:r>
      <w:r>
        <w:t xml:space="preserve"> applies;</w:t>
      </w:r>
    </w:p>
    <w:p>
      <w:pPr>
        <w:pStyle w:val="Indenta"/>
      </w:pPr>
      <w:r>
        <w:tab/>
        <w:t>(b)</w:t>
      </w:r>
      <w:r>
        <w:tab/>
        <w:t xml:space="preserve">land in the redevelopment area as defined in the </w:t>
      </w:r>
      <w:r>
        <w:rPr>
          <w:i/>
        </w:rPr>
        <w:t>Hope Valley</w:t>
      </w:r>
      <w:r>
        <w:rPr>
          <w:i/>
        </w:rPr>
        <w:noBreakHyphen/>
        <w:t>Wattleup Redevelopment Act 2000</w:t>
      </w:r>
      <w:r>
        <w:t>;</w:t>
      </w:r>
    </w:p>
    <w:p>
      <w:pPr>
        <w:pStyle w:val="Indenta"/>
      </w:pPr>
      <w:r>
        <w:tab/>
        <w:t>(c)</w:t>
      </w:r>
      <w:r>
        <w:tab/>
        <w:t>land to which a Government agreement applies;</w:t>
      </w:r>
    </w:p>
    <w:p>
      <w:pPr>
        <w:pStyle w:val="Indenta"/>
      </w:pPr>
      <w:r>
        <w:tab/>
        <w:t>(d)</w:t>
      </w:r>
      <w:r>
        <w:tab/>
        <w:t xml:space="preserve">mining, or proposed mining, that is, or would be, authorised under the </w:t>
      </w:r>
      <w:r>
        <w:rPr>
          <w:i/>
        </w:rPr>
        <w:t>Mining Act 1978</w:t>
      </w:r>
      <w:r>
        <w:t>.</w:t>
      </w:r>
    </w:p>
    <w:p>
      <w:pPr>
        <w:pStyle w:val="Subsection"/>
      </w:pPr>
      <w:r>
        <w:tab/>
        <w:t>(3)</w:t>
      </w:r>
      <w:r>
        <w:tab/>
        <w:t>To avoid doubt, this Part is subject to section 5 of the EP Act.</w:t>
      </w:r>
    </w:p>
    <w:p>
      <w:pPr>
        <w:pStyle w:val="Footnotesection"/>
      </w:pPr>
      <w:r>
        <w:tab/>
        <w:t>[Section 270 inserted: No. 26 of 2020 s. 4.]</w:t>
      </w:r>
    </w:p>
    <w:p>
      <w:pPr>
        <w:pStyle w:val="Heading3"/>
      </w:pPr>
      <w:bookmarkStart w:id="357" w:name="_Toc199322605"/>
      <w:r>
        <w:rPr>
          <w:rStyle w:val="CharDivNo"/>
        </w:rPr>
        <w:lastRenderedPageBreak/>
        <w:t>Division 2</w:t>
      </w:r>
      <w:r>
        <w:t> — </w:t>
      </w:r>
      <w:r>
        <w:rPr>
          <w:rStyle w:val="CharDivText"/>
        </w:rPr>
        <w:t>Commission to determine certain development applications</w:t>
      </w:r>
      <w:bookmarkEnd w:id="357"/>
    </w:p>
    <w:p>
      <w:pPr>
        <w:pStyle w:val="Footnoteheading"/>
        <w:keepNext/>
      </w:pPr>
      <w:r>
        <w:tab/>
        <w:t>[Heading inserted: No. 26 of 2020 s. 4.]</w:t>
      </w:r>
    </w:p>
    <w:p>
      <w:pPr>
        <w:pStyle w:val="Heading4"/>
      </w:pPr>
      <w:bookmarkStart w:id="358" w:name="_Toc199322606"/>
      <w:r>
        <w:rPr>
          <w:rStyle w:val="CharSDivNo"/>
        </w:rPr>
        <w:t>Subdivision 1</w:t>
      </w:r>
      <w:r>
        <w:t> — </w:t>
      </w:r>
      <w:r>
        <w:rPr>
          <w:rStyle w:val="CharSDivText"/>
        </w:rPr>
        <w:t>Applications and referrals</w:t>
      </w:r>
      <w:bookmarkEnd w:id="358"/>
    </w:p>
    <w:p>
      <w:pPr>
        <w:pStyle w:val="Footnoteheading"/>
        <w:keepNext/>
      </w:pPr>
      <w:r>
        <w:tab/>
        <w:t>[Heading inserted: No. 26 of 2020 s. 4.]</w:t>
      </w:r>
    </w:p>
    <w:p>
      <w:pPr>
        <w:pStyle w:val="Heading5"/>
      </w:pPr>
      <w:bookmarkStart w:id="359" w:name="_Toc199322607"/>
      <w:r>
        <w:rPr>
          <w:rStyle w:val="CharSectno"/>
        </w:rPr>
        <w:t>271</w:t>
      </w:r>
      <w:r>
        <w:t>.</w:t>
      </w:r>
      <w:r>
        <w:tab/>
        <w:t>Development applications that may be made directly to Commission during recovery period or extended recovery period</w:t>
      </w:r>
      <w:bookmarkEnd w:id="359"/>
    </w:p>
    <w:p>
      <w:pPr>
        <w:pStyle w:val="Subsection"/>
        <w:keepNext/>
      </w:pPr>
      <w:r>
        <w:tab/>
        <w:t>(1)</w:t>
      </w:r>
      <w:r>
        <w:tab/>
        <w:t>During the recovery period, a person may make a development application to the Commission for determination under section 274 if the application is for approval of significant development.</w:t>
      </w:r>
    </w:p>
    <w:p>
      <w:pPr>
        <w:pStyle w:val="Subsection"/>
      </w:pPr>
      <w:r>
        <w:tab/>
        <w:t>(2)</w:t>
      </w:r>
      <w:r>
        <w:tab/>
        <w:t>During the extended recovery period, a person may make a development application to the Commission for determination under section 274 if the application is for approval of significant development.</w:t>
      </w:r>
    </w:p>
    <w:p>
      <w:pPr>
        <w:pStyle w:val="Footnotesection"/>
      </w:pPr>
      <w:r>
        <w:tab/>
        <w:t>[Section 271 inserted: No. 26 of 2020 s. 4; amended: No. 17 of 2022 s. 5.]</w:t>
      </w:r>
    </w:p>
    <w:p>
      <w:pPr>
        <w:pStyle w:val="Heading5"/>
      </w:pPr>
      <w:bookmarkStart w:id="360" w:name="_Toc199322608"/>
      <w:r>
        <w:rPr>
          <w:rStyle w:val="CharSectno"/>
        </w:rPr>
        <w:t>272</w:t>
      </w:r>
      <w:r>
        <w:t>.</w:t>
      </w:r>
      <w:r>
        <w:tab/>
        <w:t>Development applications that may be referred to Commission by Premier during recovery period or extended recovery period</w:t>
      </w:r>
      <w:bookmarkEnd w:id="360"/>
    </w:p>
    <w:p>
      <w:pPr>
        <w:pStyle w:val="Subsection"/>
      </w:pPr>
      <w:r>
        <w:tab/>
        <w:t>(1)</w:t>
      </w:r>
      <w:r>
        <w:tab/>
        <w:t>During the recovery period, the prospective applicant in relation to a development application that has not yet been made may notify the Minister that they want the application to be determined under section 274.</w:t>
      </w:r>
    </w:p>
    <w:p>
      <w:pPr>
        <w:pStyle w:val="Subsection"/>
      </w:pPr>
      <w:r>
        <w:tab/>
        <w:t>(2)</w:t>
      </w:r>
      <w:r>
        <w:tab/>
        <w:t xml:space="preserve">Subsection (3) applies if the Minister — </w:t>
      </w:r>
    </w:p>
    <w:p>
      <w:pPr>
        <w:pStyle w:val="Indenta"/>
      </w:pPr>
      <w:r>
        <w:tab/>
        <w:t>(a)</w:t>
      </w:r>
      <w:r>
        <w:tab/>
        <w:t>is notified under subsection (1); and</w:t>
      </w:r>
    </w:p>
    <w:p>
      <w:pPr>
        <w:pStyle w:val="Indenta"/>
      </w:pPr>
      <w:r>
        <w:tab/>
        <w:t>(b)</w:t>
      </w:r>
      <w:r>
        <w:tab/>
        <w:t xml:space="preserve">considers that the development application raises issues of such State or regional importance that it would be </w:t>
      </w:r>
      <w:r>
        <w:lastRenderedPageBreak/>
        <w:t>appropriate for the application to be determined under section 274.</w:t>
      </w:r>
    </w:p>
    <w:p>
      <w:pPr>
        <w:pStyle w:val="Subsection"/>
      </w:pPr>
      <w:r>
        <w:tab/>
        <w:t>(3)</w:t>
      </w:r>
      <w:r>
        <w:tab/>
        <w:t>During the recovery period, the Premier, on the Minister’s recommendation, may refer the development application to the Commission for determination under section 274.</w:t>
      </w:r>
    </w:p>
    <w:p>
      <w:pPr>
        <w:pStyle w:val="Subsection"/>
      </w:pPr>
      <w:r>
        <w:tab/>
        <w:t>(3A)</w:t>
      </w:r>
      <w:r>
        <w:tab/>
        <w:t>During the extended recovery period, the prospective applicant in relation to a development application that has not yet been made may notify the Minister that they want the application to be determined under section 274.</w:t>
      </w:r>
    </w:p>
    <w:p>
      <w:pPr>
        <w:pStyle w:val="Subsection"/>
      </w:pPr>
      <w:r>
        <w:tab/>
        <w:t>(3B)</w:t>
      </w:r>
      <w:r>
        <w:tab/>
        <w:t xml:space="preserve">Subsection (3C) applies if the Minister — </w:t>
      </w:r>
    </w:p>
    <w:p>
      <w:pPr>
        <w:pStyle w:val="Indenta"/>
      </w:pPr>
      <w:r>
        <w:tab/>
        <w:t>(a)</w:t>
      </w:r>
      <w:r>
        <w:tab/>
        <w:t>is notified under subsection (3A); and</w:t>
      </w:r>
    </w:p>
    <w:p>
      <w:pPr>
        <w:pStyle w:val="Indenta"/>
      </w:pPr>
      <w:r>
        <w:tab/>
        <w:t>(b)</w:t>
      </w:r>
      <w:r>
        <w:tab/>
        <w:t>considers that the development application raises issues of such State or regional importance that it would be appropriate for the application to be determined under section 274.</w:t>
      </w:r>
    </w:p>
    <w:p>
      <w:pPr>
        <w:pStyle w:val="Subsection"/>
      </w:pPr>
      <w:r>
        <w:tab/>
        <w:t>(3C)</w:t>
      </w:r>
      <w:r>
        <w:tab/>
        <w:t>During the extended recovery period, the Premier, on the Minister’s recommendation, may refer the development application to the Commission for determination under section 274.</w:t>
      </w:r>
    </w:p>
    <w:p>
      <w:pPr>
        <w:pStyle w:val="Subsection"/>
        <w:keepNext/>
      </w:pPr>
      <w:r>
        <w:tab/>
        <w:t>(4)</w:t>
      </w:r>
      <w:r>
        <w:tab/>
        <w:t xml:space="preserve">Subsection (5) applies if — </w:t>
      </w:r>
    </w:p>
    <w:p>
      <w:pPr>
        <w:pStyle w:val="Indenta"/>
      </w:pPr>
      <w:r>
        <w:tab/>
        <w:t>(a)</w:t>
      </w:r>
      <w:r>
        <w:tab/>
        <w:t>before or during the extended recovery period, a person makes a development application (otherwise than to the Commission under section 271); and</w:t>
      </w:r>
    </w:p>
    <w:p>
      <w:pPr>
        <w:pStyle w:val="Indenta"/>
      </w:pPr>
      <w:r>
        <w:tab/>
        <w:t>(b)</w:t>
      </w:r>
      <w:r>
        <w:tab/>
        <w:t>the Minister considers that the development application raises issues of such State or regional importance that it would be appropriate for the application to be determined under section 274.</w:t>
      </w:r>
    </w:p>
    <w:p>
      <w:pPr>
        <w:pStyle w:val="Subsection"/>
      </w:pPr>
      <w:r>
        <w:tab/>
        <w:t>(5)</w:t>
      </w:r>
      <w:r>
        <w:tab/>
        <w:t xml:space="preserve">During the extended recovery period, the Premier, on the Minister’s recommendation, may — </w:t>
      </w:r>
    </w:p>
    <w:p>
      <w:pPr>
        <w:pStyle w:val="Indenta"/>
      </w:pPr>
      <w:r>
        <w:tab/>
        <w:t>(a)</w:t>
      </w:r>
      <w:r>
        <w:tab/>
        <w:t>direct any person or body who is dealing with the development application to refer the application to the Commission for determination under section 274; or</w:t>
      </w:r>
    </w:p>
    <w:p>
      <w:pPr>
        <w:pStyle w:val="Indenta"/>
      </w:pPr>
      <w:r>
        <w:lastRenderedPageBreak/>
        <w:tab/>
        <w:t>(b)</w:t>
      </w:r>
      <w:r>
        <w:tab/>
        <w:t>if the Commission is dealing with the development application — direct the Commission to determine the application under section 274.</w:t>
      </w:r>
    </w:p>
    <w:p>
      <w:pPr>
        <w:pStyle w:val="Subsection"/>
      </w:pPr>
      <w:r>
        <w:tab/>
        <w:t>(6)</w:t>
      </w:r>
      <w:r>
        <w:tab/>
        <w:t>However, the Premier cannot give a direction under subsection (5) if the development application has already been determined, or been taken to be determined, by a normal decision</w:t>
      </w:r>
      <w:r>
        <w:noBreakHyphen/>
        <w:t>maker (whether or not the determination is to be reviewed by the State Administrative Tribunal or otherwise challenged).</w:t>
      </w:r>
    </w:p>
    <w:p>
      <w:pPr>
        <w:pStyle w:val="Subsection"/>
      </w:pPr>
      <w:r>
        <w:tab/>
        <w:t>(7)</w:t>
      </w:r>
      <w:r>
        <w:tab/>
        <w:t xml:space="preserve">The Premier, within 14 days after the day on which a direction is given under subsection (5), must cause a copy of it to be published in the </w:t>
      </w:r>
      <w:r>
        <w:rPr>
          <w:i/>
        </w:rPr>
        <w:t>Gazette</w:t>
      </w:r>
      <w:r>
        <w:t xml:space="preserve"> and, as soon as is practicable, must cause a copy of it to be laid before each House of Parliament or dealt with under section 268A.</w:t>
      </w:r>
    </w:p>
    <w:p>
      <w:pPr>
        <w:pStyle w:val="Subsection"/>
      </w:pPr>
      <w:r>
        <w:tab/>
        <w:t>(8)</w:t>
      </w:r>
      <w:r>
        <w:tab/>
        <w:t>Section 268A applies as if references in that section to the Minister were to the Premier.</w:t>
      </w:r>
    </w:p>
    <w:p>
      <w:pPr>
        <w:pStyle w:val="Footnotesection"/>
      </w:pPr>
      <w:r>
        <w:tab/>
        <w:t>[Section 272 inserted: No. 26 of 2020 s. 4; amended: No. 17 of 2022 s. 6.]</w:t>
      </w:r>
    </w:p>
    <w:p>
      <w:pPr>
        <w:pStyle w:val="Heading5"/>
      </w:pPr>
      <w:bookmarkStart w:id="361" w:name="_Toc199322609"/>
      <w:r>
        <w:rPr>
          <w:rStyle w:val="CharSectno"/>
        </w:rPr>
        <w:t>273</w:t>
      </w:r>
      <w:r>
        <w:t>.</w:t>
      </w:r>
      <w:r>
        <w:tab/>
        <w:t>Supplementary provisions for applications and referrals</w:t>
      </w:r>
      <w:bookmarkEnd w:id="361"/>
    </w:p>
    <w:p>
      <w:pPr>
        <w:pStyle w:val="Subsection"/>
      </w:pPr>
      <w:r>
        <w:tab/>
        <w:t>(1)</w:t>
      </w:r>
      <w:r>
        <w:tab/>
        <w:t>A development application that is made under section 271 must be made in the manner and form required by the Commission and, without limitation, include any documents or information required by the Commission.</w:t>
      </w:r>
    </w:p>
    <w:p>
      <w:pPr>
        <w:pStyle w:val="Subsection"/>
      </w:pPr>
      <w:r>
        <w:tab/>
        <w:t>(2)</w:t>
      </w:r>
      <w:r>
        <w:tab/>
        <w:t>A notification under section 272(1) or (3A) must be made in the manner and form required by the Minister and, without limitation, include any documents or information required by the Minister.</w:t>
      </w:r>
    </w:p>
    <w:p>
      <w:pPr>
        <w:pStyle w:val="Subsection"/>
      </w:pPr>
      <w:r>
        <w:tab/>
        <w:t>(3)</w:t>
      </w:r>
      <w:r>
        <w:tab/>
        <w:t xml:space="preserve">A person or body who is given a direction under section 272(5) to refer a development application to the Commission — </w:t>
      </w:r>
    </w:p>
    <w:p>
      <w:pPr>
        <w:pStyle w:val="Indenta"/>
      </w:pPr>
      <w:r>
        <w:tab/>
        <w:t>(a)</w:t>
      </w:r>
      <w:r>
        <w:tab/>
        <w:t>must refer the development application within the period specified in the direction; and</w:t>
      </w:r>
    </w:p>
    <w:p>
      <w:pPr>
        <w:pStyle w:val="Indenta"/>
      </w:pPr>
      <w:r>
        <w:lastRenderedPageBreak/>
        <w:tab/>
        <w:t>(b)</w:t>
      </w:r>
      <w:r>
        <w:tab/>
        <w:t>in referring the development application, must provide the Commission with the application and any documents or information that accompanied the application.</w:t>
      </w:r>
    </w:p>
    <w:p>
      <w:pPr>
        <w:pStyle w:val="Subsection"/>
      </w:pPr>
      <w:r>
        <w:tab/>
        <w:t>(4)</w:t>
      </w:r>
      <w:r>
        <w:tab/>
        <w:t xml:space="preserve">Without limiting section 270(1), in imposing requirements under subsection (1) or (2), the Commission or Minister is not bound or restricted by any legal instrument that would, apart from this Part, regulate, or otherwise apply in relation to, any of the following — </w:t>
      </w:r>
    </w:p>
    <w:p>
      <w:pPr>
        <w:pStyle w:val="Indenta"/>
      </w:pPr>
      <w:r>
        <w:tab/>
        <w:t>(a)</w:t>
      </w:r>
      <w:r>
        <w:tab/>
        <w:t xml:space="preserve">the making of the development application; </w:t>
      </w:r>
    </w:p>
    <w:p>
      <w:pPr>
        <w:pStyle w:val="Indenta"/>
      </w:pPr>
      <w:r>
        <w:tab/>
        <w:t>(b)</w:t>
      </w:r>
      <w:r>
        <w:tab/>
        <w:t>the development application itself;</w:t>
      </w:r>
    </w:p>
    <w:p>
      <w:pPr>
        <w:pStyle w:val="Indenta"/>
      </w:pPr>
      <w:r>
        <w:tab/>
        <w:t>(c)</w:t>
      </w:r>
      <w:r>
        <w:tab/>
        <w:t>the consideration or determination of the development application.</w:t>
      </w:r>
    </w:p>
    <w:p>
      <w:pPr>
        <w:pStyle w:val="Footnotesection"/>
      </w:pPr>
      <w:r>
        <w:tab/>
        <w:t>[Section 273 inserted: No. 26 of 2020 s. 4; amended: No. 17 of 2022 s. 7.]</w:t>
      </w:r>
    </w:p>
    <w:p>
      <w:pPr>
        <w:pStyle w:val="Heading4"/>
      </w:pPr>
      <w:bookmarkStart w:id="362" w:name="_Toc199322610"/>
      <w:r>
        <w:rPr>
          <w:rStyle w:val="CharSDivNo"/>
        </w:rPr>
        <w:t>Subdivision 2</w:t>
      </w:r>
      <w:r>
        <w:t> — </w:t>
      </w:r>
      <w:r>
        <w:rPr>
          <w:rStyle w:val="CharSDivText"/>
        </w:rPr>
        <w:t>Determinations</w:t>
      </w:r>
      <w:bookmarkEnd w:id="362"/>
    </w:p>
    <w:p>
      <w:pPr>
        <w:pStyle w:val="Footnoteheading"/>
      </w:pPr>
      <w:r>
        <w:tab/>
        <w:t>[Heading inserted: No. 26 of 2020 s. 4.]</w:t>
      </w:r>
    </w:p>
    <w:p>
      <w:pPr>
        <w:pStyle w:val="Heading5"/>
      </w:pPr>
      <w:bookmarkStart w:id="363" w:name="_Toc199322611"/>
      <w:r>
        <w:rPr>
          <w:rStyle w:val="CharSectno"/>
        </w:rPr>
        <w:t>274</w:t>
      </w:r>
      <w:r>
        <w:t>.</w:t>
      </w:r>
      <w:r>
        <w:tab/>
        <w:t>Determination of development applications by Commission</w:t>
      </w:r>
      <w:bookmarkEnd w:id="363"/>
    </w:p>
    <w:p>
      <w:pPr>
        <w:pStyle w:val="Subsection"/>
      </w:pPr>
      <w:r>
        <w:tab/>
        <w:t>(1)</w:t>
      </w:r>
      <w:r>
        <w:tab/>
        <w:t xml:space="preserve">A development application must be determined under this section (and not any applicable legal instrument) if — </w:t>
      </w:r>
    </w:p>
    <w:p>
      <w:pPr>
        <w:pStyle w:val="Indenta"/>
      </w:pPr>
      <w:r>
        <w:tab/>
        <w:t>(a)</w:t>
      </w:r>
      <w:r>
        <w:tab/>
        <w:t>the development application is made or referred to the Commission under section 271 or 272(3), (3C) or (5); or</w:t>
      </w:r>
    </w:p>
    <w:p>
      <w:pPr>
        <w:pStyle w:val="Indenta"/>
      </w:pPr>
      <w:r>
        <w:tab/>
        <w:t>(b)</w:t>
      </w:r>
      <w:r>
        <w:tab/>
        <w:t>the Commission is directed under section 272(5) to determine the development application under this section.</w:t>
      </w:r>
    </w:p>
    <w:p>
      <w:pPr>
        <w:pStyle w:val="Subsection"/>
      </w:pPr>
      <w:r>
        <w:tab/>
        <w:t>(2)</w:t>
      </w:r>
      <w:r>
        <w:tab/>
        <w:t xml:space="preserve">The Commission must consider the development application and determine it by — </w:t>
      </w:r>
    </w:p>
    <w:p>
      <w:pPr>
        <w:pStyle w:val="Indenta"/>
      </w:pPr>
      <w:r>
        <w:tab/>
        <w:t>(a)</w:t>
      </w:r>
      <w:r>
        <w:tab/>
        <w:t>granting approval for the development without conditions; or</w:t>
      </w:r>
    </w:p>
    <w:p>
      <w:pPr>
        <w:pStyle w:val="Indenta"/>
      </w:pPr>
      <w:r>
        <w:tab/>
        <w:t>(b)</w:t>
      </w:r>
      <w:r>
        <w:tab/>
        <w:t>granting approval for the development with conditions; or</w:t>
      </w:r>
    </w:p>
    <w:p>
      <w:pPr>
        <w:pStyle w:val="Indenta"/>
      </w:pPr>
      <w:r>
        <w:lastRenderedPageBreak/>
        <w:tab/>
        <w:t>(c)</w:t>
      </w:r>
      <w:r>
        <w:tab/>
        <w:t>refusing approval for the development.</w:t>
      </w:r>
    </w:p>
    <w:p>
      <w:pPr>
        <w:pStyle w:val="Subsection"/>
      </w:pPr>
      <w:r>
        <w:tab/>
        <w:t>(3)</w:t>
      </w:r>
      <w:r>
        <w:tab/>
        <w:t>The Commission must determine the development application as soon as is reasonably practicable but, subject to that, does not have to determine the application before the end of the recovery period or the extended recovery period.</w:t>
      </w:r>
    </w:p>
    <w:p>
      <w:pPr>
        <w:pStyle w:val="Subsection"/>
      </w:pPr>
      <w:r>
        <w:tab/>
        <w:t>(4)</w:t>
      </w:r>
      <w:r>
        <w:tab/>
        <w:t xml:space="preserve">For the purposes of subsection (2)(a) and (b) — </w:t>
      </w:r>
    </w:p>
    <w:p>
      <w:pPr>
        <w:pStyle w:val="Indenta"/>
      </w:pPr>
      <w:r>
        <w:tab/>
        <w:t>(a)</w:t>
      </w:r>
      <w:r>
        <w:tab/>
        <w:t xml:space="preserve">approval can be granted — </w:t>
      </w:r>
    </w:p>
    <w:p>
      <w:pPr>
        <w:pStyle w:val="Indenti"/>
      </w:pPr>
      <w:r>
        <w:tab/>
        <w:t>(i)</w:t>
      </w:r>
      <w:r>
        <w:tab/>
        <w:t>for the development for which approval is sought; or</w:t>
      </w:r>
    </w:p>
    <w:p>
      <w:pPr>
        <w:pStyle w:val="Indenti"/>
      </w:pPr>
      <w:r>
        <w:tab/>
        <w:t>(ii)</w:t>
      </w:r>
      <w:r>
        <w:tab/>
        <w:t>for that development, except for a part or aspect of that development specified in the approval; or</w:t>
      </w:r>
    </w:p>
    <w:p>
      <w:pPr>
        <w:pStyle w:val="Indenti"/>
      </w:pPr>
      <w:r>
        <w:tab/>
        <w:t>(iii)</w:t>
      </w:r>
      <w:r>
        <w:tab/>
        <w:t>for a part or aspect of that development specified in the approval;</w:t>
      </w:r>
    </w:p>
    <w:p>
      <w:pPr>
        <w:pStyle w:val="Indenta"/>
      </w:pPr>
      <w:r>
        <w:tab/>
      </w:r>
      <w:r>
        <w:tab/>
        <w:t>but</w:t>
      </w:r>
    </w:p>
    <w:p>
      <w:pPr>
        <w:pStyle w:val="Indenta"/>
      </w:pPr>
      <w:r>
        <w:tab/>
        <w:t>(b)</w:t>
      </w:r>
      <w:r>
        <w:tab/>
        <w:t xml:space="preserve">approval cannot be granted as referred to in paragraph (a)(ii) or (iii) — </w:t>
      </w:r>
    </w:p>
    <w:p>
      <w:pPr>
        <w:pStyle w:val="Indenti"/>
      </w:pPr>
      <w:r>
        <w:tab/>
        <w:t>(i)</w:t>
      </w:r>
      <w:r>
        <w:tab/>
        <w:t>in the case of a development application made under section 271 — for development that is not significant development; or</w:t>
      </w:r>
    </w:p>
    <w:p>
      <w:pPr>
        <w:pStyle w:val="Indenti"/>
      </w:pPr>
      <w:r>
        <w:tab/>
        <w:t>(ii)</w:t>
      </w:r>
      <w:r>
        <w:tab/>
        <w:t>in any other case — for development that is substantially different from the development for which approval is sought.</w:t>
      </w:r>
    </w:p>
    <w:p>
      <w:pPr>
        <w:pStyle w:val="Subsection"/>
      </w:pPr>
      <w:r>
        <w:tab/>
        <w:t>(5)</w:t>
      </w:r>
      <w:r>
        <w:tab/>
        <w:t xml:space="preserve">For the purposes of subsection (2)(b), the Commission may impose any conditions that the Commission considers appropriate, including (without limitation) the following — </w:t>
      </w:r>
    </w:p>
    <w:p>
      <w:pPr>
        <w:pStyle w:val="Indenta"/>
      </w:pPr>
      <w:r>
        <w:tab/>
        <w:t>(a)</w:t>
      </w:r>
      <w:r>
        <w:tab/>
        <w:t>a condition limiting the time period for which approval is granted;</w:t>
      </w:r>
    </w:p>
    <w:p>
      <w:pPr>
        <w:pStyle w:val="Indenta"/>
      </w:pPr>
      <w:r>
        <w:tab/>
        <w:t>(b)</w:t>
      </w:r>
      <w:r>
        <w:tab/>
        <w:t>a condition requiring further details of the development specified in the approval to be, before the development is commenced, submitted to, and approved by, the Commission.</w:t>
      </w:r>
    </w:p>
    <w:p>
      <w:pPr>
        <w:pStyle w:val="Subsection"/>
      </w:pPr>
      <w:r>
        <w:lastRenderedPageBreak/>
        <w:tab/>
        <w:t>(6)</w:t>
      </w:r>
      <w:r>
        <w:tab/>
        <w:t>The Commission can impose a condition of the kind referred to in subsection (5)(b) only if the Commission considers that the further details to be approved would not substantially change the approved development.</w:t>
      </w:r>
    </w:p>
    <w:p>
      <w:pPr>
        <w:pStyle w:val="Subsection"/>
      </w:pPr>
      <w:r>
        <w:tab/>
        <w:t>(7)</w:t>
      </w:r>
      <w:r>
        <w:tab/>
        <w:t xml:space="preserve">When the Commission determines the development application, the Commission must — </w:t>
      </w:r>
    </w:p>
    <w:p>
      <w:pPr>
        <w:pStyle w:val="Indenta"/>
      </w:pPr>
      <w:r>
        <w:tab/>
        <w:t>(a)</w:t>
      </w:r>
      <w:r>
        <w:tab/>
        <w:t>give the applicant written notice of the determination, including the Commission’s reasons for the determination; and</w:t>
      </w:r>
    </w:p>
    <w:p>
      <w:pPr>
        <w:pStyle w:val="Indenta"/>
      </w:pPr>
      <w:r>
        <w:tab/>
        <w:t>(b)</w:t>
      </w:r>
      <w:r>
        <w:tab/>
        <w:t>make copies of the determination and reasons publicly available on a website maintained by, or on behalf of, the Commission.</w:t>
      </w:r>
    </w:p>
    <w:p>
      <w:pPr>
        <w:pStyle w:val="Footnotesection"/>
      </w:pPr>
      <w:r>
        <w:tab/>
        <w:t>[Section 274 inserted: No. 26 of 2020 s. 4; amended: No. 17 of 2022 s. 8.]</w:t>
      </w:r>
    </w:p>
    <w:p>
      <w:pPr>
        <w:pStyle w:val="Heading5"/>
      </w:pPr>
      <w:bookmarkStart w:id="364" w:name="_Toc199322612"/>
      <w:r>
        <w:rPr>
          <w:rStyle w:val="CharSectno"/>
        </w:rPr>
        <w:t>275</w:t>
      </w:r>
      <w:r>
        <w:t>.</w:t>
      </w:r>
      <w:r>
        <w:tab/>
        <w:t>Application of legal instruments and matters to which Commission must have due regard</w:t>
      </w:r>
      <w:bookmarkEnd w:id="364"/>
    </w:p>
    <w:p>
      <w:pPr>
        <w:pStyle w:val="Subsection"/>
      </w:pPr>
      <w:r>
        <w:tab/>
        <w:t>(1)</w:t>
      </w:r>
      <w:r>
        <w:tab/>
        <w:t>This section applies if the Commission is required to consider and determine a development application under section 274.</w:t>
      </w:r>
    </w:p>
    <w:p>
      <w:pPr>
        <w:pStyle w:val="Subsection"/>
      </w:pPr>
      <w:r>
        <w:tab/>
        <w:t>(2)</w:t>
      </w:r>
      <w:r>
        <w:tab/>
        <w:t xml:space="preserve">Subsections (3) and (4) apply in relation to any legal instrument that would, apart from this Part, regulate, or otherwise apply in relation to, any of the following — </w:t>
      </w:r>
    </w:p>
    <w:p>
      <w:pPr>
        <w:pStyle w:val="Indenta"/>
      </w:pPr>
      <w:r>
        <w:tab/>
        <w:t>(a)</w:t>
      </w:r>
      <w:r>
        <w:tab/>
        <w:t xml:space="preserve">the making of the development application; </w:t>
      </w:r>
    </w:p>
    <w:p>
      <w:pPr>
        <w:pStyle w:val="Indenta"/>
      </w:pPr>
      <w:r>
        <w:tab/>
        <w:t>(b)</w:t>
      </w:r>
      <w:r>
        <w:tab/>
        <w:t>the development application itself;</w:t>
      </w:r>
    </w:p>
    <w:p>
      <w:pPr>
        <w:pStyle w:val="Indenta"/>
      </w:pPr>
      <w:r>
        <w:tab/>
        <w:t>(c)</w:t>
      </w:r>
      <w:r>
        <w:tab/>
        <w:t>the consideration or determination of the development application.</w:t>
      </w:r>
    </w:p>
    <w:p>
      <w:pPr>
        <w:pStyle w:val="Subsection"/>
      </w:pPr>
      <w:r>
        <w:tab/>
        <w:t>(3)</w:t>
      </w:r>
      <w:r>
        <w:tab/>
        <w:t xml:space="preserve">Without limiting section 270(1), for the purposes of the Commission’s consideration and determination of the development application — </w:t>
      </w:r>
    </w:p>
    <w:p>
      <w:pPr>
        <w:pStyle w:val="Indenta"/>
      </w:pPr>
      <w:r>
        <w:tab/>
        <w:t>(a)</w:t>
      </w:r>
      <w:r>
        <w:tab/>
        <w:t>the legal instrument does not apply; and</w:t>
      </w:r>
    </w:p>
    <w:p>
      <w:pPr>
        <w:pStyle w:val="Indenta"/>
      </w:pPr>
      <w:r>
        <w:tab/>
        <w:t>(b)</w:t>
      </w:r>
      <w:r>
        <w:tab/>
        <w:t>the Commission is not otherwise bound or restricted by the legal instrument.</w:t>
      </w:r>
    </w:p>
    <w:p>
      <w:pPr>
        <w:pStyle w:val="Subsection"/>
        <w:keepNext/>
      </w:pPr>
      <w:r>
        <w:lastRenderedPageBreak/>
        <w:tab/>
        <w:t>(4)</w:t>
      </w:r>
      <w:r>
        <w:tab/>
        <w:t xml:space="preserve">However, in considering and determining the development application, the Commission may do any of the following — </w:t>
      </w:r>
    </w:p>
    <w:p>
      <w:pPr>
        <w:pStyle w:val="Indenta"/>
      </w:pPr>
      <w:r>
        <w:tab/>
        <w:t>(a)</w:t>
      </w:r>
      <w:r>
        <w:tab/>
        <w:t>anything that a normal decision</w:t>
      </w:r>
      <w:r>
        <w:noBreakHyphen/>
        <w:t>maker, or any other person or body dealing with the development application, could, apart from this Part, have done under the legal instrument;</w:t>
      </w:r>
    </w:p>
    <w:p>
      <w:pPr>
        <w:pStyle w:val="Indenta"/>
      </w:pPr>
      <w:r>
        <w:tab/>
        <w:t>(b)</w:t>
      </w:r>
      <w:r>
        <w:tab/>
        <w:t>request any person or body to perform (in whole or in part and with or without modifications) any functions that the person or body would, apart from this Part, have had in relation to the development application under the legal instrument;</w:t>
      </w:r>
    </w:p>
    <w:p>
      <w:pPr>
        <w:pStyle w:val="Indenta"/>
      </w:pPr>
      <w:r>
        <w:tab/>
        <w:t>(c)</w:t>
      </w:r>
      <w:r>
        <w:tab/>
        <w:t>otherwise involve, or consult, a person or body referred to in paragraph (b);</w:t>
      </w:r>
    </w:p>
    <w:p>
      <w:pPr>
        <w:pStyle w:val="Indenta"/>
      </w:pPr>
      <w:r>
        <w:tab/>
        <w:t>(d)</w:t>
      </w:r>
      <w:r>
        <w:tab/>
        <w:t>otherwise apply (with or without modifications), or have regard to, the legal instrument.</w:t>
      </w:r>
    </w:p>
    <w:p>
      <w:pPr>
        <w:pStyle w:val="Subsection"/>
      </w:pPr>
      <w:r>
        <w:tab/>
        <w:t>(5)</w:t>
      </w:r>
      <w:r>
        <w:tab/>
        <w:t xml:space="preserve">Without limiting subsection (3), the Commission — </w:t>
      </w:r>
    </w:p>
    <w:p>
      <w:pPr>
        <w:pStyle w:val="Indenta"/>
      </w:pPr>
      <w:r>
        <w:tab/>
        <w:t>(a)</w:t>
      </w:r>
      <w:r>
        <w:tab/>
        <w:t>in considering and determining the development application, is not limited to planning considerations and may have regard to any other matter affecting the public interest; and</w:t>
      </w:r>
    </w:p>
    <w:p>
      <w:pPr>
        <w:pStyle w:val="Indenta"/>
      </w:pPr>
      <w:r>
        <w:tab/>
        <w:t>(b)</w:t>
      </w:r>
      <w:r>
        <w:tab/>
        <w:t xml:space="preserve">may grant approval for development even if — </w:t>
      </w:r>
    </w:p>
    <w:p>
      <w:pPr>
        <w:pStyle w:val="Indenti"/>
      </w:pPr>
      <w:r>
        <w:tab/>
        <w:t>(i)</w:t>
      </w:r>
      <w:r>
        <w:tab/>
        <w:t>there has been a contravention by any person or body of a legal instrument referred to in subsection (2); or</w:t>
      </w:r>
    </w:p>
    <w:p>
      <w:pPr>
        <w:pStyle w:val="Indenti"/>
      </w:pPr>
      <w:r>
        <w:tab/>
        <w:t>(ii)</w:t>
      </w:r>
      <w:r>
        <w:tab/>
        <w:t>there would, apart from this Part, have been such a contravention.</w:t>
      </w:r>
    </w:p>
    <w:p>
      <w:pPr>
        <w:pStyle w:val="Subsection"/>
      </w:pPr>
      <w:r>
        <w:tab/>
        <w:t>(6)</w:t>
      </w:r>
      <w:r>
        <w:tab/>
        <w:t xml:space="preserve">In considering and determining the development application, the Commission must have due regard to — </w:t>
      </w:r>
    </w:p>
    <w:p>
      <w:pPr>
        <w:pStyle w:val="Indenta"/>
      </w:pPr>
      <w:r>
        <w:tab/>
        <w:t>(a)</w:t>
      </w:r>
      <w:r>
        <w:tab/>
        <w:t>the purpose and intent of any planning scheme that has effect in the locality to which the development application relates; and</w:t>
      </w:r>
    </w:p>
    <w:p>
      <w:pPr>
        <w:pStyle w:val="Indenta"/>
      </w:pPr>
      <w:r>
        <w:tab/>
        <w:t>(b)</w:t>
      </w:r>
      <w:r>
        <w:tab/>
        <w:t>the need to ensure the orderly and proper planning, and the preservation of amenity, of that locality; and</w:t>
      </w:r>
    </w:p>
    <w:p>
      <w:pPr>
        <w:pStyle w:val="Indenta"/>
      </w:pPr>
      <w:r>
        <w:lastRenderedPageBreak/>
        <w:tab/>
        <w:t>(c)</w:t>
      </w:r>
      <w:r>
        <w:tab/>
        <w:t>the need to facilitate development in response to the economic effects of the COVID</w:t>
      </w:r>
      <w:r>
        <w:noBreakHyphen/>
        <w:t>19 pandemic; and</w:t>
      </w:r>
    </w:p>
    <w:p>
      <w:pPr>
        <w:pStyle w:val="Indenta"/>
      </w:pPr>
      <w:r>
        <w:tab/>
        <w:t>(d)</w:t>
      </w:r>
      <w:r>
        <w:tab/>
        <w:t>any relevant State planning policies and any other relevant policies of the Commission.</w:t>
      </w:r>
    </w:p>
    <w:p>
      <w:pPr>
        <w:pStyle w:val="Footnotesection"/>
      </w:pPr>
      <w:r>
        <w:tab/>
        <w:t>[Section 275 inserted: No. 26 of 2020 s. 4.]</w:t>
      </w:r>
    </w:p>
    <w:p>
      <w:pPr>
        <w:pStyle w:val="Heading5"/>
      </w:pPr>
      <w:bookmarkStart w:id="365" w:name="_Toc199322613"/>
      <w:r>
        <w:rPr>
          <w:rStyle w:val="CharSectno"/>
        </w:rPr>
        <w:t>276</w:t>
      </w:r>
      <w:r>
        <w:t>.</w:t>
      </w:r>
      <w:r>
        <w:tab/>
        <w:t>Consultation, submissions and other input</w:t>
      </w:r>
      <w:bookmarkEnd w:id="365"/>
    </w:p>
    <w:p>
      <w:pPr>
        <w:pStyle w:val="Subsection"/>
      </w:pPr>
      <w:r>
        <w:tab/>
        <w:t>(1)</w:t>
      </w:r>
      <w:r>
        <w:tab/>
        <w:t>This section applies for the purposes of the Commission’s consideration of a development application under section 274 (but does not limit what the Commission may or must do under section 275).</w:t>
      </w:r>
    </w:p>
    <w:p>
      <w:pPr>
        <w:pStyle w:val="Subsection"/>
      </w:pPr>
      <w:r>
        <w:tab/>
        <w:t>(2)</w:t>
      </w:r>
      <w:r>
        <w:tab/>
        <w:t xml:space="preserve">The Commission must — </w:t>
      </w:r>
    </w:p>
    <w:p>
      <w:pPr>
        <w:pStyle w:val="Indenta"/>
      </w:pPr>
      <w:r>
        <w:tab/>
        <w:t>(a)</w:t>
      </w:r>
      <w:r>
        <w:tab/>
        <w:t>consult the Minister; and</w:t>
      </w:r>
    </w:p>
    <w:p>
      <w:pPr>
        <w:pStyle w:val="Indenta"/>
      </w:pPr>
      <w:r>
        <w:tab/>
        <w:t>(b)</w:t>
      </w:r>
      <w:r>
        <w:tab/>
        <w:t>if required by the Minister — give the Minister a reasonable opportunity to make submissions to the Commission; and</w:t>
      </w:r>
    </w:p>
    <w:p>
      <w:pPr>
        <w:pStyle w:val="Indenta"/>
      </w:pPr>
      <w:r>
        <w:tab/>
        <w:t>(c)</w:t>
      </w:r>
      <w:r>
        <w:tab/>
        <w:t>have due regard to any submissions made by the Minister.</w:t>
      </w:r>
    </w:p>
    <w:p>
      <w:pPr>
        <w:pStyle w:val="Subsection"/>
      </w:pPr>
      <w:r>
        <w:tab/>
        <w:t>(3)</w:t>
      </w:r>
      <w:r>
        <w:tab/>
        <w:t xml:space="preserve">The Commission must — </w:t>
      </w:r>
    </w:p>
    <w:p>
      <w:pPr>
        <w:pStyle w:val="Indenta"/>
      </w:pPr>
      <w:r>
        <w:tab/>
        <w:t>(a)</w:t>
      </w:r>
      <w:r>
        <w:tab/>
        <w:t xml:space="preserve">consult the CEO (as defined in the </w:t>
      </w:r>
      <w:r>
        <w:rPr>
          <w:i/>
        </w:rPr>
        <w:t>Contaminated Sites Act 2003</w:t>
      </w:r>
      <w:r>
        <w:t xml:space="preserve"> section 3(1)) if the development is of land referred to in section 58(1)(a)(i) of that Act in respect of which a memorial is registered under section 58 of that Act; and</w:t>
      </w:r>
    </w:p>
    <w:p>
      <w:pPr>
        <w:pStyle w:val="Indenta"/>
        <w:keepNext/>
      </w:pPr>
      <w:r>
        <w:tab/>
        <w:t>(b)</w:t>
      </w:r>
      <w:r>
        <w:tab/>
        <w:t xml:space="preserve">consult the Heritage Council if the development would, or would be likely to, affect any of the following — </w:t>
      </w:r>
    </w:p>
    <w:p>
      <w:pPr>
        <w:pStyle w:val="Indenti"/>
      </w:pPr>
      <w:r>
        <w:tab/>
        <w:t>(i)</w:t>
      </w:r>
      <w:r>
        <w:tab/>
        <w:t xml:space="preserve">a place that is a registered place under the </w:t>
      </w:r>
      <w:r>
        <w:rPr>
          <w:i/>
        </w:rPr>
        <w:t>Heritage Act 2018</w:t>
      </w:r>
      <w:r>
        <w:t>;</w:t>
      </w:r>
    </w:p>
    <w:p>
      <w:pPr>
        <w:pStyle w:val="Indenti"/>
      </w:pPr>
      <w:r>
        <w:tab/>
        <w:t>(ii)</w:t>
      </w:r>
      <w:r>
        <w:tab/>
        <w:t xml:space="preserve">a place that is the subject of a protection order under the </w:t>
      </w:r>
      <w:r>
        <w:rPr>
          <w:i/>
        </w:rPr>
        <w:t>Heritage Act 2018</w:t>
      </w:r>
      <w:r>
        <w:t xml:space="preserve"> Part 4 Division 1;</w:t>
      </w:r>
    </w:p>
    <w:p>
      <w:pPr>
        <w:pStyle w:val="Indenti"/>
      </w:pPr>
      <w:r>
        <w:lastRenderedPageBreak/>
        <w:tab/>
        <w:t>(iii)</w:t>
      </w:r>
      <w:r>
        <w:tab/>
        <w:t xml:space="preserve">a place that is the subject of a heritage agreement made by the Heritage Council under the </w:t>
      </w:r>
      <w:r>
        <w:rPr>
          <w:i/>
        </w:rPr>
        <w:t>Heritage Act 2018</w:t>
      </w:r>
      <w:r>
        <w:t xml:space="preserve"> Part 7;</w:t>
      </w:r>
    </w:p>
    <w:p>
      <w:pPr>
        <w:pStyle w:val="Indenta"/>
      </w:pPr>
      <w:r>
        <w:tab/>
      </w:r>
      <w:r>
        <w:tab/>
        <w:t>and</w:t>
      </w:r>
    </w:p>
    <w:p>
      <w:pPr>
        <w:pStyle w:val="Indenta"/>
      </w:pPr>
      <w:r>
        <w:tab/>
        <w:t>(c)</w:t>
      </w:r>
      <w:r>
        <w:tab/>
        <w:t xml:space="preserve">consult the Swan River Trust if the development — </w:t>
      </w:r>
    </w:p>
    <w:p>
      <w:pPr>
        <w:pStyle w:val="Indenti"/>
      </w:pPr>
      <w:r>
        <w:tab/>
        <w:t>(i)</w:t>
      </w:r>
      <w:r>
        <w:tab/>
        <w:t xml:space="preserve">is of land that is wholly or partly in the development control area as defined in the </w:t>
      </w:r>
      <w:r>
        <w:rPr>
          <w:i/>
        </w:rPr>
        <w:t>Swan and Canning Rivers Management Act 2006</w:t>
      </w:r>
      <w:r>
        <w:t>; or</w:t>
      </w:r>
    </w:p>
    <w:p>
      <w:pPr>
        <w:pStyle w:val="Indenti"/>
      </w:pPr>
      <w:r>
        <w:tab/>
        <w:t>(ii)</w:t>
      </w:r>
      <w:r>
        <w:tab/>
        <w:t>is of land that abuts that development control area; or</w:t>
      </w:r>
    </w:p>
    <w:p>
      <w:pPr>
        <w:pStyle w:val="Indenti"/>
      </w:pPr>
      <w:r>
        <w:tab/>
        <w:t>(iii)</w:t>
      </w:r>
      <w:r>
        <w:tab/>
        <w:t>would, or would be likely to, affect any waters in that development control area;</w:t>
      </w:r>
    </w:p>
    <w:p>
      <w:pPr>
        <w:pStyle w:val="Indenta"/>
      </w:pPr>
      <w:r>
        <w:tab/>
      </w:r>
      <w:r>
        <w:tab/>
        <w:t>and</w:t>
      </w:r>
    </w:p>
    <w:p>
      <w:pPr>
        <w:pStyle w:val="Indenta"/>
      </w:pPr>
      <w:r>
        <w:tab/>
        <w:t>(d)</w:t>
      </w:r>
      <w:r>
        <w:tab/>
        <w:t>have due regard to any submission made, or advice given, to the Commission in the course of a consultation under paragraph (a), (b) or (c).</w:t>
      </w:r>
    </w:p>
    <w:p>
      <w:pPr>
        <w:pStyle w:val="Subsection"/>
      </w:pPr>
      <w:r>
        <w:tab/>
        <w:t>(4)</w:t>
      </w:r>
      <w:r>
        <w:tab/>
        <w:t xml:space="preserve">The Commission must — </w:t>
      </w:r>
    </w:p>
    <w:p>
      <w:pPr>
        <w:pStyle w:val="Indenta"/>
      </w:pPr>
      <w:r>
        <w:tab/>
        <w:t>(a)</w:t>
      </w:r>
      <w:r>
        <w:tab/>
        <w:t>give any local government to whose district the development application relates an opportunity to make submissions to the Commission within a period specified by the Commission; and</w:t>
      </w:r>
    </w:p>
    <w:p>
      <w:pPr>
        <w:pStyle w:val="Indenta"/>
      </w:pPr>
      <w:r>
        <w:tab/>
        <w:t>(b)</w:t>
      </w:r>
      <w:r>
        <w:tab/>
        <w:t>have due regard to any submissions made by the local government within that period.</w:t>
      </w:r>
    </w:p>
    <w:p>
      <w:pPr>
        <w:pStyle w:val="Subsection"/>
        <w:keepNext/>
      </w:pPr>
      <w:r>
        <w:tab/>
        <w:t>(5)</w:t>
      </w:r>
      <w:r>
        <w:tab/>
        <w:t xml:space="preserve">The Commission may require the applicant to do any of the following within a period specified by the Commission — </w:t>
      </w:r>
    </w:p>
    <w:p>
      <w:pPr>
        <w:pStyle w:val="Indenta"/>
      </w:pPr>
      <w:r>
        <w:tab/>
        <w:t>(a)</w:t>
      </w:r>
      <w:r>
        <w:tab/>
        <w:t>provide the Commission with any document or information;</w:t>
      </w:r>
    </w:p>
    <w:p>
      <w:pPr>
        <w:pStyle w:val="Indenta"/>
      </w:pPr>
      <w:r>
        <w:tab/>
        <w:t>(b)</w:t>
      </w:r>
      <w:r>
        <w:tab/>
        <w:t>do anything else that the Commission considers appropriate.</w:t>
      </w:r>
    </w:p>
    <w:p>
      <w:pPr>
        <w:pStyle w:val="Subsection"/>
        <w:keepNext/>
      </w:pPr>
      <w:r>
        <w:lastRenderedPageBreak/>
        <w:tab/>
        <w:t>(6)</w:t>
      </w:r>
      <w:r>
        <w:tab/>
        <w:t xml:space="preserve">The Commission must — </w:t>
      </w:r>
    </w:p>
    <w:p>
      <w:pPr>
        <w:pStyle w:val="Indenta"/>
      </w:pPr>
      <w:r>
        <w:tab/>
        <w:t>(a)</w:t>
      </w:r>
      <w:r>
        <w:tab/>
        <w:t>consult any person or body not referred to in subsections (2) to (5) whom the Commission considers it appropriate to consult; and</w:t>
      </w:r>
    </w:p>
    <w:p>
      <w:pPr>
        <w:pStyle w:val="Indenta"/>
      </w:pPr>
      <w:r>
        <w:tab/>
        <w:t>(b)</w:t>
      </w:r>
      <w:r>
        <w:tab/>
        <w:t>in the manner the Commission considers appropriate, advertise the development application, inviting submissions from members of the public generally or from a class or group of members of the public that the Commission considers appropriate; and</w:t>
      </w:r>
    </w:p>
    <w:p>
      <w:pPr>
        <w:pStyle w:val="Indenta"/>
      </w:pPr>
      <w:r>
        <w:tab/>
        <w:t>(c)</w:t>
      </w:r>
      <w:r>
        <w:tab/>
        <w:t>have due regard to any submissions made by members of the public in response to the invitation under paragraph (b).</w:t>
      </w:r>
    </w:p>
    <w:p>
      <w:pPr>
        <w:pStyle w:val="Subsection"/>
      </w:pPr>
      <w:r>
        <w:tab/>
        <w:t>(7)</w:t>
      </w:r>
      <w:r>
        <w:tab/>
        <w:t>The Commission may do anything else that is not covered by subsections (2) to (6) and that the Commission considers it appropriate to do in order to obtain a document, information, an opinion or any other contribution from any person or body.</w:t>
      </w:r>
    </w:p>
    <w:p>
      <w:pPr>
        <w:pStyle w:val="Subsection"/>
      </w:pPr>
      <w:r>
        <w:tab/>
        <w:t>(8)</w:t>
      </w:r>
      <w:r>
        <w:tab/>
        <w:t xml:space="preserve">If the Commission does anything under subsection (6)(a) or (b) or (7), the Commission must, as it considers appropriate, set a limit on the time within which, as the case requires — </w:t>
      </w:r>
    </w:p>
    <w:p>
      <w:pPr>
        <w:pStyle w:val="Indenta"/>
      </w:pPr>
      <w:r>
        <w:tab/>
        <w:t>(a)</w:t>
      </w:r>
      <w:r>
        <w:tab/>
        <w:t>a person or body who is being consulted by the Commission may respond to the Commission on any matter; or</w:t>
      </w:r>
    </w:p>
    <w:p>
      <w:pPr>
        <w:pStyle w:val="Indenta"/>
      </w:pPr>
      <w:r>
        <w:tab/>
        <w:t>(b)</w:t>
      </w:r>
      <w:r>
        <w:tab/>
        <w:t>members of the public may make submissions; or</w:t>
      </w:r>
    </w:p>
    <w:p>
      <w:pPr>
        <w:pStyle w:val="Indenta"/>
      </w:pPr>
      <w:r>
        <w:tab/>
        <w:t>(c)</w:t>
      </w:r>
      <w:r>
        <w:tab/>
        <w:t>a person or body may provide any document, information, opinion or other contribution.</w:t>
      </w:r>
    </w:p>
    <w:p>
      <w:pPr>
        <w:pStyle w:val="Footnotesection"/>
      </w:pPr>
      <w:r>
        <w:tab/>
        <w:t>[Section 276 inserted: No. 26 of 2020 s. 4.]</w:t>
      </w:r>
    </w:p>
    <w:p>
      <w:pPr>
        <w:pStyle w:val="Heading5"/>
      </w:pPr>
      <w:bookmarkStart w:id="366" w:name="_Toc199322614"/>
      <w:r>
        <w:rPr>
          <w:rStyle w:val="CharSectno"/>
        </w:rPr>
        <w:t>277</w:t>
      </w:r>
      <w:r>
        <w:t>.</w:t>
      </w:r>
      <w:r>
        <w:tab/>
        <w:t>Effect of Commission determination under s. 274</w:t>
      </w:r>
      <w:bookmarkEnd w:id="366"/>
    </w:p>
    <w:p>
      <w:pPr>
        <w:pStyle w:val="Subsection"/>
      </w:pPr>
      <w:r>
        <w:tab/>
        <w:t>(1)</w:t>
      </w:r>
      <w:r>
        <w:tab/>
        <w:t>This section applies if the Commission determines a development application under section 274.</w:t>
      </w:r>
    </w:p>
    <w:p>
      <w:pPr>
        <w:pStyle w:val="Subsection"/>
      </w:pPr>
      <w:r>
        <w:lastRenderedPageBreak/>
        <w:tab/>
        <w:t>(2)</w:t>
      </w:r>
      <w:r>
        <w:tab/>
        <w:t>The Commission’s determination has effect, and is valid, for all purposes as if it had been made by a normal decision</w:t>
      </w:r>
      <w:r>
        <w:noBreakHyphen/>
        <w:t>maker under an applicable legal instrument.</w:t>
      </w:r>
    </w:p>
    <w:p>
      <w:pPr>
        <w:pStyle w:val="PermNoteHeading"/>
      </w:pPr>
      <w:r>
        <w:tab/>
        <w:t>Example for this subsection:</w:t>
      </w:r>
    </w:p>
    <w:p>
      <w:pPr>
        <w:pStyle w:val="PermNoteText"/>
      </w:pPr>
      <w:r>
        <w:tab/>
        <w:t>1.</w:t>
      </w:r>
      <w:r>
        <w:tab/>
        <w:t>If the development application would, apart from this Part, have been determined by a local government for the purposes of a local planning scheme, the Commission’s determination has the same effect for the purposes of the local planning scheme as if the determination had been made by the local government.</w:t>
      </w:r>
    </w:p>
    <w:p>
      <w:pPr>
        <w:pStyle w:val="PermNoteText"/>
      </w:pPr>
      <w:r>
        <w:tab/>
        <w:t>2.</w:t>
      </w:r>
      <w:r>
        <w:tab/>
        <w:t xml:space="preserve">Accordingly, if the determination is to grant approval for development — </w:t>
      </w:r>
    </w:p>
    <w:p>
      <w:pPr>
        <w:pStyle w:val="PermNotePara"/>
      </w:pPr>
      <w:r>
        <w:tab/>
        <w:t>(a)</w:t>
      </w:r>
      <w:r>
        <w:tab/>
        <w:t>the development may be commenced and carried out as if the approval had been granted by the local government; and</w:t>
      </w:r>
    </w:p>
    <w:p>
      <w:pPr>
        <w:pStyle w:val="PermNotePara"/>
      </w:pPr>
      <w:r>
        <w:tab/>
        <w:t>(b)</w:t>
      </w:r>
      <w:r>
        <w:tab/>
        <w:t>any conditions imposed by the Commission on the approval must be complied with as if they were conditions imposed on the approval by the local government; and</w:t>
      </w:r>
    </w:p>
    <w:p>
      <w:pPr>
        <w:pStyle w:val="PermNotePara"/>
      </w:pPr>
      <w:r>
        <w:tab/>
        <w:t>(c)</w:t>
      </w:r>
      <w:r>
        <w:tab/>
        <w:t>section 218(c) applies in relation to a failure to comply with any of those conditions.</w:t>
      </w:r>
    </w:p>
    <w:p>
      <w:pPr>
        <w:pStyle w:val="Subsection"/>
      </w:pPr>
      <w:r>
        <w:tab/>
        <w:t>(3)</w:t>
      </w:r>
      <w:r>
        <w:tab/>
        <w:t>Subsection (2) applies even if the Commission’s determination could not have been made by a normal decision</w:t>
      </w:r>
      <w:r>
        <w:noBreakHyphen/>
        <w:t>maker under an applicable legal instrument.</w:t>
      </w:r>
    </w:p>
    <w:p>
      <w:pPr>
        <w:pStyle w:val="Subsection"/>
      </w:pPr>
      <w:r>
        <w:tab/>
        <w:t>(4)</w:t>
      </w:r>
      <w:r>
        <w:tab/>
        <w:t>Without limiting subsections (2) and (3), a decision, or other act or omission, of a person or body is not unlawful or invalid just because the Commission’s determination could not have been made by a normal decision</w:t>
      </w:r>
      <w:r>
        <w:noBreakHyphen/>
        <w:t>maker under an applicable legal instrument.</w:t>
      </w:r>
    </w:p>
    <w:p>
      <w:pPr>
        <w:pStyle w:val="Subsection"/>
      </w:pPr>
      <w:r>
        <w:tab/>
        <w:t>(5)</w:t>
      </w:r>
      <w:r>
        <w:tab/>
        <w:t>Subsections (2) to (4) are subject to sections 278 and 279 and Divisions 3 and 4.</w:t>
      </w:r>
    </w:p>
    <w:p>
      <w:pPr>
        <w:pStyle w:val="Subsection"/>
        <w:keepNext/>
      </w:pPr>
      <w:r>
        <w:tab/>
        <w:t>(6)</w:t>
      </w:r>
      <w:r>
        <w:tab/>
        <w:t xml:space="preserve">Subject to Division 3, if the Commission’s determination is to grant approval for development, the determination does not affect the operation of any legal instrument that requires the obtaining, in relation to the development, of any other type of </w:t>
      </w:r>
      <w:r>
        <w:lastRenderedPageBreak/>
        <w:t>approval, consent, licence, permit, registration or other authority (however described).</w:t>
      </w:r>
    </w:p>
    <w:p>
      <w:pPr>
        <w:pStyle w:val="PermNoteHeading"/>
      </w:pPr>
      <w:r>
        <w:tab/>
        <w:t>Examples for this subsection:</w:t>
      </w:r>
    </w:p>
    <w:p>
      <w:pPr>
        <w:pStyle w:val="PermNoteText"/>
      </w:pPr>
      <w:r>
        <w:tab/>
        <w:t>1.</w:t>
      </w:r>
      <w:r>
        <w:tab/>
        <w:t xml:space="preserve">An ACH permit or an approved or authorised ACH management plan under the </w:t>
      </w:r>
      <w:r>
        <w:rPr>
          <w:i/>
        </w:rPr>
        <w:t>Aboriginal Cultural Heritage Act 2021</w:t>
      </w:r>
      <w:r>
        <w:t xml:space="preserve"> Part 6.</w:t>
      </w:r>
    </w:p>
    <w:p>
      <w:pPr>
        <w:pStyle w:val="PermNoteText"/>
      </w:pPr>
      <w:r>
        <w:tab/>
        <w:t>2.</w:t>
      </w:r>
      <w:r>
        <w:tab/>
        <w:t xml:space="preserve">A building permit or demolition permit under the </w:t>
      </w:r>
      <w:r>
        <w:rPr>
          <w:i/>
        </w:rPr>
        <w:t>Building Act 2011</w:t>
      </w:r>
      <w:r>
        <w:t>.</w:t>
      </w:r>
    </w:p>
    <w:p>
      <w:pPr>
        <w:pStyle w:val="PermNoteText"/>
      </w:pPr>
      <w:r>
        <w:tab/>
        <w:t>3.</w:t>
      </w:r>
      <w:r>
        <w:tab/>
        <w:t xml:space="preserve">A licence under the </w:t>
      </w:r>
      <w:r>
        <w:rPr>
          <w:i/>
        </w:rPr>
        <w:t>Liquor Control Act 1988</w:t>
      </w:r>
      <w:r>
        <w:t>.</w:t>
      </w:r>
    </w:p>
    <w:p>
      <w:pPr>
        <w:pStyle w:val="Subsection"/>
        <w:keepNext/>
      </w:pPr>
      <w:r>
        <w:tab/>
        <w:t>(7)</w:t>
      </w:r>
      <w:r>
        <w:tab/>
        <w:t>If the Commission’s determination is to grant approval for development, references in subsections (2) to (6) to the Commission’s determination are to the determination as amended from time to time under section 279 or by an order under section 284.</w:t>
      </w:r>
    </w:p>
    <w:p>
      <w:pPr>
        <w:pStyle w:val="Footnotesection"/>
      </w:pPr>
      <w:r>
        <w:tab/>
        <w:t>[Section 277 inserted: No. 26 of 2020 s. 4; amended: No. 27 of 2021 s. 350(2).]</w:t>
      </w:r>
    </w:p>
    <w:p>
      <w:pPr>
        <w:pStyle w:val="Heading5"/>
      </w:pPr>
      <w:bookmarkStart w:id="367" w:name="_Toc199322615"/>
      <w:r>
        <w:rPr>
          <w:rStyle w:val="CharSectno"/>
        </w:rPr>
        <w:t>278</w:t>
      </w:r>
      <w:r>
        <w:t>.</w:t>
      </w:r>
      <w:r>
        <w:tab/>
        <w:t>Substantial commencement of development approved by Commission under s. 274</w:t>
      </w:r>
      <w:bookmarkEnd w:id="367"/>
    </w:p>
    <w:p>
      <w:pPr>
        <w:pStyle w:val="Subsection"/>
      </w:pPr>
      <w:r>
        <w:tab/>
        <w:t>(1)</w:t>
      </w:r>
      <w:r>
        <w:tab/>
        <w:t>This section applies if the Commission grants approval for development under section 274.</w:t>
      </w:r>
    </w:p>
    <w:p>
      <w:pPr>
        <w:pStyle w:val="Subsection"/>
      </w:pPr>
      <w:r>
        <w:tab/>
        <w:t>(2)</w:t>
      </w:r>
      <w:r>
        <w:tab/>
        <w:t xml:space="preserve">The development must be substantially commenced — </w:t>
      </w:r>
    </w:p>
    <w:p>
      <w:pPr>
        <w:pStyle w:val="Indenta"/>
      </w:pPr>
      <w:r>
        <w:tab/>
        <w:t>(a)</w:t>
      </w:r>
      <w:r>
        <w:tab/>
        <w:t>within the period specified in the approval for the purposes of this subsection; or</w:t>
      </w:r>
    </w:p>
    <w:p>
      <w:pPr>
        <w:pStyle w:val="Indenta"/>
      </w:pPr>
      <w:r>
        <w:tab/>
        <w:t>(b)</w:t>
      </w:r>
      <w:r>
        <w:tab/>
        <w:t>if no period is specified in the approval — within the period of 24 months beginning on the day on which the approval is granted.</w:t>
      </w:r>
    </w:p>
    <w:p>
      <w:pPr>
        <w:pStyle w:val="Subsection"/>
      </w:pPr>
      <w:r>
        <w:tab/>
        <w:t>(3)</w:t>
      </w:r>
      <w:r>
        <w:tab/>
        <w:t>The approval lapses if the development is not substantially commenced within the period referred to in subsection (2).</w:t>
      </w:r>
    </w:p>
    <w:p>
      <w:pPr>
        <w:pStyle w:val="PermNoteHeading"/>
      </w:pPr>
      <w:r>
        <w:tab/>
        <w:t>Note for this subsection:</w:t>
      </w:r>
    </w:p>
    <w:p>
      <w:pPr>
        <w:pStyle w:val="PermNoteText"/>
      </w:pPr>
      <w:r>
        <w:tab/>
      </w:r>
      <w:r>
        <w:tab/>
        <w:t>The period referred to in subsection (2) can be extended by an amendment to the approval made under section 279 or made by an order under section 284 — see, in particular, subsections (4) and (5) and sections 279(2)(aa) and (6A) and 284(2)(aa).</w:t>
      </w:r>
    </w:p>
    <w:p>
      <w:pPr>
        <w:pStyle w:val="Subsection"/>
      </w:pPr>
      <w:r>
        <w:lastRenderedPageBreak/>
        <w:tab/>
        <w:t>(4)</w:t>
      </w:r>
      <w:r>
        <w:tab/>
        <w:t>The application referred to in section 279(6A) can be made or determined even if the approval has lapsed under subsection (3) and, if the application is granted after the approval has lapsed, the approval comes back into effect accordingly when the application is granted.</w:t>
      </w:r>
    </w:p>
    <w:p>
      <w:pPr>
        <w:pStyle w:val="Subsection"/>
        <w:keepNext/>
      </w:pPr>
      <w:r>
        <w:tab/>
        <w:t>(5)</w:t>
      </w:r>
      <w:r>
        <w:tab/>
        <w:t>An order under section 284 may make an amendment of the kind referred to in section 284(2)(aa) even if the approval has lapsed under subsection (3), in which event the approval comes back into effect accordingly when the amendment is made.</w:t>
      </w:r>
    </w:p>
    <w:p>
      <w:pPr>
        <w:pStyle w:val="Footnotesection"/>
      </w:pPr>
      <w:r>
        <w:tab/>
        <w:t>[Section 278 inserted: No. 26 of 2020 s. 4; amended: No. 17 of 2022 s. 9.]</w:t>
      </w:r>
    </w:p>
    <w:p>
      <w:pPr>
        <w:pStyle w:val="Heading5"/>
      </w:pPr>
      <w:bookmarkStart w:id="368" w:name="_Toc199322616"/>
      <w:r>
        <w:rPr>
          <w:rStyle w:val="CharSectno"/>
        </w:rPr>
        <w:t>279</w:t>
      </w:r>
      <w:r>
        <w:t>.</w:t>
      </w:r>
      <w:r>
        <w:tab/>
        <w:t>Amendment or cancellation of approval granted by Commission under s. 274</w:t>
      </w:r>
      <w:bookmarkEnd w:id="368"/>
    </w:p>
    <w:p>
      <w:pPr>
        <w:pStyle w:val="Subsection"/>
      </w:pPr>
      <w:r>
        <w:tab/>
        <w:t>(1)</w:t>
      </w:r>
      <w:r>
        <w:tab/>
        <w:t>This section applies if the Commission grants approval for development under section 274 in respect of any land.</w:t>
      </w:r>
    </w:p>
    <w:p>
      <w:pPr>
        <w:pStyle w:val="Subsection"/>
      </w:pPr>
      <w:r>
        <w:tab/>
        <w:t>(2)</w:t>
      </w:r>
      <w:r>
        <w:tab/>
        <w:t xml:space="preserve">An owner of the land, or a person who is of a class or kind prescribed by Part 17 regulations for the purposes of this subsection, may apply to the Commission for the Commission — </w:t>
      </w:r>
    </w:p>
    <w:p>
      <w:pPr>
        <w:pStyle w:val="Indenta"/>
      </w:pPr>
      <w:r>
        <w:tab/>
        <w:t>(aa)</w:t>
      </w:r>
      <w:r>
        <w:tab/>
        <w:t xml:space="preserve">for the purposes of section 278(2), to amend the approval — </w:t>
      </w:r>
    </w:p>
    <w:p>
      <w:pPr>
        <w:pStyle w:val="Indenti"/>
      </w:pPr>
      <w:r>
        <w:tab/>
        <w:t>(i)</w:t>
      </w:r>
      <w:r>
        <w:tab/>
        <w:t>to extend the period specified in the approval; or</w:t>
      </w:r>
    </w:p>
    <w:p>
      <w:pPr>
        <w:pStyle w:val="Indenti"/>
      </w:pPr>
      <w:r>
        <w:tab/>
        <w:t>(ii)</w:t>
      </w:r>
      <w:r>
        <w:tab/>
        <w:t>if no period is specified in the approval — to specify a period that is longer than the period of 24 months referred to in section 278(2)(b);</w:t>
      </w:r>
    </w:p>
    <w:p>
      <w:pPr>
        <w:pStyle w:val="Indenta"/>
      </w:pPr>
      <w:r>
        <w:tab/>
      </w:r>
      <w:r>
        <w:tab/>
        <w:t>or</w:t>
      </w:r>
    </w:p>
    <w:p>
      <w:pPr>
        <w:pStyle w:val="Indenta"/>
      </w:pPr>
      <w:r>
        <w:tab/>
        <w:t>(a)</w:t>
      </w:r>
      <w:r>
        <w:tab/>
        <w:t>to amend or remove any of the conditions imposed on the approval; or</w:t>
      </w:r>
    </w:p>
    <w:p>
      <w:pPr>
        <w:pStyle w:val="Indenta"/>
      </w:pPr>
      <w:r>
        <w:tab/>
        <w:t>(b)</w:t>
      </w:r>
      <w:r>
        <w:tab/>
        <w:t>to amend any part or aspect of the approved development; or</w:t>
      </w:r>
    </w:p>
    <w:p>
      <w:pPr>
        <w:pStyle w:val="Indenta"/>
      </w:pPr>
      <w:r>
        <w:tab/>
        <w:t>(c)</w:t>
      </w:r>
      <w:r>
        <w:tab/>
        <w:t>to amend the approval in any other way; or</w:t>
      </w:r>
    </w:p>
    <w:p>
      <w:pPr>
        <w:pStyle w:val="Indenta"/>
      </w:pPr>
      <w:r>
        <w:lastRenderedPageBreak/>
        <w:tab/>
        <w:t>(d)</w:t>
      </w:r>
      <w:r>
        <w:tab/>
        <w:t>to cancel the approval.</w:t>
      </w:r>
    </w:p>
    <w:p>
      <w:pPr>
        <w:pStyle w:val="Subsection"/>
      </w:pPr>
      <w:r>
        <w:tab/>
        <w:t>(3)</w:t>
      </w:r>
      <w:r>
        <w:tab/>
        <w:t xml:space="preserve">An amendment of the kind referred to in subsection (2)(b) — </w:t>
      </w:r>
    </w:p>
    <w:p>
      <w:pPr>
        <w:pStyle w:val="Indenta"/>
      </w:pPr>
      <w:r>
        <w:tab/>
        <w:t>(a)</w:t>
      </w:r>
      <w:r>
        <w:tab/>
        <w:t>cannot substantially change the approved development; and</w:t>
      </w:r>
    </w:p>
    <w:p>
      <w:pPr>
        <w:pStyle w:val="Indenta"/>
      </w:pPr>
      <w:r>
        <w:tab/>
        <w:t>(b)</w:t>
      </w:r>
      <w:r>
        <w:tab/>
        <w:t>in the case of approval granted on a development application made under section 271 — cannot result in the approved development no longer being significant development.</w:t>
      </w:r>
    </w:p>
    <w:p>
      <w:pPr>
        <w:pStyle w:val="Ednotesubsection"/>
        <w:keepNext/>
      </w:pPr>
      <w:r>
        <w:tab/>
        <w:t>[(4)</w:t>
      </w:r>
      <w:r>
        <w:tab/>
        <w:t>deleted]</w:t>
      </w:r>
    </w:p>
    <w:p>
      <w:pPr>
        <w:pStyle w:val="Subsection"/>
        <w:keepNext/>
      </w:pPr>
      <w:r>
        <w:tab/>
        <w:t>(5)</w:t>
      </w:r>
      <w:r>
        <w:tab/>
        <w:t xml:space="preserve">The Commission must consider an application made under subsection (2) and determine it by — </w:t>
      </w:r>
    </w:p>
    <w:p>
      <w:pPr>
        <w:pStyle w:val="Indenta"/>
      </w:pPr>
      <w:r>
        <w:tab/>
        <w:t>(a)</w:t>
      </w:r>
      <w:r>
        <w:tab/>
        <w:t>granting it (with or without conditions); or</w:t>
      </w:r>
    </w:p>
    <w:p>
      <w:pPr>
        <w:pStyle w:val="Indenta"/>
      </w:pPr>
      <w:r>
        <w:tab/>
        <w:t>(b)</w:t>
      </w:r>
      <w:r>
        <w:tab/>
        <w:t>refusing it.</w:t>
      </w:r>
    </w:p>
    <w:p>
      <w:pPr>
        <w:pStyle w:val="Subsection"/>
      </w:pPr>
      <w:r>
        <w:tab/>
        <w:t>(6)</w:t>
      </w:r>
      <w:r>
        <w:tab/>
        <w:t>Sections 273(1), 274(3) and (5) to (7), 275 and 276 apply with any necessary modifications to an application made under subsection (2) as they apply to a development application made under section 271.</w:t>
      </w:r>
    </w:p>
    <w:p>
      <w:pPr>
        <w:pStyle w:val="Subsection"/>
      </w:pPr>
      <w:r>
        <w:tab/>
        <w:t>(6A)</w:t>
      </w:r>
      <w:r>
        <w:tab/>
        <w:t>No more than 1 application can be made under subsection (2) for an amendment of the kind referred to in subsection (2)(aa) and, accordingly, the Commission can make an amendment of that kind only once under this section.</w:t>
      </w:r>
    </w:p>
    <w:p>
      <w:pPr>
        <w:pStyle w:val="Subsection"/>
      </w:pPr>
      <w:r>
        <w:tab/>
        <w:t>(7)</w:t>
      </w:r>
      <w:r>
        <w:tab/>
        <w:t xml:space="preserve">Subject to Division 4, no person or body, apart from the Commission acting under this section, can do any of the following in relation to the approval referred to in subsection (1) — </w:t>
      </w:r>
    </w:p>
    <w:p>
      <w:pPr>
        <w:pStyle w:val="Indenta"/>
      </w:pPr>
      <w:r>
        <w:tab/>
        <w:t>(aa)</w:t>
      </w:r>
      <w:r>
        <w:tab/>
        <w:t>make an amendment of the kind referred to in subsection (2)(aa);</w:t>
      </w:r>
    </w:p>
    <w:p>
      <w:pPr>
        <w:pStyle w:val="Indenta"/>
      </w:pPr>
      <w:r>
        <w:tab/>
        <w:t>(a)</w:t>
      </w:r>
      <w:r>
        <w:tab/>
        <w:t>amend or remove any of the conditions imposed on the approval;</w:t>
      </w:r>
    </w:p>
    <w:p>
      <w:pPr>
        <w:pStyle w:val="Indenta"/>
      </w:pPr>
      <w:r>
        <w:tab/>
        <w:t>(b)</w:t>
      </w:r>
      <w:r>
        <w:tab/>
        <w:t>impose new conditions on the approval;</w:t>
      </w:r>
    </w:p>
    <w:p>
      <w:pPr>
        <w:pStyle w:val="Indenta"/>
      </w:pPr>
      <w:r>
        <w:tab/>
        <w:t>(c)</w:t>
      </w:r>
      <w:r>
        <w:tab/>
        <w:t>amend any part or aspect of the approved development;</w:t>
      </w:r>
    </w:p>
    <w:p>
      <w:pPr>
        <w:pStyle w:val="Indenta"/>
      </w:pPr>
      <w:r>
        <w:lastRenderedPageBreak/>
        <w:tab/>
        <w:t>(d)</w:t>
      </w:r>
      <w:r>
        <w:tab/>
        <w:t>amend the approval in any other way;</w:t>
      </w:r>
    </w:p>
    <w:p>
      <w:pPr>
        <w:pStyle w:val="Indenta"/>
      </w:pPr>
      <w:r>
        <w:tab/>
        <w:t>(e)</w:t>
      </w:r>
      <w:r>
        <w:tab/>
        <w:t>cancel the approval.</w:t>
      </w:r>
    </w:p>
    <w:p>
      <w:pPr>
        <w:pStyle w:val="Subsection"/>
        <w:keepNext/>
      </w:pPr>
      <w:r>
        <w:tab/>
        <w:t>(8)</w:t>
      </w:r>
      <w:r>
        <w:tab/>
        <w:t>In subsections (2) and (7), references to the conditions imposed on the approval, the approved development or the approval are to the conditions, development or approval as amended from time to time under this section or by an order under section 284.</w:t>
      </w:r>
    </w:p>
    <w:p>
      <w:pPr>
        <w:pStyle w:val="Footnotesection"/>
      </w:pPr>
      <w:r>
        <w:tab/>
        <w:t>[Section 279 inserted: No. 26 of 2020 s. 4; amended: No. 17 of 2022 s. 10.]</w:t>
      </w:r>
    </w:p>
    <w:p>
      <w:pPr>
        <w:pStyle w:val="Heading3"/>
      </w:pPr>
      <w:bookmarkStart w:id="369" w:name="_Toc199322617"/>
      <w:r>
        <w:rPr>
          <w:rStyle w:val="CharDivNo"/>
        </w:rPr>
        <w:t>Division 3</w:t>
      </w:r>
      <w:r>
        <w:t> — </w:t>
      </w:r>
      <w:r>
        <w:rPr>
          <w:rStyle w:val="CharDivText"/>
        </w:rPr>
        <w:t>Avoiding conflicts with approvals granted by Commission under section 274</w:t>
      </w:r>
      <w:bookmarkEnd w:id="369"/>
    </w:p>
    <w:p>
      <w:pPr>
        <w:pStyle w:val="Footnoteheading"/>
        <w:keepNext/>
      </w:pPr>
      <w:r>
        <w:tab/>
        <w:t>[Heading inserted: No. 26 of 2020 s. 4.]</w:t>
      </w:r>
    </w:p>
    <w:p>
      <w:pPr>
        <w:pStyle w:val="Heading5"/>
      </w:pPr>
      <w:bookmarkStart w:id="370" w:name="_Toc199322618"/>
      <w:r>
        <w:rPr>
          <w:rStyle w:val="CharSectno"/>
        </w:rPr>
        <w:t>280</w:t>
      </w:r>
      <w:r>
        <w:t>.</w:t>
      </w:r>
      <w:r>
        <w:tab/>
        <w:t>General provisions for Division</w:t>
      </w:r>
      <w:bookmarkEnd w:id="370"/>
    </w:p>
    <w:p>
      <w:pPr>
        <w:pStyle w:val="Subsection"/>
      </w:pPr>
      <w:r>
        <w:tab/>
        <w:t>(1)</w:t>
      </w:r>
      <w:r>
        <w:tab/>
        <w:t xml:space="preserve">For the purposes of this Division, the performance of a function </w:t>
      </w:r>
      <w:r>
        <w:rPr>
          <w:rStyle w:val="CharDefText"/>
        </w:rPr>
        <w:t>conflicts</w:t>
      </w:r>
      <w:r>
        <w:t xml:space="preserve"> with an approval for development granted by the Commission under section 274 if the performance of the function, or the way in which the function is performed — </w:t>
      </w:r>
    </w:p>
    <w:p>
      <w:pPr>
        <w:pStyle w:val="Indenta"/>
      </w:pPr>
      <w:r>
        <w:tab/>
        <w:t>(a)</w:t>
      </w:r>
      <w:r>
        <w:tab/>
        <w:t>prevents the approved development from proceeding in accordance with the approval; or</w:t>
      </w:r>
    </w:p>
    <w:p>
      <w:pPr>
        <w:pStyle w:val="Indenta"/>
      </w:pPr>
      <w:r>
        <w:tab/>
        <w:t>(b)</w:t>
      </w:r>
      <w:r>
        <w:tab/>
        <w:t>prevents any of the conditions imposed on the approval from being complied with; or</w:t>
      </w:r>
    </w:p>
    <w:p>
      <w:pPr>
        <w:pStyle w:val="Indenta"/>
      </w:pPr>
      <w:r>
        <w:tab/>
        <w:t>(c)</w:t>
      </w:r>
      <w:r>
        <w:tab/>
        <w:t>otherwise substantially undermines, or substantially conflicts with, the approval.</w:t>
      </w:r>
    </w:p>
    <w:p>
      <w:pPr>
        <w:pStyle w:val="PermNoteHeading"/>
      </w:pPr>
      <w:r>
        <w:tab/>
        <w:t>Examples for this subsection:</w:t>
      </w:r>
    </w:p>
    <w:p>
      <w:pPr>
        <w:pStyle w:val="PermNoteText"/>
      </w:pPr>
      <w:r>
        <w:tab/>
        <w:t>1.</w:t>
      </w:r>
      <w:r>
        <w:tab/>
        <w:t>An authority refuses to grant a permit under another Act that is necessary for the approved development to proceed in accordance with the Commission’s approval.</w:t>
      </w:r>
    </w:p>
    <w:p>
      <w:pPr>
        <w:pStyle w:val="PermNoteText"/>
      </w:pPr>
      <w:r>
        <w:tab/>
        <w:t>2.</w:t>
      </w:r>
      <w:r>
        <w:tab/>
        <w:t>An authority grants a permit under another Act that is necessary for the approved development to proceed in accordance with the Commission’s approval but the permit is granted subject to conditions that prevent the approved development from proceeding in accordance with the Commission’s approval.</w:t>
      </w:r>
    </w:p>
    <w:p>
      <w:pPr>
        <w:pStyle w:val="Subsection"/>
      </w:pPr>
      <w:r>
        <w:lastRenderedPageBreak/>
        <w:tab/>
        <w:t>(1A)</w:t>
      </w:r>
      <w:r>
        <w:tab/>
        <w:t>In subsection (1)(a) to (c), references to the approved development, the conditions imposed on the approval or the approval are to the development, conditions or approval as amended from time to time under section 279 or by an order under section 284.</w:t>
      </w:r>
    </w:p>
    <w:p>
      <w:pPr>
        <w:pStyle w:val="Subsection"/>
        <w:keepNext/>
      </w:pPr>
      <w:r>
        <w:tab/>
        <w:t>(2)</w:t>
      </w:r>
      <w:r>
        <w:tab/>
        <w:t xml:space="preserve">In this Division, references to performing a function include references to the following — </w:t>
      </w:r>
    </w:p>
    <w:p>
      <w:pPr>
        <w:pStyle w:val="Indenta"/>
      </w:pPr>
      <w:r>
        <w:tab/>
        <w:t>(a)</w:t>
      </w:r>
      <w:r>
        <w:tab/>
        <w:t>refusing or failing to perform a function or otherwise not performing a function;</w:t>
      </w:r>
    </w:p>
    <w:p>
      <w:pPr>
        <w:pStyle w:val="Indenta"/>
      </w:pPr>
      <w:r>
        <w:tab/>
        <w:t>(b)</w:t>
      </w:r>
      <w:r>
        <w:tab/>
        <w:t>being taken to perform a function;</w:t>
      </w:r>
    </w:p>
    <w:p>
      <w:pPr>
        <w:pStyle w:val="Indenta"/>
      </w:pPr>
      <w:r>
        <w:tab/>
        <w:t>(c)</w:t>
      </w:r>
      <w:r>
        <w:tab/>
        <w:t>being taken to refuse or fail to perform a function or otherwise not to perform a function.</w:t>
      </w:r>
    </w:p>
    <w:p>
      <w:pPr>
        <w:pStyle w:val="Subsection"/>
      </w:pPr>
      <w:r>
        <w:tab/>
        <w:t>(3)</w:t>
      </w:r>
      <w:r>
        <w:tab/>
        <w:t>A notification or application to the Minister under section 281 or 282 must be made in the manner and form required by the Minister and, without limitation, include any documents or information required by the Minister.</w:t>
      </w:r>
    </w:p>
    <w:p>
      <w:pPr>
        <w:pStyle w:val="Subsection"/>
      </w:pPr>
      <w:r>
        <w:tab/>
        <w:t>(4)</w:t>
      </w:r>
      <w:r>
        <w:tab/>
        <w:t>The Minister can give a direction under section 281 or 282 only with the agreement of the Premier.</w:t>
      </w:r>
    </w:p>
    <w:p>
      <w:pPr>
        <w:pStyle w:val="Subsection"/>
      </w:pPr>
      <w:r>
        <w:tab/>
        <w:t>(5)</w:t>
      </w:r>
      <w:r>
        <w:tab/>
        <w:t xml:space="preserve">The performance of a function by a person or body (the </w:t>
      </w:r>
      <w:r>
        <w:rPr>
          <w:rStyle w:val="CharDefText"/>
        </w:rPr>
        <w:t>decision</w:t>
      </w:r>
      <w:r>
        <w:rPr>
          <w:rStyle w:val="CharDefText"/>
        </w:rPr>
        <w:noBreakHyphen/>
        <w:t>maker</w:t>
      </w:r>
      <w:r>
        <w:t>) in compliance with a direction given to the decision</w:t>
      </w:r>
      <w:r>
        <w:noBreakHyphen/>
        <w:t>maker under section 281 or 282 has effect, and is valid, for all purposes.</w:t>
      </w:r>
    </w:p>
    <w:p>
      <w:pPr>
        <w:pStyle w:val="Subsection"/>
      </w:pPr>
      <w:r>
        <w:tab/>
        <w:t>(6)</w:t>
      </w:r>
      <w:r>
        <w:tab/>
        <w:t>Subsection (5) applies even if, apart from this Division, the decision</w:t>
      </w:r>
      <w:r>
        <w:noBreakHyphen/>
        <w:t>maker could not have performed the function as required by the direction.</w:t>
      </w:r>
    </w:p>
    <w:p>
      <w:pPr>
        <w:pStyle w:val="Subsection"/>
      </w:pPr>
      <w:r>
        <w:tab/>
        <w:t>(7)</w:t>
      </w:r>
      <w:r>
        <w:tab/>
        <w:t>Without limiting subsections (5) and (6), a decision, or other act or omission, of a person or body is not unlawful or invalid just because the decision</w:t>
      </w:r>
      <w:r>
        <w:noBreakHyphen/>
        <w:t>maker could not, apart from this Division, have performed the function as required by the direction.</w:t>
      </w:r>
    </w:p>
    <w:p>
      <w:pPr>
        <w:pStyle w:val="Subsection"/>
        <w:keepNext/>
      </w:pPr>
      <w:r>
        <w:lastRenderedPageBreak/>
        <w:tab/>
        <w:t>(8)</w:t>
      </w:r>
      <w:r>
        <w:tab/>
        <w:t>This Division does not apply to the performance, or proposed performance, of a function under section 279 or Division 4.</w:t>
      </w:r>
    </w:p>
    <w:p>
      <w:pPr>
        <w:pStyle w:val="Footnotesection"/>
      </w:pPr>
      <w:r>
        <w:tab/>
        <w:t>[Section 280 inserted: No. 26 of 2020 s. 4; amended: No. 17 of 2022 s. 11.]</w:t>
      </w:r>
    </w:p>
    <w:p>
      <w:pPr>
        <w:pStyle w:val="Heading5"/>
      </w:pPr>
      <w:bookmarkStart w:id="371" w:name="_Toc199322619"/>
      <w:r>
        <w:rPr>
          <w:rStyle w:val="CharSectno"/>
        </w:rPr>
        <w:t>281</w:t>
      </w:r>
      <w:r>
        <w:t>.</w:t>
      </w:r>
      <w:r>
        <w:tab/>
        <w:t>Decision</w:t>
      </w:r>
      <w:r>
        <w:noBreakHyphen/>
        <w:t>maker proposing to perform function in conflict with approval</w:t>
      </w:r>
      <w:bookmarkEnd w:id="371"/>
    </w:p>
    <w:p>
      <w:pPr>
        <w:pStyle w:val="Subsection"/>
        <w:keepNext/>
      </w:pPr>
      <w:r>
        <w:tab/>
        <w:t>(1)</w:t>
      </w:r>
      <w:r>
        <w:tab/>
        <w:t xml:space="preserve">This section applies if — </w:t>
      </w:r>
    </w:p>
    <w:p>
      <w:pPr>
        <w:pStyle w:val="Indenta"/>
      </w:pPr>
      <w:r>
        <w:tab/>
        <w:t>(a)</w:t>
      </w:r>
      <w:r>
        <w:tab/>
        <w:t>the Commission grants approval for development under section 274; and</w:t>
      </w:r>
    </w:p>
    <w:p>
      <w:pPr>
        <w:pStyle w:val="Indenta"/>
      </w:pPr>
      <w:r>
        <w:tab/>
        <w:t>(b)</w:t>
      </w:r>
      <w:r>
        <w:tab/>
        <w:t xml:space="preserve">a person or body (the </w:t>
      </w:r>
      <w:r>
        <w:rPr>
          <w:rStyle w:val="CharDefText"/>
        </w:rPr>
        <w:t>decision</w:t>
      </w:r>
      <w:r>
        <w:rPr>
          <w:rStyle w:val="CharDefText"/>
        </w:rPr>
        <w:noBreakHyphen/>
        <w:t>maker</w:t>
      </w:r>
      <w:r>
        <w:t>) proposes to perform a function under a legal instrument; and</w:t>
      </w:r>
    </w:p>
    <w:p>
      <w:pPr>
        <w:pStyle w:val="Indenta"/>
      </w:pPr>
      <w:r>
        <w:tab/>
        <w:t>(c)</w:t>
      </w:r>
      <w:r>
        <w:tab/>
        <w:t>the performance of the function as proposed would conflict with the approval.</w:t>
      </w:r>
    </w:p>
    <w:p>
      <w:pPr>
        <w:pStyle w:val="Subsection"/>
      </w:pPr>
      <w:r>
        <w:tab/>
        <w:t>(2)</w:t>
      </w:r>
      <w:r>
        <w:tab/>
        <w:t>The decision</w:t>
      </w:r>
      <w:r>
        <w:noBreakHyphen/>
        <w:t xml:space="preserve">maker must not perform the function as proposed unless — </w:t>
      </w:r>
    </w:p>
    <w:p>
      <w:pPr>
        <w:pStyle w:val="Indenta"/>
      </w:pPr>
      <w:r>
        <w:tab/>
        <w:t>(a)</w:t>
      </w:r>
      <w:r>
        <w:tab/>
        <w:t>the decision</w:t>
      </w:r>
      <w:r>
        <w:noBreakHyphen/>
        <w:t>maker has notified the Minister of the proposed performance of the function and the conflict; and</w:t>
      </w:r>
    </w:p>
    <w:p>
      <w:pPr>
        <w:pStyle w:val="Indenta"/>
      </w:pPr>
      <w:r>
        <w:tab/>
        <w:t>(b)</w:t>
      </w:r>
      <w:r>
        <w:tab/>
        <w:t xml:space="preserve">either — </w:t>
      </w:r>
    </w:p>
    <w:p>
      <w:pPr>
        <w:pStyle w:val="Indenti"/>
      </w:pPr>
      <w:r>
        <w:tab/>
        <w:t>(i)</w:t>
      </w:r>
      <w:r>
        <w:tab/>
        <w:t>the decision</w:t>
      </w:r>
      <w:r>
        <w:noBreakHyphen/>
        <w:t>maker performs the function in compliance with a direction given to the decision</w:t>
      </w:r>
      <w:r>
        <w:noBreakHyphen/>
        <w:t>maker under this section; or</w:t>
      </w:r>
    </w:p>
    <w:p>
      <w:pPr>
        <w:pStyle w:val="Indenti"/>
      </w:pPr>
      <w:r>
        <w:tab/>
        <w:t>(ii)</w:t>
      </w:r>
      <w:r>
        <w:tab/>
        <w:t>the Minister has notified the decision</w:t>
      </w:r>
      <w:r>
        <w:noBreakHyphen/>
        <w:t>maker under subsection (8).</w:t>
      </w:r>
    </w:p>
    <w:p>
      <w:pPr>
        <w:pStyle w:val="Subsection"/>
      </w:pPr>
      <w:r>
        <w:tab/>
        <w:t>(3)</w:t>
      </w:r>
      <w:r>
        <w:tab/>
        <w:t xml:space="preserve">If the Minister is notified under subsection (2)(a), the Minister may give a direction under this section if the Minister considers — </w:t>
      </w:r>
    </w:p>
    <w:p>
      <w:pPr>
        <w:pStyle w:val="Indenta"/>
      </w:pPr>
      <w:r>
        <w:tab/>
        <w:t>(a)</w:t>
      </w:r>
      <w:r>
        <w:tab/>
        <w:t xml:space="preserve">that — </w:t>
      </w:r>
    </w:p>
    <w:p>
      <w:pPr>
        <w:pStyle w:val="Indenti"/>
      </w:pPr>
      <w:r>
        <w:tab/>
        <w:t>(i)</w:t>
      </w:r>
      <w:r>
        <w:tab/>
        <w:t>the approved development is significant development; or</w:t>
      </w:r>
    </w:p>
    <w:p>
      <w:pPr>
        <w:pStyle w:val="Indenti"/>
      </w:pPr>
      <w:r>
        <w:lastRenderedPageBreak/>
        <w:tab/>
        <w:t>(ii)</w:t>
      </w:r>
      <w:r>
        <w:tab/>
        <w:t>the conflict raises issues of State or regional importance;</w:t>
      </w:r>
    </w:p>
    <w:p>
      <w:pPr>
        <w:pStyle w:val="Indenta"/>
      </w:pPr>
      <w:r>
        <w:tab/>
      </w:r>
      <w:r>
        <w:tab/>
        <w:t>and</w:t>
      </w:r>
    </w:p>
    <w:p>
      <w:pPr>
        <w:pStyle w:val="Indenta"/>
      </w:pPr>
      <w:r>
        <w:tab/>
        <w:t>(b)</w:t>
      </w:r>
      <w:r>
        <w:tab/>
        <w:t>that it is appropriate to resolve the conflict.</w:t>
      </w:r>
    </w:p>
    <w:p>
      <w:pPr>
        <w:pStyle w:val="Subsection"/>
        <w:keepNext/>
      </w:pPr>
      <w:r>
        <w:tab/>
        <w:t>(4)</w:t>
      </w:r>
      <w:r>
        <w:tab/>
        <w:t>A direction under this section is a direction to the decision</w:t>
      </w:r>
      <w:r>
        <w:noBreakHyphen/>
        <w:t xml:space="preserve">maker to do 1 or more of the following for the purpose of resolving the conflict — </w:t>
      </w:r>
    </w:p>
    <w:p>
      <w:pPr>
        <w:pStyle w:val="Indenta"/>
      </w:pPr>
      <w:r>
        <w:tab/>
        <w:t>(a)</w:t>
      </w:r>
      <w:r>
        <w:tab/>
        <w:t>not perform the function as proposed;</w:t>
      </w:r>
    </w:p>
    <w:p>
      <w:pPr>
        <w:pStyle w:val="Indenta"/>
      </w:pPr>
      <w:r>
        <w:tab/>
        <w:t>(b)</w:t>
      </w:r>
      <w:r>
        <w:tab/>
        <w:t>perform the function in accordance with the direction;</w:t>
      </w:r>
    </w:p>
    <w:p>
      <w:pPr>
        <w:pStyle w:val="Indenta"/>
      </w:pPr>
      <w:r>
        <w:tab/>
        <w:t>(c)</w:t>
      </w:r>
      <w:r>
        <w:tab/>
        <w:t>reconsider the performance of the function in accordance with the direction and give effect to the outcome of the reconsideration;</w:t>
      </w:r>
    </w:p>
    <w:p>
      <w:pPr>
        <w:pStyle w:val="Indenta"/>
      </w:pPr>
      <w:r>
        <w:tab/>
        <w:t>(d)</w:t>
      </w:r>
      <w:r>
        <w:tab/>
        <w:t>take any steps specified in the direction for giving effect to the direction.</w:t>
      </w:r>
    </w:p>
    <w:p>
      <w:pPr>
        <w:pStyle w:val="Subsection"/>
      </w:pPr>
      <w:r>
        <w:tab/>
        <w:t>(5)</w:t>
      </w:r>
      <w:r>
        <w:tab/>
        <w:t>The direction may specify a period within which anything required to be done under the direction must be done.</w:t>
      </w:r>
    </w:p>
    <w:p>
      <w:pPr>
        <w:pStyle w:val="Subsection"/>
      </w:pPr>
      <w:r>
        <w:tab/>
        <w:t>(6)</w:t>
      </w:r>
      <w:r>
        <w:tab/>
        <w:t>The decision</w:t>
      </w:r>
      <w:r>
        <w:noBreakHyphen/>
        <w:t xml:space="preserve">maker must comply with the direction — </w:t>
      </w:r>
    </w:p>
    <w:p>
      <w:pPr>
        <w:pStyle w:val="Indenta"/>
      </w:pPr>
      <w:r>
        <w:tab/>
        <w:t>(a)</w:t>
      </w:r>
      <w:r>
        <w:tab/>
        <w:t>even if that involves doing something, or omitting to do something, that, apart from this subsection, the decision</w:t>
      </w:r>
      <w:r>
        <w:noBreakHyphen/>
        <w:t>maker could not do, or could not omit to do, under any legal instrument; and</w:t>
      </w:r>
    </w:p>
    <w:p>
      <w:pPr>
        <w:pStyle w:val="Indenta"/>
      </w:pPr>
      <w:r>
        <w:tab/>
        <w:t>(b)</w:t>
      </w:r>
      <w:r>
        <w:tab/>
        <w:t>without limiting paragraph (a), despite any time limit that would, apart from this subsection, apply under any legal instrument in relation to anything to which the direction relates.</w:t>
      </w:r>
    </w:p>
    <w:p>
      <w:pPr>
        <w:pStyle w:val="Subsection"/>
      </w:pPr>
      <w:r>
        <w:tab/>
        <w:t>(7)</w:t>
      </w:r>
      <w:r>
        <w:tab/>
        <w:t xml:space="preserve">The Minister, within 14 days after the day on which the direction is given, must cause a copy of it to be published in the </w:t>
      </w:r>
      <w:r>
        <w:rPr>
          <w:i/>
        </w:rPr>
        <w:t>Gazette</w:t>
      </w:r>
      <w:r>
        <w:t xml:space="preserve"> and, as soon as is practicable, must cause a copy of it to be laid before each House of Parliament or dealt with under section 268A.</w:t>
      </w:r>
    </w:p>
    <w:p>
      <w:pPr>
        <w:pStyle w:val="Subsection"/>
      </w:pPr>
      <w:r>
        <w:lastRenderedPageBreak/>
        <w:tab/>
        <w:t>(8)</w:t>
      </w:r>
      <w:r>
        <w:tab/>
        <w:t>If the Minister decides not to give a direction under this section, the Minister must notify the decision</w:t>
      </w:r>
      <w:r>
        <w:noBreakHyphen/>
        <w:t>maker of the Minister’s decision.</w:t>
      </w:r>
    </w:p>
    <w:p>
      <w:pPr>
        <w:pStyle w:val="Footnotesection"/>
      </w:pPr>
      <w:r>
        <w:tab/>
        <w:t>[Section 281 inserted: No. 26 of 2020 s. 4.]</w:t>
      </w:r>
    </w:p>
    <w:p>
      <w:pPr>
        <w:pStyle w:val="Heading5"/>
      </w:pPr>
      <w:bookmarkStart w:id="372" w:name="_Toc199322620"/>
      <w:r>
        <w:rPr>
          <w:rStyle w:val="CharSectno"/>
        </w:rPr>
        <w:t>282</w:t>
      </w:r>
      <w:r>
        <w:t>.</w:t>
      </w:r>
      <w:r>
        <w:tab/>
        <w:t>Owner of land or other prescribed person may apply for direction if performance of function conflicts with approval</w:t>
      </w:r>
      <w:bookmarkEnd w:id="372"/>
    </w:p>
    <w:p>
      <w:pPr>
        <w:pStyle w:val="Subsection"/>
        <w:keepNext/>
      </w:pPr>
      <w:r>
        <w:tab/>
        <w:t>(1)</w:t>
      </w:r>
      <w:r>
        <w:tab/>
        <w:t xml:space="preserve">This section applies if — </w:t>
      </w:r>
    </w:p>
    <w:p>
      <w:pPr>
        <w:pStyle w:val="Indenta"/>
      </w:pPr>
      <w:r>
        <w:tab/>
        <w:t>(a)</w:t>
      </w:r>
      <w:r>
        <w:tab/>
        <w:t>the Commission grants approval for development under section 274; and</w:t>
      </w:r>
    </w:p>
    <w:p>
      <w:pPr>
        <w:pStyle w:val="Indenta"/>
      </w:pPr>
      <w:r>
        <w:tab/>
        <w:t>(b)</w:t>
      </w:r>
      <w:r>
        <w:tab/>
        <w:t xml:space="preserve">a person or body (the </w:t>
      </w:r>
      <w:r>
        <w:rPr>
          <w:rStyle w:val="CharDefText"/>
        </w:rPr>
        <w:t>decision</w:t>
      </w:r>
      <w:r>
        <w:rPr>
          <w:rStyle w:val="CharDefText"/>
        </w:rPr>
        <w:noBreakHyphen/>
        <w:t>maker</w:t>
      </w:r>
      <w:r>
        <w:t>) performs a function under a legal instrument; and</w:t>
      </w:r>
    </w:p>
    <w:p>
      <w:pPr>
        <w:pStyle w:val="Indenta"/>
      </w:pPr>
      <w:r>
        <w:tab/>
        <w:t>(c)</w:t>
      </w:r>
      <w:r>
        <w:tab/>
        <w:t>the performance of the function has not been the subject of a notification or direction under section 281; and</w:t>
      </w:r>
    </w:p>
    <w:p>
      <w:pPr>
        <w:pStyle w:val="Indenta"/>
      </w:pPr>
      <w:r>
        <w:tab/>
        <w:t>(d)</w:t>
      </w:r>
      <w:r>
        <w:tab/>
        <w:t xml:space="preserve">the performance of the function conflicts with the approval. </w:t>
      </w:r>
    </w:p>
    <w:p>
      <w:pPr>
        <w:pStyle w:val="Subsection"/>
      </w:pPr>
      <w:r>
        <w:tab/>
        <w:t>(2)</w:t>
      </w:r>
      <w:r>
        <w:tab/>
        <w:t>An owner of land in respect of which the approval is granted, or a person who is of a class or kind prescribed by Part 17 regulations for the purposes of this subsection, may apply to the Minister for a direction under this section to resolve the conflict.</w:t>
      </w:r>
    </w:p>
    <w:p>
      <w:pPr>
        <w:pStyle w:val="Subsection"/>
      </w:pPr>
      <w:r>
        <w:tab/>
        <w:t>(3)</w:t>
      </w:r>
      <w:r>
        <w:tab/>
        <w:t xml:space="preserve">If an application is made under subsection (2), the Minister may give a direction under this section if the Minister considers — </w:t>
      </w:r>
    </w:p>
    <w:p>
      <w:pPr>
        <w:pStyle w:val="Indenta"/>
      </w:pPr>
      <w:r>
        <w:tab/>
        <w:t>(a)</w:t>
      </w:r>
      <w:r>
        <w:tab/>
        <w:t xml:space="preserve">that — </w:t>
      </w:r>
    </w:p>
    <w:p>
      <w:pPr>
        <w:pStyle w:val="Indenti"/>
      </w:pPr>
      <w:r>
        <w:tab/>
        <w:t>(i)</w:t>
      </w:r>
      <w:r>
        <w:tab/>
        <w:t>the approved development is significant development; or</w:t>
      </w:r>
    </w:p>
    <w:p>
      <w:pPr>
        <w:pStyle w:val="Indenti"/>
      </w:pPr>
      <w:r>
        <w:tab/>
        <w:t>(ii)</w:t>
      </w:r>
      <w:r>
        <w:tab/>
        <w:t>the conflict raises issues of State or regional importance;</w:t>
      </w:r>
    </w:p>
    <w:p>
      <w:pPr>
        <w:pStyle w:val="Indenta"/>
      </w:pPr>
      <w:r>
        <w:tab/>
      </w:r>
      <w:r>
        <w:tab/>
        <w:t>and</w:t>
      </w:r>
    </w:p>
    <w:p>
      <w:pPr>
        <w:pStyle w:val="Indenta"/>
      </w:pPr>
      <w:r>
        <w:tab/>
        <w:t>(b)</w:t>
      </w:r>
      <w:r>
        <w:tab/>
        <w:t>that it is appropriate to resolve the conflict.</w:t>
      </w:r>
    </w:p>
    <w:p>
      <w:pPr>
        <w:pStyle w:val="Subsection"/>
      </w:pPr>
      <w:r>
        <w:lastRenderedPageBreak/>
        <w:tab/>
        <w:t>(4)</w:t>
      </w:r>
      <w:r>
        <w:tab/>
        <w:t>A direction under this section is a direction to the decision</w:t>
      </w:r>
      <w:r>
        <w:noBreakHyphen/>
        <w:t xml:space="preserve">maker to do 1 or more of the following for the purpose of resolving the conflict — </w:t>
      </w:r>
    </w:p>
    <w:p>
      <w:pPr>
        <w:pStyle w:val="Indenta"/>
      </w:pPr>
      <w:r>
        <w:tab/>
        <w:t>(a)</w:t>
      </w:r>
      <w:r>
        <w:tab/>
        <w:t>cancel the performance of the function;</w:t>
      </w:r>
    </w:p>
    <w:p>
      <w:pPr>
        <w:pStyle w:val="Indenta"/>
      </w:pPr>
      <w:r>
        <w:tab/>
        <w:t>(b)</w:t>
      </w:r>
      <w:r>
        <w:tab/>
        <w:t>perform the function again but in accordance with the direction;</w:t>
      </w:r>
    </w:p>
    <w:p>
      <w:pPr>
        <w:pStyle w:val="Indenta"/>
      </w:pPr>
      <w:r>
        <w:tab/>
        <w:t>(c)</w:t>
      </w:r>
      <w:r>
        <w:tab/>
        <w:t>reconsider the performance of the function in accordance with the direction and give effect to the outcome of the reconsideration;</w:t>
      </w:r>
    </w:p>
    <w:p>
      <w:pPr>
        <w:pStyle w:val="Indenta"/>
      </w:pPr>
      <w:r>
        <w:tab/>
        <w:t>(d)</w:t>
      </w:r>
      <w:r>
        <w:tab/>
        <w:t>take any steps specified in the direction for giving effect to the direction.</w:t>
      </w:r>
    </w:p>
    <w:p>
      <w:pPr>
        <w:pStyle w:val="Subsection"/>
      </w:pPr>
      <w:r>
        <w:tab/>
        <w:t>(5)</w:t>
      </w:r>
      <w:r>
        <w:tab/>
        <w:t>The direction may specify a period within which anything required to be done under the direction must be done.</w:t>
      </w:r>
    </w:p>
    <w:p>
      <w:pPr>
        <w:pStyle w:val="Subsection"/>
      </w:pPr>
      <w:r>
        <w:tab/>
        <w:t>(6)</w:t>
      </w:r>
      <w:r>
        <w:tab/>
        <w:t>The decision</w:t>
      </w:r>
      <w:r>
        <w:noBreakHyphen/>
        <w:t xml:space="preserve">maker must comply with the direction — </w:t>
      </w:r>
    </w:p>
    <w:p>
      <w:pPr>
        <w:pStyle w:val="Indenta"/>
      </w:pPr>
      <w:r>
        <w:tab/>
        <w:t>(a)</w:t>
      </w:r>
      <w:r>
        <w:tab/>
        <w:t>even if that involves doing something, or omitting to do something, that, apart from this subsection, the decision</w:t>
      </w:r>
      <w:r>
        <w:noBreakHyphen/>
        <w:t>maker could not do, or could not omit to do, under any legal instrument; and</w:t>
      </w:r>
    </w:p>
    <w:p>
      <w:pPr>
        <w:pStyle w:val="Indenta"/>
      </w:pPr>
      <w:r>
        <w:tab/>
        <w:t>(b)</w:t>
      </w:r>
      <w:r>
        <w:tab/>
        <w:t>without limiting paragraph (a), despite any time limit that would, apart from this subsection, apply under any legal instrument in relation to anything to which the direction relates.</w:t>
      </w:r>
    </w:p>
    <w:p>
      <w:pPr>
        <w:pStyle w:val="Subsection"/>
      </w:pPr>
      <w:r>
        <w:tab/>
        <w:t>(7)</w:t>
      </w:r>
      <w:r>
        <w:tab/>
        <w:t xml:space="preserve">The Minister, within 14 days after the day on which the direction is given, must cause a copy of it to be published in the </w:t>
      </w:r>
      <w:r>
        <w:rPr>
          <w:i/>
        </w:rPr>
        <w:t>Gazette</w:t>
      </w:r>
      <w:r>
        <w:t xml:space="preserve"> and, as soon as is practicable, must cause a copy of it to be laid before each House of Parliament or dealt with under section 268A.</w:t>
      </w:r>
    </w:p>
    <w:p>
      <w:pPr>
        <w:pStyle w:val="Footnotesection"/>
      </w:pPr>
      <w:r>
        <w:tab/>
        <w:t>[Section 282 inserted: No. 26 of 2020 s. 4.]</w:t>
      </w:r>
    </w:p>
    <w:p>
      <w:pPr>
        <w:pStyle w:val="Heading3"/>
      </w:pPr>
      <w:bookmarkStart w:id="373" w:name="_Toc199322621"/>
      <w:r>
        <w:rPr>
          <w:rStyle w:val="CharDivNo"/>
        </w:rPr>
        <w:lastRenderedPageBreak/>
        <w:t>Division 4</w:t>
      </w:r>
      <w:r>
        <w:t> — </w:t>
      </w:r>
      <w:r>
        <w:rPr>
          <w:rStyle w:val="CharDivText"/>
        </w:rPr>
        <w:t>Oversight of Commission</w:t>
      </w:r>
      <w:bookmarkEnd w:id="373"/>
    </w:p>
    <w:p>
      <w:pPr>
        <w:pStyle w:val="Footnoteheading"/>
        <w:keepNext/>
      </w:pPr>
      <w:r>
        <w:tab/>
        <w:t>[Heading inserted: No. 26 of 2020 s. 4.]</w:t>
      </w:r>
    </w:p>
    <w:p>
      <w:pPr>
        <w:pStyle w:val="Heading5"/>
      </w:pPr>
      <w:bookmarkStart w:id="374" w:name="_Toc199322622"/>
      <w:r>
        <w:rPr>
          <w:rStyle w:val="CharSectno"/>
        </w:rPr>
        <w:t>283</w:t>
      </w:r>
      <w:r>
        <w:t>.</w:t>
      </w:r>
      <w:r>
        <w:tab/>
        <w:t>State Administrative Tribunal</w:t>
      </w:r>
      <w:bookmarkEnd w:id="374"/>
    </w:p>
    <w:p>
      <w:pPr>
        <w:pStyle w:val="Subsection"/>
      </w:pPr>
      <w:r>
        <w:tab/>
        <w:t>(1)</w:t>
      </w:r>
      <w:r>
        <w:tab/>
        <w:t>This section applies if the Commission determines a development application under section 274 or an application under section 279.</w:t>
      </w:r>
    </w:p>
    <w:p>
      <w:pPr>
        <w:pStyle w:val="Subsection"/>
      </w:pPr>
      <w:r>
        <w:tab/>
        <w:t>(2)</w:t>
      </w:r>
      <w:r>
        <w:tab/>
        <w:t xml:space="preserve">The applicant may apply to the State Administrative Tribunal (the </w:t>
      </w:r>
      <w:r>
        <w:rPr>
          <w:rStyle w:val="CharDefText"/>
        </w:rPr>
        <w:t>Tribunal</w:t>
      </w:r>
      <w:r>
        <w:t>) for a review of the Commission’s decision to make the determination.</w:t>
      </w:r>
    </w:p>
    <w:p>
      <w:pPr>
        <w:pStyle w:val="Subsection"/>
      </w:pPr>
      <w:r>
        <w:tab/>
        <w:t>(3)</w:t>
      </w:r>
      <w:r>
        <w:tab/>
        <w:t xml:space="preserve">For the purposes of the Tribunal’s jurisdiction under this section, the member, or at least 1 of the members, who constitute the Tribunal must be a judicial member (as defined in the </w:t>
      </w:r>
      <w:r>
        <w:rPr>
          <w:i/>
        </w:rPr>
        <w:t>State Administrative Tribunal Act 2004</w:t>
      </w:r>
      <w:r>
        <w:t xml:space="preserve"> section 3(1)).</w:t>
      </w:r>
    </w:p>
    <w:p>
      <w:pPr>
        <w:pStyle w:val="Subsection"/>
      </w:pPr>
      <w:r>
        <w:tab/>
        <w:t>(4)</w:t>
      </w:r>
      <w:r>
        <w:tab/>
        <w:t>For a review under this section, the Commission is the decision</w:t>
      </w:r>
      <w:r>
        <w:noBreakHyphen/>
        <w:t xml:space="preserve">maker for the purposes of the </w:t>
      </w:r>
      <w:r>
        <w:rPr>
          <w:i/>
        </w:rPr>
        <w:t>State Administrative Tribunal Act 2004</w:t>
      </w:r>
      <w:r>
        <w:t>.</w:t>
      </w:r>
    </w:p>
    <w:p>
      <w:pPr>
        <w:pStyle w:val="Subsection"/>
      </w:pPr>
      <w:r>
        <w:tab/>
        <w:t>(5)</w:t>
      </w:r>
      <w:r>
        <w:tab/>
        <w:t>In conducting a review under this section, the Tribunal must give the Minister a reasonable opportunity to make submissions to the Tribunal on any matter relating to the review.</w:t>
      </w:r>
    </w:p>
    <w:p>
      <w:pPr>
        <w:pStyle w:val="Subsection"/>
      </w:pPr>
      <w:r>
        <w:tab/>
        <w:t>(6)</w:t>
      </w:r>
      <w:r>
        <w:tab/>
        <w:t>Sections 242 and 243 apply to a review under this section as they apply to a review in accordance with Part 14.</w:t>
      </w:r>
    </w:p>
    <w:p>
      <w:pPr>
        <w:pStyle w:val="Subsection"/>
        <w:keepNext/>
      </w:pPr>
      <w:r>
        <w:tab/>
        <w:t>(7)</w:t>
      </w:r>
      <w:r>
        <w:tab/>
        <w:t>Except as set out in this section, the Tribunal has no jurisdiction in relation to anything done under this Part or any Part 17 regulations, including (without limitation) anything done in compliance with a direction under section 281 or 282.</w:t>
      </w:r>
    </w:p>
    <w:p>
      <w:pPr>
        <w:pStyle w:val="Footnotesection"/>
      </w:pPr>
      <w:r>
        <w:tab/>
        <w:t>[Section 283 inserted: No. 26 of 2020 s. 4.]</w:t>
      </w:r>
    </w:p>
    <w:p>
      <w:pPr>
        <w:pStyle w:val="Heading5"/>
      </w:pPr>
      <w:bookmarkStart w:id="375" w:name="_Toc199322623"/>
      <w:r>
        <w:rPr>
          <w:rStyle w:val="CharSectno"/>
        </w:rPr>
        <w:lastRenderedPageBreak/>
        <w:t>284</w:t>
      </w:r>
      <w:r>
        <w:t>.</w:t>
      </w:r>
      <w:r>
        <w:tab/>
        <w:t>Governor may amend or cancel approval granted by Commission under s. 274</w:t>
      </w:r>
      <w:bookmarkEnd w:id="375"/>
    </w:p>
    <w:p>
      <w:pPr>
        <w:pStyle w:val="Subsection"/>
      </w:pPr>
      <w:r>
        <w:tab/>
        <w:t>(1)</w:t>
      </w:r>
      <w:r>
        <w:tab/>
        <w:t>This section applies if the Commission grants approval for development under section 274.</w:t>
      </w:r>
    </w:p>
    <w:p>
      <w:pPr>
        <w:pStyle w:val="Subsection"/>
      </w:pPr>
      <w:r>
        <w:tab/>
        <w:t>(2)</w:t>
      </w:r>
      <w:r>
        <w:tab/>
        <w:t xml:space="preserve">The Governor may, by order, do any of the following — </w:t>
      </w:r>
    </w:p>
    <w:p>
      <w:pPr>
        <w:pStyle w:val="Indenta"/>
      </w:pPr>
      <w:r>
        <w:tab/>
        <w:t>(aa)</w:t>
      </w:r>
      <w:r>
        <w:tab/>
        <w:t xml:space="preserve">for the purposes of section 278(2), amend the approval — </w:t>
      </w:r>
    </w:p>
    <w:p>
      <w:pPr>
        <w:pStyle w:val="Indenti"/>
      </w:pPr>
      <w:r>
        <w:tab/>
        <w:t>(i)</w:t>
      </w:r>
      <w:r>
        <w:tab/>
        <w:t>to extend the period specified in the approval; or</w:t>
      </w:r>
    </w:p>
    <w:p>
      <w:pPr>
        <w:pStyle w:val="Indenti"/>
      </w:pPr>
      <w:r>
        <w:tab/>
        <w:t>(ii)</w:t>
      </w:r>
      <w:r>
        <w:tab/>
        <w:t>if no period is specified in the approval — to specify a period that is longer than the period of 24 months referred to in section 278(2)(b);</w:t>
      </w:r>
    </w:p>
    <w:p>
      <w:pPr>
        <w:pStyle w:val="Indenta"/>
      </w:pPr>
      <w:r>
        <w:tab/>
        <w:t>(a)</w:t>
      </w:r>
      <w:r>
        <w:tab/>
        <w:t>amend or remove any of the conditions imposed on the approval;</w:t>
      </w:r>
    </w:p>
    <w:p>
      <w:pPr>
        <w:pStyle w:val="Indenta"/>
      </w:pPr>
      <w:r>
        <w:tab/>
        <w:t>(b)</w:t>
      </w:r>
      <w:r>
        <w:tab/>
        <w:t>impose new conditions on the approval;</w:t>
      </w:r>
    </w:p>
    <w:p>
      <w:pPr>
        <w:pStyle w:val="Indenta"/>
      </w:pPr>
      <w:r>
        <w:tab/>
        <w:t>(c)</w:t>
      </w:r>
      <w:r>
        <w:tab/>
        <w:t>amend any part or aspect of the approved development;</w:t>
      </w:r>
    </w:p>
    <w:p>
      <w:pPr>
        <w:pStyle w:val="Indenta"/>
      </w:pPr>
      <w:r>
        <w:tab/>
        <w:t>(d)</w:t>
      </w:r>
      <w:r>
        <w:tab/>
        <w:t>amend the approval in any other way;</w:t>
      </w:r>
    </w:p>
    <w:p>
      <w:pPr>
        <w:pStyle w:val="Indenta"/>
      </w:pPr>
      <w:r>
        <w:tab/>
        <w:t>(e)</w:t>
      </w:r>
      <w:r>
        <w:tab/>
        <w:t>cancel the approval.</w:t>
      </w:r>
    </w:p>
    <w:p>
      <w:pPr>
        <w:pStyle w:val="Subsection"/>
        <w:keepNext/>
      </w:pPr>
      <w:r>
        <w:tab/>
        <w:t>(3)</w:t>
      </w:r>
      <w:r>
        <w:tab/>
        <w:t xml:space="preserve">An amendment of the kind referred to in subsection (2)(c) — </w:t>
      </w:r>
    </w:p>
    <w:p>
      <w:pPr>
        <w:pStyle w:val="Indenta"/>
      </w:pPr>
      <w:r>
        <w:tab/>
        <w:t>(a)</w:t>
      </w:r>
      <w:r>
        <w:tab/>
        <w:t>cannot substantially change the approved development; and</w:t>
      </w:r>
    </w:p>
    <w:p>
      <w:pPr>
        <w:pStyle w:val="Indenta"/>
      </w:pPr>
      <w:r>
        <w:tab/>
        <w:t>(b)</w:t>
      </w:r>
      <w:r>
        <w:tab/>
        <w:t>in the case of approval granted on a development application made under section 271 — cannot result in the approved development no longer being significant development.</w:t>
      </w:r>
    </w:p>
    <w:p>
      <w:pPr>
        <w:pStyle w:val="Subsection"/>
      </w:pPr>
      <w:r>
        <w:tab/>
        <w:t>(4)</w:t>
      </w:r>
      <w:r>
        <w:tab/>
        <w:t>In subsection (2), references to the conditions imposed on the approval, the approved development or the approval are to the conditions, development or approval as amended from time to time under section 279 or by an order under this section.</w:t>
      </w:r>
    </w:p>
    <w:p>
      <w:pPr>
        <w:pStyle w:val="Subsection"/>
      </w:pPr>
      <w:r>
        <w:tab/>
        <w:t>(5)</w:t>
      </w:r>
      <w:r>
        <w:tab/>
        <w:t>An order under this section may include directions for giving effect to the order.</w:t>
      </w:r>
    </w:p>
    <w:p>
      <w:pPr>
        <w:pStyle w:val="Subsection"/>
      </w:pPr>
      <w:r>
        <w:lastRenderedPageBreak/>
        <w:tab/>
        <w:t>(6)</w:t>
      </w:r>
      <w:r>
        <w:tab/>
        <w:t>The Commission cannot do anything under section 279 that would override, or otherwise be inconsistent with, the provisions of an order under this section.</w:t>
      </w:r>
    </w:p>
    <w:p>
      <w:pPr>
        <w:pStyle w:val="Subsection"/>
      </w:pPr>
      <w:r>
        <w:tab/>
        <w:t>(7)</w:t>
      </w:r>
      <w:r>
        <w:tab/>
        <w:t xml:space="preserve">An order under this section is subsidiary legislation for the purposes of the </w:t>
      </w:r>
      <w:r>
        <w:rPr>
          <w:i/>
        </w:rPr>
        <w:t>Interpretation Act 1984</w:t>
      </w:r>
      <w:r>
        <w:t>.</w:t>
      </w:r>
    </w:p>
    <w:p>
      <w:pPr>
        <w:pStyle w:val="Subsection"/>
      </w:pPr>
      <w:r>
        <w:tab/>
        <w:t>(8)</w:t>
      </w:r>
      <w:r>
        <w:tab/>
        <w:t xml:space="preserve">The </w:t>
      </w:r>
      <w:r>
        <w:rPr>
          <w:i/>
        </w:rPr>
        <w:t>Interpretation Act 1984</w:t>
      </w:r>
      <w:r>
        <w:t xml:space="preserve"> section 42 applies to an order under this section as if it were a regulation.</w:t>
      </w:r>
    </w:p>
    <w:p>
      <w:pPr>
        <w:pStyle w:val="Footnotesection"/>
      </w:pPr>
      <w:r>
        <w:tab/>
        <w:t>[Section 284 inserted: No. 26 of 2020 s. 4; amended: No. 17 of 2022 s. 12.]</w:t>
      </w:r>
    </w:p>
    <w:p>
      <w:pPr>
        <w:pStyle w:val="Heading3"/>
      </w:pPr>
      <w:bookmarkStart w:id="376" w:name="_Toc199322624"/>
      <w:r>
        <w:rPr>
          <w:rStyle w:val="CharDivNo"/>
        </w:rPr>
        <w:t>Division 5</w:t>
      </w:r>
      <w:r>
        <w:t> — </w:t>
      </w:r>
      <w:r>
        <w:rPr>
          <w:rStyle w:val="CharDivText"/>
        </w:rPr>
        <w:t>Final matters</w:t>
      </w:r>
      <w:bookmarkEnd w:id="376"/>
    </w:p>
    <w:p>
      <w:pPr>
        <w:pStyle w:val="Footnoteheading"/>
        <w:keepNext/>
      </w:pPr>
      <w:r>
        <w:tab/>
        <w:t>[Heading inserted: No. 26 of 2020 s. 4.]</w:t>
      </w:r>
    </w:p>
    <w:p>
      <w:pPr>
        <w:pStyle w:val="Heading5"/>
      </w:pPr>
      <w:bookmarkStart w:id="377" w:name="_Toc199322625"/>
      <w:r>
        <w:rPr>
          <w:rStyle w:val="CharSectno"/>
        </w:rPr>
        <w:t>285</w:t>
      </w:r>
      <w:r>
        <w:t>.</w:t>
      </w:r>
      <w:r>
        <w:tab/>
        <w:t>Fees</w:t>
      </w:r>
      <w:bookmarkEnd w:id="377"/>
    </w:p>
    <w:p>
      <w:pPr>
        <w:pStyle w:val="Subsection"/>
        <w:keepNext/>
      </w:pPr>
      <w:r>
        <w:tab/>
        <w:t>(1)</w:t>
      </w:r>
      <w:r>
        <w:tab/>
        <w:t xml:space="preserve">The Minister may, by notice published in the </w:t>
      </w:r>
      <w:r>
        <w:rPr>
          <w:i/>
        </w:rPr>
        <w:t>Gazette</w:t>
      </w:r>
      <w:r>
        <w:t xml:space="preserve"> — </w:t>
      </w:r>
    </w:p>
    <w:p>
      <w:pPr>
        <w:pStyle w:val="Indenta"/>
      </w:pPr>
      <w:r>
        <w:tab/>
        <w:t>(a)</w:t>
      </w:r>
      <w:r>
        <w:tab/>
        <w:t>set fees to be charged in respect of any matter under, or relating to, this Part or any Part 17 regulations; and</w:t>
      </w:r>
    </w:p>
    <w:p>
      <w:pPr>
        <w:pStyle w:val="Indenta"/>
      </w:pPr>
      <w:r>
        <w:tab/>
        <w:t>(b)</w:t>
      </w:r>
      <w:r>
        <w:tab/>
        <w:t>make provision for determining the persons by whom the fees are payable.</w:t>
      </w:r>
    </w:p>
    <w:p>
      <w:pPr>
        <w:pStyle w:val="Subsection"/>
      </w:pPr>
      <w:r>
        <w:tab/>
        <w:t>(2)</w:t>
      </w:r>
      <w:r>
        <w:tab/>
        <w:t>Despite section 274(3), the Commission is not required to consider or determine a development application, or to do any other thing under this Part or Part 17 regulations, unless any fee relating to the application or other thing has been paid.</w:t>
      </w:r>
    </w:p>
    <w:p>
      <w:pPr>
        <w:pStyle w:val="Subsection"/>
        <w:keepNext/>
      </w:pPr>
      <w:r>
        <w:tab/>
        <w:t>(3)</w:t>
      </w:r>
      <w:r>
        <w:tab/>
        <w:t>Section 20 does not apply in relation to this Part.</w:t>
      </w:r>
    </w:p>
    <w:p>
      <w:pPr>
        <w:pStyle w:val="Footnotesection"/>
      </w:pPr>
      <w:r>
        <w:tab/>
        <w:t>[Section 285 inserted: No. 26 of 2020 s. 4.]</w:t>
      </w:r>
    </w:p>
    <w:p>
      <w:pPr>
        <w:pStyle w:val="Heading5"/>
      </w:pPr>
      <w:bookmarkStart w:id="378" w:name="_Toc199322626"/>
      <w:r>
        <w:rPr>
          <w:rStyle w:val="CharSectno"/>
        </w:rPr>
        <w:t>286</w:t>
      </w:r>
      <w:r>
        <w:t>.</w:t>
      </w:r>
      <w:r>
        <w:tab/>
        <w:t>Regulations</w:t>
      </w:r>
      <w:bookmarkEnd w:id="378"/>
    </w:p>
    <w:p>
      <w:pPr>
        <w:pStyle w:val="Subsection"/>
      </w:pPr>
      <w:r>
        <w:tab/>
        <w:t>(1)</w:t>
      </w:r>
      <w:r>
        <w:tab/>
        <w:t>The Governor may make regulations prescribing all matters that are required or permitted by this Part to be prescribed or are necessary or convenient to be prescribed for giving effect to the purposes of this Part.</w:t>
      </w:r>
    </w:p>
    <w:p>
      <w:pPr>
        <w:pStyle w:val="Subsection"/>
      </w:pPr>
      <w:r>
        <w:lastRenderedPageBreak/>
        <w:tab/>
        <w:t>(2)</w:t>
      </w:r>
      <w:r>
        <w:tab/>
        <w:t xml:space="preserve">Without limiting subsection (1), Part 17 regulations may prescribe powers, duties, procedures or any other matters for the purposes of, or in relation to — </w:t>
      </w:r>
    </w:p>
    <w:p>
      <w:pPr>
        <w:pStyle w:val="Indenta"/>
      </w:pPr>
      <w:r>
        <w:tab/>
        <w:t>(a)</w:t>
      </w:r>
      <w:r>
        <w:tab/>
        <w:t>applications, notifications, referrals or directions under this Part; or</w:t>
      </w:r>
    </w:p>
    <w:p>
      <w:pPr>
        <w:pStyle w:val="Indenta"/>
      </w:pPr>
      <w:r>
        <w:tab/>
        <w:t>(b)</w:t>
      </w:r>
      <w:r>
        <w:tab/>
        <w:t>the consideration or determination of applications or notifications under this Part.</w:t>
      </w:r>
    </w:p>
    <w:p>
      <w:pPr>
        <w:pStyle w:val="Footnotesection"/>
      </w:pPr>
      <w:r>
        <w:tab/>
        <w:t>[Section 286 inserted: No. 26 of 2020 s. 4.]</w:t>
      </w:r>
    </w:p>
    <w:p>
      <w:pPr>
        <w:pStyle w:val="Heading2"/>
      </w:pPr>
      <w:bookmarkStart w:id="379" w:name="_Toc199322627"/>
      <w:r>
        <w:rPr>
          <w:rStyle w:val="CharPartNo"/>
        </w:rPr>
        <w:lastRenderedPageBreak/>
        <w:t>Part 18</w:t>
      </w:r>
      <w:r>
        <w:rPr>
          <w:rStyle w:val="CharDivNo"/>
        </w:rPr>
        <w:t> </w:t>
      </w:r>
      <w:r>
        <w:t>—</w:t>
      </w:r>
      <w:r>
        <w:rPr>
          <w:rStyle w:val="CharDivText"/>
        </w:rPr>
        <w:t> </w:t>
      </w:r>
      <w:r>
        <w:rPr>
          <w:rStyle w:val="CharPartText"/>
        </w:rPr>
        <w:t>Extension of time for endorsement of diagram or plan of survey due to COVID</w:t>
      </w:r>
      <w:r>
        <w:rPr>
          <w:rStyle w:val="CharPartText"/>
        </w:rPr>
        <w:noBreakHyphen/>
        <w:t>19 pandemic</w:t>
      </w:r>
      <w:bookmarkEnd w:id="379"/>
    </w:p>
    <w:p>
      <w:pPr>
        <w:pStyle w:val="Footnoteheading"/>
      </w:pPr>
      <w:r>
        <w:tab/>
        <w:t>[Heading inserted: No. 26 of 2020 s. 4.]</w:t>
      </w:r>
    </w:p>
    <w:p>
      <w:pPr>
        <w:pStyle w:val="Heading5"/>
      </w:pPr>
      <w:bookmarkStart w:id="380" w:name="_Toc199322628"/>
      <w:r>
        <w:rPr>
          <w:rStyle w:val="CharSectno"/>
        </w:rPr>
        <w:t>287</w:t>
      </w:r>
      <w:r>
        <w:t>.</w:t>
      </w:r>
      <w:r>
        <w:tab/>
        <w:t>Term used: COVID</w:t>
      </w:r>
      <w:r>
        <w:noBreakHyphen/>
        <w:t>19 emergency start date</w:t>
      </w:r>
      <w:bookmarkEnd w:id="380"/>
    </w:p>
    <w:p>
      <w:pPr>
        <w:pStyle w:val="Subsection"/>
      </w:pPr>
      <w:r>
        <w:tab/>
      </w:r>
      <w:r>
        <w:tab/>
        <w:t xml:space="preserve">In this Part — </w:t>
      </w:r>
    </w:p>
    <w:p>
      <w:pPr>
        <w:pStyle w:val="Defstart"/>
      </w:pPr>
      <w:r>
        <w:tab/>
      </w:r>
      <w:r>
        <w:rPr>
          <w:rStyle w:val="CharDefText"/>
        </w:rPr>
        <w:t>COVID</w:t>
      </w:r>
      <w:r>
        <w:rPr>
          <w:rStyle w:val="CharDefText"/>
        </w:rPr>
        <w:noBreakHyphen/>
        <w:t>19 emergency start date</w:t>
      </w:r>
      <w:r>
        <w:t xml:space="preserve"> means 16 March 2020, being the day on which the state of emergency declaration under the </w:t>
      </w:r>
      <w:r>
        <w:rPr>
          <w:i/>
        </w:rPr>
        <w:t>Emergency Management Act 2005</w:t>
      </w:r>
      <w:r>
        <w:t xml:space="preserve"> section 56 in relation to the COVID</w:t>
      </w:r>
      <w:r>
        <w:noBreakHyphen/>
        <w:t>19 pandemic came into effect.</w:t>
      </w:r>
    </w:p>
    <w:p>
      <w:pPr>
        <w:pStyle w:val="Footnotesection"/>
      </w:pPr>
      <w:r>
        <w:tab/>
        <w:t>[Section 287 inserted: No. 26 of 2020 s. 4.]</w:t>
      </w:r>
    </w:p>
    <w:p>
      <w:pPr>
        <w:pStyle w:val="Heading5"/>
      </w:pPr>
      <w:bookmarkStart w:id="381" w:name="_Toc199322629"/>
      <w:r>
        <w:rPr>
          <w:rStyle w:val="CharSectno"/>
        </w:rPr>
        <w:t>288</w:t>
      </w:r>
      <w:r>
        <w:t>.</w:t>
      </w:r>
      <w:r>
        <w:tab/>
        <w:t>Extension of time for endorsement of diagram or plan of survey of approved subdivision</w:t>
      </w:r>
      <w:bookmarkEnd w:id="381"/>
    </w:p>
    <w:p>
      <w:pPr>
        <w:pStyle w:val="Subsection"/>
      </w:pPr>
      <w:r>
        <w:tab/>
        <w:t>(1)</w:t>
      </w:r>
      <w:r>
        <w:tab/>
        <w:t xml:space="preserve">This section applies to — </w:t>
      </w:r>
    </w:p>
    <w:p>
      <w:pPr>
        <w:pStyle w:val="Indenta"/>
      </w:pPr>
      <w:r>
        <w:tab/>
        <w:t>(a)</w:t>
      </w:r>
      <w:r>
        <w:tab/>
        <w:t>a plan of subdivision approved by the Commission under section 143(1)(a) or (c) before the COVID</w:t>
      </w:r>
      <w:r>
        <w:noBreakHyphen/>
        <w:t xml:space="preserve">19 emergency start date if, immediately before that date — </w:t>
      </w:r>
    </w:p>
    <w:p>
      <w:pPr>
        <w:pStyle w:val="Indenti"/>
      </w:pPr>
      <w:r>
        <w:tab/>
        <w:t>(i)</w:t>
      </w:r>
      <w:r>
        <w:tab/>
        <w:t>the Commission had not endorsed its approval on the diagram or plan of survey of the subdivision under section 145(4); and</w:t>
      </w:r>
    </w:p>
    <w:p>
      <w:pPr>
        <w:pStyle w:val="Indenti"/>
      </w:pPr>
      <w:r>
        <w:tab/>
        <w:t>(ii)</w:t>
      </w:r>
      <w:r>
        <w:tab/>
        <w:t>the approval of the plan of subdivision had not ceased to have effect under section 145(7);</w:t>
      </w:r>
    </w:p>
    <w:p>
      <w:pPr>
        <w:pStyle w:val="Indenta"/>
      </w:pPr>
      <w:r>
        <w:tab/>
      </w:r>
      <w:r>
        <w:tab/>
        <w:t>or</w:t>
      </w:r>
    </w:p>
    <w:p>
      <w:pPr>
        <w:pStyle w:val="Indenta"/>
      </w:pPr>
      <w:r>
        <w:tab/>
        <w:t>(b)</w:t>
      </w:r>
      <w:r>
        <w:tab/>
        <w:t>a plan of subdivision approved by the Commission under section 143(1)(a) or (c) on or after the COVID</w:t>
      </w:r>
      <w:r>
        <w:noBreakHyphen/>
        <w:t>19 emergency start date if the application for the Commission’s approval of the plan of subdivision was made before that date.</w:t>
      </w:r>
    </w:p>
    <w:p>
      <w:pPr>
        <w:pStyle w:val="Subsection"/>
      </w:pPr>
      <w:r>
        <w:tab/>
        <w:t>(2)</w:t>
      </w:r>
      <w:r>
        <w:tab/>
        <w:t xml:space="preserve">Despite any provision of Part 10 Division 2, the period within which the person to whom the approval of the plan of subdivision was given under section 143(1)(a) or (c) must </w:t>
      </w:r>
      <w:r>
        <w:lastRenderedPageBreak/>
        <w:t xml:space="preserve">submit, and request approval of, a diagram or plan of survey of the subdivision under section 145(1) is, and is taken always to have been — </w:t>
      </w:r>
    </w:p>
    <w:p>
      <w:pPr>
        <w:pStyle w:val="Indenta"/>
      </w:pPr>
      <w:r>
        <w:tab/>
        <w:t>(a)</w:t>
      </w:r>
      <w:r>
        <w:tab/>
        <w:t>in relation to a plan of subdivision creating more than 5 lots — the period of 6 years beginning on the day on which the Commission approved the plan of subdivision; and</w:t>
      </w:r>
    </w:p>
    <w:p>
      <w:pPr>
        <w:pStyle w:val="Indenta"/>
      </w:pPr>
      <w:r>
        <w:tab/>
        <w:t>(b)</w:t>
      </w:r>
      <w:r>
        <w:tab/>
        <w:t>in any other case — the period of 5 years beginning on the day on which the Commission approved the plan of subdivision.</w:t>
      </w:r>
    </w:p>
    <w:p>
      <w:pPr>
        <w:pStyle w:val="Subsection"/>
      </w:pPr>
      <w:r>
        <w:tab/>
        <w:t>(3)</w:t>
      </w:r>
      <w:r>
        <w:tab/>
        <w:t xml:space="preserve">The Commission cannot, after the coming into operation of the </w:t>
      </w:r>
      <w:r>
        <w:rPr>
          <w:i/>
        </w:rPr>
        <w:t xml:space="preserve">Planning and Development Amendment Act 2020 </w:t>
      </w:r>
      <w:r>
        <w:t>Part 12 Division 1, grant an extension under section 145A in relation to the plan of subdivision.</w:t>
      </w:r>
    </w:p>
    <w:p>
      <w:pPr>
        <w:pStyle w:val="Footnotesection"/>
        <w:rPr>
          <w:rStyle w:val="CharDivText"/>
        </w:rPr>
      </w:pPr>
      <w:r>
        <w:tab/>
        <w:t>[Section 288 inserted: No. 26 of 2020 s. 4.]</w:t>
      </w:r>
    </w:p>
    <w:p>
      <w:pPr>
        <w:pStyle w:val="Heading2"/>
      </w:pPr>
      <w:bookmarkStart w:id="382" w:name="_Toc199322630"/>
      <w:r>
        <w:rPr>
          <w:rStyle w:val="CharPartNo"/>
        </w:rPr>
        <w:lastRenderedPageBreak/>
        <w:t>Part 19</w:t>
      </w:r>
      <w:r>
        <w:t> — </w:t>
      </w:r>
      <w:r>
        <w:rPr>
          <w:rStyle w:val="CharPartText"/>
        </w:rPr>
        <w:t>Transitional provisions</w:t>
      </w:r>
      <w:bookmarkEnd w:id="382"/>
    </w:p>
    <w:p>
      <w:pPr>
        <w:pStyle w:val="Footnoteheading"/>
      </w:pPr>
      <w:r>
        <w:tab/>
        <w:t>[Heading inserted: No. 26 of 2020 s. 105; amended: No. 17 of 2022 s. 13.]</w:t>
      </w:r>
    </w:p>
    <w:p>
      <w:pPr>
        <w:pStyle w:val="Heading3"/>
      </w:pPr>
      <w:bookmarkStart w:id="383" w:name="_Toc199322631"/>
      <w:r>
        <w:rPr>
          <w:rStyle w:val="CharDivNo"/>
        </w:rPr>
        <w:t>Division 1</w:t>
      </w:r>
      <w:r>
        <w:t> — </w:t>
      </w:r>
      <w:r>
        <w:rPr>
          <w:rStyle w:val="CharDivText"/>
        </w:rPr>
        <w:t xml:space="preserve">Provisions for </w:t>
      </w:r>
      <w:r>
        <w:rPr>
          <w:rStyle w:val="CharDivText"/>
          <w:i/>
        </w:rPr>
        <w:t>Planning and Development Amendment Act 2020</w:t>
      </w:r>
      <w:bookmarkEnd w:id="383"/>
    </w:p>
    <w:p>
      <w:pPr>
        <w:pStyle w:val="Footnoteheading"/>
      </w:pPr>
      <w:r>
        <w:tab/>
        <w:t>[Heading inserted: No. 17 of 2022 s. 14.]</w:t>
      </w:r>
    </w:p>
    <w:p>
      <w:pPr>
        <w:pStyle w:val="Heading5"/>
      </w:pPr>
      <w:bookmarkStart w:id="384" w:name="_Toc199322632"/>
      <w:r>
        <w:rPr>
          <w:rStyle w:val="CharSectno"/>
        </w:rPr>
        <w:t>289</w:t>
      </w:r>
      <w:r>
        <w:t>.</w:t>
      </w:r>
      <w:r>
        <w:tab/>
        <w:t>LDAP or JDAP continues as district DAP</w:t>
      </w:r>
      <w:bookmarkEnd w:id="384"/>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 xml:space="preserve">Planning and Development Amendment Act 2020 </w:t>
      </w:r>
      <w:r>
        <w:t>Part 3 comes into operation;</w:t>
      </w:r>
    </w:p>
    <w:p>
      <w:pPr>
        <w:pStyle w:val="Defstart"/>
      </w:pPr>
      <w:r>
        <w:tab/>
      </w:r>
      <w:r>
        <w:rPr>
          <w:rStyle w:val="CharDefText"/>
        </w:rPr>
        <w:t>JDAP</w:t>
      </w:r>
      <w:r>
        <w:t xml:space="preserve"> has the meaning given in section 4(1) as in force immediately before commencement day;</w:t>
      </w:r>
    </w:p>
    <w:p>
      <w:pPr>
        <w:pStyle w:val="Defstart"/>
      </w:pPr>
      <w:r>
        <w:tab/>
      </w:r>
      <w:r>
        <w:rPr>
          <w:rStyle w:val="CharDefText"/>
        </w:rPr>
        <w:t>LDAP</w:t>
      </w:r>
      <w:r>
        <w:t xml:space="preserve"> has the meaning given in section 4(1) as in force immediately before commencement day.</w:t>
      </w:r>
    </w:p>
    <w:p>
      <w:pPr>
        <w:pStyle w:val="Subsection"/>
      </w:pPr>
      <w:r>
        <w:tab/>
        <w:t>(2)</w:t>
      </w:r>
      <w:r>
        <w:tab/>
        <w:t>If, immediately before commencement day, there is an LDAP for a district, the LDAP is taken, on and after commencement day, to be a district DAP established under section 171C(1)(a) for the district.</w:t>
      </w:r>
    </w:p>
    <w:p>
      <w:pPr>
        <w:pStyle w:val="Subsection"/>
      </w:pPr>
      <w:r>
        <w:tab/>
        <w:t>(3)</w:t>
      </w:r>
      <w:r>
        <w:tab/>
        <w:t>If, immediately before commencement day, there is a JDAP for 2 or more districts, the JDAP is taken, on and after commencement day, to be a district DAP established under section 171C(1)(a) for those districts.</w:t>
      </w:r>
    </w:p>
    <w:p>
      <w:pPr>
        <w:pStyle w:val="Subsection"/>
      </w:pPr>
      <w:r>
        <w:tab/>
        <w:t>(4)</w:t>
      </w:r>
      <w:r>
        <w:tab/>
        <w:t>An order establishing an LDAP or a JDAP to which subsection (2) or (3) applies continues to have effect on and after commencement day as if it were an order establishing a district DAP under section 171C(1)(a) and may be amended or revoked accordingly.</w:t>
      </w:r>
    </w:p>
    <w:p>
      <w:pPr>
        <w:pStyle w:val="Footnotesection"/>
      </w:pPr>
      <w:r>
        <w:tab/>
        <w:t>[Section 289 inserted: No. 26 of 2020 s. 105.]</w:t>
      </w:r>
    </w:p>
    <w:p>
      <w:pPr>
        <w:pStyle w:val="Heading5"/>
      </w:pPr>
      <w:bookmarkStart w:id="385" w:name="_Toc199322633"/>
      <w:r>
        <w:rPr>
          <w:rStyle w:val="CharSectno"/>
        </w:rPr>
        <w:lastRenderedPageBreak/>
        <w:t>290</w:t>
      </w:r>
      <w:r>
        <w:t>.</w:t>
      </w:r>
      <w:r>
        <w:tab/>
        <w:t>Preparation and approval of planning schemes where process commenced before commencement day</w:t>
      </w:r>
      <w:bookmarkEnd w:id="385"/>
    </w:p>
    <w:p>
      <w:pPr>
        <w:pStyle w:val="Subsection"/>
      </w:pPr>
      <w:r>
        <w:tab/>
        <w:t>(1)</w:t>
      </w:r>
      <w:r>
        <w:tab/>
        <w:t xml:space="preserve">In this section — </w:t>
      </w:r>
    </w:p>
    <w:p>
      <w:pPr>
        <w:pStyle w:val="Defstart"/>
      </w:pPr>
      <w:r>
        <w:tab/>
      </w:r>
      <w:r>
        <w:rPr>
          <w:rStyle w:val="CharDefText"/>
        </w:rPr>
        <w:t>amended Act</w:t>
      </w:r>
      <w:r>
        <w:t xml:space="preserve"> means this Act as amended by the </w:t>
      </w:r>
      <w:r>
        <w:rPr>
          <w:i/>
        </w:rPr>
        <w:t>Planning and Development Amendment Act 2020</w:t>
      </w:r>
      <w:r>
        <w:t xml:space="preserve"> Part 6 Division 1;</w:t>
      </w:r>
    </w:p>
    <w:p>
      <w:pPr>
        <w:pStyle w:val="Defstart"/>
      </w:pPr>
      <w:r>
        <w:tab/>
      </w:r>
      <w:r>
        <w:rPr>
          <w:rStyle w:val="CharDefText"/>
        </w:rPr>
        <w:t>commencement day</w:t>
      </w:r>
      <w:r>
        <w:t xml:space="preserve"> means the day on which the </w:t>
      </w:r>
      <w:r>
        <w:rPr>
          <w:i/>
        </w:rPr>
        <w:t>Planning and Development Amendment Act 2020</w:t>
      </w:r>
      <w:r>
        <w:t xml:space="preserve"> Part 6 Division 1 comes into operation;</w:t>
      </w:r>
    </w:p>
    <w:p>
      <w:pPr>
        <w:pStyle w:val="Defstart"/>
      </w:pPr>
      <w:r>
        <w:tab/>
      </w:r>
      <w:r>
        <w:rPr>
          <w:rStyle w:val="CharDefText"/>
        </w:rPr>
        <w:t>former Act</w:t>
      </w:r>
      <w:r>
        <w:t xml:space="preserve"> means this Act as in force immediately before commencement day;</w:t>
      </w:r>
    </w:p>
    <w:p>
      <w:pPr>
        <w:pStyle w:val="Defstart"/>
      </w:pPr>
      <w:r>
        <w:tab/>
      </w:r>
      <w:r>
        <w:rPr>
          <w:rStyle w:val="CharDefText"/>
        </w:rPr>
        <w:t>preparation and approval process</w:t>
      </w:r>
      <w:r>
        <w:t xml:space="preserve">, in relation to a planning scheme or amendment to a planning scheme — </w:t>
      </w:r>
    </w:p>
    <w:p>
      <w:pPr>
        <w:pStyle w:val="Defpara"/>
      </w:pPr>
      <w:r>
        <w:tab/>
        <w:t>(a)</w:t>
      </w:r>
      <w:r>
        <w:tab/>
        <w:t>means the process for the preparation or adoption, submission and approval of the scheme or amendment; and</w:t>
      </w:r>
    </w:p>
    <w:p>
      <w:pPr>
        <w:pStyle w:val="Defpara"/>
      </w:pPr>
      <w:r>
        <w:tab/>
        <w:t>(b)</w:t>
      </w:r>
      <w:r>
        <w:tab/>
        <w:t>includes, without limitation, any consultation, referral, advertisement, hearings, reports and consideration of submissions that occur as part of that process.</w:t>
      </w:r>
    </w:p>
    <w:p>
      <w:pPr>
        <w:pStyle w:val="Subsection"/>
      </w:pPr>
      <w:r>
        <w:tab/>
        <w:t>(2)</w:t>
      </w:r>
      <w:r>
        <w:tab/>
        <w:t xml:space="preserve">The regulations may make provision for how the preparation and approval process for a planning scheme or an amendment to a planning scheme is to be completed if — </w:t>
      </w:r>
    </w:p>
    <w:p>
      <w:pPr>
        <w:pStyle w:val="Indenta"/>
      </w:pPr>
      <w:r>
        <w:tab/>
        <w:t>(a)</w:t>
      </w:r>
      <w:r>
        <w:tab/>
        <w:t>1 or more steps in the preparation and approval process for the scheme or amendment are taken before commencement day under the former Act; but</w:t>
      </w:r>
    </w:p>
    <w:p>
      <w:pPr>
        <w:pStyle w:val="Indenta"/>
      </w:pPr>
      <w:r>
        <w:tab/>
        <w:t>(b)</w:t>
      </w:r>
      <w:r>
        <w:tab/>
        <w:t>the scheme or amendment is not approved under the former Act before commencement day.</w:t>
      </w:r>
    </w:p>
    <w:p>
      <w:pPr>
        <w:pStyle w:val="Subsection"/>
      </w:pPr>
      <w:r>
        <w:tab/>
        <w:t>(3)</w:t>
      </w:r>
      <w:r>
        <w:tab/>
        <w:t>Without limiting subsection (2), the regulations may provide that any requirement of the preparation and approval process under the amended Act is taken to be satisfied in relation to a planning scheme or amendment referred to in that subsection in circumstances prescribed by the regulations.</w:t>
      </w:r>
    </w:p>
    <w:p>
      <w:pPr>
        <w:pStyle w:val="Footnotesection"/>
      </w:pPr>
      <w:r>
        <w:tab/>
        <w:t>[Section 290 inserted: No. 26 of 2020 s. 105.]</w:t>
      </w:r>
    </w:p>
    <w:p>
      <w:pPr>
        <w:pStyle w:val="Heading5"/>
      </w:pPr>
      <w:bookmarkStart w:id="386" w:name="_Toc199322634"/>
      <w:r>
        <w:rPr>
          <w:rStyle w:val="CharSectno"/>
        </w:rPr>
        <w:lastRenderedPageBreak/>
        <w:t>291</w:t>
      </w:r>
      <w:r>
        <w:t>.</w:t>
      </w:r>
      <w:r>
        <w:tab/>
        <w:t>R</w:t>
      </w:r>
      <w:r>
        <w:noBreakHyphen/>
        <w:t>Codes taken to be planning codes</w:t>
      </w:r>
      <w:bookmarkEnd w:id="386"/>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Planning and Development Amendment Act 2020</w:t>
      </w:r>
      <w:r>
        <w:t xml:space="preserve"> section 65 comes into operation;</w:t>
      </w:r>
    </w:p>
    <w:p>
      <w:pPr>
        <w:pStyle w:val="Defstart"/>
      </w:pPr>
      <w:r>
        <w:tab/>
      </w:r>
      <w:r>
        <w:rPr>
          <w:rStyle w:val="CharDefText"/>
        </w:rPr>
        <w:t>R</w:t>
      </w:r>
      <w:r>
        <w:rPr>
          <w:rStyle w:val="CharDefText"/>
        </w:rPr>
        <w:noBreakHyphen/>
        <w:t>Codes</w:t>
      </w:r>
      <w:r>
        <w:t xml:space="preserve"> means the Residential Design Codes prepared as a State planning policy under section 26(1), as in force immediately before commencement day.</w:t>
      </w:r>
    </w:p>
    <w:p>
      <w:pPr>
        <w:pStyle w:val="Subsection"/>
      </w:pPr>
      <w:r>
        <w:tab/>
        <w:t>(2)</w:t>
      </w:r>
      <w:r>
        <w:tab/>
        <w:t>On and after commencement day, the R</w:t>
      </w:r>
      <w:r>
        <w:noBreakHyphen/>
        <w:t>Codes are taken to be planning codes.</w:t>
      </w:r>
    </w:p>
    <w:p>
      <w:pPr>
        <w:pStyle w:val="Subsection"/>
      </w:pPr>
      <w:r>
        <w:tab/>
        <w:t>(3)</w:t>
      </w:r>
      <w:r>
        <w:tab/>
        <w:t>Subsection (2) does not prevent the R</w:t>
      </w:r>
      <w:r>
        <w:noBreakHyphen/>
        <w:t>Codes from being amended or repealed under Part 3A.</w:t>
      </w:r>
    </w:p>
    <w:p>
      <w:pPr>
        <w:pStyle w:val="Subsection"/>
      </w:pPr>
      <w:r>
        <w:tab/>
        <w:t>(4)</w:t>
      </w:r>
      <w:r>
        <w:tab/>
        <w:t>A provision included before commencement day in a local planning scheme under section 77(1)(b), or an improvement scheme under section 77(1)(b) as it applies under section 122B(1), in relation to the R</w:t>
      </w:r>
      <w:r>
        <w:noBreakHyphen/>
        <w:t>Codes as State planning policies continues to apply on and after commencement day in relation to the R</w:t>
      </w:r>
      <w:r>
        <w:noBreakHyphen/>
        <w:t>Codes as planning codes.</w:t>
      </w:r>
    </w:p>
    <w:p>
      <w:pPr>
        <w:pStyle w:val="Footnotesection"/>
      </w:pPr>
      <w:r>
        <w:tab/>
        <w:t>[Section 291 inserted: No. 26 of 2020 s. 105.]</w:t>
      </w:r>
    </w:p>
    <w:p>
      <w:pPr>
        <w:pStyle w:val="Heading5"/>
      </w:pPr>
      <w:bookmarkStart w:id="387" w:name="_Toc199322635"/>
      <w:r>
        <w:rPr>
          <w:rStyle w:val="CharSectno"/>
        </w:rPr>
        <w:t>292</w:t>
      </w:r>
      <w:r>
        <w:t>.</w:t>
      </w:r>
      <w:r>
        <w:tab/>
        <w:t>Regulations made by Minister continue in force</w:t>
      </w:r>
      <w:bookmarkEnd w:id="387"/>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 xml:space="preserve">Planning and Development Amendment Act 2020 </w:t>
      </w:r>
      <w:r>
        <w:t>Part 8 comes into operation.</w:t>
      </w:r>
    </w:p>
    <w:p>
      <w:pPr>
        <w:pStyle w:val="Subsection"/>
      </w:pPr>
      <w:r>
        <w:tab/>
        <w:t>(2)</w:t>
      </w:r>
      <w:r>
        <w:tab/>
        <w:t>Regulations made by the Minister under section 256 before commencement day continue to have effect on and after commencement day as if they were made by the Governor under section 256 and may be amended or repealed accordingly.</w:t>
      </w:r>
    </w:p>
    <w:p>
      <w:pPr>
        <w:pStyle w:val="Subsection"/>
      </w:pPr>
      <w:r>
        <w:tab/>
        <w:t>(3)</w:t>
      </w:r>
      <w:r>
        <w:tab/>
        <w:t xml:space="preserve">Regulations made by the Minister under section 258 before commencement day continue to have effect on and after </w:t>
      </w:r>
      <w:r>
        <w:lastRenderedPageBreak/>
        <w:t>commencement day as if they were made by the Governor under section 258 and may be amended or repealed accordingly.</w:t>
      </w:r>
    </w:p>
    <w:p>
      <w:pPr>
        <w:pStyle w:val="Subsection"/>
      </w:pPr>
      <w:r>
        <w:tab/>
        <w:t>(4)</w:t>
      </w:r>
      <w:r>
        <w:tab/>
        <w:t>Regulations made by the Minister under section 259 before commencement day continue to have effect on and after commencement day as if they were made by the Governor under section 259 and may be amended or repealed accordingly.</w:t>
      </w:r>
    </w:p>
    <w:p>
      <w:pPr>
        <w:pStyle w:val="Footnotesection"/>
      </w:pPr>
      <w:r>
        <w:tab/>
        <w:t>[Section 292 inserted: No. 26 of 2020 s. 105.]</w:t>
      </w:r>
    </w:p>
    <w:p>
      <w:pPr>
        <w:pStyle w:val="Heading5"/>
      </w:pPr>
      <w:bookmarkStart w:id="388" w:name="_Toc199322636"/>
      <w:r>
        <w:rPr>
          <w:rStyle w:val="CharSectno"/>
        </w:rPr>
        <w:t>293</w:t>
      </w:r>
      <w:r>
        <w:t>.</w:t>
      </w:r>
      <w:r>
        <w:tab/>
        <w:t>Electronic planning maps prepared before commencement day</w:t>
      </w:r>
      <w:bookmarkEnd w:id="388"/>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Planning and Development Amendment Act 2020</w:t>
      </w:r>
      <w:r>
        <w:t xml:space="preserve"> Part 14 comes into operation.</w:t>
      </w:r>
    </w:p>
    <w:p>
      <w:pPr>
        <w:pStyle w:val="Subsection"/>
      </w:pPr>
      <w:r>
        <w:tab/>
        <w:t>(2)</w:t>
      </w:r>
      <w:r>
        <w:tab/>
        <w:t>This section applies if, before commencement day, a map that forms part of a planning instrument (as defined in section 267B(1)) has been prepared as an electronic map.</w:t>
      </w:r>
    </w:p>
    <w:p>
      <w:pPr>
        <w:pStyle w:val="Subsection"/>
      </w:pPr>
      <w:r>
        <w:tab/>
        <w:t>(3)</w:t>
      </w:r>
      <w:r>
        <w:tab/>
        <w:t>The Commission may, in writing, approve the electronic map if the Commission is satisfied that it substantially complies with the requirements for electronic planning maps under section 267B(3) to (5).</w:t>
      </w:r>
    </w:p>
    <w:p>
      <w:pPr>
        <w:pStyle w:val="Subsection"/>
      </w:pPr>
      <w:r>
        <w:tab/>
        <w:t>(4)</w:t>
      </w:r>
      <w:r>
        <w:tab/>
        <w:t>On and after commencement day, a map approved under subsection (3) is taken to be an electronic planning map prepared in accordance with section 267B.</w:t>
      </w:r>
    </w:p>
    <w:p>
      <w:pPr>
        <w:pStyle w:val="Subsection"/>
      </w:pPr>
      <w:r>
        <w:tab/>
        <w:t>(5)</w:t>
      </w:r>
      <w:r>
        <w:tab/>
        <w:t>A reference in subsection (2) or (3) to a subsection of section 267B is, before commencement day, a reference to that subsection as it will be in force on commencement day.</w:t>
      </w:r>
    </w:p>
    <w:p>
      <w:pPr>
        <w:pStyle w:val="Footnotesection"/>
      </w:pPr>
      <w:r>
        <w:tab/>
        <w:t>[Section 293 inserted: No. 26 of 2020 s. 105.]</w:t>
      </w:r>
    </w:p>
    <w:p>
      <w:pPr>
        <w:pStyle w:val="Heading5"/>
      </w:pPr>
      <w:bookmarkStart w:id="389" w:name="_Toc199322637"/>
      <w:r>
        <w:rPr>
          <w:rStyle w:val="CharSectno"/>
        </w:rPr>
        <w:t>294</w:t>
      </w:r>
      <w:r>
        <w:t>.</w:t>
      </w:r>
      <w:r>
        <w:tab/>
        <w:t>Transitional regulations</w:t>
      </w:r>
      <w:bookmarkEnd w:id="389"/>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keepNext/>
      </w:pPr>
      <w:r>
        <w:lastRenderedPageBreak/>
        <w:tab/>
      </w:r>
      <w:r>
        <w:fldChar w:fldCharType="begin"/>
      </w:r>
      <w:r>
        <w:instrText xml:space="preserve"> LISTNUM DefinitionNumbers \l1 </w:instrText>
      </w:r>
      <w:r>
        <w:fldChar w:fldCharType="end">
          <w:numberingChange w:id="390" w:author="Jessica Caddy" w:date="2020-09-10T11:18:00Z" w:original=""/>
        </w:fldChar>
      </w:r>
      <w:r>
        <w:rPr>
          <w:rStyle w:val="CharDefText"/>
        </w:rPr>
        <w:t>transitional matter</w:t>
      </w:r>
      <w:r>
        <w:t xml:space="preserve"> — </w:t>
      </w:r>
    </w:p>
    <w:p>
      <w:pPr>
        <w:pStyle w:val="Defpara"/>
      </w:pPr>
      <w:r>
        <w:tab/>
        <w:t>(a)</w:t>
      </w:r>
      <w:r>
        <w:tab/>
        <w:t xml:space="preserve">means a matter or issue of a transitional nature that arises as a result of any of the amendments to this Act made by the </w:t>
      </w:r>
      <w:r>
        <w:rPr>
          <w:i/>
        </w:rPr>
        <w:t>Planning and Development Amendment Act 2020</w:t>
      </w:r>
      <w:r>
        <w:t>; and</w:t>
      </w:r>
    </w:p>
    <w:p>
      <w:pPr>
        <w:pStyle w:val="Defpara"/>
      </w:pPr>
      <w:r>
        <w:tab/>
        <w:t>(b)</w:t>
      </w:r>
      <w:r>
        <w:tab/>
        <w:t>includes a saving or application matter.</w:t>
      </w:r>
    </w:p>
    <w:p>
      <w:pPr>
        <w:pStyle w:val="Subsection"/>
      </w:pPr>
      <w:r>
        <w:tab/>
        <w:t>(2)</w:t>
      </w:r>
      <w:r>
        <w:tab/>
        <w:t>If there is not sufficient provision in this Act for dealing with a transitional matter, regulations may prescribe all matters that are required, or are necessary or convenient, to be prescribed for dealing with the matter.</w:t>
      </w:r>
    </w:p>
    <w:p>
      <w:pPr>
        <w:pStyle w:val="Subsection"/>
      </w:pPr>
      <w:r>
        <w:tab/>
        <w:t>(3)</w:t>
      </w:r>
      <w:r>
        <w:tab/>
        <w:t xml:space="preserve">If regulations made under subsection (2) provide that a specified state of affairs is taken to have existed, or not to have existed, on and from a day that is earlier than the day on which the regulations are published in the </w:t>
      </w:r>
      <w:r>
        <w:rPr>
          <w:i/>
        </w:rPr>
        <w:t>Gazette</w:t>
      </w:r>
      <w:r>
        <w:t xml:space="preserve"> but not earlier than the day on which the </w:t>
      </w:r>
      <w:r>
        <w:rPr>
          <w:i/>
        </w:rPr>
        <w:t>Planning and Development Amendment Act 2020</w:t>
      </w:r>
      <w:r>
        <w:t xml:space="preserve"> Part 17 comes into operation, the regulations have effect according to their terms.</w:t>
      </w:r>
    </w:p>
    <w:p>
      <w:pPr>
        <w:pStyle w:val="Subsection"/>
      </w:pPr>
      <w:r>
        <w:tab/>
        <w:t>(4)</w:t>
      </w:r>
      <w:r>
        <w:tab/>
        <w:t xml:space="preserve">If regulations made under subsection (2) contain a provision of a kind described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294 inserted: No. 26 of 2020 s. 105.]</w:t>
      </w:r>
    </w:p>
    <w:p>
      <w:pPr>
        <w:pStyle w:val="Heading3"/>
      </w:pPr>
      <w:bookmarkStart w:id="391" w:name="_Toc199322638"/>
      <w:r>
        <w:rPr>
          <w:rStyle w:val="CharDivNo"/>
        </w:rPr>
        <w:lastRenderedPageBreak/>
        <w:t>Division 2</w:t>
      </w:r>
      <w:r>
        <w:t> — </w:t>
      </w:r>
      <w:r>
        <w:rPr>
          <w:rStyle w:val="CharDivText"/>
        </w:rPr>
        <w:t xml:space="preserve">Provisions for </w:t>
      </w:r>
      <w:r>
        <w:rPr>
          <w:rStyle w:val="CharDivText"/>
          <w:i/>
        </w:rPr>
        <w:t>Planning and Development Amendment Act 2022</w:t>
      </w:r>
      <w:bookmarkEnd w:id="391"/>
    </w:p>
    <w:p>
      <w:pPr>
        <w:pStyle w:val="Footnoteheading"/>
        <w:keepNext/>
      </w:pPr>
      <w:r>
        <w:tab/>
        <w:t>[Heading inserted: No. 17 of 2022 s. 15.]</w:t>
      </w:r>
    </w:p>
    <w:p>
      <w:pPr>
        <w:pStyle w:val="Heading5"/>
      </w:pPr>
      <w:bookmarkStart w:id="392" w:name="_Toc199322639"/>
      <w:r>
        <w:rPr>
          <w:rStyle w:val="CharSectno"/>
        </w:rPr>
        <w:t>295</w:t>
      </w:r>
      <w:r>
        <w:t>.</w:t>
      </w:r>
      <w:r>
        <w:tab/>
        <w:t>Amendments to development approvals</w:t>
      </w:r>
      <w:bookmarkEnd w:id="392"/>
    </w:p>
    <w:p>
      <w:pPr>
        <w:pStyle w:val="Subsection"/>
      </w:pPr>
      <w:r>
        <w:tab/>
      </w:r>
      <w:r>
        <w:tab/>
        <w:t xml:space="preserve">The amendments made by the </w:t>
      </w:r>
      <w:r>
        <w:rPr>
          <w:i/>
        </w:rPr>
        <w:t>Planning and Development Amendment Act 2022</w:t>
      </w:r>
      <w:r>
        <w:t xml:space="preserve"> sections 9 to 12 apply to an approval for development whether granted by the Commission before, on or after the day on which those sections come into operation.</w:t>
      </w:r>
    </w:p>
    <w:p>
      <w:pPr>
        <w:pStyle w:val="Footnotesection"/>
      </w:pPr>
      <w:r>
        <w:tab/>
        <w:t>[Section 295 inserted: No. 17 of 2022 s. 15.]</w:t>
      </w:r>
    </w:p>
    <w:p>
      <w:pPr>
        <w:pStyle w:val="Heading5"/>
      </w:pPr>
      <w:bookmarkStart w:id="393" w:name="_Toc199322640"/>
      <w:r>
        <w:rPr>
          <w:rStyle w:val="CharSectno"/>
        </w:rPr>
        <w:t>296</w:t>
      </w:r>
      <w:r>
        <w:t>.</w:t>
      </w:r>
      <w:r>
        <w:tab/>
        <w:t>Fees</w:t>
      </w:r>
      <w:bookmarkEnd w:id="393"/>
    </w:p>
    <w:p>
      <w:pPr>
        <w:pStyle w:val="Subsection"/>
      </w:pPr>
      <w:r>
        <w:tab/>
        <w:t>(1)</w:t>
      </w:r>
      <w:r>
        <w:tab/>
        <w:t xml:space="preserve">The development applications (as defined in section 269(1)) to which the </w:t>
      </w:r>
      <w:r>
        <w:rPr>
          <w:i/>
        </w:rPr>
        <w:t>Planning and Development (Part 17 Fees) Notice 2020</w:t>
      </w:r>
      <w:r>
        <w:t xml:space="preserve"> clause 4(1)(a) and (2) apply (subject to clause 4(5)) include a development application (as defined in section 269(1)) to be determined by the Commission under section 274 as a result of an amendment made to Part 17 by the </w:t>
      </w:r>
      <w:r>
        <w:rPr>
          <w:i/>
        </w:rPr>
        <w:t>Planning and Development Amendment Act 2022</w:t>
      </w:r>
      <w:r>
        <w:t>.</w:t>
      </w:r>
    </w:p>
    <w:p>
      <w:pPr>
        <w:pStyle w:val="Subsection"/>
      </w:pPr>
      <w:r>
        <w:tab/>
        <w:t>(2)</w:t>
      </w:r>
      <w:r>
        <w:tab/>
        <w:t xml:space="preserve">The applications made under section 279(2) to which the </w:t>
      </w:r>
      <w:r>
        <w:rPr>
          <w:i/>
        </w:rPr>
        <w:t>Planning and Development (Part 17 Fees) Notice 2020</w:t>
      </w:r>
      <w:r>
        <w:t xml:space="preserve"> clause 4(1)(b) applies include an application made under section 279(2) for an amendment of the kind referred to in section 279(2)(aa) as inserted by the </w:t>
      </w:r>
      <w:r>
        <w:rPr>
          <w:i/>
        </w:rPr>
        <w:t>Planning and Development Amendment Act 2022</w:t>
      </w:r>
      <w:r>
        <w:t>.</w:t>
      </w:r>
    </w:p>
    <w:p>
      <w:pPr>
        <w:pStyle w:val="Subsection"/>
      </w:pPr>
      <w:r>
        <w:tab/>
        <w:t>(3)</w:t>
      </w:r>
      <w:r>
        <w:tab/>
        <w:t xml:space="preserve">This section does not limit or otherwise affect the Minister’s power to amend, repeal or replace the </w:t>
      </w:r>
      <w:r>
        <w:rPr>
          <w:i/>
        </w:rPr>
        <w:t xml:space="preserve">Planning and Development (Part 17 Fees) Notice 2020 </w:t>
      </w:r>
      <w:r>
        <w:t>by a further notice published under section 285.</w:t>
      </w:r>
    </w:p>
    <w:p>
      <w:pPr>
        <w:pStyle w:val="Footnotesection"/>
      </w:pPr>
      <w:r>
        <w:tab/>
        <w:t>[Section 296 inserted: No. 17 of 2022 s. 15.]</w:t>
      </w:r>
    </w:p>
    <w:p>
      <w:pPr>
        <w:rPr>
          <w:rStyle w:val="CharDivText"/>
        </w:r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394" w:name="_Toc199322641"/>
      <w:r>
        <w:rPr>
          <w:rStyle w:val="CharSchNo"/>
        </w:rPr>
        <w:lastRenderedPageBreak/>
        <w:t>Schedule 1</w:t>
      </w:r>
      <w:r>
        <w:rPr>
          <w:rStyle w:val="CharSDivNo"/>
        </w:rPr>
        <w:t> </w:t>
      </w:r>
      <w:r>
        <w:t>—</w:t>
      </w:r>
      <w:r>
        <w:rPr>
          <w:rStyle w:val="CharSDivText"/>
        </w:rPr>
        <w:t> </w:t>
      </w:r>
      <w:r>
        <w:rPr>
          <w:rStyle w:val="CharSchText"/>
        </w:rPr>
        <w:t>Constitution and proceedings of the Board</w:t>
      </w:r>
      <w:bookmarkEnd w:id="394"/>
    </w:p>
    <w:p>
      <w:pPr>
        <w:pStyle w:val="yShoulderClause"/>
      </w:pPr>
      <w:r>
        <w:t>[s. 12]</w:t>
      </w:r>
    </w:p>
    <w:p>
      <w:pPr>
        <w:pStyle w:val="yHeading5"/>
        <w:outlineLvl w:val="9"/>
      </w:pPr>
      <w:bookmarkStart w:id="395" w:name="_Toc199322642"/>
      <w:r>
        <w:rPr>
          <w:rStyle w:val="CharSClsNo"/>
        </w:rPr>
        <w:t>1</w:t>
      </w:r>
      <w:r>
        <w:t>.</w:t>
      </w:r>
      <w:r>
        <w:tab/>
        <w:t>Term used: appointed member</w:t>
      </w:r>
      <w:bookmarkEnd w:id="395"/>
    </w:p>
    <w:p>
      <w:pPr>
        <w:pStyle w:val="ySubsection"/>
      </w:pPr>
      <w:r>
        <w:tab/>
      </w:r>
      <w:r>
        <w:tab/>
        <w:t xml:space="preserve">In this Schedule — </w:t>
      </w:r>
    </w:p>
    <w:p>
      <w:pPr>
        <w:pStyle w:val="yDefstart"/>
      </w:pPr>
      <w:r>
        <w:rPr>
          <w:b/>
        </w:rPr>
        <w:tab/>
      </w:r>
      <w:r>
        <w:rPr>
          <w:rStyle w:val="CharDefText"/>
        </w:rPr>
        <w:t>appointed member</w:t>
      </w:r>
      <w:r>
        <w:t xml:space="preserve"> means a member appointed under section 10(1)(a) or (b).</w:t>
      </w:r>
    </w:p>
    <w:p>
      <w:pPr>
        <w:pStyle w:val="yHeading5"/>
        <w:outlineLvl w:val="9"/>
      </w:pPr>
      <w:bookmarkStart w:id="396" w:name="_Toc199322643"/>
      <w:r>
        <w:rPr>
          <w:rStyle w:val="CharSClsNo"/>
        </w:rPr>
        <w:t>2</w:t>
      </w:r>
      <w:r>
        <w:t>.</w:t>
      </w:r>
      <w:r>
        <w:tab/>
        <w:t>Term of office</w:t>
      </w:r>
      <w:bookmarkEnd w:id="396"/>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outlineLvl w:val="9"/>
      </w:pPr>
      <w:bookmarkStart w:id="397" w:name="_Toc199322644"/>
      <w:r>
        <w:rPr>
          <w:rStyle w:val="CharSClsNo"/>
        </w:rPr>
        <w:t>3</w:t>
      </w:r>
      <w:r>
        <w:t>.</w:t>
      </w:r>
      <w:r>
        <w:tab/>
        <w:t>Appointments to be part-time unless stated otherwise</w:t>
      </w:r>
      <w:bookmarkEnd w:id="397"/>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outlineLvl w:val="9"/>
      </w:pPr>
      <w:bookmarkStart w:id="398" w:name="_Toc199322645"/>
      <w:r>
        <w:rPr>
          <w:rStyle w:val="CharSClsNo"/>
        </w:rPr>
        <w:t>4</w:t>
      </w:r>
      <w:r>
        <w:t>.</w:t>
      </w:r>
      <w:r>
        <w:tab/>
        <w:t>Vacancies in and removal from office</w:t>
      </w:r>
      <w:bookmarkEnd w:id="398"/>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 or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 or</w:t>
      </w:r>
    </w:p>
    <w:p>
      <w:pPr>
        <w:pStyle w:val="yIndenta"/>
        <w:spacing w:before="60"/>
      </w:pPr>
      <w:r>
        <w:tab/>
        <w:t>(c)</w:t>
      </w:r>
      <w:r>
        <w:tab/>
        <w:t xml:space="preserve">in the case of a member appointed under section 10(1)(b)(i) or (ii) who holds office on the council of a local government </w:t>
      </w:r>
      <w:r>
        <w:lastRenderedPageBreak/>
        <w:t>at the time of appointment, the member ceases to hold office on the council of the local government; or</w:t>
      </w:r>
    </w:p>
    <w:p>
      <w:pPr>
        <w:pStyle w:val="yIndenta"/>
      </w:pPr>
      <w:r>
        <w:tab/>
        <w:t>(d)</w:t>
      </w:r>
      <w:r>
        <w:tab/>
        <w:t>in the case of an appointed member, the appointed member is absent, without leave of the Minister, from 3 consecutive meetings of which the appointed member has had notice; or</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spacing w:before="180"/>
        <w:outlineLvl w:val="9"/>
      </w:pPr>
      <w:bookmarkStart w:id="399" w:name="_Toc199322646"/>
      <w:r>
        <w:rPr>
          <w:rStyle w:val="CharSClsNo"/>
        </w:rPr>
        <w:t>5</w:t>
      </w:r>
      <w:r>
        <w:t>.</w:t>
      </w:r>
      <w:r>
        <w:tab/>
        <w:t>Leave of absence</w:t>
      </w:r>
      <w:bookmarkEnd w:id="399"/>
    </w:p>
    <w:p>
      <w:pPr>
        <w:pStyle w:val="ySubsection"/>
      </w:pPr>
      <w:r>
        <w:tab/>
      </w:r>
      <w:r>
        <w:tab/>
        <w:t>The Minister may grant leave of absence to a member on such terms and conditions as the Minister thinks fit.</w:t>
      </w:r>
    </w:p>
    <w:p>
      <w:pPr>
        <w:pStyle w:val="yHeading5"/>
        <w:spacing w:before="180"/>
        <w:outlineLvl w:val="9"/>
      </w:pPr>
      <w:bookmarkStart w:id="400" w:name="_Toc199322647"/>
      <w:r>
        <w:rPr>
          <w:rStyle w:val="CharSClsNo"/>
        </w:rPr>
        <w:t>6</w:t>
      </w:r>
      <w:r>
        <w:t>.</w:t>
      </w:r>
      <w:r>
        <w:tab/>
        <w:t>Deputy chairperson</w:t>
      </w:r>
      <w:bookmarkEnd w:id="400"/>
    </w:p>
    <w:p>
      <w:pPr>
        <w:pStyle w:val="ySubsection"/>
      </w:pPr>
      <w:r>
        <w:tab/>
        <w:t>(1)</w:t>
      </w:r>
      <w:r>
        <w:tab/>
        <w:t>The Governor, on the recommendation of the Minister, may appoint a person to be deputy chairperson.</w:t>
      </w:r>
    </w:p>
    <w:p>
      <w:pPr>
        <w:pStyle w:val="ySubsection"/>
        <w:spacing w:before="120"/>
      </w:pPr>
      <w:r>
        <w:tab/>
        <w:t>(2)</w:t>
      </w:r>
      <w:r>
        <w:tab/>
        <w:t>A person appointed under subclause (1) may resign as deputy chairperson at any time by written notice given to the Minister.</w:t>
      </w:r>
    </w:p>
    <w:p>
      <w:pPr>
        <w:pStyle w:val="ySubsection"/>
        <w:spacing w:before="120"/>
      </w:pPr>
      <w:r>
        <w:tab/>
        <w:t>(3)</w:t>
      </w:r>
      <w:r>
        <w:tab/>
        <w:t>The Governor, on the recommendation of the Minister, may revoke the appointment of the deputy chairperson.</w:t>
      </w:r>
    </w:p>
    <w:p>
      <w:pPr>
        <w:pStyle w:val="ySubsection"/>
        <w:spacing w:before="120"/>
      </w:pPr>
      <w:r>
        <w:lastRenderedPageBreak/>
        <w:tab/>
        <w:t>(4)</w:t>
      </w:r>
      <w:r>
        <w:tab/>
        <w:t>Where the chairperson is unable to act because of sickness, absence or other cause, the deputy chairperson is to act in the chairperson’s place.</w:t>
      </w:r>
    </w:p>
    <w:p>
      <w:pPr>
        <w:pStyle w:val="ySubsection"/>
      </w:pPr>
      <w:r>
        <w:tab/>
        <w:t>(5)</w:t>
      </w:r>
      <w:r>
        <w:tab/>
        <w:t>No act or omission of the deputy chairperson acting in place of the chairperson under this clause may be questioned on the ground that the occasion for the acting had not arisen or had ceased.</w:t>
      </w:r>
    </w:p>
    <w:p>
      <w:pPr>
        <w:pStyle w:val="yHeading5"/>
        <w:outlineLvl w:val="9"/>
      </w:pPr>
      <w:bookmarkStart w:id="401" w:name="_Toc199322648"/>
      <w:r>
        <w:rPr>
          <w:rStyle w:val="CharSClsNo"/>
        </w:rPr>
        <w:t>7</w:t>
      </w:r>
      <w:r>
        <w:t>.</w:t>
      </w:r>
      <w:r>
        <w:tab/>
        <w:t>Deputy members</w:t>
      </w:r>
      <w:bookmarkEnd w:id="401"/>
    </w:p>
    <w:p>
      <w:pPr>
        <w:pStyle w:val="ySubsection"/>
      </w:pPr>
      <w:r>
        <w:tab/>
        <w:t>(1)</w:t>
      </w:r>
      <w:r>
        <w:tab/>
        <w:t>The Governor may appoint a person to be the deputy of the member referred to in section 10(1)(b)(i) or (ii), in which case section 10(1)(b)(i) or (ii),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outlineLvl w:val="9"/>
      </w:pPr>
      <w:bookmarkStart w:id="402" w:name="_Toc199322649"/>
      <w:r>
        <w:rPr>
          <w:rStyle w:val="CharSClsNo"/>
        </w:rPr>
        <w:t>8</w:t>
      </w:r>
      <w:r>
        <w:t>.</w:t>
      </w:r>
      <w:r>
        <w:tab/>
        <w:t>Meetings</w:t>
      </w:r>
      <w:bookmarkEnd w:id="402"/>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lastRenderedPageBreak/>
        <w:tab/>
        <w:t>(5)</w:t>
      </w:r>
      <w:r>
        <w:tab/>
        <w:t>At any meeting of the board a number of members equal to at least one half of the number of members provided for by section 10 constitute a quorum.</w:t>
      </w:r>
    </w:p>
    <w:p>
      <w:pPr>
        <w:pStyle w:val="ySubsection"/>
      </w:pPr>
      <w:r>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outlineLvl w:val="9"/>
      </w:pPr>
      <w:bookmarkStart w:id="403" w:name="_Toc199322650"/>
      <w:r>
        <w:rPr>
          <w:rStyle w:val="CharSClsNo"/>
        </w:rPr>
        <w:t>9</w:t>
      </w:r>
      <w:r>
        <w:t>.</w:t>
      </w:r>
      <w:r>
        <w:tab/>
        <w:t>Resolution without meeting</w:t>
      </w:r>
      <w:bookmarkEnd w:id="403"/>
    </w:p>
    <w:p>
      <w:pPr>
        <w:pStyle w:val="ySubsection"/>
      </w:pPr>
      <w:r>
        <w:tab/>
      </w:r>
      <w:r>
        <w:tab/>
        <w:t>A written resolution signed by each member or assented to by each member by letter or facsimile is as effectual as if it had been passed at a meeting of the board.</w:t>
      </w:r>
    </w:p>
    <w:p>
      <w:pPr>
        <w:pStyle w:val="yHeading5"/>
        <w:outlineLvl w:val="9"/>
      </w:pPr>
      <w:bookmarkStart w:id="404" w:name="_Toc199322651"/>
      <w:r>
        <w:rPr>
          <w:rStyle w:val="CharSClsNo"/>
        </w:rPr>
        <w:t>10</w:t>
      </w:r>
      <w:r>
        <w:t>.</w:t>
      </w:r>
      <w:r>
        <w:tab/>
        <w:t>Telephone or similar meetings</w:t>
      </w:r>
      <w:bookmarkEnd w:id="404"/>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9"/>
      </w:pPr>
      <w:bookmarkStart w:id="405" w:name="_Toc199322652"/>
      <w:r>
        <w:rPr>
          <w:rStyle w:val="CharSClsNo"/>
        </w:rPr>
        <w:t>11</w:t>
      </w:r>
      <w:r>
        <w:t>.</w:t>
      </w:r>
      <w:r>
        <w:tab/>
        <w:t>Minutes of meetings</w:t>
      </w:r>
      <w:bookmarkEnd w:id="405"/>
    </w:p>
    <w:p>
      <w:pPr>
        <w:pStyle w:val="ySubsection"/>
      </w:pPr>
      <w:r>
        <w:tab/>
      </w:r>
      <w:r>
        <w:tab/>
        <w:t>The board is to cause accurate records to be kept of the proceedings at its meetings.</w:t>
      </w:r>
    </w:p>
    <w:p>
      <w:pPr>
        <w:pStyle w:val="yHeading5"/>
        <w:outlineLvl w:val="9"/>
      </w:pPr>
      <w:bookmarkStart w:id="406" w:name="_Toc199322653"/>
      <w:r>
        <w:rPr>
          <w:rStyle w:val="CharSClsNo"/>
        </w:rPr>
        <w:t>12</w:t>
      </w:r>
      <w:r>
        <w:t>.</w:t>
      </w:r>
      <w:r>
        <w:tab/>
        <w:t>Procedures</w:t>
      </w:r>
      <w:bookmarkEnd w:id="406"/>
    </w:p>
    <w:p>
      <w:pPr>
        <w:pStyle w:val="ySubsection"/>
      </w:pPr>
      <w:r>
        <w:tab/>
      </w:r>
      <w:r>
        <w:tab/>
        <w:t>Subject to this Act, the board is to determine its own procedures.</w:t>
      </w:r>
    </w:p>
    <w:p>
      <w:pPr>
        <w:pStyle w:val="yScheduleHeading"/>
      </w:pPr>
      <w:bookmarkStart w:id="407" w:name="_Toc199322654"/>
      <w:r>
        <w:rPr>
          <w:rStyle w:val="CharSchNo"/>
        </w:rPr>
        <w:lastRenderedPageBreak/>
        <w:t>Schedule 2</w:t>
      </w:r>
      <w:r>
        <w:rPr>
          <w:rStyle w:val="CharSDivNo"/>
        </w:rPr>
        <w:t> </w:t>
      </w:r>
      <w:r>
        <w:t>—</w:t>
      </w:r>
      <w:r>
        <w:rPr>
          <w:rStyle w:val="CharSDivText"/>
        </w:rPr>
        <w:t> </w:t>
      </w:r>
      <w:r>
        <w:rPr>
          <w:rStyle w:val="CharSchText"/>
        </w:rPr>
        <w:t>Committees</w:t>
      </w:r>
      <w:bookmarkEnd w:id="407"/>
    </w:p>
    <w:p>
      <w:pPr>
        <w:pStyle w:val="yShoulderClause"/>
      </w:pPr>
      <w:r>
        <w:t>[s. 19]</w:t>
      </w:r>
    </w:p>
    <w:p>
      <w:pPr>
        <w:pStyle w:val="yHeading5"/>
        <w:outlineLvl w:val="9"/>
      </w:pPr>
      <w:bookmarkStart w:id="408" w:name="_Toc199322655"/>
      <w:r>
        <w:rPr>
          <w:rStyle w:val="CharSClsNo"/>
        </w:rPr>
        <w:t>1</w:t>
      </w:r>
      <w:r>
        <w:t>.</w:t>
      </w:r>
      <w:r>
        <w:tab/>
        <w:t>Committees, general provisions as to</w:t>
      </w:r>
      <w:bookmarkEnd w:id="408"/>
    </w:p>
    <w:p>
      <w:pPr>
        <w:pStyle w:val="ySubsection"/>
      </w:pPr>
      <w:r>
        <w:tab/>
        <w:t>(1)</w:t>
      </w:r>
      <w:r>
        <w:tab/>
        <w:t xml:space="preserve">In addition to the committees established under clauses 3 to 9 and the </w:t>
      </w:r>
      <w:r>
        <w:rPr>
          <w:i/>
        </w:rPr>
        <w:t>Swan Valley Planning Act 2020</w:t>
      </w:r>
      <w:r>
        <w:t xml:space="preserve"> section 33, the Commission may from time to time establish other committees.</w:t>
      </w:r>
    </w:p>
    <w:p>
      <w:pPr>
        <w:pStyle w:val="ySubsection"/>
      </w:pPr>
      <w:r>
        <w:tab/>
        <w:t>(2)</w:t>
      </w:r>
      <w:r>
        <w:tab/>
        <w:t xml:space="preserve">Subject to this Schedule and the </w:t>
      </w:r>
      <w:r>
        <w:rPr>
          <w:i/>
        </w:rPr>
        <w:t>Swan Valley Planning Act 2020</w:t>
      </w:r>
      <w:r>
        <w:t xml:space="preserv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 or</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 xml:space="preserve">The Commission may give directions to a committee with respect to the performance of its functions, either generally or with respect to a </w:t>
      </w:r>
      <w:r>
        <w:lastRenderedPageBreak/>
        <w:t>particular matter, and the committee is to give effect to those directions.</w:t>
      </w:r>
    </w:p>
    <w:p>
      <w:pPr>
        <w:pStyle w:val="ySubsection"/>
      </w:pPr>
      <w:r>
        <w:tab/>
        <w:t>(6)</w:t>
      </w:r>
      <w:r>
        <w:tab/>
        <w:t xml:space="preserve">Subject to the directions of the Commission and to the terms of any delegation under section 16 or the </w:t>
      </w:r>
      <w:r>
        <w:rPr>
          <w:i/>
        </w:rPr>
        <w:t>Swan Valley Planning Act 2020</w:t>
      </w:r>
      <w:r>
        <w:t xml:space="preserve"> section 34, a committee may determine its own procedures.</w:t>
      </w:r>
    </w:p>
    <w:p>
      <w:pPr>
        <w:pStyle w:val="yFootnotesection"/>
      </w:pPr>
      <w:r>
        <w:tab/>
        <w:t>[Clause 1 amended: No. 45 of 2020 s. 94.]</w:t>
      </w:r>
    </w:p>
    <w:p>
      <w:pPr>
        <w:pStyle w:val="yHeading5"/>
        <w:outlineLvl w:val="9"/>
      </w:pPr>
      <w:bookmarkStart w:id="409" w:name="_Toc199322656"/>
      <w:r>
        <w:rPr>
          <w:rStyle w:val="CharSClsNo"/>
        </w:rPr>
        <w:t>2</w:t>
      </w:r>
      <w:r>
        <w:t>.</w:t>
      </w:r>
      <w:r>
        <w:tab/>
        <w:t>Deputy members for local government representatives</w:t>
      </w:r>
      <w:bookmarkEnd w:id="409"/>
    </w:p>
    <w:p>
      <w:pPr>
        <w:pStyle w:val="ySubsection"/>
      </w:pPr>
      <w:r>
        <w:tab/>
        <w:t>(1)</w:t>
      </w:r>
      <w:r>
        <w:tab/>
        <w:t xml:space="preserve">The Commission, with the approval of the Minister, may appoint a person to be a deputy of a member of a committee appointed under clause 4(2)(f), 5(2)(f), 6(2)(j), 7(2)(h) or (i) or 8(2)(d) or under the </w:t>
      </w:r>
      <w:r>
        <w:rPr>
          <w:i/>
        </w:rPr>
        <w:t>Swan Valley Planning Act 2020</w:t>
      </w:r>
      <w:r>
        <w:t xml:space="preserve"> section 33(2)(c).</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Footnotesection"/>
      </w:pPr>
      <w:r>
        <w:tab/>
        <w:t>[Clause 2 amended: No. 45 of 2020 s. 95.]</w:t>
      </w:r>
    </w:p>
    <w:p>
      <w:pPr>
        <w:pStyle w:val="yHeading5"/>
        <w:outlineLvl w:val="9"/>
      </w:pPr>
      <w:bookmarkStart w:id="410" w:name="_Toc199322657"/>
      <w:r>
        <w:rPr>
          <w:rStyle w:val="CharSClsNo"/>
        </w:rPr>
        <w:t>3</w:t>
      </w:r>
      <w:r>
        <w:t>.</w:t>
      </w:r>
      <w:r>
        <w:tab/>
        <w:t>Executive, Finance and Property Committee</w:t>
      </w:r>
      <w:bookmarkEnd w:id="410"/>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one other member of the board appointed by the Commission; and</w:t>
      </w:r>
    </w:p>
    <w:p>
      <w:pPr>
        <w:pStyle w:val="yIndenta"/>
      </w:pPr>
      <w:r>
        <w:lastRenderedPageBreak/>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outlineLvl w:val="9"/>
      </w:pPr>
      <w:bookmarkStart w:id="411" w:name="_Toc199322658"/>
      <w:r>
        <w:rPr>
          <w:rStyle w:val="CharSClsNo"/>
        </w:rPr>
        <w:t>4</w:t>
      </w:r>
      <w:r>
        <w:t>.</w:t>
      </w:r>
      <w:r>
        <w:tab/>
        <w:t>Statutory Planning Committee</w:t>
      </w:r>
      <w:bookmarkEnd w:id="411"/>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tab/>
        <w:t>(c)</w:t>
      </w:r>
      <w:r>
        <w:tab/>
        <w:t>the member of the board referred to in section 10(1)(c)(viii) or a deputy appointed under subclause (3); and</w:t>
      </w:r>
    </w:p>
    <w:p>
      <w:pPr>
        <w:pStyle w:val="yIndenta"/>
      </w:pPr>
      <w:r>
        <w:tab/>
        <w:t>(d)</w:t>
      </w:r>
      <w:r>
        <w:tab/>
        <w:t>a person approved by the Minister and appointed by the Commission as having practical knowledge of and experience in community affairs; and</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lastRenderedPageBreak/>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w:t>
      </w:r>
      <w:r>
        <w:rPr>
          <w:szCs w:val="22"/>
        </w:rPr>
        <w:t xml:space="preserve">Part 3 </w:t>
      </w:r>
      <w:r>
        <w:t xml:space="preserve">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w:t>
      </w:r>
      <w:r>
        <w:rPr>
          <w:szCs w:val="22"/>
        </w:rPr>
        <w:t>Part 3</w:t>
      </w:r>
      <w:r>
        <w:t xml:space="preserve">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5 persons, each of whom is the chairperson of a district planning committee (other than the District Planning Committee for the City of Perth), or persons nominated by those persons and approved by the Minister.</w:t>
      </w:r>
    </w:p>
    <w:p>
      <w:pPr>
        <w:pStyle w:val="yFootnotesection"/>
      </w:pPr>
      <w:r>
        <w:tab/>
        <w:t>[Clause 4 amended: No. 30 of 2018 s. 170.]</w:t>
      </w:r>
    </w:p>
    <w:p>
      <w:pPr>
        <w:pStyle w:val="yHeading5"/>
        <w:outlineLvl w:val="9"/>
      </w:pPr>
      <w:bookmarkStart w:id="412" w:name="_Toc199322659"/>
      <w:r>
        <w:rPr>
          <w:rStyle w:val="CharSClsNo"/>
        </w:rPr>
        <w:t>5</w:t>
      </w:r>
      <w:r>
        <w:t>.</w:t>
      </w:r>
      <w:r>
        <w:tab/>
        <w:t>Sustainable Transport Committee</w:t>
      </w:r>
      <w:bookmarkEnd w:id="412"/>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 and</w:t>
      </w:r>
    </w:p>
    <w:p>
      <w:pPr>
        <w:pStyle w:val="yIndenta"/>
      </w:pPr>
      <w:r>
        <w:tab/>
        <w:t>(b)</w:t>
      </w:r>
      <w:r>
        <w:tab/>
        <w:t>the chief executive officer, or a person nominated by that person and approved by the Minister; and</w:t>
      </w:r>
    </w:p>
    <w:p>
      <w:pPr>
        <w:pStyle w:val="yIndenta"/>
      </w:pPr>
      <w:r>
        <w:lastRenderedPageBreak/>
        <w:tab/>
        <w:t>(c)</w:t>
      </w:r>
      <w:r>
        <w:tab/>
        <w:t>the member of the board referred to in section 10(1)(c)(viii) or a deputy appointed under subclause (3); and</w:t>
      </w:r>
    </w:p>
    <w:p>
      <w:pPr>
        <w:pStyle w:val="yIndenta"/>
      </w:pPr>
      <w:r>
        <w:tab/>
        <w:t>(d)</w:t>
      </w:r>
      <w:r>
        <w:tab/>
        <w:t>the member of the board referred to in section 10(1)(c)(iii), or a person nominated by that person and approved by the Minister; and</w:t>
      </w:r>
    </w:p>
    <w:p>
      <w:pPr>
        <w:pStyle w:val="yIndenta"/>
      </w:pPr>
      <w:r>
        <w:tab/>
        <w:t>(e)</w:t>
      </w:r>
      <w:r>
        <w:tab/>
        <w:t xml:space="preserve">the Commissioner as defined in the </w:t>
      </w:r>
      <w:r>
        <w:rPr>
          <w:i/>
        </w:rPr>
        <w:t>Main Roads Act 1930</w:t>
      </w:r>
      <w:r>
        <w:t>, or a person nominated by that person and approved by the Minister; and</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Ednotesection"/>
        <w:rPr>
          <w:b/>
        </w:rPr>
      </w:pPr>
      <w:r>
        <w:t>[</w:t>
      </w:r>
      <w:r>
        <w:rPr>
          <w:b/>
        </w:rPr>
        <w:t>6.</w:t>
      </w:r>
      <w:r>
        <w:tab/>
        <w:t>Deleted by No. 13 of 2019 s. 76(2).]</w:t>
      </w:r>
    </w:p>
    <w:p>
      <w:pPr>
        <w:pStyle w:val="yHeading5"/>
        <w:outlineLvl w:val="9"/>
      </w:pPr>
      <w:bookmarkStart w:id="413" w:name="_Toc199322660"/>
      <w:r>
        <w:rPr>
          <w:rStyle w:val="CharSClsNo"/>
        </w:rPr>
        <w:t>7</w:t>
      </w:r>
      <w:r>
        <w:t>.</w:t>
      </w:r>
      <w:r>
        <w:tab/>
        <w:t>Coastal Planning and Coordination Council</w:t>
      </w:r>
      <w:bookmarkEnd w:id="413"/>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10(1)(b)(iii); and</w:t>
      </w:r>
    </w:p>
    <w:p>
      <w:pPr>
        <w:pStyle w:val="yIndenta"/>
      </w:pPr>
      <w:r>
        <w:tab/>
        <w:t>(b)</w:t>
      </w:r>
      <w:r>
        <w:tab/>
        <w:t>the chief executive officer, or a person nominated by that person and approved by the Minister; and</w:t>
      </w:r>
    </w:p>
    <w:p>
      <w:pPr>
        <w:pStyle w:val="yIndenta"/>
      </w:pPr>
      <w:r>
        <w:lastRenderedPageBreak/>
        <w:tab/>
        <w:t>(c)</w:t>
      </w:r>
      <w:r>
        <w:tab/>
        <w:t>the member of the board referred to in section 10(1)(c)(iv), or a person nominated by that member and approved by the Minister; and</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 and</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 and</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 and</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 and</w:t>
      </w:r>
    </w:p>
    <w:p>
      <w:pPr>
        <w:pStyle w:val="yIndenta"/>
      </w:pPr>
      <w:r>
        <w:tab/>
        <w:t>(h)</w:t>
      </w:r>
      <w:r>
        <w:tab/>
        <w:t>a person approved by the Minister and appointed by the Commission to represent the interests of local governments within the metropolitan region; and</w:t>
      </w:r>
    </w:p>
    <w:p>
      <w:pPr>
        <w:pStyle w:val="yIndenta"/>
      </w:pPr>
      <w:r>
        <w:tab/>
        <w:t>(i)</w:t>
      </w:r>
      <w:r>
        <w:tab/>
        <w:t>a person approved by the Minister and appointed by the Commission to represent the interests of local governments outside the metropolitan region; and</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lastRenderedPageBreak/>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Footnotesection"/>
      </w:pPr>
      <w:r>
        <w:tab/>
        <w:t>[Clause 7 amended: No. 8 of 2009 s. 100(6).]</w:t>
      </w:r>
    </w:p>
    <w:p>
      <w:pPr>
        <w:pStyle w:val="yHeading5"/>
        <w:outlineLvl w:val="9"/>
      </w:pPr>
      <w:bookmarkStart w:id="414" w:name="_Toc199322661"/>
      <w:r>
        <w:rPr>
          <w:rStyle w:val="CharSClsNo"/>
        </w:rPr>
        <w:t>8</w:t>
      </w:r>
      <w:r>
        <w:t>.</w:t>
      </w:r>
      <w:r>
        <w:tab/>
        <w:t>Regional planning committees</w:t>
      </w:r>
      <w:bookmarkEnd w:id="414"/>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 and</w:t>
      </w:r>
    </w:p>
    <w:p>
      <w:pPr>
        <w:pStyle w:val="yIndenta"/>
        <w:spacing w:before="60"/>
      </w:pPr>
      <w:r>
        <w:tab/>
        <w:t>(b)</w:t>
      </w:r>
      <w:r>
        <w:tab/>
        <w:t>the chief executive officer, or a person nominated by that person and approved by the Minister; and</w:t>
      </w:r>
    </w:p>
    <w:p>
      <w:pPr>
        <w:pStyle w:val="yIndenta"/>
        <w:spacing w:before="60"/>
      </w:pPr>
      <w:r>
        <w:tab/>
        <w:t>(c)</w:t>
      </w:r>
      <w:r>
        <w:tab/>
        <w:t>a person approved by the Minister and appointed by the Commission as having practical knowledge of and experience in community affairs; and</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 and</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 and</w:t>
      </w:r>
    </w:p>
    <w:p>
      <w:pPr>
        <w:pStyle w:val="yIndenta"/>
        <w:spacing w:before="60"/>
      </w:pPr>
      <w:r>
        <w:tab/>
        <w:t>(f)</w:t>
      </w:r>
      <w:r>
        <w:tab/>
        <w:t xml:space="preserve">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w:t>
      </w:r>
      <w:r>
        <w:lastRenderedPageBreak/>
        <w:t>natural resource management, urban design, the planning and 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 and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outlineLvl w:val="9"/>
      </w:pPr>
      <w:bookmarkStart w:id="415" w:name="_Toc199322662"/>
      <w:r>
        <w:rPr>
          <w:rStyle w:val="CharSClsNo"/>
        </w:rPr>
        <w:t>9</w:t>
      </w:r>
      <w:r>
        <w:t>.</w:t>
      </w:r>
      <w:r>
        <w:tab/>
        <w:t>District planning committees</w:t>
      </w:r>
      <w:bookmarkEnd w:id="415"/>
    </w:p>
    <w:p>
      <w:pPr>
        <w:pStyle w:val="ySubsection"/>
      </w:pPr>
      <w:r>
        <w:tab/>
        <w:t>(1)</w:t>
      </w:r>
      <w:r>
        <w:tab/>
        <w:t xml:space="preserve">The — </w:t>
      </w:r>
    </w:p>
    <w:p>
      <w:pPr>
        <w:pStyle w:val="yIndenta"/>
      </w:pPr>
      <w:r>
        <w:tab/>
        <w:t>(a)</w:t>
      </w:r>
      <w:r>
        <w:tab/>
        <w:t>City of Perth;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in the case of the City of Perth, is to consist of the City of Perth Planning Committee for the time being; and</w:t>
      </w:r>
    </w:p>
    <w:p>
      <w:pPr>
        <w:pStyle w:val="yIndenta"/>
      </w:pPr>
      <w:r>
        <w:lastRenderedPageBreak/>
        <w:tab/>
        <w:t>(b)</w:t>
      </w:r>
      <w:r>
        <w:tab/>
        <w:t>in the case of a district planning committee established by a group of local governments, is to consist of one member 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 and</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p>
    <w:p>
      <w:pPr>
        <w:pStyle w:val="yScheduleHeading"/>
      </w:pPr>
      <w:bookmarkStart w:id="417" w:name="_Toc199322663"/>
      <w:r>
        <w:rPr>
          <w:rStyle w:val="CharSchNo"/>
        </w:rPr>
        <w:lastRenderedPageBreak/>
        <w:t>Schedule 3</w:t>
      </w:r>
      <w:r>
        <w:rPr>
          <w:rStyle w:val="CharSDivNo"/>
        </w:rPr>
        <w:t> </w:t>
      </w:r>
      <w:r>
        <w:t>—</w:t>
      </w:r>
      <w:r>
        <w:rPr>
          <w:rStyle w:val="CharSDivText"/>
        </w:rPr>
        <w:t> </w:t>
      </w:r>
      <w:r>
        <w:rPr>
          <w:rStyle w:val="CharSchText"/>
        </w:rPr>
        <w:t>Metropolitan region</w:t>
      </w:r>
      <w:bookmarkEnd w:id="417"/>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4</w:t>
      </w:r>
      <w:r>
        <w:t xml:space="preserve"> Diagram 2909, being a south</w:t>
      </w:r>
      <w:r>
        <w:noBreakHyphen/>
        <w:t xml:space="preserve">eastern corner of the local government district of Rockingham; thence generally westerly along the boundaries of the local government district of Rockingham to the </w:t>
      </w:r>
      <w:r>
        <w:lastRenderedPageBreak/>
        <w:t>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No. 60 of 2006 s. 147(8).]</w:t>
      </w:r>
    </w:p>
    <w:p>
      <w:pPr>
        <w:pStyle w:val="yScheduleHeading"/>
      </w:pPr>
      <w:bookmarkStart w:id="418" w:name="_Toc199322664"/>
      <w:r>
        <w:rPr>
          <w:rStyle w:val="CharSchNo"/>
        </w:rPr>
        <w:lastRenderedPageBreak/>
        <w:t>Schedule 4</w:t>
      </w:r>
      <w:r>
        <w:rPr>
          <w:rStyle w:val="CharSDivNo"/>
        </w:rPr>
        <w:t> </w:t>
      </w:r>
      <w:r>
        <w:t>—</w:t>
      </w:r>
      <w:r>
        <w:rPr>
          <w:rStyle w:val="CharSDivText"/>
        </w:rPr>
        <w:t> </w:t>
      </w:r>
      <w:r>
        <w:rPr>
          <w:rStyle w:val="CharSchText"/>
        </w:rPr>
        <w:t>Other regions</w:t>
      </w:r>
      <w:bookmarkEnd w:id="418"/>
    </w:p>
    <w:p>
      <w:pPr>
        <w:pStyle w:val="yShoulderClause"/>
      </w:pPr>
      <w:r>
        <w:t>[s. 4, 11]</w:t>
      </w:r>
    </w:p>
    <w:p>
      <w:pPr>
        <w:pStyle w:val="yMiscellaneousHeading"/>
        <w:tabs>
          <w:tab w:val="left" w:pos="912"/>
        </w:tabs>
        <w:jc w:val="both"/>
        <w:rPr>
          <w:b/>
          <w:i/>
        </w:rPr>
      </w:pPr>
      <w:r>
        <w:rPr>
          <w:b/>
          <w:i/>
        </w:rPr>
        <w:t>Item</w:t>
      </w:r>
      <w:r>
        <w:rPr>
          <w:b/>
          <w:i/>
        </w:rPr>
        <w:tab/>
        <w:t>Region</w:t>
      </w:r>
    </w:p>
    <w:p>
      <w:pPr>
        <w:pStyle w:val="yHeading5"/>
        <w:outlineLvl w:val="9"/>
      </w:pPr>
      <w:bookmarkStart w:id="419" w:name="_Toc199322665"/>
      <w:r>
        <w:rPr>
          <w:rStyle w:val="CharSClsNo"/>
        </w:rPr>
        <w:t>1</w:t>
      </w:r>
      <w:r>
        <w:t>.</w:t>
      </w:r>
      <w:r>
        <w:tab/>
        <w:t>Gascoyne Region</w:t>
      </w:r>
      <w:bookmarkEnd w:id="419"/>
    </w:p>
    <w:p>
      <w:pPr>
        <w:pStyle w:val="ySubsection"/>
      </w:pPr>
      <w:r>
        <w:rPr>
          <w:b/>
        </w:rPr>
        <w:tab/>
      </w:r>
      <w:r>
        <w:rPr>
          <w:b/>
        </w:rPr>
        <w:tab/>
      </w:r>
      <w:r>
        <w:t>The districts of Carnarvon, Exmouth, Shark Bay and Upper Gascoyne.</w:t>
      </w:r>
    </w:p>
    <w:p>
      <w:pPr>
        <w:pStyle w:val="yHeading5"/>
        <w:outlineLvl w:val="9"/>
      </w:pPr>
      <w:bookmarkStart w:id="420" w:name="_Toc199322666"/>
      <w:r>
        <w:rPr>
          <w:rStyle w:val="CharSClsNo"/>
        </w:rPr>
        <w:t>2</w:t>
      </w:r>
      <w:r>
        <w:t>.</w:t>
      </w:r>
      <w:r>
        <w:rPr>
          <w:b w:val="0"/>
        </w:rPr>
        <w:tab/>
      </w:r>
      <w:r>
        <w:t>Goldfields</w:t>
      </w:r>
      <w:r>
        <w:noBreakHyphen/>
        <w:t>Esperance Region</w:t>
      </w:r>
      <w:bookmarkEnd w:id="420"/>
    </w:p>
    <w:p>
      <w:pPr>
        <w:pStyle w:val="ySubsection"/>
      </w:pPr>
      <w:r>
        <w:rPr>
          <w:b/>
        </w:rPr>
        <w:tab/>
      </w:r>
      <w:r>
        <w:rPr>
          <w:b/>
        </w:rPr>
        <w:tab/>
      </w:r>
      <w:r>
        <w:t>The districts of Kalgoorlie</w:t>
      </w:r>
      <w:r>
        <w:noBreakHyphen/>
        <w:t>Boulder, Coolgardie, Dundas, Esperance, Laverton, Leonora, Menzies, Ngaanyatjarraku and Ravensthorpe.</w:t>
      </w:r>
    </w:p>
    <w:p>
      <w:pPr>
        <w:pStyle w:val="yHeading5"/>
        <w:outlineLvl w:val="9"/>
      </w:pPr>
      <w:bookmarkStart w:id="421" w:name="_Toc199322667"/>
      <w:r>
        <w:rPr>
          <w:rStyle w:val="CharSClsNo"/>
        </w:rPr>
        <w:t>3</w:t>
      </w:r>
      <w:r>
        <w:t>.</w:t>
      </w:r>
      <w:r>
        <w:tab/>
        <w:t>Great Southern Region</w:t>
      </w:r>
      <w:bookmarkEnd w:id="421"/>
    </w:p>
    <w:p>
      <w:pPr>
        <w:pStyle w:val="ySubsection"/>
      </w:pPr>
      <w:r>
        <w:rPr>
          <w:b/>
        </w:rPr>
        <w:tab/>
      </w:r>
      <w:r>
        <w:rPr>
          <w:b/>
        </w:rPr>
        <w:tab/>
      </w:r>
      <w:r>
        <w:t>The districts of Albany (Town), Albany (Shire), Broomehill, Cranbrook, Denmark, Gnowangerup, Jerramungup, Katanning, Kent, Kojonup, Plantagenet, Tambellup and Woodanilling.</w:t>
      </w:r>
    </w:p>
    <w:p>
      <w:pPr>
        <w:pStyle w:val="yHeading5"/>
        <w:outlineLvl w:val="9"/>
      </w:pPr>
      <w:bookmarkStart w:id="422" w:name="_Toc199322668"/>
      <w:r>
        <w:rPr>
          <w:rStyle w:val="CharSClsNo"/>
        </w:rPr>
        <w:t>4</w:t>
      </w:r>
      <w:r>
        <w:t>.</w:t>
      </w:r>
      <w:r>
        <w:tab/>
        <w:t>Kimberley Region</w:t>
      </w:r>
      <w:bookmarkEnd w:id="422"/>
    </w:p>
    <w:p>
      <w:pPr>
        <w:pStyle w:val="ySubsection"/>
      </w:pPr>
      <w:r>
        <w:rPr>
          <w:b/>
        </w:rPr>
        <w:tab/>
      </w:r>
      <w:r>
        <w:rPr>
          <w:b/>
        </w:rPr>
        <w:tab/>
      </w:r>
      <w:r>
        <w:t>The districts of Broome, Derby</w:t>
      </w:r>
      <w:r>
        <w:noBreakHyphen/>
        <w:t>West Kimberley, Hall’s Creek and Wyndham</w:t>
      </w:r>
      <w:r>
        <w:noBreakHyphen/>
        <w:t>East Kimberley.</w:t>
      </w:r>
    </w:p>
    <w:p>
      <w:pPr>
        <w:pStyle w:val="yHeading5"/>
        <w:outlineLvl w:val="9"/>
      </w:pPr>
      <w:bookmarkStart w:id="423" w:name="_Toc199322669"/>
      <w:r>
        <w:rPr>
          <w:rStyle w:val="CharSClsNo"/>
        </w:rPr>
        <w:t>5</w:t>
      </w:r>
      <w:r>
        <w:t>.</w:t>
      </w:r>
      <w:r>
        <w:tab/>
        <w:t>Mid West Region</w:t>
      </w:r>
      <w:bookmarkEnd w:id="423"/>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outlineLvl w:val="9"/>
      </w:pPr>
      <w:bookmarkStart w:id="424" w:name="_Toc199322670"/>
      <w:r>
        <w:rPr>
          <w:rStyle w:val="CharSClsNo"/>
        </w:rPr>
        <w:t>6</w:t>
      </w:r>
      <w:r>
        <w:t>.</w:t>
      </w:r>
      <w:r>
        <w:tab/>
        <w:t>Peel Region</w:t>
      </w:r>
      <w:bookmarkEnd w:id="424"/>
    </w:p>
    <w:p>
      <w:pPr>
        <w:pStyle w:val="ySubsection"/>
      </w:pPr>
      <w:r>
        <w:rPr>
          <w:b/>
        </w:rPr>
        <w:tab/>
      </w:r>
      <w:r>
        <w:rPr>
          <w:b/>
        </w:rPr>
        <w:tab/>
      </w:r>
      <w:r>
        <w:t>The districts of Mandurah, Boddington, Murray and Waroona.</w:t>
      </w:r>
    </w:p>
    <w:p>
      <w:pPr>
        <w:pStyle w:val="yHeading5"/>
        <w:outlineLvl w:val="9"/>
      </w:pPr>
      <w:bookmarkStart w:id="425" w:name="_Toc199322671"/>
      <w:r>
        <w:rPr>
          <w:rStyle w:val="CharSClsNo"/>
        </w:rPr>
        <w:t>7</w:t>
      </w:r>
      <w:r>
        <w:t>.</w:t>
      </w:r>
      <w:r>
        <w:tab/>
        <w:t>Pilbara Region</w:t>
      </w:r>
      <w:bookmarkEnd w:id="425"/>
    </w:p>
    <w:p>
      <w:pPr>
        <w:pStyle w:val="ySubsection"/>
      </w:pPr>
      <w:r>
        <w:tab/>
      </w:r>
      <w:r>
        <w:tab/>
        <w:t>The districts of Port Hedland, Ashburton, East Pilbara and Roebourne</w:t>
      </w:r>
      <w:r>
        <w:rPr>
          <w:vertAlign w:val="superscript"/>
        </w:rPr>
        <w:t> 5</w:t>
      </w:r>
      <w:r>
        <w:t>.</w:t>
      </w:r>
    </w:p>
    <w:p>
      <w:pPr>
        <w:pStyle w:val="yHeading5"/>
        <w:outlineLvl w:val="9"/>
      </w:pPr>
      <w:bookmarkStart w:id="426" w:name="_Toc199322672"/>
      <w:r>
        <w:rPr>
          <w:rStyle w:val="CharSClsNo"/>
        </w:rPr>
        <w:lastRenderedPageBreak/>
        <w:t>8</w:t>
      </w:r>
      <w:r>
        <w:t>.</w:t>
      </w:r>
      <w:r>
        <w:tab/>
        <w:t>South West Region</w:t>
      </w:r>
      <w:bookmarkEnd w:id="426"/>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outlineLvl w:val="9"/>
      </w:pPr>
      <w:bookmarkStart w:id="427" w:name="_Toc199322673"/>
      <w:r>
        <w:rPr>
          <w:rStyle w:val="CharSClsNo"/>
        </w:rPr>
        <w:t>9</w:t>
      </w:r>
      <w:r>
        <w:t>.</w:t>
      </w:r>
      <w:r>
        <w:tab/>
        <w:t>Wheatbelt Region</w:t>
      </w:r>
      <w:bookmarkEnd w:id="427"/>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428" w:name="_Toc199322674"/>
      <w:r>
        <w:rPr>
          <w:rStyle w:val="CharSchNo"/>
        </w:rPr>
        <w:lastRenderedPageBreak/>
        <w:t>Schedule 5</w:t>
      </w:r>
      <w:r>
        <w:rPr>
          <w:rStyle w:val="CharSDivNo"/>
        </w:rPr>
        <w:t> </w:t>
      </w:r>
      <w:r>
        <w:t>—</w:t>
      </w:r>
      <w:r>
        <w:rPr>
          <w:rStyle w:val="CharSDivText"/>
        </w:rPr>
        <w:t> </w:t>
      </w:r>
      <w:r>
        <w:rPr>
          <w:rStyle w:val="CharSchText"/>
        </w:rPr>
        <w:t>Local governments — metropolitan region</w:t>
      </w:r>
      <w:bookmarkEnd w:id="428"/>
    </w:p>
    <w:p>
      <w:pPr>
        <w:pStyle w:val="yShoulderClause"/>
      </w:pPr>
      <w:r>
        <w:t>[Sch. 2, cl. 9(1)(b)]</w:t>
      </w:r>
    </w:p>
    <w:p>
      <w:pPr>
        <w:pStyle w:val="yHeading5"/>
        <w:outlineLvl w:val="9"/>
      </w:pPr>
      <w:bookmarkStart w:id="429" w:name="_Toc199322675"/>
      <w:r>
        <w:rPr>
          <w:rStyle w:val="CharSClsNo"/>
        </w:rPr>
        <w:t>1</w:t>
      </w:r>
      <w:r>
        <w:t>.</w:t>
      </w:r>
      <w:r>
        <w:tab/>
        <w:t>SOUTH</w:t>
      </w:r>
      <w:r>
        <w:noBreakHyphen/>
        <w:t>WEST GROUP</w:t>
      </w:r>
      <w:bookmarkEnd w:id="429"/>
    </w:p>
    <w:p>
      <w:pPr>
        <w:pStyle w:val="ySubsection"/>
        <w:tabs>
          <w:tab w:val="clear" w:pos="879"/>
          <w:tab w:val="left" w:pos="2268"/>
        </w:tabs>
      </w:pPr>
      <w:r>
        <w:tab/>
      </w:r>
      <w:r>
        <w:tab/>
        <w:t>City of Cockburn</w:t>
      </w:r>
    </w:p>
    <w:p>
      <w:pPr>
        <w:pStyle w:val="ySubsection"/>
        <w:tabs>
          <w:tab w:val="clear" w:pos="879"/>
          <w:tab w:val="left" w:pos="2268"/>
        </w:tabs>
      </w:pPr>
      <w:r>
        <w:tab/>
      </w:r>
      <w:r>
        <w:tab/>
        <w:t>City of Fremantle</w:t>
      </w:r>
    </w:p>
    <w:p>
      <w:pPr>
        <w:pStyle w:val="ySubsection"/>
        <w:tabs>
          <w:tab w:val="clear" w:pos="879"/>
          <w:tab w:val="left" w:pos="2268"/>
        </w:tabs>
      </w:pPr>
      <w:r>
        <w:tab/>
      </w:r>
      <w:r>
        <w:tab/>
        <w:t>City of Melville</w:t>
      </w:r>
    </w:p>
    <w:p>
      <w:pPr>
        <w:pStyle w:val="ySubsection"/>
        <w:tabs>
          <w:tab w:val="clear" w:pos="879"/>
          <w:tab w:val="left" w:pos="2268"/>
        </w:tabs>
      </w:pPr>
      <w:r>
        <w:tab/>
      </w:r>
      <w:r>
        <w:tab/>
        <w:t>City of Rockingham</w:t>
      </w:r>
    </w:p>
    <w:p>
      <w:pPr>
        <w:pStyle w:val="ySubsection"/>
        <w:tabs>
          <w:tab w:val="clear" w:pos="879"/>
          <w:tab w:val="left" w:pos="2268"/>
        </w:tabs>
      </w:pPr>
      <w:r>
        <w:tab/>
      </w:r>
      <w:r>
        <w:tab/>
        <w:t>Town of East Fremantle</w:t>
      </w:r>
    </w:p>
    <w:p>
      <w:pPr>
        <w:pStyle w:val="ySubsection"/>
        <w:tabs>
          <w:tab w:val="clear" w:pos="879"/>
          <w:tab w:val="left" w:pos="2268"/>
        </w:tabs>
      </w:pPr>
      <w:r>
        <w:tab/>
      </w:r>
      <w:r>
        <w:tab/>
        <w:t>Town of Kwinana</w:t>
      </w:r>
    </w:p>
    <w:p>
      <w:pPr>
        <w:pStyle w:val="yHeading5"/>
        <w:outlineLvl w:val="9"/>
      </w:pPr>
      <w:bookmarkStart w:id="430" w:name="_Toc199322676"/>
      <w:r>
        <w:rPr>
          <w:rStyle w:val="CharSClsNo"/>
        </w:rPr>
        <w:t>2</w:t>
      </w:r>
      <w:r>
        <w:t>.</w:t>
      </w:r>
      <w:r>
        <w:tab/>
        <w:t>WESTERN SUBURBS GROUP</w:t>
      </w:r>
      <w:bookmarkEnd w:id="430"/>
    </w:p>
    <w:p>
      <w:pPr>
        <w:pStyle w:val="ySubsection"/>
      </w:pPr>
      <w:r>
        <w:tab/>
      </w:r>
      <w:r>
        <w:tab/>
        <w:t>City of Nedlands</w:t>
      </w:r>
    </w:p>
    <w:p>
      <w:pPr>
        <w:pStyle w:val="ySubsection"/>
      </w:pPr>
      <w:r>
        <w:tab/>
      </w:r>
      <w:r>
        <w:tab/>
        <w:t>City of Subiaco</w:t>
      </w:r>
    </w:p>
    <w:p>
      <w:pPr>
        <w:pStyle w:val="ySubsection"/>
      </w:pPr>
      <w:r>
        <w:tab/>
      </w:r>
      <w:r>
        <w:tab/>
        <w:t>Town of Cambridge</w:t>
      </w:r>
    </w:p>
    <w:p>
      <w:pPr>
        <w:pStyle w:val="ySubsection"/>
      </w:pPr>
      <w:r>
        <w:tab/>
      </w:r>
      <w:r>
        <w:tab/>
        <w:t>Town of Claremont</w:t>
      </w:r>
    </w:p>
    <w:p>
      <w:pPr>
        <w:pStyle w:val="ySubsection"/>
      </w:pPr>
      <w:r>
        <w:tab/>
      </w:r>
      <w:r>
        <w:tab/>
        <w:t>Town of Cottesloe</w:t>
      </w:r>
    </w:p>
    <w:p>
      <w:pPr>
        <w:pStyle w:val="ySubsection"/>
      </w:pPr>
      <w:r>
        <w:tab/>
      </w:r>
      <w:r>
        <w:tab/>
        <w:t>Town of Mosman Park</w:t>
      </w:r>
    </w:p>
    <w:p>
      <w:pPr>
        <w:pStyle w:val="ySubsection"/>
      </w:pPr>
      <w:r>
        <w:tab/>
      </w:r>
      <w:r>
        <w:tab/>
        <w:t>Shire of Peppermint Grove</w:t>
      </w:r>
    </w:p>
    <w:p>
      <w:pPr>
        <w:pStyle w:val="yHeading5"/>
        <w:outlineLvl w:val="9"/>
      </w:pPr>
      <w:bookmarkStart w:id="431" w:name="_Toc199322677"/>
      <w:r>
        <w:rPr>
          <w:rStyle w:val="CharSClsNo"/>
        </w:rPr>
        <w:t>3</w:t>
      </w:r>
      <w:r>
        <w:t>.</w:t>
      </w:r>
      <w:r>
        <w:tab/>
        <w:t>NORTH</w:t>
      </w:r>
      <w:r>
        <w:noBreakHyphen/>
        <w:t>WEST GROUP</w:t>
      </w:r>
      <w:bookmarkEnd w:id="431"/>
    </w:p>
    <w:p>
      <w:pPr>
        <w:pStyle w:val="ySubsection"/>
        <w:tabs>
          <w:tab w:val="clear" w:pos="879"/>
          <w:tab w:val="left" w:pos="2268"/>
        </w:tabs>
      </w:pPr>
      <w:r>
        <w:tab/>
      </w:r>
      <w:r>
        <w:tab/>
        <w:t>City of Stirling</w:t>
      </w:r>
    </w:p>
    <w:p>
      <w:pPr>
        <w:pStyle w:val="ySubsection"/>
        <w:tabs>
          <w:tab w:val="clear" w:pos="879"/>
          <w:tab w:val="left" w:pos="2268"/>
        </w:tabs>
      </w:pPr>
      <w:r>
        <w:tab/>
      </w:r>
      <w:r>
        <w:tab/>
        <w:t>City of Wanneroo</w:t>
      </w:r>
    </w:p>
    <w:p>
      <w:pPr>
        <w:pStyle w:val="ySubsection"/>
        <w:tabs>
          <w:tab w:val="clear" w:pos="879"/>
          <w:tab w:val="left" w:pos="2268"/>
        </w:tabs>
      </w:pPr>
      <w:r>
        <w:tab/>
      </w:r>
      <w:r>
        <w:tab/>
        <w:t>Town of Vincent</w:t>
      </w:r>
      <w:r>
        <w:rPr>
          <w:vertAlign w:val="superscript"/>
        </w:rPr>
        <w:t> 6</w:t>
      </w:r>
    </w:p>
    <w:p>
      <w:pPr>
        <w:pStyle w:val="ySubsection"/>
        <w:tabs>
          <w:tab w:val="clear" w:pos="879"/>
          <w:tab w:val="left" w:pos="2268"/>
        </w:tabs>
      </w:pPr>
      <w:r>
        <w:tab/>
      </w:r>
      <w:r>
        <w:tab/>
        <w:t>City of Joondalup</w:t>
      </w:r>
    </w:p>
    <w:p>
      <w:pPr>
        <w:pStyle w:val="yHeading5"/>
        <w:outlineLvl w:val="9"/>
      </w:pPr>
      <w:bookmarkStart w:id="432" w:name="_Toc199322678"/>
      <w:r>
        <w:rPr>
          <w:rStyle w:val="CharSClsNo"/>
        </w:rPr>
        <w:lastRenderedPageBreak/>
        <w:t>4</w:t>
      </w:r>
      <w:r>
        <w:t>.</w:t>
      </w:r>
      <w:r>
        <w:tab/>
        <w:t>SOUTH</w:t>
      </w:r>
      <w:r>
        <w:noBreakHyphen/>
        <w:t>EAST GROUP</w:t>
      </w:r>
      <w:bookmarkEnd w:id="432"/>
    </w:p>
    <w:p>
      <w:pPr>
        <w:pStyle w:val="ySubsection"/>
        <w:keepNext/>
        <w:tabs>
          <w:tab w:val="clear" w:pos="879"/>
          <w:tab w:val="left" w:pos="2268"/>
        </w:tabs>
      </w:pPr>
      <w:r>
        <w:tab/>
      </w:r>
      <w:r>
        <w:tab/>
        <w:t>City of Armadale</w:t>
      </w:r>
    </w:p>
    <w:p>
      <w:pPr>
        <w:pStyle w:val="ySubsection"/>
        <w:tabs>
          <w:tab w:val="clear" w:pos="879"/>
          <w:tab w:val="left" w:pos="2268"/>
        </w:tabs>
      </w:pPr>
      <w:r>
        <w:tab/>
      </w:r>
      <w:r>
        <w:tab/>
        <w:t>City of Canning</w:t>
      </w:r>
    </w:p>
    <w:p>
      <w:pPr>
        <w:pStyle w:val="ySubsection"/>
        <w:tabs>
          <w:tab w:val="clear" w:pos="879"/>
          <w:tab w:val="left" w:pos="2268"/>
        </w:tabs>
      </w:pPr>
      <w:r>
        <w:tab/>
      </w:r>
      <w:r>
        <w:tab/>
        <w:t>City of Gosnells</w:t>
      </w:r>
    </w:p>
    <w:p>
      <w:pPr>
        <w:pStyle w:val="ySubsection"/>
        <w:tabs>
          <w:tab w:val="clear" w:pos="879"/>
          <w:tab w:val="left" w:pos="2268"/>
        </w:tabs>
      </w:pPr>
      <w:r>
        <w:tab/>
      </w:r>
      <w:r>
        <w:tab/>
        <w:t>City of South Perth</w:t>
      </w:r>
    </w:p>
    <w:p>
      <w:pPr>
        <w:pStyle w:val="ySubsection"/>
        <w:tabs>
          <w:tab w:val="clear" w:pos="879"/>
          <w:tab w:val="left" w:pos="2268"/>
        </w:tabs>
      </w:pPr>
      <w:r>
        <w:tab/>
      </w:r>
      <w:r>
        <w:tab/>
        <w:t>Town of Victoria Park</w:t>
      </w:r>
    </w:p>
    <w:p>
      <w:pPr>
        <w:pStyle w:val="ySubsection"/>
        <w:tabs>
          <w:tab w:val="clear" w:pos="879"/>
          <w:tab w:val="left" w:pos="2268"/>
        </w:tabs>
      </w:pPr>
      <w:r>
        <w:tab/>
      </w:r>
      <w:r>
        <w:tab/>
        <w:t>Shire of Serpentine</w:t>
      </w:r>
      <w:r>
        <w:noBreakHyphen/>
        <w:t>Jarrahdale</w:t>
      </w:r>
    </w:p>
    <w:p>
      <w:pPr>
        <w:pStyle w:val="yHeading5"/>
        <w:outlineLvl w:val="9"/>
      </w:pPr>
      <w:bookmarkStart w:id="433" w:name="_Toc199322679"/>
      <w:r>
        <w:rPr>
          <w:rStyle w:val="CharSClsNo"/>
        </w:rPr>
        <w:t>5</w:t>
      </w:r>
      <w:r>
        <w:t>.</w:t>
      </w:r>
      <w:r>
        <w:tab/>
        <w:t>EASTERN GROUP</w:t>
      </w:r>
      <w:bookmarkEnd w:id="433"/>
    </w:p>
    <w:p>
      <w:pPr>
        <w:pStyle w:val="ySubsection"/>
        <w:tabs>
          <w:tab w:val="clear" w:pos="879"/>
          <w:tab w:val="left" w:pos="2268"/>
        </w:tabs>
      </w:pPr>
      <w:r>
        <w:tab/>
      </w:r>
      <w:r>
        <w:tab/>
        <w:t>City of Bayswater</w:t>
      </w:r>
    </w:p>
    <w:p>
      <w:pPr>
        <w:pStyle w:val="ySubsection"/>
        <w:tabs>
          <w:tab w:val="clear" w:pos="879"/>
          <w:tab w:val="left" w:pos="2268"/>
        </w:tabs>
      </w:pPr>
      <w:r>
        <w:tab/>
      </w:r>
      <w:r>
        <w:tab/>
        <w:t>Town of Bassendean</w:t>
      </w:r>
    </w:p>
    <w:p>
      <w:pPr>
        <w:pStyle w:val="ySubsection"/>
        <w:tabs>
          <w:tab w:val="clear" w:pos="879"/>
          <w:tab w:val="left" w:pos="2268"/>
        </w:tabs>
      </w:pPr>
      <w:r>
        <w:tab/>
      </w:r>
      <w:r>
        <w:tab/>
        <w:t>City of Belmont</w:t>
      </w:r>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City of Swan</w:t>
      </w:r>
    </w:p>
    <w:p>
      <w:pPr>
        <w:pStyle w:val="yScheduleHeading"/>
      </w:pPr>
      <w:bookmarkStart w:id="434" w:name="_Toc199322680"/>
      <w:r>
        <w:rPr>
          <w:rStyle w:val="CharSchNo"/>
        </w:rPr>
        <w:lastRenderedPageBreak/>
        <w:t>Schedule 6</w:t>
      </w:r>
      <w:r>
        <w:rPr>
          <w:rStyle w:val="CharSDivNo"/>
        </w:rPr>
        <w:t> </w:t>
      </w:r>
      <w:r>
        <w:t>—</w:t>
      </w:r>
      <w:r>
        <w:rPr>
          <w:rStyle w:val="CharSDivText"/>
        </w:rPr>
        <w:t> </w:t>
      </w:r>
      <w:r>
        <w:rPr>
          <w:rStyle w:val="CharSchText"/>
        </w:rPr>
        <w:t>Planning control areas: purposes for which land may be required</w:t>
      </w:r>
      <w:bookmarkEnd w:id="434"/>
    </w:p>
    <w:p>
      <w:pPr>
        <w:pStyle w:val="yShoulderClause"/>
      </w:pPr>
      <w:r>
        <w:t>[s. 112(1)]</w:t>
      </w:r>
    </w:p>
    <w:tbl>
      <w:tblPr>
        <w:tblW w:w="0" w:type="auto"/>
        <w:tblInd w:w="675" w:type="dxa"/>
        <w:tblLayout w:type="fixed"/>
        <w:tblLook w:val="0000" w:firstRow="0" w:lastRow="0" w:firstColumn="0" w:lastColumn="0" w:noHBand="0" w:noVBand="0"/>
      </w:tblPr>
      <w:tblGrid>
        <w:gridCol w:w="993"/>
        <w:gridCol w:w="4800"/>
      </w:tblGrid>
      <w:tr>
        <w:trPr>
          <w:cantSplit/>
          <w:trHeight w:val="30"/>
        </w:trPr>
        <w:tc>
          <w:tcPr>
            <w:tcW w:w="993" w:type="dxa"/>
          </w:tcPr>
          <w:p>
            <w:pPr>
              <w:pStyle w:val="yTableNAm"/>
            </w:pPr>
            <w:r>
              <w:t>Item</w:t>
            </w:r>
          </w:p>
        </w:tc>
        <w:tc>
          <w:tcPr>
            <w:tcW w:w="4800" w:type="dxa"/>
          </w:tcPr>
          <w:p>
            <w:pPr>
              <w:pStyle w:val="yTableNAm"/>
            </w:pPr>
            <w:r>
              <w:t>Purpose</w:t>
            </w:r>
          </w:p>
        </w:tc>
      </w:tr>
      <w:tr>
        <w:trPr>
          <w:cantSplit/>
          <w:trHeight w:val="20"/>
        </w:trPr>
        <w:tc>
          <w:tcPr>
            <w:tcW w:w="993" w:type="dxa"/>
          </w:tcPr>
          <w:p>
            <w:pPr>
              <w:pStyle w:val="yTableNAm"/>
            </w:pPr>
            <w:r>
              <w:t>1.</w:t>
            </w:r>
          </w:p>
        </w:tc>
        <w:tc>
          <w:tcPr>
            <w:tcW w:w="4800" w:type="dxa"/>
          </w:tcPr>
          <w:p>
            <w:pPr>
              <w:pStyle w:val="yTableNAm"/>
            </w:pPr>
            <w:r>
              <w:t>Car parks</w:t>
            </w:r>
          </w:p>
        </w:tc>
      </w:tr>
      <w:tr>
        <w:trPr>
          <w:cantSplit/>
          <w:trHeight w:val="20"/>
        </w:trPr>
        <w:tc>
          <w:tcPr>
            <w:tcW w:w="993" w:type="dxa"/>
          </w:tcPr>
          <w:p>
            <w:pPr>
              <w:pStyle w:val="yTableNAm"/>
            </w:pPr>
            <w:r>
              <w:t>2.</w:t>
            </w:r>
          </w:p>
        </w:tc>
        <w:tc>
          <w:tcPr>
            <w:tcW w:w="4800" w:type="dxa"/>
          </w:tcPr>
          <w:p>
            <w:pPr>
              <w:pStyle w:val="yTableNAm"/>
            </w:pPr>
            <w:r>
              <w:t>Civic and cultural amenity</w:t>
            </w:r>
          </w:p>
        </w:tc>
      </w:tr>
      <w:tr>
        <w:trPr>
          <w:cantSplit/>
          <w:trHeight w:val="20"/>
        </w:trPr>
        <w:tc>
          <w:tcPr>
            <w:tcW w:w="993" w:type="dxa"/>
          </w:tcPr>
          <w:p>
            <w:pPr>
              <w:pStyle w:val="yTableNAm"/>
            </w:pPr>
            <w:r>
              <w:t>3.</w:t>
            </w:r>
          </w:p>
        </w:tc>
        <w:tc>
          <w:tcPr>
            <w:tcW w:w="4800" w:type="dxa"/>
          </w:tcPr>
          <w:p>
            <w:pPr>
              <w:pStyle w:val="yTableNAm"/>
            </w:pPr>
            <w:r>
              <w:t>Commonwealth Government</w:t>
            </w:r>
          </w:p>
        </w:tc>
      </w:tr>
      <w:tr>
        <w:trPr>
          <w:cantSplit/>
          <w:trHeight w:val="20"/>
        </w:trPr>
        <w:tc>
          <w:tcPr>
            <w:tcW w:w="993" w:type="dxa"/>
          </w:tcPr>
          <w:p>
            <w:pPr>
              <w:pStyle w:val="yTableNAm"/>
            </w:pPr>
            <w:r>
              <w:t>4.</w:t>
            </w:r>
          </w:p>
        </w:tc>
        <w:tc>
          <w:tcPr>
            <w:tcW w:w="4800" w:type="dxa"/>
          </w:tcPr>
          <w:p>
            <w:pPr>
              <w:pStyle w:val="yTableNAm"/>
            </w:pPr>
            <w:r>
              <w:t>Cultural heritage conservation</w:t>
            </w:r>
          </w:p>
        </w:tc>
      </w:tr>
      <w:tr>
        <w:trPr>
          <w:cantSplit/>
          <w:trHeight w:val="20"/>
        </w:trPr>
        <w:tc>
          <w:tcPr>
            <w:tcW w:w="993" w:type="dxa"/>
          </w:tcPr>
          <w:p>
            <w:pPr>
              <w:pStyle w:val="yTableNAm"/>
            </w:pPr>
            <w:r>
              <w:t>5.</w:t>
            </w:r>
          </w:p>
        </w:tc>
        <w:tc>
          <w:tcPr>
            <w:tcW w:w="4800" w:type="dxa"/>
          </w:tcPr>
          <w:p>
            <w:pPr>
              <w:pStyle w:val="yTableNAm"/>
            </w:pPr>
            <w:r>
              <w:t>Highways, important regional roads and other roads that are necessary because of highways or important regional roads</w:t>
            </w:r>
          </w:p>
        </w:tc>
      </w:tr>
      <w:tr>
        <w:trPr>
          <w:cantSplit/>
          <w:trHeight w:val="20"/>
        </w:trPr>
        <w:tc>
          <w:tcPr>
            <w:tcW w:w="993" w:type="dxa"/>
          </w:tcPr>
          <w:p>
            <w:pPr>
              <w:pStyle w:val="yTableNAm"/>
            </w:pPr>
            <w:r>
              <w:t>6.</w:t>
            </w:r>
          </w:p>
        </w:tc>
        <w:tc>
          <w:tcPr>
            <w:tcW w:w="4800" w:type="dxa"/>
          </w:tcPr>
          <w:p>
            <w:pPr>
              <w:pStyle w:val="yTableNAm"/>
            </w:pPr>
            <w:r>
              <w:t>Hospitals</w:t>
            </w:r>
          </w:p>
        </w:tc>
      </w:tr>
      <w:tr>
        <w:trPr>
          <w:cantSplit/>
          <w:trHeight w:val="20"/>
        </w:trPr>
        <w:tc>
          <w:tcPr>
            <w:tcW w:w="993" w:type="dxa"/>
          </w:tcPr>
          <w:p>
            <w:pPr>
              <w:pStyle w:val="yTableNAm"/>
            </w:pPr>
            <w:r>
              <w:t>7.</w:t>
            </w:r>
          </w:p>
        </w:tc>
        <w:tc>
          <w:tcPr>
            <w:tcW w:w="4800" w:type="dxa"/>
          </w:tcPr>
          <w:p>
            <w:pPr>
              <w:pStyle w:val="yTableNAm"/>
            </w:pPr>
            <w:r>
              <w:t>Parks and recreation areas</w:t>
            </w:r>
          </w:p>
        </w:tc>
      </w:tr>
      <w:tr>
        <w:trPr>
          <w:cantSplit/>
          <w:trHeight w:val="20"/>
        </w:trPr>
        <w:tc>
          <w:tcPr>
            <w:tcW w:w="993" w:type="dxa"/>
          </w:tcPr>
          <w:p>
            <w:pPr>
              <w:pStyle w:val="yTableNAm"/>
            </w:pPr>
            <w:r>
              <w:t>8.</w:t>
            </w:r>
          </w:p>
        </w:tc>
        <w:tc>
          <w:tcPr>
            <w:tcW w:w="4800" w:type="dxa"/>
          </w:tcPr>
          <w:p>
            <w:pPr>
              <w:pStyle w:val="yTableNAm"/>
            </w:pPr>
            <w:r>
              <w:t>Port installations</w:t>
            </w:r>
          </w:p>
        </w:tc>
      </w:tr>
      <w:tr>
        <w:trPr>
          <w:cantSplit/>
          <w:trHeight w:val="20"/>
        </w:trPr>
        <w:tc>
          <w:tcPr>
            <w:tcW w:w="993" w:type="dxa"/>
          </w:tcPr>
          <w:p>
            <w:pPr>
              <w:pStyle w:val="yTableNAm"/>
            </w:pPr>
            <w:r>
              <w:t>9.</w:t>
            </w:r>
          </w:p>
        </w:tc>
        <w:tc>
          <w:tcPr>
            <w:tcW w:w="4800" w:type="dxa"/>
          </w:tcPr>
          <w:p>
            <w:pPr>
              <w:pStyle w:val="yTableNAm"/>
            </w:pPr>
            <w:r>
              <w:t>Power services, including electricity and gas supply</w:t>
            </w:r>
          </w:p>
        </w:tc>
      </w:tr>
      <w:tr>
        <w:trPr>
          <w:cantSplit/>
          <w:trHeight w:val="20"/>
        </w:trPr>
        <w:tc>
          <w:tcPr>
            <w:tcW w:w="993" w:type="dxa"/>
          </w:tcPr>
          <w:p>
            <w:pPr>
              <w:pStyle w:val="yTableNAm"/>
            </w:pPr>
            <w:r>
              <w:t>10.</w:t>
            </w:r>
          </w:p>
        </w:tc>
        <w:tc>
          <w:tcPr>
            <w:tcW w:w="4800" w:type="dxa"/>
          </w:tcPr>
          <w:p>
            <w:pPr>
              <w:pStyle w:val="yTableNAm"/>
            </w:pPr>
            <w:r>
              <w:t>Prisons</w:t>
            </w:r>
          </w:p>
        </w:tc>
      </w:tr>
      <w:tr>
        <w:trPr>
          <w:cantSplit/>
          <w:trHeight w:val="20"/>
        </w:trPr>
        <w:tc>
          <w:tcPr>
            <w:tcW w:w="993" w:type="dxa"/>
          </w:tcPr>
          <w:p>
            <w:pPr>
              <w:pStyle w:val="yTableNAm"/>
            </w:pPr>
            <w:r>
              <w:t>11.</w:t>
            </w:r>
          </w:p>
        </w:tc>
        <w:tc>
          <w:tcPr>
            <w:tcW w:w="4800" w:type="dxa"/>
          </w:tcPr>
          <w:p>
            <w:pPr>
              <w:pStyle w:val="yTableNAm"/>
            </w:pPr>
            <w:r>
              <w:t>Public purpose of the State</w:t>
            </w:r>
          </w:p>
        </w:tc>
      </w:tr>
      <w:tr>
        <w:trPr>
          <w:cantSplit/>
          <w:trHeight w:val="20"/>
        </w:trPr>
        <w:tc>
          <w:tcPr>
            <w:tcW w:w="993" w:type="dxa"/>
          </w:tcPr>
          <w:p>
            <w:pPr>
              <w:pStyle w:val="yTableNAm"/>
            </w:pPr>
            <w:r>
              <w:t>12.</w:t>
            </w:r>
          </w:p>
        </w:tc>
        <w:tc>
          <w:tcPr>
            <w:tcW w:w="4800" w:type="dxa"/>
          </w:tcPr>
          <w:p>
            <w:pPr>
              <w:pStyle w:val="yTableNAm"/>
            </w:pPr>
            <w:r>
              <w:t>Railways</w:t>
            </w:r>
          </w:p>
        </w:tc>
      </w:tr>
      <w:tr>
        <w:trPr>
          <w:cantSplit/>
          <w:trHeight w:val="20"/>
        </w:trPr>
        <w:tc>
          <w:tcPr>
            <w:tcW w:w="993" w:type="dxa"/>
          </w:tcPr>
          <w:p>
            <w:pPr>
              <w:pStyle w:val="yTableNAm"/>
            </w:pPr>
            <w:r>
              <w:t>13.</w:t>
            </w:r>
          </w:p>
        </w:tc>
        <w:tc>
          <w:tcPr>
            <w:tcW w:w="4800" w:type="dxa"/>
          </w:tcPr>
          <w:p>
            <w:pPr>
              <w:pStyle w:val="yTableNAm"/>
            </w:pPr>
            <w:r>
              <w:t>Schools</w:t>
            </w:r>
          </w:p>
        </w:tc>
      </w:tr>
      <w:tr>
        <w:trPr>
          <w:cantSplit/>
          <w:trHeight w:val="20"/>
        </w:trPr>
        <w:tc>
          <w:tcPr>
            <w:tcW w:w="993" w:type="dxa"/>
          </w:tcPr>
          <w:p>
            <w:pPr>
              <w:pStyle w:val="yTableNAm"/>
            </w:pPr>
            <w:r>
              <w:t>14.</w:t>
            </w:r>
          </w:p>
        </w:tc>
        <w:tc>
          <w:tcPr>
            <w:tcW w:w="4800" w:type="dxa"/>
          </w:tcPr>
          <w:p>
            <w:pPr>
              <w:pStyle w:val="yTableNAm"/>
            </w:pPr>
            <w:r>
              <w:t>Special uses</w:t>
            </w:r>
          </w:p>
        </w:tc>
      </w:tr>
      <w:tr>
        <w:trPr>
          <w:cantSplit/>
          <w:trHeight w:val="20"/>
        </w:trPr>
        <w:tc>
          <w:tcPr>
            <w:tcW w:w="993" w:type="dxa"/>
          </w:tcPr>
          <w:p>
            <w:pPr>
              <w:pStyle w:val="yTableNAm"/>
            </w:pPr>
            <w:r>
              <w:t>15.</w:t>
            </w:r>
          </w:p>
        </w:tc>
        <w:tc>
          <w:tcPr>
            <w:tcW w:w="4800" w:type="dxa"/>
          </w:tcPr>
          <w:p>
            <w:pPr>
              <w:pStyle w:val="yTableNAm"/>
            </w:pPr>
            <w:r>
              <w:t>State forests</w:t>
            </w:r>
          </w:p>
        </w:tc>
      </w:tr>
      <w:tr>
        <w:trPr>
          <w:cantSplit/>
          <w:trHeight w:val="20"/>
        </w:trPr>
        <w:tc>
          <w:tcPr>
            <w:tcW w:w="993" w:type="dxa"/>
          </w:tcPr>
          <w:p>
            <w:pPr>
              <w:pStyle w:val="yTableNAm"/>
            </w:pPr>
            <w:r>
              <w:t>16.</w:t>
            </w:r>
          </w:p>
        </w:tc>
        <w:tc>
          <w:tcPr>
            <w:tcW w:w="4800" w:type="dxa"/>
          </w:tcPr>
          <w:p>
            <w:pPr>
              <w:pStyle w:val="yTableNAm"/>
            </w:pPr>
            <w:r>
              <w:t>Universities</w:t>
            </w:r>
          </w:p>
        </w:tc>
      </w:tr>
      <w:tr>
        <w:trPr>
          <w:cantSplit/>
          <w:trHeight w:val="20"/>
        </w:trPr>
        <w:tc>
          <w:tcPr>
            <w:tcW w:w="993" w:type="dxa"/>
          </w:tcPr>
          <w:p>
            <w:pPr>
              <w:pStyle w:val="yTableNAm"/>
            </w:pPr>
            <w:r>
              <w:t>17.</w:t>
            </w:r>
          </w:p>
        </w:tc>
        <w:tc>
          <w:tcPr>
            <w:tcW w:w="4800" w:type="dxa"/>
          </w:tcPr>
          <w:p>
            <w:pPr>
              <w:pStyle w:val="yTableNAm"/>
            </w:pPr>
            <w:r>
              <w:t>Water catchments</w:t>
            </w:r>
          </w:p>
        </w:tc>
      </w:tr>
      <w:tr>
        <w:trPr>
          <w:cantSplit/>
          <w:trHeight w:val="20"/>
        </w:trPr>
        <w:tc>
          <w:tcPr>
            <w:tcW w:w="993" w:type="dxa"/>
          </w:tcPr>
          <w:p>
            <w:pPr>
              <w:pStyle w:val="yTableNAm"/>
            </w:pPr>
            <w:r>
              <w:t>18.</w:t>
            </w:r>
          </w:p>
        </w:tc>
        <w:tc>
          <w:tcPr>
            <w:tcW w:w="4800" w:type="dxa"/>
          </w:tcPr>
          <w:p>
            <w:pPr>
              <w:pStyle w:val="yTableNAm"/>
            </w:pPr>
            <w:r>
              <w:t>Water services, including sewerage and drainage</w:t>
            </w:r>
          </w:p>
        </w:tc>
      </w:tr>
      <w:tr>
        <w:trPr>
          <w:cantSplit/>
          <w:trHeight w:val="20"/>
        </w:trPr>
        <w:tc>
          <w:tcPr>
            <w:tcW w:w="993" w:type="dxa"/>
          </w:tcPr>
          <w:p>
            <w:pPr>
              <w:pStyle w:val="yTableNAm"/>
            </w:pPr>
            <w:r>
              <w:t>19.</w:t>
            </w:r>
          </w:p>
        </w:tc>
        <w:tc>
          <w:tcPr>
            <w:tcW w:w="4800" w:type="dxa"/>
          </w:tcPr>
          <w:p>
            <w:pPr>
              <w:pStyle w:val="yTableNAm"/>
            </w:pPr>
            <w:r>
              <w:t>Waterways</w:t>
            </w:r>
          </w:p>
        </w:tc>
      </w:tr>
      <w:tr>
        <w:trPr>
          <w:cantSplit/>
          <w:trHeight w:val="20"/>
        </w:trPr>
        <w:tc>
          <w:tcPr>
            <w:tcW w:w="993" w:type="dxa"/>
          </w:tcPr>
          <w:p>
            <w:pPr>
              <w:pStyle w:val="yTableNAm"/>
            </w:pPr>
            <w:r>
              <w:t>20.</w:t>
            </w:r>
          </w:p>
        </w:tc>
        <w:tc>
          <w:tcPr>
            <w:tcW w:w="4800" w:type="dxa"/>
          </w:tcPr>
          <w:p>
            <w:pPr>
              <w:pStyle w:val="yTableNAm"/>
            </w:pPr>
            <w:r>
              <w:t>Public transport</w:t>
            </w:r>
          </w:p>
        </w:tc>
      </w:tr>
    </w:tbl>
    <w:p>
      <w:pPr>
        <w:pStyle w:val="yFootnotesection"/>
        <w:rPr>
          <w:rStyle w:val="CharSchNo"/>
          <w:b/>
          <w:snapToGrid/>
        </w:rPr>
      </w:pPr>
      <w:r>
        <w:rPr>
          <w:rStyle w:val="CharSchNo"/>
        </w:rPr>
        <w:tab/>
        <w:t>[Schedule 6 amended: No. 26 of 2020 s. 103.]</w:t>
      </w:r>
    </w:p>
    <w:p>
      <w:pPr>
        <w:pStyle w:val="yFootnotesection"/>
        <w:rPr>
          <w:rStyle w:val="CharSchNo"/>
          <w:b/>
        </w:rPr>
        <w:sectPr>
          <w:headerReference w:type="even" r:id="rId26"/>
          <w:headerReference w:type="default" r:id="rId27"/>
          <w:endnotePr>
            <w:numFmt w:val="decimal"/>
          </w:endnotePr>
          <w:pgSz w:w="11907" w:h="16840" w:code="9"/>
          <w:pgMar w:top="2381" w:right="2410" w:bottom="3544" w:left="2410" w:header="720" w:footer="3544" w:gutter="0"/>
          <w:cols w:space="720"/>
          <w:docGrid w:linePitch="326"/>
        </w:sectPr>
      </w:pPr>
    </w:p>
    <w:p>
      <w:pPr>
        <w:pStyle w:val="yScheduleHeading"/>
      </w:pPr>
      <w:bookmarkStart w:id="435" w:name="_Toc199322681"/>
      <w:r>
        <w:rPr>
          <w:rStyle w:val="CharSchNo"/>
        </w:rPr>
        <w:lastRenderedPageBreak/>
        <w:t>Schedule 7</w:t>
      </w:r>
      <w:r>
        <w:rPr>
          <w:rStyle w:val="CharSDivNo"/>
        </w:rPr>
        <w:t> </w:t>
      </w:r>
      <w:r>
        <w:t>—</w:t>
      </w:r>
      <w:r>
        <w:rPr>
          <w:rStyle w:val="CharSDivText"/>
        </w:rPr>
        <w:t> </w:t>
      </w:r>
      <w:r>
        <w:rPr>
          <w:rStyle w:val="CharSchText"/>
        </w:rPr>
        <w:t>Matters which may be dealt with by planning scheme</w:t>
      </w:r>
      <w:bookmarkEnd w:id="435"/>
    </w:p>
    <w:p>
      <w:pPr>
        <w:pStyle w:val="yShoulderClause"/>
      </w:pPr>
      <w:r>
        <w:t>[s. 69, 256(1)]</w:t>
      </w:r>
    </w:p>
    <w:p>
      <w:pPr>
        <w:pStyle w:val="yHeading5"/>
        <w:outlineLvl w:val="9"/>
      </w:pPr>
      <w:bookmarkStart w:id="436" w:name="_Toc199322682"/>
      <w:r>
        <w:rPr>
          <w:rStyle w:val="CharSClsNo"/>
        </w:rPr>
        <w:t>1</w:t>
      </w:r>
      <w:r>
        <w:t>.</w:t>
      </w:r>
      <w:r>
        <w:tab/>
        <w:t>Generality preserved</w:t>
      </w:r>
      <w:bookmarkEnd w:id="436"/>
    </w:p>
    <w:p>
      <w:pPr>
        <w:pStyle w:val="ySubsection"/>
      </w:pPr>
      <w:r>
        <w:tab/>
      </w:r>
      <w:r>
        <w:tab/>
        <w:t>The mention of a particular matter in this Schedule does not prejudice or affect the generality of any other matter.</w:t>
      </w:r>
    </w:p>
    <w:p>
      <w:pPr>
        <w:pStyle w:val="yHeading5"/>
        <w:outlineLvl w:val="9"/>
      </w:pPr>
      <w:bookmarkStart w:id="437" w:name="_Toc199322683"/>
      <w:r>
        <w:rPr>
          <w:rStyle w:val="CharSClsNo"/>
        </w:rPr>
        <w:t>2</w:t>
      </w:r>
      <w:r>
        <w:t>.</w:t>
      </w:r>
      <w:r>
        <w:tab/>
        <w:t>Subdivision</w:t>
      </w:r>
      <w:bookmarkEnd w:id="437"/>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outlineLvl w:val="9"/>
      </w:pPr>
      <w:bookmarkStart w:id="438" w:name="_Toc199322684"/>
      <w:r>
        <w:rPr>
          <w:rStyle w:val="CharSClsNo"/>
        </w:rPr>
        <w:t>3</w:t>
      </w:r>
      <w:r>
        <w:t>.</w:t>
      </w:r>
      <w:r>
        <w:tab/>
        <w:t>Reconstruction</w:t>
      </w:r>
      <w:bookmarkEnd w:id="438"/>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outlineLvl w:val="9"/>
      </w:pPr>
      <w:bookmarkStart w:id="439" w:name="_Toc199322685"/>
      <w:r>
        <w:rPr>
          <w:rStyle w:val="CharSClsNo"/>
        </w:rPr>
        <w:t>4</w:t>
      </w:r>
      <w:r>
        <w:t>.</w:t>
      </w:r>
      <w:r>
        <w:tab/>
        <w:t>Preservation and conservation</w:t>
      </w:r>
      <w:bookmarkEnd w:id="439"/>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outlineLvl w:val="9"/>
      </w:pPr>
      <w:bookmarkStart w:id="440" w:name="_Toc199322686"/>
      <w:r>
        <w:rPr>
          <w:rStyle w:val="CharSClsNo"/>
        </w:rPr>
        <w:lastRenderedPageBreak/>
        <w:t>5</w:t>
      </w:r>
      <w:r>
        <w:t>.</w:t>
      </w:r>
      <w:r>
        <w:tab/>
        <w:t>Roads, public works, community infrastructure, reservation of land, provision of facilities</w:t>
      </w:r>
      <w:bookmarkEnd w:id="440"/>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(2A)</w:t>
      </w:r>
      <w:r>
        <w:tab/>
        <w:t>Community infrastructure, including community centres, libraries, schools and other educational facilities, child care centres (including outside school hours care services) and sporting facilities.</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Subsection"/>
      </w:pPr>
      <w:r>
        <w:tab/>
        <w:t>(5)</w:t>
      </w:r>
      <w:r>
        <w:tab/>
        <w:t>The designation of classes or kinds of development as public work.</w:t>
      </w:r>
    </w:p>
    <w:p>
      <w:pPr>
        <w:pStyle w:val="yFootnotesection"/>
      </w:pPr>
      <w:r>
        <w:tab/>
        <w:t>[Clause 5 amended: No. 26 of 2020 s. 13 and 88(1).]</w:t>
      </w:r>
    </w:p>
    <w:p>
      <w:pPr>
        <w:pStyle w:val="yHeading5"/>
        <w:outlineLvl w:val="9"/>
      </w:pPr>
      <w:bookmarkStart w:id="441" w:name="_Toc199322687"/>
      <w:r>
        <w:rPr>
          <w:rStyle w:val="CharSClsNo"/>
        </w:rPr>
        <w:t>6</w:t>
      </w:r>
      <w:r>
        <w:t>.</w:t>
      </w:r>
      <w:r>
        <w:tab/>
        <w:t>Zoning</w:t>
      </w:r>
      <w:bookmarkEnd w:id="441"/>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outlineLvl w:val="9"/>
      </w:pPr>
      <w:bookmarkStart w:id="442" w:name="_Toc199322688"/>
      <w:r>
        <w:rPr>
          <w:rStyle w:val="CharSClsNo"/>
        </w:rPr>
        <w:t>7</w:t>
      </w:r>
      <w:r>
        <w:t>.</w:t>
      </w:r>
      <w:r>
        <w:tab/>
        <w:t>Controls for land management</w:t>
      </w:r>
      <w:bookmarkEnd w:id="442"/>
    </w:p>
    <w:p>
      <w:pPr>
        <w:pStyle w:val="ySubsection"/>
        <w:spacing w:before="120"/>
      </w:pPr>
      <w:r>
        <w:tab/>
      </w:r>
      <w:r>
        <w:tab/>
        <w:t>Controls for land or site management for matters to which this Act relates.</w:t>
      </w:r>
    </w:p>
    <w:p>
      <w:pPr>
        <w:pStyle w:val="yHeading5"/>
        <w:outlineLvl w:val="9"/>
      </w:pPr>
      <w:bookmarkStart w:id="443" w:name="_Toc199322689"/>
      <w:r>
        <w:rPr>
          <w:rStyle w:val="CharSClsNo"/>
        </w:rPr>
        <w:t>8</w:t>
      </w:r>
      <w:r>
        <w:t>.</w:t>
      </w:r>
      <w:r>
        <w:tab/>
        <w:t>Development standards</w:t>
      </w:r>
      <w:bookmarkEnd w:id="443"/>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lastRenderedPageBreak/>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outlineLvl w:val="9"/>
      </w:pPr>
      <w:bookmarkStart w:id="444" w:name="_Toc199322690"/>
      <w:r>
        <w:rPr>
          <w:rStyle w:val="CharSClsNo"/>
        </w:rPr>
        <w:t>9</w:t>
      </w:r>
      <w:r>
        <w:t>.</w:t>
      </w:r>
      <w:r>
        <w:tab/>
        <w:t>Development controls</w:t>
      </w:r>
      <w:bookmarkEnd w:id="444"/>
    </w:p>
    <w:p>
      <w:pPr>
        <w:pStyle w:val="ySubsection"/>
        <w:spacing w:before="140"/>
      </w:pPr>
      <w:r>
        <w:tab/>
      </w:r>
      <w:r>
        <w:tab/>
        <w:t>Approval, refusal or approval subject to conditions of any use or class or kind of development by a consideration of any matter to which the Act relates including the public interest.</w:t>
      </w:r>
    </w:p>
    <w:p>
      <w:pPr>
        <w:pStyle w:val="yHeading5"/>
        <w:spacing w:before="200"/>
        <w:outlineLvl w:val="9"/>
      </w:pPr>
      <w:bookmarkStart w:id="445" w:name="_Toc199322691"/>
      <w:r>
        <w:rPr>
          <w:rStyle w:val="CharSClsNo"/>
        </w:rPr>
        <w:t>10</w:t>
      </w:r>
      <w:r>
        <w:t>.</w:t>
      </w:r>
      <w:r>
        <w:tab/>
        <w:t>Acquisition and purchase of land</w:t>
      </w:r>
      <w:bookmarkEnd w:id="445"/>
    </w:p>
    <w:p>
      <w:pPr>
        <w:pStyle w:val="ySubsection"/>
        <w:spacing w:before="140"/>
      </w:pPr>
      <w:r>
        <w:tab/>
      </w:r>
      <w:r>
        <w:tab/>
        <w:t>Acquisition or purchase of land or buildings and any step necessary to give effect to the acquisition or purchase.</w:t>
      </w:r>
    </w:p>
    <w:p>
      <w:pPr>
        <w:pStyle w:val="yHeading5"/>
        <w:spacing w:before="200"/>
        <w:outlineLvl w:val="9"/>
      </w:pPr>
      <w:bookmarkStart w:id="446" w:name="_Toc199322692"/>
      <w:r>
        <w:rPr>
          <w:rStyle w:val="CharSClsNo"/>
        </w:rPr>
        <w:t>11</w:t>
      </w:r>
      <w:r>
        <w:t>.</w:t>
      </w:r>
      <w:r>
        <w:tab/>
        <w:t>Powers</w:t>
      </w:r>
      <w:bookmarkEnd w:id="446"/>
    </w:p>
    <w:p>
      <w:pPr>
        <w:pStyle w:val="ySubsection"/>
        <w:spacing w:before="140"/>
      </w:pPr>
      <w:r>
        <w:tab/>
        <w:t>(1)</w:t>
      </w:r>
      <w:r>
        <w:tab/>
        <w:t>The extinguishment or variation of any restrictive covenant, easement or right of way.</w:t>
      </w:r>
    </w:p>
    <w:p>
      <w:pPr>
        <w:pStyle w:val="ySubsection"/>
        <w:spacing w:before="140"/>
      </w:pPr>
      <w:r>
        <w:tab/>
        <w:t>(2)</w:t>
      </w:r>
      <w:r>
        <w:tab/>
        <w:t>Powers of entry and inspection.</w:t>
      </w:r>
    </w:p>
    <w:p>
      <w:pPr>
        <w:pStyle w:val="ySubsection"/>
        <w:spacing w:before="140"/>
      </w:pPr>
      <w:r>
        <w:tab/>
        <w:t>(3)</w:t>
      </w:r>
      <w:r>
        <w:tab/>
        <w:t>Powers to remove, alter, or demolish any building which obstructs the observance or carrying out of the scheme.</w:t>
      </w:r>
    </w:p>
    <w:p>
      <w:pPr>
        <w:pStyle w:val="ySubsection"/>
        <w:spacing w:before="140"/>
      </w:pPr>
      <w:r>
        <w:tab/>
        <w:t>(4)</w:t>
      </w:r>
      <w:r>
        <w:tab/>
        <w:t>Powers to recover expenses incurred or to be incurred in implementing, enforcing and giving effect to the scheme.</w:t>
      </w:r>
    </w:p>
    <w:p>
      <w:pPr>
        <w:pStyle w:val="ySubsection"/>
      </w:pPr>
      <w:r>
        <w:tab/>
        <w:t>(5)</w:t>
      </w:r>
      <w:r>
        <w:tab/>
        <w:t>The financial management of any expenses recovered as referred to in subclause (4).</w:t>
      </w:r>
    </w:p>
    <w:p>
      <w:pPr>
        <w:pStyle w:val="yFootnotesection"/>
      </w:pPr>
      <w:r>
        <w:tab/>
        <w:t>[Clause 11 amended: No. 26 of 2020 s. 88(2).]</w:t>
      </w:r>
    </w:p>
    <w:p>
      <w:pPr>
        <w:pStyle w:val="yHeading5"/>
        <w:spacing w:before="200"/>
        <w:outlineLvl w:val="9"/>
      </w:pPr>
      <w:bookmarkStart w:id="447" w:name="_Toc199322693"/>
      <w:r>
        <w:rPr>
          <w:rStyle w:val="CharSClsNo"/>
        </w:rPr>
        <w:t>12</w:t>
      </w:r>
      <w:r>
        <w:t>.</w:t>
      </w:r>
      <w:r>
        <w:tab/>
        <w:t>Agreements and cooperation</w:t>
      </w:r>
      <w:bookmarkEnd w:id="447"/>
    </w:p>
    <w:p>
      <w:pPr>
        <w:pStyle w:val="ySubsection"/>
        <w:spacing w:before="150"/>
      </w:pPr>
      <w:r>
        <w:tab/>
        <w:t>(1)</w:t>
      </w:r>
      <w:r>
        <w:tab/>
        <w:t>Agreements and cooperation between the responsible authority and the owners of land.</w:t>
      </w:r>
    </w:p>
    <w:p>
      <w:pPr>
        <w:pStyle w:val="ySubsection"/>
        <w:spacing w:before="150"/>
      </w:pPr>
      <w:r>
        <w:tab/>
        <w:t>(2)</w:t>
      </w:r>
      <w:r>
        <w:tab/>
        <w:t>Agreements and cooperation between the responsible authority and public, statutory or responsible authority.</w:t>
      </w:r>
    </w:p>
    <w:p>
      <w:pPr>
        <w:pStyle w:val="ySubsection"/>
        <w:spacing w:before="150"/>
      </w:pPr>
      <w:r>
        <w:lastRenderedPageBreak/>
        <w:tab/>
        <w:t>(3)</w:t>
      </w:r>
      <w:r>
        <w:tab/>
        <w:t>Agreements and cooperation between owners of land.</w:t>
      </w:r>
    </w:p>
    <w:p>
      <w:pPr>
        <w:pStyle w:val="yHeading5"/>
        <w:spacing w:before="200"/>
        <w:outlineLvl w:val="9"/>
      </w:pPr>
      <w:bookmarkStart w:id="448" w:name="_Toc199322694"/>
      <w:r>
        <w:rPr>
          <w:rStyle w:val="CharSClsNo"/>
        </w:rPr>
        <w:t>13</w:t>
      </w:r>
      <w:r>
        <w:t>.</w:t>
      </w:r>
      <w:r>
        <w:tab/>
        <w:t>Carrying out scheme</w:t>
      </w:r>
      <w:bookmarkEnd w:id="448"/>
    </w:p>
    <w:p>
      <w:pPr>
        <w:pStyle w:val="ySubsection"/>
        <w:spacing w:before="140"/>
      </w:pPr>
      <w:r>
        <w:tab/>
        <w:t>(1)</w:t>
      </w:r>
      <w:r>
        <w:tab/>
        <w:t>The carrying out of the scheme.</w:t>
      </w:r>
    </w:p>
    <w:p>
      <w:pPr>
        <w:pStyle w:val="ySubsection"/>
        <w:spacing w:before="140"/>
      </w:pPr>
      <w:r>
        <w:tab/>
        <w:t>(2)</w:t>
      </w:r>
      <w:r>
        <w:tab/>
        <w:t>The limitation of time for the operation of a scheme, any provision of the scheme or works ancillary to the scheme.</w:t>
      </w:r>
    </w:p>
    <w:p>
      <w:pPr>
        <w:pStyle w:val="ySubsection"/>
        <w:spacing w:before="140"/>
      </w:pPr>
      <w:r>
        <w:tab/>
        <w:t>(3)</w:t>
      </w:r>
      <w:r>
        <w:tab/>
        <w:t>The responsibilities of any persons or authorities to which the scheme relates.</w:t>
      </w:r>
    </w:p>
    <w:p>
      <w:pPr>
        <w:pStyle w:val="ySubsection"/>
        <w:spacing w:before="140"/>
      </w:pPr>
      <w:r>
        <w:tab/>
        <w:t>(4)</w:t>
      </w:r>
      <w:r>
        <w:tab/>
        <w:t>Requiring the preparation and approval of documents ancillary to the carrying out of a scheme.</w:t>
      </w:r>
    </w:p>
    <w:p>
      <w:pPr>
        <w:pStyle w:val="yFootnotesection"/>
        <w:spacing w:before="100"/>
      </w:pPr>
      <w:r>
        <w:tab/>
        <w:t>[Clause 13 amended: No. 28 of 2010 s. 68.]</w:t>
      </w:r>
    </w:p>
    <w:p>
      <w:pPr>
        <w:pStyle w:val="yHeading5"/>
        <w:outlineLvl w:val="9"/>
      </w:pPr>
      <w:bookmarkStart w:id="449" w:name="_Toc199322695"/>
      <w:r>
        <w:rPr>
          <w:rStyle w:val="CharSClsNo"/>
        </w:rPr>
        <w:t>14</w:t>
      </w:r>
      <w:r>
        <w:t>.</w:t>
      </w:r>
      <w:r>
        <w:tab/>
        <w:t>Review by SAT</w:t>
      </w:r>
      <w:bookmarkEnd w:id="449"/>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outlineLvl w:val="9"/>
      </w:pPr>
      <w:bookmarkStart w:id="450" w:name="_Toc199322696"/>
      <w:r>
        <w:rPr>
          <w:rStyle w:val="CharSClsNo"/>
        </w:rPr>
        <w:t>15</w:t>
      </w:r>
      <w:r>
        <w:t>.</w:t>
      </w:r>
      <w:r>
        <w:tab/>
        <w:t>Policies and ancillary matters</w:t>
      </w:r>
      <w:bookmarkEnd w:id="450"/>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451" w:name="_Toc199322697"/>
      <w:r>
        <w:rPr>
          <w:rStyle w:val="CharSchNo"/>
        </w:rPr>
        <w:lastRenderedPageBreak/>
        <w:t>Schedule 8</w:t>
      </w:r>
      <w:r>
        <w:rPr>
          <w:rStyle w:val="CharSDivNo"/>
        </w:rPr>
        <w:t> </w:t>
      </w:r>
      <w:r>
        <w:t>—</w:t>
      </w:r>
      <w:r>
        <w:rPr>
          <w:rStyle w:val="CharSDivText"/>
        </w:rPr>
        <w:t> </w:t>
      </w:r>
      <w:r>
        <w:rPr>
          <w:rStyle w:val="CharSchText"/>
        </w:rPr>
        <w:t>Matters for which local laws may be made by Governor</w:t>
      </w:r>
      <w:bookmarkEnd w:id="451"/>
    </w:p>
    <w:p>
      <w:pPr>
        <w:pStyle w:val="yShoulderClause"/>
        <w:spacing w:before="60"/>
      </w:pPr>
      <w:r>
        <w:t>[s. 262(1)]</w:t>
      </w:r>
    </w:p>
    <w:p>
      <w:pPr>
        <w:pStyle w:val="yHeading5"/>
        <w:outlineLvl w:val="9"/>
      </w:pPr>
      <w:bookmarkStart w:id="452" w:name="_Toc199322698"/>
      <w:r>
        <w:rPr>
          <w:rStyle w:val="CharSClsNo"/>
        </w:rPr>
        <w:t>1</w:t>
      </w:r>
      <w:r>
        <w:t>.</w:t>
      </w:r>
      <w:r>
        <w:tab/>
        <w:t>Purchase and reservation of land</w:t>
      </w:r>
      <w:bookmarkEnd w:id="452"/>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outlineLvl w:val="9"/>
      </w:pPr>
      <w:bookmarkStart w:id="453" w:name="_Toc199322699"/>
      <w:r>
        <w:rPr>
          <w:rStyle w:val="CharSClsNo"/>
        </w:rPr>
        <w:t>2</w:t>
      </w:r>
      <w:r>
        <w:t>.</w:t>
      </w:r>
      <w:r>
        <w:tab/>
        <w:t>Limiting and regulating building</w:t>
      </w:r>
      <w:bookmarkEnd w:id="453"/>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outlineLvl w:val="9"/>
      </w:pPr>
      <w:bookmarkStart w:id="454" w:name="_Toc199322700"/>
      <w:r>
        <w:rPr>
          <w:rStyle w:val="CharSClsNo"/>
        </w:rPr>
        <w:t>3</w:t>
      </w:r>
      <w:r>
        <w:t>.</w:t>
      </w:r>
      <w:r>
        <w:tab/>
        <w:t>Classification and zoning</w:t>
      </w:r>
      <w:bookmarkEnd w:id="454"/>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outlineLvl w:val="9"/>
      </w:pPr>
      <w:bookmarkStart w:id="455" w:name="_Toc199322701"/>
      <w:r>
        <w:rPr>
          <w:rStyle w:val="CharSClsNo"/>
        </w:rPr>
        <w:lastRenderedPageBreak/>
        <w:t>4</w:t>
      </w:r>
      <w:r>
        <w:t>.</w:t>
      </w:r>
      <w:r>
        <w:tab/>
        <w:t>Prohibiting unauthorised uses</w:t>
      </w:r>
      <w:bookmarkEnd w:id="455"/>
    </w:p>
    <w:p>
      <w:pPr>
        <w:pStyle w:val="ySubsection"/>
      </w:pPr>
      <w:r>
        <w:tab/>
      </w:r>
      <w:r>
        <w:tab/>
        <w:t>Prohibiting any district or part of it from being used for any purpose other than that for which it has been classified.</w:t>
      </w:r>
    </w:p>
    <w:p>
      <w:pPr>
        <w:pStyle w:val="yHeading5"/>
        <w:outlineLvl w:val="9"/>
      </w:pPr>
      <w:bookmarkStart w:id="456" w:name="_Toc199322702"/>
      <w:r>
        <w:rPr>
          <w:rStyle w:val="CharSClsNo"/>
        </w:rPr>
        <w:t>5</w:t>
      </w:r>
      <w:r>
        <w:t>.</w:t>
      </w:r>
      <w:r>
        <w:tab/>
        <w:t>Prescribing characteristics of buildings</w:t>
      </w:r>
      <w:bookmarkEnd w:id="456"/>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outlineLvl w:val="9"/>
      </w:pPr>
      <w:bookmarkStart w:id="457" w:name="_Toc199322703"/>
      <w:r>
        <w:rPr>
          <w:rStyle w:val="CharSClsNo"/>
        </w:rPr>
        <w:t>6</w:t>
      </w:r>
      <w:r>
        <w:t>.</w:t>
      </w:r>
      <w:r>
        <w:tab/>
        <w:t>Prohibiting trade etc. or erection or use of building</w:t>
      </w:r>
      <w:bookmarkEnd w:id="457"/>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outlineLvl w:val="9"/>
      </w:pPr>
      <w:bookmarkStart w:id="458" w:name="_Toc199322704"/>
      <w:r>
        <w:rPr>
          <w:rStyle w:val="CharSClsNo"/>
        </w:rPr>
        <w:t>7</w:t>
      </w:r>
      <w:r>
        <w:t>.</w:t>
      </w:r>
      <w:r>
        <w:tab/>
        <w:t>Requirements of new subdivisions</w:t>
      </w:r>
      <w:bookmarkEnd w:id="458"/>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outlineLvl w:val="9"/>
      </w:pPr>
      <w:bookmarkStart w:id="459" w:name="_Toc199322705"/>
      <w:r>
        <w:rPr>
          <w:rStyle w:val="CharSClsNo"/>
        </w:rPr>
        <w:lastRenderedPageBreak/>
        <w:t>8</w:t>
      </w:r>
      <w:r>
        <w:t>.</w:t>
      </w:r>
      <w:r>
        <w:tab/>
        <w:t>Building lines</w:t>
      </w:r>
      <w:bookmarkEnd w:id="459"/>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rStyle w:val="CharDefText"/>
        </w:rPr>
        <w:t>building line</w:t>
      </w:r>
      <w:r>
        <w:t xml:space="preserve"> means the line between which and any public place or public reserve a building may not be erected;</w:t>
      </w:r>
    </w:p>
    <w:p>
      <w:pPr>
        <w:pStyle w:val="yDefstart"/>
      </w:pPr>
      <w:r>
        <w:rPr>
          <w:b/>
        </w:rPr>
        <w:tab/>
      </w:r>
      <w:r>
        <w:rPr>
          <w:rStyle w:val="CharDefText"/>
        </w:rPr>
        <w:t>road</w:t>
      </w:r>
      <w:r>
        <w:t xml:space="preserve"> has the meaning given by clause 7(2).</w:t>
      </w:r>
    </w:p>
    <w:p>
      <w:pPr>
        <w:pStyle w:val="yHeading5"/>
        <w:outlineLvl w:val="9"/>
      </w:pPr>
      <w:bookmarkStart w:id="460" w:name="_Toc199322706"/>
      <w:r>
        <w:rPr>
          <w:rStyle w:val="CharSClsNo"/>
        </w:rPr>
        <w:t>9</w:t>
      </w:r>
      <w:r>
        <w:t>.</w:t>
      </w:r>
      <w:r>
        <w:tab/>
        <w:t>Open space etc.</w:t>
      </w:r>
      <w:bookmarkEnd w:id="460"/>
    </w:p>
    <w:p>
      <w:pPr>
        <w:pStyle w:val="ySubsection"/>
      </w:pPr>
      <w:r>
        <w:tab/>
      </w:r>
      <w:r>
        <w:tab/>
        <w:t>Limiting of open spaces, recreation grounds, or sites for public buildings, by purchase or agreement between owners of lands and the local government.</w:t>
      </w:r>
    </w:p>
    <w:p>
      <w:pPr>
        <w:pStyle w:val="yHeading5"/>
        <w:outlineLvl w:val="9"/>
      </w:pPr>
      <w:bookmarkStart w:id="461" w:name="_Toc199322707"/>
      <w:r>
        <w:rPr>
          <w:rStyle w:val="CharSClsNo"/>
        </w:rPr>
        <w:t>10</w:t>
      </w:r>
      <w:r>
        <w:t>.</w:t>
      </w:r>
      <w:r>
        <w:tab/>
        <w:t>Heights of walls etc. at road corners</w:t>
      </w:r>
      <w:bookmarkEnd w:id="461"/>
    </w:p>
    <w:p>
      <w:pPr>
        <w:pStyle w:val="ySubsection"/>
      </w:pPr>
      <w:r>
        <w:tab/>
      </w:r>
      <w:r>
        <w:tab/>
        <w:t>Limiting the height, at the corner of any road (as defined in clause 7(2)) of any wall, fence, hedge, tree, or shrub or other obstruction not being an authorised building.</w:t>
      </w:r>
    </w:p>
    <w:p>
      <w:pPr>
        <w:pStyle w:val="yHeading5"/>
        <w:outlineLvl w:val="9"/>
      </w:pPr>
      <w:bookmarkStart w:id="462" w:name="_Toc199322708"/>
      <w:r>
        <w:rPr>
          <w:rStyle w:val="CharSClsNo"/>
        </w:rPr>
        <w:t>11</w:t>
      </w:r>
      <w:r>
        <w:t>.</w:t>
      </w:r>
      <w:r>
        <w:tab/>
        <w:t>Implementing of local laws</w:t>
      </w:r>
      <w:bookmarkEnd w:id="462"/>
    </w:p>
    <w:p>
      <w:pPr>
        <w:pStyle w:val="ySubsection"/>
      </w:pPr>
      <w:r>
        <w:tab/>
      </w:r>
      <w:r>
        <w:tab/>
        <w:t>Providing for the authority or authorities responsible for carrying the local laws into effect and enforcing their observance.</w:t>
      </w:r>
    </w:p>
    <w:p>
      <w:pPr>
        <w:pStyle w:val="yScheduleHeading"/>
      </w:pPr>
      <w:bookmarkStart w:id="463" w:name="_Toc199322709"/>
      <w:r>
        <w:rPr>
          <w:rStyle w:val="CharSchNo"/>
        </w:rPr>
        <w:lastRenderedPageBreak/>
        <w:t>Schedule 9</w:t>
      </w:r>
      <w:r>
        <w:rPr>
          <w:rStyle w:val="CharSDivNo"/>
        </w:rPr>
        <w:t> </w:t>
      </w:r>
      <w:r>
        <w:t>—</w:t>
      </w:r>
      <w:r>
        <w:rPr>
          <w:rStyle w:val="CharSDivText"/>
        </w:rPr>
        <w:t> </w:t>
      </w:r>
      <w:r>
        <w:rPr>
          <w:rStyle w:val="CharSchText"/>
        </w:rPr>
        <w:t>Board of Valuers</w:t>
      </w:r>
      <w:bookmarkEnd w:id="463"/>
    </w:p>
    <w:p>
      <w:pPr>
        <w:pStyle w:val="yShoulderClause"/>
      </w:pPr>
      <w:r>
        <w:t>[s. 182(5)]</w:t>
      </w:r>
    </w:p>
    <w:p>
      <w:pPr>
        <w:pStyle w:val="yHeading5"/>
        <w:outlineLvl w:val="9"/>
      </w:pPr>
      <w:bookmarkStart w:id="464" w:name="_Toc199322710"/>
      <w:r>
        <w:rPr>
          <w:rStyle w:val="CharSClsNo"/>
        </w:rPr>
        <w:t>1</w:t>
      </w:r>
      <w:r>
        <w:t>.</w:t>
      </w:r>
      <w:r>
        <w:tab/>
        <w:t>Term used: Board</w:t>
      </w:r>
      <w:bookmarkEnd w:id="464"/>
    </w:p>
    <w:p>
      <w:pPr>
        <w:pStyle w:val="ySubsection"/>
      </w:pPr>
      <w:r>
        <w:tab/>
      </w:r>
      <w:r>
        <w:tab/>
        <w:t xml:space="preserve">In this Schedule — </w:t>
      </w:r>
    </w:p>
    <w:p>
      <w:pPr>
        <w:pStyle w:val="yDefstart"/>
      </w:pPr>
      <w:r>
        <w:rPr>
          <w:b/>
        </w:rPr>
        <w:tab/>
      </w:r>
      <w:r>
        <w:rPr>
          <w:rStyle w:val="CharDefText"/>
        </w:rPr>
        <w:t>Board</w:t>
      </w:r>
      <w:r>
        <w:t xml:space="preserve"> means the Board of Valuers established under section 182.</w:t>
      </w:r>
    </w:p>
    <w:p>
      <w:pPr>
        <w:pStyle w:val="yHeading5"/>
        <w:outlineLvl w:val="9"/>
      </w:pPr>
      <w:bookmarkStart w:id="465" w:name="_Toc199322711"/>
      <w:r>
        <w:rPr>
          <w:rStyle w:val="CharSClsNo"/>
        </w:rPr>
        <w:t>2</w:t>
      </w:r>
      <w:r>
        <w:t>.</w:t>
      </w:r>
      <w:r>
        <w:tab/>
        <w:t>Term of office</w:t>
      </w:r>
      <w:bookmarkEnd w:id="465"/>
    </w:p>
    <w:p>
      <w:pPr>
        <w:pStyle w:val="ySubsection"/>
      </w:pPr>
      <w:r>
        <w:tab/>
      </w:r>
      <w:r>
        <w:tab/>
        <w:t>Subject to clause 4 a member of the Board holds office for a term of 2 years and is eligible for reappointment.</w:t>
      </w:r>
    </w:p>
    <w:p>
      <w:pPr>
        <w:pStyle w:val="yHeading5"/>
        <w:outlineLvl w:val="9"/>
      </w:pPr>
      <w:bookmarkStart w:id="466" w:name="_Toc199322712"/>
      <w:r>
        <w:rPr>
          <w:rStyle w:val="CharSClsNo"/>
        </w:rPr>
        <w:t>3</w:t>
      </w:r>
      <w:r>
        <w:t>.</w:t>
      </w:r>
      <w:r>
        <w:tab/>
        <w:t>Constitution of Board</w:t>
      </w:r>
      <w:bookmarkEnd w:id="466"/>
    </w:p>
    <w:p>
      <w:pPr>
        <w:pStyle w:val="ySubsection"/>
      </w:pPr>
      <w:r>
        <w:tab/>
      </w:r>
      <w:r>
        <w:tab/>
        <w:t>The Board is constituted by the chairperson of the Board and any 2 other members of the Board and may meet despite there being a vacancy on the Board.</w:t>
      </w:r>
    </w:p>
    <w:p>
      <w:pPr>
        <w:pStyle w:val="yHeading5"/>
        <w:outlineLvl w:val="9"/>
      </w:pPr>
      <w:bookmarkStart w:id="467" w:name="_Toc199322713"/>
      <w:r>
        <w:rPr>
          <w:rStyle w:val="CharSClsNo"/>
        </w:rPr>
        <w:t>4</w:t>
      </w:r>
      <w:r>
        <w:t>.</w:t>
      </w:r>
      <w:r>
        <w:tab/>
        <w:t>Resignation or removal from office</w:t>
      </w:r>
      <w:bookmarkEnd w:id="467"/>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outlineLvl w:val="9"/>
      </w:pPr>
      <w:bookmarkStart w:id="468" w:name="_Toc199322714"/>
      <w:r>
        <w:rPr>
          <w:rStyle w:val="CharSClsNo"/>
        </w:rPr>
        <w:t>5</w:t>
      </w:r>
      <w:r>
        <w:t>.</w:t>
      </w:r>
      <w:r>
        <w:tab/>
        <w:t>Remuneration of members</w:t>
      </w:r>
      <w:bookmarkEnd w:id="468"/>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lastRenderedPageBreak/>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9"/>
          <w:headerReference w:type="default" r:id="rId30"/>
          <w:headerReference w:type="first" r:id="rId31"/>
          <w:endnotePr>
            <w:numFmt w:val="decimal"/>
          </w:endnotePr>
          <w:pgSz w:w="11907" w:h="16840" w:code="9"/>
          <w:pgMar w:top="2376" w:right="2405" w:bottom="3542" w:left="2405" w:header="706" w:footer="3544" w:gutter="0"/>
          <w:cols w:space="720"/>
          <w:noEndnote/>
          <w:docGrid w:linePitch="326"/>
        </w:sectPr>
      </w:pPr>
    </w:p>
    <w:p>
      <w:pPr>
        <w:pStyle w:val="nHeading2"/>
      </w:pPr>
      <w:bookmarkStart w:id="469" w:name="_Toc199322715"/>
      <w:r>
        <w:lastRenderedPageBreak/>
        <w:t>Notes</w:t>
      </w:r>
      <w:bookmarkEnd w:id="469"/>
    </w:p>
    <w:p>
      <w:pPr>
        <w:pStyle w:val="nStatement"/>
      </w:pPr>
      <w:r>
        <w:t xml:space="preserve">This is a compilation of the </w:t>
      </w:r>
      <w:r>
        <w:rPr>
          <w:i/>
          <w:noProof/>
        </w:rPr>
        <w:t>Planning and Development Act 2005</w:t>
      </w:r>
      <w:r>
        <w:t xml:space="preserve"> and includes amendments made by other written laws</w:t>
      </w:r>
      <w:r>
        <w:rPr>
          <w:snapToGrid w:val="0"/>
          <w:vertAlign w:val="superscript"/>
        </w:rPr>
        <w:t> 7, 8, 9</w:t>
      </w:r>
      <w:r>
        <w:t>. For provisions that have come into operation, and for information about any reprints, see the compilation table. For provisions that have not yet come into operation see the uncommenced provisions table.</w:t>
      </w:r>
    </w:p>
    <w:p>
      <w:pPr>
        <w:pStyle w:val="nHeading3"/>
      </w:pPr>
      <w:bookmarkStart w:id="470" w:name="_Toc199322716"/>
      <w:r>
        <w:t>Compilation table</w:t>
      </w:r>
      <w:bookmarkEnd w:id="470"/>
    </w:p>
    <w:tbl>
      <w:tblPr>
        <w:tblW w:w="7089" w:type="dxa"/>
        <w:tblInd w:w="56" w:type="dxa"/>
        <w:tblLayout w:type="fixed"/>
        <w:tblCellMar>
          <w:left w:w="56" w:type="dxa"/>
          <w:right w:w="56" w:type="dxa"/>
        </w:tblCellMar>
        <w:tblLook w:val="0000" w:firstRow="0" w:lastRow="0" w:firstColumn="0" w:lastColumn="0" w:noHBand="0" w:noVBand="0"/>
      </w:tblPr>
      <w:tblGrid>
        <w:gridCol w:w="2410"/>
        <w:gridCol w:w="993"/>
        <w:gridCol w:w="1135"/>
        <w:gridCol w:w="2551"/>
      </w:tblGrid>
      <w:tr>
        <w:trPr>
          <w:tblHeader/>
        </w:trPr>
        <w:tc>
          <w:tcPr>
            <w:tcW w:w="2410" w:type="dxa"/>
            <w:tcBorders>
              <w:top w:val="single" w:sz="8" w:space="0" w:color="auto"/>
              <w:bottom w:val="single" w:sz="8" w:space="0" w:color="auto"/>
            </w:tcBorders>
            <w:shd w:val="clear" w:color="auto" w:fill="auto"/>
          </w:tcPr>
          <w:p>
            <w:pPr>
              <w:pStyle w:val="nTable"/>
              <w:spacing w:after="40"/>
              <w:rPr>
                <w:b/>
              </w:rPr>
            </w:pPr>
            <w:r>
              <w:rPr>
                <w:b/>
              </w:rPr>
              <w:t>Short title</w:t>
            </w:r>
          </w:p>
        </w:tc>
        <w:tc>
          <w:tcPr>
            <w:tcW w:w="99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410" w:type="dxa"/>
            <w:tcBorders>
              <w:top w:val="single" w:sz="8" w:space="0" w:color="auto"/>
            </w:tcBorders>
          </w:tcPr>
          <w:p>
            <w:pPr>
              <w:pStyle w:val="nTable"/>
              <w:spacing w:after="40"/>
            </w:pPr>
            <w:r>
              <w:rPr>
                <w:i/>
                <w:noProof/>
                <w:snapToGrid w:val="0"/>
              </w:rPr>
              <w:t>Planning and Development Act 2005</w:t>
            </w:r>
          </w:p>
        </w:tc>
        <w:tc>
          <w:tcPr>
            <w:tcW w:w="993" w:type="dxa"/>
            <w:tcBorders>
              <w:top w:val="single" w:sz="8" w:space="0" w:color="auto"/>
            </w:tcBorders>
          </w:tcPr>
          <w:p>
            <w:pPr>
              <w:pStyle w:val="nTable"/>
              <w:spacing w:after="40"/>
            </w:pPr>
            <w:r>
              <w:t>37 of 2005</w:t>
            </w:r>
          </w:p>
        </w:tc>
        <w:tc>
          <w:tcPr>
            <w:tcW w:w="1135" w:type="dxa"/>
            <w:tcBorders>
              <w:top w:val="single" w:sz="8" w:space="0" w:color="auto"/>
            </w:tcBorders>
          </w:tcPr>
          <w:p>
            <w:pPr>
              <w:pStyle w:val="nTable"/>
              <w:spacing w:after="40"/>
            </w:pPr>
            <w:r>
              <w:t>12 Dec 2005</w:t>
            </w:r>
          </w:p>
        </w:tc>
        <w:tc>
          <w:tcPr>
            <w:tcW w:w="2551" w:type="dxa"/>
            <w:tcBorders>
              <w:top w:val="single" w:sz="8" w:space="0" w:color="auto"/>
            </w:tcBorders>
          </w:tcPr>
          <w:p>
            <w:pPr>
              <w:pStyle w:val="nTable"/>
              <w:spacing w:after="40"/>
            </w:pPr>
            <w:r>
              <w:t>s. 1 and 2: 12 Dec 2005;</w:t>
            </w:r>
            <w:r>
              <w:br/>
              <w:t xml:space="preserve">Act other than s. 1, 2, 149, 150 and Pt. 13 Div. 3: 9 Apr 2006 (see s. 2 and </w:t>
            </w:r>
            <w:r>
              <w:rPr>
                <w:i/>
              </w:rPr>
              <w:t>Gazette</w:t>
            </w:r>
            <w:r>
              <w:t xml:space="preserve"> 21 Mar 2006 p. 1077);</w:t>
            </w:r>
            <w:r>
              <w:br/>
              <w:t xml:space="preserve">s. 150 and Pt. 13 Div. 3: 1 Jul 2009 (see s. 2 and </w:t>
            </w:r>
            <w:r>
              <w:rPr>
                <w:i/>
                <w:iCs/>
              </w:rPr>
              <w:t>Gazette</w:t>
            </w:r>
            <w:r>
              <w:t xml:space="preserve"> 19 Jun 2009 p. 2225)</w:t>
            </w:r>
          </w:p>
        </w:tc>
      </w:tr>
      <w:tr>
        <w:tc>
          <w:tcPr>
            <w:tcW w:w="2410" w:type="dxa"/>
          </w:tcPr>
          <w:p>
            <w:pPr>
              <w:pStyle w:val="nTable"/>
              <w:spacing w:after="40"/>
              <w:rPr>
                <w:i/>
                <w:noProof/>
                <w:snapToGrid w:val="0"/>
              </w:rPr>
            </w:pPr>
            <w:r>
              <w:rPr>
                <w:i/>
                <w:noProof/>
                <w:snapToGrid w:val="0"/>
              </w:rPr>
              <w:t xml:space="preserve">Swan Valley Planning Legislation Amendment Act 2006 </w:t>
            </w:r>
            <w:r>
              <w:rPr>
                <w:noProof/>
                <w:snapToGrid w:val="0"/>
              </w:rPr>
              <w:t>s. 20(3)</w:t>
            </w:r>
          </w:p>
        </w:tc>
        <w:tc>
          <w:tcPr>
            <w:tcW w:w="993" w:type="dxa"/>
          </w:tcPr>
          <w:p>
            <w:pPr>
              <w:pStyle w:val="nTable"/>
              <w:spacing w:after="40"/>
            </w:pPr>
            <w:r>
              <w:t>7 of 2006</w:t>
            </w:r>
          </w:p>
        </w:tc>
        <w:tc>
          <w:tcPr>
            <w:tcW w:w="1135" w:type="dxa"/>
          </w:tcPr>
          <w:p>
            <w:pPr>
              <w:pStyle w:val="nTable"/>
              <w:spacing w:after="40"/>
            </w:pPr>
            <w:r>
              <w:t>19 Apr 2006</w:t>
            </w:r>
          </w:p>
        </w:tc>
        <w:tc>
          <w:tcPr>
            <w:tcW w:w="2551" w:type="dxa"/>
          </w:tcPr>
          <w:p>
            <w:pPr>
              <w:pStyle w:val="nTable"/>
              <w:spacing w:after="40"/>
            </w:pPr>
            <w:r>
              <w:t xml:space="preserve">18 Jun 2006 (see s. 2 and </w:t>
            </w:r>
            <w:r>
              <w:rPr>
                <w:i/>
              </w:rPr>
              <w:t>Gazette</w:t>
            </w:r>
            <w:r>
              <w:t xml:space="preserve"> 16 Jun 2006 p. 2109)</w:t>
            </w:r>
          </w:p>
        </w:tc>
      </w:tr>
      <w:tr>
        <w:trPr>
          <w:cantSplit/>
        </w:trPr>
        <w:tc>
          <w:tcPr>
            <w:tcW w:w="2410" w:type="dxa"/>
          </w:tcPr>
          <w:p>
            <w:pPr>
              <w:pStyle w:val="nTable"/>
              <w:spacing w:after="40"/>
              <w:ind w:left="-28"/>
              <w:rPr>
                <w:i/>
                <w:snapToGrid w:val="0"/>
              </w:rPr>
            </w:pPr>
            <w:r>
              <w:rPr>
                <w:i/>
                <w:iCs/>
                <w:snapToGrid w:val="0"/>
              </w:rPr>
              <w:t xml:space="preserve">Swan and Canning Rivers (Consequential and Transitional Provisions) Act 2006 </w:t>
            </w:r>
            <w:r>
              <w:rPr>
                <w:snapToGrid w:val="0"/>
              </w:rPr>
              <w:t>s. 6</w:t>
            </w:r>
          </w:p>
        </w:tc>
        <w:tc>
          <w:tcPr>
            <w:tcW w:w="993" w:type="dxa"/>
          </w:tcPr>
          <w:p>
            <w:pPr>
              <w:pStyle w:val="nTable"/>
              <w:spacing w:after="40"/>
              <w:rPr>
                <w:snapToGrid w:val="0"/>
              </w:rPr>
            </w:pPr>
            <w:r>
              <w:rPr>
                <w:snapToGrid w:val="0"/>
              </w:rPr>
              <w:t>52 of 2006</w:t>
            </w:r>
          </w:p>
        </w:tc>
        <w:tc>
          <w:tcPr>
            <w:tcW w:w="1135" w:type="dxa"/>
          </w:tcPr>
          <w:p>
            <w:pPr>
              <w:pStyle w:val="nTable"/>
              <w:spacing w:after="40"/>
              <w:rPr>
                <w:snapToGrid w:val="0"/>
              </w:rPr>
            </w:pPr>
            <w:r>
              <w:rPr>
                <w:snapToGrid w:val="0"/>
              </w:rPr>
              <w:t>6 Oct 2006</w:t>
            </w:r>
          </w:p>
        </w:tc>
        <w:tc>
          <w:tcPr>
            <w:tcW w:w="2551" w:type="dxa"/>
          </w:tcPr>
          <w:p>
            <w:pPr>
              <w:pStyle w:val="nTable"/>
              <w:spacing w:after="40"/>
              <w:rPr>
                <w:snapToGrid w:val="0"/>
              </w:rPr>
            </w:pPr>
            <w:r>
              <w:rPr>
                <w:snapToGrid w:val="0"/>
              </w:rPr>
              <w:t xml:space="preserve">25 Sep 2007 (see s. 2 and </w:t>
            </w:r>
            <w:r>
              <w:rPr>
                <w:i/>
                <w:iCs/>
                <w:snapToGrid w:val="0"/>
              </w:rPr>
              <w:t xml:space="preserve">Gazette </w:t>
            </w:r>
            <w:r>
              <w:rPr>
                <w:snapToGrid w:val="0"/>
              </w:rPr>
              <w:t>25 Sep 2007 p. 4835)</w:t>
            </w:r>
          </w:p>
        </w:tc>
      </w:tr>
      <w:tr>
        <w:tc>
          <w:tcPr>
            <w:tcW w:w="2410" w:type="dxa"/>
          </w:tcPr>
          <w:p>
            <w:pPr>
              <w:pStyle w:val="nTable"/>
              <w:spacing w:after="40"/>
              <w:rPr>
                <w:i/>
                <w:noProof/>
                <w:snapToGrid w:val="0"/>
              </w:rPr>
            </w:pPr>
            <w:r>
              <w:rPr>
                <w:i/>
                <w:snapToGrid w:val="0"/>
              </w:rPr>
              <w:t>Land Information Authority Act 2006</w:t>
            </w:r>
            <w:r>
              <w:rPr>
                <w:snapToGrid w:val="0"/>
              </w:rPr>
              <w:t xml:space="preserve"> s. 147</w:t>
            </w:r>
          </w:p>
        </w:tc>
        <w:tc>
          <w:tcPr>
            <w:tcW w:w="993" w:type="dxa"/>
          </w:tcPr>
          <w:p>
            <w:pPr>
              <w:pStyle w:val="nTable"/>
              <w:spacing w:after="40"/>
            </w:pPr>
            <w:r>
              <w:rPr>
                <w:snapToGrid w:val="0"/>
              </w:rPr>
              <w:t>60 of 2006</w:t>
            </w:r>
          </w:p>
        </w:tc>
        <w:tc>
          <w:tcPr>
            <w:tcW w:w="1135" w:type="dxa"/>
          </w:tcPr>
          <w:p>
            <w:pPr>
              <w:pStyle w:val="nTable"/>
              <w:spacing w:after="40"/>
            </w:pPr>
            <w:r>
              <w:rPr>
                <w:snapToGrid w:val="0"/>
              </w:rPr>
              <w:t>16 Nov 2006</w:t>
            </w:r>
          </w:p>
        </w:tc>
        <w:tc>
          <w:tcPr>
            <w:tcW w:w="2551" w:type="dxa"/>
          </w:tcPr>
          <w:p>
            <w:pPr>
              <w:pStyle w:val="nTable"/>
              <w:spacing w:after="40"/>
            </w:pPr>
            <w:r>
              <w:t xml:space="preserve">1 Jan 2007 (see s. 2(1) and </w:t>
            </w:r>
            <w:r>
              <w:rPr>
                <w:i/>
              </w:rPr>
              <w:t xml:space="preserve">Gazette </w:t>
            </w:r>
            <w:r>
              <w:t>8 Dec 2006 p. 5369)</w:t>
            </w:r>
          </w:p>
        </w:tc>
      </w:tr>
      <w:tr>
        <w:tc>
          <w:tcPr>
            <w:tcW w:w="2410" w:type="dxa"/>
          </w:tcPr>
          <w:p>
            <w:pPr>
              <w:pStyle w:val="nTable"/>
              <w:spacing w:after="40"/>
              <w:rPr>
                <w:i/>
                <w:snapToGrid w:val="0"/>
              </w:rPr>
            </w:pPr>
            <w:r>
              <w:rPr>
                <w:i/>
                <w:snapToGrid w:val="0"/>
              </w:rPr>
              <w:t xml:space="preserve">Financial Legislation Amendment and Repeal Act 2006 </w:t>
            </w:r>
            <w:r>
              <w:rPr>
                <w:snapToGrid w:val="0"/>
              </w:rPr>
              <w:t>s. 4 and Sch. 1 cl. 127</w:t>
            </w:r>
          </w:p>
        </w:tc>
        <w:tc>
          <w:tcPr>
            <w:tcW w:w="993" w:type="dxa"/>
          </w:tcPr>
          <w:p>
            <w:pPr>
              <w:pStyle w:val="nTable"/>
              <w:spacing w:after="40"/>
              <w:rPr>
                <w:snapToGrid w:val="0"/>
              </w:rPr>
            </w:pPr>
            <w:r>
              <w:rPr>
                <w:snapToGrid w:val="0"/>
              </w:rPr>
              <w:t xml:space="preserve">77 of 2006 </w:t>
            </w:r>
          </w:p>
        </w:tc>
        <w:tc>
          <w:tcPr>
            <w:tcW w:w="1135" w:type="dxa"/>
          </w:tcPr>
          <w:p>
            <w:pPr>
              <w:pStyle w:val="nTable"/>
              <w:spacing w:after="40"/>
              <w:rPr>
                <w:snapToGrid w:val="0"/>
              </w:rPr>
            </w:pPr>
            <w:r>
              <w:rPr>
                <w:snapToGrid w:val="0"/>
              </w:rPr>
              <w:t>21 Dec 2006</w:t>
            </w:r>
          </w:p>
        </w:tc>
        <w:tc>
          <w:tcPr>
            <w:tcW w:w="2551"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rPr>
                <w:snapToGrid w:val="0"/>
              </w:rPr>
            </w:pPr>
            <w:r>
              <w:rPr>
                <w:b/>
                <w:bCs/>
                <w:snapToGrid w:val="0"/>
              </w:rPr>
              <w:t xml:space="preserve">Reprint 1: The </w:t>
            </w:r>
            <w:r>
              <w:rPr>
                <w:b/>
                <w:bCs/>
                <w:i/>
                <w:noProof/>
                <w:snapToGrid w:val="0"/>
              </w:rPr>
              <w:t>Planning and Development Act 2005</w:t>
            </w:r>
            <w:r>
              <w:rPr>
                <w:b/>
                <w:bCs/>
                <w:noProof/>
                <w:snapToGrid w:val="0"/>
              </w:rPr>
              <w:t xml:space="preserve"> </w:t>
            </w:r>
            <w:r>
              <w:rPr>
                <w:b/>
                <w:bCs/>
                <w:snapToGrid w:val="0"/>
              </w:rPr>
              <w:t>as at 23 Nov 2007</w:t>
            </w:r>
            <w:r>
              <w:rPr>
                <w:b/>
                <w:bCs/>
                <w:snapToGrid w:val="0"/>
              </w:rPr>
              <w:br/>
            </w:r>
            <w:r>
              <w:rPr>
                <w:snapToGrid w:val="0"/>
              </w:rPr>
              <w:t xml:space="preserve">(includes amendments listed above except those in the </w:t>
            </w:r>
            <w:r>
              <w:rPr>
                <w:i/>
                <w:noProof/>
                <w:snapToGrid w:val="0"/>
              </w:rPr>
              <w:t>Planning and Development Act 2005</w:t>
            </w:r>
            <w:r>
              <w:rPr>
                <w:noProof/>
                <w:snapToGrid w:val="0"/>
              </w:rPr>
              <w:t xml:space="preserve"> </w:t>
            </w:r>
            <w:r>
              <w:rPr>
                <w:snapToGrid w:val="0"/>
              </w:rPr>
              <w:t>s. 149, 150 and Pt. 13 Div. 3)</w:t>
            </w:r>
          </w:p>
        </w:tc>
      </w:tr>
      <w:tr>
        <w:tc>
          <w:tcPr>
            <w:tcW w:w="2410" w:type="dxa"/>
          </w:tcPr>
          <w:p>
            <w:pPr>
              <w:pStyle w:val="nTable"/>
              <w:spacing w:after="40"/>
              <w:rPr>
                <w:i/>
                <w:noProof/>
                <w:snapToGrid w:val="0"/>
              </w:rPr>
            </w:pPr>
            <w:r>
              <w:rPr>
                <w:i/>
                <w:noProof/>
                <w:snapToGrid w:val="0"/>
              </w:rPr>
              <w:t>Acts Amendment (Justice) Act 2008</w:t>
            </w:r>
            <w:r>
              <w:rPr>
                <w:iCs/>
                <w:noProof/>
                <w:snapToGrid w:val="0"/>
              </w:rPr>
              <w:t xml:space="preserve"> Pt. 18</w:t>
            </w:r>
          </w:p>
        </w:tc>
        <w:tc>
          <w:tcPr>
            <w:tcW w:w="993" w:type="dxa"/>
          </w:tcPr>
          <w:p>
            <w:pPr>
              <w:pStyle w:val="nTable"/>
              <w:spacing w:after="40"/>
            </w:pPr>
            <w:r>
              <w:t>5 of 2008</w:t>
            </w:r>
          </w:p>
        </w:tc>
        <w:tc>
          <w:tcPr>
            <w:tcW w:w="1135" w:type="dxa"/>
          </w:tcPr>
          <w:p>
            <w:pPr>
              <w:pStyle w:val="nTable"/>
              <w:spacing w:after="40"/>
            </w:pPr>
            <w:r>
              <w:t>31 Mar 2008</w:t>
            </w:r>
          </w:p>
        </w:tc>
        <w:tc>
          <w:tcPr>
            <w:tcW w:w="2551" w:type="dxa"/>
          </w:tcPr>
          <w:p>
            <w:pPr>
              <w:pStyle w:val="nTable"/>
              <w:spacing w:after="40"/>
            </w:pPr>
            <w:r>
              <w:rPr>
                <w:snapToGrid w:val="0"/>
              </w:rPr>
              <w:t xml:space="preserve">30 Sep 2008 (see s. 2(d) and </w:t>
            </w:r>
            <w:r>
              <w:rPr>
                <w:i/>
                <w:iCs/>
                <w:snapToGrid w:val="0"/>
              </w:rPr>
              <w:t xml:space="preserve">Gazette </w:t>
            </w:r>
            <w:r>
              <w:rPr>
                <w:snapToGrid w:val="0"/>
              </w:rPr>
              <w:t>11 Jul 2008 p. 3253)</w:t>
            </w:r>
          </w:p>
        </w:tc>
      </w:tr>
      <w:tr>
        <w:tc>
          <w:tcPr>
            <w:tcW w:w="2410" w:type="dxa"/>
          </w:tcPr>
          <w:p>
            <w:pPr>
              <w:pStyle w:val="nTable"/>
              <w:spacing w:after="40"/>
              <w:rPr>
                <w:i/>
                <w:noProof/>
                <w:snapToGrid w:val="0"/>
              </w:rPr>
            </w:pPr>
            <w:r>
              <w:rPr>
                <w:i/>
                <w:iCs/>
                <w:snapToGrid w:val="0"/>
              </w:rPr>
              <w:t>Legal Profession Act 2008</w:t>
            </w:r>
            <w:r>
              <w:rPr>
                <w:snapToGrid w:val="0"/>
              </w:rPr>
              <w:t xml:space="preserve"> s. 690</w:t>
            </w:r>
          </w:p>
        </w:tc>
        <w:tc>
          <w:tcPr>
            <w:tcW w:w="993" w:type="dxa"/>
          </w:tcPr>
          <w:p>
            <w:pPr>
              <w:pStyle w:val="nTable"/>
              <w:spacing w:after="40"/>
            </w:pPr>
            <w:r>
              <w:t>21 of 2008</w:t>
            </w:r>
          </w:p>
        </w:tc>
        <w:tc>
          <w:tcPr>
            <w:tcW w:w="1135" w:type="dxa"/>
          </w:tcPr>
          <w:p>
            <w:pPr>
              <w:pStyle w:val="nTable"/>
              <w:spacing w:after="40"/>
            </w:pPr>
            <w:r>
              <w:t>27 May 2008</w:t>
            </w:r>
          </w:p>
        </w:tc>
        <w:tc>
          <w:tcPr>
            <w:tcW w:w="2551"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410" w:type="dxa"/>
          </w:tcPr>
          <w:p>
            <w:pPr>
              <w:pStyle w:val="nTable"/>
              <w:spacing w:after="40"/>
              <w:ind w:right="113"/>
              <w:rPr>
                <w:iCs/>
              </w:rPr>
            </w:pPr>
            <w:r>
              <w:rPr>
                <w:i/>
              </w:rPr>
              <w:t>Statutes (Repeals and Miscellaneous Amendments) Act 2009</w:t>
            </w:r>
            <w:r>
              <w:rPr>
                <w:iCs/>
              </w:rPr>
              <w:t xml:space="preserve"> s. 100</w:t>
            </w:r>
          </w:p>
        </w:tc>
        <w:tc>
          <w:tcPr>
            <w:tcW w:w="993" w:type="dxa"/>
          </w:tcPr>
          <w:p>
            <w:pPr>
              <w:pStyle w:val="nTable"/>
              <w:spacing w:after="40"/>
            </w:pPr>
            <w:r>
              <w:t>8 of 2009</w:t>
            </w:r>
          </w:p>
        </w:tc>
        <w:tc>
          <w:tcPr>
            <w:tcW w:w="1135" w:type="dxa"/>
          </w:tcPr>
          <w:p>
            <w:pPr>
              <w:pStyle w:val="nTable"/>
              <w:spacing w:after="40"/>
            </w:pPr>
            <w:r>
              <w:t>21 May 2009</w:t>
            </w:r>
          </w:p>
        </w:tc>
        <w:tc>
          <w:tcPr>
            <w:tcW w:w="2551" w:type="dxa"/>
          </w:tcPr>
          <w:p>
            <w:pPr>
              <w:pStyle w:val="nTable"/>
              <w:spacing w:after="40"/>
            </w:pPr>
            <w:r>
              <w:t>22 May 2009 (see s. 2(b))</w:t>
            </w:r>
          </w:p>
        </w:tc>
      </w:tr>
      <w:tr>
        <w:trPr>
          <w:cantSplit/>
        </w:trPr>
        <w:tc>
          <w:tcPr>
            <w:tcW w:w="2410" w:type="dxa"/>
          </w:tcPr>
          <w:p>
            <w:pPr>
              <w:pStyle w:val="nTable"/>
              <w:spacing w:after="40"/>
              <w:ind w:right="113"/>
              <w:rPr>
                <w:i/>
              </w:rPr>
            </w:pPr>
            <w:r>
              <w:rPr>
                <w:i/>
                <w:noProof/>
                <w:snapToGrid w:val="0"/>
              </w:rPr>
              <w:lastRenderedPageBreak/>
              <w:t>Approvals and Related Reforms (No. 3) (Crown Land) Act 2010</w:t>
            </w:r>
            <w:r>
              <w:rPr>
                <w:iCs/>
                <w:noProof/>
                <w:snapToGrid w:val="0"/>
              </w:rPr>
              <w:t xml:space="preserve"> Pt. 8</w:t>
            </w:r>
          </w:p>
        </w:tc>
        <w:tc>
          <w:tcPr>
            <w:tcW w:w="993" w:type="dxa"/>
          </w:tcPr>
          <w:p>
            <w:pPr>
              <w:pStyle w:val="nTable"/>
              <w:spacing w:after="40"/>
            </w:pPr>
            <w:r>
              <w:t>8 of 2010</w:t>
            </w:r>
          </w:p>
        </w:tc>
        <w:tc>
          <w:tcPr>
            <w:tcW w:w="1135" w:type="dxa"/>
          </w:tcPr>
          <w:p>
            <w:pPr>
              <w:pStyle w:val="nTable"/>
              <w:spacing w:after="40"/>
            </w:pPr>
            <w:r>
              <w:t>3 Jun 2010</w:t>
            </w:r>
          </w:p>
        </w:tc>
        <w:tc>
          <w:tcPr>
            <w:tcW w:w="2551" w:type="dxa"/>
          </w:tcPr>
          <w:p>
            <w:pPr>
              <w:pStyle w:val="nTable"/>
              <w:spacing w:after="40"/>
            </w:pPr>
            <w:r>
              <w:t xml:space="preserve">18 Sep 2010 (see s. 2(b) and </w:t>
            </w:r>
            <w:r>
              <w:rPr>
                <w:i/>
                <w:iCs/>
              </w:rPr>
              <w:t>Gazette</w:t>
            </w:r>
            <w:r>
              <w:t xml:space="preserve"> 17 Sep 2010 p. 4757)</w:t>
            </w:r>
          </w:p>
        </w:tc>
      </w:tr>
      <w:tr>
        <w:trPr>
          <w:cantSplit/>
        </w:trPr>
        <w:tc>
          <w:tcPr>
            <w:tcW w:w="2410" w:type="dxa"/>
          </w:tcPr>
          <w:p>
            <w:pPr>
              <w:pStyle w:val="nTable"/>
              <w:spacing w:after="40"/>
              <w:ind w:right="113"/>
              <w:rPr>
                <w:i/>
                <w:noProof/>
                <w:snapToGrid w:val="0"/>
              </w:rPr>
            </w:pPr>
            <w:r>
              <w:rPr>
                <w:i/>
                <w:snapToGrid w:val="0"/>
              </w:rPr>
              <w:t>Approvals and Related Reforms (No. 4) (Planning) Act 2010</w:t>
            </w:r>
            <w:r>
              <w:t xml:space="preserve"> </w:t>
            </w:r>
            <w:r>
              <w:br/>
              <w:t>Pt. 2 Div. 1, Pt. 3, 4 and Pt. 5 Div. 1</w:t>
            </w:r>
            <w:r>
              <w:rPr>
                <w:vertAlign w:val="superscript"/>
              </w:rPr>
              <w:t> 10</w:t>
            </w:r>
          </w:p>
        </w:tc>
        <w:tc>
          <w:tcPr>
            <w:tcW w:w="993" w:type="dxa"/>
          </w:tcPr>
          <w:p>
            <w:pPr>
              <w:pStyle w:val="nTable"/>
              <w:spacing w:after="40"/>
            </w:pPr>
            <w:r>
              <w:rPr>
                <w:snapToGrid w:val="0"/>
              </w:rPr>
              <w:t>28 of 2010 (as amended by No. 45 of 2011 s. 135)</w:t>
            </w:r>
          </w:p>
        </w:tc>
        <w:tc>
          <w:tcPr>
            <w:tcW w:w="1135" w:type="dxa"/>
          </w:tcPr>
          <w:p>
            <w:pPr>
              <w:pStyle w:val="nTable"/>
              <w:spacing w:after="40"/>
            </w:pPr>
            <w:r>
              <w:rPr>
                <w:snapToGrid w:val="0"/>
              </w:rPr>
              <w:t>19 Aug 2010</w:t>
            </w:r>
          </w:p>
        </w:tc>
        <w:tc>
          <w:tcPr>
            <w:tcW w:w="2551" w:type="dxa"/>
          </w:tcPr>
          <w:p>
            <w:pPr>
              <w:pStyle w:val="nTable"/>
              <w:spacing w:after="40"/>
            </w:pPr>
            <w:r>
              <w:t xml:space="preserve">Pt. 2 Div. 1, Pt. 4 and Pt. 5 Div. 1: 22 Nov 2010 (see s. 2(b) and </w:t>
            </w:r>
            <w:r>
              <w:rPr>
                <w:i/>
                <w:iCs/>
              </w:rPr>
              <w:t>Gazette</w:t>
            </w:r>
            <w:r>
              <w:t xml:space="preserve"> 19 Nov 2010 p. 5709);</w:t>
            </w:r>
            <w:r>
              <w:br/>
              <w:t xml:space="preserve">Pt. 3: 25 Mar 2011 (see s. 2(b) and </w:t>
            </w:r>
            <w:r>
              <w:rPr>
                <w:i/>
              </w:rPr>
              <w:t>Gazette</w:t>
            </w:r>
            <w:r>
              <w:t> 24 Mar 2011 p. 1035)</w:t>
            </w:r>
          </w:p>
        </w:tc>
      </w:tr>
      <w:tr>
        <w:trPr>
          <w:cantSplit/>
        </w:trPr>
        <w:tc>
          <w:tcPr>
            <w:tcW w:w="2410"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993" w:type="dxa"/>
          </w:tcPr>
          <w:p>
            <w:pPr>
              <w:pStyle w:val="nTable"/>
              <w:spacing w:after="40"/>
              <w:rPr>
                <w:snapToGrid w:val="0"/>
              </w:rPr>
            </w:pPr>
            <w:r>
              <w:rPr>
                <w:snapToGrid w:val="0"/>
              </w:rPr>
              <w:t>39 of 2010</w:t>
            </w:r>
          </w:p>
        </w:tc>
        <w:tc>
          <w:tcPr>
            <w:tcW w:w="1135" w:type="dxa"/>
          </w:tcPr>
          <w:p>
            <w:pPr>
              <w:pStyle w:val="nTable"/>
              <w:spacing w:after="40"/>
              <w:rPr>
                <w:snapToGrid w:val="0"/>
              </w:rPr>
            </w:pPr>
            <w:r>
              <w:rPr>
                <w:snapToGrid w:val="0"/>
              </w:rPr>
              <w:t>1 Oct 2010</w:t>
            </w:r>
          </w:p>
        </w:tc>
        <w:tc>
          <w:tcPr>
            <w:tcW w:w="2551"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7089" w:type="dxa"/>
            <w:gridSpan w:val="4"/>
          </w:tcPr>
          <w:p>
            <w:pPr>
              <w:pStyle w:val="nTable"/>
              <w:spacing w:after="40"/>
              <w:rPr>
                <w:snapToGrid w:val="0"/>
              </w:rPr>
            </w:pPr>
            <w:r>
              <w:rPr>
                <w:b/>
                <w:bCs/>
                <w:snapToGrid w:val="0"/>
              </w:rPr>
              <w:t xml:space="preserve">Reprint 2: The </w:t>
            </w:r>
            <w:r>
              <w:rPr>
                <w:b/>
                <w:bCs/>
                <w:i/>
                <w:noProof/>
                <w:snapToGrid w:val="0"/>
              </w:rPr>
              <w:t>Planning and Development Act 2005</w:t>
            </w:r>
            <w:r>
              <w:rPr>
                <w:b/>
                <w:bCs/>
                <w:noProof/>
                <w:snapToGrid w:val="0"/>
              </w:rPr>
              <w:t xml:space="preserve"> </w:t>
            </w:r>
            <w:r>
              <w:rPr>
                <w:b/>
                <w:bCs/>
                <w:snapToGrid w:val="0"/>
              </w:rPr>
              <w:t>as at 18 Feb 2011</w:t>
            </w:r>
            <w:r>
              <w:rPr>
                <w:b/>
                <w:bCs/>
                <w:snapToGrid w:val="0"/>
              </w:rPr>
              <w:br/>
            </w:r>
            <w:r>
              <w:rPr>
                <w:snapToGrid w:val="0"/>
              </w:rPr>
              <w:t xml:space="preserve">(includes amendments listed above except those in the </w:t>
            </w:r>
            <w:r>
              <w:rPr>
                <w:i/>
                <w:snapToGrid w:val="0"/>
              </w:rPr>
              <w:t>Approvals and Related Reforms (No. 4) (Planning) Act 2010</w:t>
            </w:r>
            <w:r>
              <w:rPr>
                <w:snapToGrid w:val="0"/>
              </w:rPr>
              <w:t xml:space="preserve"> Pt. 3)</w:t>
            </w:r>
          </w:p>
        </w:tc>
      </w:tr>
      <w:tr>
        <w:trPr>
          <w:cantSplit/>
        </w:trPr>
        <w:tc>
          <w:tcPr>
            <w:tcW w:w="2410" w:type="dxa"/>
          </w:tcPr>
          <w:p>
            <w:pPr>
              <w:pStyle w:val="nTable"/>
              <w:spacing w:after="40"/>
              <w:ind w:right="113"/>
              <w:rPr>
                <w:iCs/>
                <w:snapToGrid w:val="0"/>
              </w:rPr>
            </w:pPr>
            <w:r>
              <w:rPr>
                <w:i/>
                <w:iCs/>
                <w:snapToGrid w:val="0"/>
              </w:rPr>
              <w:t>Heritage and Planning Legislation Amendment Act 2011</w:t>
            </w:r>
            <w:r>
              <w:rPr>
                <w:iCs/>
                <w:snapToGrid w:val="0"/>
              </w:rPr>
              <w:t xml:space="preserve"> Pt. 3</w:t>
            </w:r>
          </w:p>
        </w:tc>
        <w:tc>
          <w:tcPr>
            <w:tcW w:w="993" w:type="dxa"/>
          </w:tcPr>
          <w:p>
            <w:pPr>
              <w:pStyle w:val="nTable"/>
              <w:spacing w:after="40"/>
              <w:rPr>
                <w:snapToGrid w:val="0"/>
              </w:rPr>
            </w:pPr>
            <w:r>
              <w:rPr>
                <w:snapToGrid w:val="0"/>
              </w:rPr>
              <w:t>4 of 2011</w:t>
            </w:r>
          </w:p>
        </w:tc>
        <w:tc>
          <w:tcPr>
            <w:tcW w:w="1135" w:type="dxa"/>
          </w:tcPr>
          <w:p>
            <w:pPr>
              <w:pStyle w:val="nTable"/>
              <w:spacing w:after="40"/>
              <w:rPr>
                <w:snapToGrid w:val="0"/>
              </w:rPr>
            </w:pPr>
            <w:r>
              <w:rPr>
                <w:snapToGrid w:val="0"/>
              </w:rPr>
              <w:t>2 Mar 2011</w:t>
            </w:r>
          </w:p>
        </w:tc>
        <w:tc>
          <w:tcPr>
            <w:tcW w:w="2551" w:type="dxa"/>
          </w:tcPr>
          <w:p>
            <w:pPr>
              <w:pStyle w:val="nTable"/>
              <w:spacing w:after="40"/>
            </w:pPr>
            <w:r>
              <w:t>3 Mar 2011 (see s. 2(b))</w:t>
            </w:r>
          </w:p>
        </w:tc>
      </w:tr>
      <w:tr>
        <w:trPr>
          <w:cantSplit/>
        </w:trPr>
        <w:tc>
          <w:tcPr>
            <w:tcW w:w="2410" w:type="dxa"/>
          </w:tcPr>
          <w:p>
            <w:pPr>
              <w:pStyle w:val="nTable"/>
              <w:spacing w:after="40"/>
              <w:ind w:right="113"/>
              <w:rPr>
                <w:i/>
                <w:iCs/>
                <w:snapToGrid w:val="0"/>
              </w:rPr>
            </w:pPr>
            <w:r>
              <w:rPr>
                <w:i/>
                <w:snapToGrid w:val="0"/>
              </w:rPr>
              <w:t>Building Act 2011</w:t>
            </w:r>
            <w:r>
              <w:rPr>
                <w:snapToGrid w:val="0"/>
              </w:rPr>
              <w:t xml:space="preserve"> s. 168</w:t>
            </w:r>
          </w:p>
        </w:tc>
        <w:tc>
          <w:tcPr>
            <w:tcW w:w="993" w:type="dxa"/>
          </w:tcPr>
          <w:p>
            <w:pPr>
              <w:pStyle w:val="nTable"/>
              <w:spacing w:after="40"/>
              <w:rPr>
                <w:snapToGrid w:val="0"/>
              </w:rPr>
            </w:pPr>
            <w:r>
              <w:rPr>
                <w:snapToGrid w:val="0"/>
              </w:rPr>
              <w:t>24 of 2011</w:t>
            </w:r>
          </w:p>
        </w:tc>
        <w:tc>
          <w:tcPr>
            <w:tcW w:w="1135" w:type="dxa"/>
          </w:tcPr>
          <w:p>
            <w:pPr>
              <w:pStyle w:val="nTable"/>
              <w:spacing w:after="40"/>
              <w:rPr>
                <w:snapToGrid w:val="0"/>
              </w:rPr>
            </w:pPr>
            <w:r>
              <w:rPr>
                <w:snapToGrid w:val="0"/>
              </w:rPr>
              <w:t>11 Jul 2011</w:t>
            </w:r>
          </w:p>
        </w:tc>
        <w:tc>
          <w:tcPr>
            <w:tcW w:w="2551" w:type="dxa"/>
          </w:tcPr>
          <w:p>
            <w:pPr>
              <w:pStyle w:val="nTable"/>
              <w:spacing w:after="40"/>
            </w:pPr>
            <w:r>
              <w:rPr>
                <w:snapToGrid w:val="0"/>
              </w:rPr>
              <w:t xml:space="preserve">2 Apr 2012 (see s. 2(b) and </w:t>
            </w:r>
            <w:r>
              <w:rPr>
                <w:i/>
                <w:snapToGrid w:val="0"/>
              </w:rPr>
              <w:t>Gazette</w:t>
            </w:r>
            <w:r>
              <w:rPr>
                <w:snapToGrid w:val="0"/>
              </w:rPr>
              <w:t xml:space="preserve"> 13 Mar 2012 p. 1033)</w:t>
            </w:r>
          </w:p>
        </w:tc>
      </w:tr>
      <w:tr>
        <w:trPr>
          <w:cantSplit/>
        </w:trPr>
        <w:tc>
          <w:tcPr>
            <w:tcW w:w="2410" w:type="dxa"/>
            <w:shd w:val="clear" w:color="auto" w:fill="auto"/>
          </w:tcPr>
          <w:p>
            <w:pPr>
              <w:pStyle w:val="nTable"/>
              <w:spacing w:after="40"/>
              <w:ind w:right="113"/>
              <w:rPr>
                <w:i/>
                <w:iCs/>
                <w:snapToGrid w:val="0"/>
                <w:vertAlign w:val="superscript"/>
              </w:rPr>
            </w:pPr>
            <w:r>
              <w:rPr>
                <w:i/>
                <w:iCs/>
                <w:snapToGrid w:val="0"/>
              </w:rPr>
              <w:t xml:space="preserve">Metropolitan Redevelopment Authority Act 2011 </w:t>
            </w:r>
            <w:r>
              <w:rPr>
                <w:iCs/>
                <w:snapToGrid w:val="0"/>
              </w:rPr>
              <w:t>s. 141</w:t>
            </w:r>
          </w:p>
        </w:tc>
        <w:tc>
          <w:tcPr>
            <w:tcW w:w="993" w:type="dxa"/>
            <w:shd w:val="clear" w:color="auto" w:fill="auto"/>
          </w:tcPr>
          <w:p>
            <w:pPr>
              <w:pStyle w:val="nTable"/>
              <w:spacing w:after="40"/>
              <w:rPr>
                <w:snapToGrid w:val="0"/>
              </w:rPr>
            </w:pPr>
            <w:r>
              <w:rPr>
                <w:snapToGrid w:val="0"/>
              </w:rPr>
              <w:t>45 of 2011</w:t>
            </w:r>
          </w:p>
        </w:tc>
        <w:tc>
          <w:tcPr>
            <w:tcW w:w="1135" w:type="dxa"/>
            <w:shd w:val="clear" w:color="auto" w:fill="auto"/>
          </w:tcPr>
          <w:p>
            <w:pPr>
              <w:pStyle w:val="nTable"/>
              <w:spacing w:after="40"/>
              <w:rPr>
                <w:snapToGrid w:val="0"/>
              </w:rPr>
            </w:pPr>
            <w:r>
              <w:rPr>
                <w:snapToGrid w:val="0"/>
              </w:rPr>
              <w:t>12 Oct 2011</w:t>
            </w:r>
          </w:p>
        </w:tc>
        <w:tc>
          <w:tcPr>
            <w:tcW w:w="2551" w:type="dxa"/>
            <w:shd w:val="clear" w:color="auto" w:fill="auto"/>
          </w:tcPr>
          <w:p>
            <w:pPr>
              <w:pStyle w:val="nTable"/>
              <w:spacing w:after="40"/>
            </w:pPr>
            <w:r>
              <w:rPr>
                <w:snapToGrid w:val="0"/>
              </w:rPr>
              <w:t xml:space="preserve">31 Dec 2011 (see s. 2(b) and </w:t>
            </w:r>
            <w:r>
              <w:rPr>
                <w:i/>
                <w:snapToGrid w:val="0"/>
              </w:rPr>
              <w:t xml:space="preserve">Gazette </w:t>
            </w:r>
            <w:r>
              <w:rPr>
                <w:snapToGrid w:val="0"/>
              </w:rPr>
              <w:t>30 Dec 2011 p. 5573)</w:t>
            </w:r>
          </w:p>
        </w:tc>
      </w:tr>
      <w:tr>
        <w:trPr>
          <w:cantSplit/>
        </w:trPr>
        <w:tc>
          <w:tcPr>
            <w:tcW w:w="2410" w:type="dxa"/>
            <w:shd w:val="clear" w:color="auto" w:fill="auto"/>
          </w:tcPr>
          <w:p>
            <w:pPr>
              <w:pStyle w:val="nTable"/>
              <w:spacing w:after="40"/>
              <w:ind w:right="113"/>
              <w:rPr>
                <w:i/>
                <w:iCs/>
                <w:snapToGrid w:val="0"/>
              </w:rPr>
            </w:pPr>
            <w:r>
              <w:rPr>
                <w:i/>
                <w:noProof/>
                <w:snapToGrid w:val="0"/>
              </w:rPr>
              <w:t xml:space="preserve">Road Traffic Legislation Amendment Act 2012 </w:t>
            </w:r>
            <w:r>
              <w:rPr>
                <w:noProof/>
                <w:snapToGrid w:val="0"/>
              </w:rPr>
              <w:t>Pt. 4 Div. 41</w:t>
            </w:r>
          </w:p>
        </w:tc>
        <w:tc>
          <w:tcPr>
            <w:tcW w:w="993" w:type="dxa"/>
            <w:shd w:val="clear" w:color="auto" w:fill="auto"/>
          </w:tcPr>
          <w:p>
            <w:pPr>
              <w:pStyle w:val="nTable"/>
              <w:spacing w:after="40"/>
              <w:rPr>
                <w:snapToGrid w:val="0"/>
              </w:rPr>
            </w:pPr>
            <w:r>
              <w:rPr>
                <w:snapToGrid w:val="0"/>
              </w:rPr>
              <w:t>8 of 2012</w:t>
            </w:r>
          </w:p>
        </w:tc>
        <w:tc>
          <w:tcPr>
            <w:tcW w:w="1135"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w:t>
            </w:r>
          </w:p>
        </w:tc>
      </w:tr>
      <w:tr>
        <w:trPr>
          <w:cantSplit/>
        </w:trPr>
        <w:tc>
          <w:tcPr>
            <w:tcW w:w="2410" w:type="dxa"/>
            <w:shd w:val="clear" w:color="auto" w:fill="auto"/>
          </w:tcPr>
          <w:p>
            <w:pPr>
              <w:pStyle w:val="nTable"/>
              <w:spacing w:after="40"/>
              <w:ind w:right="113"/>
              <w:rPr>
                <w:i/>
                <w:iCs/>
                <w:snapToGrid w:val="0"/>
              </w:rPr>
            </w:pPr>
            <w:r>
              <w:rPr>
                <w:i/>
                <w:snapToGrid w:val="0"/>
              </w:rPr>
              <w:t>Commercial Arbitration Act 2012</w:t>
            </w:r>
            <w:r>
              <w:rPr>
                <w:snapToGrid w:val="0"/>
              </w:rPr>
              <w:t xml:space="preserve"> s. 45 it. 16</w:t>
            </w:r>
          </w:p>
        </w:tc>
        <w:tc>
          <w:tcPr>
            <w:tcW w:w="993" w:type="dxa"/>
            <w:shd w:val="clear" w:color="auto" w:fill="auto"/>
          </w:tcPr>
          <w:p>
            <w:pPr>
              <w:pStyle w:val="nTable"/>
              <w:spacing w:after="40"/>
              <w:rPr>
                <w:snapToGrid w:val="0"/>
              </w:rPr>
            </w:pPr>
            <w:r>
              <w:rPr>
                <w:snapToGrid w:val="0"/>
              </w:rPr>
              <w:t>23 of 2012</w:t>
            </w:r>
          </w:p>
        </w:tc>
        <w:tc>
          <w:tcPr>
            <w:tcW w:w="1135" w:type="dxa"/>
            <w:shd w:val="clear" w:color="auto" w:fill="auto"/>
          </w:tcPr>
          <w:p>
            <w:pPr>
              <w:pStyle w:val="nTable"/>
              <w:spacing w:after="40"/>
              <w:rPr>
                <w:snapToGrid w:val="0"/>
              </w:rPr>
            </w:pPr>
            <w:r>
              <w:rPr>
                <w:snapToGrid w:val="0"/>
              </w:rPr>
              <w:t>29 Aug 2012</w:t>
            </w:r>
          </w:p>
        </w:tc>
        <w:tc>
          <w:tcPr>
            <w:tcW w:w="2551" w:type="dxa"/>
            <w:shd w:val="clear" w:color="auto" w:fill="auto"/>
          </w:tcPr>
          <w:p>
            <w:pPr>
              <w:pStyle w:val="nTable"/>
              <w:spacing w:after="40"/>
            </w:pPr>
            <w:r>
              <w:rPr>
                <w:snapToGrid w:val="0"/>
              </w:rPr>
              <w:t xml:space="preserve">7 Aug 2013 (see s. 1B(b) and </w:t>
            </w:r>
            <w:r>
              <w:rPr>
                <w:i/>
                <w:snapToGrid w:val="0"/>
              </w:rPr>
              <w:t>Gazette</w:t>
            </w:r>
            <w:r>
              <w:rPr>
                <w:snapToGrid w:val="0"/>
              </w:rPr>
              <w:t xml:space="preserve"> 6 Aug 2013 p. 3677)</w:t>
            </w:r>
          </w:p>
        </w:tc>
      </w:tr>
      <w:tr>
        <w:trPr>
          <w:cantSplit/>
        </w:trPr>
        <w:tc>
          <w:tcPr>
            <w:tcW w:w="2410" w:type="dxa"/>
            <w:shd w:val="clear" w:color="auto" w:fill="auto"/>
          </w:tcPr>
          <w:p>
            <w:pPr>
              <w:pStyle w:val="nTable"/>
              <w:spacing w:after="40"/>
              <w:ind w:right="113"/>
              <w:rPr>
                <w:i/>
                <w:iCs/>
                <w:snapToGrid w:val="0"/>
              </w:rPr>
            </w:pPr>
            <w:r>
              <w:rPr>
                <w:i/>
                <w:snapToGrid w:val="0"/>
              </w:rPr>
              <w:t>Water Services Legislation Amendment and Repeal Act 2012</w:t>
            </w:r>
            <w:r>
              <w:rPr>
                <w:snapToGrid w:val="0"/>
              </w:rPr>
              <w:t xml:space="preserve"> s. 222</w:t>
            </w:r>
          </w:p>
        </w:tc>
        <w:tc>
          <w:tcPr>
            <w:tcW w:w="993" w:type="dxa"/>
            <w:shd w:val="clear" w:color="auto" w:fill="auto"/>
          </w:tcPr>
          <w:p>
            <w:pPr>
              <w:pStyle w:val="nTable"/>
              <w:spacing w:after="40"/>
              <w:rPr>
                <w:snapToGrid w:val="0"/>
              </w:rPr>
            </w:pPr>
            <w:r>
              <w:rPr>
                <w:snapToGrid w:val="0"/>
              </w:rPr>
              <w:t>25 of 2012</w:t>
            </w:r>
          </w:p>
        </w:tc>
        <w:tc>
          <w:tcPr>
            <w:tcW w:w="1135" w:type="dxa"/>
            <w:shd w:val="clear" w:color="auto" w:fill="auto"/>
          </w:tcPr>
          <w:p>
            <w:pPr>
              <w:pStyle w:val="nTable"/>
              <w:spacing w:after="40"/>
              <w:rPr>
                <w:snapToGrid w:val="0"/>
              </w:rPr>
            </w:pPr>
            <w:r>
              <w:rPr>
                <w:snapToGrid w:val="0"/>
              </w:rPr>
              <w:t>3 Sep 2012</w:t>
            </w:r>
          </w:p>
        </w:tc>
        <w:tc>
          <w:tcPr>
            <w:tcW w:w="2551" w:type="dxa"/>
            <w:shd w:val="clear" w:color="auto" w:fill="auto"/>
          </w:tcPr>
          <w:p>
            <w:pPr>
              <w:pStyle w:val="nTable"/>
              <w:spacing w:after="40"/>
            </w:pPr>
            <w:r>
              <w:rPr>
                <w:snapToGrid w:val="0"/>
              </w:rPr>
              <w:t xml:space="preserve">18 Nov 2013 (see s. 2(b) and </w:t>
            </w:r>
            <w:r>
              <w:rPr>
                <w:i/>
                <w:snapToGrid w:val="0"/>
              </w:rPr>
              <w:t>Gazette</w:t>
            </w:r>
            <w:r>
              <w:rPr>
                <w:snapToGrid w:val="0"/>
              </w:rPr>
              <w:t xml:space="preserve"> 14 Nov 2013 p. 5028)</w:t>
            </w:r>
          </w:p>
        </w:tc>
      </w:tr>
      <w:tr>
        <w:trPr>
          <w:cantSplit/>
        </w:trPr>
        <w:tc>
          <w:tcPr>
            <w:tcW w:w="7089" w:type="dxa"/>
            <w:gridSpan w:val="4"/>
            <w:shd w:val="clear" w:color="auto" w:fill="auto"/>
          </w:tcPr>
          <w:p>
            <w:pPr>
              <w:pStyle w:val="nTable"/>
              <w:spacing w:after="40"/>
              <w:rPr>
                <w:snapToGrid w:val="0"/>
              </w:rPr>
            </w:pPr>
            <w:r>
              <w:rPr>
                <w:b/>
                <w:bCs/>
                <w:snapToGrid w:val="0"/>
              </w:rPr>
              <w:t xml:space="preserve">Reprint 3: The </w:t>
            </w:r>
            <w:r>
              <w:rPr>
                <w:b/>
                <w:bCs/>
                <w:i/>
                <w:noProof/>
                <w:snapToGrid w:val="0"/>
              </w:rPr>
              <w:t>Planning and Development Act 2005</w:t>
            </w:r>
            <w:r>
              <w:rPr>
                <w:b/>
                <w:bCs/>
                <w:noProof/>
                <w:snapToGrid w:val="0"/>
              </w:rPr>
              <w:t xml:space="preserve"> </w:t>
            </w:r>
            <w:r>
              <w:rPr>
                <w:b/>
                <w:bCs/>
                <w:snapToGrid w:val="0"/>
              </w:rPr>
              <w:t>as at 1 Mar 2013</w:t>
            </w:r>
            <w:r>
              <w:rPr>
                <w:b/>
                <w:bCs/>
                <w:snapToGrid w:val="0"/>
              </w:rPr>
              <w:br/>
            </w:r>
            <w:r>
              <w:rPr>
                <w:snapToGrid w:val="0"/>
              </w:rPr>
              <w:t xml:space="preserve">(includes amendments listed above except those in the </w:t>
            </w:r>
            <w:r>
              <w:rPr>
                <w:i/>
                <w:snapToGrid w:val="0"/>
              </w:rPr>
              <w:t>Commercial Arbitration Act 2012</w:t>
            </w:r>
            <w:r>
              <w:rPr>
                <w:snapToGrid w:val="0"/>
              </w:rPr>
              <w:t xml:space="preserve">, </w:t>
            </w:r>
            <w:r>
              <w:rPr>
                <w:i/>
                <w:snapToGrid w:val="0"/>
              </w:rPr>
              <w:t>Water Services Legislation Amendment and Repeal Act 2012</w:t>
            </w:r>
            <w:r>
              <w:rPr>
                <w:snapToGrid w:val="0"/>
              </w:rPr>
              <w:t xml:space="preserve"> and the </w:t>
            </w:r>
            <w:r>
              <w:rPr>
                <w:i/>
                <w:snapToGrid w:val="0"/>
              </w:rPr>
              <w:t>Road Traffic Legislation Amendment Act 2012</w:t>
            </w:r>
            <w:r>
              <w:rPr>
                <w:snapToGrid w:val="0"/>
              </w:rPr>
              <w:t>)</w:t>
            </w:r>
          </w:p>
        </w:tc>
      </w:tr>
      <w:tr>
        <w:trPr>
          <w:cantSplit/>
        </w:trPr>
        <w:tc>
          <w:tcPr>
            <w:tcW w:w="2410" w:type="dxa"/>
            <w:shd w:val="clear" w:color="auto" w:fill="auto"/>
          </w:tcPr>
          <w:p>
            <w:pPr>
              <w:pStyle w:val="nTable"/>
              <w:spacing w:after="40"/>
              <w:ind w:right="113"/>
              <w:rPr>
                <w:i/>
                <w:iCs/>
                <w:snapToGrid w:val="0"/>
              </w:rPr>
            </w:pPr>
            <w:r>
              <w:rPr>
                <w:i/>
                <w:noProof/>
                <w:snapToGrid w:val="0"/>
              </w:rPr>
              <w:t>Associations Incorporation Act 2015</w:t>
            </w:r>
            <w:r>
              <w:rPr>
                <w:noProof/>
                <w:snapToGrid w:val="0"/>
              </w:rPr>
              <w:t xml:space="preserve"> s. 226</w:t>
            </w:r>
          </w:p>
        </w:tc>
        <w:tc>
          <w:tcPr>
            <w:tcW w:w="993" w:type="dxa"/>
            <w:shd w:val="clear" w:color="auto" w:fill="auto"/>
          </w:tcPr>
          <w:p>
            <w:pPr>
              <w:pStyle w:val="nTable"/>
              <w:spacing w:after="40"/>
              <w:rPr>
                <w:snapToGrid w:val="0"/>
              </w:rPr>
            </w:pPr>
            <w:r>
              <w:t>30 of 2015</w:t>
            </w:r>
          </w:p>
        </w:tc>
        <w:tc>
          <w:tcPr>
            <w:tcW w:w="1135" w:type="dxa"/>
            <w:shd w:val="clear" w:color="auto" w:fill="auto"/>
          </w:tcPr>
          <w:p>
            <w:pPr>
              <w:pStyle w:val="nTable"/>
              <w:spacing w:after="40"/>
              <w:rPr>
                <w:snapToGrid w:val="0"/>
              </w:rPr>
            </w:pPr>
            <w:r>
              <w:t>2 Nov 2015</w:t>
            </w:r>
          </w:p>
        </w:tc>
        <w:tc>
          <w:tcPr>
            <w:tcW w:w="2551" w:type="dxa"/>
            <w:shd w:val="clear" w:color="auto" w:fill="auto"/>
          </w:tcPr>
          <w:p>
            <w:pPr>
              <w:pStyle w:val="nTable"/>
              <w:spacing w:after="40"/>
            </w:pPr>
            <w:r>
              <w:rPr>
                <w:snapToGrid w:val="0"/>
              </w:rPr>
              <w:t xml:space="preserve">1 Jul 2016 (see s. 2(b) and </w:t>
            </w:r>
            <w:r>
              <w:rPr>
                <w:i/>
                <w:snapToGrid w:val="0"/>
              </w:rPr>
              <w:t>Gazette</w:t>
            </w:r>
            <w:r>
              <w:rPr>
                <w:snapToGrid w:val="0"/>
              </w:rPr>
              <w:t xml:space="preserve"> 24 Jun 2016 p. 2291-2)</w:t>
            </w:r>
          </w:p>
        </w:tc>
      </w:tr>
      <w:tr>
        <w:trPr>
          <w:cantSplit/>
        </w:trPr>
        <w:tc>
          <w:tcPr>
            <w:tcW w:w="7089" w:type="dxa"/>
            <w:gridSpan w:val="4"/>
            <w:shd w:val="clear" w:color="auto" w:fill="auto"/>
          </w:tcPr>
          <w:p>
            <w:pPr>
              <w:pStyle w:val="nTable"/>
              <w:keepNext/>
              <w:spacing w:after="40"/>
              <w:rPr>
                <w:b/>
                <w:bCs/>
                <w:snapToGrid w:val="0"/>
              </w:rPr>
            </w:pPr>
            <w:r>
              <w:rPr>
                <w:b/>
                <w:bCs/>
                <w:snapToGrid w:val="0"/>
              </w:rPr>
              <w:lastRenderedPageBreak/>
              <w:t xml:space="preserve">Reprint 4: The </w:t>
            </w:r>
            <w:r>
              <w:rPr>
                <w:b/>
                <w:bCs/>
                <w:i/>
                <w:noProof/>
                <w:snapToGrid w:val="0"/>
              </w:rPr>
              <w:t>Planning and Development Act 2005</w:t>
            </w:r>
            <w:r>
              <w:rPr>
                <w:b/>
                <w:bCs/>
                <w:snapToGrid w:val="0"/>
              </w:rPr>
              <w:t xml:space="preserve"> as at 1 Apr 2016 </w:t>
            </w:r>
            <w:r>
              <w:rPr>
                <w:bCs/>
                <w:snapToGrid w:val="0"/>
              </w:rPr>
              <w:t xml:space="preserve">(includes amendments listed above except those in the </w:t>
            </w:r>
            <w:r>
              <w:rPr>
                <w:bCs/>
                <w:i/>
                <w:snapToGrid w:val="0"/>
              </w:rPr>
              <w:t>Associations Incorporation Act 2015</w:t>
            </w:r>
            <w:r>
              <w:rPr>
                <w:bCs/>
                <w:snapToGrid w:val="0"/>
              </w:rPr>
              <w:t>)</w:t>
            </w:r>
          </w:p>
        </w:tc>
      </w:tr>
      <w:tr>
        <w:trPr>
          <w:cantSplit/>
        </w:trPr>
        <w:tc>
          <w:tcPr>
            <w:tcW w:w="2410" w:type="dxa"/>
            <w:shd w:val="clear" w:color="auto" w:fill="auto"/>
          </w:tcPr>
          <w:p>
            <w:pPr>
              <w:pStyle w:val="nTable"/>
              <w:spacing w:after="40"/>
              <w:ind w:right="113"/>
              <w:rPr>
                <w:i/>
                <w:iCs/>
                <w:snapToGrid w:val="0"/>
              </w:rPr>
            </w:pPr>
            <w:r>
              <w:rPr>
                <w:i/>
              </w:rPr>
              <w:t xml:space="preserve">Heritage Act 2018 </w:t>
            </w:r>
            <w:r>
              <w:t>s. 186</w:t>
            </w:r>
          </w:p>
        </w:tc>
        <w:tc>
          <w:tcPr>
            <w:tcW w:w="993" w:type="dxa"/>
            <w:shd w:val="clear" w:color="auto" w:fill="auto"/>
          </w:tcPr>
          <w:p>
            <w:pPr>
              <w:pStyle w:val="nTable"/>
              <w:spacing w:after="40"/>
              <w:rPr>
                <w:snapToGrid w:val="0"/>
              </w:rPr>
            </w:pPr>
            <w:r>
              <w:t>22 of 2018</w:t>
            </w:r>
          </w:p>
        </w:tc>
        <w:tc>
          <w:tcPr>
            <w:tcW w:w="1135" w:type="dxa"/>
            <w:shd w:val="clear" w:color="auto" w:fill="auto"/>
          </w:tcPr>
          <w:p>
            <w:pPr>
              <w:pStyle w:val="nTable"/>
              <w:spacing w:after="40"/>
              <w:rPr>
                <w:snapToGrid w:val="0"/>
              </w:rPr>
            </w:pPr>
            <w:r>
              <w:t>18 Sep 2018</w:t>
            </w:r>
          </w:p>
        </w:tc>
        <w:tc>
          <w:tcPr>
            <w:tcW w:w="2551" w:type="dxa"/>
            <w:shd w:val="clear" w:color="auto" w:fill="auto"/>
          </w:tcPr>
          <w:p>
            <w:pPr>
              <w:pStyle w:val="nTable"/>
              <w:spacing w:after="40"/>
            </w:pPr>
            <w:r>
              <w:rPr>
                <w:snapToGrid w:val="0"/>
              </w:rPr>
              <w:t xml:space="preserve">1 Jul 2019 (see s. 2(b) and </w:t>
            </w:r>
            <w:r>
              <w:rPr>
                <w:i/>
                <w:snapToGrid w:val="0"/>
              </w:rPr>
              <w:t>Gazette</w:t>
            </w:r>
            <w:r>
              <w:rPr>
                <w:snapToGrid w:val="0"/>
              </w:rPr>
              <w:t xml:space="preserve"> 27 Jun 2019 p. 2375)</w:t>
            </w:r>
          </w:p>
        </w:tc>
      </w:tr>
      <w:tr>
        <w:trPr>
          <w:cantSplit/>
        </w:trPr>
        <w:tc>
          <w:tcPr>
            <w:tcW w:w="2410" w:type="dxa"/>
            <w:shd w:val="clear" w:color="auto" w:fill="auto"/>
          </w:tcPr>
          <w:p>
            <w:pPr>
              <w:pStyle w:val="nTable"/>
              <w:spacing w:after="40"/>
              <w:ind w:right="113"/>
              <w:rPr>
                <w:i/>
              </w:rPr>
            </w:pPr>
            <w:r>
              <w:rPr>
                <w:i/>
              </w:rPr>
              <w:t>Infrastructure Western Australia Act 2019</w:t>
            </w:r>
            <w:r>
              <w:t xml:space="preserve"> s. 76</w:t>
            </w:r>
          </w:p>
        </w:tc>
        <w:tc>
          <w:tcPr>
            <w:tcW w:w="993" w:type="dxa"/>
            <w:shd w:val="clear" w:color="auto" w:fill="auto"/>
          </w:tcPr>
          <w:p>
            <w:pPr>
              <w:pStyle w:val="nTable"/>
              <w:spacing w:after="40"/>
            </w:pPr>
            <w:r>
              <w:t>13 of 2019</w:t>
            </w:r>
          </w:p>
        </w:tc>
        <w:tc>
          <w:tcPr>
            <w:tcW w:w="1135" w:type="dxa"/>
            <w:shd w:val="clear" w:color="auto" w:fill="auto"/>
          </w:tcPr>
          <w:p>
            <w:pPr>
              <w:pStyle w:val="nTable"/>
              <w:spacing w:after="40"/>
            </w:pPr>
            <w:r>
              <w:t>24 Jun 2019</w:t>
            </w:r>
          </w:p>
        </w:tc>
        <w:tc>
          <w:tcPr>
            <w:tcW w:w="2551" w:type="dxa"/>
            <w:shd w:val="clear" w:color="auto" w:fill="auto"/>
          </w:tcPr>
          <w:p>
            <w:pPr>
              <w:pStyle w:val="nTable"/>
              <w:spacing w:after="40"/>
              <w:rPr>
                <w:snapToGrid w:val="0"/>
              </w:rPr>
            </w:pPr>
            <w:r>
              <w:rPr>
                <w:snapToGrid w:val="0"/>
              </w:rPr>
              <w:t>24 Jul 2019 (see s. 2(c))</w:t>
            </w:r>
          </w:p>
        </w:tc>
      </w:tr>
      <w:tr>
        <w:trPr>
          <w:cantSplit/>
        </w:trPr>
        <w:tc>
          <w:tcPr>
            <w:tcW w:w="2410" w:type="dxa"/>
            <w:shd w:val="clear" w:color="auto" w:fill="auto"/>
          </w:tcPr>
          <w:p>
            <w:pPr>
              <w:pStyle w:val="nTable"/>
              <w:spacing w:after="40"/>
              <w:ind w:right="113"/>
              <w:rPr>
                <w:i/>
              </w:rPr>
            </w:pPr>
            <w:r>
              <w:rPr>
                <w:i/>
              </w:rPr>
              <w:t>Strata Titles Amendment Act 2018</w:t>
            </w:r>
            <w:r>
              <w:t xml:space="preserve"> Pt. 3 Div. 14</w:t>
            </w:r>
          </w:p>
        </w:tc>
        <w:tc>
          <w:tcPr>
            <w:tcW w:w="993" w:type="dxa"/>
            <w:shd w:val="clear" w:color="auto" w:fill="auto"/>
          </w:tcPr>
          <w:p>
            <w:pPr>
              <w:pStyle w:val="nTable"/>
              <w:spacing w:after="40"/>
            </w:pPr>
            <w:r>
              <w:t>30 of 2018</w:t>
            </w:r>
          </w:p>
        </w:tc>
        <w:tc>
          <w:tcPr>
            <w:tcW w:w="1135" w:type="dxa"/>
            <w:shd w:val="clear" w:color="auto" w:fill="auto"/>
          </w:tcPr>
          <w:p>
            <w:pPr>
              <w:pStyle w:val="nTable"/>
              <w:spacing w:after="40"/>
            </w:pPr>
            <w:r>
              <w:t>19 Nov 2018</w:t>
            </w:r>
          </w:p>
        </w:tc>
        <w:tc>
          <w:tcPr>
            <w:tcW w:w="2551" w:type="dxa"/>
            <w:shd w:val="clear" w:color="auto" w:fill="auto"/>
          </w:tcPr>
          <w:p>
            <w:pPr>
              <w:pStyle w:val="nTable"/>
              <w:spacing w:after="40"/>
              <w:rPr>
                <w:snapToGrid w:val="0"/>
              </w:rPr>
            </w:pPr>
            <w:r>
              <w:rPr>
                <w:snapToGrid w:val="0"/>
              </w:rPr>
              <w:t>1 May 2020 (see s. 2(b) and SL 2020/39 cl. 2)</w:t>
            </w:r>
          </w:p>
        </w:tc>
      </w:tr>
      <w:tr>
        <w:trPr>
          <w:cantSplit/>
        </w:trPr>
        <w:tc>
          <w:tcPr>
            <w:tcW w:w="2410" w:type="dxa"/>
            <w:shd w:val="clear" w:color="auto" w:fill="auto"/>
          </w:tcPr>
          <w:p>
            <w:pPr>
              <w:pStyle w:val="nTable"/>
              <w:spacing w:after="40"/>
              <w:ind w:right="113"/>
              <w:rPr>
                <w:i/>
              </w:rPr>
            </w:pPr>
            <w:r>
              <w:rPr>
                <w:i/>
              </w:rPr>
              <w:t>Community Titles Act 2018</w:t>
            </w:r>
            <w:r>
              <w:t xml:space="preserve"> Pt. 14 Div. 14 (other than s. 224</w:t>
            </w:r>
            <w:r>
              <w:noBreakHyphen/>
              <w:t>226)</w:t>
            </w:r>
          </w:p>
        </w:tc>
        <w:tc>
          <w:tcPr>
            <w:tcW w:w="993" w:type="dxa"/>
            <w:shd w:val="clear" w:color="auto" w:fill="auto"/>
          </w:tcPr>
          <w:p>
            <w:pPr>
              <w:pStyle w:val="nTable"/>
              <w:spacing w:after="40"/>
            </w:pPr>
            <w:r>
              <w:t>32 of 2018</w:t>
            </w:r>
          </w:p>
        </w:tc>
        <w:tc>
          <w:tcPr>
            <w:tcW w:w="1135" w:type="dxa"/>
            <w:shd w:val="clear" w:color="auto" w:fill="auto"/>
          </w:tcPr>
          <w:p>
            <w:pPr>
              <w:pStyle w:val="nTable"/>
              <w:spacing w:after="40"/>
            </w:pPr>
            <w:r>
              <w:t>19 Nov 2018</w:t>
            </w:r>
          </w:p>
        </w:tc>
        <w:tc>
          <w:tcPr>
            <w:tcW w:w="2551" w:type="dxa"/>
            <w:shd w:val="clear" w:color="auto" w:fill="auto"/>
          </w:tcPr>
          <w:p>
            <w:pPr>
              <w:pStyle w:val="nTable"/>
              <w:spacing w:after="40"/>
              <w:rPr>
                <w:snapToGrid w:val="0"/>
              </w:rPr>
            </w:pPr>
            <w:r>
              <w:t>30 Jun 2021 (see s. 2(b) and SL 2021/69 cl. 2)</w:t>
            </w:r>
          </w:p>
        </w:tc>
      </w:tr>
      <w:tr>
        <w:trPr>
          <w:cantSplit/>
        </w:trPr>
        <w:tc>
          <w:tcPr>
            <w:tcW w:w="2410" w:type="dxa"/>
            <w:shd w:val="clear" w:color="auto" w:fill="auto"/>
          </w:tcPr>
          <w:p>
            <w:pPr>
              <w:pStyle w:val="nTable"/>
              <w:spacing w:after="40"/>
              <w:ind w:right="113"/>
            </w:pPr>
            <w:r>
              <w:rPr>
                <w:i/>
              </w:rPr>
              <w:t>Planning and Development Amendment Act 2020</w:t>
            </w:r>
            <w:r>
              <w:t xml:space="preserve"> Pt. 2, 4 and 5, Pt. 6 Div. 1, Pt. 8, 10 and 11, Pt. 12 Div. 1 and Pt. 13-17</w:t>
            </w:r>
          </w:p>
        </w:tc>
        <w:tc>
          <w:tcPr>
            <w:tcW w:w="993" w:type="dxa"/>
            <w:shd w:val="clear" w:color="auto" w:fill="auto"/>
          </w:tcPr>
          <w:p>
            <w:pPr>
              <w:pStyle w:val="nTable"/>
              <w:spacing w:after="40"/>
            </w:pPr>
            <w:r>
              <w:t>26 of 2020</w:t>
            </w:r>
          </w:p>
        </w:tc>
        <w:tc>
          <w:tcPr>
            <w:tcW w:w="1135" w:type="dxa"/>
            <w:shd w:val="clear" w:color="auto" w:fill="auto"/>
          </w:tcPr>
          <w:p>
            <w:pPr>
              <w:pStyle w:val="nTable"/>
              <w:spacing w:after="40"/>
            </w:pPr>
            <w:r>
              <w:t>7 Jul 2020</w:t>
            </w:r>
          </w:p>
        </w:tc>
        <w:tc>
          <w:tcPr>
            <w:tcW w:w="2551" w:type="dxa"/>
            <w:shd w:val="clear" w:color="auto" w:fill="auto"/>
          </w:tcPr>
          <w:p>
            <w:pPr>
              <w:pStyle w:val="nTable"/>
              <w:spacing w:after="40"/>
              <w:rPr>
                <w:snapToGrid w:val="0"/>
              </w:rPr>
            </w:pPr>
            <w:r>
              <w:rPr>
                <w:snapToGrid w:val="0"/>
              </w:rPr>
              <w:t>Pt. 2 and 17: 8 Jul 2020 (see s. 2(1)(c));</w:t>
            </w:r>
            <w:r>
              <w:rPr>
                <w:snapToGrid w:val="0"/>
              </w:rPr>
              <w:br/>
              <w:t>Pt. 4, 5, 8, 10, 11, 13, 15 and 16: 12 Sep 2020 (see s. 2(1)(b) and SL 2020/155 cl. 2);</w:t>
            </w:r>
            <w:r>
              <w:rPr>
                <w:snapToGrid w:val="0"/>
              </w:rPr>
              <w:br/>
              <w:t>Pt. 6 Div. 1, Pt. 12 Div. 1 and Pt. 14: 1 Aug 2023 (</w:t>
            </w:r>
            <w:r>
              <w:t>see s. 2(1)(b) and SL 2023/107 cl. 2)</w:t>
            </w:r>
          </w:p>
        </w:tc>
      </w:tr>
      <w:tr>
        <w:trPr>
          <w:cantSplit/>
        </w:trPr>
        <w:tc>
          <w:tcPr>
            <w:tcW w:w="2410" w:type="dxa"/>
            <w:shd w:val="clear" w:color="auto" w:fill="auto"/>
          </w:tcPr>
          <w:p>
            <w:pPr>
              <w:pStyle w:val="nTable"/>
              <w:spacing w:after="40"/>
              <w:ind w:right="113"/>
              <w:rPr>
                <w:i/>
              </w:rPr>
            </w:pPr>
            <w:r>
              <w:rPr>
                <w:i/>
                <w:snapToGrid w:val="0"/>
              </w:rPr>
              <w:t>Swan Valley Planning Act 2020</w:t>
            </w:r>
            <w:r>
              <w:rPr>
                <w:snapToGrid w:val="0"/>
              </w:rPr>
              <w:t xml:space="preserve"> Pt. 9 (other than s. 62)</w:t>
            </w:r>
          </w:p>
        </w:tc>
        <w:tc>
          <w:tcPr>
            <w:tcW w:w="993" w:type="dxa"/>
            <w:shd w:val="clear" w:color="auto" w:fill="auto"/>
          </w:tcPr>
          <w:p>
            <w:pPr>
              <w:pStyle w:val="nTable"/>
              <w:spacing w:after="40"/>
            </w:pPr>
            <w:r>
              <w:t>45 of 2020</w:t>
            </w:r>
          </w:p>
        </w:tc>
        <w:tc>
          <w:tcPr>
            <w:tcW w:w="1135" w:type="dxa"/>
            <w:shd w:val="clear" w:color="auto" w:fill="auto"/>
          </w:tcPr>
          <w:p>
            <w:pPr>
              <w:pStyle w:val="nTable"/>
              <w:spacing w:after="40"/>
            </w:pPr>
            <w:r>
              <w:t>9 Dec 2020</w:t>
            </w:r>
          </w:p>
        </w:tc>
        <w:tc>
          <w:tcPr>
            <w:tcW w:w="2551" w:type="dxa"/>
            <w:shd w:val="clear" w:color="auto" w:fill="auto"/>
          </w:tcPr>
          <w:p>
            <w:pPr>
              <w:pStyle w:val="nTable"/>
              <w:spacing w:after="40"/>
              <w:rPr>
                <w:snapToGrid w:val="0"/>
              </w:rPr>
            </w:pPr>
            <w:r>
              <w:rPr>
                <w:snapToGrid w:val="0"/>
              </w:rPr>
              <w:t>1 Aug 2021 (see s. 2(1)(d)(i) and (e) and SL 2021/124 cl. 2)</w:t>
            </w:r>
          </w:p>
        </w:tc>
      </w:tr>
      <w:tr>
        <w:trPr>
          <w:cantSplit/>
        </w:trPr>
        <w:tc>
          <w:tcPr>
            <w:tcW w:w="2410" w:type="dxa"/>
            <w:shd w:val="clear" w:color="auto" w:fill="auto"/>
          </w:tcPr>
          <w:p>
            <w:pPr>
              <w:pStyle w:val="nTable"/>
              <w:spacing w:after="40"/>
              <w:ind w:right="113"/>
              <w:rPr>
                <w:i/>
                <w:snapToGrid w:val="0"/>
              </w:rPr>
            </w:pPr>
            <w:r>
              <w:rPr>
                <w:i/>
              </w:rPr>
              <w:t>Aboriginal Cultural Heritage Act 2021</w:t>
            </w:r>
            <w:r>
              <w:t xml:space="preserve"> s. 350</w:t>
            </w:r>
          </w:p>
        </w:tc>
        <w:tc>
          <w:tcPr>
            <w:tcW w:w="993" w:type="dxa"/>
            <w:shd w:val="clear" w:color="auto" w:fill="auto"/>
          </w:tcPr>
          <w:p>
            <w:pPr>
              <w:pStyle w:val="nTable"/>
              <w:spacing w:after="40"/>
            </w:pPr>
            <w:r>
              <w:t>27 of 2021</w:t>
            </w:r>
          </w:p>
        </w:tc>
        <w:tc>
          <w:tcPr>
            <w:tcW w:w="1135" w:type="dxa"/>
            <w:shd w:val="clear" w:color="auto" w:fill="auto"/>
          </w:tcPr>
          <w:p>
            <w:pPr>
              <w:pStyle w:val="nTable"/>
              <w:spacing w:after="40"/>
            </w:pPr>
            <w:r>
              <w:t>22 Dec 2021</w:t>
            </w:r>
          </w:p>
        </w:tc>
        <w:tc>
          <w:tcPr>
            <w:tcW w:w="2551" w:type="dxa"/>
            <w:shd w:val="clear" w:color="auto" w:fill="auto"/>
          </w:tcPr>
          <w:p>
            <w:pPr>
              <w:pStyle w:val="nTable"/>
              <w:spacing w:after="40"/>
              <w:rPr>
                <w:snapToGrid w:val="0"/>
              </w:rPr>
            </w:pPr>
            <w:r>
              <w:t>1 Jul 2023 (see s. 2(e) and SL 2023/40 cl. 2(b))</w:t>
            </w:r>
          </w:p>
        </w:tc>
      </w:tr>
      <w:tr>
        <w:trPr>
          <w:cantSplit/>
        </w:trPr>
        <w:tc>
          <w:tcPr>
            <w:tcW w:w="2410" w:type="dxa"/>
            <w:shd w:val="clear" w:color="auto" w:fill="auto"/>
          </w:tcPr>
          <w:p>
            <w:pPr>
              <w:pStyle w:val="nTable"/>
              <w:spacing w:after="40"/>
              <w:ind w:right="113"/>
              <w:rPr>
                <w:i/>
              </w:rPr>
            </w:pPr>
            <w:r>
              <w:rPr>
                <w:i/>
              </w:rPr>
              <w:t>Legal Profession Uniform Law Application Act 2022</w:t>
            </w:r>
            <w:r>
              <w:t xml:space="preserve"> s. 424</w:t>
            </w:r>
          </w:p>
        </w:tc>
        <w:tc>
          <w:tcPr>
            <w:tcW w:w="993" w:type="dxa"/>
            <w:shd w:val="clear" w:color="auto" w:fill="auto"/>
          </w:tcPr>
          <w:p>
            <w:pPr>
              <w:pStyle w:val="nTable"/>
              <w:spacing w:after="40"/>
            </w:pPr>
            <w:r>
              <w:t>9 of 2022</w:t>
            </w:r>
          </w:p>
        </w:tc>
        <w:tc>
          <w:tcPr>
            <w:tcW w:w="1135" w:type="dxa"/>
            <w:shd w:val="clear" w:color="auto" w:fill="auto"/>
          </w:tcPr>
          <w:p>
            <w:pPr>
              <w:pStyle w:val="nTable"/>
              <w:spacing w:after="40"/>
            </w:pPr>
            <w:r>
              <w:t>14 Apr 2022</w:t>
            </w:r>
          </w:p>
        </w:tc>
        <w:tc>
          <w:tcPr>
            <w:tcW w:w="2551" w:type="dxa"/>
            <w:shd w:val="clear" w:color="auto" w:fill="auto"/>
          </w:tcPr>
          <w:p>
            <w:pPr>
              <w:pStyle w:val="nTable"/>
              <w:spacing w:after="40"/>
              <w:rPr>
                <w:snapToGrid w:val="0"/>
              </w:rPr>
            </w:pPr>
            <w:r>
              <w:rPr>
                <w:snapToGrid w:val="0"/>
              </w:rPr>
              <w:t>1 Jul 2022 (see s. 2(c) and SL 2022/113 cl. 2)</w:t>
            </w:r>
          </w:p>
        </w:tc>
      </w:tr>
      <w:tr>
        <w:trPr>
          <w:cantSplit/>
        </w:trPr>
        <w:tc>
          <w:tcPr>
            <w:tcW w:w="2410" w:type="dxa"/>
            <w:tcBorders>
              <w:bottom w:val="single" w:sz="4" w:space="0" w:color="auto"/>
            </w:tcBorders>
            <w:shd w:val="clear" w:color="auto" w:fill="auto"/>
          </w:tcPr>
          <w:p>
            <w:pPr>
              <w:pStyle w:val="nTable"/>
              <w:spacing w:after="40"/>
              <w:ind w:right="113"/>
              <w:rPr>
                <w:i/>
                <w:snapToGrid w:val="0"/>
              </w:rPr>
            </w:pPr>
            <w:r>
              <w:rPr>
                <w:i/>
              </w:rPr>
              <w:t>Planning and Development Amendment Act 2022</w:t>
            </w:r>
          </w:p>
        </w:tc>
        <w:tc>
          <w:tcPr>
            <w:tcW w:w="993" w:type="dxa"/>
            <w:tcBorders>
              <w:bottom w:val="single" w:sz="4" w:space="0" w:color="auto"/>
            </w:tcBorders>
            <w:shd w:val="clear" w:color="auto" w:fill="auto"/>
          </w:tcPr>
          <w:p>
            <w:pPr>
              <w:pStyle w:val="nTable"/>
              <w:spacing w:after="40"/>
            </w:pPr>
            <w:r>
              <w:t>17 of 2022</w:t>
            </w:r>
          </w:p>
        </w:tc>
        <w:tc>
          <w:tcPr>
            <w:tcW w:w="1135" w:type="dxa"/>
            <w:tcBorders>
              <w:bottom w:val="single" w:sz="4" w:space="0" w:color="auto"/>
            </w:tcBorders>
            <w:shd w:val="clear" w:color="auto" w:fill="auto"/>
          </w:tcPr>
          <w:p>
            <w:pPr>
              <w:pStyle w:val="nTable"/>
              <w:spacing w:after="40"/>
            </w:pPr>
            <w:r>
              <w:t>24 Jun 2022</w:t>
            </w:r>
          </w:p>
        </w:tc>
        <w:tc>
          <w:tcPr>
            <w:tcW w:w="2551" w:type="dxa"/>
            <w:tcBorders>
              <w:bottom w:val="single" w:sz="4" w:space="0" w:color="auto"/>
            </w:tcBorders>
            <w:shd w:val="clear" w:color="auto" w:fill="auto"/>
          </w:tcPr>
          <w:p>
            <w:pPr>
              <w:pStyle w:val="nTable"/>
              <w:spacing w:after="40"/>
              <w:rPr>
                <w:snapToGrid w:val="0"/>
              </w:rPr>
            </w:pPr>
            <w:r>
              <w:rPr>
                <w:snapToGrid w:val="0"/>
              </w:rPr>
              <w:t>s. 1 and 2: 24 Jun 2022 (see s. 2(a));</w:t>
            </w:r>
            <w:r>
              <w:rPr>
                <w:snapToGrid w:val="0"/>
              </w:rPr>
              <w:br/>
              <w:t>Act other than s. 1 and 2: 25 Jun 2022 (see s. 2(b))</w:t>
            </w:r>
          </w:p>
        </w:tc>
      </w:tr>
    </w:tbl>
    <w:p>
      <w:pPr>
        <w:pStyle w:val="nHeading3"/>
      </w:pPr>
      <w:bookmarkStart w:id="471" w:name="_Toc199322717"/>
      <w:r>
        <w:lastRenderedPageBreak/>
        <w:t>Uncommenced provisions table</w:t>
      </w:r>
      <w:bookmarkEnd w:id="471"/>
    </w:p>
    <w:p>
      <w:pPr>
        <w:pStyle w:val="nStatement"/>
        <w:keepNext/>
        <w:spacing w:after="240"/>
      </w:pPr>
      <w:r>
        <w:t xml:space="preserve">To view the text of the uncommenced provisions see </w:t>
      </w:r>
      <w:r>
        <w:rPr>
          <w:i/>
        </w:rPr>
        <w:t>Acts as passed</w:t>
      </w:r>
      <w:r>
        <w:t xml:space="preserve"> on the WA Legislation website.</w:t>
      </w:r>
    </w:p>
    <w:tbl>
      <w:tblPr>
        <w:tblW w:w="7075" w:type="dxa"/>
        <w:tblInd w:w="56" w:type="dxa"/>
        <w:tblLayout w:type="fixed"/>
        <w:tblCellMar>
          <w:left w:w="56" w:type="dxa"/>
          <w:right w:w="56" w:type="dxa"/>
        </w:tblCellMar>
        <w:tblLook w:val="0000" w:firstRow="0" w:lastRow="0" w:firstColumn="0" w:lastColumn="0" w:noHBand="0" w:noVBand="0"/>
      </w:tblPr>
      <w:tblGrid>
        <w:gridCol w:w="2280"/>
        <w:gridCol w:w="8"/>
        <w:gridCol w:w="1115"/>
        <w:gridCol w:w="1175"/>
        <w:gridCol w:w="2497"/>
      </w:tblGrid>
      <w:tr>
        <w:trPr>
          <w:tblHeader/>
        </w:trPr>
        <w:tc>
          <w:tcPr>
            <w:tcW w:w="2288"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15" w:type="dxa"/>
            <w:tcBorders>
              <w:top w:val="single" w:sz="8" w:space="0" w:color="auto"/>
              <w:bottom w:val="single" w:sz="8" w:space="0" w:color="auto"/>
            </w:tcBorders>
            <w:shd w:val="clear" w:color="auto" w:fill="auto"/>
          </w:tcPr>
          <w:p>
            <w:pPr>
              <w:pStyle w:val="nTable"/>
              <w:spacing w:after="40"/>
              <w:ind w:right="61"/>
              <w:rPr>
                <w:b/>
                <w:snapToGrid w:val="0"/>
              </w:rPr>
            </w:pPr>
            <w:r>
              <w:rPr>
                <w:b/>
                <w:snapToGrid w:val="0"/>
              </w:rPr>
              <w:t>Number and year</w:t>
            </w:r>
          </w:p>
        </w:tc>
        <w:tc>
          <w:tcPr>
            <w:tcW w:w="1175"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497"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88" w:type="dxa"/>
            <w:gridSpan w:val="2"/>
            <w:tcBorders>
              <w:top w:val="single" w:sz="4" w:space="0" w:color="auto"/>
            </w:tcBorders>
          </w:tcPr>
          <w:p>
            <w:pPr>
              <w:pStyle w:val="nTable"/>
              <w:spacing w:after="40"/>
              <w:rPr>
                <w:i/>
                <w:noProof/>
                <w:snapToGrid w:val="0"/>
              </w:rPr>
            </w:pPr>
            <w:r>
              <w:rPr>
                <w:i/>
                <w:noProof/>
                <w:snapToGrid w:val="0"/>
              </w:rPr>
              <w:t>Planning and Development Act 2005</w:t>
            </w:r>
            <w:r>
              <w:rPr>
                <w:noProof/>
                <w:snapToGrid w:val="0"/>
              </w:rPr>
              <w:t xml:space="preserve"> s. 149</w:t>
            </w:r>
          </w:p>
        </w:tc>
        <w:tc>
          <w:tcPr>
            <w:tcW w:w="1115" w:type="dxa"/>
            <w:tcBorders>
              <w:top w:val="single" w:sz="4" w:space="0" w:color="auto"/>
            </w:tcBorders>
          </w:tcPr>
          <w:p>
            <w:pPr>
              <w:pStyle w:val="nTable"/>
              <w:spacing w:after="40"/>
              <w:ind w:right="61"/>
            </w:pPr>
            <w:r>
              <w:t>37 of 2005</w:t>
            </w:r>
          </w:p>
        </w:tc>
        <w:tc>
          <w:tcPr>
            <w:tcW w:w="1175" w:type="dxa"/>
            <w:tcBorders>
              <w:top w:val="single" w:sz="4" w:space="0" w:color="auto"/>
            </w:tcBorders>
          </w:tcPr>
          <w:p>
            <w:pPr>
              <w:pStyle w:val="nTable"/>
              <w:spacing w:after="40"/>
            </w:pPr>
            <w:r>
              <w:t>12 Dec 2005</w:t>
            </w:r>
          </w:p>
        </w:tc>
        <w:tc>
          <w:tcPr>
            <w:tcW w:w="2497" w:type="dxa"/>
            <w:tcBorders>
              <w:top w:val="single" w:sz="4" w:space="0" w:color="auto"/>
            </w:tcBorders>
          </w:tcPr>
          <w:p>
            <w:pPr>
              <w:pStyle w:val="nTable"/>
              <w:keepNext/>
              <w:keepLines/>
              <w:spacing w:after="40"/>
            </w:pPr>
            <w:r>
              <w:t>To be proclaimed (see s. 2)</w:t>
            </w:r>
          </w:p>
        </w:tc>
      </w:tr>
      <w:tr>
        <w:tc>
          <w:tcPr>
            <w:tcW w:w="2288" w:type="dxa"/>
            <w:gridSpan w:val="2"/>
          </w:tcPr>
          <w:p>
            <w:pPr>
              <w:pStyle w:val="nTable"/>
              <w:spacing w:after="40"/>
              <w:rPr>
                <w:i/>
                <w:noProof/>
                <w:snapToGrid w:val="0"/>
              </w:rPr>
            </w:pPr>
            <w:r>
              <w:rPr>
                <w:i/>
                <w:snapToGrid w:val="0"/>
              </w:rPr>
              <w:t>Aquatic Resources Management Act 2016</w:t>
            </w:r>
            <w:r>
              <w:rPr>
                <w:snapToGrid w:val="0"/>
              </w:rPr>
              <w:t xml:space="preserve"> s. 377</w:t>
            </w:r>
          </w:p>
        </w:tc>
        <w:tc>
          <w:tcPr>
            <w:tcW w:w="1115" w:type="dxa"/>
          </w:tcPr>
          <w:p>
            <w:pPr>
              <w:pStyle w:val="nTable"/>
              <w:spacing w:after="40"/>
              <w:ind w:right="61"/>
            </w:pPr>
            <w:r>
              <w:t>53 of 2016</w:t>
            </w:r>
          </w:p>
        </w:tc>
        <w:tc>
          <w:tcPr>
            <w:tcW w:w="1175" w:type="dxa"/>
          </w:tcPr>
          <w:p>
            <w:pPr>
              <w:pStyle w:val="nTable"/>
              <w:spacing w:after="40"/>
            </w:pPr>
            <w:r>
              <w:t>29 Nov 2016</w:t>
            </w:r>
          </w:p>
        </w:tc>
        <w:tc>
          <w:tcPr>
            <w:tcW w:w="2497" w:type="dxa"/>
          </w:tcPr>
          <w:p>
            <w:pPr>
              <w:pStyle w:val="nTable"/>
              <w:keepNext/>
              <w:keepLines/>
              <w:spacing w:after="40"/>
            </w:pPr>
            <w:r>
              <w:rPr>
                <w:snapToGrid w:val="0"/>
              </w:rPr>
              <w:t>To be proclaimed (see s. 2(b))</w:t>
            </w:r>
          </w:p>
        </w:tc>
      </w:tr>
      <w:tr>
        <w:tblPrEx>
          <w:tblBorders>
            <w:top w:val="single" w:sz="8" w:space="0" w:color="auto"/>
            <w:bottom w:val="single" w:sz="8" w:space="0" w:color="auto"/>
            <w:insideH w:val="single" w:sz="8" w:space="0" w:color="auto"/>
          </w:tblBorders>
        </w:tblPrEx>
        <w:tc>
          <w:tcPr>
            <w:tcW w:w="2280" w:type="dxa"/>
            <w:tcBorders>
              <w:top w:val="nil"/>
              <w:bottom w:val="nil"/>
            </w:tcBorders>
          </w:tcPr>
          <w:p>
            <w:pPr>
              <w:pStyle w:val="nTable"/>
              <w:spacing w:after="40"/>
            </w:pPr>
            <w:r>
              <w:rPr>
                <w:i/>
              </w:rPr>
              <w:t>Community Titles Act 2018</w:t>
            </w:r>
            <w:r>
              <w:t xml:space="preserve"> s. 224</w:t>
            </w:r>
            <w:r>
              <w:noBreakHyphen/>
              <w:t>226</w:t>
            </w:r>
          </w:p>
        </w:tc>
        <w:tc>
          <w:tcPr>
            <w:tcW w:w="1123" w:type="dxa"/>
            <w:gridSpan w:val="2"/>
            <w:tcBorders>
              <w:top w:val="nil"/>
              <w:bottom w:val="nil"/>
            </w:tcBorders>
          </w:tcPr>
          <w:p>
            <w:pPr>
              <w:pStyle w:val="nTable"/>
              <w:spacing w:after="40"/>
              <w:ind w:right="61"/>
            </w:pPr>
            <w:r>
              <w:t>32 of 2018</w:t>
            </w:r>
          </w:p>
        </w:tc>
        <w:tc>
          <w:tcPr>
            <w:tcW w:w="1175" w:type="dxa"/>
            <w:tcBorders>
              <w:top w:val="nil"/>
              <w:bottom w:val="nil"/>
            </w:tcBorders>
          </w:tcPr>
          <w:p>
            <w:pPr>
              <w:pStyle w:val="nTable"/>
              <w:spacing w:after="40"/>
            </w:pPr>
            <w:r>
              <w:t>19 Nov 2018</w:t>
            </w:r>
          </w:p>
        </w:tc>
        <w:tc>
          <w:tcPr>
            <w:tcW w:w="2497" w:type="dxa"/>
            <w:tcBorders>
              <w:top w:val="nil"/>
              <w:bottom w:val="nil"/>
            </w:tcBorders>
          </w:tcPr>
          <w:p>
            <w:pPr>
              <w:pStyle w:val="nTable"/>
              <w:spacing w:after="40"/>
            </w:pPr>
            <w:r>
              <w:t>To be proclaimed (see s. 2(b))</w:t>
            </w:r>
          </w:p>
        </w:tc>
      </w:tr>
      <w:tr>
        <w:tblPrEx>
          <w:tblBorders>
            <w:top w:val="single" w:sz="8" w:space="0" w:color="auto"/>
            <w:bottom w:val="single" w:sz="8" w:space="0" w:color="auto"/>
            <w:insideH w:val="single" w:sz="8" w:space="0" w:color="auto"/>
          </w:tblBorders>
        </w:tblPrEx>
        <w:tc>
          <w:tcPr>
            <w:tcW w:w="2280" w:type="dxa"/>
            <w:tcBorders>
              <w:top w:val="nil"/>
              <w:bottom w:val="nil"/>
            </w:tcBorders>
          </w:tcPr>
          <w:p>
            <w:pPr>
              <w:pStyle w:val="nTable"/>
              <w:spacing w:after="40"/>
              <w:rPr>
                <w:i/>
              </w:rPr>
            </w:pPr>
            <w:r>
              <w:rPr>
                <w:i/>
              </w:rPr>
              <w:t>Planning and Development Amendment Act 2020</w:t>
            </w:r>
            <w:r>
              <w:t xml:space="preserve"> Pt. 3, Pt. 7 Div. 1 and Pt. 9</w:t>
            </w:r>
          </w:p>
        </w:tc>
        <w:tc>
          <w:tcPr>
            <w:tcW w:w="1123" w:type="dxa"/>
            <w:gridSpan w:val="2"/>
            <w:tcBorders>
              <w:top w:val="nil"/>
              <w:bottom w:val="nil"/>
            </w:tcBorders>
          </w:tcPr>
          <w:p>
            <w:pPr>
              <w:pStyle w:val="nTable"/>
              <w:spacing w:after="40"/>
              <w:ind w:right="61"/>
            </w:pPr>
            <w:r>
              <w:t>26 of 2020 (as amended by Act No. 45 of 2020</w:t>
            </w:r>
            <w:r>
              <w:rPr>
                <w:snapToGrid w:val="0"/>
              </w:rPr>
              <w:t xml:space="preserve"> Pt. 10 Div. 10)</w:t>
            </w:r>
          </w:p>
        </w:tc>
        <w:tc>
          <w:tcPr>
            <w:tcW w:w="1175" w:type="dxa"/>
            <w:tcBorders>
              <w:top w:val="nil"/>
              <w:bottom w:val="nil"/>
            </w:tcBorders>
          </w:tcPr>
          <w:p>
            <w:pPr>
              <w:pStyle w:val="nTable"/>
              <w:spacing w:after="40"/>
            </w:pPr>
            <w:r>
              <w:t>7 Jul 2020</w:t>
            </w:r>
          </w:p>
        </w:tc>
        <w:tc>
          <w:tcPr>
            <w:tcW w:w="2497" w:type="dxa"/>
            <w:tcBorders>
              <w:top w:val="nil"/>
              <w:bottom w:val="nil"/>
            </w:tcBorders>
          </w:tcPr>
          <w:p>
            <w:pPr>
              <w:pStyle w:val="nTable"/>
              <w:spacing w:after="40"/>
            </w:pPr>
            <w:r>
              <w:rPr>
                <w:snapToGrid w:val="0"/>
              </w:rPr>
              <w:t>To be proclaimed (see s. 2(1)(b))</w:t>
            </w:r>
          </w:p>
        </w:tc>
      </w:tr>
      <w:tr>
        <w:tblPrEx>
          <w:tblBorders>
            <w:top w:val="single" w:sz="8" w:space="0" w:color="auto"/>
            <w:bottom w:val="single" w:sz="8" w:space="0" w:color="auto"/>
            <w:insideH w:val="single" w:sz="8" w:space="0" w:color="auto"/>
          </w:tblBorders>
        </w:tblPrEx>
        <w:tc>
          <w:tcPr>
            <w:tcW w:w="2280" w:type="dxa"/>
            <w:tcBorders>
              <w:top w:val="nil"/>
              <w:bottom w:val="nil"/>
            </w:tcBorders>
          </w:tcPr>
          <w:p>
            <w:pPr>
              <w:pStyle w:val="nTable"/>
              <w:spacing w:after="40"/>
              <w:rPr>
                <w:i/>
              </w:rPr>
            </w:pPr>
            <w:r>
              <w:rPr>
                <w:i/>
                <w:snapToGrid w:val="0"/>
              </w:rPr>
              <w:t>Swan Valley Planning Act 2020</w:t>
            </w:r>
            <w:r>
              <w:rPr>
                <w:snapToGrid w:val="0"/>
              </w:rPr>
              <w:t xml:space="preserve"> s. 62</w:t>
            </w:r>
          </w:p>
        </w:tc>
        <w:tc>
          <w:tcPr>
            <w:tcW w:w="1123" w:type="dxa"/>
            <w:gridSpan w:val="2"/>
            <w:tcBorders>
              <w:top w:val="nil"/>
              <w:bottom w:val="nil"/>
            </w:tcBorders>
          </w:tcPr>
          <w:p>
            <w:pPr>
              <w:pStyle w:val="nTable"/>
              <w:spacing w:after="40"/>
              <w:ind w:right="61"/>
            </w:pPr>
            <w:r>
              <w:t>45 of 2020</w:t>
            </w:r>
          </w:p>
        </w:tc>
        <w:tc>
          <w:tcPr>
            <w:tcW w:w="1175" w:type="dxa"/>
            <w:tcBorders>
              <w:top w:val="nil"/>
              <w:bottom w:val="nil"/>
            </w:tcBorders>
          </w:tcPr>
          <w:p>
            <w:pPr>
              <w:pStyle w:val="nTable"/>
              <w:spacing w:after="40"/>
            </w:pPr>
            <w:r>
              <w:t>9 Dec 2020</w:t>
            </w:r>
          </w:p>
        </w:tc>
        <w:tc>
          <w:tcPr>
            <w:tcW w:w="2497" w:type="dxa"/>
            <w:tcBorders>
              <w:top w:val="nil"/>
              <w:bottom w:val="nil"/>
            </w:tcBorders>
          </w:tcPr>
          <w:p>
            <w:pPr>
              <w:pStyle w:val="nTable"/>
              <w:spacing w:after="40"/>
              <w:rPr>
                <w:snapToGrid w:val="0"/>
              </w:rPr>
            </w:pPr>
            <w:r>
              <w:rPr>
                <w:snapToGrid w:val="0"/>
              </w:rPr>
              <w:t>Immediately</w:t>
            </w:r>
            <w:r>
              <w:t xml:space="preserve"> after the </w:t>
            </w:r>
            <w:r>
              <w:rPr>
                <w:i/>
              </w:rPr>
              <w:t>Planning and Development Amendment Act 2020</w:t>
            </w:r>
            <w:r>
              <w:t xml:space="preserve"> s. 65 comes into operation</w:t>
            </w:r>
            <w:r>
              <w:rPr>
                <w:snapToGrid w:val="0"/>
              </w:rPr>
              <w:t xml:space="preserve"> (</w:t>
            </w:r>
            <w:r>
              <w:t>see s. 2(1)(b)(ii))</w:t>
            </w:r>
          </w:p>
        </w:tc>
      </w:tr>
      <w:tr>
        <w:tblPrEx>
          <w:tblBorders>
            <w:top w:val="single" w:sz="8" w:space="0" w:color="auto"/>
            <w:bottom w:val="single" w:sz="8" w:space="0" w:color="auto"/>
            <w:insideH w:val="single" w:sz="8" w:space="0" w:color="auto"/>
          </w:tblBorders>
        </w:tblPrEx>
        <w:tc>
          <w:tcPr>
            <w:tcW w:w="2280" w:type="dxa"/>
            <w:tcBorders>
              <w:top w:val="nil"/>
              <w:bottom w:val="single" w:sz="4" w:space="0" w:color="auto"/>
            </w:tcBorders>
          </w:tcPr>
          <w:p>
            <w:pPr>
              <w:pStyle w:val="nTable"/>
              <w:spacing w:after="40"/>
            </w:pPr>
            <w:r>
              <w:rPr>
                <w:i/>
              </w:rPr>
              <w:t>Land and Public Works Legislation Amendment Act 2023</w:t>
            </w:r>
            <w:r>
              <w:t xml:space="preserve"> Pt. 4 Div. 11</w:t>
            </w:r>
          </w:p>
        </w:tc>
        <w:tc>
          <w:tcPr>
            <w:tcW w:w="1123" w:type="dxa"/>
            <w:gridSpan w:val="2"/>
            <w:tcBorders>
              <w:top w:val="nil"/>
              <w:bottom w:val="single" w:sz="4" w:space="0" w:color="auto"/>
            </w:tcBorders>
          </w:tcPr>
          <w:p>
            <w:pPr>
              <w:pStyle w:val="nTable"/>
              <w:spacing w:after="40"/>
              <w:ind w:right="61"/>
            </w:pPr>
            <w:r>
              <w:t>4 of 2023</w:t>
            </w:r>
          </w:p>
        </w:tc>
        <w:tc>
          <w:tcPr>
            <w:tcW w:w="1175" w:type="dxa"/>
            <w:tcBorders>
              <w:top w:val="nil"/>
              <w:bottom w:val="single" w:sz="4" w:space="0" w:color="auto"/>
            </w:tcBorders>
          </w:tcPr>
          <w:p>
            <w:pPr>
              <w:pStyle w:val="nTable"/>
              <w:spacing w:after="40"/>
            </w:pPr>
            <w:r>
              <w:t>24 Mar 2023</w:t>
            </w:r>
          </w:p>
        </w:tc>
        <w:tc>
          <w:tcPr>
            <w:tcW w:w="2497" w:type="dxa"/>
            <w:tcBorders>
              <w:top w:val="nil"/>
              <w:bottom w:val="single" w:sz="4" w:space="0" w:color="auto"/>
            </w:tcBorders>
          </w:tcPr>
          <w:p>
            <w:pPr>
              <w:pStyle w:val="nTable"/>
              <w:spacing w:after="40"/>
            </w:pPr>
            <w:r>
              <w:t>To be proclaimed (see s. 2(b))</w:t>
            </w:r>
          </w:p>
        </w:tc>
      </w:tr>
    </w:tbl>
    <w:p>
      <w:pPr>
        <w:pStyle w:val="nHeading3"/>
      </w:pPr>
      <w:bookmarkStart w:id="472" w:name="_Toc199322718"/>
      <w:r>
        <w:t>Other notes</w:t>
      </w:r>
      <w:bookmarkEnd w:id="472"/>
    </w:p>
    <w:p>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4 Div. 2</w:t>
      </w:r>
      <w:r>
        <w:t xml:space="preserve">. </w:t>
      </w:r>
    </w:p>
    <w:p>
      <w:pPr>
        <w:pStyle w:val="nNote"/>
        <w:keepNext/>
        <w:keepLines/>
      </w:pPr>
      <w:r>
        <w:tab/>
        <w:t>If a modification is to:</w:t>
      </w:r>
    </w:p>
    <w:p>
      <w:pPr>
        <w:pStyle w:val="nNote"/>
        <w:keepNext/>
        <w:keepLines/>
        <w:numPr>
          <w:ilvl w:val="0"/>
          <w:numId w:val="12"/>
        </w:numPr>
        <w:spacing w:before="0"/>
        <w:ind w:left="714" w:hanging="357"/>
      </w:pPr>
      <w:r>
        <w:t>replace or insert a numbered provision, the new provision is identified by the superscript 1M appearing after the provision number;</w:t>
      </w:r>
    </w:p>
    <w:p>
      <w:pPr>
        <w:pStyle w:val="nNote"/>
        <w:numPr>
          <w:ilvl w:val="0"/>
          <w:numId w:val="12"/>
        </w:numPr>
        <w:spacing w:before="0"/>
        <w:ind w:left="714" w:hanging="357"/>
      </w:pPr>
      <w:r>
        <w:t>amend a numbered provision, the amended provision is identified by the superscript 1M appearing after the provision number.</w:t>
      </w:r>
    </w:p>
    <w:p>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w:t>
      </w:r>
      <w:r>
        <w:lastRenderedPageBreak/>
        <w:t xml:space="preserve">Commonwealth places in Western Australia, may be prescribed. Modifications are prescribed in the </w:t>
      </w:r>
      <w:r>
        <w:rPr>
          <w:i/>
          <w:iCs/>
        </w:rPr>
        <w:t>Commonwealth Places (Mirror Taxes) (Modifications of Applied Laws (WA)) Notice 2007</w:t>
      </w:r>
      <w:r>
        <w:rPr>
          <w:iCs/>
        </w:rPr>
        <w:t xml:space="preserve"> (Commonwealth) Pt. 4 Div. 2</w:t>
      </w:r>
      <w:r>
        <w:t xml:space="preserve">. </w:t>
      </w:r>
    </w:p>
    <w:p>
      <w:pPr>
        <w:pStyle w:val="nNote"/>
        <w:keepNext/>
      </w:pPr>
      <w:r>
        <w:tab/>
        <w:t>If a modification is to:</w:t>
      </w:r>
    </w:p>
    <w:p>
      <w:pPr>
        <w:pStyle w:val="nNote"/>
        <w:keepNext/>
        <w:keepLines/>
        <w:numPr>
          <w:ilvl w:val="0"/>
          <w:numId w:val="12"/>
        </w:numPr>
        <w:spacing w:before="0"/>
        <w:ind w:left="714" w:hanging="357"/>
      </w:pPr>
      <w:r>
        <w:t xml:space="preserve">replace or insert a numbered provision, the new provision is identified by the superscript 1MC appearing after the provision number; </w:t>
      </w:r>
    </w:p>
    <w:p>
      <w:pPr>
        <w:pStyle w:val="nNote"/>
        <w:keepNext/>
        <w:keepLines/>
        <w:numPr>
          <w:ilvl w:val="0"/>
          <w:numId w:val="12"/>
        </w:numPr>
        <w:spacing w:before="0"/>
        <w:ind w:left="714" w:hanging="357"/>
      </w:pPr>
      <w:r>
        <w:t>amend a numbered provision, the amended provision is identified by the superscript 1MC appearing after the provision number.</w:t>
      </w:r>
    </w:p>
    <w:p>
      <w:pPr>
        <w:pStyle w:val="nNote"/>
        <w:spacing w:before="160"/>
        <w:rPr>
          <w:snapToGrid w:val="0"/>
        </w:rPr>
      </w:pPr>
      <w:r>
        <w:rPr>
          <w:snapToGrid w:val="0"/>
          <w:vertAlign w:val="superscript"/>
        </w:rPr>
        <w:t>1</w:t>
      </w:r>
      <w:r>
        <w:rPr>
          <w:snapToGrid w:val="0"/>
        </w:rPr>
        <w:tab/>
        <w:t xml:space="preserve">Repealed by the </w:t>
      </w:r>
      <w:r>
        <w:rPr>
          <w:i/>
          <w:iCs/>
          <w:snapToGrid w:val="0"/>
        </w:rPr>
        <w:t>Land Administration Act 1997.</w:t>
      </w:r>
      <w:r>
        <w:rPr>
          <w:snapToGrid w:val="0"/>
        </w:rPr>
        <w:t xml:space="preserve"> </w:t>
      </w:r>
    </w:p>
    <w:p>
      <w:pPr>
        <w:pStyle w:val="nNote"/>
        <w:rPr>
          <w:snapToGrid w:val="0"/>
        </w:rPr>
      </w:pPr>
      <w:r>
        <w:rPr>
          <w:snapToGrid w:val="0"/>
          <w:vertAlign w:val="superscript"/>
        </w:rPr>
        <w:t>2</w:t>
      </w:r>
      <w:r>
        <w:rPr>
          <w:snapToGrid w:val="0"/>
          <w:vertAlign w:val="superscript"/>
        </w:rPr>
        <w:tab/>
      </w:r>
      <w:r>
        <w:rPr>
          <w:snapToGrid w:val="0"/>
        </w:rPr>
        <w:t xml:space="preserve">Repealed by the </w:t>
      </w:r>
      <w:r>
        <w:rPr>
          <w:i/>
          <w:iCs/>
          <w:snapToGrid w:val="0"/>
        </w:rPr>
        <w:t>Mining Act 1978.</w:t>
      </w:r>
    </w:p>
    <w:p>
      <w:pPr>
        <w:pStyle w:val="nNote"/>
        <w:rPr>
          <w:snapToGrid w:val="0"/>
        </w:rPr>
      </w:pPr>
      <w:r>
        <w:rPr>
          <w:snapToGrid w:val="0"/>
          <w:vertAlign w:val="superscript"/>
        </w:rPr>
        <w:t>3</w:t>
      </w:r>
      <w:r>
        <w:rPr>
          <w:snapToGrid w:val="0"/>
        </w:rPr>
        <w:tab/>
        <w:t xml:space="preserve">Now known as the </w:t>
      </w:r>
      <w:r>
        <w:rPr>
          <w:i/>
          <w:iCs/>
          <w:snapToGrid w:val="0"/>
        </w:rPr>
        <w:t>Local Government (Miscellaneous Provisions) Act 1960</w:t>
      </w:r>
      <w:r>
        <w:rPr>
          <w:snapToGrid w:val="0"/>
        </w:rPr>
        <w:t>. Section 248 was r</w:t>
      </w:r>
      <w:r>
        <w:t xml:space="preserve">epealed by the </w:t>
      </w:r>
      <w:r>
        <w:rPr>
          <w:i/>
          <w:iCs/>
        </w:rPr>
        <w:t>L</w:t>
      </w:r>
      <w:r>
        <w:rPr>
          <w:i/>
          <w:iCs/>
          <w:snapToGrid w:val="0"/>
        </w:rPr>
        <w:t xml:space="preserve">ocal Government Act 1995 </w:t>
      </w:r>
      <w:r>
        <w:rPr>
          <w:snapToGrid w:val="0"/>
        </w:rPr>
        <w:t>s. 9.70.</w:t>
      </w:r>
    </w:p>
    <w:p>
      <w:pPr>
        <w:pStyle w:val="nNote"/>
      </w:pPr>
      <w:r>
        <w:rPr>
          <w:vertAlign w:val="superscript"/>
        </w:rPr>
        <w:t>4</w:t>
      </w:r>
      <w:r>
        <w:tab/>
        <w:t xml:space="preserve">Lands Titles Office diagrams are now being held by the Western Australian Land Information Authority (see the </w:t>
      </w:r>
      <w:r>
        <w:rPr>
          <w:i/>
        </w:rPr>
        <w:t>Land Information Authority Act 2006</w:t>
      </w:r>
      <w:r>
        <w:t xml:space="preserve"> s. 100).</w:t>
      </w:r>
    </w:p>
    <w:p>
      <w:pPr>
        <w:pStyle w:val="nNote"/>
        <w:rPr>
          <w:snapToGrid w:val="0"/>
        </w:rPr>
      </w:pPr>
      <w:r>
        <w:rPr>
          <w:snapToGrid w:val="0"/>
          <w:vertAlign w:val="superscript"/>
        </w:rPr>
        <w:t>5</w:t>
      </w:r>
      <w:r>
        <w:rPr>
          <w:snapToGrid w:val="0"/>
        </w:rPr>
        <w:tab/>
        <w:t xml:space="preserve">Now district of </w:t>
      </w:r>
      <w:r>
        <w:t>Karratha.</w:t>
      </w:r>
    </w:p>
    <w:p>
      <w:pPr>
        <w:pStyle w:val="nNote"/>
        <w:rPr>
          <w:vertAlign w:val="superscript"/>
        </w:rPr>
      </w:pPr>
      <w:r>
        <w:rPr>
          <w:vertAlign w:val="superscript"/>
        </w:rPr>
        <w:t>6</w:t>
      </w:r>
      <w:r>
        <w:tab/>
        <w:t>Now City of Vincent.</w:t>
      </w:r>
    </w:p>
    <w:p>
      <w:pPr>
        <w:pStyle w:val="nNote"/>
        <w:keepNext/>
        <w:rPr>
          <w:noProof/>
          <w:snapToGrid w:val="0"/>
        </w:rPr>
      </w:pPr>
      <w:r>
        <w:rPr>
          <w:vertAlign w:val="superscript"/>
        </w:rPr>
        <w:t>7</w:t>
      </w:r>
      <w:r>
        <w:tab/>
        <w:t xml:space="preserve">The </w:t>
      </w:r>
      <w:r>
        <w:rPr>
          <w:i/>
          <w:noProof/>
          <w:snapToGrid w:val="0"/>
        </w:rPr>
        <w:t>Planning and Development (Consequential and Transitional Provisions) Act 2005</w:t>
      </w:r>
      <w:r>
        <w:rPr>
          <w:noProof/>
          <w:snapToGrid w:val="0"/>
        </w:rPr>
        <w:t xml:space="preserve"> s. 3, s. 4, Sch. 1, Pt. 3 and 4 read as follows:</w:t>
      </w:r>
    </w:p>
    <w:p>
      <w:pPr>
        <w:pStyle w:val="BlankOpen"/>
        <w:rPr>
          <w:sz w:val="20"/>
          <w:szCs w:val="20"/>
        </w:rPr>
      </w:pPr>
    </w:p>
    <w:p>
      <w:pPr>
        <w:pStyle w:val="nzHeading5"/>
      </w:pPr>
      <w:r>
        <w:rPr>
          <w:rStyle w:val="CharSectno"/>
        </w:rPr>
        <w:t>3</w:t>
      </w:r>
      <w:r>
        <w:t>.</w:t>
      </w:r>
      <w:r>
        <w:tab/>
        <w:t>Interpretation</w:t>
      </w:r>
    </w:p>
    <w:p>
      <w:pPr>
        <w:pStyle w:val="nzSubsection"/>
        <w:keepNext/>
      </w:pPr>
      <w:r>
        <w:tab/>
      </w:r>
      <w:r>
        <w:tab/>
        <w:t xml:space="preserve">In this Act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existing Commission</w:t>
      </w:r>
      <w:r>
        <w:t xml:space="preserve"> means the Commission established under the WAPC Act;</w:t>
      </w:r>
    </w:p>
    <w:p>
      <w:pPr>
        <w:pStyle w:val="nzDefstart"/>
        <w:keepNext/>
      </w:pPr>
      <w:r>
        <w:tab/>
      </w:r>
      <w:r>
        <w:rPr>
          <w:rStyle w:val="CharDefText"/>
        </w:rPr>
        <w:t>MRTPS Act</w:t>
      </w:r>
      <w:r>
        <w:t xml:space="preserve"> means the </w:t>
      </w:r>
      <w:r>
        <w:rPr>
          <w:i/>
        </w:rPr>
        <w:t>Metropolitan Region Town Planning Scheme Act 1959</w:t>
      </w:r>
      <w:r>
        <w:t>;</w:t>
      </w:r>
    </w:p>
    <w:p>
      <w:pPr>
        <w:pStyle w:val="nzDefstart"/>
      </w:pPr>
      <w:r>
        <w:tab/>
      </w:r>
      <w:r>
        <w:rPr>
          <w:rStyle w:val="CharDefText"/>
        </w:rPr>
        <w:t>PD Act</w:t>
      </w:r>
      <w:r>
        <w:t xml:space="preserve"> means the </w:t>
      </w:r>
      <w:r>
        <w:rPr>
          <w:i/>
        </w:rPr>
        <w:t>Planning and Development Act 2005</w:t>
      </w:r>
      <w:r>
        <w:t>;</w:t>
      </w:r>
    </w:p>
    <w:p>
      <w:pPr>
        <w:pStyle w:val="nzDefstart"/>
      </w:pPr>
      <w:r>
        <w:tab/>
      </w:r>
      <w:r>
        <w:rPr>
          <w:rStyle w:val="CharDefText"/>
        </w:rPr>
        <w:t>TPD Act</w:t>
      </w:r>
      <w:r>
        <w:t xml:space="preserve"> means the </w:t>
      </w:r>
      <w:r>
        <w:rPr>
          <w:i/>
        </w:rPr>
        <w:t>Town Planning and Development Act 1928</w:t>
      </w:r>
      <w:r>
        <w:t>;</w:t>
      </w:r>
    </w:p>
    <w:p>
      <w:pPr>
        <w:pStyle w:val="nzDefstart"/>
      </w:pPr>
      <w:r>
        <w:tab/>
      </w:r>
      <w:r>
        <w:rPr>
          <w:rStyle w:val="CharDefText"/>
        </w:rPr>
        <w:t>WAPC Act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BlankOpen"/>
        <w:rPr>
          <w:sz w:val="20"/>
          <w:szCs w:val="20"/>
        </w:rPr>
      </w:pPr>
    </w:p>
    <w:p>
      <w:pPr>
        <w:pStyle w:val="nzHeading2"/>
        <w:rPr>
          <w:sz w:val="20"/>
        </w:rPr>
      </w:pPr>
      <w:r>
        <w:rPr>
          <w:rStyle w:val="CharSchNo"/>
        </w:rPr>
        <w:t>Schedule 1</w:t>
      </w:r>
      <w:r>
        <w:rPr>
          <w:rStyle w:val="CharSDivNo"/>
        </w:rPr>
        <w:t> </w:t>
      </w:r>
      <w:r>
        <w:t>—</w:t>
      </w:r>
      <w:r>
        <w:rPr>
          <w:rStyle w:val="CharSDivText"/>
        </w:rPr>
        <w:t> </w:t>
      </w:r>
      <w:r>
        <w:rPr>
          <w:rStyle w:val="CharSchText"/>
        </w:rPr>
        <w:t>Acts repealed</w:t>
      </w:r>
    </w:p>
    <w:p>
      <w:pPr>
        <w:pStyle w:val="nzMiscellaneousBody"/>
        <w:jc w:val="right"/>
      </w:pPr>
      <w:r>
        <w:t>[s. 4]</w:t>
      </w:r>
    </w:p>
    <w:p>
      <w:pPr>
        <w:pStyle w:val="nzMiscellaneousBody"/>
        <w:spacing w:before="40"/>
        <w:rPr>
          <w:i/>
        </w:rPr>
      </w:pPr>
      <w:r>
        <w:rPr>
          <w:i/>
        </w:rPr>
        <w:t>Metropolitan Region Town Planning Scheme Act 1959</w:t>
      </w:r>
    </w:p>
    <w:p>
      <w:pPr>
        <w:pStyle w:val="nzMiscellaneousBody"/>
        <w:rPr>
          <w:i/>
        </w:rPr>
      </w:pPr>
      <w:r>
        <w:rPr>
          <w:i/>
        </w:rPr>
        <w:lastRenderedPageBreak/>
        <w:t>Town Planning and Development Act 1928</w:t>
      </w:r>
    </w:p>
    <w:p>
      <w:pPr>
        <w:pStyle w:val="nzMiscellaneousBody"/>
      </w:pPr>
      <w:r>
        <w:rPr>
          <w:i/>
        </w:rPr>
        <w:t>Western Australian Planning Commission Act 1985</w:t>
      </w:r>
    </w:p>
    <w:p>
      <w:pPr>
        <w:pStyle w:val="nzHeading2"/>
      </w:pPr>
      <w:r>
        <w:t>Part 3 — Transitional and saving provisions</w:t>
      </w:r>
    </w:p>
    <w:p>
      <w:pPr>
        <w:pStyle w:val="nzHeading3"/>
      </w:pPr>
      <w:r>
        <w:rPr>
          <w:rStyle w:val="CharDivNo"/>
        </w:rPr>
        <w:t>Division 1</w:t>
      </w:r>
      <w:r>
        <w:t xml:space="preserve"> — </w:t>
      </w:r>
      <w:r>
        <w:rPr>
          <w:rStyle w:val="CharDivText"/>
        </w:rPr>
        <w:t>Preliminary</w:t>
      </w:r>
    </w:p>
    <w:p>
      <w:pPr>
        <w:pStyle w:val="nzHeading5"/>
      </w:pPr>
      <w:r>
        <w:rPr>
          <w:rStyle w:val="CharSectno"/>
        </w:rPr>
        <w:t>17</w:t>
      </w:r>
      <w:r>
        <w:t>.</w:t>
      </w:r>
      <w:r>
        <w:tab/>
        <w:t xml:space="preserve">Application of </w:t>
      </w:r>
      <w:r>
        <w:rPr>
          <w:i/>
        </w:rPr>
        <w:t>Interpretation Act 1984</w:t>
      </w:r>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r>
        <w:rPr>
          <w:rStyle w:val="CharSectno"/>
        </w:rPr>
        <w:t>18</w:t>
      </w:r>
      <w:r>
        <w:t>.</w:t>
      </w:r>
      <w:r>
        <w:tab/>
        <w:t>Transitional regulations</w:t>
      </w:r>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keepNext/>
      </w:pPr>
      <w:r>
        <w:tab/>
        <w:t>(2)</w:t>
      </w:r>
      <w:r>
        <w:tab/>
        <w:t xml:space="preserve">In subsection (1) — </w:t>
      </w:r>
    </w:p>
    <w:p>
      <w:pPr>
        <w:pStyle w:val="nzDefstart"/>
      </w:pPr>
      <w:r>
        <w:rPr>
          <w:b/>
        </w:rPr>
        <w:tab/>
      </w:r>
      <w:r>
        <w:rPr>
          <w:rStyle w:val="CharDefText"/>
        </w:rPr>
        <w:t>transitional matter</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rStyle w:val="CharDefText"/>
        </w:rPr>
        <w:t>amending provision</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w:t>
      </w:r>
      <w:r>
        <w:lastRenderedPageBreak/>
        <w:t xml:space="preserve">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r>
        <w:rPr>
          <w:rStyle w:val="CharSectno"/>
        </w:rPr>
        <w:t>19</w:t>
      </w:r>
      <w:r>
        <w:t>.</w:t>
      </w:r>
      <w:r>
        <w:tab/>
        <w:t>Construction of references in written laws</w:t>
      </w:r>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keepLines/>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r>
        <w:rPr>
          <w:rStyle w:val="CharDivNo"/>
        </w:rPr>
        <w:t>Division 2</w:t>
      </w:r>
      <w:r>
        <w:t> — </w:t>
      </w:r>
      <w:r>
        <w:rPr>
          <w:rStyle w:val="CharDivText"/>
        </w:rPr>
        <w:t>Continuation of various bodies, memberships and appointments</w:t>
      </w:r>
    </w:p>
    <w:p>
      <w:pPr>
        <w:pStyle w:val="nzHeading5"/>
      </w:pPr>
      <w:r>
        <w:rPr>
          <w:rStyle w:val="CharSectno"/>
        </w:rPr>
        <w:t>20</w:t>
      </w:r>
      <w:r>
        <w:t>.</w:t>
      </w:r>
      <w:r>
        <w:tab/>
        <w:t>WAPC continues</w:t>
      </w:r>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keepNext/>
      </w:pPr>
      <w:r>
        <w:lastRenderedPageBreak/>
        <w:tab/>
        <w:t>(2)</w:t>
      </w:r>
      <w:r>
        <w:tab/>
        <w:t xml:space="preserve">If in a written law or other document or instrument there is — </w:t>
      </w:r>
    </w:p>
    <w:p>
      <w:pPr>
        <w:pStyle w:val="nzIndenta"/>
      </w:pPr>
      <w:r>
        <w:tab/>
        <w:t>(a)</w:t>
      </w:r>
      <w:r>
        <w:tab/>
        <w:t>a reference to the existing Commission; or</w:t>
      </w:r>
    </w:p>
    <w:p>
      <w:pPr>
        <w:pStyle w:val="nzIndenta"/>
        <w:keepNext/>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r>
        <w:rPr>
          <w:rStyle w:val="CharSectno"/>
        </w:rPr>
        <w:t>21</w:t>
      </w:r>
      <w:r>
        <w:t>.</w:t>
      </w:r>
      <w:r>
        <w:tab/>
        <w:t>Membership of Commission</w:t>
      </w:r>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r>
        <w:rPr>
          <w:rStyle w:val="CharSectno"/>
        </w:rPr>
        <w:t>22</w:t>
      </w:r>
      <w:r>
        <w:t>.</w:t>
      </w:r>
      <w:r>
        <w:tab/>
        <w:t>Staff</w:t>
      </w:r>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keepNext w:val="0"/>
      </w:pPr>
      <w:r>
        <w:rPr>
          <w:rStyle w:val="CharSectno"/>
        </w:rPr>
        <w:lastRenderedPageBreak/>
        <w:t>23</w:t>
      </w:r>
      <w:r>
        <w:t>.</w:t>
      </w:r>
      <w:r>
        <w:tab/>
        <w:t>Committees</w:t>
      </w:r>
    </w:p>
    <w:p>
      <w:pPr>
        <w:pStyle w:val="nzSubsection"/>
        <w:keepLines/>
      </w:pPr>
      <w:r>
        <w:tab/>
        <w:t>(1)</w:t>
      </w:r>
      <w:r>
        <w:tab/>
        <w:t xml:space="preserve">In this section — </w:t>
      </w:r>
    </w:p>
    <w:p>
      <w:pPr>
        <w:pStyle w:val="nzDefstart"/>
      </w:pPr>
      <w:r>
        <w:tab/>
      </w:r>
      <w:r>
        <w:rPr>
          <w:rStyle w:val="CharDefText"/>
        </w:rPr>
        <w:t>existing committee</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 xml:space="preserve">The persons who were members of the Transport Committee immediately before the commencement of the PD Act continue in </w:t>
      </w:r>
      <w:r>
        <w:lastRenderedPageBreak/>
        <w:t>office, under and subject to that Act, as the members of the Sustainable Transport Committee established under the PD Act.</w:t>
      </w:r>
    </w:p>
    <w:p>
      <w:pPr>
        <w:pStyle w:val="nzHeading5"/>
      </w:pPr>
      <w:r>
        <w:rPr>
          <w:rStyle w:val="CharSectno"/>
        </w:rPr>
        <w:t>24</w:t>
      </w:r>
      <w:r>
        <w:t>.</w:t>
      </w:r>
      <w:r>
        <w:tab/>
        <w:t>Board of Valuers</w:t>
      </w:r>
    </w:p>
    <w:p>
      <w:pPr>
        <w:pStyle w:val="nzSubsection"/>
      </w:pPr>
      <w:r>
        <w:tab/>
        <w:t>(1)</w:t>
      </w:r>
      <w:r>
        <w:tab/>
        <w:t xml:space="preserve">In this section — </w:t>
      </w:r>
    </w:p>
    <w:p>
      <w:pPr>
        <w:pStyle w:val="nzDefstart"/>
      </w:pPr>
      <w:r>
        <w:tab/>
      </w:r>
      <w:r>
        <w:rPr>
          <w:rStyle w:val="CharDefText"/>
        </w:rPr>
        <w:t>existing Board</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keepLines/>
      </w:pPr>
      <w:r>
        <w:rPr>
          <w:rStyle w:val="CharDivNo"/>
        </w:rPr>
        <w:t>Division 3</w:t>
      </w:r>
      <w:r>
        <w:t xml:space="preserve"> — </w:t>
      </w:r>
      <w:r>
        <w:rPr>
          <w:rStyle w:val="CharDivText"/>
        </w:rPr>
        <w:t>Transitional provisions</w:t>
      </w:r>
    </w:p>
    <w:p>
      <w:pPr>
        <w:pStyle w:val="nzHeading5"/>
      </w:pPr>
      <w:r>
        <w:rPr>
          <w:rStyle w:val="CharSectno"/>
        </w:rPr>
        <w:t>25</w:t>
      </w:r>
      <w:r>
        <w:t>.</w:t>
      </w:r>
      <w:r>
        <w:tab/>
        <w:t>Subsidiary legislation and fees</w:t>
      </w:r>
    </w:p>
    <w:p>
      <w:pPr>
        <w:pStyle w:val="nzSubsection"/>
        <w:keepNext/>
        <w:keepLines/>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lastRenderedPageBreak/>
        <w:tab/>
        <w:t>(3)</w:t>
      </w:r>
      <w:r>
        <w:tab/>
        <w:t>Fees prescribed under section 29 of the TPD Act continue, until fees are set under section 20 of the PD Act, to be chargeable and payable as if the fees were set under section 20 of the PD Act.</w:t>
      </w:r>
    </w:p>
    <w:p>
      <w:pPr>
        <w:pStyle w:val="nzHeading5"/>
      </w:pPr>
      <w:r>
        <w:rPr>
          <w:rStyle w:val="CharSectno"/>
        </w:rPr>
        <w:t>26</w:t>
      </w:r>
      <w:r>
        <w:t>.</w:t>
      </w:r>
      <w:r>
        <w:tab/>
        <w:t>Planning schemes in course of preparation</w:t>
      </w:r>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r>
        <w:rPr>
          <w:rStyle w:val="CharSectno"/>
        </w:rPr>
        <w:t>27</w:t>
      </w:r>
      <w:r>
        <w:t>.</w:t>
      </w:r>
      <w:r>
        <w:tab/>
        <w:t>Caveats</w:t>
      </w:r>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keepNext/>
      </w:pPr>
      <w:r>
        <w:tab/>
        <w:t>(2)</w:t>
      </w:r>
      <w:r>
        <w:tab/>
        <w:t xml:space="preserve">A caveat — </w:t>
      </w:r>
    </w:p>
    <w:p>
      <w:pPr>
        <w:pStyle w:val="nzIndenta"/>
      </w:pPr>
      <w:r>
        <w:tab/>
        <w:t>(a)</w:t>
      </w:r>
      <w:r>
        <w:tab/>
        <w:t>registered under section 36 of the MRTPS Act or section 35 or 36 of the WAPC Act; and</w:t>
      </w:r>
    </w:p>
    <w:p>
      <w:pPr>
        <w:pStyle w:val="nzIndenta"/>
        <w:keepNext/>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r>
        <w:rPr>
          <w:rStyle w:val="CharDivNo"/>
        </w:rPr>
        <w:t>Division 4</w:t>
      </w:r>
      <w:r>
        <w:t xml:space="preserve"> — </w:t>
      </w:r>
      <w:r>
        <w:rPr>
          <w:rStyle w:val="CharDivText"/>
        </w:rPr>
        <w:t>Other savings</w:t>
      </w:r>
    </w:p>
    <w:p>
      <w:pPr>
        <w:pStyle w:val="nzHeading5"/>
      </w:pPr>
      <w:r>
        <w:rPr>
          <w:rStyle w:val="CharSectno"/>
        </w:rPr>
        <w:t>28</w:t>
      </w:r>
      <w:r>
        <w:t>.</w:t>
      </w:r>
      <w:r>
        <w:tab/>
        <w:t>Section 9(4) and (5) TPD Act</w:t>
      </w:r>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r>
        <w:rPr>
          <w:rStyle w:val="CharSectno"/>
        </w:rPr>
        <w:t>29</w:t>
      </w:r>
      <w:r>
        <w:t>.</w:t>
      </w:r>
      <w:r>
        <w:tab/>
        <w:t>Section 28A(5) TPD Act</w:t>
      </w:r>
    </w:p>
    <w:p>
      <w:pPr>
        <w:pStyle w:val="nzSubsection"/>
      </w:pPr>
      <w:r>
        <w:tab/>
      </w:r>
      <w:r>
        <w:tab/>
        <w:t>Section 28A(5) of the TPD Act continues to apply in relation to liability and matters referred to in that subsection as if section 28A had not been repealed.</w:t>
      </w:r>
    </w:p>
    <w:p>
      <w:pPr>
        <w:pStyle w:val="nzHeading5"/>
      </w:pPr>
      <w:r>
        <w:rPr>
          <w:rStyle w:val="CharSectno"/>
        </w:rPr>
        <w:t>30</w:t>
      </w:r>
      <w:r>
        <w:t>.</w:t>
      </w:r>
      <w:r>
        <w:tab/>
        <w:t>Section 37A(4a) MRTPS Act</w:t>
      </w:r>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r>
        <w:lastRenderedPageBreak/>
        <w:t>Part 4</w:t>
      </w:r>
      <w:r>
        <w:rPr>
          <w:rStyle w:val="CharDivNo"/>
        </w:rPr>
        <w:t> </w:t>
      </w:r>
      <w:r>
        <w:t>—</w:t>
      </w:r>
      <w:r>
        <w:rPr>
          <w:rStyle w:val="CharDivText"/>
        </w:rPr>
        <w:t> </w:t>
      </w:r>
      <w:r>
        <w:t>Validation provision</w:t>
      </w:r>
    </w:p>
    <w:p>
      <w:pPr>
        <w:pStyle w:val="nzHeading5"/>
      </w:pPr>
      <w:r>
        <w:rPr>
          <w:rStyle w:val="CharSectno"/>
        </w:rPr>
        <w:t>31</w:t>
      </w:r>
      <w:r>
        <w:t>.</w:t>
      </w:r>
      <w:r>
        <w:tab/>
        <w:t>Validation of certain endorsed approvals</w:t>
      </w:r>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BlankClose"/>
      </w:pPr>
    </w:p>
    <w:p>
      <w:pPr>
        <w:pStyle w:val="nNote"/>
      </w:pPr>
      <w:r>
        <w:rPr>
          <w:vertAlign w:val="superscript"/>
        </w:rPr>
        <w:t>8</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w:t>
      </w:r>
    </w:p>
    <w:p>
      <w:pPr>
        <w:pStyle w:val="nNote"/>
        <w:keepNext/>
        <w:keepLines/>
      </w:pPr>
      <w:r>
        <w:rPr>
          <w:vertAlign w:val="superscript"/>
        </w:rPr>
        <w:t>9</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w:t>
      </w:r>
    </w:p>
    <w:p>
      <w:pPr>
        <w:pStyle w:val="nNote"/>
        <w:keepNext/>
        <w:rPr>
          <w:noProof/>
          <w:snapToGrid w:val="0"/>
        </w:rPr>
      </w:pPr>
      <w:r>
        <w:rPr>
          <w:vertAlign w:val="superscript"/>
        </w:rPr>
        <w:t>10</w:t>
      </w:r>
      <w:r>
        <w:tab/>
        <w:t xml:space="preserve">The </w:t>
      </w:r>
      <w:r>
        <w:rPr>
          <w:i/>
          <w:iCs/>
        </w:rPr>
        <w:t>Approvals and Related Reforms (No. 4) (Planning) Act 2010</w:t>
      </w:r>
      <w:r>
        <w:rPr>
          <w:noProof/>
          <w:snapToGrid w:val="0"/>
        </w:rPr>
        <w:t xml:space="preserve"> s. 56(4) is a transitional provision that is of no further effect.</w:t>
      </w:r>
    </w:p>
    <w:p/>
    <w:p>
      <w:pPr>
        <w:sectPr>
          <w:headerReference w:type="even" r:id="rId32"/>
          <w:headerReference w:type="default" r:id="rId33"/>
          <w:pgSz w:w="11907" w:h="16840" w:code="9"/>
          <w:pgMar w:top="2376" w:right="2405" w:bottom="3542" w:left="2405" w:header="706" w:footer="3544" w:gutter="0"/>
          <w:cols w:space="720"/>
          <w:noEndnote/>
          <w:docGrid w:linePitch="326"/>
        </w:sectPr>
      </w:pPr>
    </w:p>
    <w:p>
      <w:pPr>
        <w:pStyle w:val="nHeading2"/>
        <w:rPr>
          <w:sz w:val="28"/>
        </w:rPr>
      </w:pPr>
      <w:bookmarkStart w:id="474" w:name="_Toc199322719"/>
      <w:r>
        <w:rPr>
          <w:sz w:val="28"/>
        </w:rPr>
        <w:lastRenderedPageBreak/>
        <w:t>Defined terms</w:t>
      </w:r>
      <w:bookmarkEnd w:id="47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4(1)</w:t>
      </w:r>
    </w:p>
    <w:p>
      <w:pPr>
        <w:pStyle w:val="DefinedTerms"/>
      </w:pPr>
      <w:r>
        <w:t>affected local government</w:t>
      </w:r>
      <w:r>
        <w:tab/>
        <w:t>122B(3B)</w:t>
      </w:r>
    </w:p>
    <w:p>
      <w:pPr>
        <w:pStyle w:val="DefinedTerms"/>
      </w:pPr>
      <w:r>
        <w:t>alleged offender</w:t>
      </w:r>
      <w:r>
        <w:tab/>
        <w:t>226</w:t>
      </w:r>
    </w:p>
    <w:p>
      <w:pPr>
        <w:pStyle w:val="DefinedTerms"/>
      </w:pPr>
      <w:r>
        <w:t>amended Act</w:t>
      </w:r>
      <w:r>
        <w:tab/>
        <w:t>290(1)</w:t>
      </w:r>
    </w:p>
    <w:p>
      <w:pPr>
        <w:pStyle w:val="DefinedTerms"/>
      </w:pPr>
      <w:r>
        <w:t>amendment day</w:t>
      </w:r>
      <w:r>
        <w:tab/>
        <w:t>122B(7)</w:t>
      </w:r>
    </w:p>
    <w:p>
      <w:pPr>
        <w:pStyle w:val="DefinedTerms"/>
      </w:pPr>
      <w:r>
        <w:t>applicable legal instrument</w:t>
      </w:r>
      <w:r>
        <w:tab/>
        <w:t>269(1)</w:t>
      </w:r>
    </w:p>
    <w:p>
      <w:pPr>
        <w:pStyle w:val="DefinedTerms"/>
      </w:pPr>
      <w:r>
        <w:t>applicant</w:t>
      </w:r>
      <w:r>
        <w:tab/>
        <w:t>253(1)</w:t>
      </w:r>
    </w:p>
    <w:p>
      <w:pPr>
        <w:pStyle w:val="DefinedTerms"/>
      </w:pPr>
      <w:r>
        <w:t>appointed member</w:t>
      </w:r>
      <w:r>
        <w:tab/>
        <w:t>Sch. 1 cl. 1</w:t>
      </w:r>
    </w:p>
    <w:p>
      <w:pPr>
        <w:pStyle w:val="DefinedTerms"/>
      </w:pPr>
      <w:r>
        <w:t>artificial waterway</w:t>
      </w:r>
      <w:r>
        <w:tab/>
        <w:t>4(1)</w:t>
      </w:r>
    </w:p>
    <w:p>
      <w:pPr>
        <w:pStyle w:val="DefinedTerms"/>
      </w:pPr>
      <w:r>
        <w:t>assessed scheme</w:t>
      </w:r>
      <w:r>
        <w:tab/>
        <w:t>217(1)</w:t>
      </w:r>
    </w:p>
    <w:p>
      <w:pPr>
        <w:pStyle w:val="DefinedTerms"/>
      </w:pPr>
      <w:r>
        <w:t>associate member</w:t>
      </w:r>
      <w:r>
        <w:tab/>
        <w:t>4(1)</w:t>
      </w:r>
    </w:p>
    <w:p>
      <w:pPr>
        <w:pStyle w:val="DefinedTerms"/>
      </w:pPr>
      <w:r>
        <w:t>Authority</w:t>
      </w:r>
      <w:r>
        <w:tab/>
        <w:t>4(1)</w:t>
      </w:r>
    </w:p>
    <w:p>
      <w:pPr>
        <w:pStyle w:val="DefinedTerms"/>
      </w:pPr>
      <w:r>
        <w:t>board</w:t>
      </w:r>
      <w:r>
        <w:tab/>
        <w:t>4(1)</w:t>
      </w:r>
    </w:p>
    <w:p>
      <w:pPr>
        <w:pStyle w:val="DefinedTerms"/>
      </w:pPr>
      <w:r>
        <w:t>Board</w:t>
      </w:r>
      <w:r>
        <w:tab/>
        <w:t>172, Sch. 9 cl. 1</w:t>
      </w:r>
    </w:p>
    <w:p>
      <w:pPr>
        <w:pStyle w:val="DefinedTerms"/>
      </w:pPr>
      <w:r>
        <w:t>building line</w:t>
      </w:r>
      <w:r>
        <w:tab/>
        <w:t>Sch. 8 cl. 8(2)</w:t>
      </w:r>
    </w:p>
    <w:p>
      <w:pPr>
        <w:pStyle w:val="DefinedTerms"/>
      </w:pPr>
      <w:r>
        <w:t>business arrangement</w:t>
      </w:r>
      <w:r>
        <w:tab/>
        <w:t>15(5)</w:t>
      </w:r>
    </w:p>
    <w:p>
      <w:pPr>
        <w:pStyle w:val="DefinedTerms"/>
      </w:pPr>
      <w:r>
        <w:t>chairperson</w:t>
      </w:r>
      <w:r>
        <w:tab/>
        <w:t>4(1)</w:t>
      </w:r>
    </w:p>
    <w:p>
      <w:pPr>
        <w:pStyle w:val="DefinedTerms"/>
      </w:pPr>
      <w:r>
        <w:t>chief executive officer</w:t>
      </w:r>
      <w:r>
        <w:tab/>
        <w:t>4(1)</w:t>
      </w:r>
    </w:p>
    <w:p>
      <w:pPr>
        <w:pStyle w:val="DefinedTerms"/>
      </w:pPr>
      <w:r>
        <w:t>commencement day</w:t>
      </w:r>
      <w:r>
        <w:tab/>
        <w:t>289(1), 290(1), 291(1), 292(1), 293(1)</w:t>
      </w:r>
    </w:p>
    <w:p>
      <w:pPr>
        <w:pStyle w:val="DefinedTerms"/>
      </w:pPr>
      <w:r>
        <w:t>Commission</w:t>
      </w:r>
      <w:r>
        <w:tab/>
        <w:t>4(1)</w:t>
      </w:r>
    </w:p>
    <w:p>
      <w:pPr>
        <w:pStyle w:val="DefinedTerms"/>
      </w:pPr>
      <w:r>
        <w:t>conflicts</w:t>
      </w:r>
      <w:r>
        <w:tab/>
        <w:t>280(1)</w:t>
      </w:r>
    </w:p>
    <w:p>
      <w:pPr>
        <w:pStyle w:val="DefinedTerms"/>
      </w:pPr>
      <w:r>
        <w:t>cost of providing a road</w:t>
      </w:r>
      <w:r>
        <w:tab/>
        <w:t>159(3)</w:t>
      </w:r>
    </w:p>
    <w:p>
      <w:pPr>
        <w:pStyle w:val="DefinedTerms"/>
      </w:pPr>
      <w:r>
        <w:t>COVID-19 emergency start date</w:t>
      </w:r>
      <w:r>
        <w:tab/>
        <w:t>287</w:t>
      </w:r>
    </w:p>
    <w:p>
      <w:pPr>
        <w:pStyle w:val="DefinedTerms"/>
      </w:pPr>
      <w:r>
        <w:t>CPI</w:t>
      </w:r>
      <w:r>
        <w:tab/>
        <w:t>159(2)</w:t>
      </w:r>
    </w:p>
    <w:p>
      <w:pPr>
        <w:pStyle w:val="DefinedTerms"/>
      </w:pPr>
      <w:r>
        <w:t>Crown land</w:t>
      </w:r>
      <w:r>
        <w:tab/>
        <w:t>4(1)</w:t>
      </w:r>
    </w:p>
    <w:p>
      <w:pPr>
        <w:pStyle w:val="DefinedTerms"/>
      </w:pPr>
      <w:r>
        <w:t>DAP</w:t>
      </w:r>
      <w:r>
        <w:tab/>
        <w:t>4(1)</w:t>
      </w:r>
    </w:p>
    <w:p>
      <w:pPr>
        <w:pStyle w:val="DefinedTerms"/>
      </w:pPr>
      <w:r>
        <w:t>decision-maker</w:t>
      </w:r>
      <w:r>
        <w:tab/>
        <w:t>280(5), 281(1), 282(1)</w:t>
      </w:r>
    </w:p>
    <w:p>
      <w:pPr>
        <w:pStyle w:val="DefinedTerms"/>
      </w:pPr>
      <w:r>
        <w:t>decision period</w:t>
      </w:r>
      <w:r>
        <w:tab/>
        <w:t>253(1)</w:t>
      </w:r>
    </w:p>
    <w:p>
      <w:pPr>
        <w:pStyle w:val="DefinedTerms"/>
      </w:pPr>
      <w:r>
        <w:t>deemed provision</w:t>
      </w:r>
      <w:r>
        <w:tab/>
        <w:t>257B(1)</w:t>
      </w:r>
    </w:p>
    <w:p>
      <w:pPr>
        <w:pStyle w:val="DefinedTerms"/>
      </w:pPr>
      <w:r>
        <w:t>deputy member</w:t>
      </w:r>
      <w:r>
        <w:tab/>
        <w:t>4(1)</w:t>
      </w:r>
    </w:p>
    <w:p>
      <w:pPr>
        <w:pStyle w:val="DefinedTerms"/>
      </w:pPr>
      <w:r>
        <w:t>designated person</w:t>
      </w:r>
      <w:r>
        <w:tab/>
        <w:t>226</w:t>
      </w:r>
    </w:p>
    <w:p>
      <w:pPr>
        <w:pStyle w:val="DefinedTerms"/>
      </w:pPr>
      <w:r>
        <w:t>development</w:t>
      </w:r>
      <w:r>
        <w:tab/>
        <w:t>4(1), 269(1)</w:t>
      </w:r>
    </w:p>
    <w:p>
      <w:pPr>
        <w:pStyle w:val="DefinedTerms"/>
      </w:pPr>
      <w:r>
        <w:t>development application</w:t>
      </w:r>
      <w:r>
        <w:tab/>
        <w:t>4(1), 269(1)</w:t>
      </w:r>
    </w:p>
    <w:p>
      <w:pPr>
        <w:pStyle w:val="DefinedTerms"/>
      </w:pPr>
      <w:r>
        <w:t>Development Assessment Panel</w:t>
      </w:r>
      <w:r>
        <w:tab/>
        <w:t>4(1)</w:t>
      </w:r>
    </w:p>
    <w:p>
      <w:pPr>
        <w:pStyle w:val="DefinedTerms"/>
      </w:pPr>
      <w:r>
        <w:t>district</w:t>
      </w:r>
      <w:r>
        <w:tab/>
        <w:t>4(1)</w:t>
      </w:r>
    </w:p>
    <w:p>
      <w:pPr>
        <w:pStyle w:val="DefinedTerms"/>
      </w:pPr>
      <w:r>
        <w:t>district planning committee</w:t>
      </w:r>
      <w:r>
        <w:tab/>
        <w:t>4</w:t>
      </w:r>
    </w:p>
    <w:p>
      <w:pPr>
        <w:pStyle w:val="DefinedTerms"/>
      </w:pPr>
      <w:r>
        <w:t>document</w:t>
      </w:r>
      <w:r>
        <w:tab/>
        <w:t>18(4)</w:t>
      </w:r>
    </w:p>
    <w:p>
      <w:pPr>
        <w:pStyle w:val="DefinedTerms"/>
      </w:pPr>
      <w:r>
        <w:t>electronic planning map</w:t>
      </w:r>
      <w:r>
        <w:tab/>
        <w:t>267B(2)</w:t>
      </w:r>
    </w:p>
    <w:p>
      <w:pPr>
        <w:pStyle w:val="DefinedTerms"/>
      </w:pPr>
      <w:r>
        <w:t>environmental condition</w:t>
      </w:r>
      <w:r>
        <w:tab/>
        <w:t>4(1), 217(1)</w:t>
      </w:r>
    </w:p>
    <w:p>
      <w:pPr>
        <w:pStyle w:val="DefinedTerms"/>
      </w:pPr>
      <w:r>
        <w:lastRenderedPageBreak/>
        <w:t>environmental harm</w:t>
      </w:r>
      <w:r>
        <w:tab/>
        <w:t>217(1)</w:t>
      </w:r>
    </w:p>
    <w:p>
      <w:pPr>
        <w:pStyle w:val="DefinedTerms"/>
      </w:pPr>
      <w:r>
        <w:t>EPA</w:t>
      </w:r>
      <w:r>
        <w:tab/>
        <w:t>4(1)</w:t>
      </w:r>
    </w:p>
    <w:p>
      <w:pPr>
        <w:pStyle w:val="DefinedTerms"/>
      </w:pPr>
      <w:r>
        <w:t>EP Act</w:t>
      </w:r>
      <w:r>
        <w:tab/>
        <w:t>4(1)</w:t>
      </w:r>
    </w:p>
    <w:p>
      <w:pPr>
        <w:pStyle w:val="DefinedTerms"/>
      </w:pPr>
      <w:r>
        <w:t>extended recovery period</w:t>
      </w:r>
      <w:r>
        <w:tab/>
        <w:t>269(1)</w:t>
      </w:r>
    </w:p>
    <w:p>
      <w:pPr>
        <w:pStyle w:val="DefinedTerms"/>
      </w:pPr>
      <w:r>
        <w:t>fee</w:t>
      </w:r>
      <w:r>
        <w:tab/>
        <w:t>261(1)</w:t>
      </w:r>
    </w:p>
    <w:p>
      <w:pPr>
        <w:pStyle w:val="DefinedTerms"/>
      </w:pPr>
      <w:r>
        <w:t>first owner</w:t>
      </w:r>
      <w:r>
        <w:tab/>
        <w:t>154(2)</w:t>
      </w:r>
    </w:p>
    <w:p>
      <w:pPr>
        <w:pStyle w:val="DefinedTerms"/>
      </w:pPr>
      <w:r>
        <w:t>former Act</w:t>
      </w:r>
      <w:r>
        <w:tab/>
        <w:t>290(1)</w:t>
      </w:r>
    </w:p>
    <w:p>
      <w:pPr>
        <w:pStyle w:val="DefinedTerms"/>
      </w:pPr>
      <w:r>
        <w:t>function</w:t>
      </w:r>
      <w:r>
        <w:tab/>
        <w:t>266(1)</w:t>
      </w:r>
    </w:p>
    <w:p>
      <w:pPr>
        <w:pStyle w:val="DefinedTerms"/>
      </w:pPr>
      <w:r>
        <w:t>Government agreement</w:t>
      </w:r>
      <w:r>
        <w:tab/>
        <w:t>269(1)</w:t>
      </w:r>
    </w:p>
    <w:p>
      <w:pPr>
        <w:pStyle w:val="DefinedTerms"/>
      </w:pPr>
      <w:r>
        <w:t>Heritage Council</w:t>
      </w:r>
      <w:r>
        <w:tab/>
        <w:t>4(1)</w:t>
      </w:r>
    </w:p>
    <w:p>
      <w:pPr>
        <w:pStyle w:val="DefinedTerms"/>
      </w:pPr>
      <w:r>
        <w:t>improvement plan</w:t>
      </w:r>
      <w:r>
        <w:tab/>
        <w:t>4(1)</w:t>
      </w:r>
    </w:p>
    <w:p>
      <w:pPr>
        <w:pStyle w:val="DefinedTerms"/>
      </w:pPr>
      <w:r>
        <w:t>improvement scheme</w:t>
      </w:r>
      <w:r>
        <w:tab/>
        <w:t>4(1)</w:t>
      </w:r>
    </w:p>
    <w:p>
      <w:pPr>
        <w:pStyle w:val="DefinedTerms"/>
      </w:pPr>
      <w:r>
        <w:t>improvement scheme area</w:t>
      </w:r>
      <w:r>
        <w:tab/>
        <w:t>4(1), 122A(2)</w:t>
      </w:r>
    </w:p>
    <w:p>
      <w:pPr>
        <w:pStyle w:val="DefinedTerms"/>
      </w:pPr>
      <w:r>
        <w:t>information</w:t>
      </w:r>
      <w:r>
        <w:tab/>
        <w:t>18(4)</w:t>
      </w:r>
    </w:p>
    <w:p>
      <w:pPr>
        <w:pStyle w:val="DefinedTerms"/>
      </w:pPr>
      <w:r>
        <w:t>instructions</w:t>
      </w:r>
      <w:r>
        <w:tab/>
        <w:t>39(1)</w:t>
      </w:r>
    </w:p>
    <w:p>
      <w:pPr>
        <w:pStyle w:val="DefinedTerms"/>
      </w:pPr>
      <w:r>
        <w:t>interim development order</w:t>
      </w:r>
      <w:r>
        <w:tab/>
        <w:t>4(1)</w:t>
      </w:r>
    </w:p>
    <w:p>
      <w:pPr>
        <w:pStyle w:val="DefinedTerms"/>
      </w:pPr>
      <w:r>
        <w:t>issue</w:t>
      </w:r>
      <w:r>
        <w:tab/>
        <w:t>261(1)</w:t>
      </w:r>
    </w:p>
    <w:p>
      <w:pPr>
        <w:pStyle w:val="DefinedTerms"/>
      </w:pPr>
      <w:r>
        <w:t>JDAP</w:t>
      </w:r>
      <w:r>
        <w:tab/>
        <w:t>4(1), 289(1)</w:t>
      </w:r>
    </w:p>
    <w:p>
      <w:pPr>
        <w:pStyle w:val="DefinedTerms"/>
      </w:pPr>
      <w:r>
        <w:t>judicial member</w:t>
      </w:r>
      <w:r>
        <w:tab/>
        <w:t>237</w:t>
      </w:r>
    </w:p>
    <w:p>
      <w:pPr>
        <w:pStyle w:val="DefinedTerms"/>
      </w:pPr>
      <w:r>
        <w:t>LAA Department</w:t>
      </w:r>
      <w:r>
        <w:tab/>
        <w:t>4(1)</w:t>
      </w:r>
    </w:p>
    <w:p>
      <w:pPr>
        <w:pStyle w:val="DefinedTerms"/>
      </w:pPr>
      <w:r>
        <w:t>land</w:t>
      </w:r>
      <w:r>
        <w:tab/>
        <w:t>4(1), 136(3)</w:t>
      </w:r>
    </w:p>
    <w:p>
      <w:pPr>
        <w:pStyle w:val="DefinedTerms"/>
      </w:pPr>
      <w:r>
        <w:t>later subdivider</w:t>
      </w:r>
      <w:r>
        <w:tab/>
        <w:t>159(1)</w:t>
      </w:r>
    </w:p>
    <w:p>
      <w:pPr>
        <w:pStyle w:val="DefinedTerms"/>
      </w:pPr>
      <w:r>
        <w:t>LDAP</w:t>
      </w:r>
      <w:r>
        <w:tab/>
        <w:t>4(1), 289(1)</w:t>
      </w:r>
    </w:p>
    <w:p>
      <w:pPr>
        <w:pStyle w:val="DefinedTerms"/>
      </w:pPr>
      <w:r>
        <w:t>legal instrument</w:t>
      </w:r>
      <w:r>
        <w:tab/>
        <w:t>269(1)</w:t>
      </w:r>
    </w:p>
    <w:p>
      <w:pPr>
        <w:pStyle w:val="DefinedTerms"/>
      </w:pPr>
      <w:r>
        <w:t>licence</w:t>
      </w:r>
      <w:r>
        <w:tab/>
        <w:t>261(1)</w:t>
      </w:r>
    </w:p>
    <w:p>
      <w:pPr>
        <w:pStyle w:val="DefinedTerms"/>
      </w:pPr>
      <w:r>
        <w:t>licence to use or occupy</w:t>
      </w:r>
      <w:r>
        <w:tab/>
        <w:t>136(3)</w:t>
      </w:r>
    </w:p>
    <w:p>
      <w:pPr>
        <w:pStyle w:val="DefinedTerms"/>
      </w:pPr>
      <w:r>
        <w:t>licensed valuer</w:t>
      </w:r>
      <w:r>
        <w:tab/>
        <w:t>155(1)</w:t>
      </w:r>
    </w:p>
    <w:p>
      <w:pPr>
        <w:pStyle w:val="DefinedTerms"/>
      </w:pPr>
      <w:r>
        <w:t>local interim development order</w:t>
      </w:r>
      <w:r>
        <w:tab/>
        <w:t>4(1)</w:t>
      </w:r>
    </w:p>
    <w:p>
      <w:pPr>
        <w:pStyle w:val="DefinedTerms"/>
      </w:pPr>
      <w:r>
        <w:t>local order area</w:t>
      </w:r>
      <w:r>
        <w:tab/>
        <w:t>4(1)</w:t>
      </w:r>
    </w:p>
    <w:p>
      <w:pPr>
        <w:pStyle w:val="DefinedTerms"/>
      </w:pPr>
      <w:r>
        <w:t>local planning scheme</w:t>
      </w:r>
      <w:r>
        <w:tab/>
        <w:t>4(1)</w:t>
      </w:r>
    </w:p>
    <w:p>
      <w:pPr>
        <w:pStyle w:val="DefinedTerms"/>
      </w:pPr>
      <w:r>
        <w:t>lot</w:t>
      </w:r>
      <w:r>
        <w:tab/>
        <w:t>4(1)</w:t>
      </w:r>
    </w:p>
    <w:p>
      <w:pPr>
        <w:pStyle w:val="DefinedTerms"/>
      </w:pPr>
      <w:r>
        <w:t>market value of land</w:t>
      </w:r>
      <w:r>
        <w:tab/>
        <w:t>155(1), 159(2)</w:t>
      </w:r>
    </w:p>
    <w:p>
      <w:pPr>
        <w:pStyle w:val="DefinedTerms"/>
      </w:pPr>
      <w:r>
        <w:t>meeting</w:t>
      </w:r>
      <w:r>
        <w:tab/>
        <w:t>266(1)</w:t>
      </w:r>
    </w:p>
    <w:p>
      <w:pPr>
        <w:pStyle w:val="DefinedTerms"/>
      </w:pPr>
      <w:r>
        <w:t>member</w:t>
      </w:r>
      <w:r>
        <w:tab/>
        <w:t>4(1), 266(1)</w:t>
      </w:r>
    </w:p>
    <w:p>
      <w:pPr>
        <w:pStyle w:val="DefinedTerms"/>
      </w:pPr>
      <w:r>
        <w:t>metropolitan improvement scheme</w:t>
      </w:r>
      <w:r>
        <w:tab/>
        <w:t>199(1A)</w:t>
      </w:r>
    </w:p>
    <w:p>
      <w:pPr>
        <w:pStyle w:val="DefinedTerms"/>
      </w:pPr>
      <w:r>
        <w:t>metropolitan region</w:t>
      </w:r>
      <w:r>
        <w:tab/>
        <w:t>4(1)</w:t>
      </w:r>
    </w:p>
    <w:p>
      <w:pPr>
        <w:pStyle w:val="DefinedTerms"/>
      </w:pPr>
      <w:r>
        <w:t>Metropolitan Region Scheme</w:t>
      </w:r>
      <w:r>
        <w:tab/>
        <w:t>4(1)</w:t>
      </w:r>
    </w:p>
    <w:p>
      <w:pPr>
        <w:pStyle w:val="DefinedTerms"/>
      </w:pPr>
      <w:r>
        <w:t>mining</w:t>
      </w:r>
      <w:r>
        <w:tab/>
        <w:t>269(1)</w:t>
      </w:r>
    </w:p>
    <w:p>
      <w:pPr>
        <w:pStyle w:val="DefinedTerms"/>
      </w:pPr>
      <w:r>
        <w:t>Minister</w:t>
      </w:r>
      <w:r>
        <w:tab/>
        <w:t>245(5)</w:t>
      </w:r>
    </w:p>
    <w:p>
      <w:pPr>
        <w:pStyle w:val="DefinedTerms"/>
      </w:pPr>
      <w:r>
        <w:t>Minister for Lands</w:t>
      </w:r>
      <w:r>
        <w:tab/>
        <w:t>267A(1)</w:t>
      </w:r>
    </w:p>
    <w:p>
      <w:pPr>
        <w:pStyle w:val="DefinedTerms"/>
      </w:pPr>
      <w:r>
        <w:t>Minister for the Environment</w:t>
      </w:r>
      <w:r>
        <w:tab/>
        <w:t>4(1)</w:t>
      </w:r>
    </w:p>
    <w:p>
      <w:pPr>
        <w:pStyle w:val="DefinedTerms"/>
      </w:pPr>
      <w:r>
        <w:t>minor modification</w:t>
      </w:r>
      <w:r>
        <w:tab/>
        <w:t>267B(1)</w:t>
      </w:r>
    </w:p>
    <w:p>
      <w:pPr>
        <w:pStyle w:val="DefinedTerms"/>
      </w:pPr>
      <w:r>
        <w:t>minor region planning scheme amendment</w:t>
      </w:r>
      <w:r>
        <w:tab/>
        <w:t>56A</w:t>
      </w:r>
    </w:p>
    <w:p>
      <w:pPr>
        <w:pStyle w:val="DefinedTerms"/>
      </w:pPr>
      <w:r>
        <w:t>model provision</w:t>
      </w:r>
      <w:r>
        <w:tab/>
        <w:t>257A(1)</w:t>
      </w:r>
    </w:p>
    <w:p>
      <w:pPr>
        <w:pStyle w:val="DefinedTerms"/>
      </w:pPr>
      <w:r>
        <w:lastRenderedPageBreak/>
        <w:t>MRI Account</w:t>
      </w:r>
      <w:r>
        <w:tab/>
        <w:t>4(1)</w:t>
      </w:r>
    </w:p>
    <w:p>
      <w:pPr>
        <w:pStyle w:val="DefinedTerms"/>
      </w:pPr>
      <w:r>
        <w:t>non-conforming use</w:t>
      </w:r>
      <w:r>
        <w:tab/>
        <w:t>172</w:t>
      </w:r>
    </w:p>
    <w:p>
      <w:pPr>
        <w:pStyle w:val="DefinedTerms"/>
      </w:pPr>
      <w:r>
        <w:t>normal decision-maker</w:t>
      </w:r>
      <w:r>
        <w:tab/>
        <w:t>269(1)</w:t>
      </w:r>
    </w:p>
    <w:p>
      <w:pPr>
        <w:pStyle w:val="DefinedTerms"/>
      </w:pPr>
      <w:r>
        <w:t>officer of the Commission</w:t>
      </w:r>
      <w:r>
        <w:tab/>
        <w:t>4(1)</w:t>
      </w:r>
    </w:p>
    <w:p>
      <w:pPr>
        <w:pStyle w:val="DefinedTerms"/>
      </w:pPr>
      <w:r>
        <w:t>original compensation</w:t>
      </w:r>
      <w:r>
        <w:tab/>
        <w:t>181</w:t>
      </w:r>
    </w:p>
    <w:p>
      <w:pPr>
        <w:pStyle w:val="DefinedTerms"/>
      </w:pPr>
      <w:r>
        <w:t>original map</w:t>
      </w:r>
      <w:r>
        <w:tab/>
        <w:t>267B(2)</w:t>
      </w:r>
    </w:p>
    <w:p>
      <w:pPr>
        <w:pStyle w:val="DefinedTerms"/>
      </w:pPr>
      <w:r>
        <w:t>original period</w:t>
      </w:r>
      <w:r>
        <w:tab/>
        <w:t>145A(7)</w:t>
      </w:r>
    </w:p>
    <w:p>
      <w:pPr>
        <w:pStyle w:val="DefinedTerms"/>
      </w:pPr>
      <w:r>
        <w:t>original subdivider</w:t>
      </w:r>
      <w:r>
        <w:tab/>
        <w:t>159(1)</w:t>
      </w:r>
    </w:p>
    <w:p>
      <w:pPr>
        <w:pStyle w:val="DefinedTerms"/>
      </w:pPr>
      <w:r>
        <w:t>other local government</w:t>
      </w:r>
      <w:r>
        <w:tab/>
        <w:t>210(1)</w:t>
      </w:r>
    </w:p>
    <w:p>
      <w:pPr>
        <w:pStyle w:val="DefinedTerms"/>
      </w:pPr>
      <w:r>
        <w:t>Part 17 regulations</w:t>
      </w:r>
      <w:r>
        <w:tab/>
        <w:t>269(1)</w:t>
      </w:r>
    </w:p>
    <w:p>
      <w:pPr>
        <w:pStyle w:val="DefinedTerms"/>
      </w:pPr>
      <w:r>
        <w:t>participate</w:t>
      </w:r>
      <w:r>
        <w:tab/>
        <w:t>15(5)</w:t>
      </w:r>
    </w:p>
    <w:p>
      <w:pPr>
        <w:pStyle w:val="DefinedTerms"/>
      </w:pPr>
      <w:r>
        <w:t>party</w:t>
      </w:r>
      <w:r>
        <w:tab/>
        <w:t>237</w:t>
      </w:r>
    </w:p>
    <w:p>
      <w:pPr>
        <w:pStyle w:val="DefinedTerms"/>
      </w:pPr>
      <w:r>
        <w:t>planning control area</w:t>
      </w:r>
      <w:r>
        <w:tab/>
        <w:t>4(1)</w:t>
      </w:r>
    </w:p>
    <w:p>
      <w:pPr>
        <w:pStyle w:val="DefinedTerms"/>
      </w:pPr>
      <w:r>
        <w:t>planning instrument</w:t>
      </w:r>
      <w:r>
        <w:tab/>
        <w:t>171A(1), 267B(1)</w:t>
      </w:r>
    </w:p>
    <w:p>
      <w:pPr>
        <w:pStyle w:val="DefinedTerms"/>
      </w:pPr>
      <w:r>
        <w:t>planning markings</w:t>
      </w:r>
      <w:r>
        <w:tab/>
        <w:t>267B(1)</w:t>
      </w:r>
    </w:p>
    <w:p>
      <w:pPr>
        <w:pStyle w:val="DefinedTerms"/>
      </w:pPr>
      <w:r>
        <w:t>planning matter</w:t>
      </w:r>
      <w:r>
        <w:tab/>
        <w:t>261(1)</w:t>
      </w:r>
    </w:p>
    <w:p>
      <w:pPr>
        <w:pStyle w:val="DefinedTerms"/>
      </w:pPr>
      <w:r>
        <w:t>planning scheme</w:t>
      </w:r>
      <w:r>
        <w:tab/>
        <w:t>4(1), 236(1)</w:t>
      </w:r>
    </w:p>
    <w:p>
      <w:pPr>
        <w:pStyle w:val="DefinedTerms"/>
      </w:pPr>
      <w:r>
        <w:t>pollution</w:t>
      </w:r>
      <w:r>
        <w:tab/>
        <w:t>217(1)</w:t>
      </w:r>
    </w:p>
    <w:p>
      <w:pPr>
        <w:pStyle w:val="DefinedTerms"/>
      </w:pPr>
      <w:r>
        <w:t>preparation and approval process</w:t>
      </w:r>
      <w:r>
        <w:tab/>
        <w:t>290(1)</w:t>
      </w:r>
    </w:p>
    <w:p>
      <w:pPr>
        <w:pStyle w:val="DefinedTerms"/>
      </w:pPr>
      <w:r>
        <w:t>prescribed development application</w:t>
      </w:r>
      <w:r>
        <w:tab/>
        <w:t>171A(1)</w:t>
      </w:r>
    </w:p>
    <w:p>
      <w:pPr>
        <w:pStyle w:val="DefinedTerms"/>
      </w:pPr>
      <w:r>
        <w:t>prescribed offence</w:t>
      </w:r>
      <w:r>
        <w:tab/>
        <w:t>226</w:t>
      </w:r>
    </w:p>
    <w:p>
      <w:pPr>
        <w:pStyle w:val="DefinedTerms"/>
      </w:pPr>
      <w:r>
        <w:t>President</w:t>
      </w:r>
      <w:r>
        <w:tab/>
        <w:t>237</w:t>
      </w:r>
    </w:p>
    <w:p>
      <w:pPr>
        <w:pStyle w:val="DefinedTerms"/>
      </w:pPr>
      <w:r>
        <w:t>proposed amendment</w:t>
      </w:r>
      <w:r>
        <w:tab/>
        <w:t>45(1)</w:t>
      </w:r>
    </w:p>
    <w:p>
      <w:pPr>
        <w:pStyle w:val="DefinedTerms"/>
      </w:pPr>
      <w:r>
        <w:t>public authority</w:t>
      </w:r>
      <w:r>
        <w:tab/>
        <w:t>4(1)</w:t>
      </w:r>
    </w:p>
    <w:p>
      <w:pPr>
        <w:pStyle w:val="DefinedTerms"/>
      </w:pPr>
      <w:r>
        <w:t>public purpose</w:t>
      </w:r>
      <w:r>
        <w:tab/>
        <w:t>172</w:t>
      </w:r>
    </w:p>
    <w:p>
      <w:pPr>
        <w:pStyle w:val="DefinedTerms"/>
      </w:pPr>
      <w:r>
        <w:t>public work</w:t>
      </w:r>
      <w:r>
        <w:tab/>
        <w:t>4(1)</w:t>
      </w:r>
    </w:p>
    <w:p>
      <w:pPr>
        <w:pStyle w:val="DefinedTerms"/>
      </w:pPr>
      <w:r>
        <w:t>R-Codes</w:t>
      </w:r>
      <w:r>
        <w:tab/>
        <w:t>291(1)</w:t>
      </w:r>
    </w:p>
    <w:p>
      <w:pPr>
        <w:pStyle w:val="DefinedTerms"/>
      </w:pPr>
      <w:r>
        <w:t>recovery period</w:t>
      </w:r>
      <w:r>
        <w:tab/>
        <w:t>269(1)</w:t>
      </w:r>
    </w:p>
    <w:p>
      <w:pPr>
        <w:pStyle w:val="DefinedTerms"/>
      </w:pPr>
      <w:r>
        <w:t>refund</w:t>
      </w:r>
      <w:r>
        <w:tab/>
        <w:t>181(1)</w:t>
      </w:r>
    </w:p>
    <w:p>
      <w:pPr>
        <w:pStyle w:val="DefinedTerms"/>
      </w:pPr>
      <w:r>
        <w:t>region</w:t>
      </w:r>
      <w:r>
        <w:tab/>
        <w:t>4(1)</w:t>
      </w:r>
    </w:p>
    <w:p>
      <w:pPr>
        <w:pStyle w:val="DefinedTerms"/>
      </w:pPr>
      <w:r>
        <w:t>regional interim development order</w:t>
      </w:r>
      <w:r>
        <w:tab/>
        <w:t>4(1)</w:t>
      </w:r>
    </w:p>
    <w:p>
      <w:pPr>
        <w:pStyle w:val="DefinedTerms"/>
      </w:pPr>
      <w:r>
        <w:t>regional matter</w:t>
      </w:r>
      <w:r>
        <w:tab/>
        <w:t>11(1)</w:t>
      </w:r>
    </w:p>
    <w:p>
      <w:pPr>
        <w:pStyle w:val="DefinedTerms"/>
      </w:pPr>
      <w:r>
        <w:t>Regional Minister</w:t>
      </w:r>
      <w:r>
        <w:tab/>
        <w:t>4(1)</w:t>
      </w:r>
    </w:p>
    <w:p>
      <w:pPr>
        <w:pStyle w:val="DefinedTerms"/>
      </w:pPr>
      <w:r>
        <w:t>regional order area</w:t>
      </w:r>
      <w:r>
        <w:tab/>
        <w:t>4(1)</w:t>
      </w:r>
    </w:p>
    <w:p>
      <w:pPr>
        <w:pStyle w:val="DefinedTerms"/>
      </w:pPr>
      <w:r>
        <w:t>region planning scheme</w:t>
      </w:r>
      <w:r>
        <w:tab/>
        <w:t>4(1)</w:t>
      </w:r>
    </w:p>
    <w:p>
      <w:pPr>
        <w:pStyle w:val="DefinedTerms"/>
      </w:pPr>
      <w:r>
        <w:t>register</w:t>
      </w:r>
      <w:r>
        <w:tab/>
        <w:t>181(17), 197(6)</w:t>
      </w:r>
    </w:p>
    <w:p>
      <w:pPr>
        <w:pStyle w:val="DefinedTerms"/>
      </w:pPr>
      <w:r>
        <w:t>Registrar</w:t>
      </w:r>
      <w:r>
        <w:tab/>
        <w:t>181(17), 197(6)</w:t>
      </w:r>
    </w:p>
    <w:p>
      <w:pPr>
        <w:pStyle w:val="DefinedTerms"/>
      </w:pPr>
      <w:r>
        <w:t>relevant land</w:t>
      </w:r>
      <w:r>
        <w:tab/>
        <w:t>190(2), 191(1A)</w:t>
      </w:r>
    </w:p>
    <w:p>
      <w:pPr>
        <w:pStyle w:val="DefinedTerms"/>
      </w:pPr>
      <w:r>
        <w:t>removed land</w:t>
      </w:r>
      <w:r>
        <w:tab/>
        <w:t>122E(1), 122G(1)</w:t>
      </w:r>
    </w:p>
    <w:p>
      <w:pPr>
        <w:pStyle w:val="DefinedTerms"/>
      </w:pPr>
      <w:r>
        <w:t>repeal day</w:t>
      </w:r>
      <w:r>
        <w:tab/>
        <w:t>122B(7)</w:t>
      </w:r>
    </w:p>
    <w:p>
      <w:pPr>
        <w:pStyle w:val="DefinedTerms"/>
      </w:pPr>
      <w:r>
        <w:t>responsible authority</w:t>
      </w:r>
      <w:r>
        <w:tab/>
        <w:t>4(1), 170(1A)</w:t>
      </w:r>
    </w:p>
    <w:p>
      <w:pPr>
        <w:pStyle w:val="DefinedTerms"/>
      </w:pPr>
      <w:r>
        <w:t>road</w:t>
      </w:r>
      <w:r>
        <w:tab/>
        <w:t>4(1), 135(3), 159(2), Sch. 8 cl. 7(2), cl. 8(2)</w:t>
      </w:r>
    </w:p>
    <w:p>
      <w:pPr>
        <w:pStyle w:val="DefinedTerms"/>
      </w:pPr>
      <w:r>
        <w:t>scheme start day</w:t>
      </w:r>
      <w:r>
        <w:tab/>
        <w:t>138A(1)</w:t>
      </w:r>
    </w:p>
    <w:p>
      <w:pPr>
        <w:pStyle w:val="DefinedTerms"/>
      </w:pPr>
      <w:r>
        <w:t>second owner</w:t>
      </w:r>
      <w:r>
        <w:tab/>
        <w:t>154(2)</w:t>
      </w:r>
    </w:p>
    <w:p>
      <w:pPr>
        <w:pStyle w:val="DefinedTerms"/>
      </w:pPr>
      <w:r>
        <w:lastRenderedPageBreak/>
        <w:t>significant development</w:t>
      </w:r>
      <w:r>
        <w:tab/>
        <w:t>269(1)</w:t>
      </w:r>
    </w:p>
    <w:p>
      <w:pPr>
        <w:pStyle w:val="DefinedTerms"/>
      </w:pPr>
      <w:r>
        <w:t>spatial data</w:t>
      </w:r>
      <w:r>
        <w:tab/>
        <w:t>267B(1)</w:t>
      </w:r>
    </w:p>
    <w:p>
      <w:pPr>
        <w:pStyle w:val="DefinedTerms"/>
      </w:pPr>
      <w:r>
        <w:t>specified</w:t>
      </w:r>
      <w:r>
        <w:tab/>
        <w:t>99(3), 102(3), 294(1)</w:t>
      </w:r>
    </w:p>
    <w:p>
      <w:pPr>
        <w:pStyle w:val="DefinedTerms"/>
      </w:pPr>
      <w:r>
        <w:t>start day</w:t>
      </w:r>
      <w:r>
        <w:tab/>
        <w:t>122D(1)</w:t>
      </w:r>
    </w:p>
    <w:p>
      <w:pPr>
        <w:pStyle w:val="DefinedTerms"/>
      </w:pPr>
      <w:r>
        <w:t>State planning policy</w:t>
      </w:r>
      <w:r>
        <w:tab/>
        <w:t>4(1)</w:t>
      </w:r>
    </w:p>
    <w:p>
      <w:pPr>
        <w:pStyle w:val="DefinedTerms"/>
      </w:pPr>
      <w:r>
        <w:t>subdivision</w:t>
      </w:r>
      <w:r>
        <w:tab/>
        <w:t>4(1)</w:t>
      </w:r>
    </w:p>
    <w:p>
      <w:pPr>
        <w:pStyle w:val="DefinedTerms"/>
      </w:pPr>
      <w:r>
        <w:t>substantially commenced</w:t>
      </w:r>
      <w:r>
        <w:tab/>
        <w:t>269(1)</w:t>
      </w:r>
    </w:p>
    <w:p>
      <w:pPr>
        <w:pStyle w:val="DefinedTerms"/>
      </w:pPr>
      <w:r>
        <w:t>Swan Valley</w:t>
      </w:r>
      <w:r>
        <w:tab/>
        <w:t>4(1)</w:t>
      </w:r>
    </w:p>
    <w:p>
      <w:pPr>
        <w:pStyle w:val="DefinedTerms"/>
      </w:pPr>
      <w:r>
        <w:t>Swan Valley approval</w:t>
      </w:r>
      <w:r>
        <w:tab/>
        <w:t>138A(2)</w:t>
      </w:r>
    </w:p>
    <w:p>
      <w:pPr>
        <w:pStyle w:val="DefinedTerms"/>
      </w:pPr>
      <w:r>
        <w:t>Swan Valley Planning Scheme</w:t>
      </w:r>
      <w:r>
        <w:tab/>
        <w:t>4(1)</w:t>
      </w:r>
    </w:p>
    <w:p>
      <w:pPr>
        <w:pStyle w:val="DefinedTerms"/>
      </w:pPr>
      <w:r>
        <w:t>title application</w:t>
      </w:r>
      <w:r>
        <w:tab/>
        <w:t>146(2)</w:t>
      </w:r>
    </w:p>
    <w:p>
      <w:pPr>
        <w:pStyle w:val="DefinedTerms"/>
      </w:pPr>
      <w:r>
        <w:t>transitional matter</w:t>
      </w:r>
      <w:r>
        <w:tab/>
        <w:t>294(1)</w:t>
      </w:r>
    </w:p>
    <w:p>
      <w:pPr>
        <w:pStyle w:val="DefinedTerms"/>
      </w:pPr>
      <w:r>
        <w:t>Tribunal</w:t>
      </w:r>
      <w:r>
        <w:tab/>
        <w:t>283(2)</w:t>
      </w:r>
    </w:p>
    <w:p>
      <w:pPr>
        <w:pStyle w:val="DefinedTerms"/>
      </w:pPr>
      <w:r>
        <w:t>Tribunal member</w:t>
      </w:r>
      <w:r>
        <w:tab/>
        <w:t>237</w:t>
      </w:r>
    </w:p>
    <w:p>
      <w:pPr>
        <w:pStyle w:val="DefinedTerms"/>
      </w:pPr>
      <w:r>
        <w:t>utility services</w:t>
      </w:r>
      <w:r>
        <w:tab/>
        <w:t>4(1)</w:t>
      </w:r>
    </w:p>
    <w:p>
      <w:pPr>
        <w:pStyle w:val="DefinedTerms"/>
      </w:pPr>
      <w:r>
        <w:t>vehicle offence</w:t>
      </w:r>
      <w:r>
        <w:tab/>
        <w:t>225(1)</w:t>
      </w:r>
    </w:p>
    <w:p>
      <w:pPr>
        <w:pStyle w:val="DefinedTerms"/>
      </w:pPr>
      <w:r>
        <w:t>WALGA</w:t>
      </w:r>
      <w:r>
        <w:tab/>
        <w:t>4(1)</w:t>
      </w:r>
    </w:p>
    <w:p>
      <w:pPr>
        <w:pStyle w:val="DefinedTerms"/>
      </w:pPr>
      <w:r>
        <w:t>warehouse</w:t>
      </w:r>
      <w:r>
        <w:tab/>
        <w:t>268(1)</w:t>
      </w:r>
    </w:p>
    <w:p/>
    <w:p>
      <w:pPr>
        <w:sectPr>
          <w:headerReference w:type="even" r:id="rId34"/>
          <w:headerReference w:type="default" r:id="rId35"/>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2B933166"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A5636B0" w14:textId="62F08098" w:rsidR="00C767B6" w:rsidRDefault="00C767B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587D0063" w14:textId="77777777" w:rsidR="00C767B6" w:rsidRDefault="00C767B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E84B8F2" w14:textId="3FDA4553" w:rsidR="00C767B6" w:rsidRDefault="00C767B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54B7F3BB" w14:textId="77777777" w:rsidR="00C767B6" w:rsidRDefault="00C767B6">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Aug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04-u0-01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04-u0-01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04-u0-01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Aug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04-u0-01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04-u0-01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Aug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04-u0-01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"Part 5Part 16Part 1</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Subdivision 2</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Determinations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separate"/>
          </w:r>
          <w:r>
            <w:t>Determinations</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Subdivision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16" w:name="Schedule"/>
    <w:bookmarkEnd w:id="41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Committees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Committees</w: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2</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Planning control areas: purposes for which land may be required</w: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Planning control areas: purposes for which land may be required</w: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557" w:type="dxa"/>
        </w:tcPr>
        <w:p>
          <w:pPr>
            <w:pStyle w:val="Header"/>
            <w:spacing w:before="40"/>
            <w:ind w:right="17"/>
            <w:jc w:val="right"/>
          </w:pP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5</w:instrText>
          </w:r>
          <w:r>
            <w:rPr>
              <w:b/>
            </w:rPr>
            <w:fldChar w:fldCharType="end"/>
          </w:r>
          <w:r>
            <w:rPr>
              <w:b/>
            </w:rPr>
            <w:instrText xml:space="preserve"> </w:instrText>
          </w:r>
          <w:r>
            <w:rPr>
              <w:b/>
            </w:rPr>
            <w:fldChar w:fldCharType="separate"/>
          </w:r>
          <w:r>
            <w:rPr>
              <w:b/>
            </w:rPr>
            <w:t>5</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73" w:name="Compilation"/>
    <w:bookmarkEnd w:id="473"/>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Planning and Development Act 2005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475" w:name="DefinedTerms"/>
    <w:bookmarkEnd w:id="475"/>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76" w:name="Coversheet"/>
    <w:bookmarkEnd w:id="47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5DEB91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244CF8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2E60606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7142E5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1E8ADEE"/>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C8ECAD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1B8FD4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FAE41E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9646D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A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D30B35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essica Caddy">
    <w15:presenceInfo w15:providerId="None" w15:userId="Jessica Caddy"/>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41665"/>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34138"/>
    <w:docVar w:name="WAFER_20140109165124" w:val="RemoveTocBookmarks,RemoveUnusedBookmarks,RemoveLanguageTags,UsedStyles,ResetPageSize,UpdateArrangement"/>
    <w:docVar w:name="WAFER_20140109165124_GUID" w:val="15f0cd58-cdde-4649-912d-15eb40d6f47d"/>
    <w:docVar w:name="WAFER_20140306140103" w:val="RemoveTocBookmarks,RemoveUnusedBookmarks,RemoveLanguageTags,UsedStyles,ResetPageSize"/>
    <w:docVar w:name="WAFER_20140306140103_GUID" w:val="06cda493-b782-4dfc-815e-43d3061e38f0"/>
    <w:docVar w:name="WAFER_20140306140836" w:val="RemoveTocBookmarks,RunningHeaders"/>
    <w:docVar w:name="WAFER_20140306140836_GUID" w:val="74306be9-4d68-4f34-b3d2-65df0028a371"/>
    <w:docVar w:name="WAFER_20150416145214" w:val="ResetPageSize,UpdateArrangement,UpdateNTable"/>
    <w:docVar w:name="WAFER_20150416145214_GUID" w:val="782404cc-1dbb-4ee6-a0e3-8a009497b0f3"/>
    <w:docVar w:name="WAFER_20151104142826" w:val="UpdateStyles,UsedStyles"/>
    <w:docVar w:name="WAFER_20151104142826_GUID" w:val="86716f10-2598-42c3-a9ff-0c38551bfc9c"/>
    <w:docVar w:name="WAFER_20151109150823" w:val="UsedStyles"/>
    <w:docVar w:name="WAFER_20151109150823_GUID" w:val="4f15b87e-02d6-4098-85b1-eb8acd3b412d"/>
    <w:docVar w:name="WAFER_20151109154056" w:val="UpdateStyles,UsedStyles"/>
    <w:docVar w:name="WAFER_20151109154056_GUID" w:val="63f2cbd7-697c-44ca-9dc9-6e6d085b1e2b"/>
    <w:docVar w:name="WAFER_20160301134302" w:val="RemoveTocBookmarks,RemoveUnusedBookmarks,RemoveLanguageTags,UsedStyles,RemoveTrackChanges"/>
    <w:docVar w:name="WAFER_20160301134302_GUID" w:val="e91a4e67-b570-4dd2-89b6-b19ccfe67478"/>
    <w:docVar w:name="WAFER_20160330113039" w:val="RemoveUnusedBookmarks,RemoveTrackChanges"/>
    <w:docVar w:name="WAFER_20160330113039_GUID" w:val="f9984efe-c5f1-41cd-981a-8877cf5fa0cf"/>
    <w:docVar w:name="WAFER_20160330113348" w:val="RemoveTocBookmarks,RemoveUnusedBookmarks,RemoveLanguageTags,RemoveBadVanishTags"/>
    <w:docVar w:name="WAFER_20160330113348_GUID" w:val="c9dc341b-a0fa-41a4-9425-68286ac6e3ab"/>
    <w:docVar w:name="WAFER_20180920150628" w:val="RemoveTocBookmarks,RemoveUnusedBookmarks,RemoveLanguageTags,UsedStyles,ResetPageSize"/>
    <w:docVar w:name="WAFER_20180920150628_GUID" w:val="a35411f0-73a6-47b3-9e02-0d6e73337cc5"/>
    <w:docVar w:name="WAFER_20181121094724" w:val="RemoveTocBookmarks,RemoveUnusedBookmarks,RemoveLanguageTags,UsedStyles,ResetPageSize"/>
    <w:docVar w:name="WAFER_20181121094724_GUID" w:val="3b2b60bb-32b5-4c1c-8318-e97a9f8e2139"/>
    <w:docVar w:name="WAFER_20190625155738" w:val="RemoveTocBookmarks,RemoveUnusedBookmarks,RemoveLanguageTags,ResetPageSize,RunningHeaders,UpdateStyles,UsedStyles"/>
    <w:docVar w:name="WAFER_20190625155738_GUID" w:val="5687c5bb-e829-4bd5-b304-2a28e23eb346"/>
    <w:docVar w:name="WAFER_20190719105036" w:val="RemoveTocBookmarks,RemoveUnusedBookmarks,RemoveLanguageTags,ResetPageSize,RunningHeaders,UpdateStyles,UsedStyles"/>
    <w:docVar w:name="WAFER_20190719105036_GUID" w:val="09373936-d282-46c4-81e1-b3099e8c9754"/>
    <w:docVar w:name="WAFER_2020021313443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432_GUID" w:val="e6590b15-0728-4cdf-9d8e-b252e9cc780e"/>
    <w:docVar w:name="WAFER_20200220102048"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20102048_GUID" w:val="a367a77b-e449-4409-8eb0-a6d49b01a451"/>
    <w:docVar w:name="WAFER_202007021639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02163954_GUID" w:val="71b7b4cd-42a2-401a-8764-4c7ed8722a71"/>
    <w:docVar w:name="WAFER_202009101111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0111109_GUID" w:val="b83d2bac-9b88-4ed5-a32a-99a6700f0b2c"/>
    <w:docVar w:name="WAFER_20201209153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53959_GUID" w:val="09479a96-a2c2-4824-83ae-d2912a9e3047"/>
    <w:docVar w:name="WAFER_202106151216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21615_GUID" w:val="cc8feb00-dae6-4a4d-933c-f2ad9c51a79d"/>
    <w:docVar w:name="WAFER_202106231316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31639_GUID" w:val="15e24027-847d-48d4-84cf-3f14d81305f4"/>
    <w:docVar w:name="WAFER_202107151058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05822_GUID" w:val="e9c8926c-2764-4153-86a5-6015d7a3cfa2"/>
    <w:docVar w:name="WAFER_202107271007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00711_GUID" w:val="168b0b78-7295-4f0b-8441-b6b3baf7afb7"/>
    <w:docVar w:name="WAFER_202112211122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2217_GUID" w:val="a3c1a7a2-b7b0-4a57-adc2-c3102ca19788"/>
    <w:docVar w:name="WAFER_202204110932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093221_GUID" w:val="f0f82db6-4f45-40aa-8687-5930b3caffbc"/>
    <w:docVar w:name="WAFER_202206211638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1163823_GUID" w:val="fa1ff6cd-758a-4345-bfa3-1c8c039bcbbc"/>
    <w:docVar w:name="WAFER_202303241249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24124949_GUID" w:val="17a12993-cee3-4bf0-a715-a9c1f0ee89b5"/>
    <w:docVar w:name="WAFER_202305151041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4103_GUID" w:val="abe64ba3-d618-49a9-a8fa-82694eca1c4f"/>
    <w:docVar w:name="WAFER_202306271129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2931_GUID" w:val="92c9bbdf-f0d9-4214-a85f-2d6fcd7aa97d"/>
    <w:docVar w:name="WAFER_202307101108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10110849_GUID" w:val="10cb850b-8345-4165-89ac-7e240b7eb60b"/>
    <w:docVar w:name="WAFER_202307281129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728112916_GUID" w:val="090efaa5-b16c-4681-8875-fbd569b6095b"/>
    <w:docVar w:name="WAFER_202312271341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34138_GUID" w:val="d9b709c0-4b01-4908-8921-a27e4cb6846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1665"/>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1933275">
      <w:bodyDiv w:val="1"/>
      <w:marLeft w:val="0"/>
      <w:marRight w:val="0"/>
      <w:marTop w:val="0"/>
      <w:marBottom w:val="0"/>
      <w:divBdr>
        <w:top w:val="none" w:sz="0" w:space="0" w:color="auto"/>
        <w:left w:val="none" w:sz="0" w:space="0" w:color="auto"/>
        <w:bottom w:val="none" w:sz="0" w:space="0" w:color="auto"/>
        <w:right w:val="none" w:sz="0" w:space="0" w:color="auto"/>
      </w:divBdr>
    </w:div>
    <w:div w:id="307167765">
      <w:bodyDiv w:val="1"/>
      <w:marLeft w:val="0"/>
      <w:marRight w:val="0"/>
      <w:marTop w:val="0"/>
      <w:marBottom w:val="0"/>
      <w:divBdr>
        <w:top w:val="none" w:sz="0" w:space="0" w:color="auto"/>
        <w:left w:val="none" w:sz="0" w:space="0" w:color="auto"/>
        <w:bottom w:val="none" w:sz="0" w:space="0" w:color="auto"/>
        <w:right w:val="none" w:sz="0" w:space="0" w:color="auto"/>
      </w:divBdr>
    </w:div>
    <w:div w:id="359205629">
      <w:bodyDiv w:val="1"/>
      <w:marLeft w:val="0"/>
      <w:marRight w:val="0"/>
      <w:marTop w:val="0"/>
      <w:marBottom w:val="0"/>
      <w:divBdr>
        <w:top w:val="none" w:sz="0" w:space="0" w:color="auto"/>
        <w:left w:val="none" w:sz="0" w:space="0" w:color="auto"/>
        <w:bottom w:val="none" w:sz="0" w:space="0" w:color="auto"/>
        <w:right w:val="none" w:sz="0" w:space="0" w:color="auto"/>
      </w:divBdr>
    </w:div>
    <w:div w:id="513345162">
      <w:bodyDiv w:val="1"/>
      <w:marLeft w:val="0"/>
      <w:marRight w:val="0"/>
      <w:marTop w:val="0"/>
      <w:marBottom w:val="0"/>
      <w:divBdr>
        <w:top w:val="none" w:sz="0" w:space="0" w:color="auto"/>
        <w:left w:val="none" w:sz="0" w:space="0" w:color="auto"/>
        <w:bottom w:val="none" w:sz="0" w:space="0" w:color="auto"/>
        <w:right w:val="none" w:sz="0" w:space="0" w:color="auto"/>
      </w:divBdr>
    </w:div>
    <w:div w:id="517348764">
      <w:bodyDiv w:val="1"/>
      <w:marLeft w:val="0"/>
      <w:marRight w:val="0"/>
      <w:marTop w:val="0"/>
      <w:marBottom w:val="0"/>
      <w:divBdr>
        <w:top w:val="none" w:sz="0" w:space="0" w:color="auto"/>
        <w:left w:val="none" w:sz="0" w:space="0" w:color="auto"/>
        <w:bottom w:val="none" w:sz="0" w:space="0" w:color="auto"/>
        <w:right w:val="none" w:sz="0" w:space="0" w:color="auto"/>
      </w:divBdr>
    </w:div>
    <w:div w:id="591089027">
      <w:bodyDiv w:val="1"/>
      <w:marLeft w:val="0"/>
      <w:marRight w:val="0"/>
      <w:marTop w:val="0"/>
      <w:marBottom w:val="0"/>
      <w:divBdr>
        <w:top w:val="none" w:sz="0" w:space="0" w:color="auto"/>
        <w:left w:val="none" w:sz="0" w:space="0" w:color="auto"/>
        <w:bottom w:val="none" w:sz="0" w:space="0" w:color="auto"/>
        <w:right w:val="none" w:sz="0" w:space="0" w:color="auto"/>
      </w:divBdr>
    </w:div>
    <w:div w:id="1001785099">
      <w:bodyDiv w:val="1"/>
      <w:marLeft w:val="0"/>
      <w:marRight w:val="0"/>
      <w:marTop w:val="0"/>
      <w:marBottom w:val="0"/>
      <w:divBdr>
        <w:top w:val="none" w:sz="0" w:space="0" w:color="auto"/>
        <w:left w:val="none" w:sz="0" w:space="0" w:color="auto"/>
        <w:bottom w:val="none" w:sz="0" w:space="0" w:color="auto"/>
        <w:right w:val="none" w:sz="0" w:space="0" w:color="auto"/>
      </w:divBdr>
    </w:div>
    <w:div w:id="1022783332">
      <w:bodyDiv w:val="1"/>
      <w:marLeft w:val="0"/>
      <w:marRight w:val="0"/>
      <w:marTop w:val="0"/>
      <w:marBottom w:val="0"/>
      <w:divBdr>
        <w:top w:val="none" w:sz="0" w:space="0" w:color="auto"/>
        <w:left w:val="none" w:sz="0" w:space="0" w:color="auto"/>
        <w:bottom w:val="none" w:sz="0" w:space="0" w:color="auto"/>
        <w:right w:val="none" w:sz="0" w:space="0" w:color="auto"/>
      </w:divBdr>
    </w:div>
    <w:div w:id="1184635754">
      <w:bodyDiv w:val="1"/>
      <w:marLeft w:val="0"/>
      <w:marRight w:val="0"/>
      <w:marTop w:val="0"/>
      <w:marBottom w:val="0"/>
      <w:divBdr>
        <w:top w:val="none" w:sz="0" w:space="0" w:color="auto"/>
        <w:left w:val="none" w:sz="0" w:space="0" w:color="auto"/>
        <w:bottom w:val="none" w:sz="0" w:space="0" w:color="auto"/>
        <w:right w:val="none" w:sz="0" w:space="0" w:color="auto"/>
      </w:divBdr>
    </w:div>
    <w:div w:id="1404837920">
      <w:bodyDiv w:val="1"/>
      <w:marLeft w:val="0"/>
      <w:marRight w:val="0"/>
      <w:marTop w:val="0"/>
      <w:marBottom w:val="0"/>
      <w:divBdr>
        <w:top w:val="none" w:sz="0" w:space="0" w:color="auto"/>
        <w:left w:val="none" w:sz="0" w:space="0" w:color="auto"/>
        <w:bottom w:val="none" w:sz="0" w:space="0" w:color="auto"/>
        <w:right w:val="none" w:sz="0" w:space="0" w:color="auto"/>
      </w:divBdr>
    </w:div>
    <w:div w:id="1464736008">
      <w:bodyDiv w:val="1"/>
      <w:marLeft w:val="0"/>
      <w:marRight w:val="0"/>
      <w:marTop w:val="0"/>
      <w:marBottom w:val="0"/>
      <w:divBdr>
        <w:top w:val="none" w:sz="0" w:space="0" w:color="auto"/>
        <w:left w:val="none" w:sz="0" w:space="0" w:color="auto"/>
        <w:bottom w:val="none" w:sz="0" w:space="0" w:color="auto"/>
        <w:right w:val="none" w:sz="0" w:space="0" w:color="auto"/>
      </w:divBdr>
    </w:div>
    <w:div w:id="1952737348">
      <w:bodyDiv w:val="1"/>
      <w:marLeft w:val="0"/>
      <w:marRight w:val="0"/>
      <w:marTop w:val="0"/>
      <w:marBottom w:val="0"/>
      <w:divBdr>
        <w:top w:val="none" w:sz="0" w:space="0" w:color="auto"/>
        <w:left w:val="none" w:sz="0" w:space="0" w:color="auto"/>
        <w:bottom w:val="none" w:sz="0" w:space="0" w:color="auto"/>
        <w:right w:val="none" w:sz="0" w:space="0" w:color="auto"/>
      </w:divBdr>
    </w:div>
    <w:div w:id="2003847646">
      <w:bodyDiv w:val="1"/>
      <w:marLeft w:val="0"/>
      <w:marRight w:val="0"/>
      <w:marTop w:val="0"/>
      <w:marBottom w:val="0"/>
      <w:divBdr>
        <w:top w:val="none" w:sz="0" w:space="0" w:color="auto"/>
        <w:left w:val="none" w:sz="0" w:space="0" w:color="auto"/>
        <w:bottom w:val="none" w:sz="0" w:space="0" w:color="auto"/>
        <w:right w:val="none" w:sz="0" w:space="0" w:color="auto"/>
      </w:divBdr>
    </w:div>
    <w:div w:id="2136092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CB71CB-361A-4D7F-8D96-2D9C94CED4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81563</Words>
  <Characters>400476</Characters>
  <Application>Microsoft Office Word</Application>
  <DocSecurity>0</DocSecurity>
  <Lines>10538</Lines>
  <Paragraphs>5477</Paragraphs>
  <ScaleCrop>false</ScaleCrop>
  <HeadingPairs>
    <vt:vector size="2" baseType="variant">
      <vt:variant>
        <vt:lpstr>Title</vt:lpstr>
      </vt:variant>
      <vt:variant>
        <vt:i4>1</vt:i4>
      </vt:variant>
    </vt:vector>
  </HeadingPairs>
  <TitlesOfParts>
    <vt:vector size="1" baseType="lpstr">
      <vt:lpstr>Planning and Development Act 2005</vt:lpstr>
    </vt:vector>
  </TitlesOfParts>
  <Manager/>
  <Company/>
  <LinksUpToDate>false</LinksUpToDate>
  <CharactersWithSpaces>476562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2005 - 04-u0-01</dc:title>
  <dc:subject/>
  <dc:creator/>
  <cp:keywords/>
  <dc:description/>
  <cp:lastModifiedBy>Master Repository Process</cp:lastModifiedBy>
  <cp:revision>4</cp:revision>
  <cp:lastPrinted>2023-03-24T07:31:00Z</cp:lastPrinted>
  <dcterms:created xsi:type="dcterms:W3CDTF">2025-05-28T02:57:00Z</dcterms:created>
  <dcterms:modified xsi:type="dcterms:W3CDTF">2025-05-28T02:58:00Z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DocumentType">
    <vt:lpwstr>Act</vt:lpwstr>
  </property>
  <property fmtid="{D5CDD505-2E9C-101B-9397-08002B2CF9AE}" pid="4" name="OwlsUID">
    <vt:i4>9408</vt:i4>
  </property>
  <property fmtid="{D5CDD505-2E9C-101B-9397-08002B2CF9AE}" pid="5" name="ReprintedAsAt">
    <vt:filetime>2016-03-31T16:00:00Z</vt:filetime>
  </property>
  <property fmtid="{D5CDD505-2E9C-101B-9397-08002B2CF9AE}" pid="6" name="ReprintNo">
    <vt:lpwstr>4</vt:lpwstr>
  </property>
  <property fmtid="{D5CDD505-2E9C-101B-9397-08002B2CF9AE}" pid="7" name="AsAtDate">
    <vt:lpwstr>01 Aug 2023</vt:lpwstr>
  </property>
  <property fmtid="{D5CDD505-2E9C-101B-9397-08002B2CF9AE}" pid="8" name="Suffix">
    <vt:lpwstr>04-u0-01</vt:lpwstr>
  </property>
  <property fmtid="{D5CDD505-2E9C-101B-9397-08002B2CF9AE}" pid="9" name="Official">
    <vt:lpwstr/>
  </property>
  <property fmtid="{D5CDD505-2E9C-101B-9397-08002B2CF9AE}" pid="10" name="CommencementDate">
    <vt:lpwstr>20230801</vt:lpwstr>
  </property>
  <property fmtid="{D5CDD505-2E9C-101B-9397-08002B2CF9AE}" pid="11" name="CommencementAsAt">
    <vt:filetime>2023-07-31T16:00:00Z</vt:filetime>
  </property>
  <property fmtid="{D5CDD505-2E9C-101B-9397-08002B2CF9AE}" pid="12" name="CommencementYear">
    <vt:lpwstr>2023</vt:lpwstr>
  </property>
</Properties>
</file>