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_Toc155173791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_Toc155173792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_Toc155173793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_Toc155173794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_Toc155173795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_Toc155173796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_Toc155173797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_Toc155173798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_Toc155173799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_Toc155173800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_Toc155173801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_Toc155173802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_Toc155173803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_Toc155173804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_Toc155173805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_Toc155173806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_Toc155173807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_Toc155173808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 Division fees</w:t>
      </w:r>
    </w:p>
    <w:p>
      <w:pPr>
        <w:pStyle w:val="TOC4"/>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_Toc155173816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2" w:name="_Toc155173791"/>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155173792"/>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2002</w:t>
      </w:r>
      <w:r>
        <w:t>.</w:t>
      </w:r>
    </w:p>
    <w:p>
      <w:pPr>
        <w:pStyle w:val="Heading5"/>
      </w:pPr>
      <w:bookmarkStart w:id="4" w:name="_Toc155173793"/>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5" w:name="_Toc155173794"/>
      <w:r>
        <w:rPr>
          <w:rStyle w:val="CharSectno"/>
        </w:rPr>
        <w:t>4</w:t>
      </w:r>
      <w:r>
        <w:t>.</w:t>
      </w:r>
      <w:r>
        <w:tab/>
        <w:t>General fees</w:t>
      </w:r>
      <w:bookmarkEnd w:id="5"/>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lastRenderedPageBreak/>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6" w:name="_Toc155173795"/>
      <w:r>
        <w:rPr>
          <w:rStyle w:val="CharSectno"/>
        </w:rPr>
        <w:t>4A</w:t>
      </w:r>
      <w:r>
        <w:t>.</w:t>
      </w:r>
      <w:r>
        <w:tab/>
        <w:t>Fees for small businesses and non</w:t>
      </w:r>
      <w:r>
        <w:noBreakHyphen/>
        <w:t>profit associations</w:t>
      </w:r>
      <w:bookmarkEnd w:id="6"/>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lastRenderedPageBreak/>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7" w:name="_Toc155173796"/>
      <w:r>
        <w:rPr>
          <w:rStyle w:val="CharSectno"/>
        </w:rPr>
        <w:t>5</w:t>
      </w:r>
      <w:r>
        <w:t>.</w:t>
      </w:r>
      <w:r>
        <w:tab/>
      </w:r>
      <w:r>
        <w:rPr>
          <w:snapToGrid w:val="0"/>
        </w:rPr>
        <w:t>Exemptions</w:t>
      </w:r>
      <w:bookmarkEnd w:id="7"/>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lastRenderedPageBreak/>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8" w:name="_Toc155173797"/>
      <w:r>
        <w:rPr>
          <w:rStyle w:val="CharSectno"/>
        </w:rPr>
        <w:t>5A</w:t>
      </w:r>
      <w:r>
        <w:t>.</w:t>
      </w:r>
      <w:r>
        <w:tab/>
        <w:t>Disputes regarding fees</w:t>
      </w:r>
      <w:bookmarkEnd w:id="8"/>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9" w:name="_Toc155173798"/>
      <w:r>
        <w:rPr>
          <w:rStyle w:val="CharSectno"/>
        </w:rPr>
        <w:lastRenderedPageBreak/>
        <w:t>6</w:t>
      </w:r>
      <w:r>
        <w:t>.</w:t>
      </w:r>
      <w:r>
        <w:tab/>
      </w:r>
      <w:r>
        <w:rPr>
          <w:snapToGrid w:val="0"/>
        </w:rPr>
        <w:t>Fees to be paid before documents filed or other things done</w:t>
      </w:r>
      <w:bookmarkEnd w:id="9"/>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0" w:name="_Toc155173799"/>
      <w:r>
        <w:rPr>
          <w:rStyle w:val="CharSectno"/>
        </w:rPr>
        <w:t>7</w:t>
      </w:r>
      <w:r>
        <w:t>.</w:t>
      </w:r>
      <w:r>
        <w:tab/>
        <w:t>Who is an eligible individual or eligible entity</w:t>
      </w:r>
      <w:bookmarkEnd w:id="1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lastRenderedPageBreak/>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1" w:name="_Toc155173800"/>
      <w:r>
        <w:rPr>
          <w:rStyle w:val="CharSectno"/>
        </w:rPr>
        <w:t>8</w:t>
      </w:r>
      <w:r>
        <w:t>.</w:t>
      </w:r>
      <w:r>
        <w:tab/>
        <w:t>Application to be recognised as eligible individual or eligible entity</w:t>
      </w:r>
      <w:bookmarkEnd w:id="11"/>
    </w:p>
    <w:p>
      <w:pPr>
        <w:pStyle w:val="Subsection"/>
      </w:pPr>
      <w:r>
        <w:tab/>
        <w:t>(1)</w:t>
      </w:r>
      <w:r>
        <w:tab/>
        <w:t xml:space="preserve">A person may apply for — </w:t>
      </w:r>
    </w:p>
    <w:p>
      <w:pPr>
        <w:pStyle w:val="Indenta"/>
      </w:pPr>
      <w:r>
        <w:lastRenderedPageBreak/>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2" w:name="_Toc155173801"/>
      <w:r>
        <w:rPr>
          <w:rStyle w:val="CharSectno"/>
        </w:rPr>
        <w:t>8A</w:t>
      </w:r>
      <w:r>
        <w:t>.</w:t>
      </w:r>
      <w:r>
        <w:tab/>
        <w:t>Recognition as eligible individual or eligible entity</w:t>
      </w:r>
      <w:bookmarkEnd w:id="12"/>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lastRenderedPageBreak/>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3" w:name="_Toc155173802"/>
      <w:r>
        <w:rPr>
          <w:rStyle w:val="CharSectno"/>
        </w:rPr>
        <w:t>8B</w:t>
      </w:r>
      <w:r>
        <w:t>.</w:t>
      </w:r>
      <w:r>
        <w:tab/>
        <w:t>False or misleading statements</w:t>
      </w:r>
      <w:bookmarkEnd w:id="13"/>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lastRenderedPageBreak/>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4" w:name="_Toc155173803"/>
      <w:r>
        <w:rPr>
          <w:rStyle w:val="CharSectno"/>
        </w:rPr>
        <w:t>8C</w:t>
      </w:r>
      <w:r>
        <w:t>.</w:t>
      </w:r>
      <w:r>
        <w:tab/>
        <w:t>Refunds</w:t>
      </w:r>
      <w:bookmarkEnd w:id="14"/>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5" w:name="_Toc155173804"/>
      <w:r>
        <w:rPr>
          <w:rStyle w:val="CharSectno"/>
        </w:rPr>
        <w:t>8D</w:t>
      </w:r>
      <w:r>
        <w:t>.</w:t>
      </w:r>
      <w:r>
        <w:tab/>
        <w:t>Waiving fee for copy of document or transcript</w:t>
      </w:r>
      <w:bookmarkEnd w:id="15"/>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lastRenderedPageBreak/>
        <w:tab/>
        <w:t>[Regulation 8D inserted: Gazette 14 Jun 2016 p. 1961</w:t>
      </w:r>
      <w:r>
        <w:noBreakHyphen/>
        <w:t>2; amended: SL 2023/120 r. 40.]</w:t>
      </w:r>
    </w:p>
    <w:p>
      <w:pPr>
        <w:pStyle w:val="Heading5"/>
      </w:pPr>
      <w:bookmarkStart w:id="16" w:name="_Toc155173805"/>
      <w:r>
        <w:rPr>
          <w:rStyle w:val="CharSectno"/>
        </w:rPr>
        <w:t>9</w:t>
      </w:r>
      <w:r>
        <w:t>.</w:t>
      </w:r>
      <w:r>
        <w:tab/>
        <w:t>Allocation of hearing date — Schedule 1 Division 1 item 5</w:t>
      </w:r>
      <w:bookmarkEnd w:id="16"/>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lastRenderedPageBreak/>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7" w:name="_Toc155173806"/>
      <w:r>
        <w:rPr>
          <w:rStyle w:val="CharSectno"/>
        </w:rPr>
        <w:t>9A</w:t>
      </w:r>
      <w:r>
        <w:t>.</w:t>
      </w:r>
      <w:r>
        <w:tab/>
        <w:t>Court of Appeal allocation of hearing date — Schedule 1 Division 2 item 6</w:t>
      </w:r>
      <w:bookmarkEnd w:id="17"/>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lastRenderedPageBreak/>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w:t>
      </w:r>
      <w:r>
        <w:lastRenderedPageBreak/>
        <w:t xml:space="preserve">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8" w:name="_Toc155173807"/>
      <w:r>
        <w:rPr>
          <w:rStyle w:val="CharSectno"/>
        </w:rPr>
        <w:t>10</w:t>
      </w:r>
      <w:r>
        <w:t>.</w:t>
      </w:r>
      <w:r>
        <w:tab/>
        <w:t>Schedule 1 Division 1 item 6 or Division 2 item 7 fee</w:t>
      </w:r>
      <w:bookmarkEnd w:id="18"/>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19" w:name="_Toc155173808"/>
      <w:r>
        <w:rPr>
          <w:rStyle w:val="CharSectno"/>
        </w:rPr>
        <w:t>11</w:t>
      </w:r>
      <w:r>
        <w:t>.</w:t>
      </w:r>
      <w:r>
        <w:tab/>
        <w:t>Recovery of unpaid fees</w:t>
      </w:r>
      <w:bookmarkEnd w:id="19"/>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0" w:name="_Toc155173809"/>
      <w:r>
        <w:rPr>
          <w:rStyle w:val="CharSchNo"/>
        </w:rPr>
        <w:lastRenderedPageBreak/>
        <w:t>Schedule 1</w:t>
      </w:r>
      <w:r>
        <w:t> — </w:t>
      </w:r>
      <w:r>
        <w:rPr>
          <w:rStyle w:val="CharSchText"/>
        </w:rPr>
        <w:t>Fees</w:t>
      </w:r>
      <w:bookmarkEnd w:id="20"/>
    </w:p>
    <w:p>
      <w:pPr>
        <w:pStyle w:val="yShoulderClause"/>
      </w:pPr>
      <w:r>
        <w:t>[r. 4]</w:t>
      </w:r>
    </w:p>
    <w:p>
      <w:pPr>
        <w:pStyle w:val="yFootnoteheading"/>
        <w:spacing w:after="80"/>
      </w:pPr>
      <w:r>
        <w:tab/>
        <w:t>[Heading inserted: SL 2023/120 r. 41.]</w:t>
      </w:r>
    </w:p>
    <w:p>
      <w:pPr>
        <w:pStyle w:val="yHeading3"/>
      </w:pPr>
      <w:bookmarkStart w:id="21" w:name="_Toc155173810"/>
      <w:r>
        <w:rPr>
          <w:rStyle w:val="CharSDivNo"/>
        </w:rPr>
        <w:t>Division 1</w:t>
      </w:r>
      <w:r>
        <w:t> — </w:t>
      </w:r>
      <w:r>
        <w:rPr>
          <w:rStyle w:val="CharSDivText"/>
        </w:rPr>
        <w:t>General Division fees</w:t>
      </w:r>
      <w:bookmarkEnd w:id="21"/>
    </w:p>
    <w:p>
      <w:pPr>
        <w:pStyle w:val="yFootnoteheading"/>
        <w:spacing w:after="80"/>
      </w:pPr>
      <w:r>
        <w:tab/>
        <w:t>[Heading inserted: SL 2023/120 r. 41.]</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1 730.00</w:t>
            </w:r>
          </w:p>
        </w:tc>
        <w:tc>
          <w:tcPr>
            <w:tcW w:w="1276" w:type="dxa"/>
            <w:tcBorders>
              <w:top w:val="single" w:sz="4" w:space="0" w:color="auto"/>
              <w:left w:val="nil"/>
              <w:bottom w:val="nil"/>
              <w:right w:val="nil"/>
            </w:tcBorders>
            <w:noWrap/>
            <w:vAlign w:val="bottom"/>
          </w:tcPr>
          <w:p>
            <w:pPr>
              <w:pStyle w:val="yTableNAm"/>
              <w:ind w:right="172"/>
              <w:jc w:val="right"/>
            </w:pPr>
            <w:r>
              <w:t>3 371.00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1 730.00</w:t>
            </w:r>
          </w:p>
        </w:tc>
        <w:tc>
          <w:tcPr>
            <w:tcW w:w="1276" w:type="dxa"/>
            <w:tcBorders>
              <w:top w:val="nil"/>
              <w:left w:val="nil"/>
              <w:bottom w:val="nil"/>
              <w:right w:val="nil"/>
            </w:tcBorders>
            <w:noWrap/>
            <w:vAlign w:val="bottom"/>
          </w:tcPr>
          <w:p>
            <w:pPr>
              <w:pStyle w:val="yTableNAm"/>
              <w:ind w:right="172"/>
              <w:jc w:val="right"/>
            </w:pPr>
            <w:r>
              <w:t>3 371.00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pPr>
            <w:r>
              <w:t>On filing —</w:t>
            </w:r>
          </w:p>
          <w:p>
            <w:pPr>
              <w:pStyle w:val="yTableNAm"/>
              <w:tabs>
                <w:tab w:val="clear" w:pos="567"/>
              </w:tabs>
              <w:ind w:left="459" w:hanging="459"/>
            </w:pPr>
            <w:r>
              <w:t>(a)</w:t>
            </w:r>
            <w:r>
              <w:tab/>
              <w:t xml:space="preserve">a counterclaim </w:t>
            </w:r>
          </w:p>
        </w:tc>
        <w:tc>
          <w:tcPr>
            <w:tcW w:w="1275" w:type="dxa"/>
            <w:tcBorders>
              <w:top w:val="nil"/>
              <w:left w:val="nil"/>
              <w:bottom w:val="nil"/>
              <w:right w:val="nil"/>
            </w:tcBorders>
            <w:noWrap/>
            <w:vAlign w:val="bottom"/>
          </w:tcPr>
          <w:p>
            <w:pPr>
              <w:pStyle w:val="yTableNAm"/>
              <w:ind w:right="172"/>
              <w:jc w:val="right"/>
            </w:pPr>
            <w:r>
              <w:t>1 730.00</w:t>
            </w:r>
          </w:p>
        </w:tc>
        <w:tc>
          <w:tcPr>
            <w:tcW w:w="1276" w:type="dxa"/>
            <w:tcBorders>
              <w:top w:val="nil"/>
              <w:left w:val="nil"/>
              <w:bottom w:val="nil"/>
              <w:right w:val="nil"/>
            </w:tcBorders>
            <w:noWrap/>
            <w:vAlign w:val="bottom"/>
          </w:tcPr>
          <w:p>
            <w:pPr>
              <w:pStyle w:val="yTableNAm"/>
              <w:ind w:right="172"/>
              <w:jc w:val="right"/>
            </w:pPr>
            <w:r>
              <w:t>3 371.00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1 730.00</w:t>
            </w:r>
          </w:p>
        </w:tc>
        <w:tc>
          <w:tcPr>
            <w:tcW w:w="1276" w:type="dxa"/>
            <w:tcBorders>
              <w:top w:val="nil"/>
              <w:left w:val="nil"/>
              <w:bottom w:val="nil"/>
              <w:right w:val="nil"/>
            </w:tcBorders>
            <w:noWrap/>
            <w:vAlign w:val="bottom"/>
          </w:tcPr>
          <w:p>
            <w:pPr>
              <w:pStyle w:val="yTableNAm"/>
              <w:ind w:right="172"/>
              <w:jc w:val="right"/>
            </w:pPr>
            <w:r>
              <w:t>3 371.00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1 153.00</w:t>
            </w:r>
          </w:p>
        </w:tc>
        <w:tc>
          <w:tcPr>
            <w:tcW w:w="1276" w:type="dxa"/>
            <w:tcBorders>
              <w:top w:val="nil"/>
              <w:left w:val="nil"/>
              <w:bottom w:val="nil"/>
              <w:right w:val="nil"/>
            </w:tcBorders>
            <w:noWrap/>
            <w:vAlign w:val="bottom"/>
          </w:tcPr>
          <w:p>
            <w:pPr>
              <w:pStyle w:val="yTableNAm"/>
              <w:ind w:right="172"/>
              <w:jc w:val="right"/>
            </w:pPr>
            <w:r>
              <w:t>2 257.00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1 730.00</w:t>
            </w:r>
          </w:p>
        </w:tc>
        <w:tc>
          <w:tcPr>
            <w:tcW w:w="1276" w:type="dxa"/>
            <w:tcBorders>
              <w:top w:val="nil"/>
              <w:left w:val="nil"/>
              <w:bottom w:val="nil"/>
              <w:right w:val="nil"/>
            </w:tcBorders>
            <w:noWrap/>
            <w:vAlign w:val="bottom"/>
          </w:tcPr>
          <w:p>
            <w:pPr>
              <w:pStyle w:val="yTableNAm"/>
              <w:ind w:right="172"/>
              <w:jc w:val="right"/>
            </w:pPr>
            <w:r>
              <w:t>3 371.00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1 158.00 for each day allocated</w:t>
            </w:r>
          </w:p>
        </w:tc>
        <w:tc>
          <w:tcPr>
            <w:tcW w:w="1276" w:type="dxa"/>
            <w:tcBorders>
              <w:top w:val="nil"/>
              <w:left w:val="nil"/>
              <w:bottom w:val="nil"/>
              <w:right w:val="nil"/>
            </w:tcBorders>
            <w:noWrap/>
          </w:tcPr>
          <w:p>
            <w:pPr>
              <w:pStyle w:val="yTableNAm"/>
              <w:jc w:val="center"/>
            </w:pPr>
            <w:r>
              <w:br/>
              <w:t>3 007.00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1 158.00</w:t>
            </w:r>
          </w:p>
        </w:tc>
        <w:tc>
          <w:tcPr>
            <w:tcW w:w="1276" w:type="dxa"/>
            <w:tcBorders>
              <w:top w:val="nil"/>
              <w:left w:val="nil"/>
              <w:bottom w:val="nil"/>
              <w:right w:val="nil"/>
            </w:tcBorders>
            <w:noWrap/>
            <w:vAlign w:val="bottom"/>
          </w:tcPr>
          <w:p>
            <w:pPr>
              <w:pStyle w:val="yTableNAm"/>
              <w:ind w:right="172"/>
              <w:jc w:val="right"/>
            </w:pPr>
            <w:r>
              <w:t>3 007.00</w:t>
            </w:r>
          </w:p>
        </w:tc>
        <w:tc>
          <w:tcPr>
            <w:tcW w:w="1276" w:type="dxa"/>
            <w:tcBorders>
              <w:top w:val="nil"/>
              <w:left w:val="nil"/>
              <w:bottom w:val="nil"/>
              <w:right w:val="nil"/>
            </w:tcBorders>
            <w:noWrap/>
            <w:vAlign w:val="bottom"/>
          </w:tcPr>
          <w:p>
            <w:pPr>
              <w:pStyle w:val="yTableNAm"/>
              <w:ind w:right="172"/>
              <w:jc w:val="center"/>
            </w:pPr>
            <w:r>
              <w:t>Nil</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pPr>
            <w:r>
              <w:t>7.</w:t>
            </w:r>
          </w:p>
        </w:tc>
        <w:tc>
          <w:tcPr>
            <w:tcW w:w="2410" w:type="dxa"/>
            <w:tcBorders>
              <w:top w:val="nil"/>
              <w:left w:val="nil"/>
              <w:bottom w:val="nil"/>
              <w:right w:val="nil"/>
            </w:tcBorders>
            <w:noWrap/>
          </w:tcPr>
          <w:p>
            <w:pPr>
              <w:pStyle w:val="yTableNAm"/>
              <w:tabs>
                <w:tab w:val="clear" w:pos="567"/>
              </w:tabs>
              <w:ind w:left="459" w:hanging="459"/>
            </w:pPr>
            <w:r>
              <w:t>(a)</w:t>
            </w:r>
            <w:r>
              <w:tab/>
              <w:t xml:space="preserve">On filing before a judge, master or registrar in chambers — </w:t>
            </w:r>
          </w:p>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r>
              <w:t>407.00</w:t>
            </w:r>
          </w:p>
        </w:tc>
        <w:tc>
          <w:tcPr>
            <w:tcW w:w="1276" w:type="dxa"/>
            <w:tcBorders>
              <w:top w:val="nil"/>
              <w:left w:val="nil"/>
              <w:bottom w:val="nil"/>
              <w:right w:val="nil"/>
            </w:tcBorders>
            <w:noWrap/>
            <w:vAlign w:val="bottom"/>
          </w:tcPr>
          <w:p>
            <w:pPr>
              <w:pStyle w:val="yTableNAm"/>
              <w:keepNext/>
              <w:ind w:right="172"/>
              <w:jc w:val="right"/>
            </w:pPr>
            <w:r>
              <w:t>790.00</w:t>
            </w:r>
          </w:p>
        </w:tc>
        <w:tc>
          <w:tcPr>
            <w:tcW w:w="1276" w:type="dxa"/>
            <w:tcBorders>
              <w:top w:val="nil"/>
              <w:left w:val="nil"/>
              <w:bottom w:val="nil"/>
              <w:right w:val="nil"/>
            </w:tcBorders>
            <w:noWrap/>
            <w:vAlign w:val="bottom"/>
          </w:tcPr>
          <w:p>
            <w:pPr>
              <w:pStyle w:val="yTableNAm"/>
              <w:keepNext/>
              <w:ind w:right="172"/>
              <w:jc w:val="center"/>
            </w:pPr>
            <w:r>
              <w:t>Nil</w:t>
            </w:r>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c>
          <w:tcPr>
            <w:tcW w:w="659" w:type="dxa"/>
            <w:tcBorders>
              <w:top w:val="nil"/>
              <w:left w:val="nil"/>
              <w:bottom w:val="nil"/>
              <w:right w:val="nil"/>
            </w:tcBorders>
            <w:noWrap/>
          </w:tcPr>
          <w:p>
            <w:pPr>
              <w:pStyle w:val="yTableNAm"/>
            </w:pPr>
            <w:r>
              <w:t>9.</w:t>
            </w:r>
          </w:p>
        </w:tc>
        <w:tc>
          <w:tcPr>
            <w:tcW w:w="2410" w:type="dxa"/>
            <w:tcBorders>
              <w:top w:val="nil"/>
              <w:left w:val="nil"/>
              <w:bottom w:val="nil"/>
              <w:right w:val="nil"/>
            </w:tcBorders>
            <w:noWrap/>
          </w:tcPr>
          <w:p>
            <w:pPr>
              <w:pStyle w:val="yTableNAm"/>
              <w:rPr>
                <w:rStyle w:val="DraftersNotes"/>
                <w:b w:val="0"/>
                <w:i w:val="0"/>
                <w:sz w:val="22"/>
              </w:rPr>
            </w:pPr>
            <w:r>
              <w:t xml:space="preserve">On filing a bill of costs for taxation in a cause or </w:t>
            </w:r>
            <w:r>
              <w:lastRenderedPageBreak/>
              <w:t>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r>
              <w:t>563.00</w:t>
            </w:r>
          </w:p>
        </w:tc>
        <w:tc>
          <w:tcPr>
            <w:tcW w:w="1276" w:type="dxa"/>
            <w:tcBorders>
              <w:top w:val="nil"/>
              <w:left w:val="nil"/>
              <w:bottom w:val="nil"/>
              <w:right w:val="nil"/>
            </w:tcBorders>
            <w:noWrap/>
            <w:vAlign w:val="bottom"/>
          </w:tcPr>
          <w:p>
            <w:pPr>
              <w:pStyle w:val="yTableNAm"/>
              <w:ind w:right="172"/>
              <w:jc w:val="right"/>
            </w:pPr>
            <w:r>
              <w:t>1 089.00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2.50%</w:t>
            </w:r>
          </w:p>
        </w:tc>
        <w:tc>
          <w:tcPr>
            <w:tcW w:w="1276" w:type="dxa"/>
            <w:tcBorders>
              <w:top w:val="nil"/>
              <w:left w:val="nil"/>
              <w:bottom w:val="nil"/>
              <w:right w:val="nil"/>
            </w:tcBorders>
            <w:noWrap/>
            <w:vAlign w:val="bottom"/>
          </w:tcPr>
          <w:p>
            <w:pPr>
              <w:pStyle w:val="yTableNAm"/>
              <w:ind w:right="172"/>
              <w:jc w:val="right"/>
            </w:pPr>
            <w:r>
              <w:t>2.50%</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lastRenderedPageBreak/>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r>
              <w:t>563.00</w:t>
            </w:r>
          </w:p>
        </w:tc>
        <w:tc>
          <w:tcPr>
            <w:tcW w:w="1276" w:type="dxa"/>
            <w:tcBorders>
              <w:top w:val="nil"/>
              <w:left w:val="nil"/>
              <w:bottom w:val="nil"/>
              <w:right w:val="nil"/>
            </w:tcBorders>
            <w:noWrap/>
            <w:vAlign w:val="bottom"/>
          </w:tcPr>
          <w:p>
            <w:pPr>
              <w:pStyle w:val="yTableNAm"/>
              <w:ind w:right="172"/>
              <w:jc w:val="right"/>
            </w:pPr>
            <w:r>
              <w:t>1 089.00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r>
              <w:t>58.50</w:t>
            </w:r>
          </w:p>
        </w:tc>
        <w:tc>
          <w:tcPr>
            <w:tcW w:w="1276" w:type="dxa"/>
            <w:tcBorders>
              <w:top w:val="nil"/>
              <w:left w:val="nil"/>
              <w:bottom w:val="nil"/>
              <w:right w:val="nil"/>
            </w:tcBorders>
            <w:noWrap/>
            <w:vAlign w:val="bottom"/>
          </w:tcPr>
          <w:p>
            <w:pPr>
              <w:pStyle w:val="yTableNAm"/>
              <w:keepNext/>
              <w:ind w:right="172"/>
              <w:jc w:val="right"/>
            </w:pPr>
            <w:r>
              <w:t>58.50</w:t>
            </w:r>
          </w:p>
        </w:tc>
        <w:tc>
          <w:tcPr>
            <w:tcW w:w="1276" w:type="dxa"/>
            <w:tcBorders>
              <w:top w:val="nil"/>
              <w:left w:val="nil"/>
              <w:bottom w:val="nil"/>
              <w:right w:val="nil"/>
            </w:tcBorders>
            <w:noWrap/>
            <w:vAlign w:val="bottom"/>
          </w:tcPr>
          <w:p>
            <w:pPr>
              <w:pStyle w:val="yTableNAm"/>
              <w:keepNext/>
              <w:ind w:right="172"/>
              <w:jc w:val="right"/>
            </w:pPr>
            <w:r>
              <w:t>17.55</w:t>
            </w:r>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r>
              <w:t>85.50</w:t>
            </w:r>
          </w:p>
        </w:tc>
        <w:tc>
          <w:tcPr>
            <w:tcW w:w="1276" w:type="dxa"/>
            <w:tcBorders>
              <w:top w:val="nil"/>
              <w:left w:val="nil"/>
              <w:bottom w:val="nil"/>
              <w:right w:val="nil"/>
            </w:tcBorders>
            <w:noWrap/>
            <w:vAlign w:val="bottom"/>
          </w:tcPr>
          <w:p>
            <w:pPr>
              <w:pStyle w:val="yTableNAm"/>
              <w:ind w:right="172"/>
              <w:jc w:val="right"/>
            </w:pPr>
            <w:r>
              <w:t>85.50</w:t>
            </w:r>
          </w:p>
        </w:tc>
        <w:tc>
          <w:tcPr>
            <w:tcW w:w="1276" w:type="dxa"/>
            <w:tcBorders>
              <w:top w:val="nil"/>
              <w:left w:val="nil"/>
              <w:bottom w:val="nil"/>
              <w:right w:val="nil"/>
            </w:tcBorders>
            <w:noWrap/>
            <w:vAlign w:val="bottom"/>
          </w:tcPr>
          <w:p>
            <w:pPr>
              <w:pStyle w:val="yTableNAm"/>
              <w:ind w:right="172"/>
              <w:jc w:val="right"/>
            </w:pPr>
            <w:r>
              <w:t>25.60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If an officer is required to attend at a court or place out of the Supreme Court building — </w:t>
            </w:r>
          </w:p>
          <w:p>
            <w:pPr>
              <w:pStyle w:val="yTableNAm"/>
              <w:tabs>
                <w:tab w:val="clear" w:pos="567"/>
              </w:tabs>
              <w:ind w:left="1058" w:hanging="567"/>
            </w:pPr>
            <w:r>
              <w:t>(i)</w:t>
            </w:r>
            <w:r>
              <w:tab/>
              <w:t>the officer’s reasonable expenses</w:t>
            </w:r>
          </w:p>
          <w:p>
            <w:pPr>
              <w:pStyle w:val="yTableNAm"/>
              <w:tabs>
                <w:tab w:val="clear" w:pos="567"/>
              </w:tabs>
              <w:ind w:left="1058" w:hanging="567"/>
            </w:pPr>
            <w:r>
              <w:t>(ii)</w:t>
            </w:r>
            <w:r>
              <w:tab/>
              <w:t>in addition, for each hour or part of an hour the officer is necessarily absent from the officer’s office</w:t>
            </w:r>
          </w:p>
        </w:tc>
        <w:tc>
          <w:tcPr>
            <w:tcW w:w="1275" w:type="dxa"/>
            <w:tcBorders>
              <w:top w:val="nil"/>
              <w:left w:val="nil"/>
              <w:bottom w:val="nil"/>
              <w:right w:val="nil"/>
            </w:tcBorders>
            <w:noWrap/>
            <w:vAlign w:val="bottom"/>
          </w:tcPr>
          <w:p>
            <w:pPr>
              <w:pStyle w:val="yTableNAm"/>
              <w:ind w:right="172"/>
              <w:jc w:val="right"/>
            </w:pPr>
            <w:r>
              <w:t>115.00</w:t>
            </w:r>
          </w:p>
        </w:tc>
        <w:tc>
          <w:tcPr>
            <w:tcW w:w="1276" w:type="dxa"/>
            <w:tcBorders>
              <w:top w:val="nil"/>
              <w:left w:val="nil"/>
              <w:bottom w:val="nil"/>
              <w:right w:val="nil"/>
            </w:tcBorders>
            <w:noWrap/>
            <w:vAlign w:val="bottom"/>
          </w:tcPr>
          <w:p>
            <w:pPr>
              <w:pStyle w:val="yTableNAm"/>
              <w:ind w:right="172"/>
              <w:jc w:val="right"/>
            </w:pPr>
            <w:r>
              <w:t>115.00</w:t>
            </w:r>
          </w:p>
        </w:tc>
        <w:tc>
          <w:tcPr>
            <w:tcW w:w="1276" w:type="dxa"/>
            <w:tcBorders>
              <w:top w:val="nil"/>
              <w:left w:val="nil"/>
              <w:bottom w:val="nil"/>
              <w:right w:val="nil"/>
            </w:tcBorders>
            <w:noWrap/>
            <w:vAlign w:val="bottom"/>
          </w:tcPr>
          <w:p>
            <w:pPr>
              <w:pStyle w:val="yTableNAm"/>
              <w:ind w:right="172"/>
              <w:jc w:val="right"/>
            </w:pPr>
            <w:r>
              <w:t>34.50</w:t>
            </w:r>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2.45</w:t>
            </w:r>
          </w:p>
        </w:tc>
        <w:tc>
          <w:tcPr>
            <w:tcW w:w="1276" w:type="dxa"/>
            <w:tcBorders>
              <w:top w:val="nil"/>
              <w:left w:val="nil"/>
              <w:bottom w:val="nil"/>
              <w:right w:val="nil"/>
            </w:tcBorders>
            <w:noWrap/>
            <w:vAlign w:val="bottom"/>
          </w:tcPr>
          <w:p>
            <w:pPr>
              <w:pStyle w:val="yTableNAm"/>
              <w:ind w:right="172"/>
              <w:jc w:val="right"/>
            </w:pPr>
            <w:r>
              <w:t>2.45</w:t>
            </w:r>
          </w:p>
        </w:tc>
        <w:tc>
          <w:tcPr>
            <w:tcW w:w="1276" w:type="dxa"/>
            <w:tcBorders>
              <w:top w:val="nil"/>
              <w:left w:val="nil"/>
              <w:bottom w:val="nil"/>
              <w:right w:val="nil"/>
            </w:tcBorders>
            <w:noWrap/>
            <w:vAlign w:val="bottom"/>
          </w:tcPr>
          <w:p>
            <w:pPr>
              <w:pStyle w:val="yTableNAm"/>
              <w:ind w:right="172"/>
              <w:jc w:val="right"/>
            </w:pPr>
            <w:r>
              <w:t>0.75</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r>
              <w:t>20.30</w:t>
            </w:r>
          </w:p>
        </w:tc>
        <w:tc>
          <w:tcPr>
            <w:tcW w:w="1276" w:type="dxa"/>
            <w:tcBorders>
              <w:top w:val="nil"/>
              <w:left w:val="nil"/>
              <w:bottom w:val="nil"/>
              <w:right w:val="nil"/>
            </w:tcBorders>
            <w:noWrap/>
            <w:vAlign w:val="bottom"/>
          </w:tcPr>
          <w:p>
            <w:pPr>
              <w:pStyle w:val="yTableNAm"/>
              <w:ind w:right="172"/>
              <w:jc w:val="right"/>
            </w:pPr>
            <w:r>
              <w:t>20.30</w:t>
            </w:r>
          </w:p>
        </w:tc>
        <w:tc>
          <w:tcPr>
            <w:tcW w:w="1276" w:type="dxa"/>
            <w:tcBorders>
              <w:top w:val="nil"/>
              <w:left w:val="nil"/>
              <w:bottom w:val="nil"/>
              <w:right w:val="nil"/>
            </w:tcBorders>
            <w:noWrap/>
            <w:vAlign w:val="bottom"/>
          </w:tcPr>
          <w:p>
            <w:pPr>
              <w:pStyle w:val="yTableNAm"/>
              <w:ind w:right="172"/>
              <w:jc w:val="right"/>
            </w:pPr>
            <w:r>
              <w:t>6.10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r>
              <w:t>20.30</w:t>
            </w:r>
          </w:p>
        </w:tc>
        <w:tc>
          <w:tcPr>
            <w:tcW w:w="1276" w:type="dxa"/>
            <w:tcBorders>
              <w:top w:val="nil"/>
              <w:left w:val="nil"/>
              <w:bottom w:val="nil"/>
              <w:right w:val="nil"/>
            </w:tcBorders>
            <w:noWrap/>
            <w:vAlign w:val="bottom"/>
          </w:tcPr>
          <w:p>
            <w:pPr>
              <w:pStyle w:val="yTableNAm"/>
              <w:ind w:right="172"/>
              <w:jc w:val="right"/>
            </w:pPr>
            <w:r>
              <w:t>20.30</w:t>
            </w:r>
          </w:p>
        </w:tc>
        <w:tc>
          <w:tcPr>
            <w:tcW w:w="1276" w:type="dxa"/>
            <w:tcBorders>
              <w:top w:val="nil"/>
              <w:left w:val="nil"/>
              <w:bottom w:val="nil"/>
              <w:right w:val="nil"/>
            </w:tcBorders>
            <w:noWrap/>
            <w:vAlign w:val="bottom"/>
          </w:tcPr>
          <w:p>
            <w:pPr>
              <w:pStyle w:val="yTableNAm"/>
              <w:ind w:right="172"/>
              <w:jc w:val="right"/>
            </w:pPr>
            <w:r>
              <w:t>6.10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0.80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28.10</w:t>
            </w:r>
          </w:p>
        </w:tc>
        <w:tc>
          <w:tcPr>
            <w:tcW w:w="1276" w:type="dxa"/>
            <w:tcBorders>
              <w:top w:val="nil"/>
              <w:left w:val="nil"/>
              <w:bottom w:val="nil"/>
              <w:right w:val="nil"/>
            </w:tcBorders>
            <w:noWrap/>
            <w:vAlign w:val="bottom"/>
          </w:tcPr>
          <w:p>
            <w:pPr>
              <w:pStyle w:val="yTableNAm"/>
              <w:ind w:right="172"/>
              <w:jc w:val="right"/>
            </w:pPr>
            <w:r>
              <w:t>28.10</w:t>
            </w:r>
          </w:p>
        </w:tc>
        <w:tc>
          <w:tcPr>
            <w:tcW w:w="1276" w:type="dxa"/>
            <w:tcBorders>
              <w:top w:val="nil"/>
              <w:left w:val="nil"/>
              <w:bottom w:val="nil"/>
              <w:right w:val="nil"/>
            </w:tcBorders>
            <w:noWrap/>
            <w:vAlign w:val="bottom"/>
          </w:tcPr>
          <w:p>
            <w:pPr>
              <w:pStyle w:val="yTableNAm"/>
              <w:ind w:right="172"/>
              <w:jc w:val="right"/>
            </w:pPr>
            <w:r>
              <w:t>8.45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41.30</w:t>
            </w:r>
          </w:p>
        </w:tc>
        <w:tc>
          <w:tcPr>
            <w:tcW w:w="1276" w:type="dxa"/>
            <w:tcBorders>
              <w:top w:val="nil"/>
              <w:left w:val="nil"/>
              <w:bottom w:val="nil"/>
              <w:right w:val="nil"/>
            </w:tcBorders>
            <w:noWrap/>
            <w:vAlign w:val="bottom"/>
          </w:tcPr>
          <w:p>
            <w:pPr>
              <w:pStyle w:val="yTableNAm"/>
              <w:ind w:right="172"/>
              <w:jc w:val="right"/>
            </w:pPr>
            <w:r>
              <w:t>41.30</w:t>
            </w:r>
          </w:p>
        </w:tc>
        <w:tc>
          <w:tcPr>
            <w:tcW w:w="1276" w:type="dxa"/>
            <w:tcBorders>
              <w:top w:val="nil"/>
              <w:left w:val="nil"/>
              <w:bottom w:val="nil"/>
              <w:right w:val="nil"/>
            </w:tcBorders>
            <w:noWrap/>
            <w:vAlign w:val="bottom"/>
          </w:tcPr>
          <w:p>
            <w:pPr>
              <w:pStyle w:val="yTableNAm"/>
              <w:ind w:right="172"/>
              <w:jc w:val="right"/>
            </w:pPr>
            <w:r>
              <w:t>12.40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r>
              <w:t>114.50</w:t>
            </w:r>
          </w:p>
        </w:tc>
        <w:tc>
          <w:tcPr>
            <w:tcW w:w="1276" w:type="dxa"/>
            <w:tcBorders>
              <w:top w:val="nil"/>
              <w:left w:val="nil"/>
              <w:bottom w:val="nil"/>
              <w:right w:val="nil"/>
            </w:tcBorders>
            <w:noWrap/>
            <w:vAlign w:val="bottom"/>
          </w:tcPr>
          <w:p>
            <w:pPr>
              <w:pStyle w:val="yTableNAm"/>
              <w:ind w:right="172"/>
              <w:jc w:val="right"/>
            </w:pPr>
            <w:r>
              <w:t>114.50</w:t>
            </w:r>
          </w:p>
        </w:tc>
        <w:tc>
          <w:tcPr>
            <w:tcW w:w="1276" w:type="dxa"/>
            <w:tcBorders>
              <w:top w:val="nil"/>
              <w:left w:val="nil"/>
              <w:bottom w:val="nil"/>
              <w:right w:val="nil"/>
            </w:tcBorders>
            <w:noWrap/>
            <w:vAlign w:val="bottom"/>
          </w:tcPr>
          <w:p>
            <w:pPr>
              <w:pStyle w:val="yTableNAm"/>
              <w:ind w:right="172"/>
              <w:jc w:val="right"/>
            </w:pPr>
            <w:r>
              <w:t>34.40</w:t>
            </w:r>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26.90 plus</w:t>
            </w:r>
            <w:r>
              <w:br/>
              <w:t>10.20 per page</w:t>
            </w:r>
          </w:p>
        </w:tc>
        <w:tc>
          <w:tcPr>
            <w:tcW w:w="1276" w:type="dxa"/>
            <w:tcBorders>
              <w:top w:val="nil"/>
              <w:left w:val="nil"/>
              <w:bottom w:val="nil"/>
              <w:right w:val="nil"/>
            </w:tcBorders>
            <w:noWrap/>
          </w:tcPr>
          <w:p>
            <w:pPr>
              <w:pStyle w:val="yTableNAm"/>
              <w:keepNext/>
            </w:pPr>
            <w:r>
              <w:t>26.90 plus</w:t>
            </w:r>
            <w:r>
              <w:br/>
              <w:t>20.30 per page</w:t>
            </w:r>
          </w:p>
        </w:tc>
        <w:tc>
          <w:tcPr>
            <w:tcW w:w="1276" w:type="dxa"/>
            <w:tcBorders>
              <w:top w:val="nil"/>
              <w:left w:val="nil"/>
              <w:bottom w:val="nil"/>
              <w:right w:val="nil"/>
            </w:tcBorders>
            <w:noWrap/>
          </w:tcPr>
          <w:p>
            <w:pPr>
              <w:pStyle w:val="yTableNAm"/>
              <w:keepNext/>
            </w:pPr>
            <w:r>
              <w:t xml:space="preserve">8.05 plus </w:t>
            </w:r>
            <w:r>
              <w:br/>
              <w:t>3.05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28.10 per copy</w:t>
            </w:r>
          </w:p>
        </w:tc>
        <w:tc>
          <w:tcPr>
            <w:tcW w:w="1276" w:type="dxa"/>
            <w:tcBorders>
              <w:top w:val="nil"/>
              <w:left w:val="nil"/>
              <w:bottom w:val="nil"/>
              <w:right w:val="nil"/>
            </w:tcBorders>
            <w:noWrap/>
          </w:tcPr>
          <w:p>
            <w:pPr>
              <w:pStyle w:val="yTableNAm"/>
            </w:pPr>
            <w:r>
              <w:t>28.10 per copy</w:t>
            </w:r>
          </w:p>
        </w:tc>
        <w:tc>
          <w:tcPr>
            <w:tcW w:w="1276" w:type="dxa"/>
            <w:tcBorders>
              <w:top w:val="nil"/>
              <w:left w:val="nil"/>
              <w:bottom w:val="nil"/>
              <w:right w:val="nil"/>
            </w:tcBorders>
            <w:noWrap/>
          </w:tcPr>
          <w:p>
            <w:pPr>
              <w:pStyle w:val="yTableNAm"/>
            </w:pPr>
            <w:r>
              <w:t>8.45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r>
              <w:t>464.00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lastRenderedPageBreak/>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1 117.00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1 117.00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1 117.00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1 117.00</w:t>
            </w:r>
          </w:p>
        </w:tc>
        <w:tc>
          <w:tcPr>
            <w:tcW w:w="1276" w:type="dxa"/>
            <w:tcBorders>
              <w:top w:val="nil"/>
              <w:left w:val="nil"/>
              <w:bottom w:val="nil"/>
              <w:right w:val="nil"/>
            </w:tcBorders>
            <w:noWrap/>
            <w:vAlign w:val="bottom"/>
          </w:tcPr>
          <w:p>
            <w:pPr>
              <w:pStyle w:val="yTableNAm"/>
              <w:ind w:right="172"/>
              <w:jc w:val="right"/>
            </w:pPr>
            <w:r>
              <w:t>2 186.00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right w:val="nil"/>
            </w:tcBorders>
            <w:noWrap/>
          </w:tcPr>
          <w:p>
            <w:pPr>
              <w:pStyle w:val="yTableNAm"/>
            </w:pPr>
            <w:r>
              <w:t>18.</w:t>
            </w:r>
          </w:p>
        </w:tc>
        <w:tc>
          <w:tcPr>
            <w:tcW w:w="2410" w:type="dxa"/>
            <w:tcBorders>
              <w:top w:val="nil"/>
              <w:left w:val="nil"/>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right w:val="nil"/>
            </w:tcBorders>
            <w:noWrap/>
            <w:vAlign w:val="bottom"/>
          </w:tcPr>
          <w:p>
            <w:pPr>
              <w:pStyle w:val="yTableNAm"/>
              <w:ind w:right="172"/>
              <w:jc w:val="right"/>
            </w:pPr>
            <w:r>
              <w:t>1 117.00</w:t>
            </w:r>
          </w:p>
        </w:tc>
        <w:tc>
          <w:tcPr>
            <w:tcW w:w="1276" w:type="dxa"/>
            <w:tcBorders>
              <w:top w:val="nil"/>
              <w:left w:val="nil"/>
              <w:right w:val="nil"/>
            </w:tcBorders>
            <w:noWrap/>
            <w:vAlign w:val="bottom"/>
          </w:tcPr>
          <w:p>
            <w:pPr>
              <w:pStyle w:val="yTableNAm"/>
              <w:ind w:right="172"/>
              <w:jc w:val="right"/>
            </w:pPr>
            <w:r>
              <w:t>2 186.00</w:t>
            </w:r>
          </w:p>
        </w:tc>
        <w:tc>
          <w:tcPr>
            <w:tcW w:w="1276" w:type="dxa"/>
            <w:tcBorders>
              <w:top w:val="nil"/>
              <w:left w:val="nil"/>
              <w:right w:val="nil"/>
            </w:tcBorders>
            <w:noWrap/>
            <w:vAlign w:val="bottom"/>
          </w:tcPr>
          <w:p>
            <w:pPr>
              <w:pStyle w:val="yTableNAm"/>
              <w:ind w:right="172"/>
              <w:jc w:val="right"/>
            </w:pPr>
            <w:r>
              <w:t>100.00</w:t>
            </w:r>
          </w:p>
        </w:tc>
      </w:tr>
    </w:tbl>
    <w:p>
      <w:pPr>
        <w:pStyle w:val="yFootnotesection"/>
      </w:pPr>
      <w:r>
        <w:tab/>
        <w:t>[Division 1 inserted: SL 2023/120 r. 41.]</w:t>
      </w:r>
    </w:p>
    <w:p>
      <w:pPr>
        <w:pStyle w:val="yHeading3"/>
      </w:pPr>
      <w:bookmarkStart w:id="22" w:name="_Toc155173811"/>
      <w:r>
        <w:rPr>
          <w:rStyle w:val="CharSDivNo"/>
        </w:rPr>
        <w:t>Division 2</w:t>
      </w:r>
      <w:r>
        <w:t> — </w:t>
      </w:r>
      <w:r>
        <w:rPr>
          <w:rStyle w:val="CharSDivText"/>
        </w:rPr>
        <w:t>Court of Appeal fees</w:t>
      </w:r>
      <w:bookmarkEnd w:id="22"/>
    </w:p>
    <w:p>
      <w:pPr>
        <w:pStyle w:val="yFootnoteheading"/>
        <w:spacing w:after="80"/>
      </w:pPr>
      <w:r>
        <w:tab/>
        <w:t>[Heading inserted: SL 2023/120 r. 41.]</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r>
              <w:t>288.00</w:t>
            </w:r>
          </w:p>
        </w:tc>
        <w:tc>
          <w:tcPr>
            <w:tcW w:w="1276" w:type="dxa"/>
            <w:tcBorders>
              <w:top w:val="single" w:sz="4" w:space="0" w:color="auto"/>
              <w:left w:val="nil"/>
              <w:bottom w:val="nil"/>
              <w:right w:val="nil"/>
            </w:tcBorders>
            <w:noWrap/>
            <w:vAlign w:val="bottom"/>
          </w:tcPr>
          <w:p>
            <w:pPr>
              <w:pStyle w:val="yTableNAm"/>
              <w:ind w:right="172"/>
              <w:jc w:val="right"/>
            </w:pPr>
            <w:r>
              <w:t>749.00</w:t>
            </w:r>
          </w:p>
        </w:tc>
        <w:tc>
          <w:tcPr>
            <w:tcW w:w="1276" w:type="dxa"/>
            <w:tcBorders>
              <w:top w:val="single" w:sz="4" w:space="0" w:color="auto"/>
              <w:left w:val="nil"/>
              <w:bottom w:val="nil"/>
              <w:right w:val="nil"/>
            </w:tcBorders>
            <w:noWrap/>
            <w:vAlign w:val="bottom"/>
          </w:tcPr>
          <w:p>
            <w:pPr>
              <w:pStyle w:val="yTableNAm"/>
              <w:ind w:right="172"/>
              <w:jc w:val="right"/>
            </w:pPr>
            <w:r>
              <w:t>86.50</w:t>
            </w:r>
          </w:p>
        </w:tc>
      </w:tr>
      <w:tr>
        <w:trPr>
          <w:cantSplit/>
        </w:trPr>
        <w:tc>
          <w:tcPr>
            <w:tcW w:w="714" w:type="dxa"/>
            <w:tcBorders>
              <w:top w:val="nil"/>
              <w:left w:val="nil"/>
              <w:bottom w:val="nil"/>
              <w:right w:val="nil"/>
            </w:tcBorders>
            <w:noWrap/>
          </w:tcPr>
          <w:p>
            <w:pPr>
              <w:pStyle w:val="yTableNAm"/>
            </w:pPr>
            <w:r>
              <w:t>2.</w:t>
            </w:r>
          </w:p>
        </w:tc>
        <w:tc>
          <w:tcPr>
            <w:tcW w:w="2369" w:type="dxa"/>
            <w:tcBorders>
              <w:top w:val="nil"/>
              <w:left w:val="nil"/>
              <w:bottom w:val="nil"/>
              <w:right w:val="nil"/>
            </w:tcBorders>
            <w:noWrap/>
          </w:tcPr>
          <w:p>
            <w:pPr>
              <w:pStyle w:val="yTableNAm"/>
            </w:pPr>
            <w:r>
              <w:t xml:space="preserve">On filing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4 348.00</w:t>
            </w:r>
          </w:p>
        </w:tc>
        <w:tc>
          <w:tcPr>
            <w:tcW w:w="1276" w:type="dxa"/>
            <w:tcBorders>
              <w:top w:val="nil"/>
              <w:left w:val="nil"/>
              <w:bottom w:val="nil"/>
              <w:right w:val="nil"/>
            </w:tcBorders>
            <w:noWrap/>
            <w:vAlign w:val="bottom"/>
          </w:tcPr>
          <w:p>
            <w:pPr>
              <w:pStyle w:val="yTableNAm"/>
              <w:ind w:right="172"/>
              <w:jc w:val="right"/>
            </w:pPr>
            <w:r>
              <w:t>11 301.00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4 348.00</w:t>
            </w:r>
          </w:p>
        </w:tc>
        <w:tc>
          <w:tcPr>
            <w:tcW w:w="1276" w:type="dxa"/>
            <w:tcBorders>
              <w:top w:val="nil"/>
              <w:left w:val="nil"/>
              <w:bottom w:val="nil"/>
              <w:right w:val="nil"/>
            </w:tcBorders>
            <w:noWrap/>
            <w:vAlign w:val="bottom"/>
          </w:tcPr>
          <w:p>
            <w:pPr>
              <w:pStyle w:val="yTableNAm"/>
              <w:ind w:right="172"/>
              <w:jc w:val="right"/>
            </w:pPr>
            <w:r>
              <w:t>11 301.00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r>
              <w:t>577.00</w:t>
            </w:r>
          </w:p>
        </w:tc>
        <w:tc>
          <w:tcPr>
            <w:tcW w:w="1276" w:type="dxa"/>
            <w:tcBorders>
              <w:top w:val="nil"/>
              <w:left w:val="nil"/>
              <w:bottom w:val="nil"/>
              <w:right w:val="nil"/>
            </w:tcBorders>
            <w:noWrap/>
            <w:vAlign w:val="bottom"/>
          </w:tcPr>
          <w:p>
            <w:pPr>
              <w:pStyle w:val="yTableNAm"/>
              <w:ind w:right="172"/>
              <w:jc w:val="right"/>
            </w:pPr>
            <w:r>
              <w:t>1 130.00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r>
              <w:t>407.00</w:t>
            </w:r>
          </w:p>
        </w:tc>
        <w:tc>
          <w:tcPr>
            <w:tcW w:w="1276" w:type="dxa"/>
            <w:tcBorders>
              <w:top w:val="nil"/>
              <w:left w:val="nil"/>
              <w:bottom w:val="nil"/>
              <w:right w:val="nil"/>
            </w:tcBorders>
            <w:noWrap/>
            <w:vAlign w:val="bottom"/>
          </w:tcPr>
          <w:p>
            <w:pPr>
              <w:pStyle w:val="yTableNAm"/>
              <w:ind w:right="172"/>
              <w:jc w:val="right"/>
            </w:pPr>
            <w:r>
              <w:t>790.00</w:t>
            </w:r>
          </w:p>
        </w:tc>
        <w:tc>
          <w:tcPr>
            <w:tcW w:w="1276" w:type="dxa"/>
            <w:tcBorders>
              <w:top w:val="nil"/>
              <w:left w:val="nil"/>
              <w:bottom w:val="nil"/>
              <w:right w:val="nil"/>
            </w:tcBorders>
            <w:noWrap/>
            <w:vAlign w:val="bottom"/>
          </w:tcPr>
          <w:p>
            <w:pPr>
              <w:pStyle w:val="yTableNAm"/>
              <w:ind w:right="172"/>
              <w:jc w:val="center"/>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1 452.00</w:t>
            </w:r>
          </w:p>
        </w:tc>
        <w:tc>
          <w:tcPr>
            <w:tcW w:w="1276" w:type="dxa"/>
            <w:tcBorders>
              <w:top w:val="nil"/>
              <w:left w:val="nil"/>
              <w:bottom w:val="nil"/>
              <w:right w:val="nil"/>
            </w:tcBorders>
            <w:noWrap/>
            <w:vAlign w:val="center"/>
          </w:tcPr>
          <w:p>
            <w:pPr>
              <w:pStyle w:val="yTableNAm"/>
              <w:ind w:right="172"/>
              <w:jc w:val="right"/>
            </w:pPr>
            <w:r>
              <w:t>2 820.00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1 158.00 for each day allocated</w:t>
            </w:r>
          </w:p>
        </w:tc>
        <w:tc>
          <w:tcPr>
            <w:tcW w:w="1276" w:type="dxa"/>
            <w:tcBorders>
              <w:top w:val="nil"/>
              <w:left w:val="nil"/>
              <w:bottom w:val="nil"/>
              <w:right w:val="nil"/>
            </w:tcBorders>
            <w:noWrap/>
            <w:vAlign w:val="bottom"/>
          </w:tcPr>
          <w:p>
            <w:pPr>
              <w:pStyle w:val="yTableNAm"/>
              <w:jc w:val="center"/>
            </w:pPr>
            <w:r>
              <w:t>3 007.00 for each day allocated</w:t>
            </w:r>
          </w:p>
        </w:tc>
        <w:tc>
          <w:tcPr>
            <w:tcW w:w="1276" w:type="dxa"/>
            <w:tcBorders>
              <w:top w:val="nil"/>
              <w:left w:val="nil"/>
              <w:bottom w:val="nil"/>
              <w:right w:val="nil"/>
            </w:tcBorders>
            <w:noWrap/>
          </w:tcPr>
          <w:p>
            <w:pPr>
              <w:pStyle w:val="yTableNAm"/>
              <w:jc w:val="center"/>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1 158.00</w:t>
            </w:r>
          </w:p>
        </w:tc>
        <w:tc>
          <w:tcPr>
            <w:tcW w:w="1276" w:type="dxa"/>
            <w:tcBorders>
              <w:top w:val="nil"/>
              <w:left w:val="nil"/>
              <w:bottom w:val="nil"/>
              <w:right w:val="nil"/>
            </w:tcBorders>
            <w:noWrap/>
            <w:vAlign w:val="center"/>
          </w:tcPr>
          <w:p>
            <w:pPr>
              <w:pStyle w:val="yTableNAm"/>
              <w:ind w:right="172"/>
              <w:jc w:val="right"/>
            </w:pPr>
            <w:r>
              <w:t>3 007.00</w:t>
            </w:r>
          </w:p>
        </w:tc>
        <w:tc>
          <w:tcPr>
            <w:tcW w:w="1276" w:type="dxa"/>
            <w:tcBorders>
              <w:top w:val="nil"/>
              <w:left w:val="nil"/>
              <w:bottom w:val="nil"/>
              <w:right w:val="nil"/>
            </w:tcBorders>
            <w:noWrap/>
            <w:vAlign w:val="center"/>
          </w:tcPr>
          <w:p>
            <w:pPr>
              <w:pStyle w:val="yTableNAm"/>
              <w:jc w:val="center"/>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lastRenderedPageBreak/>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2.35</w:t>
            </w:r>
          </w:p>
        </w:tc>
        <w:tc>
          <w:tcPr>
            <w:tcW w:w="1276" w:type="dxa"/>
            <w:tcBorders>
              <w:top w:val="nil"/>
              <w:left w:val="nil"/>
              <w:bottom w:val="nil"/>
              <w:right w:val="nil"/>
            </w:tcBorders>
            <w:noWrap/>
            <w:vAlign w:val="bottom"/>
          </w:tcPr>
          <w:p>
            <w:pPr>
              <w:pStyle w:val="yTableNAm"/>
              <w:ind w:right="172"/>
              <w:jc w:val="right"/>
            </w:pPr>
            <w:r>
              <w:t>2.35</w:t>
            </w:r>
          </w:p>
        </w:tc>
        <w:tc>
          <w:tcPr>
            <w:tcW w:w="1276" w:type="dxa"/>
            <w:tcBorders>
              <w:top w:val="nil"/>
              <w:left w:val="nil"/>
              <w:bottom w:val="nil"/>
              <w:right w:val="nil"/>
            </w:tcBorders>
            <w:noWrap/>
            <w:vAlign w:val="bottom"/>
          </w:tcPr>
          <w:p>
            <w:pPr>
              <w:pStyle w:val="yTableNAm"/>
              <w:ind w:right="172"/>
              <w:jc w:val="right"/>
            </w:pPr>
            <w:r>
              <w:t>2.35</w:t>
            </w:r>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r>
              <w:t>58.50</w:t>
            </w:r>
          </w:p>
        </w:tc>
        <w:tc>
          <w:tcPr>
            <w:tcW w:w="1276" w:type="dxa"/>
            <w:tcBorders>
              <w:top w:val="nil"/>
              <w:left w:val="nil"/>
              <w:bottom w:val="nil"/>
              <w:right w:val="nil"/>
            </w:tcBorders>
            <w:noWrap/>
            <w:vAlign w:val="bottom"/>
          </w:tcPr>
          <w:p>
            <w:pPr>
              <w:pStyle w:val="yTableNAm"/>
              <w:ind w:right="172"/>
              <w:jc w:val="right"/>
            </w:pPr>
            <w:r>
              <w:t>58.50</w:t>
            </w:r>
          </w:p>
        </w:tc>
        <w:tc>
          <w:tcPr>
            <w:tcW w:w="1276" w:type="dxa"/>
            <w:tcBorders>
              <w:top w:val="nil"/>
              <w:left w:val="nil"/>
              <w:bottom w:val="nil"/>
              <w:right w:val="nil"/>
            </w:tcBorders>
            <w:noWrap/>
            <w:vAlign w:val="bottom"/>
          </w:tcPr>
          <w:p>
            <w:pPr>
              <w:pStyle w:val="yTableNAm"/>
              <w:ind w:right="172"/>
              <w:jc w:val="right"/>
            </w:pPr>
            <w:r>
              <w:t>17.55</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2.45</w:t>
            </w:r>
          </w:p>
        </w:tc>
        <w:tc>
          <w:tcPr>
            <w:tcW w:w="1276" w:type="dxa"/>
            <w:tcBorders>
              <w:top w:val="nil"/>
              <w:left w:val="nil"/>
              <w:bottom w:val="nil"/>
              <w:right w:val="nil"/>
            </w:tcBorders>
            <w:noWrap/>
            <w:vAlign w:val="bottom"/>
          </w:tcPr>
          <w:p>
            <w:pPr>
              <w:pStyle w:val="yTableNAm"/>
              <w:ind w:right="172"/>
              <w:jc w:val="right"/>
            </w:pPr>
            <w:r>
              <w:t>2.45</w:t>
            </w:r>
          </w:p>
        </w:tc>
        <w:tc>
          <w:tcPr>
            <w:tcW w:w="1276" w:type="dxa"/>
            <w:tcBorders>
              <w:top w:val="nil"/>
              <w:left w:val="nil"/>
              <w:bottom w:val="nil"/>
              <w:right w:val="nil"/>
            </w:tcBorders>
            <w:noWrap/>
            <w:vAlign w:val="bottom"/>
          </w:tcPr>
          <w:p>
            <w:pPr>
              <w:pStyle w:val="yTableNAm"/>
              <w:ind w:right="172"/>
              <w:jc w:val="right"/>
            </w:pPr>
            <w:r>
              <w:t>0.75</w:t>
            </w:r>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r>
              <w:t>20.40</w:t>
            </w:r>
          </w:p>
        </w:tc>
        <w:tc>
          <w:tcPr>
            <w:tcW w:w="1276" w:type="dxa"/>
            <w:tcBorders>
              <w:top w:val="nil"/>
              <w:left w:val="nil"/>
              <w:bottom w:val="nil"/>
              <w:right w:val="nil"/>
            </w:tcBorders>
            <w:noWrap/>
            <w:vAlign w:val="bottom"/>
          </w:tcPr>
          <w:p>
            <w:pPr>
              <w:pStyle w:val="yTableNAm"/>
              <w:ind w:right="172"/>
              <w:jc w:val="right"/>
            </w:pPr>
            <w:r>
              <w:t>20.40</w:t>
            </w:r>
          </w:p>
        </w:tc>
        <w:tc>
          <w:tcPr>
            <w:tcW w:w="1276" w:type="dxa"/>
            <w:tcBorders>
              <w:top w:val="nil"/>
              <w:left w:val="nil"/>
              <w:bottom w:val="nil"/>
              <w:right w:val="nil"/>
            </w:tcBorders>
            <w:noWrap/>
            <w:vAlign w:val="bottom"/>
          </w:tcPr>
          <w:p>
            <w:pPr>
              <w:pStyle w:val="yTableNAm"/>
              <w:ind w:right="172"/>
              <w:jc w:val="right"/>
            </w:pPr>
            <w:r>
              <w:t>6.10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r>
              <w:t>20.40</w:t>
            </w:r>
          </w:p>
        </w:tc>
        <w:tc>
          <w:tcPr>
            <w:tcW w:w="1276" w:type="dxa"/>
            <w:tcBorders>
              <w:top w:val="nil"/>
              <w:left w:val="nil"/>
              <w:bottom w:val="nil"/>
              <w:right w:val="nil"/>
            </w:tcBorders>
            <w:noWrap/>
            <w:vAlign w:val="bottom"/>
          </w:tcPr>
          <w:p>
            <w:pPr>
              <w:pStyle w:val="yTableNAm"/>
              <w:ind w:right="172"/>
              <w:jc w:val="right"/>
            </w:pPr>
            <w:r>
              <w:t>20.40</w:t>
            </w:r>
          </w:p>
        </w:tc>
        <w:tc>
          <w:tcPr>
            <w:tcW w:w="1276" w:type="dxa"/>
            <w:tcBorders>
              <w:top w:val="nil"/>
              <w:left w:val="nil"/>
              <w:bottom w:val="nil"/>
              <w:right w:val="nil"/>
            </w:tcBorders>
            <w:noWrap/>
            <w:vAlign w:val="bottom"/>
          </w:tcPr>
          <w:p>
            <w:pPr>
              <w:pStyle w:val="yTableNAm"/>
              <w:ind w:right="172"/>
              <w:jc w:val="right"/>
            </w:pPr>
            <w:r>
              <w:t>6.10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0.80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27.20</w:t>
            </w:r>
          </w:p>
        </w:tc>
        <w:tc>
          <w:tcPr>
            <w:tcW w:w="1276" w:type="dxa"/>
            <w:tcBorders>
              <w:top w:val="nil"/>
              <w:left w:val="nil"/>
              <w:bottom w:val="nil"/>
              <w:right w:val="nil"/>
            </w:tcBorders>
            <w:noWrap/>
            <w:vAlign w:val="bottom"/>
          </w:tcPr>
          <w:p>
            <w:pPr>
              <w:pStyle w:val="yTableNAm"/>
              <w:ind w:right="172"/>
              <w:jc w:val="right"/>
            </w:pPr>
            <w:r>
              <w:t>27.20</w:t>
            </w:r>
          </w:p>
        </w:tc>
        <w:tc>
          <w:tcPr>
            <w:tcW w:w="1276" w:type="dxa"/>
            <w:tcBorders>
              <w:top w:val="nil"/>
              <w:left w:val="nil"/>
              <w:bottom w:val="nil"/>
              <w:right w:val="nil"/>
            </w:tcBorders>
            <w:noWrap/>
            <w:vAlign w:val="bottom"/>
          </w:tcPr>
          <w:p>
            <w:pPr>
              <w:pStyle w:val="yTableNAm"/>
              <w:ind w:right="172"/>
              <w:jc w:val="right"/>
            </w:pPr>
            <w:r>
              <w:t>8.15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55.00</w:t>
            </w:r>
          </w:p>
        </w:tc>
        <w:tc>
          <w:tcPr>
            <w:tcW w:w="1276" w:type="dxa"/>
            <w:tcBorders>
              <w:top w:val="nil"/>
              <w:left w:val="nil"/>
              <w:bottom w:val="nil"/>
              <w:right w:val="nil"/>
            </w:tcBorders>
            <w:noWrap/>
            <w:vAlign w:val="bottom"/>
          </w:tcPr>
          <w:p>
            <w:pPr>
              <w:pStyle w:val="yTableNAm"/>
              <w:ind w:right="172"/>
              <w:jc w:val="right"/>
            </w:pPr>
            <w:r>
              <w:t>55.00</w:t>
            </w:r>
          </w:p>
        </w:tc>
        <w:tc>
          <w:tcPr>
            <w:tcW w:w="1276" w:type="dxa"/>
            <w:tcBorders>
              <w:top w:val="nil"/>
              <w:left w:val="nil"/>
              <w:bottom w:val="nil"/>
              <w:right w:val="nil"/>
            </w:tcBorders>
            <w:noWrap/>
            <w:vAlign w:val="bottom"/>
          </w:tcPr>
          <w:p>
            <w:pPr>
              <w:pStyle w:val="yTableNAm"/>
              <w:ind w:right="172"/>
              <w:jc w:val="right"/>
            </w:pPr>
            <w:r>
              <w:t>16.50</w:t>
            </w:r>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26.90 plus</w:t>
            </w:r>
            <w:r>
              <w:br/>
              <w:t>10.20 per page</w:t>
            </w:r>
          </w:p>
        </w:tc>
        <w:tc>
          <w:tcPr>
            <w:tcW w:w="1276" w:type="dxa"/>
            <w:tcBorders>
              <w:top w:val="nil"/>
              <w:left w:val="nil"/>
              <w:bottom w:val="nil"/>
              <w:right w:val="nil"/>
            </w:tcBorders>
            <w:noWrap/>
          </w:tcPr>
          <w:p>
            <w:pPr>
              <w:pStyle w:val="yTableNAm"/>
              <w:keepNext/>
            </w:pPr>
            <w:r>
              <w:t>26.90 plus</w:t>
            </w:r>
            <w:r>
              <w:br/>
              <w:t>20.30 per page</w:t>
            </w:r>
          </w:p>
        </w:tc>
        <w:tc>
          <w:tcPr>
            <w:tcW w:w="1276" w:type="dxa"/>
            <w:tcBorders>
              <w:top w:val="nil"/>
              <w:left w:val="nil"/>
              <w:bottom w:val="nil"/>
              <w:right w:val="nil"/>
            </w:tcBorders>
            <w:noWrap/>
          </w:tcPr>
          <w:p>
            <w:pPr>
              <w:pStyle w:val="yTableNAm"/>
              <w:keepNext/>
            </w:pPr>
            <w:r>
              <w:t xml:space="preserve">8.05 plus </w:t>
            </w:r>
            <w:r>
              <w:br/>
              <w:t>3.05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26.90 plus</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28.10 per copy</w:t>
            </w:r>
          </w:p>
        </w:tc>
        <w:tc>
          <w:tcPr>
            <w:tcW w:w="1276" w:type="dxa"/>
            <w:tcBorders>
              <w:top w:val="nil"/>
              <w:left w:val="nil"/>
              <w:bottom w:val="nil"/>
              <w:right w:val="nil"/>
            </w:tcBorders>
            <w:noWrap/>
          </w:tcPr>
          <w:p>
            <w:pPr>
              <w:pStyle w:val="yTableNAm"/>
            </w:pPr>
            <w:r>
              <w:t>28.10 per copy</w:t>
            </w:r>
          </w:p>
        </w:tc>
        <w:tc>
          <w:tcPr>
            <w:tcW w:w="1276" w:type="dxa"/>
            <w:tcBorders>
              <w:top w:val="nil"/>
              <w:left w:val="nil"/>
              <w:bottom w:val="nil"/>
              <w:right w:val="nil"/>
            </w:tcBorders>
            <w:noWrap/>
          </w:tcPr>
          <w:p>
            <w:pPr>
              <w:pStyle w:val="yTableNAm"/>
            </w:pPr>
            <w:r>
              <w:t>8.45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2.80 per page</w:t>
            </w:r>
          </w:p>
        </w:tc>
        <w:tc>
          <w:tcPr>
            <w:tcW w:w="1276" w:type="dxa"/>
            <w:tcBorders>
              <w:top w:val="nil"/>
              <w:left w:val="nil"/>
              <w:bottom w:val="single" w:sz="4" w:space="0" w:color="auto"/>
              <w:right w:val="nil"/>
            </w:tcBorders>
            <w:noWrap/>
          </w:tcPr>
          <w:p>
            <w:pPr>
              <w:pStyle w:val="yTableNAm"/>
            </w:pPr>
            <w:r>
              <w:t>2.80 per page</w:t>
            </w:r>
          </w:p>
        </w:tc>
        <w:tc>
          <w:tcPr>
            <w:tcW w:w="1276" w:type="dxa"/>
            <w:tcBorders>
              <w:top w:val="nil"/>
              <w:left w:val="nil"/>
              <w:bottom w:val="single" w:sz="4" w:space="0" w:color="auto"/>
              <w:right w:val="nil"/>
            </w:tcBorders>
            <w:noWrap/>
          </w:tcPr>
          <w:p>
            <w:pPr>
              <w:pStyle w:val="yTableNAm"/>
            </w:pPr>
            <w:r>
              <w:t>0.85 per page</w:t>
            </w:r>
          </w:p>
        </w:tc>
      </w:tr>
    </w:tbl>
    <w:p>
      <w:pPr>
        <w:pStyle w:val="yFootnotesection"/>
      </w:pPr>
      <w:r>
        <w:tab/>
        <w:t>[Division 2 inserted: SL 2023/120 r. 41.]</w:t>
      </w:r>
    </w:p>
    <w:p>
      <w:pPr>
        <w:pStyle w:val="yScheduleHeading"/>
      </w:pPr>
      <w:bookmarkStart w:id="23" w:name="_Toc155173812"/>
      <w:r>
        <w:rPr>
          <w:rStyle w:val="CharSchNo"/>
        </w:rPr>
        <w:lastRenderedPageBreak/>
        <w:t>Schedule 2</w:t>
      </w:r>
      <w:r>
        <w:rPr>
          <w:rStyle w:val="CharSDivNo"/>
        </w:rPr>
        <w:t> </w:t>
      </w:r>
      <w:r>
        <w:t>—</w:t>
      </w:r>
      <w:r>
        <w:rPr>
          <w:rStyle w:val="CharSDivText"/>
        </w:rPr>
        <w:t> </w:t>
      </w:r>
      <w:r>
        <w:rPr>
          <w:rStyle w:val="CharSchText"/>
        </w:rPr>
        <w:t>Sheriff’s fees</w:t>
      </w:r>
      <w:bookmarkEnd w:id="23"/>
    </w:p>
    <w:p>
      <w:pPr>
        <w:pStyle w:val="yShoulderClause"/>
      </w:pPr>
      <w:r>
        <w:t>[r. 4]</w:t>
      </w:r>
    </w:p>
    <w:p>
      <w:pPr>
        <w:pStyle w:val="yFootnoteheading"/>
        <w:spacing w:after="80"/>
      </w:pPr>
      <w:r>
        <w:tab/>
        <w:t>[Heading inserted: SL 2023/120 r. 41.]</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r>
              <w:t>185.50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r>
              <w:t>184.00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r>
              <w:t>48.60</w:t>
            </w:r>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r>
              <w:t>103.50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lastRenderedPageBreak/>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2.50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r>
              <w:t>2.80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r>
              <w:t>97.00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r>
              <w:t>313.00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reasonable amount paid</w:t>
            </w:r>
          </w:p>
        </w:tc>
      </w:tr>
    </w:tbl>
    <w:p>
      <w:pPr>
        <w:pStyle w:val="yFootnotesection"/>
      </w:pPr>
      <w:r>
        <w:tab/>
        <w:t>[Schedule 2 inserted: SL 2023/120 r. 41.]</w:t>
      </w:r>
    </w:p>
    <w:p>
      <w:pPr>
        <w:pStyle w:val="yScheduleHeading"/>
      </w:pPr>
      <w:bookmarkStart w:id="24" w:name="_Toc155173813"/>
      <w:r>
        <w:rPr>
          <w:rStyle w:val="CharSchNo"/>
        </w:rPr>
        <w:lastRenderedPageBreak/>
        <w:t>Schedule 3</w:t>
      </w:r>
      <w:r>
        <w:t> — </w:t>
      </w:r>
      <w:r>
        <w:rPr>
          <w:rStyle w:val="CharSchText"/>
        </w:rPr>
        <w:t>Probate fees</w:t>
      </w:r>
      <w:bookmarkEnd w:id="24"/>
    </w:p>
    <w:p>
      <w:pPr>
        <w:pStyle w:val="yShoulderClause"/>
      </w:pPr>
      <w:r>
        <w:t>[r. 4]</w:t>
      </w:r>
    </w:p>
    <w:p>
      <w:pPr>
        <w:pStyle w:val="yFootnoteheading"/>
        <w:spacing w:after="80"/>
      </w:pPr>
      <w:r>
        <w:tab/>
        <w:t>[Heading inserted: SL 2023/120 r. 41.]</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370.00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r>
              <w:t>114.50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r>
              <w:t>114.50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2.45</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r>
              <w:t>28.10</w:t>
            </w:r>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r>
              <w:t>145.00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r>
              <w:t>145.00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r>
              <w:t>58.50</w:t>
            </w:r>
          </w:p>
        </w:tc>
      </w:tr>
    </w:tbl>
    <w:p>
      <w:pPr>
        <w:pStyle w:val="yFootnotesection"/>
      </w:pPr>
      <w:r>
        <w:tab/>
        <w:t>[Schedule 3 inserted: SL 2023/120 r. 41.]</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6" w:name="_Toc155173814"/>
      <w:r>
        <w:rPr>
          <w:rStyle w:val="CharSchNo"/>
        </w:rPr>
        <w:lastRenderedPageBreak/>
        <w:t>Schedule 4</w:t>
      </w:r>
      <w:r>
        <w:t xml:space="preserve"> — </w:t>
      </w:r>
      <w:r>
        <w:rPr>
          <w:rStyle w:val="CharSchText"/>
        </w:rPr>
        <w:t>Forms</w:t>
      </w:r>
      <w:bookmarkEnd w:id="26"/>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lastRenderedPageBreak/>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lastRenderedPageBreak/>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lastRenderedPageBreak/>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lastRenderedPageBreak/>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lastRenderedPageBreak/>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27" w:name="_Toc155173815"/>
      <w:r>
        <w:lastRenderedPageBreak/>
        <w:t>Notes</w:t>
      </w:r>
      <w:bookmarkEnd w:id="27"/>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pPr>
        <w:pStyle w:val="nHeading3"/>
      </w:pPr>
      <w:bookmarkStart w:id="28" w:name="_Toc155173816"/>
      <w:r>
        <w:t>Compilation table</w:t>
      </w:r>
      <w:bookmarkEnd w:id="28"/>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lastRenderedPageBreak/>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lastRenderedPageBreak/>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single" w:sz="8" w:space="0" w:color="auto"/>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single" w:sz="8" w:space="0" w:color="auto"/>
            </w:tcBorders>
            <w:shd w:val="clear" w:color="auto" w:fill="auto"/>
          </w:tcPr>
          <w:p>
            <w:pPr>
              <w:pStyle w:val="nTable"/>
              <w:spacing w:after="40"/>
            </w:pPr>
            <w:r>
              <w:t>SL 2023/120 2 Aug 2023</w:t>
            </w:r>
          </w:p>
        </w:tc>
        <w:tc>
          <w:tcPr>
            <w:tcW w:w="2668" w:type="dxa"/>
            <w:tcBorders>
              <w:top w:val="nil"/>
              <w:bottom w:val="single" w:sz="8" w:space="0" w:color="auto"/>
            </w:tcBorders>
            <w:shd w:val="clear" w:color="auto" w:fill="auto"/>
          </w:tcPr>
          <w:p>
            <w:pPr>
              <w:pStyle w:val="nTable"/>
              <w:spacing w:after="40"/>
            </w:pPr>
            <w:r>
              <w:t>3 Aug 2023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0" w:name="_Toc155173817"/>
      <w:r>
        <w:rPr>
          <w:sz w:val="28"/>
        </w:rPr>
        <w:lastRenderedPageBreak/>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3</w:t>
      </w:r>
    </w:p>
    <w:p>
      <w:pPr>
        <w:pStyle w:val="DefinedTerms"/>
      </w:pPr>
      <w:r>
        <w:t>individual</w:t>
      </w:r>
      <w:r>
        <w:tab/>
        <w:t>2</w:t>
      </w:r>
    </w:p>
    <w:p>
      <w:pPr>
        <w:pStyle w:val="DefinedTerms"/>
      </w:pPr>
      <w:r>
        <w:t>metropolitan region</w:t>
      </w:r>
      <w:r>
        <w:tab/>
        <w:t>3</w:t>
      </w:r>
    </w:p>
    <w:p>
      <w:pPr>
        <w:pStyle w:val="DefinedTerms"/>
      </w:pPr>
      <w:r>
        <w:t>non-profit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29D4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FC163D" w14:textId="220EE9DE" w:rsidR="00FD0212" w:rsidRDefault="00FD02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2079F">
                        <w:rPr>
                          <w:sz w:val="16"/>
                        </w:rPr>
                        <w:t>2023</w:t>
                      </w:r>
                      <w:r>
                        <w:rPr>
                          <w:sz w:val="16"/>
                        </w:rPr>
                        <w:fldChar w:fldCharType="end"/>
                      </w:r>
                      <w:r>
                        <w:rPr>
                          <w:sz w:val="16"/>
                        </w:rPr>
                        <w:t>.</w:t>
                      </w:r>
                    </w:p>
                    <w:p w14:paraId="0EEDD304" w14:textId="77777777" w:rsidR="00FD0212" w:rsidRDefault="00FD02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C5046A" w14:textId="5773735E" w:rsidR="00FD0212" w:rsidRDefault="00FD02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2079F">
                        <w:rPr>
                          <w:sz w:val="16"/>
                        </w:rPr>
                        <w:t>2023</w:t>
                      </w:r>
                      <w:r>
                        <w:rPr>
                          <w:sz w:val="16"/>
                        </w:rPr>
                        <w:fldChar w:fldCharType="end"/>
                      </w:r>
                      <w:r>
                        <w:rPr>
                          <w:sz w:val="16"/>
                        </w:rPr>
                        <w:t>.</w:t>
                      </w:r>
                    </w:p>
                    <w:p w14:paraId="254726AF" w14:textId="77777777" w:rsidR="00FD0212" w:rsidRDefault="00FD02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849"/>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9975</Words>
  <Characters>47786</Characters>
  <Application>Microsoft Office Word</Application>
  <DocSecurity>0</DocSecurity>
  <Lines>2515</Lines>
  <Paragraphs>1444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2002 - 04-e0-02</dc:title>
  <dc:subject/>
  <dc:creator/>
  <cp:keywords/>
  <dc:description/>
  <cp:lastModifiedBy>Master Repository Process</cp:lastModifiedBy>
  <cp:revision>4</cp:revision>
  <cp:lastPrinted>2019-10-17T05:41:00Z</cp:lastPrinted>
  <dcterms:created xsi:type="dcterms:W3CDTF">2025-05-30T02:38:00Z</dcterms:created>
  <dcterms:modified xsi:type="dcterms:W3CDTF">2025-05-30T02:38:00Z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AsAtDate">
    <vt:lpwstr>03 Aug 2023</vt:lpwstr>
  </property>
  <property fmtid="{D5CDD505-2E9C-101B-9397-08002B2CF9AE}" pid="8" name="Suffix">
    <vt:lpwstr>04-e0-02</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