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(Fees)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_Toc200111687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_Toc200111688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_Toc200111689 \h </w:instrText>
      </w:r>
      <w:r>
        <w:fldChar w:fldCharType="separate"/>
      </w:r>
      <w:r>
        <w:t>1</w:t>
      </w:r>
      <w:r>
        <w:fldChar w:fldCharType="end"/>
      </w:r>
    </w:p>
    <w:p>
      <w:pPr>
        <w:pStyle w:val="TOC8"/>
        <w:rPr>
          <w:rFonts w:asciiTheme="minorHAnsi" w:eastAsiaTheme="minorEastAsia" w:hAnsiTheme="minorHAnsi" w:cstheme="minorBidi"/>
          <w:szCs w:val="22"/>
        </w:rPr>
      </w:pPr>
      <w:r>
        <w:t>4.</w:t>
      </w:r>
      <w:r>
        <w:tab/>
        <w:t>General fees</w:t>
      </w:r>
      <w:r>
        <w:tab/>
      </w:r>
      <w:r>
        <w:fldChar w:fldCharType="begin"/>
      </w:r>
      <w:r>
        <w:instrText xml:space="preserve"> PAGEREF _Toc200111690 \h </w:instrText>
      </w:r>
      <w:r>
        <w:fldChar w:fldCharType="separate"/>
      </w:r>
      <w:r>
        <w:t>3</w:t>
      </w:r>
      <w:r>
        <w:fldChar w:fldCharType="end"/>
      </w:r>
    </w:p>
    <w:p>
      <w:pPr>
        <w:pStyle w:val="TOC8"/>
        <w:rPr>
          <w:rFonts w:asciiTheme="minorHAnsi" w:eastAsiaTheme="minorEastAsia" w:hAnsiTheme="minorHAnsi" w:cstheme="minorBidi"/>
          <w:szCs w:val="22"/>
        </w:rPr>
      </w:pPr>
      <w:r>
        <w:t>5A.</w:t>
      </w:r>
      <w:r>
        <w:tab/>
        <w:t>Fees for small businesses and non</w:t>
      </w:r>
      <w:r>
        <w:noBreakHyphen/>
        <w:t>profit associations</w:t>
      </w:r>
      <w:r>
        <w:tab/>
      </w:r>
      <w:r>
        <w:fldChar w:fldCharType="begin"/>
      </w:r>
      <w:r>
        <w:instrText xml:space="preserve"> PAGEREF _Toc200111691 \h </w:instrText>
      </w:r>
      <w:r>
        <w:fldChar w:fldCharType="separate"/>
      </w:r>
      <w:r>
        <w:t>5</w:t>
      </w:r>
      <w:r>
        <w:fldChar w:fldCharType="end"/>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_Toc200111692 \h </w:instrText>
      </w:r>
      <w:r>
        <w:fldChar w:fldCharType="separate"/>
      </w:r>
      <w:r>
        <w:t>5</w:t>
      </w:r>
      <w:r>
        <w:fldChar w:fldCharType="end"/>
      </w:r>
    </w:p>
    <w:p>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_Toc200111693 \h </w:instrText>
      </w:r>
      <w:r>
        <w:fldChar w:fldCharType="separate"/>
      </w:r>
      <w:r>
        <w:t>6</w:t>
      </w:r>
      <w:r>
        <w:fldChar w:fldCharType="end"/>
      </w:r>
    </w:p>
    <w:p>
      <w:pPr>
        <w:pStyle w:val="TOC8"/>
        <w:rPr>
          <w:rFonts w:asciiTheme="minorHAnsi" w:eastAsiaTheme="minorEastAsia" w:hAnsiTheme="minorHAnsi" w:cstheme="minorBidi"/>
          <w:szCs w:val="22"/>
        </w:rPr>
      </w:pPr>
      <w:r>
        <w:t>6A.</w:t>
      </w:r>
      <w:r>
        <w:tab/>
        <w:t>Certain transcript fees must be waived</w:t>
      </w:r>
      <w:r>
        <w:tab/>
      </w:r>
      <w:r>
        <w:fldChar w:fldCharType="begin"/>
      </w:r>
      <w:r>
        <w:instrText xml:space="preserve"> PAGEREF _Toc200111694 \h </w:instrText>
      </w:r>
      <w:r>
        <w:fldChar w:fldCharType="separate"/>
      </w:r>
      <w:r>
        <w:t>7</w:t>
      </w:r>
      <w:r>
        <w:fldChar w:fldCharType="end"/>
      </w:r>
    </w:p>
    <w:p>
      <w:pPr>
        <w:pStyle w:val="TOC8"/>
        <w:rPr>
          <w:rFonts w:asciiTheme="minorHAnsi" w:eastAsiaTheme="minorEastAsia" w:hAnsiTheme="minorHAnsi" w:cstheme="minorBidi"/>
          <w:szCs w:val="22"/>
        </w:rPr>
      </w:pPr>
      <w:r>
        <w:t>6B.</w:t>
      </w:r>
      <w:r>
        <w:tab/>
        <w:t>Certain application fees may be waived</w:t>
      </w:r>
      <w:r>
        <w:tab/>
      </w:r>
      <w:r>
        <w:fldChar w:fldCharType="begin"/>
      </w:r>
      <w:r>
        <w:instrText xml:space="preserve"> PAGEREF _Toc200111695 \h </w:instrText>
      </w:r>
      <w:r>
        <w:fldChar w:fldCharType="separate"/>
      </w:r>
      <w:r>
        <w:t>8</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w:t>
      </w:r>
      <w:r>
        <w:tab/>
      </w:r>
      <w:r>
        <w:fldChar w:fldCharType="begin"/>
      </w:r>
      <w:r>
        <w:instrText xml:space="preserve"> PAGEREF _Toc200111696 \h </w:instrText>
      </w:r>
      <w:r>
        <w:fldChar w:fldCharType="separate"/>
      </w:r>
      <w:r>
        <w:t>8</w:t>
      </w:r>
      <w:r>
        <w:fldChar w:fldCharType="end"/>
      </w:r>
    </w:p>
    <w:p>
      <w:pPr>
        <w:pStyle w:val="TOC8"/>
        <w:rPr>
          <w:rFonts w:asciiTheme="minorHAnsi" w:eastAsiaTheme="minorEastAsia" w:hAnsiTheme="minorHAnsi" w:cstheme="minorBidi"/>
          <w:szCs w:val="22"/>
        </w:rPr>
      </w:pPr>
      <w:r>
        <w:t>8.</w:t>
      </w:r>
      <w:r>
        <w:tab/>
        <w:t>Who is an eligible individual or eligible entity</w:t>
      </w:r>
      <w:r>
        <w:tab/>
      </w:r>
      <w:r>
        <w:fldChar w:fldCharType="begin"/>
      </w:r>
      <w:r>
        <w:instrText xml:space="preserve"> PAGEREF _Toc200111697 \h </w:instrText>
      </w:r>
      <w:r>
        <w:fldChar w:fldCharType="separate"/>
      </w:r>
      <w:r>
        <w:t>9</w:t>
      </w:r>
      <w:r>
        <w:fldChar w:fldCharType="end"/>
      </w:r>
    </w:p>
    <w:p>
      <w:pPr>
        <w:pStyle w:val="TOC8"/>
        <w:rPr>
          <w:rFonts w:asciiTheme="minorHAnsi" w:eastAsiaTheme="minorEastAsia" w:hAnsiTheme="minorHAnsi" w:cstheme="minorBidi"/>
          <w:szCs w:val="22"/>
        </w:rPr>
      </w:pPr>
      <w:r>
        <w:t>9A.</w:t>
      </w:r>
      <w:r>
        <w:tab/>
        <w:t>Application to be recognised as eligible individual or eligible entity</w:t>
      </w:r>
      <w:r>
        <w:tab/>
      </w:r>
      <w:r>
        <w:fldChar w:fldCharType="begin"/>
      </w:r>
      <w:r>
        <w:instrText xml:space="preserve"> PAGEREF _Toc200111698 \h </w:instrText>
      </w:r>
      <w:r>
        <w:fldChar w:fldCharType="separate"/>
      </w:r>
      <w:r>
        <w:t>10</w:t>
      </w:r>
      <w:r>
        <w:fldChar w:fldCharType="end"/>
      </w:r>
    </w:p>
    <w:p>
      <w:pPr>
        <w:pStyle w:val="TOC8"/>
        <w:rPr>
          <w:rFonts w:asciiTheme="minorHAnsi" w:eastAsiaTheme="minorEastAsia" w:hAnsiTheme="minorHAnsi" w:cstheme="minorBidi"/>
          <w:szCs w:val="22"/>
        </w:rPr>
      </w:pPr>
      <w:r>
        <w:t>9B.</w:t>
      </w:r>
      <w:r>
        <w:tab/>
        <w:t>Recognition as eligible individual or eligible entity</w:t>
      </w:r>
      <w:r>
        <w:tab/>
      </w:r>
      <w:r>
        <w:fldChar w:fldCharType="begin"/>
      </w:r>
      <w:r>
        <w:instrText xml:space="preserve"> PAGEREF _Toc200111699 \h </w:instrText>
      </w:r>
      <w:r>
        <w:fldChar w:fldCharType="separate"/>
      </w:r>
      <w:r>
        <w:t>11</w:t>
      </w:r>
      <w:r>
        <w:fldChar w:fldCharType="end"/>
      </w:r>
    </w:p>
    <w:p>
      <w:pPr>
        <w:pStyle w:val="TOC8"/>
        <w:rPr>
          <w:rFonts w:asciiTheme="minorHAnsi" w:eastAsiaTheme="minorEastAsia" w:hAnsiTheme="minorHAnsi" w:cstheme="minorBidi"/>
          <w:szCs w:val="22"/>
        </w:rPr>
      </w:pPr>
      <w:r>
        <w:t>9C.</w:t>
      </w:r>
      <w:r>
        <w:tab/>
        <w:t>False or misleading statements</w:t>
      </w:r>
      <w:r>
        <w:tab/>
      </w:r>
      <w:r>
        <w:fldChar w:fldCharType="begin"/>
      </w:r>
      <w:r>
        <w:instrText xml:space="preserve"> PAGEREF _Toc200111700 \h </w:instrText>
      </w:r>
      <w:r>
        <w:fldChar w:fldCharType="separate"/>
      </w:r>
      <w:r>
        <w:t>11</w:t>
      </w:r>
      <w:r>
        <w:fldChar w:fldCharType="end"/>
      </w:r>
    </w:p>
    <w:p>
      <w:pPr>
        <w:pStyle w:val="TOC8"/>
        <w:rPr>
          <w:rFonts w:asciiTheme="minorHAnsi" w:eastAsiaTheme="minorEastAsia" w:hAnsiTheme="minorHAnsi" w:cstheme="minorBidi"/>
          <w:szCs w:val="22"/>
        </w:rPr>
      </w:pPr>
      <w:r>
        <w:t>9D.</w:t>
      </w:r>
      <w:r>
        <w:tab/>
        <w:t>Refunds</w:t>
      </w:r>
      <w:r>
        <w:tab/>
      </w:r>
      <w:r>
        <w:fldChar w:fldCharType="begin"/>
      </w:r>
      <w:r>
        <w:instrText xml:space="preserve"> PAGEREF _Toc200111701 \h </w:instrText>
      </w:r>
      <w:r>
        <w:fldChar w:fldCharType="separate"/>
      </w:r>
      <w:r>
        <w:t>12</w:t>
      </w:r>
      <w:r>
        <w:fldChar w:fldCharType="end"/>
      </w:r>
    </w:p>
    <w:p>
      <w:pPr>
        <w:pStyle w:val="TOC8"/>
        <w:rPr>
          <w:rFonts w:asciiTheme="minorHAnsi" w:eastAsiaTheme="minorEastAsia" w:hAnsiTheme="minorHAnsi" w:cstheme="minorBidi"/>
          <w:szCs w:val="22"/>
        </w:rPr>
      </w:pPr>
      <w:r>
        <w:t>10.</w:t>
      </w:r>
      <w:r>
        <w:tab/>
        <w:t>Fee for allocation of hearing dates etc. (Sch. 1 Div. 2 it. 5), when to be paid</w:t>
      </w:r>
      <w:r>
        <w:tab/>
      </w:r>
      <w:r>
        <w:fldChar w:fldCharType="begin"/>
      </w:r>
      <w:r>
        <w:instrText xml:space="preserve"> PAGEREF _Toc200111702 \h </w:instrText>
      </w:r>
      <w:r>
        <w:fldChar w:fldCharType="separate"/>
      </w:r>
      <w:r>
        <w:t>13</w:t>
      </w:r>
      <w:r>
        <w:fldChar w:fldCharType="end"/>
      </w:r>
    </w:p>
    <w:p>
      <w:pPr>
        <w:pStyle w:val="TOC8"/>
        <w:rPr>
          <w:rFonts w:asciiTheme="minorHAnsi" w:eastAsiaTheme="minorEastAsia" w:hAnsiTheme="minorHAnsi" w:cstheme="minorBidi"/>
          <w:szCs w:val="22"/>
        </w:rPr>
      </w:pPr>
      <w:r>
        <w:t>11.</w:t>
      </w:r>
      <w:r>
        <w:tab/>
        <w:t>Half daily hearing fee (Sch. 1 Div. 2 it. 6)</w:t>
      </w:r>
      <w:r>
        <w:tab/>
      </w:r>
      <w:r>
        <w:fldChar w:fldCharType="begin"/>
      </w:r>
      <w:r>
        <w:instrText xml:space="preserve"> PAGEREF _Toc200111703 \h </w:instrText>
      </w:r>
      <w:r>
        <w:fldChar w:fldCharType="separate"/>
      </w:r>
      <w:r>
        <w:t>13</w:t>
      </w:r>
      <w:r>
        <w:fldChar w:fldCharType="end"/>
      </w:r>
    </w:p>
    <w:p>
      <w:pPr>
        <w:pStyle w:val="TOC8"/>
        <w:rPr>
          <w:rFonts w:asciiTheme="minorHAnsi" w:eastAsiaTheme="minorEastAsia" w:hAnsiTheme="minorHAnsi" w:cstheme="minorBidi"/>
          <w:szCs w:val="22"/>
        </w:rPr>
      </w:pPr>
      <w:r>
        <w:t>12.</w:t>
      </w:r>
      <w:r>
        <w:tab/>
        <w:t>Court information, fees for</w:t>
      </w:r>
      <w:r>
        <w:tab/>
      </w:r>
      <w:r>
        <w:fldChar w:fldCharType="begin"/>
      </w:r>
      <w:r>
        <w:instrText xml:space="preserve"> PAGEREF _Toc200111704 \h </w:instrText>
      </w:r>
      <w:r>
        <w:fldChar w:fldCharType="separate"/>
      </w:r>
      <w:r>
        <w:t>13</w:t>
      </w:r>
      <w:r>
        <w:fldChar w:fldCharType="end"/>
      </w:r>
    </w:p>
    <w:p>
      <w:pPr>
        <w:pStyle w:val="TOC8"/>
        <w:rPr>
          <w:rFonts w:asciiTheme="minorHAnsi" w:eastAsiaTheme="minorEastAsia" w:hAnsiTheme="minorHAnsi" w:cstheme="minorBidi"/>
          <w:szCs w:val="22"/>
        </w:rPr>
      </w:pPr>
      <w:r>
        <w:t>13.</w:t>
      </w:r>
      <w:r>
        <w:tab/>
        <w:t>Disputes as to fees, determination of</w:t>
      </w:r>
      <w:r>
        <w:tab/>
      </w:r>
      <w:r>
        <w:fldChar w:fldCharType="begin"/>
      </w:r>
      <w:r>
        <w:instrText xml:space="preserve"> PAGEREF _Toc200111705 \h </w:instrText>
      </w:r>
      <w:r>
        <w:fldChar w:fldCharType="separate"/>
      </w:r>
      <w:r>
        <w:t>14</w:t>
      </w:r>
      <w:r>
        <w:fldChar w:fldCharType="end"/>
      </w:r>
    </w:p>
    <w:p>
      <w:pPr>
        <w:pStyle w:val="TOC8"/>
        <w:rPr>
          <w:rFonts w:asciiTheme="minorHAnsi" w:eastAsiaTheme="minorEastAsia" w:hAnsiTheme="minorHAnsi" w:cstheme="minorBidi"/>
          <w:szCs w:val="22"/>
        </w:rPr>
      </w:pPr>
      <w:r>
        <w:t>14.</w:t>
      </w:r>
      <w:r>
        <w:tab/>
        <w:t>Unpaid fees, recovery of</w:t>
      </w:r>
      <w:r>
        <w:tab/>
      </w:r>
      <w:r>
        <w:fldChar w:fldCharType="begin"/>
      </w:r>
      <w:r>
        <w:instrText xml:space="preserve"> PAGEREF _Toc200111706 \h </w:instrText>
      </w:r>
      <w:r>
        <w:fldChar w:fldCharType="separate"/>
      </w:r>
      <w:r>
        <w:t>14</w:t>
      </w:r>
      <w:r>
        <w:fldChar w:fldCharType="end"/>
      </w:r>
    </w:p>
    <w:p>
      <w:pPr>
        <w:pStyle w:val="TOC8"/>
        <w:rPr>
          <w:rFonts w:asciiTheme="minorHAnsi" w:eastAsiaTheme="minorEastAsia" w:hAnsiTheme="minorHAnsi" w:cstheme="minorBidi"/>
          <w:szCs w:val="22"/>
        </w:rPr>
      </w:pPr>
      <w:r>
        <w:t>15.</w:t>
      </w:r>
      <w:r>
        <w:tab/>
        <w:t>Transitional provisions</w:t>
      </w:r>
      <w:r>
        <w:tab/>
      </w:r>
      <w:r>
        <w:fldChar w:fldCharType="begin"/>
      </w:r>
      <w:r>
        <w:instrText xml:space="preserve"> PAGEREF _Toc200111707 \h </w:instrText>
      </w:r>
      <w:r>
        <w:fldChar w:fldCharType="separate"/>
      </w:r>
      <w:r>
        <w:t>14</w:t>
      </w:r>
      <w:r>
        <w:fldChar w:fldCharType="end"/>
      </w:r>
    </w:p>
    <w:p>
      <w:pPr>
        <w:pStyle w:val="TOC2"/>
        <w:tabs>
          <w:tab w:val="right" w:pos="7077"/>
        </w:tabs>
        <w:rPr>
          <w:rFonts w:asciiTheme="minorHAnsi" w:eastAsiaTheme="minorEastAsia" w:hAnsiTheme="minorHAnsi" w:cstheme="minorBidi"/>
          <w:b w:val="0"/>
          <w:sz w:val="22"/>
          <w:szCs w:val="22"/>
        </w:rPr>
      </w:pPr>
      <w:r>
        <w:lastRenderedPageBreak/>
        <w:t>Schedule 1 — Fees</w:t>
      </w:r>
    </w:p>
    <w:p>
      <w:pPr>
        <w:pStyle w:val="TOC4"/>
        <w:tabs>
          <w:tab w:val="right" w:pos="7077"/>
        </w:tabs>
        <w:rPr>
          <w:rFonts w:asciiTheme="minorHAnsi" w:eastAsiaTheme="minorEastAsia" w:hAnsiTheme="minorHAnsi" w:cstheme="minorBidi"/>
          <w:b w:val="0"/>
          <w:szCs w:val="22"/>
        </w:rPr>
      </w:pPr>
      <w:r>
        <w:t>Division 1 — General</w:t>
      </w:r>
    </w:p>
    <w:p>
      <w:pPr>
        <w:pStyle w:val="TOC4"/>
        <w:tabs>
          <w:tab w:val="right" w:pos="7077"/>
        </w:tabs>
        <w:rPr>
          <w:rFonts w:asciiTheme="minorHAnsi" w:eastAsiaTheme="minorEastAsia" w:hAnsiTheme="minorHAnsi" w:cstheme="minorBidi"/>
          <w:b w:val="0"/>
          <w:szCs w:val="22"/>
        </w:rPr>
      </w:pPr>
      <w:r>
        <w:t>Division 2 — Civil jurisdiction</w:t>
      </w:r>
    </w:p>
    <w:p>
      <w:pPr>
        <w:pStyle w:val="TOC4"/>
        <w:tabs>
          <w:tab w:val="right" w:pos="7077"/>
        </w:tabs>
        <w:rPr>
          <w:rFonts w:asciiTheme="minorHAnsi" w:eastAsiaTheme="minorEastAsia" w:hAnsiTheme="minorHAnsi" w:cstheme="minorBidi"/>
          <w:b w:val="0"/>
          <w:szCs w:val="22"/>
        </w:rPr>
      </w:pPr>
      <w:r>
        <w:t>Division 3 — Criminal jurisdiction</w:t>
      </w:r>
    </w:p>
    <w:p>
      <w:pPr>
        <w:pStyle w:val="TOC2"/>
        <w:tabs>
          <w:tab w:val="righ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Declaration that a person is a small business or a non</w:t>
      </w:r>
      <w:r>
        <w:noBreakHyphen/>
        <w:t>profit association</w:t>
      </w:r>
      <w:r>
        <w:tab/>
      </w:r>
      <w:r>
        <w:fldChar w:fldCharType="begin"/>
      </w:r>
      <w:r>
        <w:instrText xml:space="preserve"> PAGEREF _Toc200111713 \h </w:instrText>
      </w:r>
      <w:r>
        <w:fldChar w:fldCharType="separate"/>
      </w:r>
      <w:r>
        <w:t>30</w:t>
      </w:r>
      <w:r>
        <w:fldChar w:fldCharType="end"/>
      </w:r>
    </w:p>
    <w:p>
      <w:pPr>
        <w:pStyle w:val="TOC8"/>
        <w:rPr>
          <w:rFonts w:asciiTheme="minorHAnsi" w:eastAsiaTheme="minorEastAsia" w:hAnsiTheme="minorHAnsi" w:cstheme="minorBidi"/>
          <w:szCs w:val="22"/>
        </w:rPr>
      </w:pPr>
      <w:r>
        <w:t>3.</w:t>
      </w:r>
      <w:r>
        <w:tab/>
        <w:t>Application for determination of dispute about fees</w:t>
      </w:r>
      <w:r>
        <w:tab/>
      </w:r>
      <w:r>
        <w:fldChar w:fldCharType="begin"/>
      </w:r>
      <w:r>
        <w:instrText xml:space="preserve"> PAGEREF _Toc200111714 \h </w:instrText>
      </w:r>
      <w:r>
        <w:fldChar w:fldCharType="separate"/>
      </w:r>
      <w:r>
        <w:t>32</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_Toc200111716 \h </w:instrText>
      </w:r>
      <w:r>
        <w:fldChar w:fldCharType="separate"/>
      </w:r>
      <w:r>
        <w:t>33</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_Toc200111717 \h </w:instrText>
      </w:r>
      <w:r>
        <w:fldChar w:fldCharType="separate"/>
      </w:r>
      <w:r>
        <w:t>36</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pPr>
      <w:r>
        <w:lastRenderedPageBreak/>
        <w:t>Magistrates Court Act 2004</w:t>
      </w:r>
    </w:p>
    <w:p>
      <w:pPr>
        <w:pStyle w:val="NameofActReg"/>
        <w:spacing w:before="600" w:after="720"/>
      </w:pPr>
      <w:r>
        <w:t>Magistrates Court (Fees) Regulations 2005</w:t>
      </w:r>
    </w:p>
    <w:p>
      <w:pPr>
        <w:pStyle w:val="Heading5"/>
      </w:pPr>
      <w:bookmarkStart w:id="2" w:name="_Toc200111687"/>
      <w:r>
        <w:rPr>
          <w:rStyle w:val="CharSectno"/>
        </w:rPr>
        <w:t>1</w:t>
      </w:r>
      <w:r>
        <w:t>.</w:t>
      </w:r>
      <w:r>
        <w:tab/>
        <w:t>Citation</w:t>
      </w:r>
      <w:bookmarkEnd w:id="2"/>
    </w:p>
    <w:p>
      <w:pPr>
        <w:pStyle w:val="Subsection"/>
        <w:rPr>
          <w:i/>
        </w:rPr>
      </w:pPr>
      <w:r>
        <w:tab/>
      </w:r>
      <w:r>
        <w:tab/>
      </w:r>
      <w:r>
        <w:rPr>
          <w:spacing w:val="-2"/>
        </w:rPr>
        <w:t>These</w:t>
      </w:r>
      <w:r>
        <w:t xml:space="preserve"> </w:t>
      </w:r>
      <w:r>
        <w:rPr>
          <w:spacing w:val="-2"/>
        </w:rPr>
        <w:t>regulations</w:t>
      </w:r>
      <w:r>
        <w:t xml:space="preserve"> are the </w:t>
      </w:r>
      <w:r>
        <w:rPr>
          <w:i/>
        </w:rPr>
        <w:t>Magistrates Court (Fees) Regulations 2005</w:t>
      </w:r>
      <w:r>
        <w:t>.</w:t>
      </w:r>
    </w:p>
    <w:p>
      <w:pPr>
        <w:pStyle w:val="Heading5"/>
        <w:rPr>
          <w:spacing w:val="-2"/>
        </w:rPr>
      </w:pPr>
      <w:bookmarkStart w:id="3" w:name="_Toc200111688"/>
      <w:r>
        <w:rPr>
          <w:rStyle w:val="CharSectno"/>
        </w:rPr>
        <w:t>2</w:t>
      </w:r>
      <w:r>
        <w:rPr>
          <w:spacing w:val="-2"/>
        </w:rPr>
        <w:t>.</w:t>
      </w:r>
      <w:r>
        <w:rPr>
          <w:spacing w:val="-2"/>
        </w:rPr>
        <w:tab/>
        <w:t>Commencement</w:t>
      </w:r>
      <w:bookmarkEnd w:id="3"/>
    </w:p>
    <w:p>
      <w:pPr>
        <w:pStyle w:val="Subsection"/>
        <w:rPr>
          <w:rFonts w:ascii="Times" w:hAnsi="Times"/>
        </w:rPr>
      </w:pPr>
      <w:r>
        <w:rPr>
          <w:spacing w:val="-2"/>
        </w:rPr>
        <w:tab/>
      </w:r>
      <w:r>
        <w:rPr>
          <w:spacing w:val="-2"/>
        </w:rPr>
        <w:tab/>
        <w:t xml:space="preserve">These regulations come into operation on the day on which the </w:t>
      </w:r>
      <w:r>
        <w:rPr>
          <w:i/>
          <w:spacing w:val="-2"/>
        </w:rPr>
        <w:t>Magistrates Court Act 2004</w:t>
      </w:r>
      <w:r>
        <w:rPr>
          <w:spacing w:val="-2"/>
        </w:rPr>
        <w:t xml:space="preserve"> comes into operation or on the day of their publication in the </w:t>
      </w:r>
      <w:r>
        <w:rPr>
          <w:i/>
          <w:iCs/>
          <w:spacing w:val="-2"/>
        </w:rPr>
        <w:t>Gazette</w:t>
      </w:r>
      <w:r>
        <w:rPr>
          <w:spacing w:val="-2"/>
        </w:rPr>
        <w:t>, whichever is the later.</w:t>
      </w:r>
    </w:p>
    <w:p>
      <w:pPr>
        <w:pStyle w:val="Heading5"/>
      </w:pPr>
      <w:bookmarkStart w:id="4" w:name="_Toc200111689"/>
      <w:r>
        <w:rPr>
          <w:rStyle w:val="CharSectno"/>
        </w:rPr>
        <w:t>3</w:t>
      </w:r>
      <w:r>
        <w:t>.</w:t>
      </w:r>
      <w:r>
        <w:tab/>
        <w:t>Terms used</w:t>
      </w:r>
      <w:bookmarkEnd w:id="4"/>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claimant</w:t>
      </w:r>
      <w:r>
        <w:t xml:space="preserve"> means a person who commences a case as defined in the </w:t>
      </w:r>
      <w:r>
        <w:rPr>
          <w:i/>
        </w:rPr>
        <w:t>Magistrates Court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r>
        <w:rPr>
          <w:i/>
        </w:rPr>
        <w:t>Magistrates Court (Civil Proceedings) Act 2004</w:t>
      </w:r>
      <w:r>
        <w:t xml:space="preserve"> section 9(1);</w:t>
      </w:r>
    </w:p>
    <w:p>
      <w:pPr>
        <w:pStyle w:val="Defstart"/>
      </w:pPr>
      <w:r>
        <w:tab/>
      </w:r>
      <w:r>
        <w:rPr>
          <w:rStyle w:val="CharDefText"/>
        </w:rPr>
        <w:t>eligible entity</w:t>
      </w:r>
      <w:r>
        <w:t xml:space="preserve"> means an entity referred to in regulation 8(3);</w:t>
      </w:r>
    </w:p>
    <w:p>
      <w:pPr>
        <w:pStyle w:val="Defstart"/>
      </w:pPr>
      <w:r>
        <w:tab/>
      </w:r>
      <w:r>
        <w:rPr>
          <w:rStyle w:val="CharDefText"/>
        </w:rPr>
        <w:t>eligible entity fee</w:t>
      </w:r>
      <w:r>
        <w:t>, in relation to a matter specified in an item in Schedule 1, means the fee shown in column A for that item;</w:t>
      </w:r>
    </w:p>
    <w:p>
      <w:pPr>
        <w:pStyle w:val="Defstart"/>
      </w:pPr>
      <w:r>
        <w:lastRenderedPageBreak/>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rPr>
          <w:b/>
        </w:rPr>
        <w:tab/>
      </w:r>
      <w:r>
        <w:rPr>
          <w:rStyle w:val="CharDefText"/>
        </w:rPr>
        <w:t>minor cases procedure</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r>
        <w:rPr>
          <w:i/>
        </w:rPr>
        <w:t>Magistrates Court (Civil Proceedings) Act 2004</w:t>
      </w:r>
      <w:r>
        <w:t xml:space="preserve"> section 3(1);</w:t>
      </w:r>
    </w:p>
    <w:p>
      <w:pPr>
        <w:pStyle w:val="Defstart"/>
      </w:pPr>
      <w:r>
        <w:tab/>
      </w:r>
      <w:r>
        <w:rPr>
          <w:rStyle w:val="CharDefText"/>
        </w:rPr>
        <w:t>person</w:t>
      </w:r>
      <w:r>
        <w:t xml:space="preserve"> means an individual or an entity;</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 xml:space="preserve">a business undertaking that is wholly owned and operated by an individual or individuals in partnership </w:t>
      </w:r>
      <w:r>
        <w:lastRenderedPageBreak/>
        <w:t>and has less than 20 full</w:t>
      </w:r>
      <w:r>
        <w:noBreakHyphen/>
        <w:t>time equivalent employees or partners;</w:t>
      </w:r>
    </w:p>
    <w:p>
      <w:pPr>
        <w:pStyle w:val="Defpara"/>
      </w:pPr>
      <w:r>
        <w:tab/>
        <w:t>(c)</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Gazette 23 Jun 2006 p. 2178; 14 Jun 2016 p. 1909</w:t>
      </w:r>
      <w:r>
        <w:noBreakHyphen/>
        <w:t>10; SL 2021/119 r. 4; SL 2022/114 r. 9; SL 2023/120 r. 27.]</w:t>
      </w:r>
    </w:p>
    <w:p>
      <w:pPr>
        <w:pStyle w:val="Heading5"/>
        <w:rPr>
          <w:snapToGrid w:val="0"/>
        </w:rPr>
      </w:pPr>
      <w:bookmarkStart w:id="5" w:name="_Toc200111690"/>
      <w:r>
        <w:rPr>
          <w:rStyle w:val="CharSectno"/>
        </w:rPr>
        <w:t>4</w:t>
      </w:r>
      <w:r>
        <w:t>.</w:t>
      </w:r>
      <w:r>
        <w:tab/>
        <w:t>General fees</w:t>
      </w:r>
      <w:bookmarkEnd w:id="5"/>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tab/>
        <w:t>(2)</w:t>
      </w:r>
      <w:r>
        <w:tab/>
        <w:t xml:space="preserve">In relation to a matter specified in an item in Schedule 1 Division 1 or Division 3 — </w:t>
      </w:r>
    </w:p>
    <w:p>
      <w:pPr>
        <w:pStyle w:val="Indenta"/>
      </w:pPr>
      <w:r>
        <w:tab/>
        <w:t>(a)</w:t>
      </w:r>
      <w:r>
        <w:tab/>
        <w:t>the fee payable by an individual who is not an eligible individual — is the fee shown in column A for that item; or</w:t>
      </w:r>
    </w:p>
    <w:p>
      <w:pPr>
        <w:pStyle w:val="Indenta"/>
        <w:keepNext/>
      </w:pPr>
      <w:r>
        <w:lastRenderedPageBreak/>
        <w:tab/>
        <w:t>(b)</w:t>
      </w:r>
      <w:r>
        <w:tab/>
        <w:t>the fee payable by an eligible individual — is the eligible individual fee for that item; or</w:t>
      </w:r>
    </w:p>
    <w:p>
      <w:pPr>
        <w:pStyle w:val="Indenta"/>
      </w:pPr>
      <w:r>
        <w:tab/>
        <w:t>(c)</w:t>
      </w:r>
      <w:r>
        <w:tab/>
        <w:t>the fee payable by an entity that is not an eligible entity — is the fee shown in column B for that item; or</w:t>
      </w:r>
    </w:p>
    <w:p>
      <w:pPr>
        <w:pStyle w:val="Indenta"/>
        <w:rPr>
          <w:snapToGrid w:val="0"/>
        </w:rPr>
      </w:pPr>
      <w:r>
        <w:tab/>
        <w:t>(d)</w:t>
      </w:r>
      <w:r>
        <w:tab/>
        <w:t>the fee payable by an eligible entity — is the eligible entity fee for that item.</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Ednotesubsection"/>
      </w:pPr>
      <w:r>
        <w:tab/>
        <w:t>[(6)-(12)</w:t>
      </w:r>
      <w:r>
        <w:tab/>
        <w:t>deleted]</w:t>
      </w:r>
    </w:p>
    <w:p>
      <w:pPr>
        <w:pStyle w:val="Footnotesection"/>
      </w:pPr>
      <w:r>
        <w:tab/>
        <w:t>[Regulation 4 amended: Gazette 14 Jun 2016 p. 1910.]</w:t>
      </w:r>
    </w:p>
    <w:p>
      <w:pPr>
        <w:pStyle w:val="Heading5"/>
      </w:pPr>
      <w:bookmarkStart w:id="6" w:name="_Toc200111691"/>
      <w:r>
        <w:rPr>
          <w:rStyle w:val="CharSectno"/>
        </w:rPr>
        <w:lastRenderedPageBreak/>
        <w:t>5A</w:t>
      </w:r>
      <w:r>
        <w:t>.</w:t>
      </w:r>
      <w:r>
        <w:tab/>
        <w:t>Fees for small businesses and non</w:t>
      </w:r>
      <w:r>
        <w:noBreakHyphen/>
        <w:t>profit associations</w:t>
      </w:r>
      <w:bookmarkEnd w:id="6"/>
    </w:p>
    <w:p>
      <w:pPr>
        <w:pStyle w:val="Subsection"/>
        <w:keepNext/>
      </w:pPr>
      <w:r>
        <w:tab/>
        <w:t>(1)</w:t>
      </w:r>
      <w:r>
        <w:tab/>
        <w:t>An entity that is a small business or a non</w:t>
      </w:r>
      <w:r>
        <w:noBreakHyphen/>
        <w:t>profit association may lodge a declaration in the form of Schedule 2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5A inserted: Gazette 14 Jun 2016 p. 1911</w:t>
      </w:r>
      <w:r>
        <w:noBreakHyphen/>
        <w:t>12.]</w:t>
      </w:r>
    </w:p>
    <w:p>
      <w:pPr>
        <w:pStyle w:val="Heading5"/>
        <w:rPr>
          <w:snapToGrid w:val="0"/>
        </w:rPr>
      </w:pPr>
      <w:bookmarkStart w:id="7" w:name="_Toc200111692"/>
      <w:r>
        <w:rPr>
          <w:rStyle w:val="CharSectno"/>
        </w:rPr>
        <w:t>5</w:t>
      </w:r>
      <w:r>
        <w:t>.</w:t>
      </w:r>
      <w:r>
        <w:tab/>
        <w:t>Exemptions</w:t>
      </w:r>
      <w:bookmarkEnd w:id="7"/>
    </w:p>
    <w:p>
      <w:pPr>
        <w:pStyle w:val="Subsection"/>
        <w:rPr>
          <w:snapToGrid w:val="0"/>
        </w:rPr>
      </w:pPr>
      <w:r>
        <w:tab/>
        <w:t>(1)</w:t>
      </w:r>
      <w:r>
        <w:tab/>
        <w:t xml:space="preserve">A fee </w:t>
      </w:r>
      <w:r>
        <w:rPr>
          <w:snapToGrid w:val="0"/>
        </w:rPr>
        <w:t xml:space="preserve">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family violence restraining order or violence restraining order or to vary or cancel a restraining order; or</w:t>
      </w:r>
    </w:p>
    <w:p>
      <w:pPr>
        <w:pStyle w:val="Indenta"/>
        <w:rPr>
          <w:snapToGrid w:val="0"/>
        </w:rPr>
      </w:pPr>
      <w:r>
        <w:lastRenderedPageBreak/>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w:t>
      </w:r>
      <w:r>
        <w:t>order; or</w:t>
      </w:r>
    </w:p>
    <w:p>
      <w:pPr>
        <w:pStyle w:val="Indenta"/>
      </w:pPr>
      <w:r>
        <w:tab/>
        <w:t>(c)</w:t>
      </w:r>
      <w:r>
        <w:tab/>
        <w:t xml:space="preserve">an application under the </w:t>
      </w:r>
      <w:r>
        <w:rPr>
          <w:i/>
        </w:rPr>
        <w:t>Mandatory Testing (Infectious Diseases) Act 2014</w:t>
      </w:r>
      <w:r>
        <w:t xml:space="preserve"> for a disease test order or to vary or revoke a disease test order.</w:t>
      </w:r>
    </w:p>
    <w:p>
      <w:pPr>
        <w:pStyle w:val="Subsection"/>
      </w:pPr>
      <w:r>
        <w:tab/>
        <w:t>(2)</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keepNext/>
        <w:rPr>
          <w:snapToGrid w:val="0"/>
        </w:rPr>
      </w:pPr>
      <w:r>
        <w:tab/>
        <w:t>(b)</w:t>
      </w:r>
      <w:r>
        <w:tab/>
        <w:t>the person has not reached 18 years of age on the day the fee would otherwise be payable.</w:t>
      </w:r>
    </w:p>
    <w:p>
      <w:pPr>
        <w:pStyle w:val="Footnotesection"/>
        <w:keepLines w:val="0"/>
      </w:pPr>
      <w:r>
        <w:tab/>
        <w:t>[Regulation 5 inserted: Gazette 27 Mar 2012 p. 1507; amended: Gazette 14 Jun 2016 p. 1912; 27 Jun 2017 p. 3435; SL 2021/119 r. 5.]</w:t>
      </w:r>
    </w:p>
    <w:p>
      <w:pPr>
        <w:pStyle w:val="Heading5"/>
      </w:pPr>
      <w:bookmarkStart w:id="8" w:name="_Toc200111693"/>
      <w:r>
        <w:rPr>
          <w:rStyle w:val="CharSectno"/>
        </w:rPr>
        <w:t>6</w:t>
      </w:r>
      <w:r>
        <w:t>.</w:t>
      </w:r>
      <w:r>
        <w:tab/>
        <w:t>Some fees subject to conditions or must be waived</w:t>
      </w:r>
      <w:bookmarkEnd w:id="8"/>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lastRenderedPageBreak/>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legal practitioner;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keepNext/>
      </w:pPr>
      <w:r>
        <w:tab/>
      </w:r>
      <w:r>
        <w:tab/>
        <w:t>waive the fee for a copy of the application.</w:t>
      </w:r>
    </w:p>
    <w:p>
      <w:pPr>
        <w:pStyle w:val="Footnotesection"/>
        <w:keepLines w:val="0"/>
      </w:pPr>
      <w:r>
        <w:tab/>
        <w:t>[Regulation 6 amended: SL 2021/119 r. 6.]</w:t>
      </w:r>
    </w:p>
    <w:p>
      <w:pPr>
        <w:pStyle w:val="Heading5"/>
      </w:pPr>
      <w:bookmarkStart w:id="9" w:name="_Toc200111694"/>
      <w:r>
        <w:rPr>
          <w:rStyle w:val="CharSectno"/>
        </w:rPr>
        <w:t>6A</w:t>
      </w:r>
      <w:r>
        <w:t>.</w:t>
      </w:r>
      <w:r>
        <w:tab/>
        <w:t>Certain transcript fees must be waived</w:t>
      </w:r>
      <w:bookmarkEnd w:id="9"/>
    </w:p>
    <w:p>
      <w:pPr>
        <w:pStyle w:val="Subsection"/>
      </w:pPr>
      <w:r>
        <w:tab/>
        <w:t>(1)</w:t>
      </w:r>
      <w:r>
        <w:tab/>
        <w:t xml:space="preserve">In this regulation — </w:t>
      </w:r>
    </w:p>
    <w:p>
      <w:pPr>
        <w:pStyle w:val="Defstart"/>
      </w:pPr>
      <w:r>
        <w:tab/>
      </w:r>
      <w:r>
        <w:rPr>
          <w:rStyle w:val="CharDefText"/>
        </w:rPr>
        <w:t>interim order</w:t>
      </w:r>
      <w:r>
        <w:t xml:space="preserve"> means a family violence restraining order or a violence restraining order made under the </w:t>
      </w:r>
      <w:r>
        <w:rPr>
          <w:i/>
        </w:rPr>
        <w:t>Restraining Orders Act 1997</w:t>
      </w:r>
      <w:r>
        <w:t xml:space="preserve"> section 29(1)(a) the duration of which is more than 72 hours.</w:t>
      </w:r>
    </w:p>
    <w:p>
      <w:pPr>
        <w:pStyle w:val="Subsection"/>
      </w:pPr>
      <w:r>
        <w:tab/>
        <w:t>(2)</w:t>
      </w:r>
      <w:r>
        <w:tab/>
        <w:t xml:space="preserve">A registrar must waive the fee under Schedule 1 Division 1 item 8(a) for the provision of a transcript, or a part of a transcript, if — </w:t>
      </w:r>
    </w:p>
    <w:p>
      <w:pPr>
        <w:pStyle w:val="Indenta"/>
      </w:pPr>
      <w:r>
        <w:tab/>
        <w:t>(a)</w:t>
      </w:r>
      <w:r>
        <w:tab/>
        <w:t>the transcript, or the part of the transcript, is of a hearing at which an interim order was made; and</w:t>
      </w:r>
    </w:p>
    <w:p>
      <w:pPr>
        <w:pStyle w:val="Indenta"/>
      </w:pPr>
      <w:r>
        <w:tab/>
        <w:t>(b)</w:t>
      </w:r>
      <w:r>
        <w:tab/>
        <w:t xml:space="preserve">the interim order — </w:t>
      </w:r>
    </w:p>
    <w:p>
      <w:pPr>
        <w:pStyle w:val="Indenti"/>
      </w:pPr>
      <w:r>
        <w:tab/>
        <w:t>(i)</w:t>
      </w:r>
      <w:r>
        <w:tab/>
        <w:t xml:space="preserve">is still in force under the </w:t>
      </w:r>
      <w:r>
        <w:rPr>
          <w:i/>
        </w:rPr>
        <w:t>Restraining Orders Act 1997</w:t>
      </w:r>
      <w:r>
        <w:t>; or</w:t>
      </w:r>
    </w:p>
    <w:p>
      <w:pPr>
        <w:pStyle w:val="Indenti"/>
      </w:pPr>
      <w:r>
        <w:tab/>
        <w:t>(ii)</w:t>
      </w:r>
      <w:r>
        <w:tab/>
        <w:t xml:space="preserve">has become a final order under the </w:t>
      </w:r>
      <w:r>
        <w:rPr>
          <w:i/>
        </w:rPr>
        <w:t xml:space="preserve">Restraining Orders Act 1997 </w:t>
      </w:r>
      <w:r>
        <w:t>section 32(2);</w:t>
      </w:r>
    </w:p>
    <w:p>
      <w:pPr>
        <w:pStyle w:val="Indenta"/>
      </w:pPr>
      <w:r>
        <w:tab/>
      </w:r>
      <w:r>
        <w:tab/>
        <w:t>and</w:t>
      </w:r>
    </w:p>
    <w:p>
      <w:pPr>
        <w:pStyle w:val="Indenta"/>
      </w:pPr>
      <w:r>
        <w:lastRenderedPageBreak/>
        <w:tab/>
        <w:t>(c)</w:t>
      </w:r>
      <w:r>
        <w:tab/>
        <w:t xml:space="preserve">the person bound by the interim or final order (the </w:t>
      </w:r>
      <w:r>
        <w:rPr>
          <w:rStyle w:val="CharDefText"/>
        </w:rPr>
        <w:t>interim order respondent</w:t>
      </w:r>
      <w:r>
        <w:t>) requests the provision of the transcript, or the part of the transcript, either personally or by legal practitioner; and</w:t>
      </w:r>
    </w:p>
    <w:p>
      <w:pPr>
        <w:pStyle w:val="Indenta"/>
      </w:pPr>
      <w:r>
        <w:tab/>
        <w:t>(d)</w:t>
      </w:r>
      <w:r>
        <w:tab/>
        <w:t xml:space="preserve">the interim order respondent has not previously obtained the transcript, or the part of the transcript, under this subregulation. </w:t>
      </w:r>
    </w:p>
    <w:p>
      <w:pPr>
        <w:pStyle w:val="Footnotesection"/>
        <w:keepLines w:val="0"/>
      </w:pPr>
      <w:r>
        <w:tab/>
        <w:t>[Regulation 6A inserted: SL 2021/119 r. 7.]</w:t>
      </w:r>
    </w:p>
    <w:p>
      <w:pPr>
        <w:pStyle w:val="Heading5"/>
      </w:pPr>
      <w:bookmarkStart w:id="10" w:name="_Toc200111695"/>
      <w:r>
        <w:rPr>
          <w:rStyle w:val="CharSectno"/>
        </w:rPr>
        <w:t>6B</w:t>
      </w:r>
      <w:r>
        <w:t>.</w:t>
      </w:r>
      <w:r>
        <w:tab/>
        <w:t>Certain application fees may be waived</w:t>
      </w:r>
      <w:bookmarkEnd w:id="10"/>
    </w:p>
    <w:p>
      <w:pPr>
        <w:pStyle w:val="Subsection"/>
      </w:pPr>
      <w:r>
        <w:tab/>
        <w:t>(1)</w:t>
      </w:r>
      <w:r>
        <w:tab/>
        <w:t xml:space="preserve">A registrar may waive the fee for an application under the </w:t>
      </w:r>
      <w:r>
        <w:rPr>
          <w:i/>
        </w:rPr>
        <w:t>Criminal Procedure Act 2004</w:t>
      </w:r>
      <w:r>
        <w:t xml:space="preserve"> section 71(2)(a) or (b) for an order to set aside a decision if the registrar is satisfied that the reason for the failure to appear is a clerical error by the Court.</w:t>
      </w:r>
    </w:p>
    <w:p>
      <w:pPr>
        <w:pStyle w:val="Subsection"/>
      </w:pPr>
      <w:r>
        <w:tab/>
        <w:t>(2)</w:t>
      </w:r>
      <w:r>
        <w:tab/>
        <w:t xml:space="preserve">A registrar may waive the fee for an application under the </w:t>
      </w:r>
      <w:r>
        <w:rPr>
          <w:i/>
        </w:rPr>
        <w:t>Magistrates Court (Civil Proceedings) Act 2004</w:t>
      </w:r>
      <w:r>
        <w:t xml:space="preserve"> section 19(3) to set aside a judgment given under the </w:t>
      </w:r>
      <w:r>
        <w:rPr>
          <w:i/>
        </w:rPr>
        <w:t>Magistrates Court (Civil Proceedings) Act 2004</w:t>
      </w:r>
      <w:r>
        <w:t xml:space="preserve"> section 19(2)(b) if the registrar is satisfied that the reason for the failure to comply is a clerical error by the Court.</w:t>
      </w:r>
    </w:p>
    <w:p>
      <w:pPr>
        <w:pStyle w:val="Footnotesection"/>
      </w:pPr>
      <w:r>
        <w:tab/>
        <w:t>[Regulation 6B inserted: SL 2022/145 r. 6.]</w:t>
      </w:r>
    </w:p>
    <w:p>
      <w:pPr>
        <w:pStyle w:val="Heading5"/>
        <w:rPr>
          <w:snapToGrid w:val="0"/>
        </w:rPr>
      </w:pPr>
      <w:bookmarkStart w:id="11" w:name="_Toc200111696"/>
      <w:r>
        <w:rPr>
          <w:rStyle w:val="CharSectno"/>
        </w:rPr>
        <w:t>7</w:t>
      </w:r>
      <w:r>
        <w:t>.</w:t>
      </w:r>
      <w:r>
        <w:tab/>
      </w:r>
      <w:r>
        <w:rPr>
          <w:rStyle w:val="CharSectno"/>
        </w:rPr>
        <w:t>F</w:t>
      </w:r>
      <w:r>
        <w:rPr>
          <w:snapToGrid w:val="0"/>
        </w:rPr>
        <w:t>ees to be paid before documents etc. filed</w:t>
      </w:r>
      <w:bookmarkEnd w:id="11"/>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 xml:space="preserve">application </w:t>
      </w:r>
      <w:r>
        <w:rPr>
          <w:snapToGrid w:val="0"/>
        </w:rPr>
        <w:lastRenderedPageBreak/>
        <w:t>or other document or upon or in respect of the doing of that matter or thing, has been paid.</w:t>
      </w:r>
    </w:p>
    <w:p>
      <w:pPr>
        <w:pStyle w:val="Heading5"/>
      </w:pPr>
      <w:bookmarkStart w:id="12" w:name="_Toc200111697"/>
      <w:r>
        <w:rPr>
          <w:rStyle w:val="CharSectno"/>
        </w:rPr>
        <w:t>8</w:t>
      </w:r>
      <w:r>
        <w:t>.</w:t>
      </w:r>
      <w:r>
        <w:tab/>
        <w:t>Who is an eligible individual or eligible entity</w:t>
      </w:r>
      <w:bookmarkEnd w:id="12"/>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keepNext/>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lastRenderedPageBreak/>
        <w:tab/>
        <w:t>(f)</w:t>
      </w:r>
      <w:r>
        <w:tab/>
        <w:t>an individual who the Court or a registrar has directed is an eligible individual under regulation 9B(1).</w:t>
      </w:r>
    </w:p>
    <w:p>
      <w:pPr>
        <w:pStyle w:val="Subsection"/>
        <w:keepNext/>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keepNext/>
      </w:pPr>
      <w:r>
        <w:tab/>
        <w:t>(b)</w:t>
      </w:r>
      <w:r>
        <w:tab/>
        <w:t>an entity that the Court or a registrar has directed is an eligible entity under regulation 9B(2).</w:t>
      </w:r>
    </w:p>
    <w:p>
      <w:pPr>
        <w:pStyle w:val="Footnotesection"/>
        <w:keepLines w:val="0"/>
      </w:pPr>
      <w:r>
        <w:tab/>
        <w:t>[Regulation 8 inserted: Gazette 14 Jun 2016 p. 1912</w:t>
      </w:r>
      <w:r>
        <w:noBreakHyphen/>
        <w:t>14; amended: Gazette 20 Jul 2018 p. 2626.]</w:t>
      </w:r>
    </w:p>
    <w:p>
      <w:pPr>
        <w:pStyle w:val="Heading5"/>
      </w:pPr>
      <w:bookmarkStart w:id="13" w:name="_Toc200111698"/>
      <w:r>
        <w:rPr>
          <w:rStyle w:val="CharSectno"/>
        </w:rPr>
        <w:t>9A</w:t>
      </w:r>
      <w:r>
        <w:t>.</w:t>
      </w:r>
      <w:r>
        <w:tab/>
        <w:t>Application to be recognised as eligible individual or eligible entity</w:t>
      </w:r>
      <w:bookmarkEnd w:id="13"/>
    </w:p>
    <w:p>
      <w:pPr>
        <w:pStyle w:val="Subsection"/>
      </w:pPr>
      <w:r>
        <w:tab/>
        <w:t>(1)</w:t>
      </w:r>
      <w:r>
        <w:tab/>
        <w:t xml:space="preserve">A person may apply for — </w:t>
      </w:r>
    </w:p>
    <w:p>
      <w:pPr>
        <w:pStyle w:val="Indenta"/>
      </w:pPr>
      <w:r>
        <w:tab/>
        <w:t>(a)</w:t>
      </w:r>
      <w:r>
        <w:tab/>
        <w:t>a direction under regulation 9B(1) that, in respect of a matter specified in Schedule 1, the person is an eligible individual described in regulation 8(2)(f); or</w:t>
      </w:r>
    </w:p>
    <w:p>
      <w:pPr>
        <w:pStyle w:val="Indenta"/>
      </w:pPr>
      <w:r>
        <w:tab/>
        <w:t>(b)</w:t>
      </w:r>
      <w:r>
        <w:tab/>
        <w:t>a direction under regulation 9B(2) that, in respect of a matter specified in Schedule 1, the person is an eligible entity described in regulation 8(3)(b).</w:t>
      </w:r>
    </w:p>
    <w:p>
      <w:pPr>
        <w:pStyle w:val="Subsection"/>
        <w:keepNext/>
      </w:pPr>
      <w:r>
        <w:tab/>
        <w:t>(2)</w:t>
      </w:r>
      <w:r>
        <w:tab/>
        <w:t xml:space="preserve">An application is to be in a form approved by the Chief Magistrate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keepLines w:val="0"/>
      </w:pPr>
      <w:r>
        <w:lastRenderedPageBreak/>
        <w:tab/>
        <w:t>[Regulation 9A inserted: Gazette 14 Jun 2016 p. 1914; amended: Gazette 20 Jul 2018 p. 2626</w:t>
      </w:r>
      <w:r>
        <w:noBreakHyphen/>
        <w:t>7.]</w:t>
      </w:r>
    </w:p>
    <w:p>
      <w:pPr>
        <w:pStyle w:val="Heading5"/>
      </w:pPr>
      <w:bookmarkStart w:id="14" w:name="_Toc200111699"/>
      <w:r>
        <w:rPr>
          <w:rStyle w:val="CharSectno"/>
        </w:rPr>
        <w:t>9B</w:t>
      </w:r>
      <w:r>
        <w:t>.</w:t>
      </w:r>
      <w:r>
        <w:tab/>
        <w:t>Recognition as eligible individual or eligible entity</w:t>
      </w:r>
      <w:bookmarkEnd w:id="14"/>
    </w:p>
    <w:p>
      <w:pPr>
        <w:pStyle w:val="Subsection"/>
      </w:pPr>
      <w:r>
        <w:tab/>
        <w:t>(1)</w:t>
      </w:r>
      <w:r>
        <w:tab/>
        <w:t xml:space="preserve">On an application under regulation 9A(1)(a)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9A(1)(b) the Court or a registrar may direct that a person is an eligible entity described in regulation 8(3)(b)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Court or a registrar may, before an application is determined, direct the applicant to provide to the magistrate, the registrar or the Court further information relating to the application.</w:t>
      </w:r>
    </w:p>
    <w:p>
      <w:pPr>
        <w:pStyle w:val="Subsection"/>
        <w:keepNext/>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keepLines w:val="0"/>
      </w:pPr>
      <w:r>
        <w:tab/>
        <w:t>[Regulation 9B inserted: Gazette 14 Jun 2016 p. 1914</w:t>
      </w:r>
      <w:r>
        <w:noBreakHyphen/>
        <w:t>15; amended: Gazette 20 Jul 2018 p. 2627.]</w:t>
      </w:r>
    </w:p>
    <w:p>
      <w:pPr>
        <w:pStyle w:val="Heading5"/>
      </w:pPr>
      <w:bookmarkStart w:id="15" w:name="_Toc200111700"/>
      <w:r>
        <w:rPr>
          <w:rStyle w:val="CharSectno"/>
        </w:rPr>
        <w:t>9C</w:t>
      </w:r>
      <w:r>
        <w:t>.</w:t>
      </w:r>
      <w:r>
        <w:tab/>
        <w:t>False or misleading statements</w:t>
      </w:r>
      <w:bookmarkEnd w:id="15"/>
    </w:p>
    <w:p>
      <w:pPr>
        <w:pStyle w:val="Subsection"/>
      </w:pPr>
      <w:r>
        <w:tab/>
        <w:t>(1)</w:t>
      </w:r>
      <w:r>
        <w:tab/>
        <w:t xml:space="preserve">A person who makes a statement or representation in a declaration or application made under these regulations or </w:t>
      </w:r>
      <w:r>
        <w:lastRenderedPageBreak/>
        <w:t>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5A(1)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9B(1)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be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keepLines w:val="0"/>
      </w:pPr>
      <w:r>
        <w:tab/>
        <w:t>[Regulation 9C inserted: Gazette 14 Jun 2016 p. 1916.]</w:t>
      </w:r>
    </w:p>
    <w:p>
      <w:pPr>
        <w:pStyle w:val="Heading5"/>
      </w:pPr>
      <w:bookmarkStart w:id="16" w:name="_Toc200111701"/>
      <w:r>
        <w:rPr>
          <w:rStyle w:val="CharSectno"/>
        </w:rPr>
        <w:t>9D</w:t>
      </w:r>
      <w:r>
        <w:t>.</w:t>
      </w:r>
      <w:r>
        <w:tab/>
        <w:t>Refunds</w:t>
      </w:r>
      <w:bookmarkEnd w:id="16"/>
    </w:p>
    <w:p>
      <w:pPr>
        <w:pStyle w:val="Subsection"/>
      </w:pPr>
      <w:r>
        <w:tab/>
        <w:t>(1)</w:t>
      </w:r>
      <w:r>
        <w:tab/>
        <w:t>A judicial officer or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lastRenderedPageBreak/>
        <w:tab/>
        <w:t>(2)</w:t>
      </w:r>
      <w:r>
        <w:tab/>
        <w:t>A registrar may refund to a person the amount of a fee, or part of a fee, paid by the person if the amount was paid in error.</w:t>
      </w:r>
    </w:p>
    <w:p>
      <w:pPr>
        <w:pStyle w:val="Footnotesection"/>
        <w:keepLines w:val="0"/>
      </w:pPr>
      <w:r>
        <w:tab/>
        <w:t>[Regulation 9D inserted: Gazette 14 Jun 2016 p. 1917.]</w:t>
      </w:r>
    </w:p>
    <w:p>
      <w:pPr>
        <w:pStyle w:val="Ednotesection"/>
      </w:pPr>
      <w:r>
        <w:t>[</w:t>
      </w:r>
      <w:r>
        <w:rPr>
          <w:b/>
        </w:rPr>
        <w:t>9.</w:t>
      </w:r>
      <w:r>
        <w:tab/>
        <w:t>Deleted: Gazette 14 Jun 2016 p. 1912.]</w:t>
      </w:r>
    </w:p>
    <w:p>
      <w:pPr>
        <w:pStyle w:val="Heading5"/>
      </w:pPr>
      <w:bookmarkStart w:id="17" w:name="_Toc200111702"/>
      <w:r>
        <w:rPr>
          <w:rStyle w:val="CharSectno"/>
        </w:rPr>
        <w:t>10</w:t>
      </w:r>
      <w:r>
        <w:t>.</w:t>
      </w:r>
      <w:r>
        <w:tab/>
        <w:t>Fee for allocation of hearing dates etc. (Sch. 1 Div. 2 it. 5), when to be paid</w:t>
      </w:r>
      <w:bookmarkEnd w:id="17"/>
    </w:p>
    <w:p>
      <w:pPr>
        <w:pStyle w:val="Subsection"/>
        <w:keepNext/>
      </w:pPr>
      <w:r>
        <w:tab/>
      </w:r>
      <w:r>
        <w:tab/>
        <w:t>The fee referred to in Schedule 1 Division 2 item 5 or so much of it as has not been waived under regulation 6 must be paid immediately after the Court determines the number of days to be allocated for the hearing.</w:t>
      </w:r>
    </w:p>
    <w:p>
      <w:pPr>
        <w:pStyle w:val="Footnotesection"/>
      </w:pPr>
      <w:r>
        <w:tab/>
        <w:t>[Regulation 10 amended: Gazette 20 Jul 2018 p. 2627.]</w:t>
      </w:r>
    </w:p>
    <w:p>
      <w:pPr>
        <w:pStyle w:val="Heading5"/>
      </w:pPr>
      <w:bookmarkStart w:id="18" w:name="_Toc200111703"/>
      <w:r>
        <w:rPr>
          <w:rStyle w:val="CharSectno"/>
        </w:rPr>
        <w:t>11</w:t>
      </w:r>
      <w:r>
        <w:t>.</w:t>
      </w:r>
      <w:r>
        <w:tab/>
        <w:t>Half daily hearing fee (Sch. 1 Div. 2 it. 6)</w:t>
      </w:r>
      <w:bookmarkEnd w:id="18"/>
    </w:p>
    <w:p>
      <w:pPr>
        <w:pStyle w:val="Subsection"/>
      </w:pPr>
      <w:r>
        <w:tab/>
      </w:r>
      <w:r>
        <w:tab/>
        <w:t>If a fee is to be paid under Schedule 1 Division 2 item 6, the hearing is not to be reconvened until that fee has been paid or so much of it as has not been waived under regulation 6 has been paid.</w:t>
      </w:r>
    </w:p>
    <w:p>
      <w:pPr>
        <w:pStyle w:val="Footnotesection"/>
      </w:pPr>
      <w:r>
        <w:tab/>
        <w:t>[Regulation 11 amended: Gazette 20 Jul 2018 p. 2627.]</w:t>
      </w:r>
    </w:p>
    <w:p>
      <w:pPr>
        <w:pStyle w:val="Heading5"/>
      </w:pPr>
      <w:bookmarkStart w:id="19" w:name="_Toc200111704"/>
      <w:r>
        <w:rPr>
          <w:rStyle w:val="CharSectno"/>
        </w:rPr>
        <w:t>12</w:t>
      </w:r>
      <w:r>
        <w:t>.</w:t>
      </w:r>
      <w:r>
        <w:tab/>
        <w:t>Court information, fees for</w:t>
      </w:r>
      <w:bookmarkEnd w:id="19"/>
    </w:p>
    <w:p>
      <w:pPr>
        <w:pStyle w:val="Subsection"/>
        <w:keepNext/>
      </w:pPr>
      <w:r>
        <w:tab/>
      </w:r>
      <w:r>
        <w:tab/>
        <w:t xml:space="preserve">A person to whom information is provided under the </w:t>
      </w:r>
      <w:r>
        <w:rPr>
          <w:i/>
          <w:iCs/>
        </w:rPr>
        <w:t>Magistrates Court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Gazette 22 Aug 2008 p. 3670.]</w:t>
      </w:r>
    </w:p>
    <w:p>
      <w:pPr>
        <w:pStyle w:val="Heading5"/>
      </w:pPr>
      <w:bookmarkStart w:id="20" w:name="_Toc200111705"/>
      <w:r>
        <w:rPr>
          <w:rStyle w:val="CharSectno"/>
        </w:rPr>
        <w:lastRenderedPageBreak/>
        <w:t>13</w:t>
      </w:r>
      <w:r>
        <w:t>.</w:t>
      </w:r>
      <w:r>
        <w:tab/>
        <w:t>Disputes as to fees, determination of</w:t>
      </w:r>
      <w:bookmarkEnd w:id="20"/>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21" w:name="_Toc200111706"/>
      <w:r>
        <w:rPr>
          <w:rStyle w:val="CharSectno"/>
        </w:rPr>
        <w:t>14</w:t>
      </w:r>
      <w:r>
        <w:t>.</w:t>
      </w:r>
      <w:r>
        <w:tab/>
        <w:t>Unpaid fees, recovery of</w:t>
      </w:r>
      <w:bookmarkEnd w:id="21"/>
    </w:p>
    <w:p>
      <w:pPr>
        <w:pStyle w:val="Subsection"/>
      </w:pPr>
      <w:r>
        <w:tab/>
      </w:r>
      <w:r>
        <w:tab/>
        <w:t>Any unpaid fee is a debt due to the State and may be recovered by action in a court of competent jurisdiction.</w:t>
      </w:r>
    </w:p>
    <w:p>
      <w:pPr>
        <w:pStyle w:val="Heading5"/>
      </w:pPr>
      <w:bookmarkStart w:id="22" w:name="_Toc200111707"/>
      <w:r>
        <w:rPr>
          <w:rStyle w:val="CharSectno"/>
        </w:rPr>
        <w:t>15</w:t>
      </w:r>
      <w:r>
        <w:t>.</w:t>
      </w:r>
      <w:r>
        <w:tab/>
        <w:t>Transitional provisions</w:t>
      </w:r>
      <w:bookmarkEnd w:id="22"/>
    </w:p>
    <w:p>
      <w:pPr>
        <w:pStyle w:val="Subsection"/>
        <w:keepNext/>
      </w:pPr>
      <w:r>
        <w:tab/>
        <w:t>(1)</w:t>
      </w:r>
      <w:r>
        <w:tab/>
        <w:t xml:space="preserve">In this regulation — </w:t>
      </w:r>
    </w:p>
    <w:p>
      <w:pPr>
        <w:pStyle w:val="Defstart"/>
        <w:keepNex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dates for a hearing were allocated before the commencement day, the hearing did not proceed on those dates on a Local Court’s or the Court’s own motion, and the Court has allocated other hearing dates on or after the commencement day.</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3" w:name="_Toc200111708"/>
      <w:r>
        <w:rPr>
          <w:rStyle w:val="CharSchNo"/>
        </w:rPr>
        <w:lastRenderedPageBreak/>
        <w:t>Schedule 1</w:t>
      </w:r>
      <w:r>
        <w:t> — </w:t>
      </w:r>
      <w:r>
        <w:rPr>
          <w:rStyle w:val="CharSchText"/>
        </w:rPr>
        <w:t>Fees</w:t>
      </w:r>
      <w:bookmarkEnd w:id="23"/>
    </w:p>
    <w:p>
      <w:pPr>
        <w:pStyle w:val="yShoulderClause"/>
      </w:pPr>
      <w:r>
        <w:t>[r. 4 and 12]</w:t>
      </w:r>
    </w:p>
    <w:p>
      <w:pPr>
        <w:pStyle w:val="yFootnoteheading"/>
        <w:keepNext/>
        <w:spacing w:after="120"/>
      </w:pPr>
      <w:r>
        <w:tab/>
        <w:t>[Heading inserted: SL 2023/120 r. 28.]</w:t>
      </w:r>
    </w:p>
    <w:p>
      <w:pPr>
        <w:pStyle w:val="yHeading3"/>
      </w:pPr>
      <w:bookmarkStart w:id="24" w:name="_Toc200111709"/>
      <w:r>
        <w:rPr>
          <w:rStyle w:val="CharSDivNo"/>
        </w:rPr>
        <w:t>Division 1</w:t>
      </w:r>
      <w:r>
        <w:t> — </w:t>
      </w:r>
      <w:r>
        <w:rPr>
          <w:rStyle w:val="CharSDivText"/>
        </w:rPr>
        <w:t>General</w:t>
      </w:r>
      <w:bookmarkEnd w:id="24"/>
    </w:p>
    <w:p>
      <w:pPr>
        <w:pStyle w:val="yFootnoteheading"/>
        <w:keepNext/>
        <w:spacing w:after="120"/>
      </w:pPr>
      <w:r>
        <w:tab/>
        <w:t>[Heading inserted: SL 2023/120 r. 28.]</w:t>
      </w:r>
    </w:p>
    <w:tbl>
      <w:tblPr>
        <w:tblW w:w="6980" w:type="dxa"/>
        <w:tblInd w:w="108" w:type="dxa"/>
        <w:tblLayout w:type="fixed"/>
        <w:tblLook w:val="0000" w:firstRow="0" w:lastRow="0" w:firstColumn="0" w:lastColumn="0" w:noHBand="0" w:noVBand="0"/>
      </w:tblPr>
      <w:tblGrid>
        <w:gridCol w:w="601"/>
        <w:gridCol w:w="2552"/>
        <w:gridCol w:w="1275"/>
        <w:gridCol w:w="1276"/>
        <w:gridCol w:w="1276"/>
      </w:tblGrid>
      <w:tr>
        <w:trPr>
          <w:cantSplit/>
          <w:tblHeader/>
        </w:trPr>
        <w:tc>
          <w:tcPr>
            <w:tcW w:w="601" w:type="dxa"/>
            <w:tcBorders>
              <w:top w:val="single" w:sz="4" w:space="0" w:color="auto"/>
              <w:bottom w:val="single" w:sz="4" w:space="0" w:color="auto"/>
            </w:tcBorders>
            <w:noWrap/>
          </w:tcPr>
          <w:p>
            <w:pPr>
              <w:pStyle w:val="yTableNAm"/>
              <w:ind w:right="-108"/>
              <w:jc w:val="center"/>
              <w:rPr>
                <w:b/>
              </w:rPr>
            </w:pPr>
            <w:r>
              <w:rPr>
                <w:b/>
              </w:rPr>
              <w:t>Item</w:t>
            </w:r>
          </w:p>
        </w:tc>
        <w:tc>
          <w:tcPr>
            <w:tcW w:w="2552" w:type="dxa"/>
            <w:tcBorders>
              <w:top w:val="single" w:sz="4" w:space="0" w:color="auto"/>
              <w:bottom w:val="single" w:sz="4" w:space="0" w:color="auto"/>
            </w:tcBorders>
            <w:noWrap/>
          </w:tcPr>
          <w:p>
            <w:pPr>
              <w:pStyle w:val="yTableNAm"/>
              <w:jc w:val="center"/>
              <w:rPr>
                <w:b/>
              </w:rPr>
            </w:pPr>
            <w:r>
              <w:rPr>
                <w:b/>
              </w:rPr>
              <w:t>Matter</w:t>
            </w:r>
          </w:p>
        </w:tc>
        <w:tc>
          <w:tcPr>
            <w:tcW w:w="1275"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top w:val="single" w:sz="4" w:space="0" w:color="auto"/>
              <w:bottom w:val="single" w:sz="4" w:space="0" w:color="auto"/>
            </w:tcBorders>
            <w:noWrap/>
          </w:tcPr>
          <w:p>
            <w:pPr>
              <w:pStyle w:val="yTableNAm"/>
              <w:jc w:val="center"/>
              <w:rPr>
                <w:b/>
              </w:rPr>
            </w:pPr>
            <w:r>
              <w:rPr>
                <w:b/>
              </w:rPr>
              <w:t>Column C</w:t>
            </w:r>
          </w:p>
          <w:p>
            <w:pPr>
              <w:pStyle w:val="yTableNAm"/>
              <w:jc w:val="center"/>
              <w:rPr>
                <w:b/>
              </w:rPr>
            </w:pPr>
            <w:r>
              <w:rPr>
                <w:b/>
              </w:rPr>
              <w:t>Fee for eligible</w:t>
            </w:r>
            <w:r>
              <w:rPr>
                <w:b/>
              </w:rPr>
              <w:br/>
              <w:t>individual</w:t>
            </w:r>
            <w:r>
              <w:rPr>
                <w:b/>
              </w:rPr>
              <w:br/>
            </w:r>
            <w:r>
              <w:rPr>
                <w:b/>
              </w:rPr>
              <w:br/>
              <w:t>$</w:t>
            </w:r>
          </w:p>
        </w:tc>
      </w:tr>
      <w:tr>
        <w:trPr>
          <w:cantSplit/>
        </w:trPr>
        <w:tc>
          <w:tcPr>
            <w:tcW w:w="601" w:type="dxa"/>
            <w:tcBorders>
              <w:top w:val="single" w:sz="4" w:space="0" w:color="auto"/>
            </w:tcBorders>
            <w:noWrap/>
          </w:tcPr>
          <w:p>
            <w:pPr>
              <w:pStyle w:val="yTableNAm"/>
            </w:pPr>
            <w:r>
              <w:t>1.</w:t>
            </w:r>
          </w:p>
        </w:tc>
        <w:tc>
          <w:tcPr>
            <w:tcW w:w="2552" w:type="dxa"/>
            <w:tcBorders>
              <w:top w:val="single" w:sz="4" w:space="0" w:color="auto"/>
            </w:tcBorders>
            <w:noWrap/>
          </w:tcPr>
          <w:p>
            <w:pPr>
              <w:pStyle w:val="yTableNAm"/>
              <w:tabs>
                <w:tab w:val="clear" w:pos="567"/>
              </w:tabs>
              <w:ind w:left="317" w:hanging="317"/>
            </w:pPr>
            <w:r>
              <w:t>(a)</w:t>
            </w:r>
            <w:r>
              <w:tab/>
              <w:t>For every order or conviction drawn up in the Court’s criminal jurisdiction</w:t>
            </w:r>
          </w:p>
        </w:tc>
        <w:tc>
          <w:tcPr>
            <w:tcW w:w="1275" w:type="dxa"/>
            <w:tcBorders>
              <w:top w:val="single" w:sz="4" w:space="0" w:color="auto"/>
            </w:tcBorders>
            <w:noWrap/>
            <w:vAlign w:val="bottom"/>
          </w:tcPr>
          <w:p>
            <w:pPr>
              <w:pStyle w:val="yTableNAm"/>
              <w:ind w:right="175"/>
              <w:jc w:val="right"/>
              <w:rPr>
                <w:szCs w:val="22"/>
              </w:rPr>
            </w:pPr>
            <w:r>
              <w:rPr>
                <w:szCs w:val="22"/>
              </w:rPr>
              <w:t>23.00</w:t>
            </w:r>
          </w:p>
        </w:tc>
        <w:tc>
          <w:tcPr>
            <w:tcW w:w="1276" w:type="dxa"/>
            <w:tcBorders>
              <w:top w:val="single" w:sz="4" w:space="0" w:color="auto"/>
            </w:tcBorders>
            <w:noWrap/>
            <w:vAlign w:val="bottom"/>
          </w:tcPr>
          <w:p>
            <w:pPr>
              <w:pStyle w:val="yTableNAm"/>
              <w:ind w:right="175"/>
              <w:jc w:val="right"/>
            </w:pPr>
            <w:r>
              <w:t>23.00</w:t>
            </w:r>
          </w:p>
        </w:tc>
        <w:tc>
          <w:tcPr>
            <w:tcW w:w="1276" w:type="dxa"/>
            <w:tcBorders>
              <w:top w:val="single" w:sz="4" w:space="0" w:color="auto"/>
            </w:tcBorders>
            <w:noWrap/>
            <w:vAlign w:val="bottom"/>
          </w:tcPr>
          <w:p>
            <w:pPr>
              <w:pStyle w:val="yTableNAm"/>
              <w:ind w:right="175"/>
              <w:jc w:val="right"/>
              <w:rPr>
                <w:szCs w:val="22"/>
              </w:rPr>
            </w:pPr>
            <w:r>
              <w:rPr>
                <w:szCs w:val="22"/>
              </w:rPr>
              <w:t>6.90</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For issue of a duplicate document or order</w:t>
            </w:r>
          </w:p>
        </w:tc>
        <w:tc>
          <w:tcPr>
            <w:tcW w:w="1275" w:type="dxa"/>
            <w:noWrap/>
            <w:vAlign w:val="bottom"/>
          </w:tcPr>
          <w:p>
            <w:pPr>
              <w:pStyle w:val="yTableNAm"/>
              <w:ind w:right="175"/>
              <w:jc w:val="right"/>
              <w:rPr>
                <w:szCs w:val="22"/>
              </w:rPr>
            </w:pPr>
            <w:r>
              <w:rPr>
                <w:szCs w:val="22"/>
              </w:rPr>
              <w:t>23.00</w:t>
            </w:r>
          </w:p>
        </w:tc>
        <w:tc>
          <w:tcPr>
            <w:tcW w:w="1276" w:type="dxa"/>
            <w:noWrap/>
            <w:vAlign w:val="bottom"/>
          </w:tcPr>
          <w:p>
            <w:pPr>
              <w:pStyle w:val="yTableNAm"/>
              <w:ind w:right="175"/>
              <w:jc w:val="right"/>
              <w:rPr>
                <w:szCs w:val="22"/>
              </w:rPr>
            </w:pPr>
            <w:r>
              <w:rPr>
                <w:szCs w:val="22"/>
              </w:rPr>
              <w:t>23.00</w:t>
            </w:r>
          </w:p>
        </w:tc>
        <w:tc>
          <w:tcPr>
            <w:tcW w:w="1276" w:type="dxa"/>
            <w:noWrap/>
            <w:vAlign w:val="bottom"/>
          </w:tcPr>
          <w:p>
            <w:pPr>
              <w:pStyle w:val="yTableNAm"/>
              <w:ind w:right="175"/>
              <w:jc w:val="right"/>
              <w:rPr>
                <w:szCs w:val="22"/>
              </w:rPr>
            </w:pPr>
            <w:r>
              <w:rPr>
                <w:szCs w:val="22"/>
              </w:rPr>
              <w:t>6.90</w:t>
            </w:r>
          </w:p>
        </w:tc>
      </w:tr>
      <w:tr>
        <w:trPr>
          <w:cantSplit/>
        </w:trPr>
        <w:tc>
          <w:tcPr>
            <w:tcW w:w="601" w:type="dxa"/>
            <w:noWrap/>
          </w:tcPr>
          <w:p>
            <w:pPr>
              <w:pStyle w:val="yTableNAm"/>
            </w:pPr>
            <w:r>
              <w:t>2.</w:t>
            </w:r>
          </w:p>
        </w:tc>
        <w:tc>
          <w:tcPr>
            <w:tcW w:w="2552" w:type="dxa"/>
            <w:noWrap/>
          </w:tcPr>
          <w:p>
            <w:pPr>
              <w:pStyle w:val="yTableNAm"/>
            </w:pPr>
            <w:r>
              <w:t>For the service of an application, summons, originating process, notice or order of the Court or other process requiring service</w:t>
            </w:r>
          </w:p>
        </w:tc>
        <w:tc>
          <w:tcPr>
            <w:tcW w:w="1275" w:type="dxa"/>
            <w:noWrap/>
            <w:vAlign w:val="bottom"/>
          </w:tcPr>
          <w:p>
            <w:pPr>
              <w:pStyle w:val="yTableNAm"/>
              <w:ind w:right="175"/>
              <w:jc w:val="right"/>
              <w:rPr>
                <w:szCs w:val="22"/>
              </w:rPr>
            </w:pPr>
            <w:r>
              <w:rPr>
                <w:szCs w:val="22"/>
              </w:rPr>
              <w:t>101.00</w:t>
            </w:r>
          </w:p>
        </w:tc>
        <w:tc>
          <w:tcPr>
            <w:tcW w:w="1276" w:type="dxa"/>
            <w:noWrap/>
            <w:vAlign w:val="bottom"/>
          </w:tcPr>
          <w:p>
            <w:pPr>
              <w:pStyle w:val="yTableNAm"/>
              <w:ind w:right="175"/>
              <w:jc w:val="right"/>
              <w:rPr>
                <w:szCs w:val="22"/>
              </w:rPr>
            </w:pPr>
            <w:r>
              <w:rPr>
                <w:szCs w:val="22"/>
              </w:rPr>
              <w:t>101.00</w:t>
            </w:r>
          </w:p>
        </w:tc>
        <w:tc>
          <w:tcPr>
            <w:tcW w:w="1276" w:type="dxa"/>
            <w:noWrap/>
            <w:vAlign w:val="bottom"/>
          </w:tcPr>
          <w:p>
            <w:pPr>
              <w:pStyle w:val="yTableNAm"/>
              <w:ind w:right="175"/>
              <w:jc w:val="right"/>
              <w:rPr>
                <w:szCs w:val="22"/>
              </w:rPr>
            </w:pPr>
            <w:r>
              <w:rPr>
                <w:szCs w:val="22"/>
              </w:rPr>
              <w:t>101.00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The fee is payable whether or not the service is successful and covers up to 3 attempts at service at the same address.</w:t>
            </w:r>
          </w:p>
        </w:tc>
      </w:tr>
      <w:tr>
        <w:tc>
          <w:tcPr>
            <w:tcW w:w="601" w:type="dxa"/>
            <w:noWrap/>
          </w:tcPr>
          <w:p>
            <w:pPr>
              <w:pStyle w:val="yTableNAm"/>
            </w:pPr>
            <w:r>
              <w:t>3.</w:t>
            </w:r>
          </w:p>
        </w:tc>
        <w:tc>
          <w:tcPr>
            <w:tcW w:w="2552" w:type="dxa"/>
            <w:noWrap/>
          </w:tcPr>
          <w:p>
            <w:pPr>
              <w:pStyle w:val="yTableNAm"/>
            </w:pPr>
            <w:r>
              <w:t xml:space="preserve">If it is necessary to travel to execute a warrant or other process, or on service of a summons, order of the Court, other process or document, or </w:t>
            </w:r>
            <w:r>
              <w:lastRenderedPageBreak/>
              <w:t xml:space="preserve">on making an arrest or for all attempts, attendances and inspections, from the enforcement officer’s office or nearest police station — </w:t>
            </w:r>
          </w:p>
        </w:tc>
        <w:tc>
          <w:tcPr>
            <w:tcW w:w="1275" w:type="dxa"/>
            <w:noWrap/>
          </w:tcPr>
          <w:p>
            <w:pPr>
              <w:pStyle w:val="yTableNAm"/>
              <w:rPr>
                <w:szCs w:val="22"/>
              </w:rPr>
            </w:pPr>
          </w:p>
        </w:tc>
        <w:tc>
          <w:tcPr>
            <w:tcW w:w="1276" w:type="dxa"/>
            <w:noWrap/>
          </w:tcPr>
          <w:p>
            <w:pPr>
              <w:pStyle w:val="yTableNAm"/>
            </w:pPr>
          </w:p>
        </w:tc>
        <w:tc>
          <w:tcPr>
            <w:tcW w:w="1276" w:type="dxa"/>
            <w:noWrap/>
          </w:tcPr>
          <w:p>
            <w:pPr>
              <w:pStyle w:val="yTableNAm"/>
              <w:rPr>
                <w:szCs w:val="22"/>
              </w:rPr>
            </w:pPr>
          </w:p>
        </w:tc>
      </w:tr>
      <w:tr>
        <w:trPr>
          <w:cantSplit/>
        </w:trPr>
        <w:tc>
          <w:tcPr>
            <w:tcW w:w="601" w:type="dxa"/>
            <w:noWrap/>
          </w:tcPr>
          <w:p>
            <w:pPr>
              <w:pStyle w:val="yTableNAm"/>
            </w:pPr>
          </w:p>
        </w:tc>
        <w:tc>
          <w:tcPr>
            <w:tcW w:w="2552" w:type="dxa"/>
            <w:noWrap/>
          </w:tcPr>
          <w:p>
            <w:pPr>
              <w:pStyle w:val="yTableNAm"/>
              <w:tabs>
                <w:tab w:val="clear" w:pos="567"/>
              </w:tabs>
              <w:ind w:left="317" w:hanging="317"/>
            </w:pPr>
            <w:r>
              <w:t>(a)</w:t>
            </w:r>
            <w:r>
              <w:tab/>
              <w:t>for each kilometre travelled (1 way) in the metropolitan region</w:t>
            </w:r>
          </w:p>
        </w:tc>
        <w:tc>
          <w:tcPr>
            <w:tcW w:w="1275" w:type="dxa"/>
            <w:noWrap/>
            <w:vAlign w:val="bottom"/>
          </w:tcPr>
          <w:p>
            <w:pPr>
              <w:pStyle w:val="yTableNAm"/>
              <w:ind w:right="175"/>
              <w:jc w:val="right"/>
              <w:rPr>
                <w:szCs w:val="22"/>
              </w:rPr>
            </w:pPr>
            <w:r>
              <w:rPr>
                <w:szCs w:val="22"/>
              </w:rPr>
              <w:t>2.50</w:t>
            </w:r>
          </w:p>
        </w:tc>
        <w:tc>
          <w:tcPr>
            <w:tcW w:w="1276" w:type="dxa"/>
            <w:noWrap/>
            <w:vAlign w:val="bottom"/>
          </w:tcPr>
          <w:p>
            <w:pPr>
              <w:pStyle w:val="yTableNAm"/>
              <w:ind w:right="175"/>
              <w:jc w:val="right"/>
              <w:rPr>
                <w:szCs w:val="22"/>
              </w:rPr>
            </w:pPr>
            <w:r>
              <w:rPr>
                <w:szCs w:val="22"/>
              </w:rPr>
              <w:t>2.50</w:t>
            </w:r>
          </w:p>
        </w:tc>
        <w:tc>
          <w:tcPr>
            <w:tcW w:w="1276" w:type="dxa"/>
            <w:noWrap/>
            <w:vAlign w:val="bottom"/>
          </w:tcPr>
          <w:p>
            <w:pPr>
              <w:pStyle w:val="yTableNAm"/>
              <w:ind w:right="175"/>
              <w:jc w:val="right"/>
              <w:rPr>
                <w:szCs w:val="22"/>
              </w:rPr>
            </w:pPr>
            <w:r>
              <w:rPr>
                <w:szCs w:val="22"/>
              </w:rPr>
              <w:t>2.50</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for each kilometre travelled (1 way) outside the metropolitan region</w:t>
            </w:r>
          </w:p>
        </w:tc>
        <w:tc>
          <w:tcPr>
            <w:tcW w:w="1275" w:type="dxa"/>
            <w:noWrap/>
            <w:vAlign w:val="bottom"/>
          </w:tcPr>
          <w:p>
            <w:pPr>
              <w:pStyle w:val="yTableNAm"/>
              <w:ind w:right="175"/>
              <w:jc w:val="right"/>
              <w:rPr>
                <w:szCs w:val="22"/>
              </w:rPr>
            </w:pPr>
            <w:r>
              <w:rPr>
                <w:szCs w:val="22"/>
              </w:rPr>
              <w:t>2.80</w:t>
            </w:r>
          </w:p>
        </w:tc>
        <w:tc>
          <w:tcPr>
            <w:tcW w:w="1276" w:type="dxa"/>
            <w:noWrap/>
            <w:vAlign w:val="bottom"/>
          </w:tcPr>
          <w:p>
            <w:pPr>
              <w:pStyle w:val="yTableNAm"/>
              <w:ind w:right="175"/>
              <w:jc w:val="right"/>
              <w:rPr>
                <w:szCs w:val="22"/>
              </w:rPr>
            </w:pPr>
            <w:r>
              <w:rPr>
                <w:szCs w:val="22"/>
              </w:rPr>
              <w:t>2.80</w:t>
            </w:r>
          </w:p>
        </w:tc>
        <w:tc>
          <w:tcPr>
            <w:tcW w:w="1276" w:type="dxa"/>
            <w:noWrap/>
            <w:vAlign w:val="bottom"/>
          </w:tcPr>
          <w:p>
            <w:pPr>
              <w:pStyle w:val="yTableNAm"/>
              <w:ind w:right="175"/>
              <w:jc w:val="right"/>
              <w:rPr>
                <w:szCs w:val="22"/>
              </w:rPr>
            </w:pPr>
            <w:r>
              <w:rPr>
                <w:szCs w:val="22"/>
              </w:rPr>
              <w:t>2.80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If more than 1 process or document is executed or served by an enforcement officer at the same time on the same person, or on different persons at the same address, only 1 fee for kilometres travelled is chargeable.</w:t>
            </w:r>
          </w:p>
        </w:tc>
      </w:tr>
      <w:tr>
        <w:trPr>
          <w:cantSplit/>
        </w:trPr>
        <w:tc>
          <w:tcPr>
            <w:tcW w:w="601" w:type="dxa"/>
            <w:noWrap/>
          </w:tcPr>
          <w:p>
            <w:pPr>
              <w:pStyle w:val="yTableNAm"/>
            </w:pPr>
            <w:r>
              <w:t>4.</w:t>
            </w:r>
          </w:p>
        </w:tc>
        <w:tc>
          <w:tcPr>
            <w:tcW w:w="2552" w:type="dxa"/>
            <w:noWrap/>
          </w:tcPr>
          <w:p>
            <w:pPr>
              <w:pStyle w:val="yTableNAm"/>
              <w:tabs>
                <w:tab w:val="clear" w:pos="567"/>
              </w:tabs>
              <w:ind w:left="317" w:hanging="317"/>
            </w:pPr>
            <w:r>
              <w:t>(a)</w:t>
            </w:r>
            <w:r>
              <w:tab/>
              <w:t>For searching a record or proceeding (other than a search by or on behalf of a party to the proceedings) in the Court’s civil jurisdiction</w:t>
            </w:r>
          </w:p>
        </w:tc>
        <w:tc>
          <w:tcPr>
            <w:tcW w:w="1275" w:type="dxa"/>
            <w:noWrap/>
            <w:vAlign w:val="bottom"/>
          </w:tcPr>
          <w:p>
            <w:pPr>
              <w:pStyle w:val="yTableNAm"/>
              <w:ind w:right="175"/>
              <w:jc w:val="right"/>
              <w:rPr>
                <w:szCs w:val="22"/>
              </w:rPr>
            </w:pPr>
            <w:r>
              <w:rPr>
                <w:szCs w:val="22"/>
              </w:rPr>
              <w:t>58.50</w:t>
            </w:r>
          </w:p>
        </w:tc>
        <w:tc>
          <w:tcPr>
            <w:tcW w:w="1276" w:type="dxa"/>
            <w:noWrap/>
            <w:vAlign w:val="bottom"/>
          </w:tcPr>
          <w:p>
            <w:pPr>
              <w:pStyle w:val="yTableNAm"/>
              <w:ind w:right="175"/>
              <w:jc w:val="right"/>
              <w:rPr>
                <w:szCs w:val="22"/>
              </w:rPr>
            </w:pPr>
            <w:r>
              <w:rPr>
                <w:szCs w:val="22"/>
              </w:rPr>
              <w:t>58.50</w:t>
            </w:r>
          </w:p>
        </w:tc>
        <w:tc>
          <w:tcPr>
            <w:tcW w:w="1276" w:type="dxa"/>
            <w:noWrap/>
            <w:vAlign w:val="bottom"/>
          </w:tcPr>
          <w:p>
            <w:pPr>
              <w:pStyle w:val="yTableNAm"/>
              <w:ind w:right="175"/>
              <w:jc w:val="right"/>
              <w:rPr>
                <w:szCs w:val="22"/>
              </w:rPr>
            </w:pPr>
            <w:r>
              <w:rPr>
                <w:szCs w:val="22"/>
              </w:rPr>
              <w:t>17.55</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 xml:space="preserve">For listening to or viewing an electronic recording that requires supervision by an officer of the Court — </w:t>
            </w:r>
          </w:p>
          <w:p>
            <w:pPr>
              <w:pStyle w:val="yTableNAm"/>
              <w:tabs>
                <w:tab w:val="clear" w:pos="567"/>
              </w:tabs>
              <w:ind w:left="743" w:hanging="426"/>
            </w:pPr>
            <w:r>
              <w:t>(i)</w:t>
            </w:r>
            <w:r>
              <w:tab/>
              <w:t>a search fee</w:t>
            </w:r>
          </w:p>
        </w:tc>
        <w:tc>
          <w:tcPr>
            <w:tcW w:w="1275" w:type="dxa"/>
            <w:noWrap/>
            <w:vAlign w:val="bottom"/>
          </w:tcPr>
          <w:p>
            <w:pPr>
              <w:pStyle w:val="yTableNAm"/>
              <w:ind w:right="175"/>
              <w:jc w:val="right"/>
              <w:rPr>
                <w:szCs w:val="22"/>
              </w:rPr>
            </w:pPr>
            <w:r>
              <w:rPr>
                <w:szCs w:val="22"/>
              </w:rPr>
              <w:t>58.50</w:t>
            </w:r>
          </w:p>
        </w:tc>
        <w:tc>
          <w:tcPr>
            <w:tcW w:w="1276" w:type="dxa"/>
            <w:noWrap/>
            <w:vAlign w:val="bottom"/>
          </w:tcPr>
          <w:p>
            <w:pPr>
              <w:pStyle w:val="yTableNAm"/>
              <w:ind w:right="175"/>
              <w:jc w:val="right"/>
              <w:rPr>
                <w:szCs w:val="22"/>
              </w:rPr>
            </w:pPr>
            <w:r>
              <w:rPr>
                <w:szCs w:val="22"/>
              </w:rPr>
              <w:t>58.50</w:t>
            </w:r>
          </w:p>
        </w:tc>
        <w:tc>
          <w:tcPr>
            <w:tcW w:w="1276" w:type="dxa"/>
            <w:noWrap/>
            <w:vAlign w:val="bottom"/>
          </w:tcPr>
          <w:p>
            <w:pPr>
              <w:pStyle w:val="yTableNAm"/>
              <w:ind w:right="175"/>
              <w:jc w:val="right"/>
              <w:rPr>
                <w:szCs w:val="22"/>
              </w:rPr>
            </w:pPr>
            <w:r>
              <w:rPr>
                <w:szCs w:val="22"/>
              </w:rPr>
              <w:t>17.55</w:t>
            </w:r>
          </w:p>
        </w:tc>
      </w:tr>
      <w:tr>
        <w:trPr>
          <w:cantSplit/>
        </w:trPr>
        <w:tc>
          <w:tcPr>
            <w:tcW w:w="601" w:type="dxa"/>
            <w:noWrap/>
          </w:tcPr>
          <w:p>
            <w:pPr>
              <w:pStyle w:val="yTableNAm"/>
            </w:pPr>
          </w:p>
        </w:tc>
        <w:tc>
          <w:tcPr>
            <w:tcW w:w="2552" w:type="dxa"/>
            <w:noWrap/>
          </w:tcPr>
          <w:p>
            <w:pPr>
              <w:pStyle w:val="yTableNAm"/>
              <w:tabs>
                <w:tab w:val="clear" w:pos="567"/>
              </w:tabs>
              <w:ind w:left="743" w:hanging="426"/>
            </w:pPr>
            <w:r>
              <w:t>(ii)</w:t>
            </w:r>
            <w:r>
              <w:tab/>
              <w:t>in addition to the search fee, for each hour of the officer’s time</w:t>
            </w:r>
          </w:p>
        </w:tc>
        <w:tc>
          <w:tcPr>
            <w:tcW w:w="1275" w:type="dxa"/>
            <w:noWrap/>
            <w:vAlign w:val="bottom"/>
          </w:tcPr>
          <w:p>
            <w:pPr>
              <w:pStyle w:val="yTableNAm"/>
              <w:ind w:right="175"/>
              <w:jc w:val="right"/>
              <w:rPr>
                <w:szCs w:val="22"/>
              </w:rPr>
            </w:pPr>
            <w:r>
              <w:rPr>
                <w:szCs w:val="22"/>
              </w:rPr>
              <w:t>142.50</w:t>
            </w:r>
          </w:p>
        </w:tc>
        <w:tc>
          <w:tcPr>
            <w:tcW w:w="1276" w:type="dxa"/>
            <w:noWrap/>
            <w:vAlign w:val="bottom"/>
          </w:tcPr>
          <w:p>
            <w:pPr>
              <w:pStyle w:val="yTableNAm"/>
              <w:ind w:right="175"/>
              <w:jc w:val="right"/>
              <w:rPr>
                <w:szCs w:val="22"/>
              </w:rPr>
            </w:pPr>
            <w:r>
              <w:rPr>
                <w:szCs w:val="22"/>
              </w:rPr>
              <w:t>142.50</w:t>
            </w:r>
          </w:p>
        </w:tc>
        <w:tc>
          <w:tcPr>
            <w:tcW w:w="1276" w:type="dxa"/>
            <w:noWrap/>
            <w:vAlign w:val="bottom"/>
          </w:tcPr>
          <w:p>
            <w:pPr>
              <w:pStyle w:val="yTableNAm"/>
              <w:ind w:right="175"/>
              <w:jc w:val="right"/>
              <w:rPr>
                <w:szCs w:val="22"/>
              </w:rPr>
            </w:pPr>
            <w:r>
              <w:rPr>
                <w:szCs w:val="22"/>
              </w:rPr>
              <w:t>42.80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rPr>
                <w:rFonts w:ascii="Arial" w:hAnsi="Arial"/>
                <w:sz w:val="18"/>
              </w:rPr>
            </w:pPr>
            <w:r>
              <w:rPr>
                <w:rFonts w:ascii="Arial" w:hAnsi="Arial"/>
                <w:sz w:val="18"/>
              </w:rPr>
              <w:t xml:space="preserve">Paragraph (a) does not apply in relation to information provided under the </w:t>
            </w:r>
            <w:r>
              <w:rPr>
                <w:rFonts w:ascii="Arial" w:hAnsi="Arial"/>
                <w:i/>
                <w:sz w:val="18"/>
              </w:rPr>
              <w:t>Magistrates Court (General) Rules 2005</w:t>
            </w:r>
            <w:r>
              <w:rPr>
                <w:rFonts w:ascii="Arial" w:hAnsi="Arial"/>
                <w:sz w:val="18"/>
              </w:rPr>
              <w:t xml:space="preserve"> rule 41A.</w:t>
            </w:r>
          </w:p>
        </w:tc>
      </w:tr>
      <w:tr>
        <w:trPr>
          <w:cantSplit/>
        </w:trPr>
        <w:tc>
          <w:tcPr>
            <w:tcW w:w="601" w:type="dxa"/>
            <w:noWrap/>
          </w:tcPr>
          <w:p>
            <w:pPr>
              <w:pStyle w:val="yTableNAm"/>
            </w:pPr>
            <w:r>
              <w:t>5.</w:t>
            </w:r>
          </w:p>
        </w:tc>
        <w:tc>
          <w:tcPr>
            <w:tcW w:w="2552" w:type="dxa"/>
            <w:noWrap/>
          </w:tcPr>
          <w:p>
            <w:pPr>
              <w:pStyle w:val="yTableNAm"/>
              <w:tabs>
                <w:tab w:val="clear" w:pos="567"/>
              </w:tabs>
            </w:pPr>
            <w:r>
              <w:t xml:space="preserve">For provision of information under the </w:t>
            </w:r>
            <w:r>
              <w:rPr>
                <w:i/>
                <w:iCs/>
              </w:rPr>
              <w:t>Magistrates Court (General) Rules 2005</w:t>
            </w:r>
            <w:r>
              <w:t xml:space="preserve"> rule 41A — </w:t>
            </w:r>
          </w:p>
        </w:tc>
        <w:tc>
          <w:tcPr>
            <w:tcW w:w="1275" w:type="dxa"/>
            <w:noWrap/>
          </w:tcPr>
          <w:p>
            <w:pPr>
              <w:pStyle w:val="yTableNAm"/>
            </w:pPr>
          </w:p>
        </w:tc>
        <w:tc>
          <w:tcPr>
            <w:tcW w:w="1276" w:type="dxa"/>
            <w:noWrap/>
          </w:tcPr>
          <w:p>
            <w:pPr>
              <w:pStyle w:val="yTableNAm"/>
            </w:pPr>
          </w:p>
        </w:tc>
        <w:tc>
          <w:tcPr>
            <w:tcW w:w="1276" w:type="dxa"/>
            <w:noWrap/>
          </w:tcPr>
          <w:p>
            <w:pPr>
              <w:pStyle w:val="yTableNAm"/>
            </w:pPr>
          </w:p>
        </w:tc>
      </w:tr>
      <w:tr>
        <w:trPr>
          <w:cantSplit/>
        </w:trPr>
        <w:tc>
          <w:tcPr>
            <w:tcW w:w="601" w:type="dxa"/>
            <w:noWrap/>
          </w:tcPr>
          <w:p>
            <w:pPr>
              <w:pStyle w:val="yTableNAm"/>
            </w:pPr>
          </w:p>
        </w:tc>
        <w:tc>
          <w:tcPr>
            <w:tcW w:w="2552" w:type="dxa"/>
            <w:noWrap/>
          </w:tcPr>
          <w:p>
            <w:pPr>
              <w:pStyle w:val="yTableNAm"/>
              <w:tabs>
                <w:tab w:val="clear" w:pos="567"/>
              </w:tabs>
              <w:ind w:left="317" w:hanging="317"/>
            </w:pPr>
            <w:r>
              <w:t>(a)</w:t>
            </w:r>
            <w:r>
              <w:tab/>
              <w:t>fee per case specified in the information</w:t>
            </w:r>
          </w:p>
        </w:tc>
        <w:tc>
          <w:tcPr>
            <w:tcW w:w="1275" w:type="dxa"/>
            <w:noWrap/>
            <w:vAlign w:val="bottom"/>
          </w:tcPr>
          <w:p>
            <w:pPr>
              <w:pStyle w:val="yTableNAm"/>
              <w:ind w:right="175"/>
              <w:jc w:val="right"/>
              <w:rPr>
                <w:szCs w:val="22"/>
              </w:rPr>
            </w:pPr>
            <w:r>
              <w:rPr>
                <w:szCs w:val="22"/>
              </w:rPr>
              <w:t>2.60</w:t>
            </w:r>
          </w:p>
        </w:tc>
        <w:tc>
          <w:tcPr>
            <w:tcW w:w="1276" w:type="dxa"/>
            <w:noWrap/>
            <w:vAlign w:val="bottom"/>
          </w:tcPr>
          <w:p>
            <w:pPr>
              <w:pStyle w:val="yTableNAm"/>
              <w:ind w:right="175"/>
              <w:jc w:val="right"/>
              <w:rPr>
                <w:szCs w:val="22"/>
              </w:rPr>
            </w:pPr>
            <w:r>
              <w:rPr>
                <w:szCs w:val="22"/>
              </w:rPr>
              <w:t>2.60</w:t>
            </w:r>
          </w:p>
        </w:tc>
        <w:tc>
          <w:tcPr>
            <w:tcW w:w="1276" w:type="dxa"/>
            <w:noWrap/>
            <w:vAlign w:val="bottom"/>
          </w:tcPr>
          <w:p>
            <w:pPr>
              <w:pStyle w:val="yTableNAm"/>
              <w:ind w:right="175"/>
              <w:jc w:val="right"/>
              <w:rPr>
                <w:szCs w:val="22"/>
              </w:rPr>
            </w:pPr>
            <w:r>
              <w:rPr>
                <w:szCs w:val="22"/>
              </w:rPr>
              <w:t>0.80</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annual fee for information provided by email to approved recipient</w:t>
            </w:r>
          </w:p>
        </w:tc>
        <w:tc>
          <w:tcPr>
            <w:tcW w:w="1275" w:type="dxa"/>
            <w:noWrap/>
            <w:vAlign w:val="bottom"/>
          </w:tcPr>
          <w:p>
            <w:pPr>
              <w:pStyle w:val="yTableNAm"/>
              <w:ind w:right="175"/>
              <w:jc w:val="right"/>
              <w:rPr>
                <w:szCs w:val="22"/>
              </w:rPr>
            </w:pPr>
            <w:r>
              <w:rPr>
                <w:szCs w:val="22"/>
              </w:rPr>
              <w:t>84 064.00</w:t>
            </w:r>
          </w:p>
        </w:tc>
        <w:tc>
          <w:tcPr>
            <w:tcW w:w="1276" w:type="dxa"/>
            <w:noWrap/>
            <w:vAlign w:val="bottom"/>
          </w:tcPr>
          <w:p>
            <w:pPr>
              <w:pStyle w:val="yTableNAm"/>
              <w:ind w:right="175"/>
              <w:jc w:val="right"/>
              <w:rPr>
                <w:szCs w:val="22"/>
              </w:rPr>
            </w:pPr>
            <w:r>
              <w:rPr>
                <w:szCs w:val="22"/>
              </w:rPr>
              <w:t>84 064.00</w:t>
            </w:r>
          </w:p>
        </w:tc>
        <w:tc>
          <w:tcPr>
            <w:tcW w:w="1276" w:type="dxa"/>
            <w:noWrap/>
            <w:vAlign w:val="bottom"/>
          </w:tcPr>
          <w:p>
            <w:pPr>
              <w:pStyle w:val="yTableNAm"/>
              <w:ind w:right="175"/>
              <w:jc w:val="right"/>
              <w:rPr>
                <w:szCs w:val="22"/>
              </w:rPr>
            </w:pPr>
            <w:r>
              <w:rPr>
                <w:szCs w:val="22"/>
              </w:rPr>
              <w:t>84 064.00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The fee under paragraph (b) is payable on the date on which the recipient is approved by the Attorney General and on each anniversary of that date.</w:t>
            </w:r>
          </w:p>
        </w:tc>
      </w:tr>
      <w:tr>
        <w:trPr>
          <w:cantSplit/>
        </w:trPr>
        <w:tc>
          <w:tcPr>
            <w:tcW w:w="601" w:type="dxa"/>
            <w:noWrap/>
          </w:tcPr>
          <w:p>
            <w:pPr>
              <w:pStyle w:val="yTableNAm"/>
            </w:pPr>
            <w:r>
              <w:lastRenderedPageBreak/>
              <w:t>6.</w:t>
            </w:r>
          </w:p>
        </w:tc>
        <w:tc>
          <w:tcPr>
            <w:tcW w:w="2552" w:type="dxa"/>
            <w:noWrap/>
          </w:tcPr>
          <w:p>
            <w:pPr>
              <w:pStyle w:val="yTableNAm"/>
              <w:tabs>
                <w:tab w:val="clear" w:pos="567"/>
              </w:tabs>
              <w:ind w:left="317" w:hanging="317"/>
            </w:pPr>
            <w:r>
              <w:t>(a)</w:t>
            </w:r>
            <w:r>
              <w:tab/>
              <w:t>On an application or summons for the production of records or documents that are required to be produced to a court, tribunal, arbitrator or umpire</w:t>
            </w:r>
          </w:p>
        </w:tc>
        <w:tc>
          <w:tcPr>
            <w:tcW w:w="1275" w:type="dxa"/>
            <w:noWrap/>
            <w:vAlign w:val="bottom"/>
          </w:tcPr>
          <w:p>
            <w:pPr>
              <w:pStyle w:val="yTableNAm"/>
              <w:ind w:right="175"/>
              <w:jc w:val="right"/>
              <w:rPr>
                <w:szCs w:val="22"/>
              </w:rPr>
            </w:pPr>
            <w:r>
              <w:rPr>
                <w:szCs w:val="22"/>
              </w:rPr>
              <w:t>85.50</w:t>
            </w:r>
          </w:p>
        </w:tc>
        <w:tc>
          <w:tcPr>
            <w:tcW w:w="1276" w:type="dxa"/>
            <w:noWrap/>
            <w:vAlign w:val="bottom"/>
          </w:tcPr>
          <w:p>
            <w:pPr>
              <w:pStyle w:val="yTableNAm"/>
              <w:ind w:right="175"/>
              <w:jc w:val="right"/>
              <w:rPr>
                <w:szCs w:val="22"/>
              </w:rPr>
            </w:pPr>
            <w:r>
              <w:rPr>
                <w:szCs w:val="22"/>
              </w:rPr>
              <w:t>85.50</w:t>
            </w:r>
          </w:p>
        </w:tc>
        <w:tc>
          <w:tcPr>
            <w:tcW w:w="1276" w:type="dxa"/>
            <w:noWrap/>
            <w:vAlign w:val="bottom"/>
          </w:tcPr>
          <w:p>
            <w:pPr>
              <w:pStyle w:val="yTableNAm"/>
              <w:ind w:right="175"/>
              <w:jc w:val="right"/>
              <w:rPr>
                <w:szCs w:val="22"/>
              </w:rPr>
            </w:pPr>
            <w:r>
              <w:rPr>
                <w:szCs w:val="22"/>
              </w:rPr>
              <w:t>25.60</w:t>
            </w:r>
          </w:p>
        </w:tc>
      </w:tr>
      <w:tr>
        <w:tc>
          <w:tcPr>
            <w:tcW w:w="601" w:type="dxa"/>
            <w:noWrap/>
          </w:tcPr>
          <w:p>
            <w:pPr>
              <w:pStyle w:val="yTableNAm"/>
            </w:pPr>
          </w:p>
        </w:tc>
        <w:tc>
          <w:tcPr>
            <w:tcW w:w="2552" w:type="dxa"/>
            <w:noWrap/>
          </w:tcPr>
          <w:p>
            <w:pPr>
              <w:pStyle w:val="yTableNAm"/>
              <w:tabs>
                <w:tab w:val="clear" w:pos="567"/>
              </w:tabs>
              <w:ind w:left="317" w:hanging="317"/>
            </w:pPr>
            <w:r>
              <w:t>(b)</w:t>
            </w:r>
            <w:r>
              <w:tab/>
              <w:t xml:space="preserve">If an officer is required to attend at a court or place out of the Court building where the officer is based — </w:t>
            </w:r>
          </w:p>
          <w:p>
            <w:pPr>
              <w:pStyle w:val="yTableNAm"/>
              <w:tabs>
                <w:tab w:val="clear" w:pos="567"/>
              </w:tabs>
              <w:ind w:left="1058" w:hanging="567"/>
            </w:pPr>
            <w:r>
              <w:t>(i)</w:t>
            </w:r>
            <w:r>
              <w:tab/>
              <w:t>the officer’s reasonable expenses</w:t>
            </w:r>
          </w:p>
          <w:p>
            <w:pPr>
              <w:pStyle w:val="yTableNAm"/>
              <w:tabs>
                <w:tab w:val="clear" w:pos="567"/>
              </w:tabs>
              <w:ind w:left="1058" w:hanging="567"/>
            </w:pPr>
            <w:r>
              <w:t>(ii)</w:t>
            </w:r>
            <w:r>
              <w:tab/>
              <w:t>in addition, for each hour the officer is necessarily absent from the officer’s office</w:t>
            </w:r>
          </w:p>
        </w:tc>
        <w:tc>
          <w:tcPr>
            <w:tcW w:w="1275" w:type="dxa"/>
            <w:noWrap/>
            <w:vAlign w:val="bottom"/>
          </w:tcPr>
          <w:p>
            <w:pPr>
              <w:pStyle w:val="yTableNAm"/>
              <w:ind w:right="175"/>
              <w:jc w:val="right"/>
              <w:rPr>
                <w:szCs w:val="22"/>
              </w:rPr>
            </w:pPr>
            <w:r>
              <w:rPr>
                <w:szCs w:val="22"/>
              </w:rPr>
              <w:t>123.00</w:t>
            </w:r>
          </w:p>
        </w:tc>
        <w:tc>
          <w:tcPr>
            <w:tcW w:w="1276" w:type="dxa"/>
            <w:noWrap/>
            <w:vAlign w:val="bottom"/>
          </w:tcPr>
          <w:p>
            <w:pPr>
              <w:pStyle w:val="yTableNAm"/>
              <w:ind w:right="175"/>
              <w:jc w:val="right"/>
              <w:rPr>
                <w:szCs w:val="22"/>
              </w:rPr>
            </w:pPr>
            <w:r>
              <w:rPr>
                <w:szCs w:val="22"/>
              </w:rPr>
              <w:t>123.00</w:t>
            </w:r>
          </w:p>
        </w:tc>
        <w:tc>
          <w:tcPr>
            <w:tcW w:w="1276" w:type="dxa"/>
            <w:noWrap/>
            <w:vAlign w:val="bottom"/>
          </w:tcPr>
          <w:p>
            <w:pPr>
              <w:pStyle w:val="yTableNAm"/>
              <w:ind w:right="175"/>
              <w:jc w:val="right"/>
              <w:rPr>
                <w:szCs w:val="22"/>
              </w:rPr>
            </w:pPr>
            <w:r>
              <w:rPr>
                <w:szCs w:val="22"/>
              </w:rPr>
              <w:t>36.90</w:t>
            </w:r>
          </w:p>
        </w:tc>
      </w:tr>
      <w:tr>
        <w:trPr>
          <w:cantSplit/>
        </w:trPr>
        <w:tc>
          <w:tcPr>
            <w:tcW w:w="601" w:type="dxa"/>
            <w:noWrap/>
          </w:tcPr>
          <w:p>
            <w:pPr>
              <w:pStyle w:val="yTableNAm"/>
            </w:pPr>
            <w:r>
              <w:t>7.</w:t>
            </w:r>
          </w:p>
        </w:tc>
        <w:tc>
          <w:tcPr>
            <w:tcW w:w="2552" w:type="dxa"/>
            <w:noWrap/>
          </w:tcPr>
          <w:p>
            <w:pPr>
              <w:pStyle w:val="yTableNAm"/>
              <w:tabs>
                <w:tab w:val="clear" w:pos="567"/>
              </w:tabs>
              <w:ind w:left="317" w:hanging="317"/>
            </w:pPr>
            <w:r>
              <w:t>(a)</w:t>
            </w:r>
            <w:r>
              <w:tab/>
              <w:t>For copies of documents or exhibits, for each page or part of a page</w:t>
            </w:r>
          </w:p>
        </w:tc>
        <w:tc>
          <w:tcPr>
            <w:tcW w:w="1275" w:type="dxa"/>
            <w:noWrap/>
            <w:vAlign w:val="bottom"/>
          </w:tcPr>
          <w:p>
            <w:pPr>
              <w:pStyle w:val="yTableNAm"/>
              <w:ind w:right="175"/>
              <w:jc w:val="right"/>
              <w:rPr>
                <w:szCs w:val="22"/>
              </w:rPr>
            </w:pPr>
            <w:r>
              <w:rPr>
                <w:szCs w:val="22"/>
              </w:rPr>
              <w:t>2.45</w:t>
            </w:r>
          </w:p>
        </w:tc>
        <w:tc>
          <w:tcPr>
            <w:tcW w:w="1276" w:type="dxa"/>
            <w:noWrap/>
            <w:vAlign w:val="bottom"/>
          </w:tcPr>
          <w:p>
            <w:pPr>
              <w:pStyle w:val="yTableNAm"/>
              <w:ind w:right="175"/>
              <w:jc w:val="right"/>
              <w:rPr>
                <w:szCs w:val="22"/>
              </w:rPr>
            </w:pPr>
            <w:r>
              <w:rPr>
                <w:szCs w:val="22"/>
              </w:rPr>
              <w:t>2.45</w:t>
            </w:r>
          </w:p>
        </w:tc>
        <w:tc>
          <w:tcPr>
            <w:tcW w:w="1276" w:type="dxa"/>
            <w:noWrap/>
            <w:vAlign w:val="bottom"/>
          </w:tcPr>
          <w:p>
            <w:pPr>
              <w:pStyle w:val="yTableNAm"/>
              <w:ind w:right="175"/>
              <w:jc w:val="right"/>
              <w:rPr>
                <w:szCs w:val="22"/>
              </w:rPr>
            </w:pPr>
            <w:r>
              <w:rPr>
                <w:szCs w:val="22"/>
              </w:rPr>
              <w:t>0.75</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For a copy of reasons for judgment —</w:t>
            </w:r>
          </w:p>
        </w:tc>
        <w:tc>
          <w:tcPr>
            <w:tcW w:w="1275" w:type="dxa"/>
            <w:noWrap/>
            <w:vAlign w:val="bottom"/>
          </w:tcPr>
          <w:p>
            <w:pPr>
              <w:pStyle w:val="yTableNAm"/>
              <w:ind w:right="175"/>
              <w:jc w:val="right"/>
              <w:rPr>
                <w:szCs w:val="22"/>
              </w:rPr>
            </w:pPr>
          </w:p>
        </w:tc>
        <w:tc>
          <w:tcPr>
            <w:tcW w:w="1276" w:type="dxa"/>
            <w:noWrap/>
            <w:vAlign w:val="bottom"/>
          </w:tcPr>
          <w:p>
            <w:pPr>
              <w:pStyle w:val="yTableNAm"/>
              <w:ind w:right="175"/>
              <w:jc w:val="right"/>
              <w:rPr>
                <w:szCs w:val="22"/>
              </w:rPr>
            </w:pPr>
          </w:p>
        </w:tc>
        <w:tc>
          <w:tcPr>
            <w:tcW w:w="1276" w:type="dxa"/>
            <w:noWrap/>
            <w:vAlign w:val="bottom"/>
          </w:tcPr>
          <w:p>
            <w:pPr>
              <w:pStyle w:val="yTableNAm"/>
              <w:ind w:right="175"/>
              <w:jc w:val="right"/>
              <w:rPr>
                <w:szCs w:val="22"/>
              </w:rPr>
            </w:pPr>
          </w:p>
        </w:tc>
      </w:tr>
      <w:tr>
        <w:trPr>
          <w:cantSplit/>
        </w:trPr>
        <w:tc>
          <w:tcPr>
            <w:tcW w:w="601" w:type="dxa"/>
            <w:noWrap/>
          </w:tcPr>
          <w:p>
            <w:pPr>
              <w:pStyle w:val="yTableNAm"/>
            </w:pPr>
          </w:p>
        </w:tc>
        <w:tc>
          <w:tcPr>
            <w:tcW w:w="2552" w:type="dxa"/>
            <w:noWrap/>
          </w:tcPr>
          <w:p>
            <w:pPr>
              <w:pStyle w:val="yTableNAm"/>
              <w:tabs>
                <w:tab w:val="clear" w:pos="567"/>
              </w:tabs>
              <w:ind w:left="743" w:hanging="426"/>
            </w:pPr>
            <w:r>
              <w:t>(i)</w:t>
            </w:r>
            <w:r>
              <w:tab/>
              <w:t>for each copy issued to a person who is not a party to the proceedings</w:t>
            </w:r>
          </w:p>
        </w:tc>
        <w:tc>
          <w:tcPr>
            <w:tcW w:w="1275" w:type="dxa"/>
            <w:noWrap/>
            <w:vAlign w:val="bottom"/>
          </w:tcPr>
          <w:p>
            <w:pPr>
              <w:pStyle w:val="yTableNAm"/>
              <w:ind w:right="175"/>
              <w:jc w:val="right"/>
              <w:rPr>
                <w:szCs w:val="22"/>
              </w:rPr>
            </w:pPr>
            <w:r>
              <w:rPr>
                <w:szCs w:val="22"/>
              </w:rPr>
              <w:t>20.30</w:t>
            </w:r>
          </w:p>
        </w:tc>
        <w:tc>
          <w:tcPr>
            <w:tcW w:w="1276" w:type="dxa"/>
            <w:noWrap/>
            <w:vAlign w:val="bottom"/>
          </w:tcPr>
          <w:p>
            <w:pPr>
              <w:pStyle w:val="yTableNAm"/>
              <w:ind w:right="175"/>
              <w:jc w:val="right"/>
              <w:rPr>
                <w:szCs w:val="22"/>
              </w:rPr>
            </w:pPr>
            <w:r>
              <w:rPr>
                <w:szCs w:val="22"/>
              </w:rPr>
              <w:t>20.30</w:t>
            </w:r>
          </w:p>
        </w:tc>
        <w:tc>
          <w:tcPr>
            <w:tcW w:w="1276" w:type="dxa"/>
            <w:noWrap/>
            <w:vAlign w:val="bottom"/>
          </w:tcPr>
          <w:p>
            <w:pPr>
              <w:pStyle w:val="yTableNAm"/>
              <w:ind w:right="175"/>
              <w:jc w:val="right"/>
              <w:rPr>
                <w:szCs w:val="22"/>
              </w:rPr>
            </w:pPr>
            <w:r>
              <w:rPr>
                <w:szCs w:val="22"/>
              </w:rPr>
              <w:t>6.10</w:t>
            </w:r>
          </w:p>
        </w:tc>
      </w:tr>
      <w:tr>
        <w:trPr>
          <w:cantSplit/>
        </w:trPr>
        <w:tc>
          <w:tcPr>
            <w:tcW w:w="601" w:type="dxa"/>
            <w:noWrap/>
          </w:tcPr>
          <w:p>
            <w:pPr>
              <w:pStyle w:val="yTableNAm"/>
            </w:pPr>
          </w:p>
        </w:tc>
        <w:tc>
          <w:tcPr>
            <w:tcW w:w="2552" w:type="dxa"/>
            <w:noWrap/>
          </w:tcPr>
          <w:p>
            <w:pPr>
              <w:pStyle w:val="yTableNAm"/>
              <w:tabs>
                <w:tab w:val="clear" w:pos="567"/>
              </w:tabs>
              <w:ind w:left="743" w:hanging="426"/>
            </w:pPr>
            <w:r>
              <w:t>(ii)</w:t>
            </w:r>
            <w:r>
              <w:tab/>
              <w:t>for each copy in excess of 1 copy issued to a party to the proceedings</w:t>
            </w:r>
          </w:p>
        </w:tc>
        <w:tc>
          <w:tcPr>
            <w:tcW w:w="1275" w:type="dxa"/>
            <w:noWrap/>
            <w:vAlign w:val="bottom"/>
          </w:tcPr>
          <w:p>
            <w:pPr>
              <w:pStyle w:val="yTableNAm"/>
              <w:ind w:right="175"/>
              <w:jc w:val="right"/>
              <w:rPr>
                <w:szCs w:val="22"/>
              </w:rPr>
            </w:pPr>
            <w:r>
              <w:rPr>
                <w:szCs w:val="22"/>
              </w:rPr>
              <w:t>20.30</w:t>
            </w:r>
          </w:p>
        </w:tc>
        <w:tc>
          <w:tcPr>
            <w:tcW w:w="1276" w:type="dxa"/>
            <w:noWrap/>
            <w:vAlign w:val="bottom"/>
          </w:tcPr>
          <w:p>
            <w:pPr>
              <w:pStyle w:val="yTableNAm"/>
              <w:ind w:right="175"/>
              <w:jc w:val="right"/>
              <w:rPr>
                <w:szCs w:val="22"/>
              </w:rPr>
            </w:pPr>
            <w:r>
              <w:rPr>
                <w:szCs w:val="22"/>
              </w:rPr>
              <w:t>20.30</w:t>
            </w:r>
          </w:p>
        </w:tc>
        <w:tc>
          <w:tcPr>
            <w:tcW w:w="1276" w:type="dxa"/>
            <w:noWrap/>
            <w:vAlign w:val="bottom"/>
          </w:tcPr>
          <w:p>
            <w:pPr>
              <w:pStyle w:val="yTableNAm"/>
              <w:ind w:right="175"/>
              <w:jc w:val="right"/>
              <w:rPr>
                <w:szCs w:val="22"/>
              </w:rPr>
            </w:pPr>
            <w:r>
              <w:rPr>
                <w:szCs w:val="22"/>
              </w:rPr>
              <w:t>6.10</w:t>
            </w:r>
          </w:p>
        </w:tc>
      </w:tr>
      <w:tr>
        <w:trPr>
          <w:cantSplit/>
        </w:trPr>
        <w:tc>
          <w:tcPr>
            <w:tcW w:w="601" w:type="dxa"/>
            <w:noWrap/>
          </w:tcPr>
          <w:p>
            <w:pPr>
              <w:pStyle w:val="yTableNAm"/>
            </w:pPr>
          </w:p>
        </w:tc>
        <w:tc>
          <w:tcPr>
            <w:tcW w:w="2552" w:type="dxa"/>
            <w:noWrap/>
          </w:tcPr>
          <w:p>
            <w:pPr>
              <w:pStyle w:val="yTableNAm"/>
              <w:tabs>
                <w:tab w:val="clear" w:pos="567"/>
              </w:tabs>
              <w:ind w:left="743" w:hanging="426"/>
            </w:pPr>
            <w:r>
              <w:t>(iii)</w:t>
            </w:r>
            <w:r>
              <w:tab/>
              <w:t>for each copy consisting of 10 or more pages, an additional fee per page</w:t>
            </w:r>
          </w:p>
        </w:tc>
        <w:tc>
          <w:tcPr>
            <w:tcW w:w="1275" w:type="dxa"/>
            <w:noWrap/>
            <w:vAlign w:val="bottom"/>
          </w:tcPr>
          <w:p>
            <w:pPr>
              <w:pStyle w:val="yTableNAm"/>
              <w:ind w:right="175"/>
              <w:jc w:val="right"/>
              <w:rPr>
                <w:szCs w:val="22"/>
              </w:rPr>
            </w:pPr>
            <w:r>
              <w:rPr>
                <w:szCs w:val="22"/>
              </w:rPr>
              <w:t>2.60</w:t>
            </w:r>
          </w:p>
        </w:tc>
        <w:tc>
          <w:tcPr>
            <w:tcW w:w="1276" w:type="dxa"/>
            <w:noWrap/>
            <w:vAlign w:val="bottom"/>
          </w:tcPr>
          <w:p>
            <w:pPr>
              <w:pStyle w:val="yTableNAm"/>
              <w:ind w:right="175"/>
              <w:jc w:val="right"/>
              <w:rPr>
                <w:szCs w:val="22"/>
              </w:rPr>
            </w:pPr>
            <w:r>
              <w:rPr>
                <w:szCs w:val="22"/>
              </w:rPr>
              <w:t>2.60</w:t>
            </w:r>
          </w:p>
        </w:tc>
        <w:tc>
          <w:tcPr>
            <w:tcW w:w="1276" w:type="dxa"/>
            <w:noWrap/>
            <w:vAlign w:val="bottom"/>
          </w:tcPr>
          <w:p>
            <w:pPr>
              <w:pStyle w:val="yTableNAm"/>
              <w:ind w:right="175"/>
              <w:jc w:val="right"/>
              <w:rPr>
                <w:szCs w:val="22"/>
              </w:rPr>
            </w:pPr>
            <w:r>
              <w:rPr>
                <w:szCs w:val="22"/>
              </w:rPr>
              <w:t>0.80</w:t>
            </w:r>
          </w:p>
        </w:tc>
      </w:tr>
      <w:tr>
        <w:trPr>
          <w:cantSplit/>
        </w:trPr>
        <w:tc>
          <w:tcPr>
            <w:tcW w:w="601" w:type="dxa"/>
            <w:noWrap/>
          </w:tcPr>
          <w:p>
            <w:pPr>
              <w:pStyle w:val="yTableNAm"/>
            </w:pPr>
          </w:p>
        </w:tc>
        <w:tc>
          <w:tcPr>
            <w:tcW w:w="2552" w:type="dxa"/>
            <w:noWrap/>
          </w:tcPr>
          <w:p>
            <w:pPr>
              <w:pStyle w:val="yTableNAm"/>
              <w:tabs>
                <w:tab w:val="clear" w:pos="567"/>
              </w:tabs>
              <w:ind w:left="317" w:hanging="317"/>
            </w:pPr>
            <w:r>
              <w:t>(c)</w:t>
            </w:r>
            <w:r>
              <w:tab/>
              <w:t>For certifying that a document is a true copy — an additional fee</w:t>
            </w:r>
          </w:p>
        </w:tc>
        <w:tc>
          <w:tcPr>
            <w:tcW w:w="1275" w:type="dxa"/>
            <w:noWrap/>
            <w:vAlign w:val="bottom"/>
          </w:tcPr>
          <w:p>
            <w:pPr>
              <w:pStyle w:val="yTableNAm"/>
              <w:ind w:right="175"/>
              <w:jc w:val="right"/>
              <w:rPr>
                <w:szCs w:val="22"/>
              </w:rPr>
            </w:pPr>
            <w:r>
              <w:rPr>
                <w:szCs w:val="22"/>
              </w:rPr>
              <w:t>25.90</w:t>
            </w:r>
          </w:p>
        </w:tc>
        <w:tc>
          <w:tcPr>
            <w:tcW w:w="1276" w:type="dxa"/>
            <w:noWrap/>
            <w:vAlign w:val="bottom"/>
          </w:tcPr>
          <w:p>
            <w:pPr>
              <w:pStyle w:val="yTableNAm"/>
              <w:ind w:right="175"/>
              <w:jc w:val="right"/>
              <w:rPr>
                <w:szCs w:val="22"/>
              </w:rPr>
            </w:pPr>
            <w:r>
              <w:rPr>
                <w:szCs w:val="22"/>
              </w:rPr>
              <w:t>25.90</w:t>
            </w:r>
          </w:p>
        </w:tc>
        <w:tc>
          <w:tcPr>
            <w:tcW w:w="1276" w:type="dxa"/>
            <w:noWrap/>
            <w:vAlign w:val="bottom"/>
          </w:tcPr>
          <w:p>
            <w:pPr>
              <w:pStyle w:val="yTableNAm"/>
              <w:ind w:right="175"/>
              <w:jc w:val="right"/>
              <w:rPr>
                <w:szCs w:val="22"/>
              </w:rPr>
            </w:pPr>
            <w:r>
              <w:rPr>
                <w:szCs w:val="22"/>
              </w:rPr>
              <w:t>7.75</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The fee under paragraph (a) for a copy of an application is not payable if circumstances under regulation 6(4) exist.</w:t>
            </w:r>
          </w:p>
        </w:tc>
      </w:tr>
      <w:tr>
        <w:trPr>
          <w:cantSplit/>
        </w:trPr>
        <w:tc>
          <w:tcPr>
            <w:tcW w:w="601" w:type="dxa"/>
            <w:noWrap/>
          </w:tcPr>
          <w:p>
            <w:pPr>
              <w:pStyle w:val="yTableNAm"/>
            </w:pPr>
            <w:r>
              <w:t>8.</w:t>
            </w:r>
          </w:p>
        </w:tc>
        <w:tc>
          <w:tcPr>
            <w:tcW w:w="2552" w:type="dxa"/>
            <w:noWrap/>
          </w:tcPr>
          <w:p>
            <w:pPr>
              <w:pStyle w:val="yTableNAm"/>
              <w:tabs>
                <w:tab w:val="clear" w:pos="567"/>
              </w:tabs>
              <w:ind w:left="317" w:hanging="317"/>
            </w:pPr>
            <w:r>
              <w:t>(a)</w:t>
            </w:r>
            <w:r>
              <w:tab/>
              <w:t xml:space="preserve">For the provision of a transcript, or part of a transcript — </w:t>
            </w:r>
          </w:p>
        </w:tc>
        <w:tc>
          <w:tcPr>
            <w:tcW w:w="1275" w:type="dxa"/>
            <w:noWrap/>
            <w:vAlign w:val="bottom"/>
          </w:tcPr>
          <w:p>
            <w:pPr>
              <w:pStyle w:val="yTableNAm"/>
            </w:pPr>
          </w:p>
        </w:tc>
        <w:tc>
          <w:tcPr>
            <w:tcW w:w="1276" w:type="dxa"/>
            <w:noWrap/>
            <w:vAlign w:val="bottom"/>
          </w:tcPr>
          <w:p>
            <w:pPr>
              <w:pStyle w:val="yTableNAm"/>
            </w:pPr>
          </w:p>
        </w:tc>
        <w:tc>
          <w:tcPr>
            <w:tcW w:w="1276" w:type="dxa"/>
            <w:noWrap/>
            <w:vAlign w:val="bottom"/>
          </w:tcPr>
          <w:p>
            <w:pPr>
              <w:pStyle w:val="yTableNAm"/>
            </w:pPr>
          </w:p>
        </w:tc>
      </w:tr>
      <w:tr>
        <w:trPr>
          <w:cantSplit/>
        </w:trPr>
        <w:tc>
          <w:tcPr>
            <w:tcW w:w="601" w:type="dxa"/>
            <w:noWrap/>
          </w:tcPr>
          <w:p>
            <w:pPr>
              <w:pStyle w:val="yTableNAm"/>
            </w:pPr>
          </w:p>
        </w:tc>
        <w:tc>
          <w:tcPr>
            <w:tcW w:w="2552" w:type="dxa"/>
            <w:noWrap/>
          </w:tcPr>
          <w:p>
            <w:pPr>
              <w:pStyle w:val="yTableNAm"/>
              <w:tabs>
                <w:tab w:val="clear" w:pos="567"/>
              </w:tabs>
              <w:ind w:left="743" w:hanging="426"/>
            </w:pPr>
            <w:r>
              <w:t>(i)</w:t>
            </w:r>
            <w:r>
              <w:tab/>
              <w:t xml:space="preserve">provided within 1 day after the day on which the fee is paid </w:t>
            </w:r>
          </w:p>
        </w:tc>
        <w:tc>
          <w:tcPr>
            <w:tcW w:w="1275" w:type="dxa"/>
            <w:noWrap/>
          </w:tcPr>
          <w:p>
            <w:pPr>
              <w:pStyle w:val="yTableNAm"/>
            </w:pPr>
            <w:r>
              <w:t>26.90 plus</w:t>
            </w:r>
            <w:r>
              <w:br/>
              <w:t>11.10 per page</w:t>
            </w:r>
          </w:p>
        </w:tc>
        <w:tc>
          <w:tcPr>
            <w:tcW w:w="1276" w:type="dxa"/>
            <w:noWrap/>
          </w:tcPr>
          <w:p>
            <w:pPr>
              <w:pStyle w:val="yTableNAm"/>
            </w:pPr>
            <w:r>
              <w:t>26.90 plus</w:t>
            </w:r>
            <w:r>
              <w:br/>
              <w:t>22.20 per page</w:t>
            </w:r>
          </w:p>
        </w:tc>
        <w:tc>
          <w:tcPr>
            <w:tcW w:w="1276" w:type="dxa"/>
            <w:noWrap/>
          </w:tcPr>
          <w:p>
            <w:pPr>
              <w:pStyle w:val="yTableNAm"/>
            </w:pPr>
            <w:r>
              <w:t xml:space="preserve">8.05 plus </w:t>
            </w:r>
            <w:r>
              <w:br/>
              <w:t>3.35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(ii)</w:t>
            </w:r>
            <w:r>
              <w:tab/>
              <w:t xml:space="preserve">provided within 2 days after the day on which the fee is paid </w:t>
            </w:r>
          </w:p>
        </w:tc>
        <w:tc>
          <w:tcPr>
            <w:tcW w:w="1275" w:type="dxa"/>
            <w:noWrap/>
          </w:tcPr>
          <w:p>
            <w:pPr>
              <w:pStyle w:val="yTableNAm"/>
            </w:pPr>
            <w:r>
              <w:t>26.90 plus</w:t>
            </w:r>
            <w:r>
              <w:br/>
              <w:t>10.20 per page</w:t>
            </w:r>
          </w:p>
        </w:tc>
        <w:tc>
          <w:tcPr>
            <w:tcW w:w="1276" w:type="dxa"/>
            <w:noWrap/>
          </w:tcPr>
          <w:p>
            <w:pPr>
              <w:pStyle w:val="yTableNAm"/>
            </w:pPr>
            <w:r>
              <w:t>26.90 plus</w:t>
            </w:r>
            <w:r>
              <w:br/>
              <w:t>20.30 per page</w:t>
            </w:r>
          </w:p>
        </w:tc>
        <w:tc>
          <w:tcPr>
            <w:tcW w:w="1276" w:type="dxa"/>
            <w:noWrap/>
          </w:tcPr>
          <w:p>
            <w:pPr>
              <w:pStyle w:val="yTableNAm"/>
            </w:pPr>
            <w:r>
              <w:t xml:space="preserve">8.05 plus </w:t>
            </w:r>
            <w:r>
              <w:br/>
              <w:t>3.05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(iii)</w:t>
            </w:r>
            <w:r>
              <w:tab/>
              <w:t xml:space="preserve">provided within 4 days after the day on which the fee is paid </w:t>
            </w:r>
          </w:p>
        </w:tc>
        <w:tc>
          <w:tcPr>
            <w:tcW w:w="1275" w:type="dxa"/>
            <w:noWrap/>
          </w:tcPr>
          <w:p>
            <w:pPr>
              <w:pStyle w:val="yTableNAm"/>
            </w:pPr>
            <w:r>
              <w:t>26.90 plus</w:t>
            </w:r>
            <w:r>
              <w:br/>
              <w:t>9.60 per page</w:t>
            </w:r>
          </w:p>
        </w:tc>
        <w:tc>
          <w:tcPr>
            <w:tcW w:w="1276" w:type="dxa"/>
            <w:noWrap/>
          </w:tcPr>
          <w:p>
            <w:pPr>
              <w:pStyle w:val="yTableNAm"/>
              <w:rPr>
                <w:rStyle w:val="DraftersNotes"/>
                <w:b w:val="0"/>
                <w:i w:val="0"/>
              </w:rPr>
            </w:pPr>
            <w:r>
              <w:t>26.90 plus</w:t>
            </w:r>
            <w:r>
              <w:br/>
              <w:t>19.40 per page</w:t>
            </w:r>
          </w:p>
        </w:tc>
        <w:tc>
          <w:tcPr>
            <w:tcW w:w="1276" w:type="dxa"/>
            <w:noWrap/>
          </w:tcPr>
          <w:p>
            <w:pPr>
              <w:pStyle w:val="yTableNAm"/>
            </w:pPr>
            <w:r>
              <w:t xml:space="preserve">8.05 plus </w:t>
            </w:r>
            <w:r>
              <w:br/>
              <w:t>2.90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(iv)</w:t>
            </w:r>
            <w:r>
              <w:tab/>
              <w:t xml:space="preserve">provided within 7 days after the day on which the fee is paid </w:t>
            </w:r>
          </w:p>
        </w:tc>
        <w:tc>
          <w:tcPr>
            <w:tcW w:w="1275" w:type="dxa"/>
            <w:noWrap/>
          </w:tcPr>
          <w:p>
            <w:pPr>
              <w:pStyle w:val="yTableNAm"/>
            </w:pPr>
            <w:r>
              <w:t xml:space="preserve">26.90 plus </w:t>
            </w:r>
            <w:r>
              <w:br/>
              <w:t>9.30 per page</w:t>
            </w:r>
          </w:p>
        </w:tc>
        <w:tc>
          <w:tcPr>
            <w:tcW w:w="1276" w:type="dxa"/>
            <w:noWrap/>
          </w:tcPr>
          <w:p>
            <w:pPr>
              <w:pStyle w:val="yTableNAm"/>
            </w:pPr>
            <w:r>
              <w:t>26.90 plus</w:t>
            </w:r>
            <w:r>
              <w:br/>
              <w:t>18.45 per page</w:t>
            </w:r>
          </w:p>
        </w:tc>
        <w:tc>
          <w:tcPr>
            <w:tcW w:w="1276" w:type="dxa"/>
            <w:noWrap/>
          </w:tcPr>
          <w:p>
            <w:pPr>
              <w:pStyle w:val="yTableNAm"/>
            </w:pPr>
            <w:r>
              <w:t xml:space="preserve">8.05 plus </w:t>
            </w:r>
            <w:r>
              <w:br/>
              <w:t>2.80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(v)</w:t>
            </w:r>
            <w:r>
              <w:tab/>
              <w:t xml:space="preserve">provided within 14 days after the day on which the fee is paid </w:t>
            </w:r>
          </w:p>
        </w:tc>
        <w:tc>
          <w:tcPr>
            <w:tcW w:w="1275" w:type="dxa"/>
            <w:noWrap/>
          </w:tcPr>
          <w:p>
            <w:pPr>
              <w:pStyle w:val="yTableNAm"/>
            </w:pPr>
            <w:r>
              <w:t xml:space="preserve">26.90 plus </w:t>
            </w:r>
            <w:r>
              <w:br/>
              <w:t>7.85 per page</w:t>
            </w:r>
          </w:p>
        </w:tc>
        <w:tc>
          <w:tcPr>
            <w:tcW w:w="1276" w:type="dxa"/>
            <w:noWrap/>
          </w:tcPr>
          <w:p>
            <w:pPr>
              <w:pStyle w:val="yTableNAm"/>
            </w:pPr>
            <w:r>
              <w:t>26.90 plus</w:t>
            </w:r>
            <w:r>
              <w:br/>
              <w:t>15.75 per page</w:t>
            </w:r>
          </w:p>
        </w:tc>
        <w:tc>
          <w:tcPr>
            <w:tcW w:w="1276" w:type="dxa"/>
            <w:noWrap/>
          </w:tcPr>
          <w:p>
            <w:pPr>
              <w:pStyle w:val="yTableNAm"/>
            </w:pPr>
            <w:r>
              <w:t xml:space="preserve">8.05 plus </w:t>
            </w:r>
            <w:r>
              <w:br/>
              <w:t>2.35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(vi)</w:t>
            </w:r>
            <w:r>
              <w:tab/>
              <w:t>provided on a running basis (i.e. periodically throughout or following the day of the proceedings)</w:t>
            </w:r>
          </w:p>
        </w:tc>
        <w:tc>
          <w:tcPr>
            <w:tcW w:w="1275" w:type="dxa"/>
            <w:noWrap/>
          </w:tcPr>
          <w:p>
            <w:pPr>
              <w:pStyle w:val="yTableNAm"/>
            </w:pPr>
            <w:r>
              <w:t>26.90 plus</w:t>
            </w:r>
            <w:r>
              <w:br/>
              <w:t>11.80 per page</w:t>
            </w:r>
          </w:p>
        </w:tc>
        <w:tc>
          <w:tcPr>
            <w:tcW w:w="1276" w:type="dxa"/>
            <w:noWrap/>
          </w:tcPr>
          <w:p>
            <w:pPr>
              <w:pStyle w:val="yTableNAm"/>
            </w:pPr>
            <w:r>
              <w:t>26.90 plus</w:t>
            </w:r>
            <w:r>
              <w:br/>
              <w:t>23.60 per page</w:t>
            </w:r>
          </w:p>
        </w:tc>
        <w:tc>
          <w:tcPr>
            <w:tcW w:w="1276" w:type="dxa"/>
            <w:noWrap/>
          </w:tcPr>
          <w:p>
            <w:pPr>
              <w:pStyle w:val="yTableNAm"/>
            </w:pPr>
            <w:r>
              <w:t xml:space="preserve">8.05 plus </w:t>
            </w:r>
            <w:r>
              <w:br/>
              <w:t>3.55 per page</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For the provision of a copy of a transcript, or part of a transcript, if the transcript or part has already been provided to the person requesting the copy —</w:t>
            </w:r>
          </w:p>
        </w:tc>
        <w:tc>
          <w:tcPr>
            <w:tcW w:w="1275" w:type="dxa"/>
            <w:noWrap/>
          </w:tcPr>
          <w:p>
            <w:pPr>
              <w:pStyle w:val="yTableNAm"/>
            </w:pPr>
          </w:p>
        </w:tc>
        <w:tc>
          <w:tcPr>
            <w:tcW w:w="1276" w:type="dxa"/>
            <w:noWrap/>
          </w:tcPr>
          <w:p>
            <w:pPr>
              <w:pStyle w:val="yTableNAm"/>
            </w:pPr>
          </w:p>
        </w:tc>
        <w:tc>
          <w:tcPr>
            <w:tcW w:w="1276" w:type="dxa"/>
            <w:noWrap/>
          </w:tcPr>
          <w:p>
            <w:pPr>
              <w:pStyle w:val="yTableNAm"/>
            </w:pPr>
          </w:p>
        </w:tc>
      </w:tr>
      <w:tr>
        <w:trPr>
          <w:cantSplit/>
        </w:trPr>
        <w:tc>
          <w:tcPr>
            <w:tcW w:w="601" w:type="dxa"/>
            <w:noWrap/>
          </w:tcPr>
          <w:p>
            <w:pPr>
              <w:pStyle w:val="yTableNAm"/>
            </w:pPr>
          </w:p>
        </w:tc>
        <w:tc>
          <w:tcPr>
            <w:tcW w:w="2552" w:type="dxa"/>
            <w:noWrap/>
          </w:tcPr>
          <w:p>
            <w:pPr>
              <w:pStyle w:val="yTableNAm"/>
              <w:tabs>
                <w:tab w:val="clear" w:pos="567"/>
              </w:tabs>
              <w:ind w:left="743" w:hanging="426"/>
            </w:pPr>
            <w:r>
              <w:t>(i)</w:t>
            </w:r>
            <w:r>
              <w:tab/>
              <w:t xml:space="preserve">electronic format, per copy </w:t>
            </w:r>
          </w:p>
        </w:tc>
        <w:tc>
          <w:tcPr>
            <w:tcW w:w="1275" w:type="dxa"/>
            <w:noWrap/>
          </w:tcPr>
          <w:p>
            <w:pPr>
              <w:pStyle w:val="yTableNAm"/>
              <w:ind w:right="175"/>
              <w:jc w:val="right"/>
              <w:rPr>
                <w:szCs w:val="22"/>
              </w:rPr>
            </w:pPr>
            <w:r>
              <w:rPr>
                <w:szCs w:val="22"/>
              </w:rPr>
              <w:t>28.10</w:t>
            </w:r>
          </w:p>
        </w:tc>
        <w:tc>
          <w:tcPr>
            <w:tcW w:w="1276" w:type="dxa"/>
            <w:noWrap/>
          </w:tcPr>
          <w:p>
            <w:pPr>
              <w:pStyle w:val="yTableNAm"/>
              <w:ind w:right="175"/>
              <w:jc w:val="right"/>
              <w:rPr>
                <w:szCs w:val="22"/>
              </w:rPr>
            </w:pPr>
            <w:r>
              <w:rPr>
                <w:szCs w:val="22"/>
              </w:rPr>
              <w:t>28.10</w:t>
            </w:r>
          </w:p>
        </w:tc>
        <w:tc>
          <w:tcPr>
            <w:tcW w:w="1276" w:type="dxa"/>
            <w:noWrap/>
          </w:tcPr>
          <w:p>
            <w:pPr>
              <w:pStyle w:val="yTableNAm"/>
              <w:ind w:right="175"/>
              <w:jc w:val="right"/>
              <w:rPr>
                <w:szCs w:val="22"/>
              </w:rPr>
            </w:pPr>
            <w:r>
              <w:rPr>
                <w:szCs w:val="22"/>
              </w:rPr>
              <w:t>8.45</w:t>
            </w:r>
          </w:p>
        </w:tc>
      </w:tr>
      <w:tr>
        <w:trPr>
          <w:cantSplit/>
        </w:trPr>
        <w:tc>
          <w:tcPr>
            <w:tcW w:w="601" w:type="dxa"/>
            <w:noWrap/>
          </w:tcPr>
          <w:p>
            <w:pPr>
              <w:pStyle w:val="yTableNAm"/>
              <w:keepNext/>
            </w:pPr>
          </w:p>
        </w:tc>
        <w:tc>
          <w:tcPr>
            <w:tcW w:w="2552" w:type="dxa"/>
            <w:noWrap/>
          </w:tcPr>
          <w:p>
            <w:pPr>
              <w:pStyle w:val="yTableNAm"/>
              <w:keepNext/>
              <w:tabs>
                <w:tab w:val="clear" w:pos="567"/>
              </w:tabs>
              <w:ind w:left="743" w:hanging="426"/>
            </w:pPr>
            <w:r>
              <w:t>(ii)</w:t>
            </w:r>
            <w:r>
              <w:tab/>
              <w:t xml:space="preserve">paper copy, per page </w:t>
            </w:r>
          </w:p>
        </w:tc>
        <w:tc>
          <w:tcPr>
            <w:tcW w:w="1275" w:type="dxa"/>
            <w:noWrap/>
          </w:tcPr>
          <w:p>
            <w:pPr>
              <w:pStyle w:val="yTableNAm"/>
              <w:keepNext/>
              <w:ind w:right="175"/>
              <w:jc w:val="right"/>
              <w:rPr>
                <w:szCs w:val="22"/>
              </w:rPr>
            </w:pPr>
            <w:r>
              <w:rPr>
                <w:szCs w:val="22"/>
              </w:rPr>
              <w:t>2.80</w:t>
            </w:r>
          </w:p>
        </w:tc>
        <w:tc>
          <w:tcPr>
            <w:tcW w:w="1276" w:type="dxa"/>
            <w:noWrap/>
          </w:tcPr>
          <w:p>
            <w:pPr>
              <w:pStyle w:val="yTableNAm"/>
              <w:keepNext/>
              <w:ind w:right="175"/>
              <w:jc w:val="right"/>
              <w:rPr>
                <w:szCs w:val="22"/>
              </w:rPr>
            </w:pPr>
            <w:r>
              <w:rPr>
                <w:szCs w:val="22"/>
              </w:rPr>
              <w:t>2.80</w:t>
            </w:r>
          </w:p>
        </w:tc>
        <w:tc>
          <w:tcPr>
            <w:tcW w:w="1276" w:type="dxa"/>
            <w:noWrap/>
          </w:tcPr>
          <w:p>
            <w:pPr>
              <w:pStyle w:val="yTableNAm"/>
              <w:keepNext/>
              <w:ind w:right="175"/>
              <w:jc w:val="right"/>
              <w:rPr>
                <w:szCs w:val="22"/>
              </w:rPr>
            </w:pPr>
            <w:r>
              <w:rPr>
                <w:szCs w:val="22"/>
              </w:rPr>
              <w:t>0.85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Height w:val="510"/>
        </w:trPr>
        <w:tc>
          <w:tcPr>
            <w:tcW w:w="601" w:type="dxa"/>
            <w:tcBorders>
              <w:top w:val="nil"/>
              <w:left w:val="nil"/>
              <w:bottom w:val="single" w:sz="4" w:space="0" w:color="auto"/>
              <w:right w:val="nil"/>
            </w:tcBorders>
            <w:noWrap/>
          </w:tcPr>
          <w:p>
            <w:pPr>
              <w:pStyle w:val="yTableNAm"/>
            </w:pPr>
          </w:p>
        </w:tc>
        <w:tc>
          <w:tcPr>
            <w:tcW w:w="6379" w:type="dxa"/>
            <w:gridSpan w:val="4"/>
            <w:tcBorders>
              <w:top w:val="nil"/>
              <w:left w:val="nil"/>
              <w:bottom w:val="single" w:sz="4" w:space="0" w:color="auto"/>
              <w:right w:val="nil"/>
            </w:tcBorders>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Fees under this item are payable in the case of an indictable offence dealt with summarily.</w:t>
            </w:r>
          </w:p>
        </w:tc>
      </w:tr>
    </w:tbl>
    <w:p>
      <w:pPr>
        <w:pStyle w:val="yFootnotesection"/>
      </w:pPr>
      <w:r>
        <w:tab/>
        <w:t>[Division 1 inserted: SL 2023/120 r. 28.]</w:t>
      </w:r>
    </w:p>
    <w:p>
      <w:pPr>
        <w:pStyle w:val="yHeading3"/>
      </w:pPr>
      <w:bookmarkStart w:id="25" w:name="_Toc200111710"/>
      <w:r>
        <w:rPr>
          <w:rStyle w:val="CharSDivNo"/>
        </w:rPr>
        <w:t>Division 2</w:t>
      </w:r>
      <w:r>
        <w:t> — </w:t>
      </w:r>
      <w:r>
        <w:rPr>
          <w:rStyle w:val="CharSDivText"/>
        </w:rPr>
        <w:t>Civil jurisdiction</w:t>
      </w:r>
      <w:bookmarkEnd w:id="25"/>
    </w:p>
    <w:p>
      <w:pPr>
        <w:pStyle w:val="yFootnoteheading"/>
        <w:keepNext/>
        <w:spacing w:after="120"/>
      </w:pPr>
      <w:r>
        <w:tab/>
        <w:t>[Heading inserted: SL 2023/120 r. 28.]</w:t>
      </w:r>
    </w:p>
    <w:tbl>
      <w:tblPr>
        <w:tblW w:w="7003" w:type="dxa"/>
        <w:tblInd w:w="85" w:type="dxa"/>
        <w:tblLayout w:type="fixed"/>
        <w:tblCellMar>
          <w:left w:w="85" w:type="dxa"/>
          <w:right w:w="85" w:type="dxa"/>
        </w:tblCellMar>
        <w:tblLook w:val="0000" w:firstRow="0" w:lastRow="0" w:firstColumn="0" w:lastColumn="0" w:noHBand="0" w:noVBand="0"/>
      </w:tblPr>
      <w:tblGrid>
        <w:gridCol w:w="624"/>
        <w:gridCol w:w="2552"/>
        <w:gridCol w:w="1275"/>
        <w:gridCol w:w="1276"/>
        <w:gridCol w:w="1276"/>
      </w:tblGrid>
      <w:tr>
        <w:trPr>
          <w:cantSplit/>
          <w:tblHeader/>
        </w:trPr>
        <w:tc>
          <w:tcPr>
            <w:tcW w:w="624" w:type="dxa"/>
            <w:tcBorders>
              <w:top w:val="single" w:sz="4" w:space="0" w:color="auto"/>
              <w:bottom w:val="single" w:sz="4" w:space="0" w:color="auto"/>
            </w:tcBorders>
            <w:noWrap/>
          </w:tcPr>
          <w:p>
            <w:pPr>
              <w:pStyle w:val="yTableNAm"/>
              <w:jc w:val="center"/>
              <w:rPr>
                <w:b/>
              </w:rPr>
            </w:pPr>
            <w:r>
              <w:rPr>
                <w:b/>
              </w:rPr>
              <w:t>Item</w:t>
            </w:r>
          </w:p>
        </w:tc>
        <w:tc>
          <w:tcPr>
            <w:tcW w:w="2552" w:type="dxa"/>
            <w:tcBorders>
              <w:top w:val="single" w:sz="4" w:space="0" w:color="auto"/>
              <w:bottom w:val="single" w:sz="4" w:space="0" w:color="auto"/>
            </w:tcBorders>
            <w:noWrap/>
          </w:tcPr>
          <w:p>
            <w:pPr>
              <w:pStyle w:val="yTableNAm"/>
              <w:jc w:val="center"/>
              <w:rPr>
                <w:b/>
              </w:rPr>
            </w:pPr>
            <w:r>
              <w:rPr>
                <w:b/>
              </w:rPr>
              <w:t>Matter</w:t>
            </w:r>
          </w:p>
        </w:tc>
        <w:tc>
          <w:tcPr>
            <w:tcW w:w="1275"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top w:val="single" w:sz="4" w:space="0" w:color="auto"/>
              <w:bottom w:val="single" w:sz="4" w:space="0" w:color="auto"/>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624" w:type="dxa"/>
            <w:tcBorders>
              <w:top w:val="single" w:sz="4" w:space="0" w:color="auto"/>
            </w:tcBorders>
            <w:noWrap/>
          </w:tcPr>
          <w:p>
            <w:pPr>
              <w:pStyle w:val="yTableNAm"/>
            </w:pPr>
            <w:r>
              <w:t>1.</w:t>
            </w:r>
          </w:p>
        </w:tc>
        <w:tc>
          <w:tcPr>
            <w:tcW w:w="2552" w:type="dxa"/>
            <w:tcBorders>
              <w:top w:val="single" w:sz="4" w:space="0" w:color="auto"/>
            </w:tcBorders>
            <w:noWrap/>
          </w:tcPr>
          <w:p>
            <w:pPr>
              <w:pStyle w:val="yTableNAm"/>
            </w:pPr>
            <w:r>
              <w:t xml:space="preserve">On filing a claim or originating process to commence proceedings in the Court — </w:t>
            </w:r>
          </w:p>
        </w:tc>
        <w:tc>
          <w:tcPr>
            <w:tcW w:w="1275" w:type="dxa"/>
            <w:tcBorders>
              <w:top w:val="single" w:sz="4" w:space="0" w:color="auto"/>
            </w:tcBorders>
            <w:noWrap/>
            <w:vAlign w:val="bottom"/>
          </w:tcPr>
          <w:p>
            <w:pPr>
              <w:pStyle w:val="yTableNAm"/>
            </w:pPr>
          </w:p>
        </w:tc>
        <w:tc>
          <w:tcPr>
            <w:tcW w:w="1276" w:type="dxa"/>
            <w:tcBorders>
              <w:top w:val="single" w:sz="4" w:space="0" w:color="auto"/>
            </w:tcBorders>
            <w:noWrap/>
            <w:vAlign w:val="bottom"/>
          </w:tcPr>
          <w:p>
            <w:pPr>
              <w:pStyle w:val="yTableNAm"/>
            </w:pPr>
          </w:p>
        </w:tc>
        <w:tc>
          <w:tcPr>
            <w:tcW w:w="1276" w:type="dxa"/>
            <w:tcBorders>
              <w:top w:val="single" w:sz="4" w:space="0" w:color="auto"/>
            </w:tcBorders>
            <w:noWrap/>
            <w:vAlign w:val="bottom"/>
          </w:tcPr>
          <w:p>
            <w:pPr>
              <w:pStyle w:val="yTableNAm"/>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169.00</w:t>
            </w:r>
          </w:p>
        </w:tc>
        <w:tc>
          <w:tcPr>
            <w:tcW w:w="1276" w:type="dxa"/>
            <w:noWrap/>
            <w:vAlign w:val="bottom"/>
          </w:tcPr>
          <w:p>
            <w:pPr>
              <w:pStyle w:val="yTableNAm"/>
              <w:ind w:right="175"/>
              <w:jc w:val="right"/>
              <w:rPr>
                <w:szCs w:val="22"/>
              </w:rPr>
            </w:pPr>
            <w:r>
              <w:rPr>
                <w:szCs w:val="22"/>
              </w:rPr>
              <w:t>328.00</w:t>
            </w:r>
          </w:p>
        </w:tc>
        <w:tc>
          <w:tcPr>
            <w:tcW w:w="1276" w:type="dxa"/>
            <w:noWrap/>
            <w:vAlign w:val="bottom"/>
          </w:tcPr>
          <w:p>
            <w:pPr>
              <w:pStyle w:val="yTableNAm"/>
              <w:ind w:right="175"/>
              <w:jc w:val="right"/>
              <w:rPr>
                <w:szCs w:val="22"/>
              </w:rPr>
            </w:pPr>
            <w:r>
              <w:rPr>
                <w:szCs w:val="22"/>
              </w:rPr>
              <w:t>50.50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430.00</w:t>
            </w:r>
          </w:p>
        </w:tc>
        <w:tc>
          <w:tcPr>
            <w:tcW w:w="1276" w:type="dxa"/>
            <w:noWrap/>
            <w:vAlign w:val="bottom"/>
          </w:tcPr>
          <w:p>
            <w:pPr>
              <w:pStyle w:val="yTableNAm"/>
              <w:ind w:right="175"/>
              <w:jc w:val="right"/>
              <w:rPr>
                <w:szCs w:val="22"/>
              </w:rPr>
            </w:pPr>
            <w:r>
              <w:rPr>
                <w:szCs w:val="22"/>
              </w:rPr>
              <w:t>838.00</w:t>
            </w:r>
          </w:p>
        </w:tc>
        <w:tc>
          <w:tcPr>
            <w:tcW w:w="1276" w:type="dxa"/>
            <w:noWrap/>
            <w:vAlign w:val="bottom"/>
          </w:tcPr>
          <w:p>
            <w:pPr>
              <w:pStyle w:val="yTableNAm"/>
              <w:ind w:right="175"/>
              <w:jc w:val="right"/>
              <w:rPr>
                <w:szCs w:val="22"/>
              </w:rPr>
            </w:pPr>
            <w:r>
              <w:rPr>
                <w:szCs w:val="22"/>
              </w:rPr>
              <w:t>100.00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684.00</w:t>
            </w:r>
          </w:p>
        </w:tc>
        <w:tc>
          <w:tcPr>
            <w:tcW w:w="1276" w:type="dxa"/>
            <w:noWrap/>
            <w:vAlign w:val="bottom"/>
          </w:tcPr>
          <w:p>
            <w:pPr>
              <w:pStyle w:val="yTableNAm"/>
              <w:ind w:right="175"/>
              <w:jc w:val="right"/>
              <w:rPr>
                <w:szCs w:val="22"/>
              </w:rPr>
            </w:pPr>
            <w:r>
              <w:rPr>
                <w:szCs w:val="22"/>
              </w:rPr>
              <w:t>1 331.00</w:t>
            </w:r>
          </w:p>
        </w:tc>
        <w:tc>
          <w:tcPr>
            <w:tcW w:w="1276" w:type="dxa"/>
            <w:noWrap/>
            <w:vAlign w:val="bottom"/>
          </w:tcPr>
          <w:p>
            <w:pPr>
              <w:pStyle w:val="yTableNAm"/>
              <w:ind w:right="175"/>
              <w:jc w:val="right"/>
              <w:rPr>
                <w:szCs w:val="22"/>
              </w:rPr>
            </w:pPr>
            <w:r>
              <w:rPr>
                <w:szCs w:val="22"/>
              </w:rPr>
              <w:t>100.00</w:t>
            </w:r>
          </w:p>
        </w:tc>
      </w:tr>
      <w:tr>
        <w:trPr>
          <w:cantSplit/>
        </w:trPr>
        <w:tc>
          <w:tcPr>
            <w:tcW w:w="624"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The fee is not payable in respect of applications referred to in item 10 or 11.</w:t>
            </w:r>
          </w:p>
        </w:tc>
      </w:tr>
      <w:tr>
        <w:trPr>
          <w:cantSplit/>
        </w:trPr>
        <w:tc>
          <w:tcPr>
            <w:tcW w:w="624" w:type="dxa"/>
            <w:noWrap/>
          </w:tcPr>
          <w:p>
            <w:pPr>
              <w:pStyle w:val="yTableNAm"/>
            </w:pPr>
            <w:r>
              <w:t>2.</w:t>
            </w:r>
          </w:p>
        </w:tc>
        <w:tc>
          <w:tcPr>
            <w:tcW w:w="2552" w:type="dxa"/>
            <w:noWrap/>
          </w:tcPr>
          <w:p>
            <w:pPr>
              <w:pStyle w:val="yTableNAm"/>
            </w:pPr>
            <w:r>
              <w:t>On filing a counterclaim, a set</w:t>
            </w:r>
            <w:r>
              <w:noBreakHyphen/>
              <w:t xml:space="preserve">off, a third party claim or other application for which no fee has been provided in this Division — </w:t>
            </w:r>
          </w:p>
        </w:tc>
        <w:tc>
          <w:tcPr>
            <w:tcW w:w="1275" w:type="dxa"/>
            <w:noWrap/>
          </w:tcPr>
          <w:p>
            <w:pPr>
              <w:pStyle w:val="yTableNAm"/>
              <w:rPr>
                <w:szCs w:val="18"/>
              </w:rPr>
            </w:pPr>
          </w:p>
        </w:tc>
        <w:tc>
          <w:tcPr>
            <w:tcW w:w="1276" w:type="dxa"/>
            <w:noWrap/>
          </w:tcPr>
          <w:p>
            <w:pPr>
              <w:pStyle w:val="yTableNAm"/>
            </w:pPr>
          </w:p>
        </w:tc>
        <w:tc>
          <w:tcPr>
            <w:tcW w:w="1276" w:type="dxa"/>
            <w:noWrap/>
          </w:tcPr>
          <w:p>
            <w:pPr>
              <w:pStyle w:val="yTableNAm"/>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109.50</w:t>
            </w:r>
          </w:p>
        </w:tc>
        <w:tc>
          <w:tcPr>
            <w:tcW w:w="1276" w:type="dxa"/>
            <w:noWrap/>
            <w:vAlign w:val="bottom"/>
          </w:tcPr>
          <w:p>
            <w:pPr>
              <w:pStyle w:val="yTableNAm"/>
              <w:ind w:right="175"/>
              <w:jc w:val="right"/>
              <w:rPr>
                <w:szCs w:val="22"/>
              </w:rPr>
            </w:pPr>
            <w:r>
              <w:rPr>
                <w:szCs w:val="22"/>
              </w:rPr>
              <w:t>214.00</w:t>
            </w:r>
          </w:p>
        </w:tc>
        <w:tc>
          <w:tcPr>
            <w:tcW w:w="1276" w:type="dxa"/>
            <w:noWrap/>
            <w:vAlign w:val="bottom"/>
          </w:tcPr>
          <w:p>
            <w:pPr>
              <w:pStyle w:val="yTableNAm"/>
              <w:ind w:right="175"/>
              <w:jc w:val="right"/>
              <w:rPr>
                <w:szCs w:val="22"/>
              </w:rPr>
            </w:pPr>
            <w:r>
              <w:rPr>
                <w:szCs w:val="22"/>
              </w:rPr>
              <w:t>32.90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201.00</w:t>
            </w:r>
          </w:p>
        </w:tc>
        <w:tc>
          <w:tcPr>
            <w:tcW w:w="1276" w:type="dxa"/>
            <w:noWrap/>
            <w:vAlign w:val="bottom"/>
          </w:tcPr>
          <w:p>
            <w:pPr>
              <w:pStyle w:val="yTableNAm"/>
              <w:ind w:right="175"/>
              <w:jc w:val="right"/>
              <w:rPr>
                <w:szCs w:val="22"/>
              </w:rPr>
            </w:pPr>
            <w:r>
              <w:rPr>
                <w:szCs w:val="22"/>
              </w:rPr>
              <w:t>331.00</w:t>
            </w:r>
          </w:p>
        </w:tc>
        <w:tc>
          <w:tcPr>
            <w:tcW w:w="1276" w:type="dxa"/>
            <w:noWrap/>
            <w:vAlign w:val="bottom"/>
          </w:tcPr>
          <w:p>
            <w:pPr>
              <w:pStyle w:val="yTableNAm"/>
              <w:ind w:right="175"/>
              <w:jc w:val="right"/>
              <w:rPr>
                <w:szCs w:val="22"/>
              </w:rPr>
            </w:pPr>
            <w:r>
              <w:rPr>
                <w:szCs w:val="22"/>
              </w:rPr>
              <w:t>60.50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319.00</w:t>
            </w:r>
          </w:p>
        </w:tc>
        <w:tc>
          <w:tcPr>
            <w:tcW w:w="1276" w:type="dxa"/>
            <w:noWrap/>
            <w:vAlign w:val="bottom"/>
          </w:tcPr>
          <w:p>
            <w:pPr>
              <w:pStyle w:val="yTableNAm"/>
              <w:ind w:right="175"/>
              <w:jc w:val="right"/>
              <w:rPr>
                <w:szCs w:val="22"/>
              </w:rPr>
            </w:pPr>
            <w:r>
              <w:rPr>
                <w:szCs w:val="22"/>
              </w:rPr>
              <w:t>533.00</w:t>
            </w:r>
          </w:p>
        </w:tc>
        <w:tc>
          <w:tcPr>
            <w:tcW w:w="1276" w:type="dxa"/>
            <w:noWrap/>
            <w:vAlign w:val="bottom"/>
          </w:tcPr>
          <w:p>
            <w:pPr>
              <w:pStyle w:val="yTableNAm"/>
              <w:ind w:right="175"/>
              <w:jc w:val="right"/>
              <w:rPr>
                <w:szCs w:val="22"/>
              </w:rPr>
            </w:pPr>
            <w:r>
              <w:rPr>
                <w:szCs w:val="22"/>
              </w:rPr>
              <w:t>95.50</w:t>
            </w:r>
          </w:p>
        </w:tc>
      </w:tr>
      <w:tr>
        <w:trPr>
          <w:cantSplit/>
        </w:trPr>
        <w:tc>
          <w:tcPr>
            <w:tcW w:w="624" w:type="dxa"/>
            <w:noWrap/>
          </w:tcPr>
          <w:p>
            <w:pPr>
              <w:pStyle w:val="yTableNAm"/>
            </w:pPr>
            <w:r>
              <w:t>3.</w:t>
            </w:r>
          </w:p>
        </w:tc>
        <w:tc>
          <w:tcPr>
            <w:tcW w:w="2552" w:type="dxa"/>
            <w:noWrap/>
          </w:tcPr>
          <w:p>
            <w:pPr>
              <w:pStyle w:val="yTableNAm"/>
            </w:pPr>
            <w:r>
              <w:t xml:space="preserve">On commencing an appeal — </w:t>
            </w:r>
          </w:p>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56.50</w:t>
            </w:r>
          </w:p>
        </w:tc>
        <w:tc>
          <w:tcPr>
            <w:tcW w:w="1276" w:type="dxa"/>
            <w:noWrap/>
            <w:vAlign w:val="bottom"/>
          </w:tcPr>
          <w:p>
            <w:pPr>
              <w:pStyle w:val="yTableNAm"/>
              <w:ind w:right="175"/>
              <w:jc w:val="right"/>
              <w:rPr>
                <w:szCs w:val="22"/>
              </w:rPr>
            </w:pPr>
            <w:r>
              <w:rPr>
                <w:szCs w:val="22"/>
              </w:rPr>
              <w:t>145.00</w:t>
            </w:r>
          </w:p>
        </w:tc>
        <w:tc>
          <w:tcPr>
            <w:tcW w:w="1276" w:type="dxa"/>
            <w:noWrap/>
            <w:vAlign w:val="bottom"/>
          </w:tcPr>
          <w:p>
            <w:pPr>
              <w:pStyle w:val="yTableNAm"/>
              <w:ind w:right="175"/>
              <w:jc w:val="right"/>
              <w:rPr>
                <w:szCs w:val="22"/>
              </w:rPr>
            </w:pPr>
            <w:r>
              <w:rPr>
                <w:szCs w:val="22"/>
              </w:rPr>
              <w:t>16.95</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84.50</w:t>
            </w:r>
          </w:p>
        </w:tc>
        <w:tc>
          <w:tcPr>
            <w:tcW w:w="1276" w:type="dxa"/>
            <w:noWrap/>
            <w:vAlign w:val="bottom"/>
          </w:tcPr>
          <w:p>
            <w:pPr>
              <w:pStyle w:val="yTableNAm"/>
              <w:ind w:right="175"/>
              <w:jc w:val="right"/>
              <w:rPr>
                <w:szCs w:val="22"/>
              </w:rPr>
            </w:pPr>
            <w:r>
              <w:rPr>
                <w:szCs w:val="22"/>
              </w:rPr>
              <w:t>221.00</w:t>
            </w:r>
          </w:p>
        </w:tc>
        <w:tc>
          <w:tcPr>
            <w:tcW w:w="1276" w:type="dxa"/>
            <w:noWrap/>
            <w:vAlign w:val="bottom"/>
          </w:tcPr>
          <w:p>
            <w:pPr>
              <w:pStyle w:val="yTableNAm"/>
              <w:ind w:right="175"/>
              <w:jc w:val="right"/>
              <w:rPr>
                <w:szCs w:val="22"/>
              </w:rPr>
            </w:pPr>
            <w:r>
              <w:rPr>
                <w:szCs w:val="22"/>
              </w:rPr>
              <w:t>25.30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113.00</w:t>
            </w:r>
          </w:p>
        </w:tc>
        <w:tc>
          <w:tcPr>
            <w:tcW w:w="1276" w:type="dxa"/>
            <w:noWrap/>
            <w:vAlign w:val="bottom"/>
          </w:tcPr>
          <w:p>
            <w:pPr>
              <w:pStyle w:val="yTableNAm"/>
              <w:ind w:right="175"/>
              <w:jc w:val="right"/>
              <w:rPr>
                <w:szCs w:val="22"/>
              </w:rPr>
            </w:pPr>
            <w:r>
              <w:rPr>
                <w:szCs w:val="22"/>
              </w:rPr>
              <w:t>297.00</w:t>
            </w:r>
          </w:p>
        </w:tc>
        <w:tc>
          <w:tcPr>
            <w:tcW w:w="1276" w:type="dxa"/>
            <w:noWrap/>
            <w:vAlign w:val="bottom"/>
          </w:tcPr>
          <w:p>
            <w:pPr>
              <w:pStyle w:val="yTableNAm"/>
              <w:ind w:right="175"/>
              <w:jc w:val="right"/>
              <w:rPr>
                <w:szCs w:val="22"/>
              </w:rPr>
            </w:pPr>
            <w:r>
              <w:rPr>
                <w:szCs w:val="22"/>
              </w:rPr>
              <w:t>33.90</w:t>
            </w:r>
          </w:p>
        </w:tc>
      </w:tr>
      <w:tr>
        <w:trPr>
          <w:cantSplit/>
        </w:trPr>
        <w:tc>
          <w:tcPr>
            <w:tcW w:w="624" w:type="dxa"/>
            <w:noWrap/>
          </w:tcPr>
          <w:p>
            <w:pPr>
              <w:pStyle w:val="yTableNAm"/>
              <w:keepNext/>
            </w:pPr>
            <w:r>
              <w:lastRenderedPageBreak/>
              <w:t>4.</w:t>
            </w:r>
          </w:p>
        </w:tc>
        <w:tc>
          <w:tcPr>
            <w:tcW w:w="2552" w:type="dxa"/>
            <w:noWrap/>
          </w:tcPr>
          <w:p>
            <w:pPr>
              <w:pStyle w:val="yTableNAm"/>
              <w:keepNext/>
            </w:pPr>
            <w:r>
              <w:t xml:space="preserve">Application for hearing — </w:t>
            </w:r>
          </w:p>
        </w:tc>
        <w:tc>
          <w:tcPr>
            <w:tcW w:w="1275" w:type="dxa"/>
            <w:noWrap/>
            <w:vAlign w:val="bottom"/>
          </w:tcPr>
          <w:p>
            <w:pPr>
              <w:pStyle w:val="yTableNAm"/>
              <w:keepNext/>
              <w:rPr>
                <w:szCs w:val="18"/>
              </w:rPr>
            </w:pPr>
          </w:p>
        </w:tc>
        <w:tc>
          <w:tcPr>
            <w:tcW w:w="1276" w:type="dxa"/>
            <w:noWrap/>
            <w:vAlign w:val="bottom"/>
          </w:tcPr>
          <w:p>
            <w:pPr>
              <w:pStyle w:val="yTableNAm"/>
              <w:keepNext/>
            </w:pPr>
          </w:p>
        </w:tc>
        <w:tc>
          <w:tcPr>
            <w:tcW w:w="1276" w:type="dxa"/>
            <w:noWrap/>
            <w:vAlign w:val="bottom"/>
          </w:tcPr>
          <w:p>
            <w:pPr>
              <w:pStyle w:val="yTableNAm"/>
              <w:keepNext/>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266.00</w:t>
            </w:r>
          </w:p>
        </w:tc>
        <w:tc>
          <w:tcPr>
            <w:tcW w:w="1276" w:type="dxa"/>
            <w:noWrap/>
            <w:vAlign w:val="bottom"/>
          </w:tcPr>
          <w:p>
            <w:pPr>
              <w:pStyle w:val="yTableNAm"/>
              <w:ind w:right="175"/>
              <w:jc w:val="right"/>
              <w:rPr>
                <w:szCs w:val="22"/>
              </w:rPr>
            </w:pPr>
            <w:r>
              <w:rPr>
                <w:szCs w:val="22"/>
              </w:rPr>
              <w:t>519.00</w:t>
            </w:r>
          </w:p>
        </w:tc>
        <w:tc>
          <w:tcPr>
            <w:tcW w:w="1276" w:type="dxa"/>
            <w:noWrap/>
            <w:vAlign w:val="bottom"/>
          </w:tcPr>
          <w:p>
            <w:pPr>
              <w:pStyle w:val="yTableNAm"/>
              <w:ind w:right="175"/>
              <w:jc w:val="right"/>
              <w:rPr>
                <w:szCs w:val="22"/>
              </w:rPr>
            </w:pPr>
            <w:r>
              <w:rPr>
                <w:szCs w:val="22"/>
              </w:rPr>
              <w:t>80.00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486.00</w:t>
            </w:r>
          </w:p>
        </w:tc>
        <w:tc>
          <w:tcPr>
            <w:tcW w:w="1276" w:type="dxa"/>
            <w:noWrap/>
            <w:vAlign w:val="bottom"/>
          </w:tcPr>
          <w:p>
            <w:pPr>
              <w:pStyle w:val="yTableNAm"/>
              <w:ind w:right="175"/>
              <w:jc w:val="right"/>
              <w:rPr>
                <w:szCs w:val="22"/>
              </w:rPr>
            </w:pPr>
            <w:r>
              <w:rPr>
                <w:szCs w:val="22"/>
              </w:rPr>
              <w:t>938.00</w:t>
            </w:r>
          </w:p>
        </w:tc>
        <w:tc>
          <w:tcPr>
            <w:tcW w:w="1276" w:type="dxa"/>
            <w:noWrap/>
            <w:vAlign w:val="bottom"/>
          </w:tcPr>
          <w:p>
            <w:pPr>
              <w:pStyle w:val="yTableNAm"/>
              <w:ind w:right="175"/>
              <w:jc w:val="right"/>
              <w:rPr>
                <w:szCs w:val="22"/>
              </w:rPr>
            </w:pPr>
            <w:r>
              <w:rPr>
                <w:szCs w:val="22"/>
              </w:rPr>
              <w:t>100.00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540.00</w:t>
            </w:r>
          </w:p>
        </w:tc>
        <w:tc>
          <w:tcPr>
            <w:tcW w:w="1276" w:type="dxa"/>
            <w:noWrap/>
            <w:vAlign w:val="bottom"/>
          </w:tcPr>
          <w:p>
            <w:pPr>
              <w:pStyle w:val="yTableNAm"/>
              <w:ind w:right="175"/>
              <w:jc w:val="right"/>
              <w:rPr>
                <w:szCs w:val="22"/>
              </w:rPr>
            </w:pPr>
            <w:r>
              <w:rPr>
                <w:szCs w:val="22"/>
              </w:rPr>
              <w:t>1 048.00</w:t>
            </w:r>
          </w:p>
        </w:tc>
        <w:tc>
          <w:tcPr>
            <w:tcW w:w="1276" w:type="dxa"/>
            <w:noWrap/>
            <w:vAlign w:val="bottom"/>
          </w:tcPr>
          <w:p>
            <w:pPr>
              <w:pStyle w:val="yTableNAm"/>
              <w:ind w:right="175"/>
              <w:jc w:val="right"/>
              <w:rPr>
                <w:szCs w:val="22"/>
              </w:rPr>
            </w:pPr>
            <w:r>
              <w:rPr>
                <w:szCs w:val="22"/>
              </w:rPr>
              <w:t>100.00</w:t>
            </w:r>
          </w:p>
        </w:tc>
      </w:tr>
      <w:tr>
        <w:trPr>
          <w:cantSplit/>
          <w:trHeight w:val="1247"/>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pPr>
            <w:r>
              <w:rPr>
                <w:rFonts w:ascii="Arial" w:hAnsi="Arial" w:cs="Arial"/>
                <w:sz w:val="18"/>
                <w:szCs w:val="18"/>
              </w:rPr>
              <w:t>1.</w:t>
            </w:r>
            <w:r>
              <w:rPr>
                <w:rFonts w:ascii="Arial" w:hAnsi="Arial" w:cs="Arial"/>
                <w:sz w:val="18"/>
                <w:szCs w:val="18"/>
              </w:rPr>
              <w:tab/>
              <w:t>The fee is not payable for applications for hearing matters dealt with under the minor cases procedure, residential tenancies proceedings, applications referred to in item 10 or 11 or for relisting a hearing, or if the proceedings are of an interlocutory nature only.</w:t>
            </w:r>
          </w:p>
        </w:tc>
      </w:tr>
      <w:tr>
        <w:trPr>
          <w:cantSplit/>
          <w:trHeight w:val="283"/>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No fee is payable in respect of listing an appeal for hearing.</w:t>
            </w:r>
          </w:p>
        </w:tc>
      </w:tr>
      <w:tr>
        <w:trPr>
          <w:cantSplit/>
          <w:trHeight w:val="737"/>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No fee is payable by the defendant for applications for hearing of a set</w:t>
            </w:r>
            <w:r>
              <w:rPr>
                <w:rFonts w:ascii="Arial" w:hAnsi="Arial" w:cs="Arial"/>
                <w:sz w:val="18"/>
                <w:szCs w:val="18"/>
              </w:rPr>
              <w:noBreakHyphen/>
              <w:t>off or counterclaim providing this fee has been paid previously by the applicant.</w:t>
            </w:r>
          </w:p>
        </w:tc>
      </w:tr>
      <w:tr>
        <w:trPr>
          <w:cantSplit/>
          <w:trHeight w:val="510"/>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4.</w:t>
            </w:r>
            <w:r>
              <w:rPr>
                <w:rFonts w:ascii="Arial" w:hAnsi="Arial" w:cs="Arial"/>
                <w:sz w:val="18"/>
                <w:szCs w:val="18"/>
              </w:rPr>
              <w:tab/>
              <w:t>Includes pre</w:t>
            </w:r>
            <w:r>
              <w:rPr>
                <w:rFonts w:ascii="Arial" w:hAnsi="Arial" w:cs="Arial"/>
                <w:sz w:val="18"/>
                <w:szCs w:val="18"/>
              </w:rPr>
              <w:noBreakHyphen/>
              <w:t>trial conference, mediation conference, directions hearing and listing conference.</w:t>
            </w:r>
          </w:p>
        </w:tc>
      </w:tr>
      <w:tr>
        <w:trPr>
          <w:cantSplit/>
        </w:trPr>
        <w:tc>
          <w:tcPr>
            <w:tcW w:w="624" w:type="dxa"/>
            <w:noWrap/>
          </w:tcPr>
          <w:p>
            <w:pPr>
              <w:pStyle w:val="yTableNAm"/>
            </w:pPr>
            <w:r>
              <w:t>5.</w:t>
            </w:r>
          </w:p>
        </w:tc>
        <w:tc>
          <w:tcPr>
            <w:tcW w:w="2552" w:type="dxa"/>
            <w:noWrap/>
          </w:tcPr>
          <w:p>
            <w:pPr>
              <w:pStyle w:val="yTableNAm"/>
            </w:pPr>
            <w:r>
              <w:t xml:space="preserve">For allocation of a date or dates of hearing of an application, appeal or proceedings, for each half day allocated — </w:t>
            </w:r>
          </w:p>
        </w:tc>
        <w:tc>
          <w:tcPr>
            <w:tcW w:w="1275" w:type="dxa"/>
            <w:noWrap/>
            <w:vAlign w:val="bottom"/>
          </w:tcPr>
          <w:p>
            <w:pPr>
              <w:pStyle w:val="yTableNAm"/>
              <w:rPr>
                <w:szCs w:val="18"/>
              </w:rPr>
            </w:pPr>
          </w:p>
        </w:tc>
        <w:tc>
          <w:tcPr>
            <w:tcW w:w="1276" w:type="dxa"/>
            <w:noWrap/>
            <w:vAlign w:val="bottom"/>
          </w:tcPr>
          <w:p>
            <w:pPr>
              <w:pStyle w:val="yTableNAm"/>
            </w:pPr>
          </w:p>
        </w:tc>
        <w:tc>
          <w:tcPr>
            <w:tcW w:w="1276" w:type="dxa"/>
            <w:noWrap/>
            <w:vAlign w:val="bottom"/>
          </w:tcPr>
          <w:p>
            <w:pPr>
              <w:pStyle w:val="yTableNAm"/>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153.50</w:t>
            </w:r>
          </w:p>
        </w:tc>
        <w:tc>
          <w:tcPr>
            <w:tcW w:w="1276" w:type="dxa"/>
            <w:noWrap/>
            <w:vAlign w:val="bottom"/>
          </w:tcPr>
          <w:p>
            <w:pPr>
              <w:pStyle w:val="yTableNAm"/>
              <w:ind w:right="175"/>
              <w:jc w:val="right"/>
              <w:rPr>
                <w:szCs w:val="22"/>
              </w:rPr>
            </w:pPr>
            <w:r>
              <w:rPr>
                <w:szCs w:val="22"/>
              </w:rPr>
              <w:t>403.00</w:t>
            </w:r>
          </w:p>
        </w:tc>
        <w:tc>
          <w:tcPr>
            <w:tcW w:w="1276" w:type="dxa"/>
            <w:noWrap/>
            <w:vAlign w:val="bottom"/>
          </w:tcPr>
          <w:p>
            <w:pPr>
              <w:pStyle w:val="yTableNAm"/>
              <w:ind w:right="175"/>
              <w:jc w:val="right"/>
              <w:rPr>
                <w:szCs w:val="22"/>
              </w:rPr>
            </w:pPr>
            <w:r>
              <w:rPr>
                <w:szCs w:val="22"/>
              </w:rPr>
              <w:t>46.00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272.00</w:t>
            </w:r>
          </w:p>
        </w:tc>
        <w:tc>
          <w:tcPr>
            <w:tcW w:w="1276" w:type="dxa"/>
            <w:noWrap/>
            <w:vAlign w:val="bottom"/>
          </w:tcPr>
          <w:p>
            <w:pPr>
              <w:pStyle w:val="yTableNAm"/>
              <w:ind w:right="175"/>
              <w:jc w:val="right"/>
              <w:rPr>
                <w:szCs w:val="22"/>
              </w:rPr>
            </w:pPr>
            <w:r>
              <w:rPr>
                <w:szCs w:val="22"/>
              </w:rPr>
              <w:t>702.00</w:t>
            </w:r>
          </w:p>
        </w:tc>
        <w:tc>
          <w:tcPr>
            <w:tcW w:w="1276" w:type="dxa"/>
            <w:noWrap/>
            <w:vAlign w:val="bottom"/>
          </w:tcPr>
          <w:p>
            <w:pPr>
              <w:pStyle w:val="yTableNAm"/>
              <w:ind w:right="175"/>
              <w:jc w:val="right"/>
              <w:rPr>
                <w:szCs w:val="22"/>
              </w:rPr>
            </w:pPr>
            <w:r>
              <w:rPr>
                <w:szCs w:val="22"/>
              </w:rPr>
              <w:t>81.50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388.00</w:t>
            </w:r>
          </w:p>
        </w:tc>
        <w:tc>
          <w:tcPr>
            <w:tcW w:w="1276" w:type="dxa"/>
            <w:noWrap/>
            <w:vAlign w:val="bottom"/>
          </w:tcPr>
          <w:p>
            <w:pPr>
              <w:pStyle w:val="yTableNAm"/>
              <w:ind w:right="175"/>
              <w:jc w:val="right"/>
              <w:rPr>
                <w:szCs w:val="22"/>
              </w:rPr>
            </w:pPr>
            <w:r>
              <w:rPr>
                <w:szCs w:val="22"/>
              </w:rPr>
              <w:t>1 000.00</w:t>
            </w:r>
          </w:p>
        </w:tc>
        <w:tc>
          <w:tcPr>
            <w:tcW w:w="1276" w:type="dxa"/>
            <w:noWrap/>
            <w:vAlign w:val="bottom"/>
          </w:tcPr>
          <w:p>
            <w:pPr>
              <w:pStyle w:val="yTableNAm"/>
              <w:ind w:right="175"/>
              <w:jc w:val="right"/>
              <w:rPr>
                <w:szCs w:val="22"/>
              </w:rPr>
            </w:pPr>
            <w:r>
              <w:rPr>
                <w:szCs w:val="22"/>
              </w:rPr>
              <w:t>100.00</w:t>
            </w:r>
          </w:p>
        </w:tc>
      </w:tr>
      <w:tr>
        <w:trPr>
          <w:cantSplit/>
          <w:trHeight w:val="1020"/>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361"/>
        </w:trPr>
        <w:tc>
          <w:tcPr>
            <w:tcW w:w="624" w:type="dxa"/>
            <w:noWrap/>
          </w:tcPr>
          <w:p>
            <w:pPr>
              <w:pStyle w:val="yTableNAm"/>
            </w:pPr>
          </w:p>
        </w:tc>
        <w:tc>
          <w:tcPr>
            <w:tcW w:w="6379" w:type="dxa"/>
            <w:gridSpan w:val="4"/>
            <w:noWrap/>
            <w:vAlign w:val="center"/>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No fee is payable if the proceedings are of an interlocutory nature only.</w:t>
            </w:r>
          </w:p>
        </w:tc>
      </w:tr>
      <w:tr>
        <w:trPr>
          <w:cantSplit/>
          <w:trHeight w:val="680"/>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The fee to be charged is to be determined on the basis that the days allocated for a hearing are the number of days determined by the Court at a listing conference.</w:t>
            </w:r>
          </w:p>
        </w:tc>
      </w:tr>
      <w:tr>
        <w:trPr>
          <w:cantSplit/>
          <w:trHeight w:val="957"/>
        </w:trPr>
        <w:tc>
          <w:tcPr>
            <w:tcW w:w="624" w:type="dxa"/>
            <w:noWrap/>
          </w:tcPr>
          <w:p>
            <w:pPr>
              <w:pStyle w:val="yTableNAm"/>
            </w:pPr>
          </w:p>
        </w:tc>
        <w:tc>
          <w:tcPr>
            <w:tcW w:w="6379" w:type="dxa"/>
            <w:gridSpan w:val="4"/>
            <w:noWrap/>
            <w:vAlign w:val="center"/>
          </w:tcPr>
          <w:p>
            <w:pPr>
              <w:pStyle w:val="yTableNAm"/>
              <w:tabs>
                <w:tab w:val="clear" w:pos="567"/>
              </w:tabs>
              <w:ind w:left="340" w:hanging="340"/>
              <w:rPr>
                <w:rFonts w:ascii="Arial" w:hAnsi="Arial" w:cs="Arial"/>
                <w:sz w:val="18"/>
                <w:szCs w:val="18"/>
              </w:rPr>
            </w:pPr>
            <w:r>
              <w:rPr>
                <w:rFonts w:ascii="Arial" w:hAnsi="Arial" w:cs="Arial"/>
                <w:sz w:val="18"/>
                <w:szCs w:val="18"/>
              </w:rPr>
              <w:t>4.</w:t>
            </w:r>
            <w:r>
              <w:rPr>
                <w:rFonts w:ascii="Arial" w:hAnsi="Arial" w:cs="Arial"/>
                <w:sz w:val="18"/>
                <w:szCs w:val="18"/>
              </w:rPr>
              <w:tab/>
              <w:t>The fee is to be refunded or transferred to a new allocated date or dates if the Court or registrar is satisfied that an adjournment was due to circumstances beyond the control of the parties. Otherwise the fee is non</w:t>
            </w:r>
            <w:r>
              <w:rPr>
                <w:rFonts w:ascii="Arial" w:hAnsi="Arial" w:cs="Arial"/>
                <w:sz w:val="18"/>
                <w:szCs w:val="18"/>
              </w:rPr>
              <w:noBreakHyphen/>
              <w:t>refundable in respect of any allocated dates that are not required.</w:t>
            </w:r>
          </w:p>
        </w:tc>
      </w:tr>
      <w:tr>
        <w:trPr>
          <w:cantSplit/>
          <w:trHeight w:val="1566"/>
        </w:trPr>
        <w:tc>
          <w:tcPr>
            <w:tcW w:w="624" w:type="dxa"/>
            <w:noWrap/>
          </w:tcPr>
          <w:p>
            <w:pPr>
              <w:pStyle w:val="yTableNAm"/>
            </w:pPr>
          </w:p>
        </w:tc>
        <w:tc>
          <w:tcPr>
            <w:tcW w:w="6379" w:type="dxa"/>
            <w:gridSpan w:val="4"/>
            <w:noWrap/>
            <w:vAlign w:val="center"/>
          </w:tcPr>
          <w:p>
            <w:pPr>
              <w:pStyle w:val="yTableNAm"/>
              <w:tabs>
                <w:tab w:val="clear" w:pos="567"/>
              </w:tabs>
              <w:ind w:left="340" w:hanging="340"/>
              <w:rPr>
                <w:rFonts w:ascii="Arial" w:hAnsi="Arial" w:cs="Arial"/>
                <w:sz w:val="18"/>
                <w:szCs w:val="18"/>
              </w:rPr>
            </w:pPr>
            <w:r>
              <w:rPr>
                <w:rFonts w:ascii="Arial" w:hAnsi="Arial" w:cs="Arial"/>
                <w:sz w:val="18"/>
                <w:szCs w:val="18"/>
              </w:rPr>
              <w:t>5.</w:t>
            </w:r>
            <w:r>
              <w:rPr>
                <w:rFonts w:ascii="Arial" w:hAnsi="Arial" w:cs="Arial"/>
                <w:sz w:val="18"/>
                <w:szCs w:val="18"/>
              </w:rPr>
              <w:tab/>
              <w:t>If written advice of settlement or written notice of intended adjournment is received by the Court no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624" w:type="dxa"/>
            <w:noWrap/>
          </w:tcPr>
          <w:p>
            <w:pPr>
              <w:pStyle w:val="yTableNAm"/>
            </w:pPr>
            <w:r>
              <w:t>6.</w:t>
            </w:r>
          </w:p>
        </w:tc>
        <w:tc>
          <w:tcPr>
            <w:tcW w:w="2552" w:type="dxa"/>
            <w:noWrap/>
          </w:tcPr>
          <w:p>
            <w:pPr>
              <w:pStyle w:val="yTableNAm"/>
            </w:pPr>
            <w:r>
              <w:t xml:space="preserve">Half daily hearing fee before the Court constituted by a magistrate — </w:t>
            </w:r>
          </w:p>
        </w:tc>
        <w:tc>
          <w:tcPr>
            <w:tcW w:w="1275" w:type="dxa"/>
            <w:noWrap/>
            <w:vAlign w:val="bottom"/>
          </w:tcPr>
          <w:p>
            <w:pPr>
              <w:pStyle w:val="yTableNAm"/>
            </w:pPr>
          </w:p>
        </w:tc>
        <w:tc>
          <w:tcPr>
            <w:tcW w:w="1276" w:type="dxa"/>
            <w:noWrap/>
            <w:vAlign w:val="bottom"/>
          </w:tcPr>
          <w:p>
            <w:pPr>
              <w:pStyle w:val="yTableNAm"/>
            </w:pPr>
          </w:p>
        </w:tc>
        <w:tc>
          <w:tcPr>
            <w:tcW w:w="1276" w:type="dxa"/>
            <w:noWrap/>
            <w:vAlign w:val="bottom"/>
          </w:tcPr>
          <w:p>
            <w:pPr>
              <w:pStyle w:val="yTableNAm"/>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153.50</w:t>
            </w:r>
          </w:p>
        </w:tc>
        <w:tc>
          <w:tcPr>
            <w:tcW w:w="1276" w:type="dxa"/>
            <w:noWrap/>
            <w:vAlign w:val="bottom"/>
          </w:tcPr>
          <w:p>
            <w:pPr>
              <w:pStyle w:val="yTableNAm"/>
              <w:ind w:right="175"/>
              <w:jc w:val="right"/>
              <w:rPr>
                <w:szCs w:val="22"/>
              </w:rPr>
            </w:pPr>
            <w:r>
              <w:rPr>
                <w:szCs w:val="22"/>
              </w:rPr>
              <w:t>403.00</w:t>
            </w:r>
          </w:p>
        </w:tc>
        <w:tc>
          <w:tcPr>
            <w:tcW w:w="1276" w:type="dxa"/>
            <w:noWrap/>
            <w:vAlign w:val="bottom"/>
          </w:tcPr>
          <w:p>
            <w:pPr>
              <w:pStyle w:val="yTableNAm"/>
              <w:ind w:right="175"/>
              <w:jc w:val="right"/>
              <w:rPr>
                <w:szCs w:val="22"/>
              </w:rPr>
            </w:pPr>
            <w:r>
              <w:rPr>
                <w:szCs w:val="22"/>
              </w:rPr>
              <w:t>46.00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272.00</w:t>
            </w:r>
          </w:p>
        </w:tc>
        <w:tc>
          <w:tcPr>
            <w:tcW w:w="1276" w:type="dxa"/>
            <w:noWrap/>
            <w:vAlign w:val="bottom"/>
          </w:tcPr>
          <w:p>
            <w:pPr>
              <w:pStyle w:val="yTableNAm"/>
              <w:ind w:right="175"/>
              <w:jc w:val="right"/>
              <w:rPr>
                <w:szCs w:val="22"/>
              </w:rPr>
            </w:pPr>
            <w:r>
              <w:rPr>
                <w:szCs w:val="22"/>
              </w:rPr>
              <w:t>702.00</w:t>
            </w:r>
          </w:p>
        </w:tc>
        <w:tc>
          <w:tcPr>
            <w:tcW w:w="1276" w:type="dxa"/>
            <w:noWrap/>
            <w:vAlign w:val="bottom"/>
          </w:tcPr>
          <w:p>
            <w:pPr>
              <w:pStyle w:val="yTableNAm"/>
              <w:ind w:right="175"/>
              <w:jc w:val="right"/>
              <w:rPr>
                <w:szCs w:val="22"/>
              </w:rPr>
            </w:pPr>
            <w:r>
              <w:rPr>
                <w:szCs w:val="22"/>
              </w:rPr>
              <w:t>81.50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388.00</w:t>
            </w:r>
          </w:p>
        </w:tc>
        <w:tc>
          <w:tcPr>
            <w:tcW w:w="1276" w:type="dxa"/>
            <w:noWrap/>
            <w:vAlign w:val="bottom"/>
          </w:tcPr>
          <w:p>
            <w:pPr>
              <w:pStyle w:val="yTableNAm"/>
              <w:ind w:right="175"/>
              <w:jc w:val="right"/>
              <w:rPr>
                <w:szCs w:val="22"/>
              </w:rPr>
            </w:pPr>
            <w:r>
              <w:rPr>
                <w:szCs w:val="22"/>
              </w:rPr>
              <w:t>1 000.00</w:t>
            </w:r>
          </w:p>
        </w:tc>
        <w:tc>
          <w:tcPr>
            <w:tcW w:w="1276" w:type="dxa"/>
            <w:noWrap/>
            <w:vAlign w:val="bottom"/>
          </w:tcPr>
          <w:p>
            <w:pPr>
              <w:pStyle w:val="yTableNAm"/>
              <w:ind w:right="175"/>
              <w:jc w:val="right"/>
              <w:rPr>
                <w:szCs w:val="22"/>
              </w:rPr>
            </w:pPr>
            <w:r>
              <w:rPr>
                <w:szCs w:val="22"/>
              </w:rPr>
              <w:t>100.00</w:t>
            </w:r>
          </w:p>
        </w:tc>
      </w:tr>
      <w:tr>
        <w:trPr>
          <w:cantSplit/>
          <w:trHeight w:val="1056"/>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292"/>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No fee is payable if the proceedings are of an interlocutory nature only.</w:t>
            </w:r>
          </w:p>
        </w:tc>
      </w:tr>
      <w:tr>
        <w:trPr>
          <w:cantSplit/>
          <w:trHeight w:val="737"/>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The fee to be charged is to be paid in respect of any number of hearing days or half days greater than the number of hearing days for which a fee has been paid under item 5.</w:t>
            </w:r>
          </w:p>
        </w:tc>
      </w:tr>
      <w:tr>
        <w:trPr>
          <w:cantSplit/>
          <w:trHeight w:val="567"/>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prior to the daily reconvening of the hearing.</w:t>
            </w:r>
          </w:p>
        </w:tc>
      </w:tr>
      <w:tr>
        <w:tc>
          <w:tcPr>
            <w:tcW w:w="624" w:type="dxa"/>
            <w:noWrap/>
          </w:tcPr>
          <w:p>
            <w:pPr>
              <w:pStyle w:val="yTableNAm"/>
              <w:keepNext/>
            </w:pPr>
            <w:r>
              <w:t>7.</w:t>
            </w:r>
          </w:p>
        </w:tc>
        <w:tc>
          <w:tcPr>
            <w:tcW w:w="2552" w:type="dxa"/>
            <w:noWrap/>
          </w:tcPr>
          <w:p>
            <w:pPr>
              <w:pStyle w:val="yTableNAm"/>
              <w:keepNext/>
            </w:pPr>
            <w:r>
              <w:t xml:space="preserve">On filing of an interlocutory application or application for assessment of damages or summary judgment that requires hearing before a magistrate or registrar — </w:t>
            </w:r>
          </w:p>
        </w:tc>
        <w:tc>
          <w:tcPr>
            <w:tcW w:w="1275" w:type="dxa"/>
            <w:noWrap/>
          </w:tcPr>
          <w:p>
            <w:pPr>
              <w:pStyle w:val="yTableNAm"/>
              <w:keepNext/>
              <w:rPr>
                <w:szCs w:val="18"/>
              </w:rPr>
            </w:pPr>
          </w:p>
        </w:tc>
        <w:tc>
          <w:tcPr>
            <w:tcW w:w="1276" w:type="dxa"/>
            <w:noWrap/>
          </w:tcPr>
          <w:p>
            <w:pPr>
              <w:pStyle w:val="yTableNAm"/>
              <w:keepNext/>
            </w:pPr>
          </w:p>
        </w:tc>
        <w:tc>
          <w:tcPr>
            <w:tcW w:w="1276" w:type="dxa"/>
            <w:noWrap/>
          </w:tcPr>
          <w:p>
            <w:pPr>
              <w:pStyle w:val="yTableNAm"/>
              <w:keepNext/>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141.50</w:t>
            </w:r>
          </w:p>
        </w:tc>
        <w:tc>
          <w:tcPr>
            <w:tcW w:w="1276" w:type="dxa"/>
            <w:noWrap/>
            <w:vAlign w:val="bottom"/>
          </w:tcPr>
          <w:p>
            <w:pPr>
              <w:pStyle w:val="yTableNAm"/>
              <w:ind w:right="175"/>
              <w:jc w:val="right"/>
              <w:rPr>
                <w:szCs w:val="22"/>
              </w:rPr>
            </w:pPr>
            <w:r>
              <w:rPr>
                <w:szCs w:val="22"/>
              </w:rPr>
              <w:t>275.00</w:t>
            </w:r>
          </w:p>
        </w:tc>
        <w:tc>
          <w:tcPr>
            <w:tcW w:w="1276" w:type="dxa"/>
            <w:noWrap/>
            <w:vAlign w:val="bottom"/>
          </w:tcPr>
          <w:p>
            <w:pPr>
              <w:pStyle w:val="yTableNAm"/>
              <w:ind w:right="175"/>
              <w:jc w:val="right"/>
              <w:rPr>
                <w:szCs w:val="22"/>
              </w:rPr>
            </w:pPr>
            <w:r>
              <w:rPr>
                <w:szCs w:val="22"/>
              </w:rPr>
              <w:t>42.40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170.00</w:t>
            </w:r>
          </w:p>
        </w:tc>
        <w:tc>
          <w:tcPr>
            <w:tcW w:w="1276" w:type="dxa"/>
            <w:noWrap/>
            <w:vAlign w:val="bottom"/>
          </w:tcPr>
          <w:p>
            <w:pPr>
              <w:pStyle w:val="yTableNAm"/>
              <w:ind w:right="175"/>
              <w:jc w:val="right"/>
              <w:rPr>
                <w:szCs w:val="22"/>
              </w:rPr>
            </w:pPr>
            <w:r>
              <w:rPr>
                <w:szCs w:val="22"/>
              </w:rPr>
              <w:t>328.00</w:t>
            </w:r>
          </w:p>
        </w:tc>
        <w:tc>
          <w:tcPr>
            <w:tcW w:w="1276" w:type="dxa"/>
            <w:noWrap/>
            <w:vAlign w:val="bottom"/>
          </w:tcPr>
          <w:p>
            <w:pPr>
              <w:pStyle w:val="yTableNAm"/>
              <w:ind w:right="175"/>
              <w:jc w:val="right"/>
              <w:rPr>
                <w:szCs w:val="22"/>
              </w:rPr>
            </w:pPr>
            <w:r>
              <w:rPr>
                <w:szCs w:val="22"/>
              </w:rPr>
              <w:t>51.00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228.00</w:t>
            </w:r>
          </w:p>
        </w:tc>
        <w:tc>
          <w:tcPr>
            <w:tcW w:w="1276" w:type="dxa"/>
            <w:noWrap/>
            <w:vAlign w:val="bottom"/>
          </w:tcPr>
          <w:p>
            <w:pPr>
              <w:pStyle w:val="yTableNAm"/>
              <w:ind w:right="175"/>
              <w:jc w:val="right"/>
              <w:rPr>
                <w:szCs w:val="22"/>
              </w:rPr>
            </w:pPr>
            <w:r>
              <w:rPr>
                <w:szCs w:val="22"/>
              </w:rPr>
              <w:t>448.00</w:t>
            </w:r>
          </w:p>
        </w:tc>
        <w:tc>
          <w:tcPr>
            <w:tcW w:w="1276" w:type="dxa"/>
            <w:noWrap/>
            <w:vAlign w:val="bottom"/>
          </w:tcPr>
          <w:p>
            <w:pPr>
              <w:pStyle w:val="yTableNAm"/>
              <w:ind w:right="175"/>
              <w:jc w:val="right"/>
              <w:rPr>
                <w:szCs w:val="22"/>
              </w:rPr>
            </w:pPr>
            <w:r>
              <w:rPr>
                <w:szCs w:val="22"/>
              </w:rPr>
              <w:t>68.50</w:t>
            </w:r>
          </w:p>
        </w:tc>
      </w:tr>
      <w:tr>
        <w:trPr>
          <w:cantSplit/>
          <w:trHeight w:val="1077"/>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510"/>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The fee is inclusive of the hearing of the application and includes an adjournment of the hearing.</w:t>
            </w:r>
          </w:p>
        </w:tc>
      </w:tr>
      <w:tr>
        <w:trPr>
          <w:cantSplit/>
          <w:trHeight w:val="319"/>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The fee is not payable for matters dealt with in the absence of a party.</w:t>
            </w:r>
          </w:p>
        </w:tc>
      </w:tr>
      <w:tr>
        <w:trPr>
          <w:cantSplit/>
        </w:trPr>
        <w:tc>
          <w:tcPr>
            <w:tcW w:w="624" w:type="dxa"/>
            <w:noWrap/>
          </w:tcPr>
          <w:p>
            <w:pPr>
              <w:pStyle w:val="yTableNAm"/>
              <w:keepNext/>
            </w:pPr>
            <w:r>
              <w:t>8.</w:t>
            </w:r>
          </w:p>
        </w:tc>
        <w:tc>
          <w:tcPr>
            <w:tcW w:w="2552" w:type="dxa"/>
            <w:noWrap/>
          </w:tcPr>
          <w:p>
            <w:pPr>
              <w:pStyle w:val="yTableNAm"/>
              <w:keepNext/>
            </w:pPr>
            <w:r>
              <w:t xml:space="preserve">On an appointment to assess a bill of costs — </w:t>
            </w:r>
          </w:p>
        </w:tc>
        <w:tc>
          <w:tcPr>
            <w:tcW w:w="1275" w:type="dxa"/>
            <w:noWrap/>
          </w:tcPr>
          <w:p>
            <w:pPr>
              <w:pStyle w:val="yTableNAm"/>
              <w:keepNext/>
            </w:pPr>
          </w:p>
        </w:tc>
        <w:tc>
          <w:tcPr>
            <w:tcW w:w="1276" w:type="dxa"/>
            <w:noWrap/>
          </w:tcPr>
          <w:p>
            <w:pPr>
              <w:pStyle w:val="yTableNAm"/>
              <w:keepNext/>
            </w:pPr>
          </w:p>
        </w:tc>
        <w:tc>
          <w:tcPr>
            <w:tcW w:w="1276" w:type="dxa"/>
            <w:noWrap/>
          </w:tcPr>
          <w:p>
            <w:pPr>
              <w:pStyle w:val="yTableNAm"/>
              <w:keepNext/>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pPr>
            <w:r>
              <w:t>141.50</w:t>
            </w:r>
            <w:r>
              <w:rPr>
                <w:szCs w:val="18"/>
              </w:rPr>
              <w:t xml:space="preserve"> plus 2.50%</w:t>
            </w:r>
          </w:p>
        </w:tc>
        <w:tc>
          <w:tcPr>
            <w:tcW w:w="1276" w:type="dxa"/>
            <w:noWrap/>
            <w:vAlign w:val="bottom"/>
          </w:tcPr>
          <w:p>
            <w:pPr>
              <w:pStyle w:val="yTableNAm"/>
            </w:pPr>
            <w:r>
              <w:t xml:space="preserve">275.00 </w:t>
            </w:r>
            <w:r>
              <w:rPr>
                <w:szCs w:val="18"/>
              </w:rPr>
              <w:t>plus 2.50%</w:t>
            </w:r>
          </w:p>
        </w:tc>
        <w:tc>
          <w:tcPr>
            <w:tcW w:w="1276" w:type="dxa"/>
            <w:noWrap/>
            <w:vAlign w:val="bottom"/>
          </w:tcPr>
          <w:p>
            <w:pPr>
              <w:pStyle w:val="yTableNAm"/>
              <w:ind w:right="175"/>
              <w:jc w:val="right"/>
              <w:rPr>
                <w:szCs w:val="22"/>
              </w:rPr>
            </w:pPr>
            <w:r>
              <w:rPr>
                <w:szCs w:val="22"/>
              </w:rPr>
              <w:t>42.40</w:t>
            </w:r>
          </w:p>
        </w:tc>
      </w:tr>
      <w:tr>
        <w:trPr>
          <w:cantSplit/>
        </w:trPr>
        <w:tc>
          <w:tcPr>
            <w:tcW w:w="624" w:type="dxa"/>
            <w:noWrap/>
          </w:tcPr>
          <w:p>
            <w:pPr>
              <w:pStyle w:val="yTableNAm"/>
              <w:keepNext/>
            </w:pPr>
          </w:p>
        </w:tc>
        <w:tc>
          <w:tcPr>
            <w:tcW w:w="2552" w:type="dxa"/>
            <w:noWrap/>
          </w:tcPr>
          <w:p>
            <w:pPr>
              <w:pStyle w:val="yTableNAm"/>
              <w:keepNext/>
              <w:tabs>
                <w:tab w:val="clear" w:pos="567"/>
              </w:tabs>
              <w:ind w:left="317" w:hanging="317"/>
            </w:pPr>
            <w:r>
              <w:t>(b)</w:t>
            </w:r>
            <w:r>
              <w:tab/>
              <w:t>for a claim exceeding $10 000 but not exceeding $50 000</w:t>
            </w:r>
          </w:p>
        </w:tc>
        <w:tc>
          <w:tcPr>
            <w:tcW w:w="1275" w:type="dxa"/>
            <w:noWrap/>
            <w:vAlign w:val="bottom"/>
          </w:tcPr>
          <w:p>
            <w:pPr>
              <w:pStyle w:val="yTableNAm"/>
              <w:keepNext/>
            </w:pPr>
            <w:r>
              <w:t xml:space="preserve">170.00 </w:t>
            </w:r>
            <w:r>
              <w:rPr>
                <w:szCs w:val="18"/>
              </w:rPr>
              <w:t>plus 2.50%</w:t>
            </w:r>
          </w:p>
        </w:tc>
        <w:tc>
          <w:tcPr>
            <w:tcW w:w="1276" w:type="dxa"/>
            <w:noWrap/>
            <w:vAlign w:val="bottom"/>
          </w:tcPr>
          <w:p>
            <w:pPr>
              <w:pStyle w:val="yTableNAm"/>
              <w:keepNext/>
            </w:pPr>
            <w:r>
              <w:t xml:space="preserve">328.00 </w:t>
            </w:r>
            <w:r>
              <w:rPr>
                <w:szCs w:val="18"/>
              </w:rPr>
              <w:t>plus 2.50%</w:t>
            </w:r>
          </w:p>
        </w:tc>
        <w:tc>
          <w:tcPr>
            <w:tcW w:w="1276" w:type="dxa"/>
            <w:noWrap/>
            <w:vAlign w:val="bottom"/>
          </w:tcPr>
          <w:p>
            <w:pPr>
              <w:pStyle w:val="yTableNAm"/>
              <w:keepNext/>
              <w:ind w:right="175"/>
              <w:jc w:val="right"/>
              <w:rPr>
                <w:szCs w:val="22"/>
              </w:rPr>
            </w:pPr>
            <w:r>
              <w:rPr>
                <w:szCs w:val="22"/>
              </w:rPr>
              <w:t>51.00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pPr>
            <w:r>
              <w:t>228.00 plus 2.50%</w:t>
            </w:r>
          </w:p>
        </w:tc>
        <w:tc>
          <w:tcPr>
            <w:tcW w:w="1276" w:type="dxa"/>
            <w:noWrap/>
            <w:vAlign w:val="bottom"/>
          </w:tcPr>
          <w:p>
            <w:pPr>
              <w:pStyle w:val="yTableNAm"/>
            </w:pPr>
            <w:r>
              <w:t>448.00 plus 2.50%</w:t>
            </w:r>
          </w:p>
        </w:tc>
        <w:tc>
          <w:tcPr>
            <w:tcW w:w="1276" w:type="dxa"/>
            <w:noWrap/>
            <w:vAlign w:val="bottom"/>
          </w:tcPr>
          <w:p>
            <w:pPr>
              <w:pStyle w:val="yTableNAm"/>
              <w:ind w:right="175"/>
              <w:jc w:val="right"/>
              <w:rPr>
                <w:szCs w:val="22"/>
              </w:rPr>
            </w:pPr>
            <w:r>
              <w:rPr>
                <w:szCs w:val="22"/>
              </w:rPr>
              <w:t>68.50</w:t>
            </w:r>
          </w:p>
        </w:tc>
      </w:tr>
      <w:tr>
        <w:trPr>
          <w:cantSplit/>
          <w:trHeight w:val="1077"/>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222"/>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The % rate is to be applied to the amount at which the bill is drawn.</w:t>
            </w:r>
          </w:p>
        </w:tc>
      </w:tr>
      <w:tr>
        <w:trPr>
          <w:cantSplit/>
          <w:trHeight w:val="2012"/>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If the parties agree on the bill of costs and the appointment is cancelled, the following percentage of the fee paid is to be refunded —</w:t>
            </w:r>
          </w:p>
          <w:p>
            <w:pPr>
              <w:pStyle w:val="yTableNAm"/>
              <w:tabs>
                <w:tab w:val="clear" w:pos="567"/>
              </w:tabs>
              <w:ind w:left="766" w:hanging="426"/>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 nil;</w:t>
            </w:r>
          </w:p>
          <w:p>
            <w:pPr>
              <w:pStyle w:val="yTableNAm"/>
              <w:tabs>
                <w:tab w:val="clear" w:pos="567"/>
              </w:tabs>
              <w:ind w:left="766" w:hanging="426"/>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 50%;</w:t>
            </w:r>
          </w:p>
          <w:p>
            <w:pPr>
              <w:pStyle w:val="yTableNAm"/>
              <w:tabs>
                <w:tab w:val="clear" w:pos="567"/>
              </w:tabs>
              <w:ind w:left="766" w:hanging="426"/>
              <w:rPr>
                <w:rFonts w:ascii="Arial" w:hAnsi="Arial" w:cs="Arial"/>
                <w:sz w:val="18"/>
                <w:szCs w:val="18"/>
              </w:rPr>
            </w:pPr>
            <w:r>
              <w:rPr>
                <w:rFonts w:ascii="Arial" w:hAnsi="Arial" w:cs="Arial"/>
                <w:sz w:val="18"/>
                <w:szCs w:val="18"/>
              </w:rPr>
              <w:t>(c)</w:t>
            </w:r>
            <w:r>
              <w:rPr>
                <w:rFonts w:ascii="Arial" w:hAnsi="Arial" w:cs="Arial"/>
                <w:sz w:val="18"/>
                <w:szCs w:val="18"/>
              </w:rPr>
              <w:tab/>
              <w:t>if the appointment is cancelled 10 days or more before the day of the appointment — 80%.</w:t>
            </w:r>
          </w:p>
        </w:tc>
      </w:tr>
      <w:tr>
        <w:tblPrEx>
          <w:tblCellMar>
            <w:left w:w="57" w:type="dxa"/>
            <w:right w:w="57" w:type="dxa"/>
          </w:tblCellMar>
        </w:tblPrEx>
        <w:trPr>
          <w:cantSplit/>
        </w:trPr>
        <w:tc>
          <w:tcPr>
            <w:tcW w:w="624" w:type="dxa"/>
            <w:noWrap/>
          </w:tcPr>
          <w:p>
            <w:pPr>
              <w:pStyle w:val="yTableNAm"/>
            </w:pPr>
            <w:r>
              <w:lastRenderedPageBreak/>
              <w:t>9.</w:t>
            </w:r>
          </w:p>
        </w:tc>
        <w:tc>
          <w:tcPr>
            <w:tcW w:w="2552" w:type="dxa"/>
            <w:noWrap/>
          </w:tcPr>
          <w:p>
            <w:pPr>
              <w:pStyle w:val="yTableNAm"/>
            </w:pPr>
            <w:r>
              <w:t>On the execution of an arrest warrant —</w:t>
            </w:r>
          </w:p>
        </w:tc>
        <w:tc>
          <w:tcPr>
            <w:tcW w:w="1275" w:type="dxa"/>
            <w:noWrap/>
            <w:vAlign w:val="bottom"/>
          </w:tcPr>
          <w:p>
            <w:pPr>
              <w:pStyle w:val="yTableNAm"/>
            </w:pPr>
          </w:p>
        </w:tc>
        <w:tc>
          <w:tcPr>
            <w:tcW w:w="1276" w:type="dxa"/>
            <w:noWrap/>
            <w:vAlign w:val="bottom"/>
          </w:tcPr>
          <w:p>
            <w:pPr>
              <w:pStyle w:val="yTableNAm"/>
            </w:pPr>
          </w:p>
        </w:tc>
        <w:tc>
          <w:tcPr>
            <w:tcW w:w="1276" w:type="dxa"/>
            <w:noWrap/>
            <w:vAlign w:val="bottom"/>
          </w:tcPr>
          <w:p>
            <w:pPr>
              <w:pStyle w:val="yTableNAm"/>
              <w:rPr>
                <w:szCs w:val="18"/>
              </w:rPr>
            </w:pP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(a)</w:t>
            </w:r>
            <w:r>
              <w:tab/>
              <w:t>for arresting the person</w:t>
            </w:r>
          </w:p>
        </w:tc>
        <w:tc>
          <w:tcPr>
            <w:tcW w:w="1275"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185.50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(b)</w:t>
            </w:r>
            <w:r>
              <w:tab/>
              <w:t>for conveying the person to a court or a custodial place and releasing the person from arrest or custody</w:t>
            </w:r>
          </w:p>
        </w:tc>
        <w:tc>
          <w:tcPr>
            <w:tcW w:w="1275" w:type="dxa"/>
            <w:noWrap/>
            <w:vAlign w:val="bottom"/>
          </w:tcPr>
          <w:p>
            <w:pPr>
              <w:pStyle w:val="yTableNAm"/>
              <w:ind w:right="175"/>
              <w:jc w:val="right"/>
              <w:rPr>
                <w:szCs w:val="22"/>
              </w:rPr>
            </w:pPr>
            <w:r>
              <w:rPr>
                <w:szCs w:val="22"/>
              </w:rPr>
              <w:t>184.00</w:t>
            </w:r>
          </w:p>
        </w:tc>
        <w:tc>
          <w:tcPr>
            <w:tcW w:w="1276" w:type="dxa"/>
            <w:noWrap/>
            <w:vAlign w:val="bottom"/>
          </w:tcPr>
          <w:p>
            <w:pPr>
              <w:pStyle w:val="yTableNAm"/>
              <w:ind w:right="175"/>
              <w:jc w:val="right"/>
              <w:rPr>
                <w:szCs w:val="22"/>
              </w:rPr>
            </w:pPr>
            <w:r>
              <w:rPr>
                <w:szCs w:val="22"/>
              </w:rPr>
              <w:t>184.00</w:t>
            </w:r>
          </w:p>
        </w:tc>
        <w:tc>
          <w:tcPr>
            <w:tcW w:w="1276" w:type="dxa"/>
            <w:noWrap/>
            <w:vAlign w:val="bottom"/>
          </w:tcPr>
          <w:p>
            <w:pPr>
              <w:pStyle w:val="yTableNAm"/>
              <w:ind w:right="175"/>
              <w:jc w:val="right"/>
              <w:rPr>
                <w:szCs w:val="22"/>
              </w:rPr>
            </w:pPr>
            <w:r>
              <w:rPr>
                <w:szCs w:val="22"/>
              </w:rPr>
              <w:t>184.00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(c)</w:t>
            </w:r>
            <w:r>
              <w:tab/>
              <w:t>for each 30 minutes after 2 hours and 30 minutes that an enforcement officer is required to keep the person in custody until the person is conveyed to a court or a custodial place</w:t>
            </w:r>
          </w:p>
        </w:tc>
        <w:tc>
          <w:tcPr>
            <w:tcW w:w="1275" w:type="dxa"/>
            <w:noWrap/>
            <w:vAlign w:val="bottom"/>
          </w:tcPr>
          <w:p>
            <w:pPr>
              <w:pStyle w:val="yTableNAm"/>
              <w:ind w:right="175"/>
              <w:jc w:val="right"/>
              <w:rPr>
                <w:szCs w:val="22"/>
              </w:rPr>
            </w:pPr>
            <w:r>
              <w:rPr>
                <w:szCs w:val="22"/>
              </w:rPr>
              <w:t>48.60</w:t>
            </w:r>
          </w:p>
        </w:tc>
        <w:tc>
          <w:tcPr>
            <w:tcW w:w="1276" w:type="dxa"/>
            <w:noWrap/>
            <w:vAlign w:val="bottom"/>
          </w:tcPr>
          <w:p>
            <w:pPr>
              <w:pStyle w:val="yTableNAm"/>
              <w:ind w:right="175"/>
              <w:jc w:val="right"/>
              <w:rPr>
                <w:szCs w:val="22"/>
              </w:rPr>
            </w:pPr>
            <w:r>
              <w:rPr>
                <w:szCs w:val="22"/>
              </w:rPr>
              <w:t>48.60</w:t>
            </w:r>
          </w:p>
        </w:tc>
        <w:tc>
          <w:tcPr>
            <w:tcW w:w="1276" w:type="dxa"/>
            <w:noWrap/>
            <w:vAlign w:val="bottom"/>
          </w:tcPr>
          <w:p>
            <w:pPr>
              <w:pStyle w:val="yTableNAm"/>
              <w:ind w:right="175"/>
              <w:jc w:val="right"/>
              <w:rPr>
                <w:szCs w:val="22"/>
              </w:rPr>
            </w:pPr>
            <w:r>
              <w:rPr>
                <w:szCs w:val="22"/>
              </w:rPr>
              <w:t>48.60</w:t>
            </w:r>
          </w:p>
        </w:tc>
      </w:tr>
      <w:tr>
        <w:tblPrEx>
          <w:tblCellMar>
            <w:left w:w="57" w:type="dxa"/>
            <w:right w:w="57" w:type="dxa"/>
          </w:tblCellMar>
        </w:tblPrEx>
        <w:trPr>
          <w:cantSplit/>
          <w:trHeight w:val="1020"/>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blPrEx>
          <w:tblCellMar>
            <w:left w:w="57" w:type="dxa"/>
            <w:right w:w="57" w:type="dxa"/>
          </w:tblCellMar>
        </w:tblPrEx>
        <w:trPr>
          <w:cantSplit/>
          <w:trHeight w:val="1472"/>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pPr>
              <w:pStyle w:val="yTableNAm"/>
              <w:tabs>
                <w:tab w:val="clear" w:pos="567"/>
              </w:tabs>
              <w:ind w:left="766" w:hanging="426"/>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s>
              <w:ind w:left="766" w:hanging="426"/>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s>
              <w:ind w:left="766" w:hanging="426"/>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s>
              <w:ind w:left="766" w:hanging="426"/>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blPrEx>
          <w:tblCellMar>
            <w:left w:w="57" w:type="dxa"/>
            <w:right w:w="57" w:type="dxa"/>
          </w:tblCellMar>
        </w:tblPrEx>
        <w:trPr>
          <w:cantSplit/>
        </w:trPr>
        <w:tc>
          <w:tcPr>
            <w:tcW w:w="624" w:type="dxa"/>
            <w:noWrap/>
          </w:tcPr>
          <w:p>
            <w:pPr>
              <w:pStyle w:val="yTableNAm"/>
            </w:pPr>
            <w:r>
              <w:lastRenderedPageBreak/>
              <w:t>10.</w:t>
            </w:r>
          </w:p>
        </w:tc>
        <w:tc>
          <w:tcPr>
            <w:tcW w:w="2552" w:type="dxa"/>
            <w:noWrap/>
          </w:tcPr>
          <w:p>
            <w:pPr>
              <w:pStyle w:val="yTableNAm"/>
            </w:pPr>
            <w:r>
              <w:t xml:space="preserve">For an application for an extraordinary licence under the </w:t>
            </w:r>
            <w:r>
              <w:rPr>
                <w:i/>
              </w:rPr>
              <w:t xml:space="preserve">Road Traffic (Authorisation to Drive) Act 2008 </w:t>
            </w:r>
            <w:r>
              <w:t>section 27</w:t>
            </w:r>
          </w:p>
        </w:tc>
        <w:tc>
          <w:tcPr>
            <w:tcW w:w="1275" w:type="dxa"/>
            <w:noWrap/>
            <w:vAlign w:val="bottom"/>
          </w:tcPr>
          <w:p>
            <w:pPr>
              <w:pStyle w:val="yTableNAm"/>
              <w:ind w:right="175"/>
              <w:jc w:val="right"/>
              <w:rPr>
                <w:szCs w:val="22"/>
              </w:rPr>
            </w:pPr>
            <w:r>
              <w:rPr>
                <w:szCs w:val="22"/>
              </w:rPr>
              <w:t>255.00</w:t>
            </w:r>
          </w:p>
        </w:tc>
        <w:tc>
          <w:tcPr>
            <w:tcW w:w="1276" w:type="dxa"/>
            <w:noWrap/>
            <w:vAlign w:val="bottom"/>
          </w:tcPr>
          <w:p>
            <w:pPr>
              <w:pStyle w:val="yTableNAm"/>
              <w:ind w:right="175"/>
              <w:jc w:val="right"/>
              <w:rPr>
                <w:szCs w:val="22"/>
              </w:rPr>
            </w:pPr>
            <w:r>
              <w:rPr>
                <w:szCs w:val="22"/>
              </w:rPr>
              <w:t>N/A</w:t>
            </w:r>
          </w:p>
        </w:tc>
        <w:tc>
          <w:tcPr>
            <w:tcW w:w="1276" w:type="dxa"/>
            <w:noWrap/>
            <w:vAlign w:val="bottom"/>
          </w:tcPr>
          <w:p>
            <w:pPr>
              <w:pStyle w:val="yTableNAm"/>
              <w:ind w:right="175"/>
              <w:jc w:val="right"/>
              <w:rPr>
                <w:szCs w:val="22"/>
              </w:rPr>
            </w:pPr>
            <w:r>
              <w:rPr>
                <w:szCs w:val="22"/>
              </w:rPr>
              <w:t>76.50</w:t>
            </w:r>
          </w:p>
        </w:tc>
      </w:tr>
      <w:tr>
        <w:tblPrEx>
          <w:tblCellMar>
            <w:left w:w="57" w:type="dxa"/>
            <w:right w:w="57" w:type="dxa"/>
          </w:tblCellMar>
        </w:tblPrEx>
        <w:trPr>
          <w:cantSplit/>
        </w:trPr>
        <w:tc>
          <w:tcPr>
            <w:tcW w:w="624" w:type="dxa"/>
            <w:noWrap/>
          </w:tcPr>
          <w:p>
            <w:pPr>
              <w:pStyle w:val="yTableNAm"/>
            </w:pPr>
            <w:r>
              <w:t>11.</w:t>
            </w:r>
          </w:p>
        </w:tc>
        <w:tc>
          <w:tcPr>
            <w:tcW w:w="2552" w:type="dxa"/>
            <w:noWrap/>
          </w:tcPr>
          <w:p>
            <w:pPr>
              <w:pStyle w:val="yTableNAm"/>
            </w:pPr>
            <w:r>
              <w:t xml:space="preserve">On filing — </w:t>
            </w:r>
          </w:p>
          <w:p>
            <w:pPr>
              <w:pStyle w:val="yTableNAm"/>
              <w:tabs>
                <w:tab w:val="clear" w:pos="567"/>
              </w:tabs>
              <w:ind w:left="317" w:hanging="317"/>
            </w:pPr>
            <w:r>
              <w:t>(a)</w:t>
            </w:r>
            <w:r>
              <w:tab/>
              <w:t xml:space="preserve">an application for a misconduct restraining order under the </w:t>
            </w:r>
            <w:r>
              <w:rPr>
                <w:i/>
              </w:rPr>
              <w:t>Restraining Orders Act 1997</w:t>
            </w:r>
          </w:p>
        </w:tc>
        <w:tc>
          <w:tcPr>
            <w:tcW w:w="1275" w:type="dxa"/>
            <w:noWrap/>
            <w:vAlign w:val="bottom"/>
          </w:tcPr>
          <w:p>
            <w:pPr>
              <w:pStyle w:val="yTableNAm"/>
              <w:ind w:right="175"/>
              <w:jc w:val="right"/>
              <w:rPr>
                <w:szCs w:val="22"/>
              </w:rPr>
            </w:pPr>
            <w:r>
              <w:rPr>
                <w:szCs w:val="22"/>
              </w:rPr>
              <w:t>168.00</w:t>
            </w:r>
          </w:p>
        </w:tc>
        <w:tc>
          <w:tcPr>
            <w:tcW w:w="1276" w:type="dxa"/>
            <w:noWrap/>
            <w:vAlign w:val="bottom"/>
          </w:tcPr>
          <w:p>
            <w:pPr>
              <w:pStyle w:val="yTableNAm"/>
              <w:ind w:right="175"/>
              <w:jc w:val="right"/>
              <w:rPr>
                <w:szCs w:val="22"/>
              </w:rPr>
            </w:pPr>
            <w:r>
              <w:rPr>
                <w:szCs w:val="22"/>
              </w:rPr>
              <w:t>168.00</w:t>
            </w:r>
          </w:p>
        </w:tc>
        <w:tc>
          <w:tcPr>
            <w:tcW w:w="1276" w:type="dxa"/>
            <w:noWrap/>
            <w:vAlign w:val="bottom"/>
          </w:tcPr>
          <w:p>
            <w:pPr>
              <w:pStyle w:val="yTableNAm"/>
              <w:ind w:right="175"/>
              <w:jc w:val="right"/>
              <w:rPr>
                <w:szCs w:val="22"/>
              </w:rPr>
            </w:pPr>
            <w:r>
              <w:rPr>
                <w:szCs w:val="22"/>
              </w:rPr>
              <w:t>50.50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(b)</w:t>
            </w:r>
            <w:r>
              <w:tab/>
              <w:t xml:space="preserve">an application under the </w:t>
            </w:r>
            <w:r>
              <w:rPr>
                <w:i/>
              </w:rPr>
              <w:t>Disposal of Uncollected Goods Act 1970</w:t>
            </w:r>
          </w:p>
        </w:tc>
        <w:tc>
          <w:tcPr>
            <w:tcW w:w="1275" w:type="dxa"/>
            <w:noWrap/>
            <w:vAlign w:val="bottom"/>
          </w:tcPr>
          <w:p>
            <w:pPr>
              <w:pStyle w:val="yTableNAm"/>
              <w:ind w:right="175"/>
              <w:jc w:val="right"/>
              <w:rPr>
                <w:szCs w:val="22"/>
              </w:rPr>
            </w:pPr>
            <w:r>
              <w:rPr>
                <w:szCs w:val="22"/>
              </w:rPr>
              <w:t>168.00</w:t>
            </w:r>
          </w:p>
        </w:tc>
        <w:tc>
          <w:tcPr>
            <w:tcW w:w="1276" w:type="dxa"/>
            <w:noWrap/>
            <w:vAlign w:val="bottom"/>
          </w:tcPr>
          <w:p>
            <w:pPr>
              <w:pStyle w:val="yTableNAm"/>
              <w:ind w:right="175"/>
              <w:jc w:val="right"/>
              <w:rPr>
                <w:szCs w:val="22"/>
              </w:rPr>
            </w:pPr>
            <w:r>
              <w:rPr>
                <w:szCs w:val="22"/>
              </w:rPr>
              <w:t>168.00</w:t>
            </w:r>
          </w:p>
        </w:tc>
        <w:tc>
          <w:tcPr>
            <w:tcW w:w="1276" w:type="dxa"/>
            <w:noWrap/>
            <w:vAlign w:val="bottom"/>
          </w:tcPr>
          <w:p>
            <w:pPr>
              <w:pStyle w:val="yTableNAm"/>
              <w:ind w:right="175"/>
              <w:jc w:val="right"/>
              <w:rPr>
                <w:szCs w:val="22"/>
              </w:rPr>
            </w:pPr>
            <w:r>
              <w:rPr>
                <w:szCs w:val="22"/>
              </w:rPr>
              <w:t>50.50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(c)</w:t>
            </w:r>
            <w:r>
              <w:tab/>
              <w:t xml:space="preserve">an application under the </w:t>
            </w:r>
            <w:r>
              <w:rPr>
                <w:i/>
              </w:rPr>
              <w:t>Fines, Penalties and Infringement Notices Enforcement Act 1994</w:t>
            </w:r>
            <w:r>
              <w:t xml:space="preserve"> section 101, 101AA or 101A</w:t>
            </w:r>
          </w:p>
        </w:tc>
        <w:tc>
          <w:tcPr>
            <w:tcW w:w="1275" w:type="dxa"/>
            <w:noWrap/>
            <w:vAlign w:val="bottom"/>
          </w:tcPr>
          <w:p>
            <w:pPr>
              <w:pStyle w:val="yTableNAm"/>
              <w:ind w:right="175"/>
              <w:jc w:val="right"/>
              <w:rPr>
                <w:szCs w:val="22"/>
              </w:rPr>
            </w:pPr>
            <w:r>
              <w:rPr>
                <w:szCs w:val="22"/>
              </w:rPr>
              <w:t>168.00</w:t>
            </w:r>
          </w:p>
        </w:tc>
        <w:tc>
          <w:tcPr>
            <w:tcW w:w="1276" w:type="dxa"/>
            <w:noWrap/>
            <w:vAlign w:val="bottom"/>
          </w:tcPr>
          <w:p>
            <w:pPr>
              <w:pStyle w:val="yTableNAm"/>
              <w:ind w:right="175"/>
              <w:jc w:val="right"/>
              <w:rPr>
                <w:szCs w:val="22"/>
              </w:rPr>
            </w:pPr>
            <w:r>
              <w:rPr>
                <w:szCs w:val="22"/>
              </w:rPr>
              <w:t>168.00</w:t>
            </w:r>
          </w:p>
        </w:tc>
        <w:tc>
          <w:tcPr>
            <w:tcW w:w="1276" w:type="dxa"/>
            <w:noWrap/>
            <w:vAlign w:val="bottom"/>
          </w:tcPr>
          <w:p>
            <w:pPr>
              <w:pStyle w:val="yTableNAm"/>
              <w:ind w:right="175"/>
              <w:jc w:val="right"/>
              <w:rPr>
                <w:szCs w:val="22"/>
              </w:rPr>
            </w:pPr>
            <w:r>
              <w:rPr>
                <w:szCs w:val="22"/>
              </w:rPr>
              <w:t>50.50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(d)</w:t>
            </w:r>
            <w:r>
              <w:tab/>
              <w:t xml:space="preserve">an application under the </w:t>
            </w:r>
            <w:r>
              <w:rPr>
                <w:i/>
              </w:rPr>
              <w:t>Dividing Fences Act 1961</w:t>
            </w:r>
          </w:p>
        </w:tc>
        <w:tc>
          <w:tcPr>
            <w:tcW w:w="1275" w:type="dxa"/>
            <w:noWrap/>
            <w:vAlign w:val="bottom"/>
          </w:tcPr>
          <w:p>
            <w:pPr>
              <w:pStyle w:val="yTableNAm"/>
              <w:ind w:right="175"/>
              <w:jc w:val="right"/>
              <w:rPr>
                <w:szCs w:val="22"/>
              </w:rPr>
            </w:pPr>
            <w:r>
              <w:rPr>
                <w:szCs w:val="22"/>
              </w:rPr>
              <w:t>168.00</w:t>
            </w:r>
          </w:p>
        </w:tc>
        <w:tc>
          <w:tcPr>
            <w:tcW w:w="1276" w:type="dxa"/>
            <w:noWrap/>
            <w:vAlign w:val="bottom"/>
          </w:tcPr>
          <w:p>
            <w:pPr>
              <w:pStyle w:val="yTableNAm"/>
              <w:ind w:right="175"/>
              <w:jc w:val="right"/>
              <w:rPr>
                <w:szCs w:val="22"/>
              </w:rPr>
            </w:pPr>
            <w:r>
              <w:rPr>
                <w:szCs w:val="22"/>
              </w:rPr>
              <w:t>168.00</w:t>
            </w:r>
          </w:p>
        </w:tc>
        <w:tc>
          <w:tcPr>
            <w:tcW w:w="1276" w:type="dxa"/>
            <w:noWrap/>
            <w:vAlign w:val="bottom"/>
          </w:tcPr>
          <w:p>
            <w:pPr>
              <w:pStyle w:val="yTableNAm"/>
              <w:ind w:right="175"/>
              <w:jc w:val="right"/>
              <w:rPr>
                <w:szCs w:val="22"/>
              </w:rPr>
            </w:pPr>
            <w:r>
              <w:rPr>
                <w:szCs w:val="22"/>
              </w:rPr>
              <w:t>50.50</w:t>
            </w:r>
          </w:p>
        </w:tc>
      </w:tr>
      <w:tr>
        <w:tblPrEx>
          <w:tblCellMar>
            <w:left w:w="57" w:type="dxa"/>
            <w:right w:w="57" w:type="dxa"/>
          </w:tblCellMar>
        </w:tblPrEx>
        <w:trPr>
          <w:cantSplit/>
        </w:trPr>
        <w:tc>
          <w:tcPr>
            <w:tcW w:w="624" w:type="dxa"/>
            <w:tcBorders>
              <w:bottom w:val="single" w:sz="4" w:space="0" w:color="auto"/>
            </w:tcBorders>
            <w:noWrap/>
          </w:tcPr>
          <w:p>
            <w:pPr>
              <w:pStyle w:val="yTableNAm"/>
            </w:pPr>
          </w:p>
        </w:tc>
        <w:tc>
          <w:tcPr>
            <w:tcW w:w="2552" w:type="dxa"/>
            <w:tcBorders>
              <w:bottom w:val="single" w:sz="4" w:space="0" w:color="auto"/>
            </w:tcBorders>
            <w:noWrap/>
          </w:tcPr>
          <w:p>
            <w:pPr>
              <w:pStyle w:val="yTableNAm"/>
              <w:tabs>
                <w:tab w:val="clear" w:pos="567"/>
              </w:tabs>
              <w:ind w:left="317" w:hanging="317"/>
            </w:pPr>
            <w:r>
              <w:t>(e)</w:t>
            </w:r>
            <w:r>
              <w:tab/>
              <w:t xml:space="preserve">an application under the </w:t>
            </w:r>
            <w:r>
              <w:rPr>
                <w:i/>
              </w:rPr>
              <w:t>Pawnbrokers and Second</w:t>
            </w:r>
            <w:r>
              <w:rPr>
                <w:i/>
              </w:rPr>
              <w:noBreakHyphen/>
              <w:t>hand Dealers Act 1994</w:t>
            </w:r>
          </w:p>
        </w:tc>
        <w:tc>
          <w:tcPr>
            <w:tcW w:w="1275" w:type="dxa"/>
            <w:tcBorders>
              <w:bottom w:val="single" w:sz="4" w:space="0" w:color="auto"/>
            </w:tcBorders>
            <w:noWrap/>
            <w:vAlign w:val="bottom"/>
          </w:tcPr>
          <w:p>
            <w:pPr>
              <w:pStyle w:val="yTableNAm"/>
              <w:ind w:right="175"/>
              <w:jc w:val="right"/>
              <w:rPr>
                <w:szCs w:val="22"/>
              </w:rPr>
            </w:pPr>
            <w:r>
              <w:rPr>
                <w:szCs w:val="22"/>
              </w:rPr>
              <w:t>168.00</w:t>
            </w:r>
          </w:p>
        </w:tc>
        <w:tc>
          <w:tcPr>
            <w:tcW w:w="1276" w:type="dxa"/>
            <w:tcBorders>
              <w:bottom w:val="single" w:sz="4" w:space="0" w:color="auto"/>
            </w:tcBorders>
            <w:noWrap/>
            <w:vAlign w:val="bottom"/>
          </w:tcPr>
          <w:p>
            <w:pPr>
              <w:pStyle w:val="yTableNAm"/>
              <w:ind w:right="175"/>
              <w:jc w:val="right"/>
              <w:rPr>
                <w:szCs w:val="22"/>
              </w:rPr>
            </w:pPr>
            <w:r>
              <w:rPr>
                <w:szCs w:val="22"/>
              </w:rPr>
              <w:t>168.00</w:t>
            </w:r>
          </w:p>
        </w:tc>
        <w:tc>
          <w:tcPr>
            <w:tcW w:w="1276" w:type="dxa"/>
            <w:tcBorders>
              <w:bottom w:val="single" w:sz="4" w:space="0" w:color="auto"/>
            </w:tcBorders>
            <w:noWrap/>
            <w:vAlign w:val="bottom"/>
          </w:tcPr>
          <w:p>
            <w:pPr>
              <w:pStyle w:val="yTableNAm"/>
              <w:ind w:right="175"/>
              <w:jc w:val="right"/>
              <w:rPr>
                <w:szCs w:val="22"/>
              </w:rPr>
            </w:pPr>
            <w:r>
              <w:rPr>
                <w:szCs w:val="22"/>
              </w:rPr>
              <w:t>50.50</w:t>
            </w:r>
          </w:p>
        </w:tc>
      </w:tr>
    </w:tbl>
    <w:p>
      <w:pPr>
        <w:pStyle w:val="yFootnotesection"/>
      </w:pPr>
      <w:r>
        <w:tab/>
        <w:t>[Division 2 inserted: SL 2023/120 r. 28.]</w:t>
      </w:r>
    </w:p>
    <w:p>
      <w:pPr>
        <w:pStyle w:val="yHeading3"/>
      </w:pPr>
      <w:bookmarkStart w:id="26" w:name="_Toc200111711"/>
      <w:r>
        <w:rPr>
          <w:rStyle w:val="CharSDivNo"/>
        </w:rPr>
        <w:lastRenderedPageBreak/>
        <w:t>Division 3</w:t>
      </w:r>
      <w:r>
        <w:t> — </w:t>
      </w:r>
      <w:r>
        <w:rPr>
          <w:rStyle w:val="CharSDivText"/>
        </w:rPr>
        <w:t>Criminal jurisdiction</w:t>
      </w:r>
      <w:bookmarkEnd w:id="26"/>
    </w:p>
    <w:p>
      <w:pPr>
        <w:pStyle w:val="yFootnoteheading"/>
        <w:keepNext/>
        <w:spacing w:after="120"/>
      </w:pPr>
      <w:r>
        <w:tab/>
        <w:t>[Heading inserted: SL 2023/120 r. 28.]</w:t>
      </w:r>
    </w:p>
    <w:tbl>
      <w:tblPr>
        <w:tblW w:w="6989" w:type="dxa"/>
        <w:tblInd w:w="108" w:type="dxa"/>
        <w:tblLayout w:type="fixed"/>
        <w:tblLook w:val="0000" w:firstRow="0" w:lastRow="0" w:firstColumn="0" w:lastColumn="0" w:noHBand="0" w:noVBand="0"/>
      </w:tblPr>
      <w:tblGrid>
        <w:gridCol w:w="601"/>
        <w:gridCol w:w="2552"/>
        <w:gridCol w:w="1275"/>
        <w:gridCol w:w="1273"/>
        <w:gridCol w:w="1288"/>
      </w:tblGrid>
      <w:tr>
        <w:trPr>
          <w:cantSplit/>
          <w:tblHeader/>
        </w:trPr>
        <w:tc>
          <w:tcPr>
            <w:tcW w:w="601" w:type="dxa"/>
            <w:tcBorders>
              <w:top w:val="single" w:sz="4" w:space="0" w:color="auto"/>
              <w:bottom w:val="single" w:sz="4" w:space="0" w:color="auto"/>
            </w:tcBorders>
            <w:noWrap/>
          </w:tcPr>
          <w:p>
            <w:pPr>
              <w:pStyle w:val="yTableNAm"/>
              <w:ind w:right="-109"/>
              <w:jc w:val="center"/>
              <w:rPr>
                <w:b/>
              </w:rPr>
            </w:pPr>
            <w:r>
              <w:rPr>
                <w:b/>
              </w:rPr>
              <w:t>Item</w:t>
            </w:r>
          </w:p>
        </w:tc>
        <w:tc>
          <w:tcPr>
            <w:tcW w:w="2552" w:type="dxa"/>
            <w:tcBorders>
              <w:top w:val="single" w:sz="4" w:space="0" w:color="auto"/>
              <w:bottom w:val="single" w:sz="4" w:space="0" w:color="auto"/>
            </w:tcBorders>
            <w:noWrap/>
          </w:tcPr>
          <w:p>
            <w:pPr>
              <w:pStyle w:val="yTableNAm"/>
              <w:jc w:val="center"/>
              <w:rPr>
                <w:b/>
              </w:rPr>
            </w:pPr>
            <w:r>
              <w:rPr>
                <w:b/>
              </w:rPr>
              <w:t>Matter</w:t>
            </w:r>
          </w:p>
        </w:tc>
        <w:tc>
          <w:tcPr>
            <w:tcW w:w="1275"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3"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88" w:type="dxa"/>
            <w:tcBorders>
              <w:top w:val="single" w:sz="4" w:space="0" w:color="auto"/>
              <w:bottom w:val="single" w:sz="4" w:space="0" w:color="auto"/>
            </w:tcBorders>
            <w:noWrap/>
          </w:tcPr>
          <w:p>
            <w:pPr>
              <w:pStyle w:val="yTableNAm"/>
              <w:jc w:val="center"/>
              <w:rPr>
                <w:b/>
              </w:rPr>
            </w:pPr>
            <w:r>
              <w:rPr>
                <w:b/>
              </w:rPr>
              <w:t>Column C</w:t>
            </w:r>
          </w:p>
          <w:p>
            <w:pPr>
              <w:pStyle w:val="yTableNAm"/>
              <w:jc w:val="center"/>
              <w:rPr>
                <w:b/>
              </w:rPr>
            </w:pPr>
            <w:r>
              <w:rPr>
                <w:b/>
              </w:rPr>
              <w:t>Fee for eligible</w:t>
            </w:r>
            <w:r>
              <w:rPr>
                <w:b/>
              </w:rPr>
              <w:br/>
              <w:t>individual</w:t>
            </w:r>
            <w:r>
              <w:rPr>
                <w:b/>
              </w:rPr>
              <w:br/>
            </w:r>
            <w:r>
              <w:rPr>
                <w:b/>
              </w:rPr>
              <w:br/>
              <w:t>$</w:t>
            </w:r>
          </w:p>
        </w:tc>
      </w:tr>
      <w:tr>
        <w:trPr>
          <w:cantSplit/>
        </w:trPr>
        <w:tc>
          <w:tcPr>
            <w:tcW w:w="601" w:type="dxa"/>
            <w:tcBorders>
              <w:top w:val="single" w:sz="4" w:space="0" w:color="auto"/>
            </w:tcBorders>
            <w:noWrap/>
          </w:tcPr>
          <w:p>
            <w:pPr>
              <w:pStyle w:val="yTableNAm"/>
            </w:pPr>
            <w:r>
              <w:t>1.</w:t>
            </w:r>
          </w:p>
        </w:tc>
        <w:tc>
          <w:tcPr>
            <w:tcW w:w="2552" w:type="dxa"/>
            <w:tcBorders>
              <w:top w:val="single" w:sz="4" w:space="0" w:color="auto"/>
            </w:tcBorders>
            <w:noWrap/>
          </w:tcPr>
          <w:p>
            <w:pPr>
              <w:pStyle w:val="yTableNAm"/>
            </w:pPr>
            <w:r>
              <w:t xml:space="preserve">On filing — </w:t>
            </w:r>
          </w:p>
        </w:tc>
        <w:tc>
          <w:tcPr>
            <w:tcW w:w="1275" w:type="dxa"/>
            <w:tcBorders>
              <w:top w:val="single" w:sz="4" w:space="0" w:color="auto"/>
            </w:tcBorders>
            <w:noWrap/>
          </w:tcPr>
          <w:p>
            <w:pPr>
              <w:pStyle w:val="yTableNAm"/>
            </w:pPr>
          </w:p>
        </w:tc>
        <w:tc>
          <w:tcPr>
            <w:tcW w:w="1273" w:type="dxa"/>
            <w:tcBorders>
              <w:top w:val="single" w:sz="4" w:space="0" w:color="auto"/>
            </w:tcBorders>
            <w:noWrap/>
          </w:tcPr>
          <w:p>
            <w:pPr>
              <w:pStyle w:val="yTableNAm"/>
            </w:pPr>
          </w:p>
        </w:tc>
        <w:tc>
          <w:tcPr>
            <w:tcW w:w="1288" w:type="dxa"/>
            <w:tcBorders>
              <w:top w:val="single" w:sz="4" w:space="0" w:color="auto"/>
            </w:tcBorders>
            <w:noWrap/>
          </w:tcPr>
          <w:p>
            <w:pPr>
              <w:pStyle w:val="yTableNAm"/>
            </w:pPr>
          </w:p>
        </w:tc>
      </w:tr>
      <w:tr>
        <w:trPr>
          <w:cantSplit/>
        </w:trPr>
        <w:tc>
          <w:tcPr>
            <w:tcW w:w="601" w:type="dxa"/>
            <w:noWrap/>
          </w:tcPr>
          <w:p>
            <w:pPr>
              <w:pStyle w:val="yTableNAm"/>
            </w:pPr>
          </w:p>
        </w:tc>
        <w:tc>
          <w:tcPr>
            <w:tcW w:w="2552" w:type="dxa"/>
            <w:noWrap/>
          </w:tcPr>
          <w:p>
            <w:pPr>
              <w:pStyle w:val="yTableNAm"/>
              <w:tabs>
                <w:tab w:val="clear" w:pos="567"/>
              </w:tabs>
              <w:ind w:left="317" w:hanging="317"/>
            </w:pPr>
            <w:r>
              <w:t>(a)</w:t>
            </w:r>
            <w:r>
              <w:tab/>
              <w:t>a prosecution notice</w:t>
            </w:r>
          </w:p>
        </w:tc>
        <w:tc>
          <w:tcPr>
            <w:tcW w:w="1275" w:type="dxa"/>
            <w:noWrap/>
            <w:vAlign w:val="bottom"/>
          </w:tcPr>
          <w:p>
            <w:pPr>
              <w:pStyle w:val="yTableNAm"/>
              <w:ind w:right="175"/>
              <w:jc w:val="right"/>
              <w:rPr>
                <w:szCs w:val="22"/>
              </w:rPr>
            </w:pPr>
            <w:r>
              <w:rPr>
                <w:szCs w:val="22"/>
              </w:rPr>
              <w:t>141.50</w:t>
            </w:r>
          </w:p>
        </w:tc>
        <w:tc>
          <w:tcPr>
            <w:tcW w:w="1273" w:type="dxa"/>
            <w:noWrap/>
            <w:vAlign w:val="bottom"/>
          </w:tcPr>
          <w:p>
            <w:pPr>
              <w:pStyle w:val="yTableNAm"/>
              <w:ind w:right="175"/>
              <w:jc w:val="right"/>
              <w:rPr>
                <w:szCs w:val="22"/>
              </w:rPr>
            </w:pPr>
            <w:r>
              <w:rPr>
                <w:szCs w:val="22"/>
              </w:rPr>
              <w:t>141.50</w:t>
            </w:r>
          </w:p>
        </w:tc>
        <w:tc>
          <w:tcPr>
            <w:tcW w:w="1288" w:type="dxa"/>
            <w:noWrap/>
            <w:vAlign w:val="bottom"/>
          </w:tcPr>
          <w:p>
            <w:pPr>
              <w:pStyle w:val="yTableNAm"/>
              <w:ind w:right="175"/>
              <w:jc w:val="right"/>
              <w:rPr>
                <w:szCs w:val="22"/>
              </w:rPr>
            </w:pPr>
            <w:r>
              <w:rPr>
                <w:szCs w:val="22"/>
              </w:rPr>
              <w:t>42.40</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 xml:space="preserve">an application under the </w:t>
            </w:r>
            <w:r>
              <w:rPr>
                <w:i/>
              </w:rPr>
              <w:t>Criminal Procedure Act 2004</w:t>
            </w:r>
            <w:r>
              <w:t xml:space="preserve"> section 71</w:t>
            </w:r>
          </w:p>
        </w:tc>
        <w:tc>
          <w:tcPr>
            <w:tcW w:w="1275" w:type="dxa"/>
            <w:noWrap/>
            <w:vAlign w:val="bottom"/>
          </w:tcPr>
          <w:p>
            <w:pPr>
              <w:pStyle w:val="yTableNAm"/>
              <w:ind w:right="175"/>
              <w:jc w:val="right"/>
              <w:rPr>
                <w:szCs w:val="22"/>
              </w:rPr>
            </w:pPr>
            <w:r>
              <w:rPr>
                <w:szCs w:val="22"/>
              </w:rPr>
              <w:t>141.50</w:t>
            </w:r>
          </w:p>
        </w:tc>
        <w:tc>
          <w:tcPr>
            <w:tcW w:w="1273" w:type="dxa"/>
            <w:noWrap/>
            <w:vAlign w:val="bottom"/>
          </w:tcPr>
          <w:p>
            <w:pPr>
              <w:pStyle w:val="yTableNAm"/>
              <w:ind w:right="175"/>
              <w:jc w:val="right"/>
              <w:rPr>
                <w:szCs w:val="22"/>
              </w:rPr>
            </w:pPr>
            <w:r>
              <w:rPr>
                <w:szCs w:val="22"/>
              </w:rPr>
              <w:t>141.50</w:t>
            </w:r>
          </w:p>
        </w:tc>
        <w:tc>
          <w:tcPr>
            <w:tcW w:w="1288" w:type="dxa"/>
            <w:noWrap/>
            <w:vAlign w:val="bottom"/>
          </w:tcPr>
          <w:p>
            <w:pPr>
              <w:pStyle w:val="yTableNAm"/>
              <w:ind w:right="175"/>
              <w:jc w:val="right"/>
              <w:rPr>
                <w:szCs w:val="22"/>
              </w:rPr>
            </w:pPr>
            <w:r>
              <w:rPr>
                <w:szCs w:val="22"/>
              </w:rPr>
              <w:t>42.40</w:t>
            </w:r>
          </w:p>
        </w:tc>
      </w:tr>
      <w:tr>
        <w:trPr>
          <w:cantSplit/>
        </w:trPr>
        <w:tc>
          <w:tcPr>
            <w:tcW w:w="601" w:type="dxa"/>
            <w:noWrap/>
          </w:tcPr>
          <w:p>
            <w:pPr>
              <w:pStyle w:val="yTableNAm"/>
            </w:pPr>
            <w:r>
              <w:t>2.</w:t>
            </w:r>
          </w:p>
        </w:tc>
        <w:tc>
          <w:tcPr>
            <w:tcW w:w="2552" w:type="dxa"/>
            <w:noWrap/>
          </w:tcPr>
          <w:p>
            <w:pPr>
              <w:pStyle w:val="yTableNAm"/>
            </w:pPr>
            <w:r>
              <w:t>For the issue of a summons or court hearing notice to an accused</w:t>
            </w:r>
          </w:p>
        </w:tc>
        <w:tc>
          <w:tcPr>
            <w:tcW w:w="1275" w:type="dxa"/>
            <w:noWrap/>
            <w:vAlign w:val="bottom"/>
          </w:tcPr>
          <w:p>
            <w:pPr>
              <w:pStyle w:val="yTableNAm"/>
              <w:ind w:right="175"/>
              <w:jc w:val="right"/>
              <w:rPr>
                <w:szCs w:val="22"/>
              </w:rPr>
            </w:pPr>
            <w:r>
              <w:rPr>
                <w:szCs w:val="22"/>
              </w:rPr>
              <w:t>27.20</w:t>
            </w:r>
          </w:p>
        </w:tc>
        <w:tc>
          <w:tcPr>
            <w:tcW w:w="1273" w:type="dxa"/>
            <w:noWrap/>
            <w:vAlign w:val="bottom"/>
          </w:tcPr>
          <w:p>
            <w:pPr>
              <w:pStyle w:val="yTableNAm"/>
              <w:ind w:right="175"/>
              <w:jc w:val="right"/>
              <w:rPr>
                <w:szCs w:val="22"/>
              </w:rPr>
            </w:pPr>
            <w:r>
              <w:rPr>
                <w:szCs w:val="22"/>
              </w:rPr>
              <w:t>27.20</w:t>
            </w:r>
          </w:p>
        </w:tc>
        <w:tc>
          <w:tcPr>
            <w:tcW w:w="1288" w:type="dxa"/>
            <w:noWrap/>
            <w:vAlign w:val="bottom"/>
          </w:tcPr>
          <w:p>
            <w:pPr>
              <w:pStyle w:val="yTableNAm"/>
              <w:ind w:right="175"/>
              <w:jc w:val="right"/>
              <w:rPr>
                <w:szCs w:val="22"/>
              </w:rPr>
            </w:pPr>
            <w:r>
              <w:rPr>
                <w:szCs w:val="22"/>
              </w:rPr>
              <w:t>8.15</w:t>
            </w:r>
          </w:p>
        </w:tc>
      </w:tr>
      <w:tr>
        <w:trPr>
          <w:cantSplit/>
        </w:trPr>
        <w:tc>
          <w:tcPr>
            <w:tcW w:w="601" w:type="dxa"/>
            <w:noWrap/>
          </w:tcPr>
          <w:p>
            <w:pPr>
              <w:pStyle w:val="yTableNAm"/>
            </w:pPr>
            <w:r>
              <w:t>3.</w:t>
            </w:r>
          </w:p>
        </w:tc>
        <w:tc>
          <w:tcPr>
            <w:tcW w:w="2552" w:type="dxa"/>
            <w:noWrap/>
          </w:tcPr>
          <w:p>
            <w:pPr>
              <w:pStyle w:val="yTableNAm"/>
            </w:pPr>
            <w:r>
              <w:t xml:space="preserve">For a warrant — </w:t>
            </w:r>
          </w:p>
        </w:tc>
        <w:tc>
          <w:tcPr>
            <w:tcW w:w="1275" w:type="dxa"/>
            <w:noWrap/>
            <w:vAlign w:val="bottom"/>
          </w:tcPr>
          <w:p>
            <w:pPr>
              <w:pStyle w:val="yTableNAm"/>
              <w:ind w:right="175"/>
              <w:jc w:val="right"/>
              <w:rPr>
                <w:szCs w:val="22"/>
              </w:rPr>
            </w:pPr>
          </w:p>
        </w:tc>
        <w:tc>
          <w:tcPr>
            <w:tcW w:w="1273" w:type="dxa"/>
            <w:noWrap/>
            <w:vAlign w:val="bottom"/>
          </w:tcPr>
          <w:p>
            <w:pPr>
              <w:pStyle w:val="yTableNAm"/>
              <w:ind w:right="175"/>
              <w:jc w:val="right"/>
              <w:rPr>
                <w:szCs w:val="22"/>
              </w:rPr>
            </w:pPr>
          </w:p>
        </w:tc>
        <w:tc>
          <w:tcPr>
            <w:tcW w:w="1288" w:type="dxa"/>
            <w:noWrap/>
            <w:vAlign w:val="bottom"/>
          </w:tcPr>
          <w:p>
            <w:pPr>
              <w:pStyle w:val="yTableNAm"/>
              <w:ind w:right="175"/>
              <w:jc w:val="right"/>
              <w:rPr>
                <w:szCs w:val="22"/>
              </w:rPr>
            </w:pPr>
          </w:p>
        </w:tc>
      </w:tr>
      <w:tr>
        <w:trPr>
          <w:cantSplit/>
        </w:trPr>
        <w:tc>
          <w:tcPr>
            <w:tcW w:w="601" w:type="dxa"/>
            <w:noWrap/>
          </w:tcPr>
          <w:p>
            <w:pPr>
              <w:pStyle w:val="yTableNAm"/>
            </w:pPr>
          </w:p>
        </w:tc>
        <w:tc>
          <w:tcPr>
            <w:tcW w:w="2552" w:type="dxa"/>
            <w:noWrap/>
          </w:tcPr>
          <w:p>
            <w:pPr>
              <w:pStyle w:val="yTableNAm"/>
              <w:tabs>
                <w:tab w:val="clear" w:pos="567"/>
              </w:tabs>
              <w:ind w:left="317" w:hanging="317"/>
            </w:pPr>
            <w:r>
              <w:t>(a)</w:t>
            </w:r>
            <w:r>
              <w:tab/>
              <w:t>issue of warrant</w:t>
            </w:r>
          </w:p>
        </w:tc>
        <w:tc>
          <w:tcPr>
            <w:tcW w:w="1275" w:type="dxa"/>
            <w:noWrap/>
            <w:vAlign w:val="bottom"/>
          </w:tcPr>
          <w:p>
            <w:pPr>
              <w:pStyle w:val="yTableNAm"/>
              <w:ind w:right="175"/>
              <w:jc w:val="right"/>
              <w:rPr>
                <w:szCs w:val="22"/>
              </w:rPr>
            </w:pPr>
            <w:r>
              <w:rPr>
                <w:szCs w:val="22"/>
              </w:rPr>
              <w:t>141.50</w:t>
            </w:r>
          </w:p>
        </w:tc>
        <w:tc>
          <w:tcPr>
            <w:tcW w:w="1273" w:type="dxa"/>
            <w:noWrap/>
            <w:vAlign w:val="bottom"/>
          </w:tcPr>
          <w:p>
            <w:pPr>
              <w:pStyle w:val="yTableNAm"/>
              <w:ind w:right="175"/>
              <w:jc w:val="right"/>
              <w:rPr>
                <w:szCs w:val="22"/>
              </w:rPr>
            </w:pPr>
            <w:r>
              <w:rPr>
                <w:szCs w:val="22"/>
              </w:rPr>
              <w:t>141.50</w:t>
            </w:r>
          </w:p>
        </w:tc>
        <w:tc>
          <w:tcPr>
            <w:tcW w:w="1288" w:type="dxa"/>
            <w:noWrap/>
            <w:vAlign w:val="bottom"/>
          </w:tcPr>
          <w:p>
            <w:pPr>
              <w:pStyle w:val="yTableNAm"/>
              <w:ind w:right="175"/>
              <w:jc w:val="right"/>
              <w:rPr>
                <w:szCs w:val="22"/>
              </w:rPr>
            </w:pPr>
            <w:r>
              <w:rPr>
                <w:szCs w:val="22"/>
              </w:rPr>
              <w:t>42.40</w:t>
            </w:r>
          </w:p>
        </w:tc>
      </w:tr>
      <w:tr>
        <w:trPr>
          <w:cantSplit/>
        </w:trPr>
        <w:tc>
          <w:tcPr>
            <w:tcW w:w="601" w:type="dxa"/>
            <w:tcBorders>
              <w:bottom w:val="single" w:sz="4" w:space="0" w:color="auto"/>
            </w:tcBorders>
            <w:noWrap/>
          </w:tcPr>
          <w:p>
            <w:pPr>
              <w:pStyle w:val="yTableNAm"/>
            </w:pPr>
          </w:p>
        </w:tc>
        <w:tc>
          <w:tcPr>
            <w:tcW w:w="2552" w:type="dxa"/>
            <w:tcBorders>
              <w:bottom w:val="single" w:sz="4" w:space="0" w:color="auto"/>
            </w:tcBorders>
            <w:noWrap/>
          </w:tcPr>
          <w:p>
            <w:pPr>
              <w:pStyle w:val="yTableNAm"/>
              <w:tabs>
                <w:tab w:val="clear" w:pos="567"/>
              </w:tabs>
              <w:ind w:left="317" w:hanging="317"/>
            </w:pPr>
            <w:r>
              <w:t>(b)</w:t>
            </w:r>
            <w:r>
              <w:tab/>
              <w:t>execution of warrant</w:t>
            </w:r>
          </w:p>
        </w:tc>
        <w:tc>
          <w:tcPr>
            <w:tcW w:w="1275" w:type="dxa"/>
            <w:tcBorders>
              <w:bottom w:val="single" w:sz="4" w:space="0" w:color="auto"/>
            </w:tcBorders>
            <w:noWrap/>
            <w:vAlign w:val="bottom"/>
          </w:tcPr>
          <w:p>
            <w:pPr>
              <w:pStyle w:val="yTableNAm"/>
              <w:ind w:right="175"/>
              <w:jc w:val="right"/>
              <w:rPr>
                <w:szCs w:val="22"/>
              </w:rPr>
            </w:pPr>
            <w:r>
              <w:rPr>
                <w:szCs w:val="22"/>
              </w:rPr>
              <w:t>184.00</w:t>
            </w:r>
          </w:p>
        </w:tc>
        <w:tc>
          <w:tcPr>
            <w:tcW w:w="1273" w:type="dxa"/>
            <w:tcBorders>
              <w:bottom w:val="single" w:sz="4" w:space="0" w:color="auto"/>
            </w:tcBorders>
            <w:noWrap/>
            <w:vAlign w:val="bottom"/>
          </w:tcPr>
          <w:p>
            <w:pPr>
              <w:pStyle w:val="yTableNAm"/>
              <w:ind w:right="175"/>
              <w:jc w:val="right"/>
              <w:rPr>
                <w:szCs w:val="22"/>
              </w:rPr>
            </w:pPr>
            <w:r>
              <w:rPr>
                <w:szCs w:val="22"/>
              </w:rPr>
              <w:t>184.00</w:t>
            </w:r>
          </w:p>
        </w:tc>
        <w:tc>
          <w:tcPr>
            <w:tcW w:w="1288" w:type="dxa"/>
            <w:tcBorders>
              <w:bottom w:val="single" w:sz="4" w:space="0" w:color="auto"/>
            </w:tcBorders>
            <w:noWrap/>
            <w:vAlign w:val="bottom"/>
          </w:tcPr>
          <w:p>
            <w:pPr>
              <w:pStyle w:val="yTableNAm"/>
              <w:ind w:right="175"/>
              <w:jc w:val="right"/>
              <w:rPr>
                <w:szCs w:val="22"/>
              </w:rPr>
            </w:pPr>
            <w:r>
              <w:rPr>
                <w:szCs w:val="22"/>
              </w:rPr>
              <w:t>184.00</w:t>
            </w:r>
          </w:p>
        </w:tc>
      </w:tr>
    </w:tbl>
    <w:p>
      <w:pPr>
        <w:pStyle w:val="yFootnotesection"/>
      </w:pPr>
      <w:r>
        <w:tab/>
        <w:t>[Division 3 inserted: SL 2023/120 r. 28.]</w:t>
      </w:r>
    </w:p>
    <w:p>
      <w:pPr>
        <w:outlineLvl w:val="0"/>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28" w:name="_Toc200111712"/>
      <w:r>
        <w:rPr>
          <w:rStyle w:val="CharSchNo"/>
        </w:rPr>
        <w:lastRenderedPageBreak/>
        <w:t>Schedule 2</w:t>
      </w:r>
      <w:r>
        <w:rPr>
          <w:rStyle w:val="CharSDivNo"/>
        </w:rPr>
        <w:t> </w:t>
      </w:r>
      <w:r>
        <w:t>—</w:t>
      </w:r>
      <w:r>
        <w:rPr>
          <w:rStyle w:val="CharSDivText"/>
        </w:rPr>
        <w:t> </w:t>
      </w:r>
      <w:r>
        <w:rPr>
          <w:rStyle w:val="CharSchText"/>
        </w:rPr>
        <w:t>Forms</w:t>
      </w:r>
      <w:bookmarkEnd w:id="28"/>
    </w:p>
    <w:p>
      <w:pPr>
        <w:pStyle w:val="yShoulderClause"/>
      </w:pPr>
      <w:r>
        <w:rPr>
          <w:szCs w:val="22"/>
        </w:rPr>
        <w:t>[r. 5A(1) and 13(2)]</w:t>
      </w:r>
    </w:p>
    <w:p>
      <w:pPr>
        <w:pStyle w:val="yFootnoteheading"/>
        <w:spacing w:after="60"/>
      </w:pPr>
      <w:r>
        <w:tab/>
        <w:t>[Heading amended: Gazette 14 Jun 2016 p. 1933.]</w:t>
      </w:r>
    </w:p>
    <w:p>
      <w:pPr>
        <w:pStyle w:val="yHeading5"/>
        <w:spacing w:after="120"/>
      </w:pPr>
      <w:bookmarkStart w:id="29" w:name="_Toc200111713"/>
      <w:r>
        <w:rPr>
          <w:rStyle w:val="CharSClsNo"/>
        </w:rPr>
        <w:t>1</w:t>
      </w:r>
      <w:r>
        <w:t>.</w:t>
      </w:r>
      <w:r>
        <w:tab/>
        <w:t>Declaration that a person is a small business or a non</w:t>
      </w:r>
      <w:r>
        <w:noBreakHyphen/>
        <w:t>profit association</w:t>
      </w:r>
      <w:bookmarkEnd w:id="29"/>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r>
              <w:rPr>
                <w:i/>
              </w:rPr>
              <w:t>Magistrates Court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Borders>
              <w:bottom w:val="single" w:sz="4" w:space="0" w:color="auto"/>
            </w:tcBorders>
          </w:tcPr>
          <w:p>
            <w:pPr>
              <w:pStyle w:val="yTable"/>
              <w:rPr>
                <w:b/>
                <w:bCs/>
              </w:rPr>
            </w:pPr>
            <w:r>
              <w:rPr>
                <w:b/>
                <w:bCs/>
              </w:rPr>
              <w:t>Date:</w:t>
            </w:r>
          </w:p>
        </w:tc>
        <w:tc>
          <w:tcPr>
            <w:tcW w:w="4252" w:type="dxa"/>
            <w:gridSpan w:val="2"/>
            <w:tcBorders>
              <w:bottom w:val="single" w:sz="4" w:space="0" w:color="auto"/>
            </w:tcBorders>
          </w:tcPr>
          <w:p>
            <w:pPr>
              <w:pStyle w:val="yTable"/>
            </w:pPr>
          </w:p>
        </w:tc>
      </w:tr>
      <w:tr>
        <w:trPr>
          <w:cantSplit/>
          <w:trHeight w:val="429"/>
        </w:trPr>
        <w:tc>
          <w:tcPr>
            <w:tcW w:w="6804" w:type="dxa"/>
            <w:gridSpan w:val="4"/>
            <w:tcBorders>
              <w:bottom w:val="nil"/>
            </w:tcBorders>
          </w:tcPr>
          <w:p>
            <w:pPr>
              <w:pStyle w:val="yTable"/>
              <w:spacing w:before="0"/>
              <w:ind w:left="459" w:hanging="459"/>
              <w:rPr>
                <w:i/>
                <w:sz w:val="16"/>
              </w:rPr>
            </w:pPr>
            <w:r>
              <w:rPr>
                <w:i/>
                <w:sz w:val="16"/>
                <w:szCs w:val="16"/>
              </w:rPr>
              <w:t>Note:</w:t>
            </w:r>
            <w:r>
              <w:rPr>
                <w:i/>
                <w:sz w:val="16"/>
                <w:szCs w:val="16"/>
              </w:rPr>
              <w:tab/>
              <w:t>A person who makes a statement or representation in this application that the person knows or has reason to believe is false or misleading in a material particular commits an offence under the Magistrates Court (Fees) Regulations 2005 regulation 9C(1).</w:t>
            </w:r>
          </w:p>
        </w:tc>
      </w:tr>
      <w:tr>
        <w:trPr>
          <w:cantSplit/>
          <w:trHeight w:val="429"/>
        </w:trPr>
        <w:tc>
          <w:tcPr>
            <w:tcW w:w="6804" w:type="dxa"/>
            <w:gridSpan w:val="4"/>
            <w:tcBorders>
              <w:top w:val="nil"/>
              <w:bottom w:val="nil"/>
            </w:tcBorders>
          </w:tcPr>
          <w:p>
            <w:pPr>
              <w:pStyle w:val="yTableNAm"/>
            </w:pPr>
            <w:r>
              <w:rPr>
                <w:i/>
                <w:sz w:val="16"/>
                <w:szCs w:val="16"/>
                <w:vertAlign w:val="superscript"/>
              </w:rPr>
              <w:lastRenderedPageBreak/>
              <w:t>1</w:t>
            </w:r>
            <w:r>
              <w:rPr>
                <w:i/>
                <w:sz w:val="16"/>
                <w:szCs w:val="16"/>
              </w:rPr>
              <w:t xml:space="preserve"> Under the Magistrates Court (Fees) Regulations 2005 regulation 3 a small business is — </w:t>
            </w:r>
          </w:p>
          <w:p>
            <w:pPr>
              <w:pStyle w:val="yTableNAm"/>
              <w:ind w:left="459"/>
              <w:rPr>
                <w:i/>
                <w:sz w:val="16"/>
                <w:szCs w:val="16"/>
              </w:rPr>
            </w:pPr>
            <w:r>
              <w:rPr>
                <w:i/>
                <w:sz w:val="16"/>
                <w:szCs w:val="16"/>
              </w:rPr>
              <w:t>an individual or individuals in partnership who wholly own and operate a business undertaking that has less than 20 full</w:t>
            </w:r>
            <w:r>
              <w:rPr>
                <w:i/>
                <w:sz w:val="16"/>
                <w:szCs w:val="16"/>
              </w:rPr>
              <w:noBreakHyphen/>
              <w:t>time equivalent employees and partners;</w:t>
            </w:r>
          </w:p>
          <w:p>
            <w:pPr>
              <w:pStyle w:val="yTableNAm"/>
              <w:ind w:left="459"/>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ind w:left="459"/>
              <w:rPr>
                <w:i/>
                <w:sz w:val="16"/>
                <w:szCs w:val="16"/>
              </w:rPr>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w:t>
            </w:r>
          </w:p>
          <w:p>
            <w:pPr>
              <w:pStyle w:val="yTableNAm"/>
              <w:spacing w:before="0"/>
              <w:ind w:left="459"/>
              <w:rPr>
                <w:i/>
                <w:sz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(Commonwealth) applies, of a corporation within the meaning of the Corporations Act 2001 (Commonwealth) or the Statutory Corporations (Liability of Directors) Act 1996 that has 20 or more full</w:t>
            </w:r>
            <w:r>
              <w:rPr>
                <w:i/>
                <w:sz w:val="16"/>
                <w:szCs w:val="16"/>
              </w:rPr>
              <w:noBreakHyphen/>
              <w:t>time equivalent employees;</w:t>
            </w:r>
          </w:p>
        </w:tc>
      </w:tr>
      <w:tr>
        <w:trPr>
          <w:cantSplit/>
          <w:trHeight w:val="429"/>
        </w:trPr>
        <w:tc>
          <w:tcPr>
            <w:tcW w:w="6804" w:type="dxa"/>
            <w:gridSpan w:val="4"/>
            <w:tcBorders>
              <w:top w:val="nil"/>
              <w:bottom w:val="single" w:sz="4" w:space="0" w:color="auto"/>
            </w:tcBorders>
          </w:tcPr>
          <w:p>
            <w:pPr>
              <w:pStyle w:val="yTableNAm"/>
              <w:spacing w:before="0"/>
              <w:rPr>
                <w:i/>
                <w:sz w:val="16"/>
              </w:rPr>
            </w:pPr>
            <w:r>
              <w:rPr>
                <w:i/>
                <w:sz w:val="16"/>
                <w:szCs w:val="16"/>
                <w:vertAlign w:val="superscript"/>
              </w:rPr>
              <w:t>2</w:t>
            </w:r>
            <w:r>
              <w:rPr>
                <w:i/>
                <w:sz w:val="16"/>
                <w:szCs w:val="16"/>
              </w:rPr>
              <w:t xml:space="preserve"> Under the Magistrates Court (Fees) Regulations 2005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Gazette 14 Jun 2016 p. 1934.]</w:t>
      </w:r>
    </w:p>
    <w:p>
      <w:pPr>
        <w:pStyle w:val="yEdnotedivision"/>
      </w:pPr>
      <w:r>
        <w:t>[Form 2 deleted: Gazette 4 Sep 2015 p. 3695.]</w:t>
      </w:r>
    </w:p>
    <w:p>
      <w:pPr>
        <w:pStyle w:val="yHeading5"/>
        <w:pageBreakBefore/>
        <w:spacing w:before="0" w:after="120"/>
      </w:pPr>
      <w:bookmarkStart w:id="30" w:name="_Toc200111714"/>
      <w:r>
        <w:rPr>
          <w:rStyle w:val="CharSClsNo"/>
        </w:rPr>
        <w:lastRenderedPageBreak/>
        <w:t>3</w:t>
      </w:r>
      <w:r>
        <w:t>.</w:t>
      </w:r>
      <w:r>
        <w:tab/>
        <w:t>Application for determination of dispute about fees</w:t>
      </w:r>
      <w:bookmarkEnd w:id="30"/>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
              <w:spacing w:before="0"/>
              <w:jc w:val="center"/>
              <w:rPr>
                <w:b/>
                <w:bCs/>
              </w:rPr>
            </w:pPr>
            <w:r>
              <w:rPr>
                <w:b/>
              </w:rPr>
              <w:t>Form</w:t>
            </w:r>
            <w:r>
              <w:rPr>
                <w:b/>
                <w:bCs/>
              </w:rPr>
              <w:t> 3</w:t>
            </w:r>
          </w:p>
          <w:p>
            <w:pPr>
              <w:pStyle w:val="yTable"/>
              <w:spacing w:before="0"/>
              <w:jc w:val="center"/>
              <w:rPr>
                <w:b/>
                <w:bCs/>
              </w:rPr>
            </w:pPr>
            <w:r>
              <w:rPr>
                <w:b/>
                <w:bCs/>
              </w:rPr>
              <w:t>Application for determination of dispute about fees</w:t>
            </w:r>
          </w:p>
        </w:tc>
      </w:tr>
      <w:tr>
        <w:trPr>
          <w:cantSplit/>
        </w:trPr>
        <w:tc>
          <w:tcPr>
            <w:tcW w:w="3615" w:type="dxa"/>
            <w:gridSpan w:val="2"/>
          </w:tcPr>
          <w:p>
            <w:pPr>
              <w:pStyle w:val="yTable"/>
              <w:spacing w:before="0"/>
            </w:pPr>
            <w:r>
              <w:t>In the Magistrates Court of Western Australia</w:t>
            </w:r>
          </w:p>
        </w:tc>
        <w:tc>
          <w:tcPr>
            <w:tcW w:w="3047" w:type="dxa"/>
            <w:gridSpan w:val="2"/>
          </w:tcPr>
          <w:p>
            <w:pPr>
              <w:pStyle w:val="yTable"/>
              <w:spacing w:before="0"/>
            </w:pPr>
            <w:r>
              <w:t xml:space="preserve">No. </w:t>
            </w:r>
            <w:r>
              <w:tab/>
              <w:t>of</w:t>
            </w:r>
            <w:r>
              <w:tab/>
              <w:t>20</w:t>
            </w:r>
          </w:p>
        </w:tc>
      </w:tr>
      <w:tr>
        <w:trPr>
          <w:cantSplit/>
        </w:trPr>
        <w:tc>
          <w:tcPr>
            <w:tcW w:w="6662" w:type="dxa"/>
            <w:gridSpan w:val="4"/>
          </w:tcPr>
          <w:p>
            <w:pPr>
              <w:pStyle w:val="yTable"/>
              <w:spacing w:before="0"/>
            </w:pPr>
            <w:r>
              <w:rPr>
                <w:b/>
              </w:rPr>
              <w:t>Claimant</w:t>
            </w:r>
            <w:r>
              <w:rPr>
                <w:b/>
                <w:bCs/>
              </w:rPr>
              <w:t>/</w:t>
            </w:r>
            <w:r>
              <w:rPr>
                <w:b/>
                <w:bCs/>
              </w:rPr>
              <w:br/>
            </w:r>
            <w:r>
              <w:rPr>
                <w:b/>
              </w:rPr>
              <w:t>Applicant</w:t>
            </w:r>
            <w:r>
              <w:rPr>
                <w:b/>
                <w:bCs/>
              </w:rPr>
              <w:t>:</w:t>
            </w:r>
            <w:r>
              <w:tab/>
              <w:t>................................................................................................</w:t>
            </w:r>
          </w:p>
        </w:tc>
      </w:tr>
      <w:tr>
        <w:trPr>
          <w:cantSplit/>
        </w:trPr>
        <w:tc>
          <w:tcPr>
            <w:tcW w:w="6662" w:type="dxa"/>
            <w:gridSpan w:val="4"/>
          </w:tcPr>
          <w:p>
            <w:pPr>
              <w:pStyle w:val="yTable"/>
              <w:spacing w:before="0"/>
            </w:pPr>
            <w:r>
              <w:rPr>
                <w:b/>
              </w:rPr>
              <w:t>Defendant</w:t>
            </w:r>
            <w:r>
              <w:rPr>
                <w:b/>
                <w:bCs/>
              </w:rPr>
              <w:t>:</w:t>
            </w:r>
            <w:r>
              <w:tab/>
              <w:t>................................................................................................</w:t>
            </w:r>
          </w:p>
        </w:tc>
      </w:tr>
      <w:tr>
        <w:trPr>
          <w:cantSplit/>
        </w:trPr>
        <w:tc>
          <w:tcPr>
            <w:tcW w:w="1701" w:type="dxa"/>
          </w:tcPr>
          <w:p>
            <w:pPr>
              <w:pStyle w:val="yTable"/>
              <w:spacing w:before="0"/>
              <w:rPr>
                <w:b/>
                <w:bCs/>
              </w:rPr>
            </w:pPr>
            <w:r>
              <w:rPr>
                <w:b/>
              </w:rPr>
              <w:t>Application</w:t>
            </w:r>
            <w:r>
              <w:rPr>
                <w:b/>
                <w:bCs/>
              </w:rPr>
              <w:t>:</w:t>
            </w:r>
          </w:p>
        </w:tc>
        <w:tc>
          <w:tcPr>
            <w:tcW w:w="4961" w:type="dxa"/>
            <w:gridSpan w:val="3"/>
          </w:tcPr>
          <w:p>
            <w:pPr>
              <w:pStyle w:val="yTable"/>
              <w:spacing w:before="0"/>
              <w:rPr>
                <w:b/>
                <w:bCs/>
              </w:rPr>
            </w:pPr>
            <w:r>
              <w:t xml:space="preserve">To the Principal Registrar for a determination under the </w:t>
            </w:r>
            <w:r>
              <w:rPr>
                <w:i/>
              </w:rPr>
              <w:t>Magistrates Court (Fees) Regulations 2005</w:t>
            </w:r>
            <w:r>
              <w:t xml:space="preserve"> regulation 13(1) of a question regarding fees. </w:t>
            </w:r>
          </w:p>
        </w:tc>
      </w:tr>
      <w:tr>
        <w:trPr>
          <w:cantSplit/>
        </w:trPr>
        <w:tc>
          <w:tcPr>
            <w:tcW w:w="1701" w:type="dxa"/>
            <w:vMerge w:val="restart"/>
          </w:tcPr>
          <w:p>
            <w:pPr>
              <w:pStyle w:val="yTable"/>
              <w:spacing w:before="0"/>
              <w:rPr>
                <w:b/>
                <w:bCs/>
              </w:rPr>
            </w:pPr>
            <w:r>
              <w:rPr>
                <w:b/>
              </w:rPr>
              <w:t>Applicant</w:t>
            </w:r>
            <w:r>
              <w:rPr>
                <w:b/>
                <w:bCs/>
              </w:rPr>
              <w:t>:</w:t>
            </w:r>
          </w:p>
        </w:tc>
        <w:tc>
          <w:tcPr>
            <w:tcW w:w="4961" w:type="dxa"/>
            <w:gridSpan w:val="3"/>
          </w:tcPr>
          <w:p>
            <w:pPr>
              <w:pStyle w:val="yTable"/>
              <w:spacing w:before="0"/>
            </w:pPr>
            <w:r>
              <w:t>......................................................................................</w:t>
            </w:r>
            <w:r>
              <w:br/>
              <w:t>Full name</w:t>
            </w:r>
          </w:p>
        </w:tc>
      </w:tr>
      <w:tr>
        <w:trPr>
          <w:cantSplit/>
        </w:trPr>
        <w:tc>
          <w:tcPr>
            <w:tcW w:w="1701" w:type="dxa"/>
            <w:vMerge/>
          </w:tcPr>
          <w:p>
            <w:pPr>
              <w:pStyle w:val="zytable"/>
              <w:spacing w:before="0"/>
              <w:ind w:left="0" w:right="0"/>
            </w:pPr>
          </w:p>
        </w:tc>
        <w:tc>
          <w:tcPr>
            <w:tcW w:w="4961" w:type="dxa"/>
            <w:gridSpan w:val="3"/>
          </w:tcPr>
          <w:p>
            <w:pPr>
              <w:pStyle w:val="yTable"/>
              <w:spacing w:before="0"/>
            </w:pPr>
            <w:r>
              <w:t>......................................................................................</w:t>
            </w:r>
            <w:r>
              <w:br/>
              <w:t>Address</w:t>
            </w:r>
          </w:p>
        </w:tc>
      </w:tr>
      <w:tr>
        <w:trPr>
          <w:cantSplit/>
        </w:trPr>
        <w:tc>
          <w:tcPr>
            <w:tcW w:w="1701" w:type="dxa"/>
            <w:vMerge/>
          </w:tcPr>
          <w:p>
            <w:pPr>
              <w:pStyle w:val="zytable"/>
              <w:spacing w:before="0"/>
              <w:ind w:left="0" w:right="0"/>
            </w:pPr>
          </w:p>
        </w:tc>
        <w:tc>
          <w:tcPr>
            <w:tcW w:w="2622" w:type="dxa"/>
            <w:gridSpan w:val="2"/>
          </w:tcPr>
          <w:p>
            <w:pPr>
              <w:pStyle w:val="yTable"/>
              <w:spacing w:before="0"/>
            </w:pPr>
            <w:r>
              <w:t>..........................................</w:t>
            </w:r>
            <w:r>
              <w:br/>
              <w:t>Date of birth</w:t>
            </w:r>
          </w:p>
        </w:tc>
        <w:tc>
          <w:tcPr>
            <w:tcW w:w="2339" w:type="dxa"/>
          </w:tcPr>
          <w:p>
            <w:pPr>
              <w:pStyle w:val="yTable"/>
              <w:spacing w:before="0"/>
            </w:pPr>
            <w:r>
              <w:t>......................................MDL No.</w:t>
            </w:r>
          </w:p>
        </w:tc>
      </w:tr>
      <w:tr>
        <w:trPr>
          <w:cantSplit/>
        </w:trPr>
        <w:tc>
          <w:tcPr>
            <w:tcW w:w="1701" w:type="dxa"/>
            <w:vMerge w:val="restart"/>
          </w:tcPr>
          <w:p>
            <w:pPr>
              <w:pStyle w:val="yTable"/>
              <w:spacing w:before="0"/>
              <w:rPr>
                <w:b/>
                <w:bCs/>
              </w:rPr>
            </w:pPr>
            <w:r>
              <w:rPr>
                <w:b/>
              </w:rPr>
              <w:t>Disputed</w:t>
            </w:r>
            <w:r>
              <w:rPr>
                <w:b/>
                <w:bCs/>
              </w:rPr>
              <w:t xml:space="preserve"> fee:</w:t>
            </w:r>
          </w:p>
        </w:tc>
        <w:tc>
          <w:tcPr>
            <w:tcW w:w="4961" w:type="dxa"/>
            <w:gridSpan w:val="3"/>
          </w:tcPr>
          <w:p>
            <w:pPr>
              <w:pStyle w:val="yTable"/>
              <w:spacing w:before="0"/>
            </w:pPr>
            <w:r>
              <w:t>The disputed fee is for .................................................</w:t>
            </w:r>
          </w:p>
          <w:p>
            <w:pPr>
              <w:pStyle w:val="yTable"/>
              <w:spacing w:before="0"/>
            </w:pPr>
            <w:r>
              <w:t>............................................................................................................................................................................</w:t>
            </w:r>
          </w:p>
        </w:tc>
      </w:tr>
      <w:tr>
        <w:trPr>
          <w:cantSplit/>
        </w:trPr>
        <w:tc>
          <w:tcPr>
            <w:tcW w:w="1701" w:type="dxa"/>
            <w:vMerge/>
          </w:tcPr>
          <w:p>
            <w:pPr>
              <w:pStyle w:val="zytable"/>
              <w:spacing w:before="0"/>
              <w:ind w:left="0" w:right="0"/>
              <w:rPr>
                <w:b/>
                <w:bCs/>
              </w:rPr>
            </w:pPr>
          </w:p>
        </w:tc>
        <w:tc>
          <w:tcPr>
            <w:tcW w:w="4961" w:type="dxa"/>
            <w:gridSpan w:val="3"/>
          </w:tcPr>
          <w:p>
            <w:pPr>
              <w:pStyle w:val="yTable"/>
              <w:spacing w:before="0"/>
            </w:pPr>
            <w:r>
              <w:rPr>
                <w:iCs/>
              </w:rPr>
              <w:t xml:space="preserve">Payable </w:t>
            </w:r>
            <w:r>
              <w:t>under</w:t>
            </w:r>
            <w:r>
              <w:rPr>
                <w:iCs/>
              </w:rPr>
              <w:t xml:space="preserve"> the </w:t>
            </w:r>
            <w:r>
              <w:rPr>
                <w:i/>
                <w:iCs/>
              </w:rPr>
              <w:t>Magistrates Court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yTable"/>
              <w:spacing w:before="0"/>
            </w:pPr>
            <w:r>
              <w:t xml:space="preserve">I dispute — </w:t>
            </w:r>
          </w:p>
          <w:p>
            <w:pPr>
              <w:pStyle w:val="yTable"/>
              <w:tabs>
                <w:tab w:val="left" w:pos="567"/>
              </w:tabs>
              <w:spacing w:before="0"/>
            </w:pPr>
            <w:r>
              <w:rPr>
                <w:rFonts w:ascii="MS Mincho" w:eastAsia="MS Mincho" w:hAnsi="MS Mincho"/>
              </w:rPr>
              <w:sym w:font="Wingdings" w:char="F06F"/>
            </w:r>
            <w:r>
              <w:tab/>
              <w:t>that the fee is payable</w:t>
            </w:r>
          </w:p>
          <w:p>
            <w:pPr>
              <w:pStyle w:val="yTable"/>
              <w:tabs>
                <w:tab w:val="left" w:pos="567"/>
              </w:tabs>
              <w:spacing w:before="0"/>
            </w:pPr>
            <w:r>
              <w:rPr>
                <w:rFonts w:ascii="MS Mincho" w:eastAsia="MS Mincho" w:hAnsi="MS Mincho"/>
              </w:rPr>
              <w:sym w:font="Wingdings" w:char="F06F"/>
            </w:r>
            <w:r>
              <w:tab/>
              <w:t>the amount of the fee</w:t>
            </w:r>
          </w:p>
          <w:p>
            <w:pPr>
              <w:pStyle w:val="yTable"/>
              <w:tabs>
                <w:tab w:val="left" w:pos="567"/>
              </w:tabs>
              <w:spacing w:before="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yTable"/>
              <w:spacing w:before="0"/>
            </w:pPr>
            <w:r>
              <w:t>I dispute the fee because ...........................................................................</w:t>
            </w:r>
          </w:p>
          <w:p>
            <w:pPr>
              <w:pStyle w:val="yTable"/>
              <w:spacing w:before="0"/>
            </w:pPr>
            <w:r>
              <w:t>...................................................................................................................</w:t>
            </w:r>
          </w:p>
          <w:p>
            <w:pPr>
              <w:pStyle w:val="yTable"/>
              <w:spacing w:before="0"/>
            </w:pPr>
            <w:r>
              <w:t>...................................................................................................................</w:t>
            </w:r>
          </w:p>
          <w:p>
            <w:pPr>
              <w:pStyle w:val="yTable"/>
              <w:spacing w:before="0"/>
            </w:pPr>
            <w:r>
              <w:t>...................................................................................................................</w:t>
            </w:r>
          </w:p>
          <w:p>
            <w:pPr>
              <w:pStyle w:val="yTable"/>
              <w:spacing w:before="0"/>
            </w:pPr>
            <w:r>
              <w:t>...................................................................................................................</w:t>
            </w:r>
          </w:p>
        </w:tc>
      </w:tr>
      <w:tr>
        <w:trPr>
          <w:cantSplit/>
        </w:trPr>
        <w:tc>
          <w:tcPr>
            <w:tcW w:w="1701" w:type="dxa"/>
          </w:tcPr>
          <w:p>
            <w:pPr>
              <w:pStyle w:val="yTable"/>
              <w:spacing w:before="0"/>
              <w:rPr>
                <w:b/>
                <w:bCs/>
              </w:rPr>
            </w:pPr>
            <w:r>
              <w:rPr>
                <w:b/>
              </w:rPr>
              <w:t>Signature</w:t>
            </w:r>
            <w:r>
              <w:rPr>
                <w:b/>
                <w:bCs/>
              </w:rPr>
              <w:t xml:space="preserve"> of applicant:</w:t>
            </w:r>
          </w:p>
        </w:tc>
        <w:tc>
          <w:tcPr>
            <w:tcW w:w="4961" w:type="dxa"/>
            <w:gridSpan w:val="3"/>
          </w:tcPr>
          <w:p>
            <w:pPr>
              <w:pStyle w:val="yTable"/>
              <w:spacing w:before="0"/>
            </w:pPr>
          </w:p>
          <w:p>
            <w:pPr>
              <w:pStyle w:val="yTable"/>
              <w:spacing w:before="0"/>
            </w:pPr>
            <w:r>
              <w:t>......................................................................................</w:t>
            </w:r>
          </w:p>
        </w:tc>
      </w:tr>
      <w:tr>
        <w:trPr>
          <w:cantSplit/>
        </w:trPr>
        <w:tc>
          <w:tcPr>
            <w:tcW w:w="1701" w:type="dxa"/>
          </w:tcPr>
          <w:p>
            <w:pPr>
              <w:pStyle w:val="yTable"/>
              <w:spacing w:before="0"/>
              <w:rPr>
                <w:b/>
                <w:bCs/>
              </w:rPr>
            </w:pPr>
            <w:r>
              <w:rPr>
                <w:b/>
              </w:rPr>
              <w:t>Date</w:t>
            </w:r>
            <w:r>
              <w:rPr>
                <w:b/>
                <w:bCs/>
              </w:rPr>
              <w:t>:</w:t>
            </w:r>
          </w:p>
        </w:tc>
        <w:tc>
          <w:tcPr>
            <w:tcW w:w="4961" w:type="dxa"/>
            <w:gridSpan w:val="3"/>
          </w:tcPr>
          <w:p>
            <w:pPr>
              <w:pStyle w:val="yTable"/>
              <w:spacing w:before="0"/>
            </w:pPr>
            <w:r>
              <w:t>........</w:t>
            </w:r>
            <w:r>
              <w:rPr>
                <w:rFonts w:eastAsia="MS Mincho"/>
              </w:rPr>
              <w:t>./</w:t>
            </w:r>
            <w:r>
              <w:t xml:space="preserve"> ........</w:t>
            </w:r>
            <w:r>
              <w:rPr>
                <w:rFonts w:eastAsia="MS Mincho"/>
              </w:rPr>
              <w:t>/20</w:t>
            </w:r>
            <w:r>
              <w:t>........</w:t>
            </w:r>
          </w:p>
        </w:tc>
      </w:tr>
      <w:tr>
        <w:trPr>
          <w:cantSplit/>
        </w:trPr>
        <w:tc>
          <w:tcPr>
            <w:tcW w:w="6662" w:type="dxa"/>
            <w:gridSpan w:val="4"/>
          </w:tcPr>
          <w:p>
            <w:pPr>
              <w:pStyle w:val="yTable"/>
              <w:tabs>
                <w:tab w:val="left" w:pos="459"/>
                <w:tab w:val="left" w:pos="567"/>
              </w:tabs>
              <w:spacing w:before="0"/>
              <w:rPr>
                <w:rFonts w:eastAsia="MS Mincho"/>
              </w:rPr>
            </w:pPr>
            <w:r>
              <w:rPr>
                <w:i/>
              </w:rPr>
              <w:t>*</w:t>
            </w:r>
            <w:r>
              <w:rPr>
                <w:i/>
              </w:rPr>
              <w:tab/>
            </w:r>
            <w:r>
              <w:rPr>
                <w:i/>
                <w:sz w:val="16"/>
              </w:rPr>
              <w:t xml:space="preserve">Strike out </w:t>
            </w:r>
            <w:r>
              <w:rPr>
                <w:i/>
                <w:iCs/>
                <w:sz w:val="16"/>
              </w:rPr>
              <w:t>numbers</w:t>
            </w:r>
            <w:r>
              <w:rPr>
                <w:i/>
                <w:sz w:val="16"/>
              </w:rPr>
              <w:t xml:space="preserve">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endnotePr>
            <w:numFmt w:val="decimal"/>
          </w:endnotePr>
          <w:pgSz w:w="11907" w:h="16840" w:code="9"/>
          <w:pgMar w:top="1809" w:right="2405" w:bottom="3542" w:left="2405" w:header="706" w:footer="3544" w:gutter="0"/>
          <w:cols w:space="720"/>
          <w:noEndnote/>
          <w:docGrid w:linePitch="326"/>
        </w:sectPr>
      </w:pPr>
    </w:p>
    <w:p>
      <w:pPr>
        <w:pStyle w:val="nHeading2"/>
      </w:pPr>
      <w:bookmarkStart w:id="31" w:name="_Toc200111715"/>
      <w:r>
        <w:lastRenderedPageBreak/>
        <w:t>Notes</w:t>
      </w:r>
      <w:bookmarkEnd w:id="31"/>
    </w:p>
    <w:p>
      <w:pPr>
        <w:pStyle w:val="nStatement"/>
      </w:pPr>
      <w:r>
        <w:t xml:space="preserve">This is a compilation of the </w:t>
      </w:r>
      <w:r>
        <w:rPr>
          <w:i/>
          <w:noProof/>
        </w:rPr>
        <w:t>Magistrates Court (Fees) Regulations 2005</w:t>
      </w:r>
      <w:r>
        <w:t xml:space="preserve"> and includes amendments made by other written laws. For provisions that have come into operation, and for information about any reprints, see the compilation table.</w:t>
      </w:r>
    </w:p>
    <w:p>
      <w:pPr>
        <w:pStyle w:val="nHeading3"/>
      </w:pPr>
      <w:bookmarkStart w:id="32" w:name="_Toc200111716"/>
      <w:r>
        <w:t>Compilation table</w:t>
      </w:r>
      <w:bookmarkEnd w:id="3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Magistrates Court (Fees) Regulations 2005</w:t>
            </w:r>
          </w:p>
        </w:tc>
        <w:tc>
          <w:tcPr>
            <w:tcW w:w="1276" w:type="dxa"/>
            <w:gridSpan w:val="2"/>
            <w:tcBorders>
              <w:top w:val="single" w:sz="8" w:space="0" w:color="auto"/>
            </w:tcBorders>
          </w:tcPr>
          <w:p>
            <w:pPr>
              <w:pStyle w:val="nTable"/>
              <w:spacing w:after="40"/>
            </w:pPr>
            <w:r>
              <w:t>28 Apr 2005 p. 1573</w:t>
            </w:r>
            <w:r>
              <w:noBreakHyphen/>
              <w:t>603</w:t>
            </w:r>
          </w:p>
        </w:tc>
        <w:tc>
          <w:tcPr>
            <w:tcW w:w="2693" w:type="dxa"/>
            <w:gridSpan w:val="2"/>
            <w:tcBorders>
              <w:top w:val="single" w:sz="8" w:space="0" w:color="auto"/>
            </w:tcBorders>
          </w:tcPr>
          <w:p>
            <w:pPr>
              <w:pStyle w:val="nTable"/>
              <w:spacing w:after="40"/>
            </w:pPr>
            <w:r>
              <w:t xml:space="preserve">1 May 2005 (see r. 2 and </w:t>
            </w:r>
            <w:r>
              <w:rPr>
                <w:i/>
                <w:iCs/>
              </w:rPr>
              <w:t>Gazette</w:t>
            </w:r>
            <w:r>
              <w:t xml:space="preserve"> 31 Dec 2004 p. 7127)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2006</w:t>
            </w:r>
          </w:p>
        </w:tc>
        <w:tc>
          <w:tcPr>
            <w:tcW w:w="1276" w:type="dxa"/>
            <w:gridSpan w:val="2"/>
          </w:tcPr>
          <w:p>
            <w:pPr>
              <w:pStyle w:val="nTable"/>
              <w:spacing w:after="40"/>
            </w:pPr>
            <w:r>
              <w:t>23 Jun 2006 p. 2178</w:t>
            </w:r>
            <w:r>
              <w:noBreakHyphen/>
              <w:t>81</w:t>
            </w:r>
          </w:p>
        </w:tc>
        <w:tc>
          <w:tcPr>
            <w:tcW w:w="2693" w:type="dxa"/>
            <w:gridSpan w:val="2"/>
          </w:tcPr>
          <w:p>
            <w:pPr>
              <w:pStyle w:val="nTable"/>
              <w:spacing w:after="40"/>
            </w:pPr>
            <w:r>
              <w:t>1 Jul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2007</w:t>
            </w:r>
          </w:p>
        </w:tc>
        <w:tc>
          <w:tcPr>
            <w:tcW w:w="1276" w:type="dxa"/>
            <w:gridSpan w:val="2"/>
          </w:tcPr>
          <w:p>
            <w:pPr>
              <w:pStyle w:val="nTable"/>
              <w:spacing w:after="40"/>
            </w:pPr>
            <w:r>
              <w:t>26 Jun 2007 p. 3033</w:t>
            </w:r>
            <w:r>
              <w:noBreakHyphen/>
              <w:t>5</w:t>
            </w:r>
          </w:p>
        </w:tc>
        <w:tc>
          <w:tcPr>
            <w:tcW w:w="2693" w:type="dxa"/>
            <w:gridSpan w:val="2"/>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2008</w:t>
            </w:r>
          </w:p>
        </w:tc>
        <w:tc>
          <w:tcPr>
            <w:tcW w:w="1276" w:type="dxa"/>
            <w:gridSpan w:val="2"/>
          </w:tcPr>
          <w:p>
            <w:pPr>
              <w:pStyle w:val="nTable"/>
              <w:spacing w:after="40"/>
            </w:pPr>
            <w:r>
              <w:t>16 May 2008 p. 1910</w:t>
            </w:r>
            <w:r>
              <w:noBreakHyphen/>
              <w:t>11</w:t>
            </w:r>
          </w:p>
        </w:tc>
        <w:tc>
          <w:tcPr>
            <w:tcW w:w="2693" w:type="dxa"/>
            <w:gridSpan w:val="2"/>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2008</w:t>
            </w:r>
          </w:p>
        </w:tc>
        <w:tc>
          <w:tcPr>
            <w:tcW w:w="1276" w:type="dxa"/>
            <w:gridSpan w:val="2"/>
          </w:tcPr>
          <w:p>
            <w:pPr>
              <w:pStyle w:val="nTable"/>
              <w:spacing w:after="40"/>
            </w:pPr>
            <w:r>
              <w:t>27 Jun 2008 p. 3068</w:t>
            </w:r>
            <w:r>
              <w:noBreakHyphen/>
              <w:t>70</w:t>
            </w:r>
          </w:p>
        </w:tc>
        <w:tc>
          <w:tcPr>
            <w:tcW w:w="2693" w:type="dxa"/>
            <w:gridSpan w:val="2"/>
          </w:tcPr>
          <w:p>
            <w:pPr>
              <w:pStyle w:val="nTable"/>
              <w:spacing w:after="40"/>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3) 2008</w:t>
            </w:r>
          </w:p>
        </w:tc>
        <w:tc>
          <w:tcPr>
            <w:tcW w:w="1276" w:type="dxa"/>
            <w:gridSpan w:val="2"/>
          </w:tcPr>
          <w:p>
            <w:pPr>
              <w:pStyle w:val="nTable"/>
              <w:spacing w:after="40"/>
            </w:pPr>
            <w:r>
              <w:t>22 Aug 2008 p. 3669</w:t>
            </w:r>
            <w:r>
              <w:noBreakHyphen/>
              <w:t>70</w:t>
            </w:r>
          </w:p>
        </w:tc>
        <w:tc>
          <w:tcPr>
            <w:tcW w:w="2693" w:type="dxa"/>
            <w:gridSpan w:val="2"/>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4) 2008</w:t>
            </w:r>
          </w:p>
        </w:tc>
        <w:tc>
          <w:tcPr>
            <w:tcW w:w="1276" w:type="dxa"/>
            <w:gridSpan w:val="2"/>
          </w:tcPr>
          <w:p>
            <w:pPr>
              <w:pStyle w:val="nTable"/>
              <w:spacing w:after="40"/>
            </w:pPr>
            <w:r>
              <w:t>23 Dec 2008 p. 5472</w:t>
            </w:r>
            <w:r>
              <w:noBreakHyphen/>
              <w:t>3</w:t>
            </w:r>
          </w:p>
        </w:tc>
        <w:tc>
          <w:tcPr>
            <w:tcW w:w="2693" w:type="dxa"/>
            <w:gridSpan w:val="2"/>
          </w:tcPr>
          <w:p>
            <w:pPr>
              <w:pStyle w:val="nTable"/>
              <w:spacing w:after="40"/>
              <w:rPr>
                <w:snapToGrid w:val="0"/>
              </w:rPr>
            </w:pPr>
            <w:r>
              <w:rPr>
                <w:snapToGrid w:val="0"/>
              </w:rPr>
              <w:t>r. 1 and 2: 23 Dec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7087" w:type="dxa"/>
            <w:gridSpan w:val="5"/>
          </w:tcPr>
          <w:p>
            <w:pPr>
              <w:pStyle w:val="nTable"/>
              <w:spacing w:after="40"/>
              <w:rPr>
                <w:snapToGrid w:val="0"/>
              </w:rPr>
            </w:pPr>
            <w:r>
              <w:rPr>
                <w:b/>
                <w:bCs/>
                <w:snapToGrid w:val="0"/>
              </w:rPr>
              <w:t xml:space="preserve">Reprint 1:  The </w:t>
            </w:r>
            <w:r>
              <w:rPr>
                <w:b/>
                <w:bCs/>
                <w:i/>
              </w:rPr>
              <w:t xml:space="preserve">Magistrates Court (Fees) Regulations 2005 </w:t>
            </w:r>
            <w:r>
              <w:rPr>
                <w:b/>
                <w:bCs/>
                <w:snapToGrid w:val="0"/>
              </w:rPr>
              <w:t>as at 13 Feb 2009</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2009</w:t>
            </w:r>
          </w:p>
        </w:tc>
        <w:tc>
          <w:tcPr>
            <w:tcW w:w="1276" w:type="dxa"/>
            <w:gridSpan w:val="2"/>
          </w:tcPr>
          <w:p>
            <w:pPr>
              <w:pStyle w:val="nTable"/>
              <w:spacing w:after="40"/>
            </w:pPr>
            <w:r>
              <w:t>9 Jun 2009 p. 1924</w:t>
            </w:r>
          </w:p>
        </w:tc>
        <w:tc>
          <w:tcPr>
            <w:tcW w:w="2693" w:type="dxa"/>
            <w:gridSpan w:val="2"/>
          </w:tcPr>
          <w:p>
            <w:pPr>
              <w:pStyle w:val="nTable"/>
              <w:spacing w:after="40"/>
            </w:pPr>
            <w:r>
              <w:rPr>
                <w:snapToGrid w:val="0"/>
              </w:rPr>
              <w:t>r. 1 and 2: 9 Jun 2009 (see r. 2(a));</w:t>
            </w:r>
            <w:r>
              <w:rPr>
                <w:snapToGrid w:val="0"/>
              </w:rPr>
              <w:br/>
              <w:t>Regulations other than r. 1 and 2: 10 Jun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Magistrates Court (Fees) Amendment Regulations (No. 2) 2009</w:t>
            </w:r>
          </w:p>
        </w:tc>
        <w:tc>
          <w:tcPr>
            <w:tcW w:w="1276" w:type="dxa"/>
            <w:gridSpan w:val="2"/>
          </w:tcPr>
          <w:p>
            <w:pPr>
              <w:pStyle w:val="nTable"/>
              <w:spacing w:after="40"/>
            </w:pPr>
            <w:r>
              <w:t>4 Sep 2009 p. 3472-9</w:t>
            </w:r>
          </w:p>
        </w:tc>
        <w:tc>
          <w:tcPr>
            <w:tcW w:w="2693" w:type="dxa"/>
            <w:gridSpan w:val="2"/>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2010</w:t>
            </w:r>
          </w:p>
        </w:tc>
        <w:tc>
          <w:tcPr>
            <w:tcW w:w="1276" w:type="dxa"/>
            <w:gridSpan w:val="2"/>
          </w:tcPr>
          <w:p>
            <w:pPr>
              <w:pStyle w:val="nTable"/>
              <w:spacing w:after="40"/>
            </w:pPr>
            <w:r>
              <w:t>30 Jul 2010 p. 3499-500</w:t>
            </w:r>
          </w:p>
        </w:tc>
        <w:tc>
          <w:tcPr>
            <w:tcW w:w="2693" w:type="dxa"/>
            <w:gridSpan w:val="2"/>
          </w:tcPr>
          <w:p>
            <w:pPr>
              <w:pStyle w:val="nTable"/>
              <w:spacing w:after="40"/>
              <w:rPr>
                <w:snapToGrid w:val="0"/>
              </w:rPr>
            </w:pPr>
            <w:r>
              <w:rPr>
                <w:snapToGrid w:val="0"/>
              </w:rPr>
              <w:t>r. 1 and 2: 30 Jul 2010 (see r. 2(a));</w:t>
            </w:r>
            <w:r>
              <w:rPr>
                <w:snapToGrid w:val="0"/>
              </w:rPr>
              <w:br/>
              <w:t>Regulations other than r. 1 and 2: 31 Jul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2011</w:t>
            </w:r>
          </w:p>
        </w:tc>
        <w:tc>
          <w:tcPr>
            <w:tcW w:w="1276" w:type="dxa"/>
            <w:gridSpan w:val="2"/>
          </w:tcPr>
          <w:p>
            <w:pPr>
              <w:pStyle w:val="nTable"/>
              <w:spacing w:after="40"/>
            </w:pPr>
            <w:r>
              <w:t>8 Mar 2011 p. 787</w:t>
            </w:r>
            <w:r>
              <w:noBreakHyphen/>
              <w:t>90</w:t>
            </w:r>
          </w:p>
        </w:tc>
        <w:tc>
          <w:tcPr>
            <w:tcW w:w="2693"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Magistrates Court (Fees) Amendment Regulations (No. 2) 2011</w:t>
            </w:r>
            <w:r>
              <w:rPr>
                <w:vertAlign w:val="superscript"/>
              </w:rPr>
              <w:t> 1</w:t>
            </w:r>
          </w:p>
        </w:tc>
        <w:tc>
          <w:tcPr>
            <w:tcW w:w="1276" w:type="dxa"/>
            <w:gridSpan w:val="2"/>
          </w:tcPr>
          <w:p>
            <w:pPr>
              <w:pStyle w:val="nTable"/>
              <w:spacing w:after="40"/>
            </w:pPr>
            <w:r>
              <w:t>20 Dec 2011 p. 5387-90</w:t>
            </w:r>
          </w:p>
        </w:tc>
        <w:tc>
          <w:tcPr>
            <w:tcW w:w="2693"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2012</w:t>
            </w:r>
          </w:p>
        </w:tc>
        <w:tc>
          <w:tcPr>
            <w:tcW w:w="1276" w:type="dxa"/>
            <w:gridSpan w:val="2"/>
          </w:tcPr>
          <w:p>
            <w:pPr>
              <w:pStyle w:val="nTable"/>
              <w:spacing w:after="40"/>
            </w:pPr>
            <w:r>
              <w:t>17 Jan 2012 p. 463</w:t>
            </w:r>
            <w:r>
              <w:noBreakHyphen/>
              <w:t>5</w:t>
            </w:r>
          </w:p>
        </w:tc>
        <w:tc>
          <w:tcPr>
            <w:tcW w:w="2693" w:type="dxa"/>
            <w:gridSpan w:val="2"/>
          </w:tcPr>
          <w:p>
            <w:pPr>
              <w:pStyle w:val="nTable"/>
              <w:spacing w:after="40"/>
              <w:rPr>
                <w:snapToGrid w:val="0"/>
              </w:rPr>
            </w:pPr>
            <w:r>
              <w:rPr>
                <w:snapToGrid w:val="0"/>
              </w:rPr>
              <w:t>r. 1 and 2: 17 Jan 2012 (see r. 2(a));</w:t>
            </w:r>
            <w:r>
              <w:rPr>
                <w:snapToGrid w:val="0"/>
              </w:rPr>
              <w:br/>
              <w:t>Regulations other than r. 1 and 2: 18 Jan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2012</w:t>
            </w:r>
          </w:p>
        </w:tc>
        <w:tc>
          <w:tcPr>
            <w:tcW w:w="1276" w:type="dxa"/>
            <w:gridSpan w:val="2"/>
          </w:tcPr>
          <w:p>
            <w:pPr>
              <w:pStyle w:val="nTable"/>
              <w:spacing w:after="40"/>
            </w:pPr>
            <w:r>
              <w:t>27 Mar 2012 p. 1507</w:t>
            </w:r>
          </w:p>
        </w:tc>
        <w:tc>
          <w:tcPr>
            <w:tcW w:w="2693" w:type="dxa"/>
            <w:gridSpan w:val="2"/>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c>
          <w:tcPr>
            <w:tcW w:w="7087" w:type="dxa"/>
            <w:gridSpan w:val="5"/>
            <w:shd w:val="clear" w:color="auto" w:fill="auto"/>
          </w:tcPr>
          <w:p>
            <w:pPr>
              <w:pStyle w:val="nTable"/>
              <w:spacing w:after="40"/>
              <w:rPr>
                <w:snapToGrid w:val="0"/>
              </w:rPr>
            </w:pPr>
            <w:r>
              <w:rPr>
                <w:b/>
                <w:bCs/>
                <w:snapToGrid w:val="0"/>
              </w:rPr>
              <w:t xml:space="preserve">Reprint 2:  The </w:t>
            </w:r>
            <w:r>
              <w:rPr>
                <w:b/>
                <w:bCs/>
                <w:i/>
              </w:rPr>
              <w:t xml:space="preserve">Magistrates Court (Fees) Regulations 2005 </w:t>
            </w:r>
            <w:r>
              <w:rPr>
                <w:b/>
                <w:bCs/>
                <w:snapToGrid w:val="0"/>
              </w:rPr>
              <w:t>as at 6 Apr 2012</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3) 2012</w:t>
            </w:r>
          </w:p>
        </w:tc>
        <w:tc>
          <w:tcPr>
            <w:tcW w:w="1276" w:type="dxa"/>
            <w:gridSpan w:val="2"/>
          </w:tcPr>
          <w:p>
            <w:pPr>
              <w:pStyle w:val="nTable"/>
              <w:spacing w:after="40"/>
            </w:pPr>
            <w:r>
              <w:t>30 Nov 2012 p. 5791</w:t>
            </w:r>
            <w:r>
              <w:noBreakHyphen/>
              <w:t>3</w:t>
            </w:r>
          </w:p>
        </w:tc>
        <w:tc>
          <w:tcPr>
            <w:tcW w:w="2693"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2013</w:t>
            </w:r>
          </w:p>
        </w:tc>
        <w:tc>
          <w:tcPr>
            <w:tcW w:w="1276" w:type="dxa"/>
            <w:gridSpan w:val="2"/>
          </w:tcPr>
          <w:p>
            <w:pPr>
              <w:pStyle w:val="nTable"/>
              <w:spacing w:after="40"/>
            </w:pPr>
            <w:r>
              <w:t>20 Aug 2013 p. 3815-16</w:t>
            </w:r>
          </w:p>
        </w:tc>
        <w:tc>
          <w:tcPr>
            <w:tcW w:w="2693" w:type="dxa"/>
            <w:gridSpan w:val="2"/>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2013</w:t>
            </w:r>
          </w:p>
        </w:tc>
        <w:tc>
          <w:tcPr>
            <w:tcW w:w="1276" w:type="dxa"/>
            <w:gridSpan w:val="2"/>
          </w:tcPr>
          <w:p>
            <w:pPr>
              <w:pStyle w:val="nTable"/>
              <w:spacing w:after="40"/>
            </w:pPr>
            <w:r>
              <w:t>15 Nov 2013 p. 5248-50</w:t>
            </w:r>
          </w:p>
        </w:tc>
        <w:tc>
          <w:tcPr>
            <w:tcW w:w="2693" w:type="dxa"/>
            <w:gridSpan w:val="2"/>
          </w:tcPr>
          <w:p>
            <w:pPr>
              <w:pStyle w:val="nTable"/>
              <w:spacing w:after="40"/>
              <w:rPr>
                <w:snapToGrid w:val="0"/>
              </w:rPr>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Magistrates Court (Fees) Amendment Regulations (No. 3) 2014</w:t>
            </w:r>
          </w:p>
        </w:tc>
        <w:tc>
          <w:tcPr>
            <w:tcW w:w="1276" w:type="dxa"/>
            <w:gridSpan w:val="2"/>
          </w:tcPr>
          <w:p>
            <w:pPr>
              <w:pStyle w:val="nTable"/>
              <w:spacing w:after="40"/>
            </w:pPr>
            <w:r>
              <w:t>27 Jun 2014 p. 2342-4</w:t>
            </w:r>
          </w:p>
        </w:tc>
        <w:tc>
          <w:tcPr>
            <w:tcW w:w="2693" w:type="dxa"/>
            <w:gridSpan w:val="2"/>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2015</w:t>
            </w:r>
          </w:p>
        </w:tc>
        <w:tc>
          <w:tcPr>
            <w:tcW w:w="1276" w:type="dxa"/>
            <w:gridSpan w:val="2"/>
          </w:tcPr>
          <w:p>
            <w:pPr>
              <w:pStyle w:val="nTable"/>
              <w:spacing w:after="40"/>
            </w:pPr>
            <w:r>
              <w:t>10 Feb 2015 p. 613</w:t>
            </w:r>
          </w:p>
        </w:tc>
        <w:tc>
          <w:tcPr>
            <w:tcW w:w="2693" w:type="dxa"/>
            <w:gridSpan w:val="2"/>
          </w:tcPr>
          <w:p>
            <w:pPr>
              <w:pStyle w:val="nTable"/>
              <w:keepNext/>
              <w:spacing w:after="40"/>
              <w:rPr>
                <w:snapToGrid w:val="0"/>
              </w:rPr>
            </w:pPr>
            <w:r>
              <w:rPr>
                <w:snapToGrid w:val="0"/>
              </w:rPr>
              <w:t>r. 1 and 2: 10 Feb 2015 (see r. 2(a));</w:t>
            </w:r>
            <w:r>
              <w:rPr>
                <w:snapToGrid w:val="0"/>
              </w:rPr>
              <w:br/>
              <w:t xml:space="preserve">Regulations other than r. 1 and 2: 27 Apr 2015 (see r. 2(b)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2015</w:t>
            </w:r>
          </w:p>
        </w:tc>
        <w:tc>
          <w:tcPr>
            <w:tcW w:w="1276" w:type="dxa"/>
            <w:gridSpan w:val="2"/>
          </w:tcPr>
          <w:p>
            <w:pPr>
              <w:pStyle w:val="nTable"/>
              <w:spacing w:after="40"/>
            </w:pPr>
            <w:r>
              <w:t>19 Jun 2015 p. 2124</w:t>
            </w:r>
            <w:r>
              <w:noBreakHyphen/>
              <w:t>7</w:t>
            </w:r>
          </w:p>
        </w:tc>
        <w:tc>
          <w:tcPr>
            <w:tcW w:w="2693" w:type="dxa"/>
            <w:gridSpan w:val="2"/>
          </w:tcPr>
          <w:p>
            <w:pPr>
              <w:pStyle w:val="nTable"/>
              <w:keepNext/>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Magistrates Court (Fees) Amendment Regulations (No. 3) 2015</w:t>
            </w:r>
          </w:p>
        </w:tc>
        <w:tc>
          <w:tcPr>
            <w:tcW w:w="1276" w:type="dxa"/>
            <w:gridSpan w:val="2"/>
            <w:shd w:val="clear" w:color="auto" w:fill="auto"/>
          </w:tcPr>
          <w:p>
            <w:pPr>
              <w:pStyle w:val="nTable"/>
              <w:spacing w:after="40"/>
            </w:pPr>
            <w:r>
              <w:t>4 Sep 2015 p. 3695</w:t>
            </w:r>
          </w:p>
        </w:tc>
        <w:tc>
          <w:tcPr>
            <w:tcW w:w="2693" w:type="dxa"/>
            <w:gridSpan w:val="2"/>
            <w:shd w:val="clear" w:color="auto" w:fill="auto"/>
          </w:tcPr>
          <w:p>
            <w:pPr>
              <w:pStyle w:val="nTable"/>
              <w:keepNext/>
              <w:spacing w:after="40"/>
              <w:rPr>
                <w:snapToGrid w:val="0"/>
              </w:rPr>
            </w:pPr>
            <w:r>
              <w:rPr>
                <w:snapToGrid w:val="0"/>
              </w:rPr>
              <w:t>r. 1 and 2: 4</w:t>
            </w:r>
            <w:r>
              <w:t xml:space="preserve"> Sep 2015</w:t>
            </w:r>
            <w:r>
              <w:rPr>
                <w:snapToGrid w:val="0"/>
              </w:rPr>
              <w:t xml:space="preserve"> (see r. 2(a));</w:t>
            </w:r>
            <w:r>
              <w:rPr>
                <w:snapToGrid w:val="0"/>
              </w:rPr>
              <w:br/>
              <w:t>Regulations other than r. 1 and 2: 5 Sep 2015 (see r. 2(b))</w:t>
            </w:r>
          </w:p>
        </w:tc>
      </w:tr>
      <w:tr>
        <w:tblPrEx>
          <w:tblBorders>
            <w:top w:val="none" w:sz="0" w:space="0" w:color="auto"/>
            <w:bottom w:val="none" w:sz="0" w:space="0" w:color="auto"/>
            <w:insideH w:val="none" w:sz="0" w:space="0" w:color="auto"/>
          </w:tblBorders>
        </w:tblPrEx>
        <w:tc>
          <w:tcPr>
            <w:tcW w:w="7087" w:type="dxa"/>
            <w:gridSpan w:val="5"/>
            <w:shd w:val="clear" w:color="auto" w:fill="auto"/>
          </w:tcPr>
          <w:p>
            <w:pPr>
              <w:pStyle w:val="nTable"/>
              <w:keepNext/>
              <w:spacing w:after="40"/>
              <w:rPr>
                <w:snapToGrid w:val="0"/>
              </w:rPr>
            </w:pPr>
            <w:r>
              <w:rPr>
                <w:b/>
                <w:snapToGrid w:val="0"/>
              </w:rPr>
              <w:t xml:space="preserve">Reprint 3: The </w:t>
            </w:r>
            <w:r>
              <w:rPr>
                <w:b/>
                <w:i/>
                <w:noProof/>
                <w:snapToGrid w:val="0"/>
              </w:rPr>
              <w:t>Magistrates Court (Fees) Regulations 2005</w:t>
            </w:r>
            <w:r>
              <w:rPr>
                <w:b/>
                <w:snapToGrid w:val="0"/>
              </w:rPr>
              <w:t xml:space="preserve"> as at 3 Dec 2015</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b/>
                <w:snapToGrid w:val="0"/>
              </w:rPr>
            </w:pPr>
            <w:r>
              <w:rPr>
                <w:i/>
              </w:rPr>
              <w:t>Attorney General Regulations Amendment (Fees) Regulations 2016</w:t>
            </w:r>
            <w:r>
              <w:t xml:space="preserve"> Pt. 8</w:t>
            </w:r>
          </w:p>
        </w:tc>
        <w:tc>
          <w:tcPr>
            <w:tcW w:w="1276" w:type="dxa"/>
            <w:gridSpan w:val="2"/>
            <w:shd w:val="clear" w:color="auto" w:fill="auto"/>
          </w:tcPr>
          <w:p>
            <w:pPr>
              <w:pStyle w:val="nTable"/>
              <w:keepNext/>
              <w:spacing w:after="40"/>
              <w:rPr>
                <w:b/>
                <w:snapToGrid w:val="0"/>
              </w:rPr>
            </w:pPr>
            <w:r>
              <w:t>14 Jun 2016 p. 1849</w:t>
            </w:r>
            <w:r>
              <w:noBreakHyphen/>
              <w:t>986</w:t>
            </w:r>
          </w:p>
        </w:tc>
        <w:tc>
          <w:tcPr>
            <w:tcW w:w="2664" w:type="dxa"/>
            <w:shd w:val="clear" w:color="auto" w:fill="auto"/>
          </w:tcPr>
          <w:p>
            <w:pPr>
              <w:pStyle w:val="nTable"/>
              <w:keepNext/>
              <w:spacing w:after="40"/>
              <w:rPr>
                <w:b/>
                <w:snapToGrid w:val="0"/>
              </w:rPr>
            </w:pPr>
            <w:r>
              <w:t>4 Jul 2016 (see r. 2(b))</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i/>
              </w:rPr>
            </w:pPr>
            <w:r>
              <w:rPr>
                <w:i/>
              </w:rPr>
              <w:t>Magistrates Court (Fees) Amendment Regulations (No. 2) 2016</w:t>
            </w:r>
          </w:p>
        </w:tc>
        <w:tc>
          <w:tcPr>
            <w:tcW w:w="1276" w:type="dxa"/>
            <w:gridSpan w:val="2"/>
            <w:shd w:val="clear" w:color="auto" w:fill="auto"/>
          </w:tcPr>
          <w:p>
            <w:pPr>
              <w:pStyle w:val="nTable"/>
              <w:keepNext/>
              <w:spacing w:after="40"/>
            </w:pPr>
            <w:r>
              <w:t>1 Jul 2016 p. 2747</w:t>
            </w:r>
            <w:r>
              <w:noBreakHyphen/>
              <w:t>8</w:t>
            </w:r>
          </w:p>
        </w:tc>
        <w:tc>
          <w:tcPr>
            <w:tcW w:w="2664" w:type="dxa"/>
            <w:shd w:val="clear" w:color="auto" w:fill="auto"/>
          </w:tcPr>
          <w:p>
            <w:pPr>
              <w:pStyle w:val="nTable"/>
              <w:keepNext/>
              <w:spacing w:after="40"/>
            </w:pPr>
            <w:r>
              <w:rPr>
                <w:snapToGrid w:val="0"/>
              </w:rPr>
              <w:t xml:space="preserve">r. 1 and 2: </w:t>
            </w:r>
            <w:r>
              <w:t>1 Jul 2016</w:t>
            </w:r>
            <w:r>
              <w:rPr>
                <w:snapToGrid w:val="0"/>
              </w:rPr>
              <w:t xml:space="preserve"> (see r. 2(a));</w:t>
            </w:r>
            <w:r>
              <w:rPr>
                <w:snapToGrid w:val="0"/>
              </w:rPr>
              <w:br/>
              <w:t>Regulations other than r. 1 and 2: 4</w:t>
            </w:r>
            <w:r>
              <w:t> Jul 2016</w:t>
            </w:r>
            <w:r>
              <w:rPr>
                <w:snapToGrid w:val="0"/>
              </w:rPr>
              <w:t xml:space="preserve"> (see r. 2(b) and </w:t>
            </w:r>
            <w:r>
              <w:rPr>
                <w:i/>
                <w:snapToGrid w:val="0"/>
              </w:rPr>
              <w:t>Gazette</w:t>
            </w:r>
            <w:r>
              <w:rPr>
                <w:snapToGrid w:val="0"/>
              </w:rPr>
              <w:t xml:space="preserve"> 14 Jun 2016 p. 1855)</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i/>
              </w:rPr>
            </w:pPr>
            <w:r>
              <w:rPr>
                <w:i/>
              </w:rPr>
              <w:t>Attorney General Regulations Amendment (Family Violence Restraining Orders) Regulations 2017</w:t>
            </w:r>
            <w:r>
              <w:t xml:space="preserve"> Pt. 7</w:t>
            </w:r>
          </w:p>
        </w:tc>
        <w:tc>
          <w:tcPr>
            <w:tcW w:w="1276" w:type="dxa"/>
            <w:gridSpan w:val="2"/>
            <w:shd w:val="clear" w:color="auto" w:fill="auto"/>
          </w:tcPr>
          <w:p>
            <w:pPr>
              <w:pStyle w:val="nTable"/>
              <w:keepNext/>
              <w:spacing w:after="40"/>
            </w:pPr>
            <w:r>
              <w:t>27 Jun 2017 p. 3432</w:t>
            </w:r>
            <w:r>
              <w:noBreakHyphen/>
              <w:t>5</w:t>
            </w:r>
          </w:p>
        </w:tc>
        <w:tc>
          <w:tcPr>
            <w:tcW w:w="2664" w:type="dxa"/>
            <w:shd w:val="clear" w:color="auto" w:fill="auto"/>
          </w:tcPr>
          <w:p>
            <w:pPr>
              <w:pStyle w:val="nTable"/>
              <w:keepNext/>
              <w:spacing w:after="40"/>
              <w:rPr>
                <w:snapToGrid w:val="0"/>
              </w:rPr>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(Fees and Charges) Regulations 2017 </w:t>
            </w:r>
            <w:r>
              <w:t>Pt. 8</w:t>
            </w:r>
          </w:p>
        </w:tc>
        <w:tc>
          <w:tcPr>
            <w:tcW w:w="1276" w:type="dxa"/>
            <w:gridSpan w:val="2"/>
            <w:shd w:val="clear" w:color="auto" w:fill="auto"/>
          </w:tcPr>
          <w:p>
            <w:pPr>
              <w:pStyle w:val="nTable"/>
              <w:spacing w:after="40"/>
            </w:pPr>
            <w:r>
              <w:t>7 Jul 2017 p. 3721</w:t>
            </w:r>
            <w:r>
              <w:noBreakHyphen/>
              <w:t>98</w:t>
            </w:r>
          </w:p>
        </w:tc>
        <w:tc>
          <w:tcPr>
            <w:tcW w:w="2693" w:type="dxa"/>
            <w:gridSpan w:val="2"/>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(Bailiff Fees) Regulations 2018</w:t>
            </w:r>
            <w:r>
              <w:t xml:space="preserve"> Pt. 5</w:t>
            </w:r>
          </w:p>
        </w:tc>
        <w:tc>
          <w:tcPr>
            <w:tcW w:w="1276" w:type="dxa"/>
            <w:gridSpan w:val="2"/>
            <w:shd w:val="clear" w:color="auto" w:fill="auto"/>
          </w:tcPr>
          <w:p>
            <w:pPr>
              <w:pStyle w:val="nTable"/>
              <w:spacing w:after="40"/>
            </w:pPr>
            <w:r>
              <w:t>9 Feb 2018 p. 401</w:t>
            </w:r>
            <w:r>
              <w:noBreakHyphen/>
              <w:t>5</w:t>
            </w:r>
          </w:p>
        </w:tc>
        <w:tc>
          <w:tcPr>
            <w:tcW w:w="2693" w:type="dxa"/>
            <w:gridSpan w:val="2"/>
            <w:shd w:val="clear" w:color="auto" w:fill="auto"/>
          </w:tcPr>
          <w:p>
            <w:pPr>
              <w:pStyle w:val="nTable"/>
              <w:spacing w:after="40"/>
              <w:rPr>
                <w:bCs/>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(Fees and Charges) Regulations 2018</w:t>
            </w:r>
            <w:r>
              <w:t xml:space="preserve"> Pt. 8</w:t>
            </w:r>
          </w:p>
        </w:tc>
        <w:tc>
          <w:tcPr>
            <w:tcW w:w="1276" w:type="dxa"/>
            <w:gridSpan w:val="2"/>
            <w:shd w:val="clear" w:color="auto" w:fill="auto"/>
          </w:tcPr>
          <w:p>
            <w:pPr>
              <w:pStyle w:val="nTable"/>
              <w:spacing w:after="40"/>
            </w:pPr>
            <w:r>
              <w:t>15 Jun 2018 p. 1963</w:t>
            </w:r>
            <w:r>
              <w:noBreakHyphen/>
              <w:t>2049</w:t>
            </w:r>
          </w:p>
        </w:tc>
        <w:tc>
          <w:tcPr>
            <w:tcW w:w="2693" w:type="dxa"/>
            <w:gridSpan w:val="2"/>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lastRenderedPageBreak/>
              <w:t>Justice Regulations Amendment (Fee Relief) Regulations 2018</w:t>
            </w:r>
            <w:r>
              <w:t xml:space="preserve"> Pt. 6</w:t>
            </w:r>
          </w:p>
        </w:tc>
        <w:tc>
          <w:tcPr>
            <w:tcW w:w="1276" w:type="dxa"/>
            <w:gridSpan w:val="2"/>
            <w:shd w:val="clear" w:color="auto" w:fill="auto"/>
          </w:tcPr>
          <w:p>
            <w:pPr>
              <w:pStyle w:val="nTable"/>
              <w:keepNext/>
              <w:spacing w:after="40"/>
            </w:pPr>
            <w:r>
              <w:t>20 Jul 2018 p. 2621</w:t>
            </w:r>
            <w:r>
              <w:noBreakHyphen/>
              <w:t>30</w:t>
            </w:r>
          </w:p>
        </w:tc>
        <w:tc>
          <w:tcPr>
            <w:tcW w:w="2693" w:type="dxa"/>
            <w:gridSpan w:val="2"/>
            <w:shd w:val="clear" w:color="auto" w:fill="auto"/>
          </w:tcPr>
          <w:p>
            <w:pPr>
              <w:pStyle w:val="nTable"/>
              <w:keepNext/>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(Transcript Fees) Regulations 2018 </w:t>
            </w:r>
            <w:r>
              <w:t>Pt. 5</w:t>
            </w:r>
          </w:p>
        </w:tc>
        <w:tc>
          <w:tcPr>
            <w:tcW w:w="1276" w:type="dxa"/>
            <w:gridSpan w:val="2"/>
            <w:shd w:val="clear" w:color="auto" w:fill="auto"/>
          </w:tcPr>
          <w:p>
            <w:pPr>
              <w:pStyle w:val="nTable"/>
              <w:spacing w:after="40"/>
            </w:pPr>
            <w:r>
              <w:t>7 Dec 2018 p. 4667</w:t>
            </w:r>
            <w:r>
              <w:noBreakHyphen/>
              <w:t>74</w:t>
            </w:r>
          </w:p>
        </w:tc>
        <w:tc>
          <w:tcPr>
            <w:tcW w:w="2693" w:type="dxa"/>
            <w:gridSpan w:val="2"/>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(Transcript Fees) Regulations 2019 </w:t>
            </w:r>
            <w:r>
              <w:t>Pt. 5</w:t>
            </w:r>
          </w:p>
        </w:tc>
        <w:tc>
          <w:tcPr>
            <w:tcW w:w="1276" w:type="dxa"/>
            <w:gridSpan w:val="2"/>
            <w:shd w:val="clear" w:color="auto" w:fill="auto"/>
          </w:tcPr>
          <w:p>
            <w:pPr>
              <w:pStyle w:val="nTable"/>
              <w:spacing w:after="40"/>
            </w:pPr>
            <w:r>
              <w:t>12 Mar 2019 p. 666</w:t>
            </w:r>
            <w:r>
              <w:noBreakHyphen/>
              <w:t>9</w:t>
            </w:r>
          </w:p>
        </w:tc>
        <w:tc>
          <w:tcPr>
            <w:tcW w:w="2693" w:type="dxa"/>
            <w:gridSpan w:val="2"/>
            <w:shd w:val="clear" w:color="auto" w:fill="auto"/>
          </w:tcPr>
          <w:p>
            <w:pPr>
              <w:pStyle w:val="nTable"/>
              <w:spacing w:after="40"/>
            </w:pPr>
            <w:r>
              <w:rPr>
                <w:bCs/>
                <w:snapToGrid w:val="0"/>
              </w:rPr>
              <w:t>13 Mar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10</w:t>
            </w:r>
          </w:p>
        </w:tc>
        <w:tc>
          <w:tcPr>
            <w:tcW w:w="1276" w:type="dxa"/>
            <w:gridSpan w:val="2"/>
            <w:tcBorders>
              <w:top w:val="nil"/>
              <w:bottom w:val="nil"/>
            </w:tcBorders>
            <w:shd w:val="clear" w:color="auto" w:fill="auto"/>
          </w:tcPr>
          <w:p>
            <w:pPr>
              <w:pStyle w:val="nTable"/>
              <w:spacing w:after="40"/>
            </w:pPr>
            <w:r>
              <w:t>28 Jun 2019 p. 2553</w:t>
            </w:r>
            <w:r>
              <w:noBreakHyphen/>
              <w:t>642</w:t>
            </w:r>
          </w:p>
        </w:tc>
        <w:tc>
          <w:tcPr>
            <w:tcW w:w="2693" w:type="dxa"/>
            <w:gridSpan w:val="2"/>
            <w:tcBorders>
              <w:top w:val="nil"/>
              <w:bottom w:val="nil"/>
            </w:tcBorders>
            <w:shd w:val="clear" w:color="auto" w:fill="auto"/>
          </w:tcPr>
          <w:p>
            <w:pPr>
              <w:pStyle w:val="nTable"/>
              <w:spacing w:after="40"/>
              <w:rPr>
                <w:bCs/>
                <w:snapToGrid w:val="0"/>
              </w:rPr>
            </w:pPr>
            <w:r>
              <w:t>1 Jul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2020</w:t>
            </w:r>
            <w:r>
              <w:t xml:space="preserve"> Pt. 8</w:t>
            </w:r>
          </w:p>
        </w:tc>
        <w:tc>
          <w:tcPr>
            <w:tcW w:w="1276" w:type="dxa"/>
            <w:gridSpan w:val="2"/>
            <w:tcBorders>
              <w:top w:val="nil"/>
              <w:bottom w:val="nil"/>
            </w:tcBorders>
            <w:shd w:val="clear" w:color="auto" w:fill="auto"/>
          </w:tcPr>
          <w:p>
            <w:pPr>
              <w:pStyle w:val="nTable"/>
              <w:spacing w:after="40"/>
            </w:pPr>
            <w:r>
              <w:t>SL 2020/124 31 Jul 2020</w:t>
            </w:r>
          </w:p>
        </w:tc>
        <w:tc>
          <w:tcPr>
            <w:tcW w:w="2693" w:type="dxa"/>
            <w:gridSpan w:val="2"/>
            <w:tcBorders>
              <w:top w:val="nil"/>
              <w:bottom w:val="nil"/>
            </w:tcBorders>
            <w:shd w:val="clear" w:color="auto" w:fill="auto"/>
          </w:tcPr>
          <w:p>
            <w:pPr>
              <w:pStyle w:val="nTable"/>
              <w:spacing w:after="40"/>
            </w:pPr>
            <w:r>
              <w:t>1 Aug 2020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2021</w:t>
            </w:r>
            <w:r>
              <w:t xml:space="preserve"> Pt. 9</w:t>
            </w:r>
          </w:p>
        </w:tc>
        <w:tc>
          <w:tcPr>
            <w:tcW w:w="1276" w:type="dxa"/>
            <w:gridSpan w:val="2"/>
            <w:tcBorders>
              <w:top w:val="nil"/>
              <w:bottom w:val="nil"/>
            </w:tcBorders>
            <w:shd w:val="clear" w:color="auto" w:fill="auto"/>
          </w:tcPr>
          <w:p>
            <w:pPr>
              <w:pStyle w:val="nTable"/>
              <w:spacing w:after="40"/>
            </w:pPr>
            <w:r>
              <w:t>SL 2021/101</w:t>
            </w:r>
            <w:r>
              <w:br/>
              <w:t>29 Jun 2021</w:t>
            </w:r>
          </w:p>
        </w:tc>
        <w:tc>
          <w:tcPr>
            <w:tcW w:w="2693" w:type="dxa"/>
            <w:gridSpan w:val="2"/>
            <w:tcBorders>
              <w:top w:val="nil"/>
              <w:bottom w:val="nil"/>
            </w:tcBorders>
            <w:shd w:val="clear" w:color="auto" w:fill="auto"/>
          </w:tcPr>
          <w:p>
            <w:pPr>
              <w:pStyle w:val="nTable"/>
              <w:spacing w:after="40"/>
            </w:pPr>
            <w:r>
              <w:t>1 Jul 2021 (see r. 2(b))</w:t>
            </w:r>
          </w:p>
        </w:tc>
      </w:tr>
      <w:tr>
        <w:tc>
          <w:tcPr>
            <w:tcW w:w="3118" w:type="dxa"/>
            <w:tcBorders>
              <w:top w:val="nil"/>
              <w:bottom w:val="nil"/>
            </w:tcBorders>
            <w:shd w:val="clear" w:color="auto" w:fill="auto"/>
          </w:tcPr>
          <w:p>
            <w:pPr>
              <w:pStyle w:val="nTable"/>
              <w:spacing w:after="40"/>
              <w:rPr>
                <w:i/>
              </w:rPr>
            </w:pPr>
            <w:r>
              <w:rPr>
                <w:i/>
              </w:rPr>
              <w:t>Magistrates Court (Fees) Amendment Regulations 2021</w:t>
            </w:r>
          </w:p>
        </w:tc>
        <w:tc>
          <w:tcPr>
            <w:tcW w:w="1276" w:type="dxa"/>
            <w:gridSpan w:val="2"/>
            <w:tcBorders>
              <w:top w:val="nil"/>
              <w:bottom w:val="nil"/>
            </w:tcBorders>
            <w:shd w:val="clear" w:color="auto" w:fill="auto"/>
          </w:tcPr>
          <w:p>
            <w:pPr>
              <w:pStyle w:val="nTable"/>
              <w:spacing w:after="40"/>
            </w:pPr>
            <w:r>
              <w:t>SL 2021/119</w:t>
            </w:r>
            <w:r>
              <w:br/>
              <w:t>2 Jul 2021</w:t>
            </w:r>
          </w:p>
        </w:tc>
        <w:tc>
          <w:tcPr>
            <w:tcW w:w="2693" w:type="dxa"/>
            <w:gridSpan w:val="2"/>
            <w:tcBorders>
              <w:top w:val="nil"/>
              <w:bottom w:val="nil"/>
            </w:tcBorders>
            <w:shd w:val="clear" w:color="auto" w:fill="auto"/>
          </w:tcPr>
          <w:p>
            <w:pPr>
              <w:pStyle w:val="nTable"/>
              <w:spacing w:after="40"/>
            </w:pPr>
            <w:r>
              <w:rPr>
                <w:snapToGrid w:val="0"/>
              </w:rPr>
              <w:t xml:space="preserve">r. 1 and 2: </w:t>
            </w:r>
            <w:r>
              <w:t>2 Jul 2021</w:t>
            </w:r>
            <w:r>
              <w:rPr>
                <w:snapToGrid w:val="0"/>
              </w:rPr>
              <w:t xml:space="preserve"> (see r. 2(a));</w:t>
            </w:r>
            <w:r>
              <w:rPr>
                <w:snapToGrid w:val="0"/>
              </w:rPr>
              <w:br/>
              <w:t>Regulations other than r. 1 and 2: 3 Jul 2021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(Fees and Charges) Regulations 2022</w:t>
            </w:r>
            <w:r>
              <w:t xml:space="preserve"> Pt. 10</w:t>
            </w:r>
          </w:p>
        </w:tc>
        <w:tc>
          <w:tcPr>
            <w:tcW w:w="1276" w:type="dxa"/>
            <w:gridSpan w:val="2"/>
            <w:shd w:val="clear" w:color="auto" w:fill="auto"/>
          </w:tcPr>
          <w:p>
            <w:pPr>
              <w:pStyle w:val="nTable"/>
              <w:spacing w:after="40"/>
            </w:pPr>
            <w:r>
              <w:t>SL 2022/111 30 Jun 2022</w:t>
            </w:r>
          </w:p>
        </w:tc>
        <w:tc>
          <w:tcPr>
            <w:tcW w:w="2693" w:type="dxa"/>
            <w:gridSpan w:val="2"/>
            <w:shd w:val="clear" w:color="auto" w:fill="auto"/>
          </w:tcPr>
          <w:p>
            <w:pPr>
              <w:pStyle w:val="nTable"/>
              <w:spacing w:after="40"/>
              <w:rPr>
                <w:snapToGrid w:val="0"/>
              </w:rPr>
            </w:pPr>
            <w:r>
              <w:t>1 Jul 2022 (see r. 2(b))</w:t>
            </w:r>
          </w:p>
        </w:tc>
      </w:tr>
      <w:tr>
        <w:tc>
          <w:tcPr>
            <w:tcW w:w="3118" w:type="dxa"/>
            <w:tcBorders>
              <w:top w:val="nil"/>
              <w:bottom w:val="nil"/>
            </w:tcBorders>
            <w:shd w:val="clear" w:color="auto" w:fill="auto"/>
          </w:tcPr>
          <w:p>
            <w:pPr>
              <w:pStyle w:val="nTable"/>
              <w:spacing w:after="40"/>
              <w:rPr>
                <w:i/>
              </w:rPr>
            </w:pPr>
            <w:r>
              <w:rPr>
                <w:i/>
              </w:rPr>
              <w:t>Attorney General Regulations Amendment (Legal Profession) Regulations 2022</w:t>
            </w:r>
            <w:r>
              <w:t xml:space="preserve"> Pt. 4</w:t>
            </w:r>
          </w:p>
        </w:tc>
        <w:tc>
          <w:tcPr>
            <w:tcW w:w="1276" w:type="dxa"/>
            <w:gridSpan w:val="2"/>
            <w:tcBorders>
              <w:top w:val="nil"/>
              <w:bottom w:val="nil"/>
            </w:tcBorders>
            <w:shd w:val="clear" w:color="auto" w:fill="auto"/>
          </w:tcPr>
          <w:p>
            <w:pPr>
              <w:pStyle w:val="nTable"/>
              <w:spacing w:after="40"/>
            </w:pPr>
            <w:r>
              <w:t>SL 2022/114 30 Jun 2022</w:t>
            </w:r>
          </w:p>
        </w:tc>
        <w:tc>
          <w:tcPr>
            <w:tcW w:w="2693" w:type="dxa"/>
            <w:gridSpan w:val="2"/>
            <w:tcBorders>
              <w:top w:val="nil"/>
              <w:bottom w:val="nil"/>
            </w:tcBorders>
            <w:shd w:val="clear" w:color="auto" w:fill="auto"/>
          </w:tcPr>
          <w:p>
            <w:pPr>
              <w:pStyle w:val="nTable"/>
              <w:spacing w:after="40"/>
              <w:rPr>
                <w:snapToGrid w:val="0"/>
              </w:rPr>
            </w:pPr>
            <w:r>
              <w:t>1 Jul 2022 (see r. 2(d) and SL 2022/113 cl. 2)</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(Fee Waiver) Regulations 2022</w:t>
            </w:r>
            <w:r>
              <w:t xml:space="preserve"> Pt. 3</w:t>
            </w:r>
          </w:p>
        </w:tc>
        <w:tc>
          <w:tcPr>
            <w:tcW w:w="1276" w:type="dxa"/>
            <w:gridSpan w:val="2"/>
            <w:shd w:val="clear" w:color="auto" w:fill="auto"/>
          </w:tcPr>
          <w:p>
            <w:pPr>
              <w:pStyle w:val="nTable"/>
              <w:spacing w:after="40"/>
            </w:pPr>
            <w:r>
              <w:t>SL 2022/145 26 Aug 2022</w:t>
            </w:r>
          </w:p>
        </w:tc>
        <w:tc>
          <w:tcPr>
            <w:tcW w:w="2693" w:type="dxa"/>
            <w:gridSpan w:val="2"/>
            <w:shd w:val="clear" w:color="auto" w:fill="auto"/>
          </w:tcPr>
          <w:p>
            <w:pPr>
              <w:pStyle w:val="nTable"/>
              <w:spacing w:after="40"/>
            </w:pPr>
            <w:r>
              <w:t>27 Aug 2022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spacing w:after="40"/>
              <w:rPr>
                <w:i/>
              </w:rPr>
            </w:pPr>
            <w:r>
              <w:rPr>
                <w:i/>
              </w:rPr>
              <w:t>Attorney General Regulations Amendment (Fees and Charges) Regulations 2023</w:t>
            </w:r>
            <w:r>
              <w:t xml:space="preserve"> Pt. 10</w:t>
            </w:r>
          </w:p>
        </w:tc>
        <w:tc>
          <w:tcPr>
            <w:tcW w:w="1276" w:type="dxa"/>
            <w:gridSpan w:val="2"/>
            <w:tcBorders>
              <w:bottom w:val="single" w:sz="4" w:space="0" w:color="auto"/>
            </w:tcBorders>
            <w:shd w:val="clear" w:color="auto" w:fill="auto"/>
          </w:tcPr>
          <w:p>
            <w:pPr>
              <w:pStyle w:val="nTable"/>
              <w:spacing w:after="40"/>
            </w:pPr>
            <w:r>
              <w:t>SL 2023/120 2 Aug 2023</w:t>
            </w:r>
          </w:p>
        </w:tc>
        <w:tc>
          <w:tcPr>
            <w:tcW w:w="2693" w:type="dxa"/>
            <w:gridSpan w:val="2"/>
            <w:tcBorders>
              <w:bottom w:val="single" w:sz="4" w:space="0" w:color="auto"/>
            </w:tcBorders>
            <w:shd w:val="clear" w:color="auto" w:fill="auto"/>
          </w:tcPr>
          <w:p>
            <w:pPr>
              <w:pStyle w:val="nTable"/>
              <w:spacing w:after="40"/>
            </w:pPr>
            <w:r>
              <w:t>3 Aug 2023 (see r. 2(b))</w:t>
            </w:r>
          </w:p>
        </w:tc>
      </w:tr>
    </w:tbl>
    <w:p>
      <w:pPr>
        <w:pStyle w:val="nHeading3"/>
      </w:pPr>
      <w:bookmarkStart w:id="33" w:name="_Toc200111717"/>
      <w:r>
        <w:t>Other notes</w:t>
      </w:r>
      <w:bookmarkEnd w:id="33"/>
    </w:p>
    <w:p>
      <w:pPr>
        <w:pStyle w:val="nNote"/>
      </w:pPr>
      <w:r>
        <w:rPr>
          <w:vertAlign w:val="superscript"/>
        </w:rPr>
        <w:t>1</w:t>
      </w:r>
      <w:r>
        <w:tab/>
        <w:t xml:space="preserve">The Table to r. 4 of the </w:t>
      </w:r>
      <w:r>
        <w:rPr>
          <w:i/>
        </w:rPr>
        <w:t>Magistrates Court (Fees) Amendment Regulations (No. 2) 2011</w:t>
      </w:r>
      <w:r>
        <w:t xml:space="preserve"> included amendments to Schedule 1 Divisions 2 and 3.  These amendments are not included because the instruction in r. 4 referred only to Schedule 1 Division 1.</w:t>
      </w:r>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35" w:name="_Toc200111718"/>
      <w:r>
        <w:rPr>
          <w:sz w:val="28"/>
        </w:rPr>
        <w:lastRenderedPageBreak/>
        <w:t>Defined terms</w:t>
      </w:r>
      <w:bookmarkEnd w:id="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case statement</w:t>
      </w:r>
      <w:r>
        <w:tab/>
        <w:t>3</w:t>
      </w:r>
    </w:p>
    <w:p>
      <w:pPr>
        <w:pStyle w:val="DefinedTerms"/>
      </w:pPr>
      <w:r>
        <w:t>Centrelink</w:t>
      </w:r>
      <w:r>
        <w:tab/>
        <w:t>8(1)</w:t>
      </w:r>
    </w:p>
    <w:p>
      <w:pPr>
        <w:pStyle w:val="DefinedTerms"/>
      </w:pPr>
      <w:r>
        <w:t>claim</w:t>
      </w:r>
      <w:r>
        <w:tab/>
        <w:t>3</w:t>
      </w:r>
    </w:p>
    <w:p>
      <w:pPr>
        <w:pStyle w:val="DefinedTerms"/>
      </w:pPr>
      <w:r>
        <w:t>claimant</w:t>
      </w:r>
      <w:r>
        <w:tab/>
        <w:t>3</w:t>
      </w:r>
    </w:p>
    <w:p>
      <w:pPr>
        <w:pStyle w:val="DefinedTerms"/>
      </w:pPr>
      <w:r>
        <w:t>commencement day</w:t>
      </w:r>
      <w:r>
        <w:tab/>
        <w:t>15(1)</w:t>
      </w:r>
    </w:p>
    <w:p>
      <w:pPr>
        <w:pStyle w:val="DefinedTerms"/>
      </w:pPr>
      <w:r>
        <w:t>corporation</w:t>
      </w:r>
      <w:r>
        <w:tab/>
        <w:t>3</w:t>
      </w:r>
    </w:p>
    <w:p>
      <w:pPr>
        <w:pStyle w:val="DefinedTerms"/>
      </w:pPr>
      <w:r>
        <w:t>counterclaim</w:t>
      </w:r>
      <w:r>
        <w:tab/>
        <w:t>3</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entity</w:t>
      </w:r>
      <w:r>
        <w:tab/>
        <w:t>3</w:t>
      </w:r>
    </w:p>
    <w:p>
      <w:pPr>
        <w:pStyle w:val="DefinedTerms"/>
      </w:pPr>
      <w:r>
        <w:t>Form</w:t>
      </w:r>
      <w:r>
        <w:tab/>
        <w:t>3</w:t>
      </w:r>
    </w:p>
    <w:p>
      <w:pPr>
        <w:pStyle w:val="DefinedTerms"/>
      </w:pPr>
      <w:r>
        <w:t>individual</w:t>
      </w:r>
      <w:r>
        <w:tab/>
        <w:t>3</w:t>
      </w:r>
    </w:p>
    <w:p>
      <w:pPr>
        <w:pStyle w:val="DefinedTerms"/>
      </w:pPr>
      <w:r>
        <w:t>interim order</w:t>
      </w:r>
      <w:r>
        <w:tab/>
        <w:t>6A(1)</w:t>
      </w:r>
    </w:p>
    <w:p>
      <w:pPr>
        <w:pStyle w:val="DefinedTerms"/>
      </w:pPr>
      <w:r>
        <w:t>interim order respondent</w:t>
      </w:r>
      <w:r>
        <w:tab/>
        <w:t>6A(2)</w:t>
      </w:r>
    </w:p>
    <w:p>
      <w:pPr>
        <w:pStyle w:val="DefinedTerms"/>
      </w:pPr>
      <w:r>
        <w:t>metropolitan region</w:t>
      </w:r>
      <w:r>
        <w:tab/>
        <w:t>3</w:t>
      </w:r>
    </w:p>
    <w:p>
      <w:pPr>
        <w:pStyle w:val="DefinedTerms"/>
      </w:pPr>
      <w:r>
        <w:t>minor cases procedure</w:t>
      </w:r>
      <w:r>
        <w:tab/>
        <w:t>3</w:t>
      </w:r>
    </w:p>
    <w:p>
      <w:pPr>
        <w:pStyle w:val="DefinedTerms"/>
      </w:pPr>
      <w:r>
        <w:t>non-profit association</w:t>
      </w:r>
      <w:r>
        <w:tab/>
        <w:t>3</w:t>
      </w:r>
    </w:p>
    <w:p>
      <w:pPr>
        <w:pStyle w:val="DefinedTerms"/>
      </w:pPr>
      <w:r>
        <w:t>party</w:t>
      </w:r>
      <w:r>
        <w:tab/>
        <w:t>3</w:t>
      </w:r>
    </w:p>
    <w:p>
      <w:pPr>
        <w:pStyle w:val="DefinedTerms"/>
      </w:pPr>
      <w:r>
        <w:t>person</w:t>
      </w:r>
      <w:r>
        <w:tab/>
        <w:t>3</w:t>
      </w:r>
    </w:p>
    <w:p>
      <w:pPr>
        <w:pStyle w:val="DefinedTerms"/>
      </w:pPr>
      <w:r>
        <w:t>prosecution notice</w:t>
      </w:r>
      <w:r>
        <w:tab/>
        <w:t>3</w:t>
      </w:r>
    </w:p>
    <w:p>
      <w:pPr>
        <w:pStyle w:val="DefinedTerms"/>
      </w:pPr>
      <w:r>
        <w:t>respondent</w:t>
      </w:r>
      <w:r>
        <w:tab/>
        <w:t>6(2)</w:t>
      </w:r>
    </w:p>
    <w:p>
      <w:pPr>
        <w:pStyle w:val="DefinedTerms"/>
      </w:pPr>
      <w:r>
        <w:t>small business</w:t>
      </w:r>
      <w:r>
        <w:tab/>
        <w:t>3</w:t>
      </w:r>
    </w:p>
    <w:p>
      <w:pPr>
        <w:pStyle w:val="DefinedTerms"/>
      </w:pPr>
      <w:r>
        <w:t>subsidiary</w:t>
      </w:r>
      <w:r>
        <w:tab/>
        <w:t>3</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28486B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492CC2A8" w14:textId="03CD4CCC" w:rsidR="008E49B3" w:rsidRDefault="008E49B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53490C1" w14:textId="77777777" w:rsidR="008E49B3" w:rsidRDefault="008E49B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CA22144" w14:textId="404D1137" w:rsidR="008E49B3" w:rsidRDefault="008E49B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2E30FC9" w14:textId="77777777" w:rsidR="008E49B3" w:rsidRDefault="008E49B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03-s0-01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03-s0-01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03-s0-01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03-s0-01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03-s0-01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03-s0-01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7" w:name="Schedule"/>
    <w:bookmarkEnd w:id="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Criminal jurisdiction</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6" w:name="DefinedTerms"/>
    <w:bookmarkEnd w:id="3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7" w:name="Coversheet"/>
    <w:bookmarkEnd w:id="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410C4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ED2C1D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6384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094644"/>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0911151542" w:val="RemoveTocBookmarks,RemoveUnusedBookmarks,RemoveLanguageTags,UsedStyles,ResetPageSize,RemoveCustomizations"/>
    <w:docVar w:name="WAFER_20150911151542_GUID" w:val="de2e50e9-2b82-4b85-bec8-fb9f6c24286f"/>
    <w:docVar w:name="WAFER_20151021110917" w:val="RemoveTocBookmarks,RemoveUnusedBookmarks,RemoveLanguageTags,RemoveBadVanishTags,RemoveDocumentProtection,RemoveTrackChanges,ExtractDocX"/>
    <w:docVar w:name="WAFER_20151021110917_GUID" w:val="6cf9b85b-9876-4758-9c02-e9893686afe1"/>
    <w:docVar w:name="WAFER_20151103095415" w:val="UpdateStyles,UsedStyles"/>
    <w:docVar w:name="WAFER_20151103095415_GUID" w:val="f50d0a42-a9a2-4ce8-af2a-62ef6a71a377"/>
    <w:docVar w:name="WAFER_20180614130903" w:val="RemoveTocBookmarks,RemoveUnusedBookmarks,RemoveLanguageTags,UsedStyles,ResetPageSize"/>
    <w:docVar w:name="WAFER_20180614130903_GUID" w:val="47dea7be-0c1c-48ff-b0e1-ac92efb7d0f8"/>
    <w:docVar w:name="WAFER_20180625153354" w:val="RemoveTocBookmarks,RemoveUnusedBookmarks,RemoveLanguageTags,UsedStyles,ResetPageSize"/>
    <w:docVar w:name="WAFER_20180625153354_GUID" w:val="9a2c5e83-26f0-4123-89bf-e0b5c6cf7b86"/>
    <w:docVar w:name="WAFER_20180719102716" w:val="RemoveTocBookmarks,RemoveUnusedBookmarks,RemoveLanguageTags,UsedStyles,ResetPageSize"/>
    <w:docVar w:name="WAFER_20180719102716_GUID" w:val="7faefb5f-12f8-4e3b-9516-3644f56243b9"/>
    <w:docVar w:name="WAFER_20181206112850" w:val="RemoveTocBookmarks,RemoveUnusedBookmarks,RemoveLanguageTags,UsedStyles,ResetPageSize"/>
    <w:docVar w:name="WAFER_20181206112850_GUID" w:val="0d386bf9-e730-484b-8e28-f80f75b884e4"/>
    <w:docVar w:name="WAFER_20190311142150" w:val="RemoveTocBookmarks,RemoveUnusedBookmarks,RemoveLanguageTags,UpdateStyles,UsedStyles,ResetPageSize"/>
    <w:docVar w:name="WAFER_20190311142150_GUID" w:val="0152a530-3ae0-4013-ba6f-f174795a0354"/>
    <w:docVar w:name="WAFER_202007301527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717_GUID" w:val="1962910f-f725-4c59-b408-57196efe38f3"/>
    <w:docVar w:name="WAFER_202106251501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116_GUID" w:val="3c99fb2b-5d93-431d-a5f4-84ac89ad19a2"/>
    <w:docVar w:name="WAFER_202106301558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155845_GUID" w:val="2eaee7c1-f5ce-41cd-98ce-b8e4cd09c619"/>
    <w:docVar w:name="WAFER_202206271247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7124713_GUID" w:val="ac2809ab-c0bd-4c7e-84e0-5fa6e249aa87"/>
    <w:docVar w:name="WAFER_202208241110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1027_GUID" w:val="a57e23d6-df77-4b0e-bb89-4acf8da5c98d"/>
    <w:docVar w:name="WAFER_20230801164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1164306_GUID" w:val="621017bd-9756-4302-8664-576d5c43db5f"/>
    <w:docVar w:name="WAFER_20230802094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94242_GUID" w:val="c6aeddc3-f3ff-4d83-b63b-6e8f758c7a66"/>
    <w:docVar w:name="WAFER_202312290946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644_GUID" w:val="6c744435-6788-4012-915e-1441da8df7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41"/>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yTableNAm"/>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E712E9-3146-4C6C-BEF6-1239CE829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8216</Words>
  <Characters>40341</Characters>
  <Application>Microsoft Office Word</Application>
  <DocSecurity>0</DocSecurity>
  <Lines>1833</Lines>
  <Paragraphs>1033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2005 - 03-s0-01</dc:title>
  <dc:subject/>
  <dc:creator/>
  <cp:keywords/>
  <dc:description/>
  <cp:lastModifiedBy>Master Repository Process</cp:lastModifiedBy>
  <cp:revision>4</cp:revision>
  <cp:lastPrinted>2018-12-06T07:31:00Z</cp:lastPrinted>
  <dcterms:created xsi:type="dcterms:W3CDTF">2025-06-06T06:14:00Z</dcterms:created>
  <dcterms:modified xsi:type="dcterms:W3CDTF">2025-06-06T06:14:00Z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OWLSUId">
    <vt:i4>9257</vt:i4>
  </property>
  <property fmtid="{D5CDD505-2E9C-101B-9397-08002B2CF9AE}" pid="4" name="DocumentType">
    <vt:lpwstr>Reg</vt:lpwstr>
  </property>
  <property fmtid="{D5CDD505-2E9C-101B-9397-08002B2CF9AE}" pid="5" name="ReprintedAsAt">
    <vt:filetime>2015-12-02T16:00:00Z</vt:filetime>
  </property>
  <property fmtid="{D5CDD505-2E9C-101B-9397-08002B2CF9AE}" pid="6" name="ReprintNo">
    <vt:lpwstr>3</vt:lpwstr>
  </property>
  <property fmtid="{D5CDD505-2E9C-101B-9397-08002B2CF9AE}" pid="7" name="AsAtDate">
    <vt:lpwstr>03 Aug 2023</vt:lpwstr>
  </property>
  <property fmtid="{D5CDD505-2E9C-101B-9397-08002B2CF9AE}" pid="8" name="Suffix">
    <vt:lpwstr>03-s0-01</vt:lpwstr>
  </property>
  <property fmtid="{D5CDD505-2E9C-101B-9397-08002B2CF9AE}" pid="9" name="Official">
    <vt:lpwstr/>
  </property>
  <property fmtid="{D5CDD505-2E9C-101B-9397-08002B2CF9AE}" pid="10" name="CommencementDate">
    <vt:lpwstr>20230803</vt:lpwstr>
  </property>
  <property fmtid="{D5CDD505-2E9C-101B-9397-08002B2CF9AE}" pid="11" name="CommencementAsAt">
    <vt:filetime>2023-08-02T16:00:00Z</vt:filetime>
  </property>
  <property fmtid="{D5CDD505-2E9C-101B-9397-08002B2CF9AE}" pid="12" name="CommencementYear">
    <vt:lpwstr>2023</vt:lpwstr>
  </property>
</Properties>
</file>