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_Toc154745877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_Toc154745878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_Toc154745879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_Toc154745880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_Toc154745881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_Toc154745882 \h </w:instrText>
      </w:r>
      <w:r>
        <w:fldChar w:fldCharType="separate"/>
      </w:r>
      <w:r>
        <w:t>3</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_Toc154745883 \h </w:instrText>
      </w:r>
      <w:r>
        <w:fldChar w:fldCharType="separate"/>
      </w:r>
      <w:r>
        <w:t>4</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_Toc154745884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_Toc154745885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_Toc154745886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_Toc154745887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_Toc154745888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_Toc154745889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_Toc154745890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_Toc154745891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_Toc154745892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4"/>
        <w:tabs>
          <w:tab w:val="right" w:pos="7077"/>
        </w:tabs>
        <w:rPr>
          <w:rFonts w:asciiTheme="minorHAnsi" w:eastAsiaTheme="minorEastAsia" w:hAnsiTheme="minorHAnsi" w:cstheme="minorBidi"/>
          <w:b w:val="0"/>
          <w:szCs w:val="22"/>
        </w:rPr>
      </w:pPr>
      <w:r>
        <w:t>Division 1 — General</w:t>
      </w:r>
    </w:p>
    <w:p>
      <w:pPr>
        <w:pStyle w:val="TOC4"/>
        <w:tabs>
          <w:tab w:val="right" w:pos="7077"/>
        </w:tabs>
        <w:rPr>
          <w:rFonts w:asciiTheme="minorHAnsi" w:eastAsiaTheme="minorEastAsia" w:hAnsiTheme="minorHAnsi" w:cstheme="minorBidi"/>
          <w:b w:val="0"/>
          <w:szCs w:val="22"/>
        </w:rPr>
      </w:pPr>
      <w:r>
        <w:t>Division 2 — Civil jurisdiction</w:t>
      </w:r>
    </w:p>
    <w:p>
      <w:pPr>
        <w:pStyle w:val="TOC4"/>
        <w:tabs>
          <w:tab w:val="right" w:pos="7077"/>
        </w:tabs>
        <w:rPr>
          <w:rFonts w:asciiTheme="minorHAnsi" w:eastAsiaTheme="minorEastAsia" w:hAnsiTheme="minorHAnsi" w:cstheme="minorBidi"/>
          <w:b w:val="0"/>
          <w:szCs w:val="22"/>
        </w:rPr>
      </w:pPr>
      <w:r>
        <w:t>Division 3 — Criminal jurisdiction</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_Toc154745898 \h </w:instrText>
      </w:r>
      <w:r>
        <w:fldChar w:fldCharType="separate"/>
      </w:r>
      <w:r>
        <w:t>16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3" w:name="_Toc154745877"/>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154745878"/>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5474587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6" w:name="_Toc154745880"/>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154745881"/>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154745882"/>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lastRenderedPageBreak/>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9" w:name="_Toc154745883"/>
      <w:r>
        <w:rPr>
          <w:rStyle w:val="CharSectno"/>
        </w:rPr>
        <w:t>6A</w:t>
      </w:r>
      <w:r>
        <w:t>.</w:t>
      </w:r>
      <w:r>
        <w:tab/>
        <w:t>Certain application fees may be waived</w:t>
      </w:r>
      <w:bookmarkEnd w:id="9"/>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0" w:name="_Toc154745884"/>
      <w:r>
        <w:rPr>
          <w:rStyle w:val="CharSectno"/>
        </w:rPr>
        <w:t>7</w:t>
      </w:r>
      <w:r>
        <w:t>.</w:t>
      </w:r>
      <w:r>
        <w:tab/>
      </w:r>
      <w:r>
        <w:rPr>
          <w:rStyle w:val="CharSectno"/>
        </w:rPr>
        <w:t>F</w:t>
      </w:r>
      <w:r>
        <w:rPr>
          <w:snapToGrid w:val="0"/>
        </w:rPr>
        <w:t>ees to be paid before documents etc. filed in civil cases</w:t>
      </w:r>
      <w:bookmarkEnd w:id="1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1" w:name="_Toc154745885"/>
      <w:r>
        <w:rPr>
          <w:rStyle w:val="CharSectno"/>
        </w:rPr>
        <w:t>8</w:t>
      </w:r>
      <w:r>
        <w:t>.</w:t>
      </w:r>
      <w:r>
        <w:tab/>
        <w:t>Who is an eligible individual</w:t>
      </w:r>
      <w:bookmarkEnd w:id="11"/>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lastRenderedPageBreak/>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2" w:name="_Toc154745886"/>
      <w:r>
        <w:rPr>
          <w:rStyle w:val="CharSectno"/>
        </w:rPr>
        <w:t>9A</w:t>
      </w:r>
      <w:r>
        <w:t>.</w:t>
      </w:r>
      <w:r>
        <w:tab/>
        <w:t>Application to be recognised as eligible individual</w:t>
      </w:r>
      <w:bookmarkEnd w:id="12"/>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lastRenderedPageBreak/>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3" w:name="_Toc154745887"/>
      <w:r>
        <w:rPr>
          <w:rStyle w:val="CharSectno"/>
        </w:rPr>
        <w:t>9B</w:t>
      </w:r>
      <w:r>
        <w:t>.</w:t>
      </w:r>
      <w:r>
        <w:tab/>
        <w:t>Recognition as eligible individual</w:t>
      </w:r>
      <w:bookmarkEnd w:id="13"/>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4" w:name="_Toc154745888"/>
      <w:r>
        <w:rPr>
          <w:rStyle w:val="CharSectno"/>
        </w:rPr>
        <w:t>9C</w:t>
      </w:r>
      <w:r>
        <w:t>.</w:t>
      </w:r>
      <w:r>
        <w:tab/>
        <w:t>False or misleading statements</w:t>
      </w:r>
      <w:bookmarkEnd w:id="14"/>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 xml:space="preserve">The Court or a registrar may revoke a direction made under regulation 9B(1) if satisfied, having given the person an </w:t>
      </w:r>
      <w:r>
        <w:lastRenderedPageBreak/>
        <w:t>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5" w:name="_Toc154745889"/>
      <w:r>
        <w:rPr>
          <w:rStyle w:val="CharSectno"/>
        </w:rPr>
        <w:t>9D</w:t>
      </w:r>
      <w:r>
        <w:t>.</w:t>
      </w:r>
      <w:r>
        <w:tab/>
        <w:t>Refunds</w:t>
      </w:r>
      <w:bookmarkEnd w:id="1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6" w:name="_Toc154745890"/>
      <w:r>
        <w:rPr>
          <w:rStyle w:val="CharSectno"/>
        </w:rPr>
        <w:t>9</w:t>
      </w:r>
      <w:r>
        <w:t>.</w:t>
      </w:r>
      <w:r>
        <w:tab/>
        <w:t>Waiving fee for copy of document or transcript</w:t>
      </w:r>
      <w:bookmarkEnd w:id="16"/>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7" w:name="_Toc154745891"/>
      <w:r>
        <w:rPr>
          <w:rStyle w:val="CharSectno"/>
        </w:rPr>
        <w:lastRenderedPageBreak/>
        <w:t>10</w:t>
      </w:r>
      <w:r>
        <w:t>.</w:t>
      </w:r>
      <w:r>
        <w:tab/>
        <w:t>Disputes as to fees, determination of</w:t>
      </w:r>
      <w:bookmarkEnd w:id="1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8" w:name="_Toc154745892"/>
      <w:r>
        <w:rPr>
          <w:rStyle w:val="CharSectno"/>
        </w:rPr>
        <w:t>11</w:t>
      </w:r>
      <w:r>
        <w:t>.</w:t>
      </w:r>
      <w:r>
        <w:tab/>
        <w:t>Unpaid fees, recovery of</w:t>
      </w:r>
      <w:bookmarkEnd w:id="18"/>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9" w:name="_Toc154745893"/>
      <w:r>
        <w:rPr>
          <w:rStyle w:val="CharSchNo"/>
        </w:rPr>
        <w:lastRenderedPageBreak/>
        <w:t>Schedule 1</w:t>
      </w:r>
      <w:r>
        <w:t> — </w:t>
      </w:r>
      <w:r>
        <w:rPr>
          <w:rStyle w:val="CharSchText"/>
        </w:rPr>
        <w:t>Fees</w:t>
      </w:r>
      <w:bookmarkEnd w:id="19"/>
    </w:p>
    <w:p>
      <w:pPr>
        <w:pStyle w:val="yShoulderClause"/>
      </w:pPr>
      <w:r>
        <w:t>[r. 4]</w:t>
      </w:r>
    </w:p>
    <w:p>
      <w:pPr>
        <w:pStyle w:val="yFootnoteheading"/>
      </w:pPr>
      <w:r>
        <w:tab/>
        <w:t>[Heading inserted: SL 2023/120 r. 6.]</w:t>
      </w:r>
    </w:p>
    <w:p>
      <w:pPr>
        <w:pStyle w:val="yHeading3"/>
      </w:pPr>
      <w:bookmarkStart w:id="20" w:name="_Toc154745894"/>
      <w:r>
        <w:rPr>
          <w:rStyle w:val="CharSDivNo"/>
        </w:rPr>
        <w:t>Division 1</w:t>
      </w:r>
      <w:r>
        <w:t> — </w:t>
      </w:r>
      <w:r>
        <w:rPr>
          <w:rStyle w:val="CharSDivText"/>
        </w:rPr>
        <w:t>General</w:t>
      </w:r>
      <w:bookmarkEnd w:id="20"/>
    </w:p>
    <w:p>
      <w:pPr>
        <w:pStyle w:val="yFootnoteheading"/>
        <w:spacing w:after="60"/>
      </w:pPr>
      <w:r>
        <w:tab/>
        <w:t>[Heading inserted: SL 2023/120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23.00</w:t>
            </w:r>
          </w:p>
        </w:tc>
        <w:tc>
          <w:tcPr>
            <w:tcW w:w="1310" w:type="dxa"/>
            <w:tcBorders>
              <w:top w:val="single" w:sz="4" w:space="0" w:color="auto"/>
            </w:tcBorders>
            <w:noWrap/>
            <w:vAlign w:val="bottom"/>
          </w:tcPr>
          <w:p>
            <w:pPr>
              <w:pStyle w:val="yTableNAm"/>
              <w:tabs>
                <w:tab w:val="clear" w:pos="567"/>
              </w:tabs>
              <w:ind w:right="268"/>
              <w:jc w:val="right"/>
            </w:pPr>
            <w:r>
              <w:t>6.90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23.00</w:t>
            </w:r>
          </w:p>
        </w:tc>
        <w:tc>
          <w:tcPr>
            <w:tcW w:w="1310" w:type="dxa"/>
            <w:noWrap/>
            <w:vAlign w:val="bottom"/>
          </w:tcPr>
          <w:p>
            <w:pPr>
              <w:pStyle w:val="yTableNAm"/>
              <w:tabs>
                <w:tab w:val="clear" w:pos="567"/>
              </w:tabs>
              <w:ind w:right="268"/>
              <w:jc w:val="right"/>
            </w:pPr>
            <w:r>
              <w:t>6.90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101.00</w:t>
            </w:r>
          </w:p>
        </w:tc>
        <w:tc>
          <w:tcPr>
            <w:tcW w:w="1310" w:type="dxa"/>
            <w:noWrap/>
            <w:vAlign w:val="bottom"/>
          </w:tcPr>
          <w:p>
            <w:pPr>
              <w:pStyle w:val="yTableNAm"/>
              <w:tabs>
                <w:tab w:val="clear" w:pos="567"/>
              </w:tabs>
              <w:ind w:right="268"/>
              <w:jc w:val="right"/>
            </w:pPr>
            <w:r>
              <w:t>101.00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2.50</w:t>
            </w:r>
          </w:p>
        </w:tc>
        <w:tc>
          <w:tcPr>
            <w:tcW w:w="1310" w:type="dxa"/>
            <w:noWrap/>
            <w:vAlign w:val="bottom"/>
          </w:tcPr>
          <w:p>
            <w:pPr>
              <w:pStyle w:val="yTableNAm"/>
              <w:tabs>
                <w:tab w:val="clear" w:pos="567"/>
              </w:tabs>
              <w:ind w:right="382"/>
              <w:jc w:val="right"/>
            </w:pPr>
            <w:r>
              <w:t>2.50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2.80</w:t>
            </w:r>
          </w:p>
        </w:tc>
        <w:tc>
          <w:tcPr>
            <w:tcW w:w="1310" w:type="dxa"/>
            <w:noWrap/>
            <w:vAlign w:val="bottom"/>
          </w:tcPr>
          <w:p>
            <w:pPr>
              <w:pStyle w:val="yTableNAm"/>
              <w:tabs>
                <w:tab w:val="clear" w:pos="567"/>
              </w:tabs>
              <w:ind w:right="382"/>
              <w:jc w:val="right"/>
            </w:pPr>
            <w:r>
              <w:t>2.80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58.50</w:t>
            </w:r>
          </w:p>
        </w:tc>
        <w:tc>
          <w:tcPr>
            <w:tcW w:w="1310" w:type="dxa"/>
            <w:noWrap/>
            <w:vAlign w:val="bottom"/>
          </w:tcPr>
          <w:p>
            <w:pPr>
              <w:pStyle w:val="yTableNAm"/>
              <w:tabs>
                <w:tab w:val="clear" w:pos="567"/>
              </w:tabs>
              <w:ind w:right="382"/>
              <w:jc w:val="right"/>
            </w:pPr>
            <w:r>
              <w:t>17.55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58.50</w:t>
            </w:r>
          </w:p>
        </w:tc>
        <w:tc>
          <w:tcPr>
            <w:tcW w:w="1310" w:type="dxa"/>
            <w:noWrap/>
            <w:vAlign w:val="bottom"/>
          </w:tcPr>
          <w:p>
            <w:pPr>
              <w:pStyle w:val="yTableNAm"/>
              <w:tabs>
                <w:tab w:val="clear" w:pos="567"/>
              </w:tabs>
              <w:ind w:right="382"/>
              <w:jc w:val="right"/>
            </w:pPr>
            <w:r>
              <w:t>17.55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142.50</w:t>
            </w:r>
          </w:p>
        </w:tc>
        <w:tc>
          <w:tcPr>
            <w:tcW w:w="1310" w:type="dxa"/>
            <w:noWrap/>
            <w:vAlign w:val="bottom"/>
          </w:tcPr>
          <w:p>
            <w:pPr>
              <w:pStyle w:val="yTableNAm"/>
              <w:tabs>
                <w:tab w:val="clear" w:pos="567"/>
              </w:tabs>
              <w:ind w:right="382"/>
              <w:jc w:val="right"/>
            </w:pPr>
            <w:r>
              <w:t>42.80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pPr>
            <w:r>
              <w:t>(a)</w:t>
            </w:r>
            <w:r>
              <w:tab/>
              <w:t xml:space="preserve">On an application or summons for the production of records or documents that are required to be produced to a court, tribunal, arbitrator or umpire </w:t>
            </w:r>
          </w:p>
        </w:tc>
        <w:tc>
          <w:tcPr>
            <w:tcW w:w="1417" w:type="dxa"/>
            <w:noWrap/>
            <w:vAlign w:val="bottom"/>
          </w:tcPr>
          <w:p>
            <w:pPr>
              <w:pStyle w:val="yTableNAm"/>
              <w:tabs>
                <w:tab w:val="clear" w:pos="567"/>
              </w:tabs>
              <w:ind w:right="382"/>
              <w:jc w:val="right"/>
            </w:pPr>
            <w:r>
              <w:t>85.50</w:t>
            </w:r>
          </w:p>
        </w:tc>
        <w:tc>
          <w:tcPr>
            <w:tcW w:w="1310" w:type="dxa"/>
            <w:noWrap/>
            <w:vAlign w:val="bottom"/>
          </w:tcPr>
          <w:p>
            <w:pPr>
              <w:pStyle w:val="yTableNAm"/>
              <w:tabs>
                <w:tab w:val="clear" w:pos="567"/>
              </w:tabs>
              <w:ind w:right="382"/>
              <w:jc w:val="right"/>
            </w:pPr>
            <w:r>
              <w:t>25.60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129.00</w:t>
            </w:r>
          </w:p>
        </w:tc>
        <w:tc>
          <w:tcPr>
            <w:tcW w:w="1310" w:type="dxa"/>
            <w:noWrap/>
            <w:vAlign w:val="bottom"/>
          </w:tcPr>
          <w:p>
            <w:pPr>
              <w:pStyle w:val="yTableNAm"/>
              <w:tabs>
                <w:tab w:val="clear" w:pos="567"/>
                <w:tab w:val="left" w:pos="788"/>
              </w:tabs>
              <w:ind w:right="382"/>
              <w:jc w:val="right"/>
            </w:pPr>
            <w:r>
              <w:t>38.70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2.45</w:t>
            </w:r>
          </w:p>
        </w:tc>
        <w:tc>
          <w:tcPr>
            <w:tcW w:w="1310" w:type="dxa"/>
            <w:noWrap/>
            <w:vAlign w:val="bottom"/>
          </w:tcPr>
          <w:p>
            <w:pPr>
              <w:pStyle w:val="yTableNAm"/>
              <w:tabs>
                <w:tab w:val="clear" w:pos="567"/>
                <w:tab w:val="left" w:pos="788"/>
              </w:tabs>
              <w:ind w:right="382"/>
              <w:jc w:val="right"/>
            </w:pPr>
            <w:r>
              <w:t>0.75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20.30</w:t>
            </w:r>
          </w:p>
        </w:tc>
        <w:tc>
          <w:tcPr>
            <w:tcW w:w="1310" w:type="dxa"/>
            <w:noWrap/>
            <w:vAlign w:val="bottom"/>
          </w:tcPr>
          <w:p>
            <w:pPr>
              <w:pStyle w:val="yTableNAm"/>
              <w:tabs>
                <w:tab w:val="clear" w:pos="567"/>
                <w:tab w:val="left" w:pos="788"/>
              </w:tabs>
              <w:ind w:right="382"/>
              <w:jc w:val="right"/>
            </w:pPr>
            <w:r>
              <w:t>6.10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20.30</w:t>
            </w:r>
          </w:p>
        </w:tc>
        <w:tc>
          <w:tcPr>
            <w:tcW w:w="1310" w:type="dxa"/>
            <w:noWrap/>
            <w:vAlign w:val="bottom"/>
          </w:tcPr>
          <w:p>
            <w:pPr>
              <w:pStyle w:val="yTableNAm"/>
              <w:tabs>
                <w:tab w:val="clear" w:pos="567"/>
                <w:tab w:val="left" w:pos="788"/>
              </w:tabs>
              <w:ind w:right="382"/>
              <w:jc w:val="right"/>
            </w:pPr>
            <w:r>
              <w:t>6.10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for each copy consisting of 10 or more pages, an additional fee per page</w:t>
            </w:r>
          </w:p>
        </w:tc>
        <w:tc>
          <w:tcPr>
            <w:tcW w:w="1417" w:type="dxa"/>
            <w:noWrap/>
            <w:vAlign w:val="bottom"/>
          </w:tcPr>
          <w:p>
            <w:pPr>
              <w:pStyle w:val="yTableNAm"/>
              <w:tabs>
                <w:tab w:val="clear" w:pos="567"/>
                <w:tab w:val="left" w:pos="788"/>
              </w:tabs>
              <w:ind w:right="382"/>
              <w:jc w:val="right"/>
            </w:pPr>
            <w:r>
              <w:t>2.60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r>
              <w:t>27.20</w:t>
            </w:r>
          </w:p>
        </w:tc>
        <w:tc>
          <w:tcPr>
            <w:tcW w:w="1310" w:type="dxa"/>
            <w:noWrap/>
            <w:vAlign w:val="bottom"/>
          </w:tcPr>
          <w:p>
            <w:pPr>
              <w:pStyle w:val="yTableNAm"/>
              <w:tabs>
                <w:tab w:val="clear" w:pos="567"/>
              </w:tabs>
              <w:ind w:right="382"/>
              <w:jc w:val="right"/>
            </w:pPr>
            <w:r>
              <w:t>8.15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26.90 plus</w:t>
            </w:r>
            <w:r>
              <w:br/>
              <w:t>11.10 per page</w:t>
            </w:r>
          </w:p>
        </w:tc>
        <w:tc>
          <w:tcPr>
            <w:tcW w:w="1310" w:type="dxa"/>
            <w:noWrap/>
          </w:tcPr>
          <w:p>
            <w:pPr>
              <w:pStyle w:val="yTableNAm"/>
              <w:ind w:left="209"/>
            </w:pPr>
            <w:r>
              <w:t xml:space="preserve">8.05 plus </w:t>
            </w:r>
            <w:r>
              <w:br/>
              <w:t>3.35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26.90 plus</w:t>
            </w:r>
            <w:r>
              <w:br/>
              <w:t>10.20 per page</w:t>
            </w:r>
          </w:p>
        </w:tc>
        <w:tc>
          <w:tcPr>
            <w:tcW w:w="1310" w:type="dxa"/>
            <w:noWrap/>
          </w:tcPr>
          <w:p>
            <w:pPr>
              <w:pStyle w:val="yTableNAm"/>
              <w:ind w:left="209"/>
            </w:pPr>
            <w:r>
              <w:t xml:space="preserve">8.05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26.90 plus</w:t>
            </w:r>
            <w:r>
              <w:br/>
              <w:t>9.60 per page</w:t>
            </w:r>
          </w:p>
        </w:tc>
        <w:tc>
          <w:tcPr>
            <w:tcW w:w="1310" w:type="dxa"/>
            <w:noWrap/>
          </w:tcPr>
          <w:p>
            <w:pPr>
              <w:pStyle w:val="yTableNAm"/>
              <w:ind w:left="209"/>
            </w:pPr>
            <w:r>
              <w:t xml:space="preserve">8.05 plus </w:t>
            </w:r>
            <w:r>
              <w:br/>
              <w:t>2.90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26.90 plus </w:t>
            </w:r>
            <w:r>
              <w:br/>
              <w:t>9.30 per page</w:t>
            </w:r>
          </w:p>
        </w:tc>
        <w:tc>
          <w:tcPr>
            <w:tcW w:w="1310" w:type="dxa"/>
            <w:noWrap/>
          </w:tcPr>
          <w:p>
            <w:pPr>
              <w:pStyle w:val="yTableNAm"/>
              <w:ind w:left="209"/>
            </w:pPr>
            <w:r>
              <w:t xml:space="preserve">8.05 plus </w:t>
            </w:r>
            <w:r>
              <w:br/>
              <w:t>2.80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26.90 plus </w:t>
            </w:r>
            <w:r>
              <w:br/>
              <w:t>7.85 per page</w:t>
            </w:r>
          </w:p>
        </w:tc>
        <w:tc>
          <w:tcPr>
            <w:tcW w:w="1310" w:type="dxa"/>
            <w:noWrap/>
          </w:tcPr>
          <w:p>
            <w:pPr>
              <w:pStyle w:val="yTableNAm"/>
              <w:ind w:left="209"/>
            </w:pPr>
            <w:r>
              <w:t xml:space="preserve">8.05 plus </w:t>
            </w:r>
            <w:r>
              <w:br/>
              <w:t>2.35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26.90 plus </w:t>
            </w:r>
            <w:r>
              <w:br/>
              <w:t>11.80 per page</w:t>
            </w:r>
          </w:p>
        </w:tc>
        <w:tc>
          <w:tcPr>
            <w:tcW w:w="1310" w:type="dxa"/>
            <w:noWrap/>
          </w:tcPr>
          <w:p>
            <w:pPr>
              <w:pStyle w:val="yTableNAm"/>
              <w:ind w:left="209"/>
            </w:pPr>
            <w:r>
              <w:t xml:space="preserve">8.05 plus </w:t>
            </w:r>
            <w:r>
              <w:br/>
              <w:t>3.55 per page</w:t>
            </w:r>
          </w:p>
        </w:tc>
      </w:tr>
      <w:tr>
        <w:trPr>
          <w:cantSplit/>
        </w:trPr>
        <w:tc>
          <w:tcPr>
            <w:tcW w:w="709" w:type="dxa"/>
            <w:noWrap/>
          </w:tcPr>
          <w:p>
            <w:pPr>
              <w:pStyle w:val="yTableNAm"/>
              <w:keepNext/>
            </w:pPr>
          </w:p>
        </w:tc>
        <w:tc>
          <w:tcPr>
            <w:tcW w:w="3544" w:type="dxa"/>
            <w:noWrap/>
          </w:tcPr>
          <w:p>
            <w:pPr>
              <w:pStyle w:val="yTableNAm"/>
              <w:keepNext/>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keepNext/>
            </w:pPr>
          </w:p>
        </w:tc>
        <w:tc>
          <w:tcPr>
            <w:tcW w:w="1310" w:type="dxa"/>
            <w:noWrap/>
          </w:tcPr>
          <w:p>
            <w:pPr>
              <w:pStyle w:val="yTableNAm"/>
              <w:keepNext/>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28.10 per copy</w:t>
            </w:r>
          </w:p>
        </w:tc>
        <w:tc>
          <w:tcPr>
            <w:tcW w:w="1310" w:type="dxa"/>
            <w:noWrap/>
          </w:tcPr>
          <w:p>
            <w:pPr>
              <w:pStyle w:val="yTableNAm"/>
              <w:ind w:left="209"/>
            </w:pPr>
            <w:r>
              <w:t>8.45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2.80 per page</w:t>
            </w:r>
          </w:p>
        </w:tc>
        <w:tc>
          <w:tcPr>
            <w:tcW w:w="1310" w:type="dxa"/>
            <w:noWrap/>
          </w:tcPr>
          <w:p>
            <w:pPr>
              <w:pStyle w:val="yTableNAm"/>
              <w:ind w:left="209"/>
            </w:pPr>
            <w:r>
              <w:t>0.85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2023/120 r. 6.]</w:t>
      </w:r>
    </w:p>
    <w:p>
      <w:pPr>
        <w:pStyle w:val="yHeading3"/>
      </w:pPr>
      <w:bookmarkStart w:id="21" w:name="_Toc154745895"/>
      <w:r>
        <w:rPr>
          <w:rStyle w:val="CharSDivNo"/>
        </w:rPr>
        <w:t>Division 2</w:t>
      </w:r>
      <w:r>
        <w:t> — </w:t>
      </w:r>
      <w:r>
        <w:rPr>
          <w:rStyle w:val="CharSDivText"/>
        </w:rPr>
        <w:t>Civil jurisdiction</w:t>
      </w:r>
      <w:bookmarkEnd w:id="21"/>
    </w:p>
    <w:p>
      <w:pPr>
        <w:pStyle w:val="yFootnoteheading"/>
        <w:spacing w:after="60"/>
      </w:pPr>
      <w:r>
        <w:tab/>
        <w:t>[Heading inserted: SL 2023/120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168.00</w:t>
            </w:r>
          </w:p>
        </w:tc>
        <w:tc>
          <w:tcPr>
            <w:tcW w:w="1384" w:type="dxa"/>
            <w:tcBorders>
              <w:top w:val="single" w:sz="4" w:space="0" w:color="auto"/>
            </w:tcBorders>
            <w:noWrap/>
            <w:vAlign w:val="bottom"/>
          </w:tcPr>
          <w:p>
            <w:pPr>
              <w:pStyle w:val="yTableNAm"/>
              <w:tabs>
                <w:tab w:val="clear" w:pos="567"/>
              </w:tabs>
              <w:ind w:right="352"/>
              <w:jc w:val="right"/>
            </w:pPr>
            <w:r>
              <w:t>50.50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185.50</w:t>
            </w:r>
          </w:p>
        </w:tc>
        <w:tc>
          <w:tcPr>
            <w:tcW w:w="1384" w:type="dxa"/>
            <w:noWrap/>
            <w:vAlign w:val="bottom"/>
          </w:tcPr>
          <w:p>
            <w:pPr>
              <w:pStyle w:val="yTableNAm"/>
              <w:tabs>
                <w:tab w:val="clear" w:pos="567"/>
              </w:tabs>
              <w:ind w:right="352"/>
              <w:jc w:val="right"/>
            </w:pPr>
            <w:r>
              <w:t>185.50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184.00</w:t>
            </w:r>
          </w:p>
        </w:tc>
        <w:tc>
          <w:tcPr>
            <w:tcW w:w="1384" w:type="dxa"/>
            <w:noWrap/>
            <w:vAlign w:val="bottom"/>
          </w:tcPr>
          <w:p>
            <w:pPr>
              <w:pStyle w:val="yTableNAm"/>
              <w:tabs>
                <w:tab w:val="clear" w:pos="567"/>
              </w:tabs>
              <w:ind w:right="352"/>
              <w:jc w:val="right"/>
            </w:pPr>
            <w:r>
              <w:t>184.00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48.60</w:t>
            </w:r>
          </w:p>
        </w:tc>
        <w:tc>
          <w:tcPr>
            <w:tcW w:w="1384" w:type="dxa"/>
            <w:noWrap/>
            <w:vAlign w:val="bottom"/>
          </w:tcPr>
          <w:p>
            <w:pPr>
              <w:pStyle w:val="yTableNAm"/>
              <w:tabs>
                <w:tab w:val="clear" w:pos="567"/>
              </w:tabs>
              <w:ind w:right="352"/>
              <w:jc w:val="right"/>
            </w:pPr>
            <w:r>
              <w:t>48.60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2023/120 r. 6.]</w:t>
      </w:r>
    </w:p>
    <w:p>
      <w:pPr>
        <w:pStyle w:val="yHeading3"/>
      </w:pPr>
      <w:bookmarkStart w:id="22" w:name="_Toc154745896"/>
      <w:r>
        <w:rPr>
          <w:rStyle w:val="CharSDivNo"/>
        </w:rPr>
        <w:lastRenderedPageBreak/>
        <w:t>Division 3</w:t>
      </w:r>
      <w:r>
        <w:t> — </w:t>
      </w:r>
      <w:r>
        <w:rPr>
          <w:rStyle w:val="CharSDivText"/>
        </w:rPr>
        <w:t>Criminal jurisdiction</w:t>
      </w:r>
      <w:bookmarkEnd w:id="22"/>
    </w:p>
    <w:p>
      <w:pPr>
        <w:pStyle w:val="yFootnoteheading"/>
        <w:keepNext/>
        <w:spacing w:after="60"/>
      </w:pPr>
      <w:r>
        <w:tab/>
        <w:t>[Heading inserted: SL 2023/120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141.50</w:t>
            </w:r>
          </w:p>
        </w:tc>
        <w:tc>
          <w:tcPr>
            <w:tcW w:w="1559" w:type="dxa"/>
            <w:noWrap/>
            <w:vAlign w:val="bottom"/>
          </w:tcPr>
          <w:p>
            <w:pPr>
              <w:pStyle w:val="yTableNAm"/>
              <w:tabs>
                <w:tab w:val="clear" w:pos="567"/>
              </w:tabs>
              <w:ind w:right="177"/>
              <w:jc w:val="right"/>
            </w:pPr>
            <w:r>
              <w:t>42.40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141.50</w:t>
            </w:r>
          </w:p>
        </w:tc>
        <w:tc>
          <w:tcPr>
            <w:tcW w:w="1559" w:type="dxa"/>
            <w:noWrap/>
            <w:vAlign w:val="bottom"/>
          </w:tcPr>
          <w:p>
            <w:pPr>
              <w:pStyle w:val="yTableNAm"/>
              <w:tabs>
                <w:tab w:val="clear" w:pos="567"/>
              </w:tabs>
              <w:ind w:right="177"/>
              <w:jc w:val="right"/>
            </w:pPr>
            <w:r>
              <w:t>42.40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27.20</w:t>
            </w:r>
          </w:p>
        </w:tc>
        <w:tc>
          <w:tcPr>
            <w:tcW w:w="1559" w:type="dxa"/>
            <w:noWrap/>
            <w:vAlign w:val="bottom"/>
          </w:tcPr>
          <w:p>
            <w:pPr>
              <w:pStyle w:val="yTableNAm"/>
              <w:tabs>
                <w:tab w:val="clear" w:pos="567"/>
              </w:tabs>
              <w:ind w:right="177"/>
              <w:jc w:val="right"/>
            </w:pPr>
            <w:r>
              <w:t>8.15</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141.50</w:t>
            </w:r>
          </w:p>
        </w:tc>
        <w:tc>
          <w:tcPr>
            <w:tcW w:w="1559" w:type="dxa"/>
            <w:noWrap/>
            <w:vAlign w:val="bottom"/>
          </w:tcPr>
          <w:p>
            <w:pPr>
              <w:pStyle w:val="yTableNAm"/>
              <w:tabs>
                <w:tab w:val="clear" w:pos="567"/>
              </w:tabs>
              <w:ind w:right="177"/>
              <w:jc w:val="right"/>
            </w:pPr>
            <w:r>
              <w:t>42.40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tabs>
                <w:tab w:val="clear" w:pos="567"/>
              </w:tabs>
              <w:ind w:left="517" w:hanging="517"/>
            </w:pPr>
            <w:r>
              <w:t>(b)</w:t>
            </w:r>
            <w:r>
              <w:tab/>
              <w:t>execution of warrant</w:t>
            </w:r>
          </w:p>
        </w:tc>
        <w:tc>
          <w:tcPr>
            <w:tcW w:w="1276" w:type="dxa"/>
            <w:tcBorders>
              <w:bottom w:val="single" w:sz="4" w:space="0" w:color="auto"/>
            </w:tcBorders>
            <w:noWrap/>
            <w:vAlign w:val="bottom"/>
          </w:tcPr>
          <w:p>
            <w:pPr>
              <w:pStyle w:val="yTableNAm"/>
              <w:tabs>
                <w:tab w:val="clear" w:pos="567"/>
              </w:tabs>
              <w:ind w:right="177"/>
              <w:jc w:val="right"/>
            </w:pPr>
            <w:r>
              <w:t>184.00</w:t>
            </w:r>
          </w:p>
        </w:tc>
        <w:tc>
          <w:tcPr>
            <w:tcW w:w="1559" w:type="dxa"/>
            <w:tcBorders>
              <w:bottom w:val="single" w:sz="4" w:space="0" w:color="auto"/>
            </w:tcBorders>
            <w:noWrap/>
            <w:vAlign w:val="bottom"/>
          </w:tcPr>
          <w:p>
            <w:pPr>
              <w:pStyle w:val="yTableNAm"/>
              <w:tabs>
                <w:tab w:val="clear" w:pos="567"/>
              </w:tabs>
              <w:ind w:right="177"/>
              <w:jc w:val="right"/>
            </w:pPr>
            <w:r>
              <w:t>184.00</w:t>
            </w:r>
          </w:p>
        </w:tc>
      </w:tr>
    </w:tbl>
    <w:p>
      <w:pPr>
        <w:pStyle w:val="yFootnotesection"/>
      </w:pPr>
      <w:r>
        <w:tab/>
        <w:t>[Division 3 inserted: SL 2023/120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4" w:name="_Toc154745897"/>
      <w:r>
        <w:lastRenderedPageBreak/>
        <w:t>Notes</w:t>
      </w:r>
      <w:bookmarkEnd w:id="24"/>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25" w:name="_Toc154745898"/>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bottom w:val="single" w:sz="4" w:space="0" w:color="auto"/>
            </w:tcBorders>
            <w:shd w:val="clear" w:color="auto" w:fill="auto"/>
          </w:tcPr>
          <w:p>
            <w:pPr>
              <w:pStyle w:val="nTable"/>
              <w:spacing w:after="40"/>
            </w:pPr>
            <w:r>
              <w:t>SL 2023/120 2 Aug 2023</w:t>
            </w:r>
          </w:p>
        </w:tc>
        <w:tc>
          <w:tcPr>
            <w:tcW w:w="2693" w:type="dxa"/>
            <w:tcBorders>
              <w:bottom w:val="single" w:sz="4" w:space="0" w:color="auto"/>
            </w:tcBorders>
            <w:shd w:val="clear" w:color="auto" w:fill="auto"/>
          </w:tcPr>
          <w:p>
            <w:pPr>
              <w:pStyle w:val="nTable"/>
              <w:spacing w:after="40"/>
            </w:pPr>
            <w:r>
              <w:t>3 Aug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7" w:name="_Toc154745899"/>
      <w:r>
        <w:rPr>
          <w:sz w:val="28"/>
        </w:rPr>
        <w:lastRenderedPageBreak/>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C0DA53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2E350F" w14:textId="4306890D" w:rsidR="008B399A" w:rsidRDefault="008B39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BB66E25" w14:textId="77777777" w:rsidR="008B399A" w:rsidRDefault="008B39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AC5849" w14:textId="7B9146C7" w:rsidR="008B399A" w:rsidRDefault="008B39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EC3B000" w14:textId="77777777" w:rsidR="008B399A" w:rsidRDefault="008B399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1035"/>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31668-A77A-460B-BC4B-502917922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4147</Words>
  <Characters>19413</Characters>
  <Application>Microsoft Office Word</Application>
  <DocSecurity>0</DocSecurity>
  <Lines>924</Lines>
  <Paragraphs>535</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2005 - 03-k0-01</dc:title>
  <dc:subject/>
  <dc:creator/>
  <cp:keywords/>
  <dc:description/>
  <cp:lastModifiedBy>Master Repository Process</cp:lastModifiedBy>
  <cp:revision>4</cp:revision>
  <cp:lastPrinted>2018-09-04T01:15:00Z</cp:lastPrinted>
  <dcterms:created xsi:type="dcterms:W3CDTF">2023-12-29T04:37:00Z</dcterms:created>
  <dcterms:modified xsi:type="dcterms:W3CDTF">2023-12-29T04:37:00Z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03 Aug 2023</vt:lpwstr>
  </property>
  <property fmtid="{D5CDD505-2E9C-101B-9397-08002B2CF9AE}" pid="8" name="Suffix">
    <vt:lpwstr>03-k0-01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