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_Toc199941736 \h </w:instrText>
      </w:r>
      <w:r>
        <w:fldChar w:fldCharType="separate"/>
      </w:r>
      <w:r>
        <w:t>1</w:t>
      </w:r>
      <w:r>
        <w:fldChar w:fldCharType="end"/>
      </w:r>
    </w:p>
    <w:p>
      <w:pPr>
        <w:pStyle w:val="TOC8"/>
        <w:rPr>
          <w:rFonts w:asciiTheme="minorHAnsi" w:eastAsiaTheme="minorEastAsia" w:hAnsiTheme="minorHAnsi" w:cstheme="minorBidi"/>
          <w:szCs w:val="22"/>
        </w:rPr>
      </w:pPr>
      <w:r>
        <w:t>2.</w:t>
      </w:r>
      <w:r>
        <w:tab/>
        <w:t>Code of conduct prescribed (section 81)</w:t>
      </w:r>
      <w:r>
        <w:tab/>
      </w:r>
      <w:r>
        <w:fldChar w:fldCharType="begin"/>
      </w:r>
      <w:r>
        <w:instrText xml:space="preserve"> PAGEREF _Toc199941737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Schedule 1 — Code of conduct</w:t>
      </w:r>
    </w:p>
    <w:p>
      <w:pPr>
        <w:pStyle w:val="TOC4"/>
        <w:tabs>
          <w:tab w:val="right" w:pos="707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_Toc199941740 \h </w:instrText>
      </w:r>
      <w:r>
        <w:fldChar w:fldCharType="separate"/>
      </w:r>
      <w:r>
        <w:t>3</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_Toc199941741 \h </w:instrText>
      </w:r>
      <w:r>
        <w:fldChar w:fldCharType="separate"/>
      </w:r>
      <w:r>
        <w:t>3</w:t>
      </w:r>
      <w:r>
        <w:fldChar w:fldCharType="end"/>
      </w:r>
    </w:p>
    <w:p>
      <w:pPr>
        <w:pStyle w:val="TOC4"/>
        <w:tabs>
          <w:tab w:val="right" w:pos="7077"/>
        </w:tabs>
        <w:rPr>
          <w:rFonts w:asciiTheme="minorHAnsi" w:eastAsiaTheme="minorEastAsia" w:hAnsiTheme="minorHAnsi" w:cstheme="minorBidi"/>
          <w:b w:val="0"/>
          <w:szCs w:val="22"/>
        </w:rPr>
      </w:pPr>
      <w:r>
        <w:t>Division 2 — General obligations for all finance brokers</w:t>
      </w:r>
    </w:p>
    <w:p>
      <w:pPr>
        <w:pStyle w:val="TOC8"/>
        <w:rPr>
          <w:rFonts w:asciiTheme="minorHAnsi" w:eastAsiaTheme="minorEastAsia" w:hAnsiTheme="minorHAnsi" w:cstheme="minorBidi"/>
          <w:szCs w:val="22"/>
        </w:rPr>
      </w:pPr>
      <w:r>
        <w:t>3.</w:t>
      </w:r>
      <w:r>
        <w:tab/>
        <w:t>Application of Division 2</w:t>
      </w:r>
      <w:r>
        <w:tab/>
      </w:r>
      <w:r>
        <w:fldChar w:fldCharType="begin"/>
      </w:r>
      <w:r>
        <w:instrText xml:space="preserve"> PAGEREF _Toc199941743 \h </w:instrText>
      </w:r>
      <w:r>
        <w:fldChar w:fldCharType="separate"/>
      </w:r>
      <w:r>
        <w:t>5</w:t>
      </w:r>
      <w:r>
        <w:fldChar w:fldCharType="end"/>
      </w:r>
    </w:p>
    <w:p>
      <w:pPr>
        <w:pStyle w:val="TOC8"/>
        <w:rPr>
          <w:rFonts w:asciiTheme="minorHAnsi" w:eastAsiaTheme="minorEastAsia" w:hAnsiTheme="minorHAnsi" w:cstheme="minorBidi"/>
          <w:szCs w:val="22"/>
        </w:rPr>
      </w:pPr>
      <w:r>
        <w:t>4.</w:t>
      </w:r>
      <w:r>
        <w:tab/>
        <w:t>General fiduciary obligations</w:t>
      </w:r>
      <w:r>
        <w:tab/>
      </w:r>
      <w:r>
        <w:fldChar w:fldCharType="begin"/>
      </w:r>
      <w:r>
        <w:instrText xml:space="preserve"> PAGEREF _Toc199941744 \h </w:instrText>
      </w:r>
      <w:r>
        <w:fldChar w:fldCharType="separate"/>
      </w:r>
      <w:r>
        <w:t>5</w:t>
      </w:r>
      <w:r>
        <w:fldChar w:fldCharType="end"/>
      </w:r>
    </w:p>
    <w:p>
      <w:pPr>
        <w:pStyle w:val="TOC8"/>
        <w:rPr>
          <w:rFonts w:asciiTheme="minorHAnsi" w:eastAsiaTheme="minorEastAsia" w:hAnsiTheme="minorHAnsi" w:cstheme="minorBidi"/>
          <w:szCs w:val="22"/>
        </w:rPr>
      </w:pPr>
      <w:r>
        <w:t>5.</w:t>
      </w:r>
      <w:r>
        <w:tab/>
        <w:t>Compliance with common law obligations, loyalty and disclosure of interests</w:t>
      </w:r>
      <w:r>
        <w:tab/>
      </w:r>
      <w:r>
        <w:fldChar w:fldCharType="begin"/>
      </w:r>
      <w:r>
        <w:instrText xml:space="preserve"> PAGEREF _Toc199941745 \h </w:instrText>
      </w:r>
      <w:r>
        <w:fldChar w:fldCharType="separate"/>
      </w:r>
      <w:r>
        <w:t>6</w:t>
      </w:r>
      <w:r>
        <w:fldChar w:fldCharType="end"/>
      </w:r>
    </w:p>
    <w:p>
      <w:pPr>
        <w:pStyle w:val="TOC8"/>
        <w:rPr>
          <w:rFonts w:asciiTheme="minorHAnsi" w:eastAsiaTheme="minorEastAsia" w:hAnsiTheme="minorHAnsi" w:cstheme="minorBidi"/>
          <w:szCs w:val="22"/>
        </w:rPr>
      </w:pPr>
      <w:r>
        <w:t>6.</w:t>
      </w:r>
      <w:r>
        <w:tab/>
        <w:t>Cold calling/canvassing</w:t>
      </w:r>
      <w:r>
        <w:tab/>
      </w:r>
      <w:r>
        <w:fldChar w:fldCharType="begin"/>
      </w:r>
      <w:r>
        <w:instrText xml:space="preserve"> PAGEREF _Toc199941746 \h </w:instrText>
      </w:r>
      <w:r>
        <w:fldChar w:fldCharType="separate"/>
      </w:r>
      <w:r>
        <w:t>9</w:t>
      </w:r>
      <w:r>
        <w:fldChar w:fldCharType="end"/>
      </w:r>
    </w:p>
    <w:p>
      <w:pPr>
        <w:pStyle w:val="TOC4"/>
        <w:tabs>
          <w:tab w:val="right" w:pos="7077"/>
        </w:tabs>
        <w:rPr>
          <w:rFonts w:asciiTheme="minorHAnsi" w:eastAsiaTheme="minorEastAsia" w:hAnsiTheme="minorHAnsi" w:cstheme="minorBidi"/>
          <w:b w:val="0"/>
          <w:szCs w:val="22"/>
        </w:rPr>
      </w:pPr>
      <w:r>
        <w:t>Division 3 — Restricted finance broking business (applies to A, B and C classes)</w:t>
      </w:r>
    </w:p>
    <w:p>
      <w:pPr>
        <w:pStyle w:val="TOC8"/>
        <w:rPr>
          <w:rFonts w:asciiTheme="minorHAnsi" w:eastAsiaTheme="minorEastAsia" w:hAnsiTheme="minorHAnsi" w:cstheme="minorBidi"/>
          <w:szCs w:val="22"/>
        </w:rPr>
      </w:pPr>
      <w:r>
        <w:t>7.</w:t>
      </w:r>
      <w:r>
        <w:tab/>
        <w:t>Application of Division 3</w:t>
      </w:r>
      <w:r>
        <w:tab/>
      </w:r>
      <w:r>
        <w:fldChar w:fldCharType="begin"/>
      </w:r>
      <w:r>
        <w:instrText xml:space="preserve"> PAGEREF _Toc199941748 \h </w:instrText>
      </w:r>
      <w:r>
        <w:fldChar w:fldCharType="separate"/>
      </w:r>
      <w:r>
        <w:t>10</w:t>
      </w:r>
      <w:r>
        <w:fldChar w:fldCharType="end"/>
      </w:r>
    </w:p>
    <w:p>
      <w:pPr>
        <w:pStyle w:val="TOC8"/>
        <w:rPr>
          <w:rFonts w:asciiTheme="minorHAnsi" w:eastAsiaTheme="minorEastAsia" w:hAnsiTheme="minorHAnsi" w:cstheme="minorBidi"/>
          <w:szCs w:val="22"/>
        </w:rPr>
      </w:pPr>
      <w:r>
        <w:t>8.</w:t>
      </w:r>
      <w:r>
        <w:tab/>
        <w:t>Duties to borrowers</w:t>
      </w:r>
      <w:r>
        <w:tab/>
      </w:r>
      <w:r>
        <w:fldChar w:fldCharType="begin"/>
      </w:r>
      <w:r>
        <w:instrText xml:space="preserve"> PAGEREF _Toc199941749 \h </w:instrText>
      </w:r>
      <w:r>
        <w:fldChar w:fldCharType="separate"/>
      </w:r>
      <w:r>
        <w:t>10</w:t>
      </w:r>
      <w:r>
        <w:fldChar w:fldCharType="end"/>
      </w:r>
    </w:p>
    <w:p>
      <w:pPr>
        <w:pStyle w:val="TOC8"/>
        <w:rPr>
          <w:rFonts w:asciiTheme="minorHAnsi" w:eastAsiaTheme="minorEastAsia" w:hAnsiTheme="minorHAnsi" w:cstheme="minorBidi"/>
          <w:szCs w:val="22"/>
        </w:rPr>
      </w:pPr>
      <w:r>
        <w:t>9.</w:t>
      </w:r>
      <w:r>
        <w:tab/>
        <w:t>Limited ability to waive compliance</w:t>
      </w:r>
      <w:r>
        <w:tab/>
      </w:r>
      <w:r>
        <w:fldChar w:fldCharType="begin"/>
      </w:r>
      <w:r>
        <w:instrText xml:space="preserve"> PAGEREF _Toc199941750 \h </w:instrText>
      </w:r>
      <w:r>
        <w:fldChar w:fldCharType="separate"/>
      </w:r>
      <w:r>
        <w:t>18</w:t>
      </w:r>
      <w:r>
        <w:fldChar w:fldCharType="end"/>
      </w:r>
    </w:p>
    <w:p>
      <w:pPr>
        <w:pStyle w:val="TOC4"/>
        <w:tabs>
          <w:tab w:val="right" w:pos="7077"/>
        </w:tabs>
        <w:rPr>
          <w:rFonts w:asciiTheme="minorHAnsi" w:eastAsiaTheme="minorEastAsia" w:hAnsiTheme="minorHAnsi" w:cstheme="minorBidi"/>
          <w:b w:val="0"/>
          <w:szCs w:val="22"/>
        </w:rPr>
      </w:pPr>
      <w:r>
        <w:t>Division 4 — Unrestricted finance broking business (applies to A class only)</w:t>
      </w:r>
    </w:p>
    <w:p>
      <w:pPr>
        <w:pStyle w:val="TOC8"/>
        <w:rPr>
          <w:rFonts w:asciiTheme="minorHAnsi" w:eastAsiaTheme="minorEastAsia" w:hAnsiTheme="minorHAnsi" w:cstheme="minorBidi"/>
          <w:szCs w:val="22"/>
        </w:rPr>
      </w:pPr>
      <w:r>
        <w:t>10.</w:t>
      </w:r>
      <w:r>
        <w:tab/>
        <w:t>Application of Division 4</w:t>
      </w:r>
      <w:r>
        <w:tab/>
      </w:r>
      <w:r>
        <w:fldChar w:fldCharType="begin"/>
      </w:r>
      <w:r>
        <w:instrText xml:space="preserve"> PAGEREF _Toc199941752 \h </w:instrText>
      </w:r>
      <w:r>
        <w:fldChar w:fldCharType="separate"/>
      </w:r>
      <w:r>
        <w:t>19</w:t>
      </w:r>
      <w:r>
        <w:fldChar w:fldCharType="end"/>
      </w:r>
    </w:p>
    <w:p>
      <w:pPr>
        <w:pStyle w:val="TOC8"/>
        <w:rPr>
          <w:rFonts w:asciiTheme="minorHAnsi" w:eastAsiaTheme="minorEastAsia" w:hAnsiTheme="minorHAnsi" w:cstheme="minorBidi"/>
          <w:szCs w:val="22"/>
        </w:rPr>
      </w:pPr>
      <w:r>
        <w:t>11.</w:t>
      </w:r>
      <w:r>
        <w:tab/>
        <w:t>Duties to parties</w:t>
      </w:r>
      <w:r>
        <w:tab/>
      </w:r>
      <w:r>
        <w:fldChar w:fldCharType="begin"/>
      </w:r>
      <w:r>
        <w:instrText xml:space="preserve"> PAGEREF _Toc199941753 \h </w:instrText>
      </w:r>
      <w:r>
        <w:fldChar w:fldCharType="separate"/>
      </w:r>
      <w:r>
        <w:t>20</w:t>
      </w:r>
      <w:r>
        <w:fldChar w:fldCharType="end"/>
      </w:r>
    </w:p>
    <w:p>
      <w:pPr>
        <w:pStyle w:val="TOC8"/>
        <w:rPr>
          <w:rFonts w:asciiTheme="minorHAnsi" w:eastAsiaTheme="minorEastAsia" w:hAnsiTheme="minorHAnsi" w:cstheme="minorBidi"/>
          <w:szCs w:val="22"/>
        </w:rPr>
      </w:pPr>
      <w:r>
        <w:t>12.</w:t>
      </w:r>
      <w:r>
        <w:tab/>
        <w:t>Duties to lenders</w:t>
      </w:r>
      <w:r>
        <w:tab/>
      </w:r>
      <w:r>
        <w:fldChar w:fldCharType="begin"/>
      </w:r>
      <w:r>
        <w:instrText xml:space="preserve"> PAGEREF _Toc199941754 \h </w:instrText>
      </w:r>
      <w:r>
        <w:fldChar w:fldCharType="separate"/>
      </w:r>
      <w:r>
        <w:t>22</w:t>
      </w:r>
      <w:r>
        <w:fldChar w:fldCharType="end"/>
      </w:r>
    </w:p>
    <w:p>
      <w:pPr>
        <w:pStyle w:val="TOC8"/>
        <w:rPr>
          <w:rFonts w:asciiTheme="minorHAnsi" w:eastAsiaTheme="minorEastAsia" w:hAnsiTheme="minorHAnsi" w:cstheme="minorBidi"/>
          <w:szCs w:val="22"/>
        </w:rPr>
      </w:pPr>
      <w:r>
        <w:t>13.</w:t>
      </w:r>
      <w:r>
        <w:tab/>
        <w:t>Execution of documents</w:t>
      </w:r>
      <w:r>
        <w:tab/>
      </w:r>
      <w:r>
        <w:fldChar w:fldCharType="begin"/>
      </w:r>
      <w:r>
        <w:instrText xml:space="preserve"> PAGEREF _Toc199941755 \h </w:instrText>
      </w:r>
      <w:r>
        <w:fldChar w:fldCharType="separate"/>
      </w:r>
      <w:r>
        <w:t>26</w:t>
      </w:r>
      <w:r>
        <w:fldChar w:fldCharType="end"/>
      </w:r>
    </w:p>
    <w:p>
      <w:pPr>
        <w:pStyle w:val="TOC8"/>
        <w:rPr>
          <w:rFonts w:asciiTheme="minorHAnsi" w:eastAsiaTheme="minorEastAsia" w:hAnsiTheme="minorHAnsi" w:cstheme="minorBidi"/>
          <w:szCs w:val="22"/>
        </w:rPr>
      </w:pPr>
      <w:r>
        <w:t>14.</w:t>
      </w:r>
      <w:r>
        <w:tab/>
        <w:t>Limited ability to waive compliance</w:t>
      </w:r>
      <w:r>
        <w:tab/>
      </w:r>
      <w:r>
        <w:fldChar w:fldCharType="begin"/>
      </w:r>
      <w:r>
        <w:instrText xml:space="preserve"> PAGEREF _Toc199941756 \h </w:instrText>
      </w:r>
      <w:r>
        <w:fldChar w:fldCharType="separate"/>
      </w:r>
      <w:r>
        <w:t>26</w:t>
      </w:r>
      <w:r>
        <w:fldChar w:fldCharType="end"/>
      </w:r>
    </w:p>
    <w:p>
      <w:pPr>
        <w:pStyle w:val="TOC2"/>
        <w:tabs>
          <w:tab w:val="right" w:pos="7077"/>
        </w:tabs>
        <w:rPr>
          <w:rFonts w:asciiTheme="minorHAnsi" w:eastAsiaTheme="minorEastAsia" w:hAnsiTheme="minorHAnsi" w:cstheme="minorBidi"/>
          <w:b w:val="0"/>
          <w:sz w:val="22"/>
          <w:szCs w:val="22"/>
        </w:rPr>
      </w:pPr>
      <w:r>
        <w:lastRenderedPageBreak/>
        <w:t>Appendix 1</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_Toc199941759 \h </w:instrText>
      </w:r>
      <w:r>
        <w:fldChar w:fldCharType="separate"/>
      </w:r>
      <w:r>
        <w:t>32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2" w:name="_Toc199941736"/>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4" w:name="_Toc199941737"/>
      <w:r>
        <w:rPr>
          <w:rStyle w:val="CharSectno"/>
        </w:rPr>
        <w:t>2</w:t>
      </w:r>
      <w:r>
        <w:t>.</w:t>
      </w:r>
      <w:r>
        <w:tab/>
        <w:t>Code of conduct prescribed (section 81)</w:t>
      </w:r>
      <w:bookmarkEnd w:id="4"/>
    </w:p>
    <w:p>
      <w:pPr>
        <w:pStyle w:val="Subsection"/>
      </w:pPr>
      <w:r>
        <w:tab/>
      </w:r>
      <w:r>
        <w:tab/>
        <w:t>The code of conduct set out in Schedule 1 is prescribed as a code of conduct for finance brokers for the purposes of section 81 of the Act.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 w:name="_Toc199941738"/>
      <w:r>
        <w:rPr>
          <w:rStyle w:val="CharSchNo"/>
        </w:rPr>
        <w:lastRenderedPageBreak/>
        <w:t>Schedule 1</w:t>
      </w:r>
      <w:r>
        <w:rPr>
          <w:rStyle w:val="CharSDivNo"/>
        </w:rPr>
        <w:t> </w:t>
      </w:r>
      <w:r>
        <w:t>—</w:t>
      </w:r>
      <w:r>
        <w:rPr>
          <w:rStyle w:val="CharSDivText"/>
        </w:rPr>
        <w:t> </w:t>
      </w:r>
      <w:r>
        <w:rPr>
          <w:rStyle w:val="CharSchText"/>
        </w:rPr>
        <w:t>Code of conduct</w:t>
      </w:r>
      <w:bookmarkEnd w:id="5"/>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Heading3"/>
      </w:pPr>
      <w:bookmarkStart w:id="7" w:name="_Toc199941739"/>
      <w:r>
        <w:rPr>
          <w:rStyle w:val="CharSDivNo"/>
        </w:rPr>
        <w:lastRenderedPageBreak/>
        <w:t>Division 1</w:t>
      </w:r>
      <w:r>
        <w:t> — </w:t>
      </w:r>
      <w:r>
        <w:rPr>
          <w:rStyle w:val="CharSDivText"/>
        </w:rPr>
        <w:t>Introductory provisions</w:t>
      </w:r>
      <w:bookmarkEnd w:id="7"/>
    </w:p>
    <w:p>
      <w:pPr>
        <w:pStyle w:val="yHeading5"/>
      </w:pPr>
      <w:bookmarkStart w:id="8" w:name="_Toc199941740"/>
      <w:r>
        <w:rPr>
          <w:rStyle w:val="CharSClsNo"/>
        </w:rPr>
        <w:t>1</w:t>
      </w:r>
      <w:r>
        <w:t>.</w:t>
      </w:r>
      <w:r>
        <w:tab/>
        <w:t>Preliminary</w:t>
      </w:r>
      <w:bookmarkEnd w:id="8"/>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9" w:name="_Toc199941741"/>
      <w:r>
        <w:rPr>
          <w:rStyle w:val="CharSClsNo"/>
        </w:rPr>
        <w:t>2</w:t>
      </w:r>
      <w:r>
        <w:t>.</w:t>
      </w:r>
      <w:r>
        <w:tab/>
        <w:t>Interpretation</w:t>
      </w:r>
      <w:bookmarkEnd w:id="9"/>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lastRenderedPageBreak/>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 xml:space="preserve">is the borrower if a finance broker deals directly with the borrower in negotiating or arranging a loan (unless the </w:t>
      </w:r>
      <w:r>
        <w:lastRenderedPageBreak/>
        <w:t>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0" w:name="_Toc199941742"/>
      <w:r>
        <w:rPr>
          <w:rStyle w:val="CharSDivNo"/>
        </w:rPr>
        <w:t>Division 2</w:t>
      </w:r>
      <w:r>
        <w:t> — </w:t>
      </w:r>
      <w:r>
        <w:rPr>
          <w:rStyle w:val="CharSDivText"/>
        </w:rPr>
        <w:t>General obligations for all finance brokers</w:t>
      </w:r>
      <w:bookmarkEnd w:id="10"/>
    </w:p>
    <w:p>
      <w:pPr>
        <w:pStyle w:val="yHeading5"/>
      </w:pPr>
      <w:bookmarkStart w:id="11" w:name="_Toc199941743"/>
      <w:r>
        <w:rPr>
          <w:rStyle w:val="CharSClsNo"/>
        </w:rPr>
        <w:t>3</w:t>
      </w:r>
      <w:r>
        <w:t>.</w:t>
      </w:r>
      <w:r>
        <w:tab/>
        <w:t>Application of Division 2</w:t>
      </w:r>
      <w:bookmarkEnd w:id="11"/>
    </w:p>
    <w:p>
      <w:pPr>
        <w:pStyle w:val="ySubsection"/>
      </w:pPr>
      <w:r>
        <w:tab/>
        <w:t>3.1</w:t>
      </w:r>
      <w:r>
        <w:tab/>
        <w:t>Division 2 applies to all loans negotiated or arranged by a finance broker.</w:t>
      </w:r>
    </w:p>
    <w:p>
      <w:pPr>
        <w:pStyle w:val="yHeading5"/>
      </w:pPr>
      <w:bookmarkStart w:id="12" w:name="_Toc199941744"/>
      <w:r>
        <w:rPr>
          <w:rStyle w:val="CharSClsNo"/>
        </w:rPr>
        <w:t>4</w:t>
      </w:r>
      <w:r>
        <w:t>.</w:t>
      </w:r>
      <w:r>
        <w:tab/>
        <w:t>General fiduciary obligations</w:t>
      </w:r>
      <w:bookmarkEnd w:id="12"/>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lastRenderedPageBreak/>
        <w:tab/>
        <w:t>(c)</w:t>
      </w:r>
      <w:r>
        <w:tab/>
        <w:t>fulfil all commitments honestly, fairly and competently.</w:t>
      </w:r>
    </w:p>
    <w:p>
      <w:pPr>
        <w:pStyle w:val="yHeading5"/>
      </w:pPr>
      <w:bookmarkStart w:id="13" w:name="_Toc199941745"/>
      <w:r>
        <w:rPr>
          <w:rStyle w:val="CharSClsNo"/>
        </w:rPr>
        <w:t>5</w:t>
      </w:r>
      <w:r>
        <w:t>.</w:t>
      </w:r>
      <w:r>
        <w:tab/>
        <w:t>Compliance with common law obligations, loyalty and disclosure of interests</w:t>
      </w:r>
      <w:bookmarkEnd w:id="13"/>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lastRenderedPageBreak/>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 xml:space="preserve">exercise reasonable skill, care and diligence when conducting and carrying on the business of a finance broker and fulfil the </w:t>
      </w:r>
      <w:r>
        <w:lastRenderedPageBreak/>
        <w:t>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lastRenderedPageBreak/>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14" w:name="_Toc199941746"/>
      <w:r>
        <w:rPr>
          <w:rStyle w:val="CharSClsNo"/>
        </w:rPr>
        <w:t>6</w:t>
      </w:r>
      <w:r>
        <w:t>.</w:t>
      </w:r>
      <w:r>
        <w:tab/>
        <w:t>Cold calling/canvassing</w:t>
      </w:r>
      <w:bookmarkEnd w:id="14"/>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15" w:name="_Toc199941747"/>
      <w:r>
        <w:rPr>
          <w:rStyle w:val="CharSDivNo"/>
        </w:rPr>
        <w:lastRenderedPageBreak/>
        <w:t>Division 3</w:t>
      </w:r>
      <w:r>
        <w:t> — </w:t>
      </w:r>
      <w:r>
        <w:rPr>
          <w:rStyle w:val="CharSDivText"/>
        </w:rPr>
        <w:t>Restricted finance broking business (applies to A, B and C classes)</w:t>
      </w:r>
      <w:bookmarkEnd w:id="15"/>
    </w:p>
    <w:p>
      <w:pPr>
        <w:pStyle w:val="yHeading5"/>
      </w:pPr>
      <w:bookmarkStart w:id="16" w:name="_Toc199941748"/>
      <w:r>
        <w:rPr>
          <w:rStyle w:val="CharSClsNo"/>
        </w:rPr>
        <w:t>7</w:t>
      </w:r>
      <w:r>
        <w:t>.</w:t>
      </w:r>
      <w:r>
        <w:tab/>
        <w:t>Application of Division 3</w:t>
      </w:r>
      <w:bookmarkEnd w:id="16"/>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17" w:name="_Toc199941749"/>
      <w:r>
        <w:rPr>
          <w:rStyle w:val="CharSClsNo"/>
        </w:rPr>
        <w:t>8</w:t>
      </w:r>
      <w:r>
        <w:t>.</w:t>
      </w:r>
      <w:r>
        <w:tab/>
        <w:t>Duties to borrowers</w:t>
      </w:r>
      <w:bookmarkEnd w:id="17"/>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lastRenderedPageBreak/>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lastRenderedPageBreak/>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keepNext/>
      </w:pPr>
      <w:r>
        <w:lastRenderedPageBreak/>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 xml:space="preserve">either percentages or fixed amounts, provided always that the highest and lowest </w:t>
      </w:r>
      <w:r>
        <w:lastRenderedPageBreak/>
        <w:t>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keepNext/>
      </w:pPr>
      <w:r>
        <w:lastRenderedPageBreak/>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lastRenderedPageBreak/>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 xml:space="preserve">where it is reasonable to anticipate that the finance broker will not receive or retain all of the fees payable by the borrower or all of the commission or </w:t>
      </w:r>
      <w:r>
        <w:lastRenderedPageBreak/>
        <w:t>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keepNext/>
      </w:pPr>
      <w:r>
        <w:lastRenderedPageBreak/>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18" w:name="_Toc199941750"/>
      <w:r>
        <w:rPr>
          <w:rStyle w:val="CharSClsNo"/>
        </w:rPr>
        <w:t>9</w:t>
      </w:r>
      <w:r>
        <w:t>.</w:t>
      </w:r>
      <w:r>
        <w:tab/>
        <w:t>Limited ability to waive compliance</w:t>
      </w:r>
      <w:bookmarkEnd w:id="18"/>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lastRenderedPageBreak/>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19" w:name="_Toc199941751"/>
      <w:r>
        <w:rPr>
          <w:rStyle w:val="CharSDivNo"/>
        </w:rPr>
        <w:t>Division 4</w:t>
      </w:r>
      <w:r>
        <w:t> — </w:t>
      </w:r>
      <w:r>
        <w:rPr>
          <w:rStyle w:val="CharSDivText"/>
        </w:rPr>
        <w:t>Unrestricted finance broking business (applies to A class only)</w:t>
      </w:r>
      <w:bookmarkEnd w:id="19"/>
    </w:p>
    <w:p>
      <w:pPr>
        <w:pStyle w:val="yHeading5"/>
      </w:pPr>
      <w:bookmarkStart w:id="20" w:name="_Toc199941752"/>
      <w:r>
        <w:rPr>
          <w:rStyle w:val="CharSClsNo"/>
        </w:rPr>
        <w:t>10</w:t>
      </w:r>
      <w:r>
        <w:t>.</w:t>
      </w:r>
      <w:r>
        <w:tab/>
        <w:t>Application of Division 4</w:t>
      </w:r>
      <w:bookmarkEnd w:id="20"/>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21" w:name="_Toc199941753"/>
      <w:r>
        <w:rPr>
          <w:rStyle w:val="CharSClsNo"/>
        </w:rPr>
        <w:lastRenderedPageBreak/>
        <w:t>11</w:t>
      </w:r>
      <w:r>
        <w:t>.</w:t>
      </w:r>
      <w:r>
        <w:tab/>
        <w:t>Duties to parties</w:t>
      </w:r>
      <w:bookmarkEnd w:id="21"/>
    </w:p>
    <w:p>
      <w:pPr>
        <w:pStyle w:val="ySubsection"/>
        <w:keepNext/>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lastRenderedPageBreak/>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lastRenderedPageBreak/>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22" w:name="_Toc199941754"/>
      <w:r>
        <w:rPr>
          <w:rStyle w:val="CharSClsNo"/>
        </w:rPr>
        <w:t>12</w:t>
      </w:r>
      <w:r>
        <w:t>.</w:t>
      </w:r>
      <w:r>
        <w:tab/>
        <w:t>Duties to lenders</w:t>
      </w:r>
      <w:bookmarkEnd w:id="22"/>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 xml:space="preserve">ensure that the valuer acknowledges in the valuation document that the lender may use and rely on the valuation and that the valuer accepts legal responsibility, by </w:t>
      </w:r>
      <w:r>
        <w:lastRenderedPageBreak/>
        <w:t>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keepNext/>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w:t>
      </w:r>
      <w:r>
        <w:lastRenderedPageBreak/>
        <w:t xml:space="preserve">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lastRenderedPageBreak/>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w:t>
      </w:r>
    </w:p>
    <w:p>
      <w:pPr>
        <w:pStyle w:val="yEdnotepara"/>
      </w:pPr>
      <w:r>
        <w:lastRenderedPageBreak/>
        <w:tab/>
        <w:t>[(c)</w:t>
      </w:r>
      <w:r>
        <w:tab/>
        <w:t>deleted]</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Ednotesubsection"/>
      </w:pPr>
      <w:r>
        <w:tab/>
      </w:r>
      <w:r>
        <w:tab/>
        <w:t>[12.14. deleted]</w:t>
      </w:r>
    </w:p>
    <w:p>
      <w:pPr>
        <w:pStyle w:val="yFootnotesection"/>
      </w:pPr>
      <w:r>
        <w:tab/>
      </w:r>
      <w:r>
        <w:tab/>
        <w:t>[Clause 12 amended: SL 2023/116 r. 4.]</w:t>
      </w:r>
    </w:p>
    <w:p>
      <w:pPr>
        <w:pStyle w:val="yHeading5"/>
      </w:pPr>
      <w:bookmarkStart w:id="23" w:name="_Toc199941755"/>
      <w:r>
        <w:rPr>
          <w:rStyle w:val="CharSClsNo"/>
        </w:rPr>
        <w:t>13</w:t>
      </w:r>
      <w:r>
        <w:t>.</w:t>
      </w:r>
      <w:r>
        <w:tab/>
        <w:t>Execution of documents</w:t>
      </w:r>
      <w:bookmarkEnd w:id="23"/>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24" w:name="_Toc199941756"/>
      <w:r>
        <w:rPr>
          <w:rStyle w:val="CharSClsNo"/>
        </w:rPr>
        <w:t>14</w:t>
      </w:r>
      <w:r>
        <w:t>.</w:t>
      </w:r>
      <w:r>
        <w:tab/>
        <w:t>Limited ability to waive compliance</w:t>
      </w:r>
      <w:bookmarkEnd w:id="24"/>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lastRenderedPageBreak/>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5" w:name="_Toc199941757"/>
      <w:r>
        <w:rPr>
          <w:rStyle w:val="CharSchNo"/>
        </w:rPr>
        <w:lastRenderedPageBreak/>
        <w:t>Appendix 1</w:t>
      </w:r>
      <w:bookmarkEnd w:id="25"/>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lastRenderedPageBreak/>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lastRenderedPageBreak/>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yFootnotesection"/>
      </w:pPr>
      <w:r>
        <w:tab/>
        <w:t>[Form 1 amended: SL 2023/116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26" w:name="_Toc199941758"/>
      <w:r>
        <w:lastRenderedPageBreak/>
        <w:t>Notes</w:t>
      </w:r>
      <w:bookmarkEnd w:id="26"/>
    </w:p>
    <w:p>
      <w:pPr>
        <w:pStyle w:val="nStatement"/>
      </w:pPr>
      <w:r>
        <w:t xml:space="preserve">This is a compilation of the </w:t>
      </w:r>
      <w:r>
        <w:rPr>
          <w:i/>
          <w:noProof/>
        </w:rPr>
        <w:t>Finance Brokers Control (Code of Conduct) Regulations 2007</w:t>
      </w:r>
      <w:r>
        <w:t xml:space="preserve"> and includes amendments made by other written laws. For provisions that have come into operation see the compilation table. </w:t>
      </w:r>
    </w:p>
    <w:p>
      <w:pPr>
        <w:pStyle w:val="nHeading3"/>
      </w:pPr>
      <w:bookmarkStart w:id="27" w:name="_Toc199941759"/>
      <w:r>
        <w:t>Compilation table</w:t>
      </w:r>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nil"/>
            </w:tcBorders>
          </w:tcPr>
          <w:p>
            <w:pPr>
              <w:pStyle w:val="nTable"/>
              <w:spacing w:after="40"/>
              <w:rPr>
                <w:i/>
              </w:rPr>
            </w:pPr>
            <w:r>
              <w:rPr>
                <w:i/>
              </w:rPr>
              <w:t>Finance Brokers Control (Code of Conduct) Amendment Regulations 2011</w:t>
            </w:r>
          </w:p>
        </w:tc>
        <w:tc>
          <w:tcPr>
            <w:tcW w:w="1276" w:type="dxa"/>
            <w:tcBorders>
              <w:top w:val="nil"/>
              <w:bottom w:val="nil"/>
            </w:tcBorders>
          </w:tcPr>
          <w:p>
            <w:pPr>
              <w:pStyle w:val="nTable"/>
              <w:spacing w:after="40"/>
            </w:pPr>
            <w:r>
              <w:t>30 Jun 2011 p. 2645</w:t>
            </w:r>
          </w:p>
        </w:tc>
        <w:tc>
          <w:tcPr>
            <w:tcW w:w="2693" w:type="dxa"/>
            <w:tcBorders>
              <w:top w:val="nil"/>
              <w:bottom w:val="nil"/>
            </w:tcBorders>
          </w:tcPr>
          <w:p>
            <w:pPr>
              <w:pStyle w:val="nTable"/>
              <w:spacing w:after="40"/>
            </w:pPr>
            <w:r>
              <w:t>r. 1 and 2: 30 Jun 2011 (see r. 2(a));</w:t>
            </w:r>
            <w:r>
              <w:br/>
              <w:t>Regulations other than r. 1 and 2: 1 Jul 2011 (see r. 2(b))</w:t>
            </w:r>
          </w:p>
        </w:tc>
      </w:tr>
      <w:tr>
        <w:tc>
          <w:tcPr>
            <w:tcW w:w="3118" w:type="dxa"/>
            <w:tcBorders>
              <w:top w:val="nil"/>
              <w:bottom w:val="single" w:sz="4" w:space="0" w:color="auto"/>
            </w:tcBorders>
          </w:tcPr>
          <w:p>
            <w:pPr>
              <w:pStyle w:val="nTable"/>
              <w:spacing w:after="40"/>
              <w:rPr>
                <w:i/>
              </w:rPr>
            </w:pPr>
            <w:r>
              <w:rPr>
                <w:i/>
              </w:rPr>
              <w:t xml:space="preserve">Commerce Regulations Amendment (Transfer of Land) Regulations 2023 </w:t>
            </w:r>
            <w:r>
              <w:t>Pt. 2</w:t>
            </w:r>
          </w:p>
        </w:tc>
        <w:tc>
          <w:tcPr>
            <w:tcW w:w="1276" w:type="dxa"/>
            <w:tcBorders>
              <w:top w:val="nil"/>
              <w:bottom w:val="single" w:sz="4" w:space="0" w:color="auto"/>
            </w:tcBorders>
          </w:tcPr>
          <w:p>
            <w:pPr>
              <w:pStyle w:val="nTable"/>
              <w:spacing w:after="40"/>
            </w:pPr>
            <w:r>
              <w:t>SL 2023/116 26 Jul 2023</w:t>
            </w:r>
          </w:p>
        </w:tc>
        <w:tc>
          <w:tcPr>
            <w:tcW w:w="2693" w:type="dxa"/>
            <w:tcBorders>
              <w:top w:val="nil"/>
              <w:bottom w:val="single" w:sz="4" w:space="0" w:color="auto"/>
            </w:tcBorders>
          </w:tcPr>
          <w:p>
            <w:pPr>
              <w:pStyle w:val="nTable"/>
              <w:spacing w:after="40"/>
            </w:pPr>
            <w:r>
              <w:t>7 Aug 2023 (see r. 2(b))</w:t>
            </w:r>
          </w:p>
        </w:tc>
      </w:tr>
    </w:tbl>
    <w:p>
      <w:pPr>
        <w:pStyle w:val="nStatement"/>
        <w:keepNext/>
        <w:spacing w:after="240"/>
      </w:pPr>
    </w:p>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29" w:name="_Toc199941760"/>
      <w:r>
        <w:rPr>
          <w:sz w:val="28"/>
        </w:rPr>
        <w:lastRenderedPageBreak/>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class licensee</w:t>
      </w:r>
      <w:r>
        <w:tab/>
        <w:t>Sch. 1 cl. 2</w:t>
      </w:r>
    </w:p>
    <w:p>
      <w:pPr>
        <w:pStyle w:val="DefinedTerms"/>
      </w:pPr>
      <w:r>
        <w:t>aggregator</w:t>
      </w:r>
      <w:r>
        <w:tab/>
        <w:t>Sch. 1 cl. 2</w:t>
      </w:r>
    </w:p>
    <w:p>
      <w:pPr>
        <w:pStyle w:val="DefinedTerms"/>
      </w:pPr>
      <w:r>
        <w:t>as if complete valuation</w:t>
      </w:r>
      <w:r>
        <w:tab/>
        <w:t>Sch. 1 cl. 2</w:t>
      </w:r>
    </w:p>
    <w:p>
      <w:pPr>
        <w:pStyle w:val="DefinedTerms"/>
      </w:pPr>
      <w:r>
        <w:t>as is valuation</w:t>
      </w:r>
      <w:r>
        <w:tab/>
        <w:t>Sch. 1 cl. 2</w:t>
      </w:r>
    </w:p>
    <w:p>
      <w:pPr>
        <w:pStyle w:val="DefinedTerms"/>
      </w:pPr>
      <w:r>
        <w:t>associate</w:t>
      </w:r>
      <w:r>
        <w:tab/>
        <w:t>Sch. 1 cl. 2</w:t>
      </w:r>
    </w:p>
    <w:p>
      <w:pPr>
        <w:pStyle w:val="DefinedTerms"/>
      </w:pPr>
      <w:r>
        <w:t>B class licensee</w:t>
      </w:r>
      <w:r>
        <w:tab/>
        <w:t>Sch. 1 cl. 2</w:t>
      </w:r>
    </w:p>
    <w:p>
      <w:pPr>
        <w:pStyle w:val="DefinedTerms"/>
      </w:pPr>
      <w:r>
        <w:t>borrower</w:t>
      </w:r>
      <w:r>
        <w:tab/>
        <w:t>Sch. 1 cl. 2</w:t>
      </w:r>
    </w:p>
    <w:p>
      <w:pPr>
        <w:pStyle w:val="DefinedTerms"/>
      </w:pPr>
      <w:r>
        <w:t>C class licensee</w:t>
      </w:r>
      <w:r>
        <w:tab/>
        <w:t>Sch. 1 cl. 2</w:t>
      </w:r>
    </w:p>
    <w:p>
      <w:pPr>
        <w:pStyle w:val="DefinedTerms"/>
      </w:pPr>
      <w:r>
        <w:t>equipment finance</w:t>
      </w:r>
      <w:r>
        <w:tab/>
        <w:t>Sch. 1 cl. 2</w:t>
      </w:r>
    </w:p>
    <w:p>
      <w:pPr>
        <w:pStyle w:val="DefinedTerms"/>
      </w:pPr>
      <w:r>
        <w:t>external party</w:t>
      </w:r>
      <w:r>
        <w:tab/>
        <w:t>Sch. 1 cl. 2</w:t>
      </w:r>
    </w:p>
    <w:p>
      <w:pPr>
        <w:pStyle w:val="DefinedTerms"/>
      </w:pPr>
      <w:r>
        <w:t>financial services licensee</w:t>
      </w:r>
      <w:r>
        <w:tab/>
        <w:t>Sch. 1 cl. 2</w:t>
      </w:r>
    </w:p>
    <w:p>
      <w:pPr>
        <w:pStyle w:val="DefinedTerms"/>
      </w:pPr>
      <w:r>
        <w:t>Form 1</w:t>
      </w:r>
      <w:r>
        <w:tab/>
        <w:t>Sch. 1 cl. 2</w:t>
      </w:r>
    </w:p>
    <w:p>
      <w:pPr>
        <w:pStyle w:val="DefinedTerms"/>
      </w:pPr>
      <w:r>
        <w:t>guarantor</w:t>
      </w:r>
      <w:r>
        <w:tab/>
        <w:t>Sch. 1 cl. 2</w:t>
      </w:r>
    </w:p>
    <w:p>
      <w:pPr>
        <w:pStyle w:val="DefinedTerms"/>
      </w:pPr>
      <w:r>
        <w:t>lender</w:t>
      </w:r>
      <w:r>
        <w:tab/>
        <w:t>Sch. 1 cl. 2</w:t>
      </w:r>
    </w:p>
    <w:p>
      <w:pPr>
        <w:pStyle w:val="DefinedTerms"/>
      </w:pPr>
      <w:r>
        <w:t>Maximum Remuneration Schedule</w:t>
      </w:r>
      <w:r>
        <w:tab/>
        <w:t>Sch. 1 cl. 2</w:t>
      </w:r>
    </w:p>
    <w:p>
      <w:pPr>
        <w:pStyle w:val="DefinedTerms"/>
      </w:pPr>
      <w:r>
        <w:t>on completion valuation</w:t>
      </w:r>
      <w:r>
        <w:tab/>
        <w:t>Sch. 1 cl. 2</w:t>
      </w:r>
    </w:p>
    <w:p>
      <w:pPr>
        <w:pStyle w:val="DefinedTerms"/>
      </w:pPr>
      <w:r>
        <w:t>party</w:t>
      </w:r>
      <w:r>
        <w:tab/>
        <w:t>Sch. 1 cl. 2</w:t>
      </w:r>
    </w:p>
    <w:p>
      <w:pPr>
        <w:pStyle w:val="DefinedTerms"/>
      </w:pPr>
      <w:r>
        <w:t>person</w:t>
      </w:r>
      <w:r>
        <w:tab/>
        <w:t>Sch. 1 cl. 2</w:t>
      </w:r>
    </w:p>
    <w:p>
      <w:pPr>
        <w:pStyle w:val="DefinedTerms"/>
      </w:pPr>
      <w:r>
        <w:t>principal</w:t>
      </w:r>
      <w:r>
        <w:tab/>
        <w:t>Sch. 1 cl. 2</w:t>
      </w:r>
    </w:p>
    <w:p>
      <w:pPr>
        <w:pStyle w:val="DefinedTerms"/>
      </w:pPr>
      <w:r>
        <w:t>proposed development</w:t>
      </w:r>
      <w:r>
        <w:tab/>
        <w:t>Sch. 1 cl. 2</w:t>
      </w:r>
    </w:p>
    <w:p>
      <w:pPr>
        <w:pStyle w:val="DefinedTerms"/>
      </w:pPr>
      <w:r>
        <w:t>refinance</w:t>
      </w:r>
      <w:r>
        <w:tab/>
        <w:t>Sch. 1 cl. 2</w:t>
      </w:r>
    </w:p>
    <w:p>
      <w:pPr>
        <w:pStyle w:val="DefinedTerms"/>
      </w:pPr>
      <w:r>
        <w:t>regulations</w:t>
      </w:r>
      <w:r>
        <w:tab/>
        <w:t>Sch. 1 cl. 2</w:t>
      </w:r>
    </w:p>
    <w:p>
      <w:pPr>
        <w:pStyle w:val="DefinedTerms"/>
      </w:pPr>
      <w:r>
        <w:t>remuneration</w:t>
      </w:r>
      <w:r>
        <w:tab/>
        <w:t>Sch. 1 cl. 2</w:t>
      </w:r>
    </w:p>
    <w:p>
      <w:pPr>
        <w:pStyle w:val="DefinedTerms"/>
      </w:pPr>
      <w:r>
        <w:t>UCCC</w:t>
      </w:r>
      <w:r>
        <w:tab/>
        <w:t>Sch. 1 cl. 2</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1B1D6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6B7DE3" w14:textId="77545983" w:rsidR="004B74BB" w:rsidRDefault="004B74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EC94701" w14:textId="77777777" w:rsidR="004B74BB" w:rsidRDefault="004B74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B5CD86" w14:textId="29B49E54" w:rsidR="004B74BB" w:rsidRDefault="004B74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9A778E" w14:textId="77777777" w:rsidR="004B74BB" w:rsidRDefault="004B74B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 w:name="Schedule"/>
    <w:bookmarkEnd w:id="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443"/>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080211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12805_GUID" w:val="8e345648-c7ed-4629-a542-bb2a84b6761e"/>
    <w:docVar w:name="WAFER_2023122811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43_GUID" w:val="87d75b80-1431-4cfa-b824-88a36fdfa5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jpe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8336</Words>
  <Characters>42682</Characters>
  <Application>Microsoft Office Word</Application>
  <DocSecurity>0</DocSecurity>
  <Lines>1219</Lines>
  <Paragraphs>708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2007 - 00-d0-01</dc:title>
  <dc:subject/>
  <dc:creator/>
  <cp:keywords/>
  <dc:description/>
  <cp:lastModifiedBy>Master Repository Process</cp:lastModifiedBy>
  <cp:revision>4</cp:revision>
  <cp:lastPrinted>2007-01-15T08:36:00Z</cp:lastPrinted>
  <dcterms:created xsi:type="dcterms:W3CDTF">2025-06-04T07:01:00Z</dcterms:created>
  <dcterms:modified xsi:type="dcterms:W3CDTF">2025-06-04T07:02:00Z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AsAtDate">
    <vt:lpwstr>07 Aug 2023</vt:lpwstr>
  </property>
  <property fmtid="{D5CDD505-2E9C-101B-9397-08002B2CF9AE}" pid="6" name="Suffix">
    <vt:lpwstr>00-d0-01</vt:lpwstr>
  </property>
  <property fmtid="{D5CDD505-2E9C-101B-9397-08002B2CF9AE}" pid="7" name="Official">
    <vt:lpwstr/>
  </property>
  <property fmtid="{D5CDD505-2E9C-101B-9397-08002B2CF9AE}" pid="8" name="CommencementDate">
    <vt:lpwstr>20230807</vt:lpwstr>
  </property>
  <property fmtid="{D5CDD505-2E9C-101B-9397-08002B2CF9AE}" pid="9" name="CommencementAsAt">
    <vt:filetime>2023-08-06T16:00:00Z</vt:filetime>
  </property>
  <property fmtid="{D5CDD505-2E9C-101B-9397-08002B2CF9AE}" pid="10" name="CommencementYear">
    <vt:lpwstr>2023</vt:lpwstr>
  </property>
</Properties>
</file>