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Property Confiscation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_Toc154752774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_Toc154752775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_Toc154752776 \h </w:instrText>
      </w:r>
      <w:r>
        <w:fldChar w:fldCharType="separate"/>
      </w:r>
      <w:r>
        <w:t>2</w:t>
      </w:r>
      <w:r>
        <w:fldChar w:fldCharType="end"/>
      </w:r>
    </w:p>
    <w:p>
      <w:pPr>
        <w:pStyle w:val="TOC8"/>
        <w:rPr>
          <w:rFonts w:asciiTheme="minorHAnsi" w:eastAsiaTheme="minorEastAsia" w:hAnsiTheme="minorHAnsi" w:cstheme="minorBidi"/>
          <w:szCs w:val="22"/>
        </w:rPr>
      </w:pPr>
      <w:r>
        <w:t>4.</w:t>
      </w:r>
      <w:r>
        <w:tab/>
        <w:t>What is confiscable property</w:t>
      </w:r>
      <w:r>
        <w:tab/>
      </w:r>
      <w:r>
        <w:fldChar w:fldCharType="begin"/>
      </w:r>
      <w:r>
        <w:instrText xml:space="preserve"> PAGEREF _Toc154752777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_Toc154752778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_Toc154752780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_Toc154752781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_Toc154752782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_Toc154752783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_Toc154752784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_Toc154752787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_Toc154752788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_Toc154752789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_Toc154752790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_Toc154752792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Criminal benefits declarations for crime</w:t>
      </w:r>
      <w:r>
        <w:noBreakHyphen/>
        <w:t>derived property, making</w:t>
      </w:r>
      <w:r>
        <w:tab/>
      </w:r>
      <w:r>
        <w:fldChar w:fldCharType="begin"/>
      </w:r>
      <w:r>
        <w:instrText xml:space="preserve"> PAGEREF _Toc154752793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_Toc154752794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_Toc154752795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_Toc154752796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_Toc154752797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_Toc154752799 \h </w:instrText>
      </w:r>
      <w:r>
        <w:fldChar w:fldCharType="separate"/>
      </w:r>
      <w:r>
        <w:t>12</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_Toc154752800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_Toc154752801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_Toc154752802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_Toc154752804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_Toc154752805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_Toc154752806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_Toc154752807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_Toc154752808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_Toc154752809 \h </w:instrText>
      </w:r>
      <w:r>
        <w:fldChar w:fldCharType="separate"/>
      </w:r>
      <w:r>
        <w:t>16</w:t>
      </w:r>
      <w:r>
        <w:fldChar w:fldCharType="end"/>
      </w:r>
    </w:p>
    <w:p>
      <w:pPr>
        <w:pStyle w:val="TOC8"/>
        <w:rPr>
          <w:rFonts w:asciiTheme="minorHAnsi" w:eastAsiaTheme="minorEastAsia" w:hAnsiTheme="minorHAnsi" w:cstheme="minorBidi"/>
          <w:szCs w:val="22"/>
        </w:rPr>
      </w:pPr>
      <w:r>
        <w:t>31.</w:t>
      </w:r>
      <w:r>
        <w:tab/>
        <w:t>Applicant’s duty to lodge memorial of confiscation</w:t>
      </w:r>
      <w:r>
        <w:tab/>
      </w:r>
      <w:r>
        <w:fldChar w:fldCharType="begin"/>
      </w:r>
      <w:r>
        <w:instrText xml:space="preserve"> PAGEREF _Toc154752810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_Toc154752811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_Toc154752814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_Toc154752816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_Toc154752817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36.</w:t>
      </w:r>
      <w:r>
        <w:tab/>
        <w:t>Freezing notices, service, notice and filing of</w:t>
      </w:r>
      <w:r>
        <w:tab/>
      </w:r>
      <w:r>
        <w:fldChar w:fldCharType="begin"/>
      </w:r>
      <w:r>
        <w:instrText xml:space="preserve"> PAGEREF _Toc154752818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_Toc154752819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_Toc154752820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_Toc154752821 \h </w:instrText>
      </w:r>
      <w:r>
        <w:fldChar w:fldCharType="separate"/>
      </w:r>
      <w:r>
        <w:t>24</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_Toc154752822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_Toc154752824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_Toc154752825 \h </w:instrText>
      </w:r>
      <w:r>
        <w:fldChar w:fldCharType="separate"/>
      </w:r>
      <w:r>
        <w:t>26</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_Toc154752826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_Toc154752827 \h </w:instrText>
      </w:r>
      <w:r>
        <w:fldChar w:fldCharType="separate"/>
      </w:r>
      <w:r>
        <w:t>28</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_Toc154752828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_Toc154752829 \h </w:instrText>
      </w:r>
      <w:r>
        <w:fldChar w:fldCharType="separate"/>
      </w:r>
      <w:r>
        <w:t>29</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_Toc154752830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_Toc154752831 \h </w:instrText>
      </w:r>
      <w:r>
        <w:fldChar w:fldCharType="separate"/>
      </w:r>
      <w:r>
        <w:t>31</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_Toc154752832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_Toc154752834 \h </w:instrText>
      </w:r>
      <w:r>
        <w:fldChar w:fldCharType="separate"/>
      </w:r>
      <w:r>
        <w:t>36</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_Toc154752835 \h </w:instrText>
      </w:r>
      <w:r>
        <w:fldChar w:fldCharType="separate"/>
      </w:r>
      <w:r>
        <w:t>37</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_Toc154752836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_Toc154752839 \h </w:instrText>
      </w:r>
      <w:r>
        <w:fldChar w:fldCharType="separate"/>
      </w:r>
      <w:r>
        <w:t>38</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_Toc154752840 \h </w:instrText>
      </w:r>
      <w:r>
        <w:fldChar w:fldCharType="separate"/>
      </w:r>
      <w:r>
        <w:t>38</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_Toc154752841 \h </w:instrText>
      </w:r>
      <w:r>
        <w:fldChar w:fldCharType="separate"/>
      </w:r>
      <w:r>
        <w:t>40</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_Toc154752842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_Toc154752844 \h </w:instrText>
      </w:r>
      <w:r>
        <w:fldChar w:fldCharType="separate"/>
      </w:r>
      <w:r>
        <w:t>40</w:t>
      </w:r>
      <w:r>
        <w:fldChar w:fldCharType="end"/>
      </w:r>
    </w:p>
    <w:p>
      <w:pPr>
        <w:pStyle w:val="TOC8"/>
        <w:rPr>
          <w:rFonts w:asciiTheme="minorHAnsi" w:eastAsiaTheme="minorEastAsia" w:hAnsiTheme="minorHAnsi" w:cstheme="minorBidi"/>
          <w:szCs w:val="22"/>
        </w:rPr>
      </w:pPr>
      <w:r>
        <w:t>58.</w:t>
      </w:r>
      <w:r>
        <w:tab/>
        <w:t>Court and CCC powers when making examination order</w:t>
      </w:r>
      <w:r>
        <w:tab/>
      </w:r>
      <w:r>
        <w:fldChar w:fldCharType="begin"/>
      </w:r>
      <w:r>
        <w:instrText xml:space="preserve"> PAGEREF _Toc154752845 \h </w:instrText>
      </w:r>
      <w:r>
        <w:fldChar w:fldCharType="separate"/>
      </w:r>
      <w:r>
        <w:t>41</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_Toc154752846 \h </w:instrText>
      </w:r>
      <w:r>
        <w:fldChar w:fldCharType="separate"/>
      </w:r>
      <w:r>
        <w:t>42</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_Toc154752847 \h </w:instrText>
      </w:r>
      <w:r>
        <w:fldChar w:fldCharType="separate"/>
      </w:r>
      <w:r>
        <w:t>42</w:t>
      </w:r>
      <w:r>
        <w:fldChar w:fldCharType="end"/>
      </w:r>
    </w:p>
    <w:p>
      <w:pPr>
        <w:pStyle w:val="TOC8"/>
        <w:rPr>
          <w:rFonts w:asciiTheme="minorHAnsi" w:eastAsiaTheme="minorEastAsia" w:hAnsiTheme="minorHAnsi" w:cstheme="minorBidi"/>
          <w:szCs w:val="22"/>
        </w:rPr>
      </w:pPr>
      <w:r>
        <w:t>60A.</w:t>
      </w:r>
      <w:r>
        <w:tab/>
        <w:t>Examination by CCC</w:t>
      </w:r>
      <w:r>
        <w:tab/>
      </w:r>
      <w:r>
        <w:fldChar w:fldCharType="begin"/>
      </w:r>
      <w:r>
        <w:instrText xml:space="preserve"> PAGEREF _Toc154752848 \h </w:instrText>
      </w:r>
      <w:r>
        <w:fldChar w:fldCharType="separate"/>
      </w:r>
      <w:r>
        <w:t>43</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_Toc154752849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_Toc154752851 \h </w:instrText>
      </w:r>
      <w:r>
        <w:fldChar w:fldCharType="separate"/>
      </w:r>
      <w:r>
        <w:t>45</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_Toc154752852 \h </w:instrText>
      </w:r>
      <w:r>
        <w:fldChar w:fldCharType="separate"/>
      </w:r>
      <w:r>
        <w:t>45</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_Toc154752853 \h </w:instrText>
      </w:r>
      <w:r>
        <w:fldChar w:fldCharType="separate"/>
      </w:r>
      <w:r>
        <w:t>46</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_Toc154752854 \h </w:instrText>
      </w:r>
      <w:r>
        <w:fldChar w:fldCharType="separate"/>
      </w:r>
      <w:r>
        <w:t>47</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_Toc154752855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_Toc154752857 \h </w:instrText>
      </w:r>
      <w:r>
        <w:fldChar w:fldCharType="separate"/>
      </w:r>
      <w:r>
        <w:t>49</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_Toc154752858 \h </w:instrText>
      </w:r>
      <w:r>
        <w:fldChar w:fldCharType="separate"/>
      </w:r>
      <w:r>
        <w:t>49</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_Toc154752859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_Toc154752861 \h </w:instrText>
      </w:r>
      <w:r>
        <w:fldChar w:fldCharType="separate"/>
      </w:r>
      <w:r>
        <w:t>51</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_Toc154752862 \h </w:instrText>
      </w:r>
      <w:r>
        <w:fldChar w:fldCharType="separate"/>
      </w:r>
      <w:r>
        <w:t>52</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_Toc154752863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_Toc154752865 \h </w:instrText>
      </w:r>
      <w:r>
        <w:fldChar w:fldCharType="separate"/>
      </w:r>
      <w:r>
        <w:t>55</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_Toc154752866 \h </w:instrText>
      </w:r>
      <w:r>
        <w:fldChar w:fldCharType="separate"/>
      </w:r>
      <w:r>
        <w:t>56</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_Toc154752867 \h </w:instrText>
      </w:r>
      <w:r>
        <w:fldChar w:fldCharType="separate"/>
      </w:r>
      <w:r>
        <w:t>57</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_Toc154752868 \h </w:instrText>
      </w:r>
      <w:r>
        <w:fldChar w:fldCharType="separate"/>
      </w:r>
      <w:r>
        <w:t>58</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_Toc154752869 \h </w:instrText>
      </w:r>
      <w:r>
        <w:fldChar w:fldCharType="separate"/>
      </w:r>
      <w:r>
        <w:t>59</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_Toc154752870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_Toc154752872 \h </w:instrText>
      </w:r>
      <w:r>
        <w:fldChar w:fldCharType="separate"/>
      </w:r>
      <w:r>
        <w:t>60</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_Toc154752873 \h </w:instrText>
      </w:r>
      <w:r>
        <w:fldChar w:fldCharType="separate"/>
      </w:r>
      <w:r>
        <w:t>60</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_Toc154752874 \h </w:instrText>
      </w:r>
      <w:r>
        <w:fldChar w:fldCharType="separate"/>
      </w:r>
      <w:r>
        <w:t>60</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_Toc154752875 \h </w:instrText>
      </w:r>
      <w:r>
        <w:fldChar w:fldCharType="separate"/>
      </w:r>
      <w:r>
        <w:t>61</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_Toc154752876 \h </w:instrText>
      </w:r>
      <w:r>
        <w:fldChar w:fldCharType="separate"/>
      </w:r>
      <w:r>
        <w:t>62</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_Toc154752877 \h </w:instrText>
      </w:r>
      <w:r>
        <w:fldChar w:fldCharType="separate"/>
      </w:r>
      <w:r>
        <w:t>64</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_Toc154752878 \h </w:instrText>
      </w:r>
      <w:r>
        <w:fldChar w:fldCharType="separate"/>
      </w:r>
      <w:r>
        <w:t>64</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_Toc154752879 \h </w:instrText>
      </w:r>
      <w:r>
        <w:fldChar w:fldCharType="separate"/>
      </w:r>
      <w:r>
        <w:t>64</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_Toc154752880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_Toc154752883 \h </w:instrText>
      </w:r>
      <w:r>
        <w:fldChar w:fldCharType="separate"/>
      </w:r>
      <w:r>
        <w:t>67</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_Toc154752884 \h </w:instrText>
      </w:r>
      <w:r>
        <w:fldChar w:fldCharType="separate"/>
      </w:r>
      <w:r>
        <w:t>67</w:t>
      </w:r>
      <w:r>
        <w:fldChar w:fldCharType="end"/>
      </w:r>
    </w:p>
    <w:p>
      <w:pPr>
        <w:pStyle w:val="TOC8"/>
        <w:rPr>
          <w:rFonts w:asciiTheme="minorHAnsi" w:eastAsiaTheme="minorEastAsia" w:hAnsiTheme="minorHAnsi" w:cstheme="minorBidi"/>
          <w:szCs w:val="22"/>
        </w:rPr>
      </w:pPr>
      <w:r>
        <w:t>90.</w:t>
      </w:r>
      <w:r>
        <w:tab/>
        <w:t>Capacity of DPP or CCC to carry out transactions</w:t>
      </w:r>
      <w:r>
        <w:tab/>
      </w:r>
      <w:r>
        <w:fldChar w:fldCharType="begin"/>
      </w:r>
      <w:r>
        <w:instrText xml:space="preserve"> PAGEREF _Toc154752885 \h </w:instrText>
      </w:r>
      <w:r>
        <w:fldChar w:fldCharType="separate"/>
      </w:r>
      <w:r>
        <w:t>68</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_Toc154752886 \h </w:instrText>
      </w:r>
      <w:r>
        <w:fldChar w:fldCharType="separate"/>
      </w:r>
      <w:r>
        <w:t>68</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_Toc154752887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_Toc154752889 \h </w:instrText>
      </w:r>
      <w:r>
        <w:fldChar w:fldCharType="separate"/>
      </w:r>
      <w:r>
        <w:t>69</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_Toc154752890 \h </w:instrText>
      </w:r>
      <w:r>
        <w:fldChar w:fldCharType="separate"/>
      </w:r>
      <w:r>
        <w:t>69</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_Toc154752891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_Toc154752893 \h </w:instrText>
      </w:r>
      <w:r>
        <w:fldChar w:fldCharType="separate"/>
      </w:r>
      <w:r>
        <w:t>71</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_Toc154752894 \h </w:instrText>
      </w:r>
      <w:r>
        <w:fldChar w:fldCharType="separate"/>
      </w:r>
      <w:r>
        <w:t>71</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_Toc154752895 \h </w:instrText>
      </w:r>
      <w:r>
        <w:fldChar w:fldCharType="separate"/>
      </w:r>
      <w:r>
        <w:t>71</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_Toc154752896 \h </w:instrText>
      </w:r>
      <w:r>
        <w:fldChar w:fldCharType="separate"/>
      </w:r>
      <w:r>
        <w:t>72</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_Toc154752897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_Toc154752899 \h </w:instrText>
      </w:r>
      <w:r>
        <w:fldChar w:fldCharType="separate"/>
      </w:r>
      <w:r>
        <w:t>73</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_Toc154752900 \h </w:instrText>
      </w:r>
      <w:r>
        <w:fldChar w:fldCharType="separate"/>
      </w:r>
      <w:r>
        <w:t>74</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_Toc154752901 \h </w:instrText>
      </w:r>
      <w:r>
        <w:fldChar w:fldCharType="separate"/>
      </w:r>
      <w:r>
        <w:t>74</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_Toc154752902 \h </w:instrText>
      </w:r>
      <w:r>
        <w:fldChar w:fldCharType="separate"/>
      </w:r>
      <w:r>
        <w:t>75</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_Toc154752903 \h </w:instrText>
      </w:r>
      <w:r>
        <w:fldChar w:fldCharType="separate"/>
      </w:r>
      <w:r>
        <w:t>75</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_Toc154752904 \h </w:instrText>
      </w:r>
      <w:r>
        <w:fldChar w:fldCharType="separate"/>
      </w:r>
      <w:r>
        <w:t>76</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_Toc154752905 \h </w:instrText>
      </w:r>
      <w:r>
        <w:fldChar w:fldCharType="separate"/>
      </w:r>
      <w:r>
        <w:t>76</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_Toc154752906 \h </w:instrText>
      </w:r>
      <w:r>
        <w:fldChar w:fldCharType="separate"/>
      </w:r>
      <w:r>
        <w:t>76</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_Toc154752907 \h </w:instrText>
      </w:r>
      <w:r>
        <w:fldChar w:fldCharType="separate"/>
      </w:r>
      <w:r>
        <w:t>77</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_Toc154752908 \h </w:instrText>
      </w:r>
      <w:r>
        <w:fldChar w:fldCharType="separate"/>
      </w:r>
      <w:r>
        <w:t>77</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_Toc154752909 \h </w:instrText>
      </w:r>
      <w:r>
        <w:fldChar w:fldCharType="separate"/>
      </w:r>
      <w:r>
        <w:t>77</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_Toc154752910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_Toc154752912 \h </w:instrText>
      </w:r>
      <w:r>
        <w:fldChar w:fldCharType="separate"/>
      </w:r>
      <w:r>
        <w:t>79</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_Toc154752913 \h </w:instrText>
      </w:r>
      <w:r>
        <w:fldChar w:fldCharType="separate"/>
      </w:r>
      <w:r>
        <w:t>81</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_Toc154752914 \h </w:instrText>
      </w:r>
      <w:r>
        <w:fldChar w:fldCharType="separate"/>
      </w:r>
      <w:r>
        <w:t>81</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_Toc154752915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_Toc154752918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_Toc154752920 \h </w:instrText>
      </w:r>
      <w:r>
        <w:fldChar w:fldCharType="separate"/>
      </w:r>
      <w:r>
        <w:t>83</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_Toc154752921 \h </w:instrText>
      </w:r>
      <w:r>
        <w:fldChar w:fldCharType="separate"/>
      </w:r>
      <w:r>
        <w:t>84</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_Toc154752922 \h </w:instrText>
      </w:r>
      <w:r>
        <w:fldChar w:fldCharType="separate"/>
      </w:r>
      <w:r>
        <w:t>84</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_Toc154752923 \h </w:instrText>
      </w:r>
      <w:r>
        <w:fldChar w:fldCharType="separate"/>
      </w:r>
      <w:r>
        <w:t>84</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_Toc154752924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_Toc154752926 \h </w:instrText>
      </w:r>
      <w:r>
        <w:fldChar w:fldCharType="separate"/>
      </w:r>
      <w:r>
        <w:t>85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_Toc154752927 \h </w:instrText>
      </w:r>
      <w:r>
        <w:fldChar w:fldCharType="separate"/>
      </w:r>
      <w:r>
        <w:t>86</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_Toc154752928 \h </w:instrText>
      </w:r>
      <w:r>
        <w:fldChar w:fldCharType="separate"/>
      </w:r>
      <w:r>
        <w:t>86</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_Toc154752929 \h </w:instrText>
      </w:r>
      <w:r>
        <w:fldChar w:fldCharType="separate"/>
      </w:r>
      <w:r>
        <w:t>87</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_Toc154752930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_Toc154752932 \h </w:instrText>
      </w:r>
      <w:r>
        <w:fldChar w:fldCharType="separate"/>
      </w:r>
      <w:r>
        <w:t>89</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_Toc154752933 \h </w:instrText>
      </w:r>
      <w:r>
        <w:fldChar w:fldCharType="separate"/>
      </w:r>
      <w:r>
        <w:t>89</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_Toc154752934 \h </w:instrText>
      </w:r>
      <w:r>
        <w:fldChar w:fldCharType="separate"/>
      </w:r>
      <w:r>
        <w:t>90</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_Toc154752935 \h </w:instrText>
      </w:r>
      <w:r>
        <w:fldChar w:fldCharType="separate"/>
      </w:r>
      <w:r>
        <w:t>90</w:t>
      </w:r>
      <w:r>
        <w:fldChar w:fldCharType="end"/>
      </w:r>
    </w:p>
    <w:p>
      <w:pPr>
        <w:pStyle w:val="TOC8"/>
        <w:rPr>
          <w:rFonts w:asciiTheme="minorHAnsi" w:eastAsiaTheme="minorEastAsia" w:hAnsiTheme="minorHAnsi" w:cstheme="minorBidi"/>
          <w:szCs w:val="22"/>
        </w:rPr>
      </w:pPr>
      <w:r>
        <w:t>132.</w:t>
      </w:r>
      <w:r>
        <w:tab/>
        <w:t>Obstructing police officers or authorised CCC officers</w:t>
      </w:r>
      <w:r>
        <w:tab/>
      </w:r>
      <w:r>
        <w:fldChar w:fldCharType="begin"/>
      </w:r>
      <w:r>
        <w:instrText xml:space="preserve"> PAGEREF _Toc154752936 \h </w:instrText>
      </w:r>
      <w:r>
        <w:fldChar w:fldCharType="separate"/>
      </w:r>
      <w:r>
        <w:t>91</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_Toc154752937 \h </w:instrText>
      </w:r>
      <w:r>
        <w:fldChar w:fldCharType="separate"/>
      </w:r>
      <w:r>
        <w:t>92</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_Toc154752938 \h </w:instrText>
      </w:r>
      <w:r>
        <w:fldChar w:fldCharType="separate"/>
      </w:r>
      <w:r>
        <w:t>92</w:t>
      </w:r>
      <w:r>
        <w:fldChar w:fldCharType="end"/>
      </w:r>
    </w:p>
    <w:p>
      <w:pPr>
        <w:pStyle w:val="TOC8"/>
        <w:rPr>
          <w:rFonts w:asciiTheme="minorHAnsi" w:eastAsiaTheme="minorEastAsia" w:hAnsiTheme="minorHAnsi" w:cstheme="minorBidi"/>
          <w:szCs w:val="22"/>
        </w:rPr>
      </w:pPr>
      <w:r>
        <w:t>134A.</w:t>
      </w:r>
      <w:r>
        <w:tab/>
        <w:t>CCC’s power to delegate</w:t>
      </w:r>
      <w:r>
        <w:tab/>
      </w:r>
      <w:r>
        <w:fldChar w:fldCharType="begin"/>
      </w:r>
      <w:r>
        <w:instrText xml:space="preserve"> PAGEREF _Toc154752939 \h </w:instrText>
      </w:r>
      <w:r>
        <w:fldChar w:fldCharType="separate"/>
      </w:r>
      <w:r>
        <w:t>93</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_Toc154752940 \h </w:instrText>
      </w:r>
      <w:r>
        <w:fldChar w:fldCharType="separate"/>
      </w:r>
      <w:r>
        <w:t>93</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_Toc154752941 \h </w:instrText>
      </w:r>
      <w:r>
        <w:fldChar w:fldCharType="separate"/>
      </w:r>
      <w:r>
        <w:t>94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_Toc154752942 \h </w:instrText>
      </w:r>
      <w:r>
        <w:fldChar w:fldCharType="separate"/>
      </w:r>
      <w:r>
        <w:t>95</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_Toc154752943 \h </w:instrText>
      </w:r>
      <w:r>
        <w:fldChar w:fldCharType="separate"/>
      </w:r>
      <w:r>
        <w:t>95</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_Toc154752944 \h </w:instrText>
      </w:r>
      <w:r>
        <w:fldChar w:fldCharType="separate"/>
      </w:r>
      <w:r>
        <w:t>95</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_Toc154752945 \h </w:instrText>
      </w:r>
      <w:r>
        <w:fldChar w:fldCharType="separate"/>
      </w:r>
      <w:r>
        <w:t>96</w:t>
      </w:r>
      <w:r>
        <w:fldChar w:fldCharType="end"/>
      </w:r>
    </w:p>
    <w:p>
      <w:pPr>
        <w:pStyle w:val="TOC8"/>
        <w:rPr>
          <w:rFonts w:asciiTheme="minorHAnsi" w:eastAsiaTheme="minorEastAsia" w:hAnsiTheme="minorHAnsi" w:cstheme="minorBidi"/>
          <w:szCs w:val="22"/>
        </w:rPr>
      </w:pPr>
      <w:r>
        <w:t>140A.</w:t>
      </w:r>
      <w:r>
        <w:tab/>
        <w:t>Review of 2018 amendments to Act</w:t>
      </w:r>
      <w:r>
        <w:tab/>
      </w:r>
      <w:r>
        <w:fldChar w:fldCharType="begin"/>
      </w:r>
      <w:r>
        <w:instrText xml:space="preserve"> PAGEREF _Toc154752946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_Toc154752948 \h </w:instrText>
      </w:r>
      <w:r>
        <w:fldChar w:fldCharType="separate"/>
      </w:r>
      <w:r>
        <w:t>98</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_Toc154752949 \h </w:instrText>
      </w:r>
      <w:r>
        <w:fldChar w:fldCharType="separate"/>
      </w:r>
      <w:r>
        <w:t>99</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_Toc154752950 \h </w:instrText>
      </w:r>
      <w:r>
        <w:fldChar w:fldCharType="separate"/>
      </w:r>
      <w:r>
        <w:t>99</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_Toc154752951 \h </w:instrText>
      </w:r>
      <w:r>
        <w:fldChar w:fldCharType="separate"/>
      </w:r>
      <w:r>
        <w:t>100</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_Toc154752952 \h </w:instrText>
      </w:r>
      <w:r>
        <w:fldChar w:fldCharType="separate"/>
      </w:r>
      <w:r>
        <w:t>101</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_Toc154752953 \h </w:instrText>
      </w:r>
      <w:r>
        <w:fldChar w:fldCharType="separate"/>
      </w:r>
      <w:r>
        <w:t>101</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_Toc154752954 \h </w:instrText>
      </w:r>
      <w:r>
        <w:fldChar w:fldCharType="separate"/>
      </w:r>
      <w:r>
        <w:t>102</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_Toc154752955 \h </w:instrText>
      </w:r>
      <w:r>
        <w:fldChar w:fldCharType="separate"/>
      </w:r>
      <w:r>
        <w:t>102</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_Toc154752956 \h </w:instrText>
      </w:r>
      <w:r>
        <w:fldChar w:fldCharType="separate"/>
      </w:r>
      <w:r>
        <w:t>105</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_Toc154752957 \h </w:instrText>
      </w:r>
      <w:r>
        <w:fldChar w:fldCharType="separate"/>
      </w:r>
      <w:r>
        <w:t>105</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_Toc154752958 \h </w:instrText>
      </w:r>
      <w:r>
        <w:fldChar w:fldCharType="separate"/>
      </w:r>
      <w:r>
        <w:t>106</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_Toc154752959 \h </w:instrText>
      </w:r>
      <w:r>
        <w:fldChar w:fldCharType="separate"/>
      </w:r>
      <w:r>
        <w:t>106</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_Toc154752960 \h </w:instrText>
      </w:r>
      <w:r>
        <w:fldChar w:fldCharType="separate"/>
      </w:r>
      <w:r>
        <w:t>107</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_Toc154752961 \h </w:instrText>
      </w:r>
      <w:r>
        <w:fldChar w:fldCharType="separate"/>
      </w:r>
      <w:r>
        <w:t>108</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_Toc154752962 \h </w:instrText>
      </w:r>
      <w:r>
        <w:fldChar w:fldCharType="separate"/>
      </w:r>
      <w:r>
        <w:t>108</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_Toc154752963 \h </w:instrText>
      </w:r>
      <w:r>
        <w:fldChar w:fldCharType="separate"/>
      </w:r>
      <w:r>
        <w:t>109</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_Toc154752964 \h </w:instrText>
      </w:r>
      <w:r>
        <w:fldChar w:fldCharType="separate"/>
      </w:r>
      <w:r>
        <w:t>110</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_Toc154752965 \h </w:instrText>
      </w:r>
      <w:r>
        <w:fldChar w:fldCharType="separate"/>
      </w:r>
      <w:r>
        <w:t>111</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_Toc154752966 \h </w:instrText>
      </w:r>
      <w:r>
        <w:fldChar w:fldCharType="separate"/>
      </w:r>
      <w:r>
        <w:t>111</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_Toc154752967 \h </w:instrText>
      </w:r>
      <w:r>
        <w:fldChar w:fldCharType="separate"/>
      </w:r>
      <w:r>
        <w:t>112</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_Toc154752968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_Toc154752970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_Toc154752972 \h </w:instrText>
      </w:r>
      <w:r>
        <w:fldChar w:fldCharType="separate"/>
      </w:r>
      <w:r>
        <w:t>122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_Toc154752973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15475277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15475277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snapToGrid w:val="0"/>
        </w:rPr>
        <w:t>.</w:t>
      </w:r>
    </w:p>
    <w:p>
      <w:pPr>
        <w:pStyle w:val="Heading5"/>
        <w:rPr>
          <w:snapToGrid w:val="0"/>
        </w:rPr>
      </w:pPr>
      <w:bookmarkStart w:id="5" w:name="_Toc154752775"/>
      <w:r>
        <w:rPr>
          <w:rStyle w:val="CharSectno"/>
        </w:rPr>
        <w:t>2</w:t>
      </w:r>
      <w:r>
        <w:rPr>
          <w:snapToGrid w:val="0"/>
        </w:rPr>
        <w:t>.</w:t>
      </w:r>
      <w:r>
        <w:rPr>
          <w:snapToGrid w:val="0"/>
        </w:rPr>
        <w:tab/>
        <w:t>Commencement</w:t>
      </w:r>
      <w:bookmarkEnd w:id="5"/>
    </w:p>
    <w:p>
      <w:pPr>
        <w:pStyle w:val="Subsection"/>
      </w:pPr>
      <w:r>
        <w:tab/>
      </w:r>
      <w:r>
        <w:tab/>
        <w:t>This Act comes into operation on a day fixed by proclamation.</w:t>
      </w:r>
    </w:p>
    <w:p>
      <w:pPr>
        <w:pStyle w:val="Heading5"/>
      </w:pPr>
      <w:bookmarkStart w:id="6" w:name="_Toc154752776"/>
      <w:r>
        <w:rPr>
          <w:rStyle w:val="CharSectno"/>
        </w:rPr>
        <w:t>3</w:t>
      </w:r>
      <w:r>
        <w:rPr>
          <w:snapToGrid w:val="0"/>
        </w:rPr>
        <w:t>.</w:t>
      </w:r>
      <w:r>
        <w:rPr>
          <w:snapToGrid w:val="0"/>
        </w:rPr>
        <w:tab/>
        <w:t>Terms used (Glossary)</w:t>
      </w:r>
      <w:bookmarkEnd w:id="6"/>
    </w:p>
    <w:p>
      <w:pPr>
        <w:pStyle w:val="Subsection"/>
      </w:pPr>
      <w:r>
        <w:tab/>
      </w:r>
      <w:r>
        <w:tab/>
        <w:t>The Glossary at the end of this Act defines or affects the meaning of some of the words and expressions used in this Act.</w:t>
      </w:r>
    </w:p>
    <w:p>
      <w:pPr>
        <w:pStyle w:val="Heading5"/>
      </w:pPr>
      <w:bookmarkStart w:id="7" w:name="_Toc154752777"/>
      <w:r>
        <w:rPr>
          <w:rStyle w:val="CharSectno"/>
        </w:rPr>
        <w:t>4</w:t>
      </w:r>
      <w:r>
        <w:t>.</w:t>
      </w:r>
      <w:r>
        <w:tab/>
        <w:t>What is confiscable property</w:t>
      </w:r>
      <w:bookmarkEnd w:id="7"/>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xml:space="preserve">, or who </w:t>
      </w:r>
      <w:r>
        <w:lastRenderedPageBreak/>
        <w:t>absconds before a declaration can be made (</w:t>
      </w:r>
      <w:r>
        <w:rPr>
          <w:rStyle w:val="CharDefText"/>
        </w:rPr>
        <w:t>declared drug trafficker</w:t>
      </w:r>
      <w:r>
        <w:rPr>
          <w:b/>
        </w:rPr>
        <w:t> </w:t>
      </w:r>
      <w:r>
        <w:t>— see section 159).</w:t>
      </w:r>
    </w:p>
    <w:p>
      <w:pPr>
        <w:pStyle w:val="Heading5"/>
      </w:pPr>
      <w:bookmarkStart w:id="8" w:name="_Toc154752778"/>
      <w:r>
        <w:rPr>
          <w:rStyle w:val="CharSectno"/>
        </w:rPr>
        <w:t>5</w:t>
      </w:r>
      <w:r>
        <w:t>.</w:t>
      </w:r>
      <w:r>
        <w:tab/>
        <w:t>Application of Act to confiscable property</w:t>
      </w:r>
      <w:bookmarkEnd w:id="8"/>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9" w:name="_Toc154752779"/>
      <w:r>
        <w:rPr>
          <w:rStyle w:val="CharPartNo"/>
        </w:rPr>
        <w:lastRenderedPageBreak/>
        <w:t>Part 2</w:t>
      </w:r>
      <w:r>
        <w:t xml:space="preserve"> — </w:t>
      </w:r>
      <w:r>
        <w:rPr>
          <w:rStyle w:val="CharPartText"/>
        </w:rPr>
        <w:t>Confiscation of property</w:t>
      </w:r>
      <w:bookmarkEnd w:id="9"/>
    </w:p>
    <w:p>
      <w:pPr>
        <w:pStyle w:val="Heading5"/>
      </w:pPr>
      <w:bookmarkStart w:id="10" w:name="_Toc154752780"/>
      <w:r>
        <w:rPr>
          <w:rStyle w:val="CharSectno"/>
        </w:rPr>
        <w:t>6</w:t>
      </w:r>
      <w:r>
        <w:t>.</w:t>
      </w:r>
      <w:r>
        <w:tab/>
        <w:t>When property is confiscated</w:t>
      </w:r>
      <w:bookmarkEnd w:id="10"/>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1" w:name="_Toc154752781"/>
      <w:r>
        <w:rPr>
          <w:rStyle w:val="CharSectno"/>
        </w:rPr>
        <w:t>7</w:t>
      </w:r>
      <w:r>
        <w:t>.</w:t>
      </w:r>
      <w:r>
        <w:tab/>
        <w:t>When frozen property is confiscated automatically</w:t>
      </w:r>
      <w:bookmarkEnd w:id="11"/>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2" w:name="_Toc154752782"/>
      <w:r>
        <w:rPr>
          <w:rStyle w:val="CharSectno"/>
        </w:rPr>
        <w:t>8</w:t>
      </w:r>
      <w:r>
        <w:t>.</w:t>
      </w:r>
      <w:r>
        <w:tab/>
        <w:t>Declared drug trafficker, certain property of confiscated</w:t>
      </w:r>
      <w:bookmarkEnd w:id="12"/>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lastRenderedPageBreak/>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3" w:name="_Toc154752783"/>
      <w:r>
        <w:rPr>
          <w:rStyle w:val="CharSectno"/>
        </w:rPr>
        <w:t>9</w:t>
      </w:r>
      <w:r>
        <w:t>.</w:t>
      </w:r>
      <w:r>
        <w:tab/>
        <w:t>Registrable real property, time and effect of confiscation of under s. 6, 7 or 8</w:t>
      </w:r>
      <w:bookmarkEnd w:id="1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lastRenderedPageBreak/>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4" w:name="_Toc154752784"/>
      <w:r>
        <w:rPr>
          <w:rStyle w:val="CharSectno"/>
        </w:rPr>
        <w:t>10</w:t>
      </w:r>
      <w:r>
        <w:t>.</w:t>
      </w:r>
      <w:r>
        <w:tab/>
        <w:t>Other property, time and effect of confiscation of under s. 6, 7 or 8</w:t>
      </w:r>
      <w:bookmarkEnd w:id="1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15" w:name="_Toc154752785"/>
      <w:r>
        <w:rPr>
          <w:rStyle w:val="CharPartNo"/>
        </w:rPr>
        <w:lastRenderedPageBreak/>
        <w:t>Part 3</w:t>
      </w:r>
      <w:r>
        <w:t xml:space="preserve"> — </w:t>
      </w:r>
      <w:r>
        <w:rPr>
          <w:rStyle w:val="CharPartText"/>
        </w:rPr>
        <w:t>Identifying and recovering confiscable property</w:t>
      </w:r>
      <w:bookmarkEnd w:id="15"/>
    </w:p>
    <w:p>
      <w:pPr>
        <w:pStyle w:val="Heading3"/>
      </w:pPr>
      <w:bookmarkStart w:id="16" w:name="_Toc154752786"/>
      <w:r>
        <w:rPr>
          <w:rStyle w:val="CharDivNo"/>
        </w:rPr>
        <w:t>Division 1</w:t>
      </w:r>
      <w:r>
        <w:t xml:space="preserve"> — </w:t>
      </w:r>
      <w:r>
        <w:rPr>
          <w:rStyle w:val="CharDivText"/>
        </w:rPr>
        <w:t>Unexplained wealth</w:t>
      </w:r>
      <w:bookmarkEnd w:id="16"/>
    </w:p>
    <w:p>
      <w:pPr>
        <w:pStyle w:val="Heading5"/>
      </w:pPr>
      <w:bookmarkStart w:id="17" w:name="_Toc154752787"/>
      <w:r>
        <w:rPr>
          <w:rStyle w:val="CharSectno"/>
        </w:rPr>
        <w:t>11</w:t>
      </w:r>
      <w:r>
        <w:t>.</w:t>
      </w:r>
      <w:r>
        <w:tab/>
        <w:t>Unexplained wealth declarations, applying for</w:t>
      </w:r>
      <w:bookmarkEnd w:id="17"/>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11 amended: No. 10 of 2018 s. 28.]</w:t>
      </w:r>
    </w:p>
    <w:p>
      <w:pPr>
        <w:pStyle w:val="Heading5"/>
      </w:pPr>
      <w:bookmarkStart w:id="18" w:name="_Toc154752788"/>
      <w:r>
        <w:rPr>
          <w:rStyle w:val="CharSectno"/>
        </w:rPr>
        <w:t>12</w:t>
      </w:r>
      <w:r>
        <w:t>.</w:t>
      </w:r>
      <w:r>
        <w:tab/>
        <w:t>Unexplained wealth declarations, making</w:t>
      </w:r>
      <w:bookmarkEnd w:id="18"/>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lastRenderedPageBreak/>
        <w:tab/>
        <w:t>(5)</w:t>
      </w:r>
      <w:r>
        <w:tab/>
        <w:t>The court may make any necessary or convenient ancillary orders.</w:t>
      </w:r>
    </w:p>
    <w:p>
      <w:pPr>
        <w:pStyle w:val="Footnotesection"/>
      </w:pPr>
      <w:r>
        <w:tab/>
        <w:t>[Section 12 amended: No. 10 of 2018 s. 29.]</w:t>
      </w:r>
    </w:p>
    <w:p>
      <w:pPr>
        <w:pStyle w:val="Heading5"/>
      </w:pPr>
      <w:bookmarkStart w:id="19" w:name="_Toc154752789"/>
      <w:r>
        <w:rPr>
          <w:rStyle w:val="CharSectno"/>
        </w:rPr>
        <w:t>13</w:t>
      </w:r>
      <w:r>
        <w:t>.</w:t>
      </w:r>
      <w:r>
        <w:tab/>
        <w:t>Unexplained wealth, assessing value of</w:t>
      </w:r>
      <w:bookmarkEnd w:id="19"/>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0" w:name="_Toc154752790"/>
      <w:r>
        <w:rPr>
          <w:rStyle w:val="CharSectno"/>
        </w:rPr>
        <w:lastRenderedPageBreak/>
        <w:t>14</w:t>
      </w:r>
      <w:r>
        <w:t>.</w:t>
      </w:r>
      <w:r>
        <w:tab/>
        <w:t>Unexplained wealth declaration, effect of</w:t>
      </w:r>
      <w:bookmarkEnd w:id="20"/>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1" w:name="_Toc154752791"/>
      <w:r>
        <w:rPr>
          <w:rStyle w:val="CharDivNo"/>
        </w:rPr>
        <w:t>Division 2</w:t>
      </w:r>
      <w:r>
        <w:t xml:space="preserve"> — </w:t>
      </w:r>
      <w:r>
        <w:rPr>
          <w:rStyle w:val="CharDivText"/>
        </w:rPr>
        <w:t>Criminal benefits</w:t>
      </w:r>
      <w:bookmarkEnd w:id="21"/>
    </w:p>
    <w:p>
      <w:pPr>
        <w:pStyle w:val="Heading5"/>
      </w:pPr>
      <w:bookmarkStart w:id="22" w:name="_Toc154752792"/>
      <w:r>
        <w:rPr>
          <w:rStyle w:val="CharSectno"/>
        </w:rPr>
        <w:t>15</w:t>
      </w:r>
      <w:r>
        <w:t>.</w:t>
      </w:r>
      <w:r>
        <w:tab/>
        <w:t>Criminal benefits declarations, applying for</w:t>
      </w:r>
      <w:bookmarkEnd w:id="22"/>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15 amended: No. 10 of 2018 s. 30.]</w:t>
      </w:r>
    </w:p>
    <w:p>
      <w:pPr>
        <w:pStyle w:val="Heading5"/>
      </w:pPr>
      <w:bookmarkStart w:id="23" w:name="_Toc154752793"/>
      <w:r>
        <w:rPr>
          <w:rStyle w:val="CharSectno"/>
        </w:rPr>
        <w:t>16</w:t>
      </w:r>
      <w:r>
        <w:t>.</w:t>
      </w:r>
      <w:r>
        <w:tab/>
        <w:t>Criminal benefits declarations for crime</w:t>
      </w:r>
      <w:r>
        <w:noBreakHyphen/>
        <w:t>derived property, making</w:t>
      </w:r>
      <w:bookmarkEnd w:id="23"/>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 xml:space="preserve">For the purposes of subsection (1)(b), if the respondent has been convicted of the confiscation offence, the respondent is </w:t>
      </w:r>
      <w:r>
        <w:lastRenderedPageBreak/>
        <w:t>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4" w:name="_Toc154752794"/>
      <w:r>
        <w:rPr>
          <w:rStyle w:val="CharSectno"/>
        </w:rPr>
        <w:t>17</w:t>
      </w:r>
      <w:r>
        <w:t>.</w:t>
      </w:r>
      <w:r>
        <w:tab/>
        <w:t>Criminal benefits declarations for unlawfully acquired property, making</w:t>
      </w:r>
      <w:bookmarkEnd w:id="2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5" w:name="_Toc154752795"/>
      <w:r>
        <w:rPr>
          <w:rStyle w:val="CharSectno"/>
        </w:rPr>
        <w:t>18</w:t>
      </w:r>
      <w:r>
        <w:t>.</w:t>
      </w:r>
      <w:r>
        <w:tab/>
        <w:t>Criminal benefits declarations, limits on making and ancillary orders for</w:t>
      </w:r>
      <w:bookmarkEnd w:id="2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 xml:space="preserve">the property, service, advantage or benefit, or its value, has been taken into account for the purpose of making </w:t>
      </w:r>
      <w:r>
        <w:lastRenderedPageBreak/>
        <w:t>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6" w:name="_Toc154752796"/>
      <w:r>
        <w:rPr>
          <w:rStyle w:val="CharSectno"/>
        </w:rPr>
        <w:t>19</w:t>
      </w:r>
      <w:r>
        <w:t>.</w:t>
      </w:r>
      <w:r>
        <w:tab/>
        <w:t>Criminal benefits, assessing value of</w:t>
      </w:r>
      <w:bookmarkEnd w:id="26"/>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7" w:name="_Toc154752797"/>
      <w:r>
        <w:rPr>
          <w:rStyle w:val="CharSectno"/>
        </w:rPr>
        <w:t>20</w:t>
      </w:r>
      <w:r>
        <w:t>.</w:t>
      </w:r>
      <w:r>
        <w:tab/>
        <w:t>Criminal benefits declaration, effect of</w:t>
      </w:r>
      <w:bookmarkEnd w:id="27"/>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8" w:name="_Toc154752798"/>
      <w:r>
        <w:rPr>
          <w:rStyle w:val="CharDivNo"/>
        </w:rPr>
        <w:lastRenderedPageBreak/>
        <w:t>Division 3</w:t>
      </w:r>
      <w:r>
        <w:t xml:space="preserve"> — </w:t>
      </w:r>
      <w:r>
        <w:rPr>
          <w:rStyle w:val="CharDivText"/>
        </w:rPr>
        <w:t>Crime</w:t>
      </w:r>
      <w:r>
        <w:rPr>
          <w:rStyle w:val="CharDivText"/>
        </w:rPr>
        <w:noBreakHyphen/>
        <w:t>used property substitution</w:t>
      </w:r>
      <w:bookmarkEnd w:id="28"/>
    </w:p>
    <w:p>
      <w:pPr>
        <w:pStyle w:val="Heading5"/>
      </w:pPr>
      <w:bookmarkStart w:id="29" w:name="_Toc154752799"/>
      <w:r>
        <w:rPr>
          <w:rStyle w:val="CharSectno"/>
        </w:rPr>
        <w:t>21</w:t>
      </w:r>
      <w:r>
        <w:t>.</w:t>
      </w:r>
      <w:r>
        <w:tab/>
        <w:t>Crime</w:t>
      </w:r>
      <w:r>
        <w:noBreakHyphen/>
        <w:t>used property substitution declaration, applying for</w:t>
      </w:r>
      <w:bookmarkEnd w:id="29"/>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0" w:name="_Toc154752800"/>
      <w:r>
        <w:rPr>
          <w:rStyle w:val="CharSectno"/>
        </w:rPr>
        <w:t>22</w:t>
      </w:r>
      <w:r>
        <w:t>.</w:t>
      </w:r>
      <w:r>
        <w:tab/>
        <w:t>Crime</w:t>
      </w:r>
      <w:r>
        <w:noBreakHyphen/>
        <w:t>used property substitution declarations, making</w:t>
      </w:r>
      <w:bookmarkEnd w:id="3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lastRenderedPageBreak/>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31" w:name="_Toc154752801"/>
      <w:r>
        <w:rPr>
          <w:rStyle w:val="CharSectno"/>
        </w:rPr>
        <w:t>23</w:t>
      </w:r>
      <w:r>
        <w:t>.</w:t>
      </w:r>
      <w:r>
        <w:tab/>
        <w:t>Crime</w:t>
      </w:r>
      <w:r>
        <w:noBreakHyphen/>
        <w:t>used property, assessing value of</w:t>
      </w:r>
      <w:bookmarkEnd w:id="31"/>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2" w:name="_Toc154752802"/>
      <w:r>
        <w:rPr>
          <w:rStyle w:val="CharSectno"/>
        </w:rPr>
        <w:lastRenderedPageBreak/>
        <w:t>24</w:t>
      </w:r>
      <w:r>
        <w:t>.</w:t>
      </w:r>
      <w:r>
        <w:tab/>
        <w:t>Crime</w:t>
      </w:r>
      <w:r>
        <w:noBreakHyphen/>
        <w:t>used property substitution declaration, effect of</w:t>
      </w:r>
      <w:bookmarkEnd w:id="32"/>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3" w:name="_Toc154752803"/>
      <w:r>
        <w:rPr>
          <w:rStyle w:val="CharDivNo"/>
        </w:rPr>
        <w:t>Division 4</w:t>
      </w:r>
      <w:r>
        <w:t xml:space="preserve"> — </w:t>
      </w:r>
      <w:r>
        <w:rPr>
          <w:rStyle w:val="CharDivText"/>
        </w:rPr>
        <w:t>Recovery of confiscable property</w:t>
      </w:r>
      <w:bookmarkEnd w:id="33"/>
    </w:p>
    <w:p>
      <w:pPr>
        <w:pStyle w:val="Heading5"/>
      </w:pPr>
      <w:bookmarkStart w:id="34" w:name="_Toc154752804"/>
      <w:r>
        <w:rPr>
          <w:rStyle w:val="CharSectno"/>
        </w:rPr>
        <w:t>25</w:t>
      </w:r>
      <w:r>
        <w:t>.</w:t>
      </w:r>
      <w:r>
        <w:tab/>
        <w:t>Amounts payable under s. 14, 20 and 24, when payable and recovery of</w:t>
      </w:r>
      <w:bookmarkEnd w:id="34"/>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5" w:name="_Toc154752805"/>
      <w:r>
        <w:rPr>
          <w:rStyle w:val="CharSectno"/>
        </w:rPr>
        <w:t>26</w:t>
      </w:r>
      <w:r>
        <w:t>.</w:t>
      </w:r>
      <w:r>
        <w:tab/>
        <w:t>Frozen property, use of to meet liability under s. 14, 20 or 24</w:t>
      </w:r>
      <w:bookmarkEnd w:id="35"/>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lastRenderedPageBreak/>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6" w:name="_Toc154752806"/>
      <w:r>
        <w:rPr>
          <w:rStyle w:val="CharSectno"/>
        </w:rPr>
        <w:t>27</w:t>
      </w:r>
      <w:r>
        <w:t>.</w:t>
      </w:r>
      <w:r>
        <w:tab/>
        <w:t>Confiscable property declarations, applying for</w:t>
      </w:r>
      <w:bookmarkEnd w:id="36"/>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r>
        <w:tab/>
        <w:t>[Section 27 amended: No. 10 of 2018 s. 31.]</w:t>
      </w:r>
    </w:p>
    <w:p>
      <w:pPr>
        <w:pStyle w:val="Heading5"/>
      </w:pPr>
      <w:bookmarkStart w:id="37" w:name="_Toc154752807"/>
      <w:r>
        <w:rPr>
          <w:rStyle w:val="CharSectno"/>
        </w:rPr>
        <w:t>28</w:t>
      </w:r>
      <w:r>
        <w:t>.</w:t>
      </w:r>
      <w:r>
        <w:tab/>
        <w:t>Confiscable property declarations, making</w:t>
      </w:r>
      <w:bookmarkEnd w:id="37"/>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lastRenderedPageBreak/>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38" w:name="_Toc154752808"/>
      <w:r>
        <w:rPr>
          <w:rStyle w:val="CharSectno"/>
        </w:rPr>
        <w:t>29</w:t>
      </w:r>
      <w:r>
        <w:t>.</w:t>
      </w:r>
      <w:r>
        <w:tab/>
        <w:t>Property available to meet liability under s. 14, 20 or 24</w:t>
      </w:r>
      <w:bookmarkEnd w:id="38"/>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9" w:name="_Toc154752809"/>
      <w:r>
        <w:rPr>
          <w:rStyle w:val="CharSectno"/>
        </w:rPr>
        <w:t>30</w:t>
      </w:r>
      <w:r>
        <w:t>.</w:t>
      </w:r>
      <w:r>
        <w:tab/>
        <w:t>Declarations of confiscation, applying for and making</w:t>
      </w:r>
      <w:bookmarkEnd w:id="39"/>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r>
        <w:tab/>
        <w:t>[Section 30 amended: No. 10 of 2018 s. 32.]</w:t>
      </w:r>
    </w:p>
    <w:p>
      <w:pPr>
        <w:pStyle w:val="Heading5"/>
      </w:pPr>
      <w:bookmarkStart w:id="40" w:name="_Toc154752810"/>
      <w:r>
        <w:rPr>
          <w:rStyle w:val="CharSectno"/>
        </w:rPr>
        <w:t>31</w:t>
      </w:r>
      <w:r>
        <w:t>.</w:t>
      </w:r>
      <w:r>
        <w:tab/>
        <w:t>Applicant’s duty to lodge memorial of confiscation</w:t>
      </w:r>
      <w:bookmarkEnd w:id="40"/>
    </w:p>
    <w:p>
      <w:pPr>
        <w:pStyle w:val="Subsection"/>
      </w:pPr>
      <w:r>
        <w:tab/>
        <w:t>(1)</w:t>
      </w:r>
      <w:r>
        <w:tab/>
        <w:t xml:space="preserve">When the court declares under section 30 that registrable real property has been confiscated, the applicant for the declaration </w:t>
      </w:r>
      <w:r>
        <w:lastRenderedPageBreak/>
        <w:t>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41" w:name="_Toc154752811"/>
      <w:r>
        <w:rPr>
          <w:rStyle w:val="CharSectno"/>
        </w:rPr>
        <w:t>32</w:t>
      </w:r>
      <w:r>
        <w:t>.</w:t>
      </w:r>
      <w:r>
        <w:tab/>
        <w:t>Varying declarations</w:t>
      </w:r>
      <w:bookmarkEnd w:id="41"/>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r>
        <w:tab/>
        <w:t>[Section 32 amended: No. 10 of 2018 s. 34.]</w:t>
      </w:r>
    </w:p>
    <w:p>
      <w:pPr>
        <w:pStyle w:val="Heading2"/>
      </w:pPr>
      <w:bookmarkStart w:id="42" w:name="_Toc154752812"/>
      <w:r>
        <w:rPr>
          <w:rStyle w:val="CharPartNo"/>
        </w:rPr>
        <w:lastRenderedPageBreak/>
        <w:t>Part 4</w:t>
      </w:r>
      <w:r>
        <w:t xml:space="preserve"> — </w:t>
      </w:r>
      <w:r>
        <w:rPr>
          <w:rStyle w:val="CharPartText"/>
        </w:rPr>
        <w:t>Preventing dealings in confiscable property</w:t>
      </w:r>
      <w:bookmarkEnd w:id="42"/>
    </w:p>
    <w:p>
      <w:pPr>
        <w:pStyle w:val="Heading3"/>
      </w:pPr>
      <w:bookmarkStart w:id="43" w:name="_Toc154752813"/>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3"/>
    </w:p>
    <w:p>
      <w:pPr>
        <w:pStyle w:val="Heading5"/>
      </w:pPr>
      <w:bookmarkStart w:id="44" w:name="_Toc154752814"/>
      <w:r>
        <w:rPr>
          <w:rStyle w:val="CharSectno"/>
        </w:rPr>
        <w:t>33</w:t>
      </w:r>
      <w:r>
        <w:t>.</w:t>
      </w:r>
      <w:r>
        <w:tab/>
        <w:t>Property, powers to seize etc.</w:t>
      </w:r>
      <w:bookmarkEnd w:id="4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45" w:name="_Toc154752815"/>
      <w:r>
        <w:rPr>
          <w:rStyle w:val="CharDivNo"/>
        </w:rPr>
        <w:lastRenderedPageBreak/>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5"/>
    </w:p>
    <w:p>
      <w:pPr>
        <w:pStyle w:val="Heading5"/>
        <w:spacing w:before="180"/>
      </w:pPr>
      <w:bookmarkStart w:id="46" w:name="_Toc154752816"/>
      <w:r>
        <w:rPr>
          <w:rStyle w:val="CharSectno"/>
        </w:rPr>
        <w:t>34</w:t>
      </w:r>
      <w:r>
        <w:t>.</w:t>
      </w:r>
      <w:r>
        <w:tab/>
        <w:t>Freezing notices, application for and issue of</w:t>
      </w:r>
      <w:bookmarkEnd w:id="46"/>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spacing w:before="120"/>
      </w:pPr>
      <w:r>
        <w:lastRenderedPageBreak/>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7" w:name="_Toc154752817"/>
      <w:r>
        <w:rPr>
          <w:rStyle w:val="CharSectno"/>
        </w:rPr>
        <w:t>35</w:t>
      </w:r>
      <w:r>
        <w:t>.</w:t>
      </w:r>
      <w:r>
        <w:tab/>
        <w:t>Freezing notices, contents of</w:t>
      </w:r>
      <w:bookmarkEnd w:id="47"/>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lastRenderedPageBreak/>
        <w:tab/>
        <w:t>(3)</w:t>
      </w:r>
      <w:r>
        <w:tab/>
        <w:t>For the purposes of subsection (1)(h), a police officer or the DPP may arrange for an inventory to be taken of any fittings, fixtures or moveable goods in or on the property.</w:t>
      </w:r>
    </w:p>
    <w:p>
      <w:pPr>
        <w:pStyle w:val="Heading5"/>
      </w:pPr>
      <w:bookmarkStart w:id="48" w:name="_Toc154752818"/>
      <w:r>
        <w:rPr>
          <w:rStyle w:val="CharSectno"/>
        </w:rPr>
        <w:t>36</w:t>
      </w:r>
      <w:r>
        <w:t>.</w:t>
      </w:r>
      <w:r>
        <w:tab/>
        <w:t>Freezing notices, service, notice and filing of</w:t>
      </w:r>
      <w:bookmarkEnd w:id="48"/>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lastRenderedPageBreak/>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49" w:name="_Toc154752819"/>
      <w:r>
        <w:rPr>
          <w:rStyle w:val="CharSectno"/>
        </w:rPr>
        <w:t>37</w:t>
      </w:r>
      <w:r>
        <w:t>.</w:t>
      </w:r>
      <w:r>
        <w:tab/>
        <w:t>Person served with freezing notice to declare any other interested party</w:t>
      </w:r>
      <w:bookmarkEnd w:id="49"/>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0" w:name="_Toc154752820"/>
      <w:r>
        <w:rPr>
          <w:rStyle w:val="CharSectno"/>
        </w:rPr>
        <w:t>38</w:t>
      </w:r>
      <w:r>
        <w:t>.</w:t>
      </w:r>
      <w:r>
        <w:tab/>
        <w:t>Freezing notices for registrable real property, duration of and notices about</w:t>
      </w:r>
      <w:bookmarkEnd w:id="50"/>
    </w:p>
    <w:p>
      <w:pPr>
        <w:pStyle w:val="Subsection"/>
      </w:pPr>
      <w:r>
        <w:tab/>
        <w:t>(1)</w:t>
      </w:r>
      <w:r>
        <w:tab/>
        <w:t>A freezing notice for registrable real property comes into force when a memorial of the issue of the freezing notice is registered under section 113(1).</w:t>
      </w:r>
    </w:p>
    <w:p>
      <w:pPr>
        <w:pStyle w:val="Subsection"/>
      </w:pPr>
      <w:r>
        <w:lastRenderedPageBreak/>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51" w:name="_Toc154752821"/>
      <w:r>
        <w:rPr>
          <w:rStyle w:val="CharSectno"/>
        </w:rPr>
        <w:lastRenderedPageBreak/>
        <w:t>39</w:t>
      </w:r>
      <w:r>
        <w:t>.</w:t>
      </w:r>
      <w:r>
        <w:tab/>
        <w:t>Freezing notices for other property, duration of and notices about</w:t>
      </w:r>
      <w:bookmarkEnd w:id="5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lastRenderedPageBreak/>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52" w:name="_Toc154752822"/>
      <w:r>
        <w:rPr>
          <w:rStyle w:val="CharSectno"/>
        </w:rPr>
        <w:t>40</w:t>
      </w:r>
      <w:r>
        <w:t>.</w:t>
      </w:r>
      <w:r>
        <w:tab/>
        <w:t>Freezing notices, cancelling etc.</w:t>
      </w:r>
      <w:bookmarkEnd w:id="5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3" w:name="_Toc154752823"/>
      <w:r>
        <w:rPr>
          <w:rStyle w:val="CharDivNo"/>
        </w:rPr>
        <w:t>Division 3</w:t>
      </w:r>
      <w:r>
        <w:t xml:space="preserve"> — </w:t>
      </w:r>
      <w:r>
        <w:rPr>
          <w:rStyle w:val="CharDivText"/>
        </w:rPr>
        <w:t>Freezing orders for confiscable property</w:t>
      </w:r>
      <w:bookmarkEnd w:id="53"/>
    </w:p>
    <w:p>
      <w:pPr>
        <w:pStyle w:val="Heading5"/>
        <w:spacing w:before="240"/>
      </w:pPr>
      <w:bookmarkStart w:id="54" w:name="_Toc154752824"/>
      <w:r>
        <w:rPr>
          <w:rStyle w:val="CharSectno"/>
        </w:rPr>
        <w:t>41</w:t>
      </w:r>
      <w:r>
        <w:t>.</w:t>
      </w:r>
      <w:r>
        <w:tab/>
        <w:t>Freezing orders, applying for</w:t>
      </w:r>
      <w:bookmarkEnd w:id="54"/>
    </w:p>
    <w:p>
      <w:pPr>
        <w:pStyle w:val="Subsection"/>
      </w:pPr>
      <w:r>
        <w:tab/>
        <w:t>(1)</w:t>
      </w:r>
      <w:r>
        <w:tab/>
        <w:t>The DPP or the CCC may apply to the court for a freezing order for property.</w:t>
      </w:r>
    </w:p>
    <w:p>
      <w:pPr>
        <w:pStyle w:val="Subsection"/>
      </w:pPr>
      <w:r>
        <w:lastRenderedPageBreak/>
        <w:tab/>
        <w:t>(2)</w:t>
      </w:r>
      <w:r>
        <w:tab/>
        <w:t>An application may be made ex parte.</w:t>
      </w:r>
    </w:p>
    <w:p>
      <w:pPr>
        <w:pStyle w:val="Footnotesection"/>
      </w:pPr>
      <w:r>
        <w:tab/>
        <w:t>[Section 41 amended: No. 10 of 2018 s. 37.]</w:t>
      </w:r>
    </w:p>
    <w:p>
      <w:pPr>
        <w:pStyle w:val="Heading5"/>
        <w:spacing w:before="240"/>
      </w:pPr>
      <w:bookmarkStart w:id="55" w:name="_Toc154752825"/>
      <w:r>
        <w:rPr>
          <w:rStyle w:val="CharSectno"/>
        </w:rPr>
        <w:t>42</w:t>
      </w:r>
      <w:r>
        <w:t>.</w:t>
      </w:r>
      <w:r>
        <w:tab/>
        <w:t>Proceedings for freezing orders, court’s powers in</w:t>
      </w:r>
      <w:bookmarkEnd w:id="55"/>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6" w:name="_Toc154752826"/>
      <w:r>
        <w:rPr>
          <w:rStyle w:val="CharSectno"/>
        </w:rPr>
        <w:t>43</w:t>
      </w:r>
      <w:r>
        <w:t>.</w:t>
      </w:r>
      <w:r>
        <w:tab/>
        <w:t>Freezing orders, making</w:t>
      </w:r>
      <w:bookmarkEnd w:id="56"/>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lastRenderedPageBreak/>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lastRenderedPageBreak/>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r>
        <w:tab/>
        <w:t>[Section 43 amended: No. 10 of 2018 s. 38.]</w:t>
      </w:r>
    </w:p>
    <w:p>
      <w:pPr>
        <w:pStyle w:val="Heading5"/>
      </w:pPr>
      <w:bookmarkStart w:id="57" w:name="_Toc154752827"/>
      <w:r>
        <w:rPr>
          <w:rStyle w:val="CharSectno"/>
        </w:rPr>
        <w:t>44</w:t>
      </w:r>
      <w:r>
        <w:t>.</w:t>
      </w:r>
      <w:r>
        <w:tab/>
        <w:t>Freezing orders, court’s duties when considering applications for</w:t>
      </w:r>
      <w:bookmarkEnd w:id="57"/>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8" w:name="_Toc154752828"/>
      <w:r>
        <w:rPr>
          <w:rStyle w:val="CharSectno"/>
        </w:rPr>
        <w:t>45</w:t>
      </w:r>
      <w:r>
        <w:t>.</w:t>
      </w:r>
      <w:r>
        <w:tab/>
        <w:t>Freezing orders, court’s powers when making</w:t>
      </w:r>
      <w:bookmarkEnd w:id="58"/>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r>
        <w:lastRenderedPageBreak/>
        <w:tab/>
        <w:t>[Section 45 amended: No. 10 of 2018 s. 39.]</w:t>
      </w:r>
    </w:p>
    <w:p>
      <w:pPr>
        <w:pStyle w:val="Heading5"/>
      </w:pPr>
      <w:bookmarkStart w:id="59" w:name="_Toc154752829"/>
      <w:r>
        <w:rPr>
          <w:rStyle w:val="CharSectno"/>
        </w:rPr>
        <w:t>46</w:t>
      </w:r>
      <w:r>
        <w:t>.</w:t>
      </w:r>
      <w:r>
        <w:tab/>
        <w:t>Freezing orders, service and notice of</w:t>
      </w:r>
      <w:bookmarkEnd w:id="59"/>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lastRenderedPageBreak/>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60" w:name="_Toc154752830"/>
      <w:r>
        <w:rPr>
          <w:rStyle w:val="CharSectno"/>
        </w:rPr>
        <w:t>47</w:t>
      </w:r>
      <w:r>
        <w:t>.</w:t>
      </w:r>
      <w:r>
        <w:tab/>
        <w:t>Person served with freezing order to declare any other interested party</w:t>
      </w:r>
      <w:bookmarkEnd w:id="60"/>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r>
        <w:lastRenderedPageBreak/>
        <w:tab/>
        <w:t>[Section 47 amended: No. 10 of 2018 s. 41.]</w:t>
      </w:r>
    </w:p>
    <w:p>
      <w:pPr>
        <w:pStyle w:val="Heading5"/>
        <w:spacing w:before="180"/>
      </w:pPr>
      <w:bookmarkStart w:id="61" w:name="_Toc154752831"/>
      <w:r>
        <w:rPr>
          <w:rStyle w:val="CharSectno"/>
        </w:rPr>
        <w:t>48</w:t>
      </w:r>
      <w:r>
        <w:t>.</w:t>
      </w:r>
      <w:r>
        <w:tab/>
        <w:t>Freezing orders for registrable real property, duration of and notices about</w:t>
      </w:r>
      <w:bookmarkEnd w:id="61"/>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lastRenderedPageBreak/>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lastRenderedPageBreak/>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r>
        <w:tab/>
        <w:t>[Section 48 amended: No. 10 of 2018 s. 42.]</w:t>
      </w:r>
    </w:p>
    <w:p>
      <w:pPr>
        <w:pStyle w:val="Heading5"/>
        <w:spacing w:before="180"/>
      </w:pPr>
      <w:bookmarkStart w:id="62" w:name="_Toc154752832"/>
      <w:r>
        <w:rPr>
          <w:rStyle w:val="CharSectno"/>
        </w:rPr>
        <w:t>49</w:t>
      </w:r>
      <w:r>
        <w:t>.</w:t>
      </w:r>
      <w:r>
        <w:tab/>
        <w:t>Freezing orders for other property, duration of and notices about</w:t>
      </w:r>
      <w:bookmarkEnd w:id="62"/>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 xml:space="preserve">if the freezing order was made on the basis of advice given to the court under section 43(1)(c) that an examination order is likely to be made — the </w:t>
      </w:r>
      <w:r>
        <w:lastRenderedPageBreak/>
        <w:t>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lastRenderedPageBreak/>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r>
        <w:tab/>
        <w:t>[Section 49 amended: No. 10 of 2018 s. 43.]</w:t>
      </w:r>
    </w:p>
    <w:p>
      <w:pPr>
        <w:pStyle w:val="Heading3"/>
      </w:pPr>
      <w:bookmarkStart w:id="63" w:name="_Toc154752833"/>
      <w:r>
        <w:rPr>
          <w:rStyle w:val="CharDivNo"/>
        </w:rPr>
        <w:lastRenderedPageBreak/>
        <w:t>Division 4</w:t>
      </w:r>
      <w:r>
        <w:t xml:space="preserve"> — </w:t>
      </w:r>
      <w:r>
        <w:rPr>
          <w:rStyle w:val="CharDivText"/>
        </w:rPr>
        <w:t>Dealing with seized or frozen property</w:t>
      </w:r>
      <w:bookmarkEnd w:id="63"/>
    </w:p>
    <w:p>
      <w:pPr>
        <w:pStyle w:val="Heading5"/>
        <w:spacing w:before="240"/>
      </w:pPr>
      <w:bookmarkStart w:id="64" w:name="_Toc154752834"/>
      <w:r>
        <w:rPr>
          <w:rStyle w:val="CharSectno"/>
        </w:rPr>
        <w:t>50</w:t>
      </w:r>
      <w:r>
        <w:t>.</w:t>
      </w:r>
      <w:r>
        <w:tab/>
        <w:t>Prohibited dealings</w:t>
      </w:r>
      <w:bookmarkEnd w:id="64"/>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65" w:name="_Toc154752835"/>
      <w:r>
        <w:rPr>
          <w:rStyle w:val="CharSectno"/>
        </w:rPr>
        <w:lastRenderedPageBreak/>
        <w:t>51</w:t>
      </w:r>
      <w:r>
        <w:t>.</w:t>
      </w:r>
      <w:r>
        <w:tab/>
        <w:t>Effect of prohibited dealings in frozen property</w:t>
      </w:r>
      <w:bookmarkEnd w:id="65"/>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6" w:name="_Toc154752836"/>
      <w:r>
        <w:rPr>
          <w:rStyle w:val="CharSectno"/>
        </w:rPr>
        <w:t>52</w:t>
      </w:r>
      <w:r>
        <w:t>.</w:t>
      </w:r>
      <w:r>
        <w:tab/>
        <w:t>Permitted dealings in mortgaged property</w:t>
      </w:r>
      <w:bookmarkEnd w:id="66"/>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7" w:name="_Toc154752837"/>
      <w:r>
        <w:rPr>
          <w:rStyle w:val="CharPartNo"/>
        </w:rPr>
        <w:lastRenderedPageBreak/>
        <w:t>Part 5</w:t>
      </w:r>
      <w:r>
        <w:t xml:space="preserve"> — </w:t>
      </w:r>
      <w:r>
        <w:rPr>
          <w:rStyle w:val="CharPartText"/>
        </w:rPr>
        <w:t>Investigation and search</w:t>
      </w:r>
      <w:bookmarkEnd w:id="67"/>
    </w:p>
    <w:p>
      <w:pPr>
        <w:pStyle w:val="Heading3"/>
      </w:pPr>
      <w:bookmarkStart w:id="68" w:name="_Toc154752838"/>
      <w:r>
        <w:rPr>
          <w:rStyle w:val="CharDivNo"/>
        </w:rPr>
        <w:t>Division 1</w:t>
      </w:r>
      <w:r>
        <w:t xml:space="preserve"> — </w:t>
      </w:r>
      <w:r>
        <w:rPr>
          <w:rStyle w:val="CharDivText"/>
        </w:rPr>
        <w:t>Preliminary inquiries</w:t>
      </w:r>
      <w:bookmarkEnd w:id="68"/>
    </w:p>
    <w:p>
      <w:pPr>
        <w:pStyle w:val="Heading5"/>
      </w:pPr>
      <w:bookmarkStart w:id="69" w:name="_Toc154752839"/>
      <w:r>
        <w:rPr>
          <w:rStyle w:val="CharSectno"/>
        </w:rPr>
        <w:t>53</w:t>
      </w:r>
      <w:r>
        <w:t>.</w:t>
      </w:r>
      <w:r>
        <w:tab/>
        <w:t>Financial institutions may volunteer information</w:t>
      </w:r>
      <w:bookmarkEnd w:id="69"/>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r>
        <w:tab/>
        <w:t>[Section 53 amended: No. 10 of 2018 s. 44.]</w:t>
      </w:r>
    </w:p>
    <w:p>
      <w:pPr>
        <w:pStyle w:val="Heading5"/>
      </w:pPr>
      <w:bookmarkStart w:id="70" w:name="_Toc154752840"/>
      <w:r>
        <w:rPr>
          <w:rStyle w:val="CharSectno"/>
        </w:rPr>
        <w:t>54</w:t>
      </w:r>
      <w:r>
        <w:t>.</w:t>
      </w:r>
      <w:r>
        <w:tab/>
        <w:t>Financial institutions may be required to give information</w:t>
      </w:r>
      <w:bookmarkEnd w:id="70"/>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lastRenderedPageBreak/>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r>
        <w:tab/>
        <w:t>[Section 54 amended: No. 10 of 2018 s. 45.]</w:t>
      </w:r>
    </w:p>
    <w:p>
      <w:pPr>
        <w:pStyle w:val="Heading5"/>
        <w:pageBreakBefore/>
        <w:spacing w:before="0"/>
      </w:pPr>
      <w:bookmarkStart w:id="71" w:name="_Toc154752841"/>
      <w:r>
        <w:rPr>
          <w:rStyle w:val="CharSectno"/>
        </w:rPr>
        <w:lastRenderedPageBreak/>
        <w:t>55</w:t>
      </w:r>
      <w:r>
        <w:t>.</w:t>
      </w:r>
      <w:r>
        <w:tab/>
        <w:t>Financial institution giving information under s. 53 or 54, protection for</w:t>
      </w:r>
      <w:bookmarkEnd w:id="71"/>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2" w:name="_Toc154752842"/>
      <w:r>
        <w:rPr>
          <w:rStyle w:val="CharSectno"/>
        </w:rPr>
        <w:t>56</w:t>
      </w:r>
      <w:r>
        <w:t>.</w:t>
      </w:r>
      <w:r>
        <w:tab/>
        <w:t>Financial institution giving false or misleading information under s. 53 or 54, offence</w:t>
      </w:r>
      <w:bookmarkEnd w:id="72"/>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3" w:name="_Toc154752843"/>
      <w:r>
        <w:rPr>
          <w:rStyle w:val="CharDivNo"/>
        </w:rPr>
        <w:t>Division 2</w:t>
      </w:r>
      <w:r>
        <w:t xml:space="preserve"> — </w:t>
      </w:r>
      <w:r>
        <w:rPr>
          <w:rStyle w:val="CharDivText"/>
        </w:rPr>
        <w:t>Examinations</w:t>
      </w:r>
      <w:bookmarkEnd w:id="73"/>
    </w:p>
    <w:p>
      <w:pPr>
        <w:pStyle w:val="Heading5"/>
      </w:pPr>
      <w:bookmarkStart w:id="74" w:name="_Toc154752844"/>
      <w:r>
        <w:rPr>
          <w:rStyle w:val="CharSectno"/>
        </w:rPr>
        <w:t>57</w:t>
      </w:r>
      <w:r>
        <w:t>.</w:t>
      </w:r>
      <w:r>
        <w:tab/>
        <w:t>Examination of person, applying for order for</w:t>
      </w:r>
      <w:bookmarkEnd w:id="7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5" w:name="_Toc154752845"/>
      <w:r>
        <w:rPr>
          <w:rStyle w:val="CharSectno"/>
        </w:rPr>
        <w:lastRenderedPageBreak/>
        <w:t>58</w:t>
      </w:r>
      <w:r>
        <w:t>.</w:t>
      </w:r>
      <w:r>
        <w:tab/>
        <w:t>Court and CCC powers when making examination order</w:t>
      </w:r>
      <w:bookmarkEnd w:id="75"/>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lastRenderedPageBreak/>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r>
        <w:tab/>
        <w:t>[Section 58 amended: No. 10 of 2018 s. 46.]</w:t>
      </w:r>
    </w:p>
    <w:p>
      <w:pPr>
        <w:pStyle w:val="Heading5"/>
      </w:pPr>
      <w:bookmarkStart w:id="76" w:name="_Toc154752846"/>
      <w:r>
        <w:rPr>
          <w:rStyle w:val="CharSectno"/>
        </w:rPr>
        <w:t>59</w:t>
      </w:r>
      <w:r>
        <w:t>.</w:t>
      </w:r>
      <w:r>
        <w:tab/>
        <w:t>Examination orders, service of</w:t>
      </w:r>
      <w:bookmarkEnd w:id="76"/>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r>
        <w:tab/>
        <w:t>[Section 59 amended: No. 10 of 2018 s. 47.]</w:t>
      </w:r>
    </w:p>
    <w:p>
      <w:pPr>
        <w:pStyle w:val="Heading5"/>
      </w:pPr>
      <w:bookmarkStart w:id="77" w:name="_Toc154752847"/>
      <w:r>
        <w:rPr>
          <w:rStyle w:val="CharSectno"/>
        </w:rPr>
        <w:t>60</w:t>
      </w:r>
      <w:r>
        <w:t>.</w:t>
      </w:r>
      <w:r>
        <w:tab/>
        <w:t>Examinations, conduct of and representation at</w:t>
      </w:r>
      <w:bookmarkEnd w:id="77"/>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78" w:name="_Toc154752848"/>
      <w:r>
        <w:rPr>
          <w:rStyle w:val="CharSectno"/>
        </w:rPr>
        <w:lastRenderedPageBreak/>
        <w:t>60A</w:t>
      </w:r>
      <w:r>
        <w:t>.</w:t>
      </w:r>
      <w:r>
        <w:tab/>
        <w:t>Examination by CCC</w:t>
      </w:r>
      <w:bookmarkEnd w:id="78"/>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79" w:name="_Toc154752849"/>
      <w:r>
        <w:rPr>
          <w:rStyle w:val="CharSectno"/>
        </w:rPr>
        <w:t>61</w:t>
      </w:r>
      <w:r>
        <w:t>.</w:t>
      </w:r>
      <w:r>
        <w:tab/>
        <w:t>Examination orders, contravening and admissibility of information given under</w:t>
      </w:r>
      <w:bookmarkEnd w:id="79"/>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lastRenderedPageBreak/>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lastRenderedPageBreak/>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80" w:name="_Toc154752850"/>
      <w:r>
        <w:rPr>
          <w:rStyle w:val="CharDivNo"/>
        </w:rPr>
        <w:t>Division 3</w:t>
      </w:r>
      <w:r>
        <w:t xml:space="preserve"> — </w:t>
      </w:r>
      <w:r>
        <w:rPr>
          <w:rStyle w:val="CharDivText"/>
        </w:rPr>
        <w:t>Production of documents</w:t>
      </w:r>
      <w:bookmarkEnd w:id="80"/>
    </w:p>
    <w:p>
      <w:pPr>
        <w:pStyle w:val="Heading5"/>
      </w:pPr>
      <w:bookmarkStart w:id="81" w:name="_Toc154752851"/>
      <w:r>
        <w:rPr>
          <w:rStyle w:val="CharSectno"/>
        </w:rPr>
        <w:t>62</w:t>
      </w:r>
      <w:r>
        <w:t>.</w:t>
      </w:r>
      <w:r>
        <w:tab/>
        <w:t>Production orders, applying for</w:t>
      </w:r>
      <w:bookmarkEnd w:id="81"/>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r>
        <w:tab/>
        <w:t>[Section 62 amended: No. 10 of 2018 s. 50.]</w:t>
      </w:r>
    </w:p>
    <w:p>
      <w:pPr>
        <w:pStyle w:val="Heading5"/>
      </w:pPr>
      <w:bookmarkStart w:id="82" w:name="_Toc154752852"/>
      <w:r>
        <w:rPr>
          <w:rStyle w:val="CharSectno"/>
        </w:rPr>
        <w:t>63</w:t>
      </w:r>
      <w:r>
        <w:t>.</w:t>
      </w:r>
      <w:r>
        <w:tab/>
        <w:t>Production orders, making</w:t>
      </w:r>
      <w:bookmarkEnd w:id="8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lastRenderedPageBreak/>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r>
        <w:tab/>
        <w:t>[Section 63 amended: No. 10 of 2018 s. 51.]</w:t>
      </w:r>
    </w:p>
    <w:p>
      <w:pPr>
        <w:pStyle w:val="Heading5"/>
      </w:pPr>
      <w:bookmarkStart w:id="83" w:name="_Toc154752853"/>
      <w:r>
        <w:rPr>
          <w:rStyle w:val="CharSectno"/>
        </w:rPr>
        <w:t>64</w:t>
      </w:r>
      <w:r>
        <w:t>.</w:t>
      </w:r>
      <w:r>
        <w:tab/>
        <w:t>Property</w:t>
      </w:r>
      <w:r>
        <w:noBreakHyphen/>
        <w:t>tracking documents, inspection etc. of</w:t>
      </w:r>
      <w:bookmarkEnd w:id="83"/>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 xml:space="preserve">tracking document is made available to the DPP, a police officer, the CCC or an authorised CCC officer for inspection in accordance with a direction under section 63(2)(b), </w:t>
      </w:r>
      <w:r>
        <w:lastRenderedPageBreak/>
        <w:t>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r>
        <w:tab/>
        <w:t>[Section 64 amended: No. 10 of 2018 s. 52.]</w:t>
      </w:r>
    </w:p>
    <w:p>
      <w:pPr>
        <w:pStyle w:val="Heading5"/>
      </w:pPr>
      <w:bookmarkStart w:id="84" w:name="_Toc154752854"/>
      <w:r>
        <w:rPr>
          <w:rStyle w:val="CharSectno"/>
        </w:rPr>
        <w:t>65</w:t>
      </w:r>
      <w:r>
        <w:t>.</w:t>
      </w:r>
      <w:r>
        <w:tab/>
        <w:t>Production orders, contravening and admissibility of information given under</w:t>
      </w:r>
      <w:bookmarkEnd w:id="8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lastRenderedPageBreak/>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r>
        <w:tab/>
        <w:t>[Section 65 amended: No. 10 of 2018 s. 53.]</w:t>
      </w:r>
    </w:p>
    <w:p>
      <w:pPr>
        <w:pStyle w:val="Heading5"/>
      </w:pPr>
      <w:bookmarkStart w:id="85" w:name="_Toc154752855"/>
      <w:r>
        <w:rPr>
          <w:rStyle w:val="CharSectno"/>
        </w:rPr>
        <w:t>66</w:t>
      </w:r>
      <w:r>
        <w:t>.</w:t>
      </w:r>
      <w:r>
        <w:tab/>
        <w:t>Production orders, varying</w:t>
      </w:r>
      <w:bookmarkEnd w:id="85"/>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r>
        <w:tab/>
        <w:t>[Section 66 amended: No. 10 of 2018 s. 54.]</w:t>
      </w:r>
    </w:p>
    <w:p>
      <w:pPr>
        <w:pStyle w:val="Heading3"/>
      </w:pPr>
      <w:bookmarkStart w:id="86" w:name="_Toc154752856"/>
      <w:r>
        <w:rPr>
          <w:rStyle w:val="CharDivNo"/>
        </w:rPr>
        <w:lastRenderedPageBreak/>
        <w:t>Division 4</w:t>
      </w:r>
      <w:r>
        <w:t xml:space="preserve"> — </w:t>
      </w:r>
      <w:r>
        <w:rPr>
          <w:rStyle w:val="CharDivText"/>
        </w:rPr>
        <w:t>Monitoring financial transactions</w:t>
      </w:r>
      <w:bookmarkEnd w:id="86"/>
    </w:p>
    <w:p>
      <w:pPr>
        <w:pStyle w:val="Heading5"/>
      </w:pPr>
      <w:bookmarkStart w:id="87" w:name="_Toc154752857"/>
      <w:r>
        <w:rPr>
          <w:rStyle w:val="CharSectno"/>
        </w:rPr>
        <w:t>67</w:t>
      </w:r>
      <w:r>
        <w:t>.</w:t>
      </w:r>
      <w:r>
        <w:tab/>
        <w:t>Monitoring orders and suspension orders, applying for</w:t>
      </w:r>
      <w:bookmarkEnd w:id="87"/>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r>
        <w:tab/>
        <w:t>[Section 67 amended: No. 10 of 2018 s. 55.]</w:t>
      </w:r>
    </w:p>
    <w:p>
      <w:pPr>
        <w:pStyle w:val="Heading5"/>
      </w:pPr>
      <w:bookmarkStart w:id="88" w:name="_Toc154752858"/>
      <w:r>
        <w:rPr>
          <w:rStyle w:val="CharSectno"/>
        </w:rPr>
        <w:t>68</w:t>
      </w:r>
      <w:r>
        <w:t>.</w:t>
      </w:r>
      <w:r>
        <w:tab/>
        <w:t>Monitoring orders and suspension orders, making</w:t>
      </w:r>
      <w:bookmarkEnd w:id="88"/>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lastRenderedPageBreak/>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lastRenderedPageBreak/>
        <w:tab/>
        <w:t>(b)</w:t>
      </w:r>
      <w:r>
        <w:tab/>
        <w:t>is not to end more than 3 months after the date of the order.</w:t>
      </w:r>
    </w:p>
    <w:p>
      <w:pPr>
        <w:pStyle w:val="Footnotesection"/>
      </w:pPr>
      <w:r>
        <w:tab/>
        <w:t>[Section 68 amended: No. 10 of 2018 s. 56.]</w:t>
      </w:r>
    </w:p>
    <w:p>
      <w:pPr>
        <w:pStyle w:val="Heading5"/>
      </w:pPr>
      <w:bookmarkStart w:id="89" w:name="_Toc154752859"/>
      <w:r>
        <w:rPr>
          <w:rStyle w:val="CharSectno"/>
        </w:rPr>
        <w:t>69</w:t>
      </w:r>
      <w:r>
        <w:t>.</w:t>
      </w:r>
      <w:r>
        <w:tab/>
        <w:t>Contravening monitoring order or suspension order, offence</w:t>
      </w:r>
      <w:bookmarkEnd w:id="89"/>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90" w:name="_Toc154752860"/>
      <w:r>
        <w:rPr>
          <w:rStyle w:val="CharDivNo"/>
        </w:rPr>
        <w:t>Division 5</w:t>
      </w:r>
      <w:r>
        <w:t xml:space="preserve"> — </w:t>
      </w:r>
      <w:r>
        <w:rPr>
          <w:rStyle w:val="CharDivText"/>
        </w:rPr>
        <w:t>Secrecy requirements</w:t>
      </w:r>
      <w:bookmarkEnd w:id="90"/>
    </w:p>
    <w:p>
      <w:pPr>
        <w:pStyle w:val="Heading5"/>
      </w:pPr>
      <w:bookmarkStart w:id="91" w:name="_Toc154752861"/>
      <w:r>
        <w:rPr>
          <w:rStyle w:val="CharSectno"/>
        </w:rPr>
        <w:t>70</w:t>
      </w:r>
      <w:r>
        <w:t>.</w:t>
      </w:r>
      <w:r>
        <w:tab/>
        <w:t>Disclosure of certain information restricted, offence</w:t>
      </w:r>
      <w:bookmarkEnd w:id="91"/>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lastRenderedPageBreak/>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r>
        <w:tab/>
        <w:t>[Section 70 amended: No. 10 of 2018 s. 57.]</w:t>
      </w:r>
    </w:p>
    <w:p>
      <w:pPr>
        <w:pStyle w:val="Heading5"/>
      </w:pPr>
      <w:bookmarkStart w:id="92" w:name="_Toc154752862"/>
      <w:r>
        <w:rPr>
          <w:rStyle w:val="CharSectno"/>
        </w:rPr>
        <w:t>71</w:t>
      </w:r>
      <w:r>
        <w:t>.</w:t>
      </w:r>
      <w:r>
        <w:tab/>
        <w:t>Who restricted disclosures may be made to</w:t>
      </w:r>
      <w:bookmarkEnd w:id="92"/>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lastRenderedPageBreak/>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 xml:space="preserve">a legal practitioner, for the purpose of obtaining legal advice or representation in relation to an examination </w:t>
      </w:r>
      <w:r>
        <w:lastRenderedPageBreak/>
        <w:t>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lastRenderedPageBreak/>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r>
        <w:tab/>
        <w:t>[Section 71 amended: No. 10 of 2018 s. 58.]</w:t>
      </w:r>
    </w:p>
    <w:p>
      <w:pPr>
        <w:pStyle w:val="Heading5"/>
      </w:pPr>
      <w:bookmarkStart w:id="93" w:name="_Toc154752863"/>
      <w:r>
        <w:rPr>
          <w:rStyle w:val="CharSectno"/>
        </w:rPr>
        <w:t>72</w:t>
      </w:r>
      <w:r>
        <w:t>.</w:t>
      </w:r>
      <w:r>
        <w:tab/>
        <w:t>Disclosure to court</w:t>
      </w:r>
      <w:bookmarkEnd w:id="93"/>
    </w:p>
    <w:p>
      <w:pPr>
        <w:pStyle w:val="Subsection"/>
      </w:pPr>
      <w:r>
        <w:tab/>
      </w:r>
      <w:r>
        <w:tab/>
        <w:t>A person is not required to make a restricted disclosure to any court for any purpose.</w:t>
      </w:r>
    </w:p>
    <w:p>
      <w:pPr>
        <w:pStyle w:val="Heading3"/>
      </w:pPr>
      <w:bookmarkStart w:id="94" w:name="_Toc154752864"/>
      <w:r>
        <w:rPr>
          <w:rStyle w:val="CharDivNo"/>
        </w:rPr>
        <w:t>Division 6</w:t>
      </w:r>
      <w:r>
        <w:t xml:space="preserve"> — </w:t>
      </w:r>
      <w:r>
        <w:rPr>
          <w:rStyle w:val="CharDivText"/>
        </w:rPr>
        <w:t>Detention, search and seizure</w:t>
      </w:r>
      <w:bookmarkEnd w:id="94"/>
    </w:p>
    <w:p>
      <w:pPr>
        <w:pStyle w:val="Heading5"/>
        <w:spacing w:before="180"/>
      </w:pPr>
      <w:bookmarkStart w:id="95" w:name="_Toc154752865"/>
      <w:r>
        <w:rPr>
          <w:rStyle w:val="CharSectno"/>
        </w:rPr>
        <w:t>73</w:t>
      </w:r>
      <w:r>
        <w:t>.</w:t>
      </w:r>
      <w:r>
        <w:tab/>
        <w:t>Confiscable property etc., powers to search etc. people for</w:t>
      </w:r>
      <w:bookmarkEnd w:id="95"/>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lastRenderedPageBreak/>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r>
        <w:tab/>
        <w:t>[Section 73 amended: No. 10 of 2018 s. 59.]</w:t>
      </w:r>
    </w:p>
    <w:p>
      <w:pPr>
        <w:pStyle w:val="Heading5"/>
        <w:spacing w:before="180"/>
      </w:pPr>
      <w:bookmarkStart w:id="96" w:name="_Toc154752866"/>
      <w:r>
        <w:rPr>
          <w:rStyle w:val="CharSectno"/>
        </w:rPr>
        <w:t>74</w:t>
      </w:r>
      <w:r>
        <w:t>.</w:t>
      </w:r>
      <w:r>
        <w:tab/>
        <w:t>Search warrants</w:t>
      </w:r>
      <w:bookmarkEnd w:id="96"/>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 xml:space="preserve">The search warrant may authorise a police officer or an authorised CCC officer to do any or all of the following, using </w:t>
      </w:r>
      <w:r>
        <w:lastRenderedPageBreak/>
        <w:t>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r>
        <w:tab/>
        <w:t>[Section 74 amended: No. 10 of 2018 s. 60.]</w:t>
      </w:r>
    </w:p>
    <w:p>
      <w:pPr>
        <w:pStyle w:val="Heading5"/>
      </w:pPr>
      <w:bookmarkStart w:id="97" w:name="_Toc154752867"/>
      <w:r>
        <w:rPr>
          <w:rStyle w:val="CharSectno"/>
        </w:rPr>
        <w:t>75</w:t>
      </w:r>
      <w:r>
        <w:t>.</w:t>
      </w:r>
      <w:r>
        <w:tab/>
        <w:t>Search of person under s. 73 or 74, who may perform</w:t>
      </w:r>
      <w:bookmarkEnd w:id="97"/>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r>
        <w:tab/>
        <w:t>[Section 75 amended: No. 10 of 2018 s. 61.]</w:t>
      </w:r>
    </w:p>
    <w:p>
      <w:pPr>
        <w:pStyle w:val="Heading5"/>
        <w:keepLines w:val="0"/>
      </w:pPr>
      <w:bookmarkStart w:id="98" w:name="_Toc154752868"/>
      <w:r>
        <w:rPr>
          <w:rStyle w:val="CharSectno"/>
        </w:rPr>
        <w:lastRenderedPageBreak/>
        <w:t>76</w:t>
      </w:r>
      <w:r>
        <w:t>.</w:t>
      </w:r>
      <w:r>
        <w:tab/>
        <w:t>Additional powers for powers under s. 73 and 74</w:t>
      </w:r>
      <w:bookmarkEnd w:id="98"/>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lastRenderedPageBreak/>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r>
        <w:tab/>
        <w:t>[Section 76 amended: No. 10 of 2018 s. 62.]</w:t>
      </w:r>
    </w:p>
    <w:p>
      <w:pPr>
        <w:pStyle w:val="Heading5"/>
      </w:pPr>
      <w:bookmarkStart w:id="99" w:name="_Toc154752869"/>
      <w:r>
        <w:rPr>
          <w:rStyle w:val="CharSectno"/>
        </w:rPr>
        <w:t>77</w:t>
      </w:r>
      <w:r>
        <w:t>.</w:t>
      </w:r>
      <w:r>
        <w:tab/>
        <w:t>Warrant under s. 74 extends to documents produced later</w:t>
      </w:r>
      <w:bookmarkEnd w:id="99"/>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r>
        <w:tab/>
        <w:t>[Section 77 amended: No. 10 of 2018 s. 63.]</w:t>
      </w:r>
    </w:p>
    <w:p>
      <w:pPr>
        <w:pStyle w:val="Heading5"/>
      </w:pPr>
      <w:bookmarkStart w:id="100" w:name="_Toc154752870"/>
      <w:r>
        <w:rPr>
          <w:rStyle w:val="CharSectno"/>
        </w:rPr>
        <w:t>78</w:t>
      </w:r>
      <w:r>
        <w:t>.</w:t>
      </w:r>
      <w:r>
        <w:tab/>
        <w:t>Other laws on search warrants not affected</w:t>
      </w:r>
      <w:bookmarkEnd w:id="100"/>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r>
        <w:tab/>
        <w:t>[Section 78 amended: No. 10 of 2018 s. 64.]</w:t>
      </w:r>
    </w:p>
    <w:p>
      <w:pPr>
        <w:pStyle w:val="Heading2"/>
      </w:pPr>
      <w:bookmarkStart w:id="101" w:name="_Toc154752871"/>
      <w:r>
        <w:rPr>
          <w:rStyle w:val="CharPartNo"/>
        </w:rPr>
        <w:lastRenderedPageBreak/>
        <w:t>Part 6</w:t>
      </w:r>
      <w:r>
        <w:rPr>
          <w:rStyle w:val="CharDivNo"/>
        </w:rPr>
        <w:t xml:space="preserve"> </w:t>
      </w:r>
      <w:r>
        <w:t>—</w:t>
      </w:r>
      <w:r>
        <w:rPr>
          <w:rStyle w:val="CharDivText"/>
        </w:rPr>
        <w:t xml:space="preserve"> </w:t>
      </w:r>
      <w:r>
        <w:rPr>
          <w:rStyle w:val="CharPartText"/>
        </w:rPr>
        <w:t>Objections to confiscation</w:t>
      </w:r>
      <w:bookmarkEnd w:id="101"/>
    </w:p>
    <w:p>
      <w:pPr>
        <w:pStyle w:val="Heading5"/>
      </w:pPr>
      <w:bookmarkStart w:id="102" w:name="_Toc154752872"/>
      <w:r>
        <w:rPr>
          <w:rStyle w:val="CharSectno"/>
        </w:rPr>
        <w:t>79</w:t>
      </w:r>
      <w:r>
        <w:t>.</w:t>
      </w:r>
      <w:r>
        <w:tab/>
        <w:t>Confiscation of frozen property, objecting to</w:t>
      </w:r>
      <w:bookmarkEnd w:id="102"/>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03" w:name="_Toc154752873"/>
      <w:r>
        <w:rPr>
          <w:rStyle w:val="CharSectno"/>
        </w:rPr>
        <w:t>80</w:t>
      </w:r>
      <w:r>
        <w:t>.</w:t>
      </w:r>
      <w:r>
        <w:tab/>
        <w:t>Objection proceedings, State is party to</w:t>
      </w:r>
      <w:bookmarkEnd w:id="103"/>
    </w:p>
    <w:p>
      <w:pPr>
        <w:pStyle w:val="Subsection"/>
      </w:pPr>
      <w:r>
        <w:tab/>
      </w:r>
      <w:r>
        <w:tab/>
        <w:t>The State is a party to proceedings on an objection.</w:t>
      </w:r>
    </w:p>
    <w:p>
      <w:pPr>
        <w:pStyle w:val="Heading5"/>
      </w:pPr>
      <w:bookmarkStart w:id="104" w:name="_Toc154752874"/>
      <w:r>
        <w:rPr>
          <w:rStyle w:val="CharSectno"/>
        </w:rPr>
        <w:t>81</w:t>
      </w:r>
      <w:r>
        <w:t>.</w:t>
      </w:r>
      <w:r>
        <w:tab/>
        <w:t>On objection, court may release frozen property under s. 82, 83 or 84</w:t>
      </w:r>
      <w:bookmarkEnd w:id="10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105" w:name="_Toc154752875"/>
      <w:r>
        <w:rPr>
          <w:rStyle w:val="CharSectno"/>
        </w:rPr>
        <w:lastRenderedPageBreak/>
        <w:t>82</w:t>
      </w:r>
      <w:r>
        <w:t>.</w:t>
      </w:r>
      <w:r>
        <w:tab/>
        <w:t>Crime</w:t>
      </w:r>
      <w:r>
        <w:noBreakHyphen/>
        <w:t>used property, release of</w:t>
      </w:r>
      <w:bookmarkEnd w:id="105"/>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lastRenderedPageBreak/>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106" w:name="_Toc154752876"/>
      <w:r>
        <w:rPr>
          <w:rStyle w:val="CharSectno"/>
        </w:rPr>
        <w:t>83</w:t>
      </w:r>
      <w:r>
        <w:t>.</w:t>
      </w:r>
      <w:r>
        <w:tab/>
        <w:t>Crime</w:t>
      </w:r>
      <w:r>
        <w:noBreakHyphen/>
        <w:t>derived property, release of</w:t>
      </w:r>
      <w:bookmarkEnd w:id="106"/>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 xml:space="preserve">derived, the </w:t>
      </w:r>
      <w:r>
        <w:lastRenderedPageBreak/>
        <w:t>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7" w:name="_Toc154752877"/>
      <w:r>
        <w:rPr>
          <w:rStyle w:val="CharSectno"/>
        </w:rPr>
        <w:lastRenderedPageBreak/>
        <w:t>84</w:t>
      </w:r>
      <w:r>
        <w:t>.</w:t>
      </w:r>
      <w:r>
        <w:tab/>
        <w:t>Other frozen property, release of</w:t>
      </w:r>
      <w:bookmarkEnd w:id="107"/>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08" w:name="_Toc154752878"/>
      <w:r>
        <w:rPr>
          <w:rStyle w:val="CharSectno"/>
        </w:rPr>
        <w:t>85</w:t>
      </w:r>
      <w:r>
        <w:t>.</w:t>
      </w:r>
      <w:r>
        <w:tab/>
        <w:t>Confiscated property, applying for release of</w:t>
      </w:r>
      <w:bookmarkEnd w:id="108"/>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9" w:name="_Toc154752879"/>
      <w:r>
        <w:rPr>
          <w:rStyle w:val="CharSectno"/>
        </w:rPr>
        <w:t>86</w:t>
      </w:r>
      <w:r>
        <w:t>.</w:t>
      </w:r>
      <w:r>
        <w:tab/>
        <w:t>Application under s. 85, State is party to</w:t>
      </w:r>
      <w:bookmarkEnd w:id="109"/>
    </w:p>
    <w:p>
      <w:pPr>
        <w:pStyle w:val="Subsection"/>
      </w:pPr>
      <w:r>
        <w:tab/>
      </w:r>
      <w:r>
        <w:tab/>
        <w:t>The State is a party to proceedings on an application under section 85.</w:t>
      </w:r>
    </w:p>
    <w:p>
      <w:pPr>
        <w:pStyle w:val="Heading5"/>
      </w:pPr>
      <w:bookmarkStart w:id="110" w:name="_Toc154752880"/>
      <w:r>
        <w:rPr>
          <w:rStyle w:val="CharSectno"/>
        </w:rPr>
        <w:t>87</w:t>
      </w:r>
      <w:r>
        <w:t>.</w:t>
      </w:r>
      <w:r>
        <w:tab/>
        <w:t>Confiscated property, release of</w:t>
      </w:r>
      <w:bookmarkEnd w:id="110"/>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lastRenderedPageBreak/>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lastRenderedPageBreak/>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11" w:name="_Toc154752881"/>
      <w:r>
        <w:rPr>
          <w:rStyle w:val="CharPartNo"/>
        </w:rPr>
        <w:lastRenderedPageBreak/>
        <w:t>Part 7</w:t>
      </w:r>
      <w:r>
        <w:t xml:space="preserve"> — </w:t>
      </w:r>
      <w:r>
        <w:rPr>
          <w:rStyle w:val="CharPartText"/>
        </w:rPr>
        <w:t>Management of seized, frozen and confiscated property</w:t>
      </w:r>
      <w:bookmarkEnd w:id="111"/>
    </w:p>
    <w:p>
      <w:pPr>
        <w:pStyle w:val="Heading3"/>
      </w:pPr>
      <w:bookmarkStart w:id="112" w:name="_Toc154752882"/>
      <w:r>
        <w:rPr>
          <w:rStyle w:val="CharDivNo"/>
        </w:rPr>
        <w:t>Division 1</w:t>
      </w:r>
      <w:r>
        <w:t xml:space="preserve"> — </w:t>
      </w:r>
      <w:r>
        <w:rPr>
          <w:rStyle w:val="CharDivText"/>
        </w:rPr>
        <w:t>Control and management of property</w:t>
      </w:r>
      <w:bookmarkEnd w:id="112"/>
    </w:p>
    <w:p>
      <w:pPr>
        <w:pStyle w:val="Heading5"/>
      </w:pPr>
      <w:bookmarkStart w:id="113" w:name="_Toc154752883"/>
      <w:r>
        <w:rPr>
          <w:rStyle w:val="CharSectno"/>
        </w:rPr>
        <w:t>88</w:t>
      </w:r>
      <w:r>
        <w:t>.</w:t>
      </w:r>
      <w:r>
        <w:tab/>
        <w:t>Seized property, control etc. of</w:t>
      </w:r>
      <w:bookmarkEnd w:id="113"/>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r>
        <w:tab/>
        <w:t>[Section 88 amended: No. 10 of 2018 s. 65.]</w:t>
      </w:r>
    </w:p>
    <w:p>
      <w:pPr>
        <w:pStyle w:val="Heading5"/>
      </w:pPr>
      <w:bookmarkStart w:id="114" w:name="_Toc154752884"/>
      <w:r>
        <w:rPr>
          <w:rStyle w:val="CharSectno"/>
        </w:rPr>
        <w:t>89</w:t>
      </w:r>
      <w:r>
        <w:t>.</w:t>
      </w:r>
      <w:r>
        <w:tab/>
        <w:t>Frozen and confiscated property, control etc. of</w:t>
      </w:r>
      <w:bookmarkEnd w:id="114"/>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lastRenderedPageBreak/>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r>
        <w:tab/>
        <w:t>[Section 89 amended: No. 10 of 2018 s. 66.]</w:t>
      </w:r>
    </w:p>
    <w:p>
      <w:pPr>
        <w:pStyle w:val="Heading5"/>
      </w:pPr>
      <w:bookmarkStart w:id="115" w:name="_Toc154752885"/>
      <w:r>
        <w:rPr>
          <w:rStyle w:val="CharSectno"/>
        </w:rPr>
        <w:t>90</w:t>
      </w:r>
      <w:r>
        <w:t>.</w:t>
      </w:r>
      <w:r>
        <w:tab/>
        <w:t>Capacity of DPP or CCC to carry out transactions</w:t>
      </w:r>
      <w:bookmarkEnd w:id="115"/>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r>
        <w:tab/>
        <w:t>[Section 90 amended: No. 10 of 2018 s. 67.]</w:t>
      </w:r>
    </w:p>
    <w:p>
      <w:pPr>
        <w:pStyle w:val="Heading5"/>
      </w:pPr>
      <w:bookmarkStart w:id="116" w:name="_Toc154752886"/>
      <w:r>
        <w:rPr>
          <w:rStyle w:val="CharSectno"/>
        </w:rPr>
        <w:t>91</w:t>
      </w:r>
      <w:r>
        <w:t>.</w:t>
      </w:r>
      <w:r>
        <w:tab/>
        <w:t>Control etc. of frozen property by owner, court may order</w:t>
      </w:r>
      <w:bookmarkEnd w:id="116"/>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7" w:name="_Toc154752887"/>
      <w:r>
        <w:rPr>
          <w:rStyle w:val="CharSectno"/>
        </w:rPr>
        <w:lastRenderedPageBreak/>
        <w:t>92</w:t>
      </w:r>
      <w:r>
        <w:t>.</w:t>
      </w:r>
      <w:r>
        <w:tab/>
        <w:t>Person controlling etc. property, duties of</w:t>
      </w:r>
      <w:bookmarkEnd w:id="11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18" w:name="_Toc154752888"/>
      <w:r>
        <w:rPr>
          <w:rStyle w:val="CharDivNo"/>
        </w:rPr>
        <w:t>Division 2</w:t>
      </w:r>
      <w:r>
        <w:t xml:space="preserve"> — </w:t>
      </w:r>
      <w:r>
        <w:rPr>
          <w:rStyle w:val="CharDivText"/>
        </w:rPr>
        <w:t>Disposal of deteriorating or undesirable property</w:t>
      </w:r>
      <w:bookmarkEnd w:id="118"/>
    </w:p>
    <w:p>
      <w:pPr>
        <w:pStyle w:val="Heading5"/>
      </w:pPr>
      <w:bookmarkStart w:id="119" w:name="_Toc154752889"/>
      <w:r>
        <w:rPr>
          <w:rStyle w:val="CharSectno"/>
        </w:rPr>
        <w:t>93</w:t>
      </w:r>
      <w:r>
        <w:t>.</w:t>
      </w:r>
      <w:r>
        <w:tab/>
        <w:t>Destruction of seized etc. property on grounds of public interest, court may order</w:t>
      </w:r>
      <w:bookmarkEnd w:id="119"/>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20" w:name="_Toc154752890"/>
      <w:r>
        <w:rPr>
          <w:rStyle w:val="CharSectno"/>
        </w:rPr>
        <w:t>94</w:t>
      </w:r>
      <w:r>
        <w:t>.</w:t>
      </w:r>
      <w:r>
        <w:tab/>
        <w:t>Deteriorating frozen property, sale of</w:t>
      </w:r>
      <w:bookmarkEnd w:id="120"/>
    </w:p>
    <w:p>
      <w:pPr>
        <w:pStyle w:val="Subsection"/>
      </w:pPr>
      <w:r>
        <w:tab/>
        <w:t>(1)</w:t>
      </w:r>
      <w:r>
        <w:tab/>
        <w:t>A person who has responsibility for the control or management of frozen property may apply to the court for an order under subsection (2).</w:t>
      </w:r>
    </w:p>
    <w:p>
      <w:pPr>
        <w:pStyle w:val="Subsection"/>
        <w:keepNext/>
      </w:pPr>
      <w:r>
        <w:lastRenderedPageBreak/>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21" w:name="_Toc154752891"/>
      <w:r>
        <w:rPr>
          <w:rStyle w:val="CharSectno"/>
        </w:rPr>
        <w:t>95</w:t>
      </w:r>
      <w:r>
        <w:t>.</w:t>
      </w:r>
      <w:r>
        <w:tab/>
        <w:t>Frozen property, valuation and inventory of</w:t>
      </w:r>
      <w:bookmarkEnd w:id="121"/>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22" w:name="_Toc154752892"/>
      <w:r>
        <w:rPr>
          <w:rStyle w:val="CharDivNo"/>
        </w:rPr>
        <w:lastRenderedPageBreak/>
        <w:t>Division 3</w:t>
      </w:r>
      <w:r>
        <w:t xml:space="preserve"> — </w:t>
      </w:r>
      <w:r>
        <w:rPr>
          <w:rStyle w:val="CharDivText"/>
        </w:rPr>
        <w:t>Management of property by Public Trustee</w:t>
      </w:r>
      <w:bookmarkEnd w:id="122"/>
    </w:p>
    <w:p>
      <w:pPr>
        <w:pStyle w:val="Heading5"/>
      </w:pPr>
      <w:bookmarkStart w:id="123" w:name="_Toc154752893"/>
      <w:r>
        <w:rPr>
          <w:rStyle w:val="CharSectno"/>
        </w:rPr>
        <w:t>96</w:t>
      </w:r>
      <w:r>
        <w:t>.</w:t>
      </w:r>
      <w:r>
        <w:tab/>
        <w:t>Public Trustee may appoint person to control etc. property</w:t>
      </w:r>
      <w:bookmarkEnd w:id="123"/>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4" w:name="_Toc154752894"/>
      <w:r>
        <w:rPr>
          <w:rStyle w:val="CharSectno"/>
        </w:rPr>
        <w:t>97</w:t>
      </w:r>
      <w:r>
        <w:t>.</w:t>
      </w:r>
      <w:r>
        <w:tab/>
        <w:t>Taxes etc. on frozen property, Public Trustee’s liability for</w:t>
      </w:r>
      <w:bookmarkEnd w:id="124"/>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5" w:name="_Toc154752895"/>
      <w:r>
        <w:rPr>
          <w:rStyle w:val="CharSectno"/>
        </w:rPr>
        <w:t>98</w:t>
      </w:r>
      <w:r>
        <w:t>.</w:t>
      </w:r>
      <w:r>
        <w:tab/>
        <w:t>Interstate property, management of</w:t>
      </w:r>
      <w:bookmarkEnd w:id="12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6" w:name="_Toc154752896"/>
      <w:r>
        <w:rPr>
          <w:rStyle w:val="CharSectno"/>
        </w:rPr>
        <w:lastRenderedPageBreak/>
        <w:t>99</w:t>
      </w:r>
      <w:r>
        <w:t>.</w:t>
      </w:r>
      <w:r>
        <w:tab/>
        <w:t>Public Trustee entitled to fees for controlling etc. frozen or confiscated property</w:t>
      </w:r>
      <w:bookmarkEnd w:id="126"/>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7" w:name="_Toc154752897"/>
      <w:r>
        <w:rPr>
          <w:rStyle w:val="CharSectno"/>
        </w:rPr>
        <w:t>100</w:t>
      </w:r>
      <w:r>
        <w:t>.</w:t>
      </w:r>
      <w:r>
        <w:tab/>
        <w:t>Obstructing Public Trustee, offence</w:t>
      </w:r>
      <w:bookmarkEnd w:id="127"/>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8" w:name="_Toc154752898"/>
      <w:r>
        <w:rPr>
          <w:rStyle w:val="CharPartNo"/>
        </w:rPr>
        <w:lastRenderedPageBreak/>
        <w:t>Part 8</w:t>
      </w:r>
      <w:r>
        <w:rPr>
          <w:rStyle w:val="CharDivNo"/>
        </w:rPr>
        <w:t xml:space="preserve"> </w:t>
      </w:r>
      <w:r>
        <w:t>—</w:t>
      </w:r>
      <w:r>
        <w:rPr>
          <w:rStyle w:val="CharDivText"/>
        </w:rPr>
        <w:t xml:space="preserve"> </w:t>
      </w:r>
      <w:r>
        <w:rPr>
          <w:rStyle w:val="CharPartText"/>
        </w:rPr>
        <w:t>Court jurisdiction and evidentiary matters</w:t>
      </w:r>
      <w:bookmarkEnd w:id="128"/>
    </w:p>
    <w:p>
      <w:pPr>
        <w:pStyle w:val="Heading5"/>
      </w:pPr>
      <w:bookmarkStart w:id="129" w:name="_Toc154752899"/>
      <w:r>
        <w:rPr>
          <w:rStyle w:val="CharSectno"/>
        </w:rPr>
        <w:t>101</w:t>
      </w:r>
      <w:r>
        <w:t>.</w:t>
      </w:r>
      <w:r>
        <w:tab/>
        <w:t>Courts’ jurisdiction for this Act</w:t>
      </w:r>
      <w:bookmarkEnd w:id="129"/>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 xml:space="preserve">A declaration, order, finding or decision of a court under this Act in relation to property is not invalid only because the value </w:t>
      </w:r>
      <w:r>
        <w:lastRenderedPageBreak/>
        <w:t>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130" w:name="_Toc154752900"/>
      <w:r>
        <w:rPr>
          <w:rStyle w:val="CharSectno"/>
        </w:rPr>
        <w:t>102</w:t>
      </w:r>
      <w:r>
        <w:t>.</w:t>
      </w:r>
      <w:r>
        <w:tab/>
        <w:t>Proceedings, general provisions about</w:t>
      </w:r>
      <w:bookmarkEnd w:id="130"/>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31" w:name="_Toc154752901"/>
      <w:r>
        <w:rPr>
          <w:rStyle w:val="CharSectno"/>
        </w:rPr>
        <w:t>103</w:t>
      </w:r>
      <w:r>
        <w:t>.</w:t>
      </w:r>
      <w:r>
        <w:tab/>
        <w:t>Attorney General entitled to appear in proceedings</w:t>
      </w:r>
      <w:bookmarkEnd w:id="131"/>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r>
        <w:tab/>
        <w:t>[Section 103 amended: No. 10 of 2018 s. 68.]</w:t>
      </w:r>
    </w:p>
    <w:p>
      <w:pPr>
        <w:pStyle w:val="Heading5"/>
      </w:pPr>
      <w:bookmarkStart w:id="132" w:name="_Toc154752902"/>
      <w:r>
        <w:rPr>
          <w:rStyle w:val="CharSectno"/>
        </w:rPr>
        <w:lastRenderedPageBreak/>
        <w:t>104</w:t>
      </w:r>
      <w:r>
        <w:t>.</w:t>
      </w:r>
      <w:r>
        <w:tab/>
        <w:t>Stays of proceedings</w:t>
      </w:r>
      <w:bookmarkEnd w:id="13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3" w:name="_Toc154752903"/>
      <w:r>
        <w:rPr>
          <w:rStyle w:val="CharSectno"/>
        </w:rPr>
        <w:t>105</w:t>
      </w:r>
      <w:r>
        <w:t>.</w:t>
      </w:r>
      <w:r>
        <w:tab/>
        <w:t>Opinion evidence of some people admissible</w:t>
      </w:r>
      <w:bookmarkEnd w:id="133"/>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4" w:name="_Toc154752904"/>
      <w:r>
        <w:rPr>
          <w:rStyle w:val="CharSectno"/>
        </w:rPr>
        <w:lastRenderedPageBreak/>
        <w:t>106</w:t>
      </w:r>
      <w:r>
        <w:t>.</w:t>
      </w:r>
      <w:r>
        <w:tab/>
        <w:t>Findings that property is crime</w:t>
      </w:r>
      <w:r>
        <w:noBreakHyphen/>
        <w:t>used or crime</w:t>
      </w:r>
      <w:r>
        <w:noBreakHyphen/>
        <w:t>derived, making</w:t>
      </w:r>
      <w:bookmarkEnd w:id="13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5" w:name="_Toc154752905"/>
      <w:r>
        <w:rPr>
          <w:rStyle w:val="CharSectno"/>
        </w:rPr>
        <w:t>107</w:t>
      </w:r>
      <w:r>
        <w:t>.</w:t>
      </w:r>
      <w:r>
        <w:tab/>
        <w:t>Evidence as to confiscation offence may be used in confiscation proceedings</w:t>
      </w:r>
      <w:bookmarkEnd w:id="135"/>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6" w:name="_Toc154752906"/>
      <w:r>
        <w:rPr>
          <w:rStyle w:val="CharSectno"/>
        </w:rPr>
        <w:t>108</w:t>
      </w:r>
      <w:r>
        <w:t>.</w:t>
      </w:r>
      <w:r>
        <w:tab/>
        <w:t>Examination orders, admissibility of transcript of proceedings under</w:t>
      </w:r>
      <w:bookmarkEnd w:id="136"/>
    </w:p>
    <w:p>
      <w:pPr>
        <w:pStyle w:val="Subsection"/>
      </w:pPr>
      <w:r>
        <w:tab/>
        <w:t>(1)</w:t>
      </w:r>
      <w:r>
        <w:tab/>
        <w:t xml:space="preserve">For the purposes of section 61(7), the transcript of an examination of a person under an examination order made by the court is admissible in any proceedings under this Act or </w:t>
      </w:r>
      <w:r>
        <w:lastRenderedPageBreak/>
        <w:t>under any other law in force in Western Australia as evidence of a statement or disclosure made by the person in the course of complying with the examination order.</w:t>
      </w:r>
    </w:p>
    <w:p>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137" w:name="_Toc154752907"/>
      <w:r>
        <w:rPr>
          <w:rStyle w:val="CharSectno"/>
        </w:rPr>
        <w:t>109</w:t>
      </w:r>
      <w:r>
        <w:t>.</w:t>
      </w:r>
      <w:r>
        <w:tab/>
        <w:t>Hearsay evidence etc., use of</w:t>
      </w:r>
      <w:bookmarkEnd w:id="137"/>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8" w:name="_Toc154752908"/>
      <w:r>
        <w:rPr>
          <w:rStyle w:val="CharSectno"/>
        </w:rPr>
        <w:t>110</w:t>
      </w:r>
      <w:r>
        <w:t>.</w:t>
      </w:r>
      <w:r>
        <w:tab/>
        <w:t>Production orders, admissibility of documents produced etc.</w:t>
      </w:r>
      <w:bookmarkEnd w:id="138"/>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9" w:name="_Toc154752909"/>
      <w:r>
        <w:rPr>
          <w:rStyle w:val="CharSectno"/>
        </w:rPr>
        <w:t>111</w:t>
      </w:r>
      <w:r>
        <w:t>.</w:t>
      </w:r>
      <w:r>
        <w:tab/>
      </w:r>
      <w:r>
        <w:rPr>
          <w:i/>
        </w:rPr>
        <w:t>Misuse of Drugs Act 1981</w:t>
      </w:r>
      <w:r>
        <w:t xml:space="preserve"> s. 38(2), effect of certificate under</w:t>
      </w:r>
      <w:bookmarkEnd w:id="13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40" w:name="_Toc154752910"/>
      <w:r>
        <w:rPr>
          <w:rStyle w:val="CharSectno"/>
        </w:rPr>
        <w:t>112</w:t>
      </w:r>
      <w:r>
        <w:t>.</w:t>
      </w:r>
      <w:r>
        <w:tab/>
        <w:t>Enforcing compliance with Act or court order</w:t>
      </w:r>
      <w:bookmarkEnd w:id="140"/>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lastRenderedPageBreak/>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41" w:name="_Toc154752911"/>
      <w:r>
        <w:rPr>
          <w:rStyle w:val="CharPartNo"/>
        </w:rPr>
        <w:lastRenderedPageBreak/>
        <w:t>Part 9</w:t>
      </w:r>
      <w:r>
        <w:rPr>
          <w:rStyle w:val="CharDivNo"/>
        </w:rPr>
        <w:t xml:space="preserve"> </w:t>
      </w:r>
      <w:r>
        <w:t>—</w:t>
      </w:r>
      <w:r>
        <w:rPr>
          <w:rStyle w:val="CharDivText"/>
        </w:rPr>
        <w:t xml:space="preserve"> </w:t>
      </w:r>
      <w:r>
        <w:rPr>
          <w:rStyle w:val="CharPartText"/>
        </w:rPr>
        <w:t>Interests in registrable property</w:t>
      </w:r>
      <w:bookmarkEnd w:id="141"/>
    </w:p>
    <w:p>
      <w:pPr>
        <w:pStyle w:val="Heading5"/>
      </w:pPr>
      <w:bookmarkStart w:id="142" w:name="_Toc154752912"/>
      <w:r>
        <w:rPr>
          <w:rStyle w:val="CharSectno"/>
        </w:rPr>
        <w:t>113</w:t>
      </w:r>
      <w:r>
        <w:t>.</w:t>
      </w:r>
      <w:r>
        <w:tab/>
        <w:t>Memorials for land titles, Registrar of Titles’ functions as to and effect of</w:t>
      </w:r>
      <w:bookmarkEnd w:id="142"/>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instrument for the purposes of entering on the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instrument —</w:t>
      </w:r>
    </w:p>
    <w:p>
      <w:pPr>
        <w:pStyle w:val="Indenta"/>
      </w:pPr>
      <w:r>
        <w:tab/>
        <w:t>(a)</w:t>
      </w:r>
      <w:r>
        <w:tab/>
        <w:t>the Registrar must endorse the certificate of title to the effect that the memorandum concerned has not been entered on the duplicate instrument; and</w:t>
      </w:r>
    </w:p>
    <w:p>
      <w:pPr>
        <w:pStyle w:val="Indenta"/>
      </w:pPr>
      <w:r>
        <w:lastRenderedPageBreak/>
        <w:tab/>
        <w:t>(b)</w:t>
      </w:r>
      <w:r>
        <w:tab/>
        <w:t>any subsequent dealing in the property has effect as if the memorandum had been entered on the duplicate instrument.</w:t>
      </w:r>
    </w:p>
    <w:p>
      <w:pPr>
        <w:pStyle w:val="Ednotesubsection"/>
      </w:pPr>
      <w:r>
        <w:tab/>
        <w:t>[(5)</w:t>
      </w:r>
      <w:r>
        <w:tab/>
        <w:t>deleted]</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lastRenderedPageBreak/>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Footnotesection"/>
      </w:pPr>
      <w:r>
        <w:tab/>
        <w:t>[Section 113 amended: No. 21 of 2022 s. 51.]</w:t>
      </w:r>
    </w:p>
    <w:p>
      <w:pPr>
        <w:pStyle w:val="Heading5"/>
        <w:rPr>
          <w:b w:val="0"/>
        </w:rPr>
      </w:pPr>
      <w:bookmarkStart w:id="143" w:name="_Toc154752913"/>
      <w:r>
        <w:rPr>
          <w:rStyle w:val="CharSectno"/>
        </w:rPr>
        <w:t>114</w:t>
      </w:r>
      <w:r>
        <w:t>.</w:t>
      </w:r>
      <w:r>
        <w:tab/>
        <w:t xml:space="preserve">Registrars under Acts other than </w:t>
      </w:r>
      <w:r>
        <w:rPr>
          <w:i/>
        </w:rPr>
        <w:t>Transfer of Land Act 1893</w:t>
      </w:r>
      <w:r>
        <w:t>, duty of</w:t>
      </w:r>
      <w:bookmarkEnd w:id="143"/>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144" w:name="_Toc154752914"/>
      <w:r>
        <w:rPr>
          <w:rStyle w:val="CharSectno"/>
        </w:rPr>
        <w:t>115</w:t>
      </w:r>
      <w:r>
        <w:t>.</w:t>
      </w:r>
      <w:r>
        <w:tab/>
        <w:t>Knowledge that property is frozen, imputation of</w:t>
      </w:r>
      <w:bookmarkEnd w:id="144"/>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lastRenderedPageBreak/>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145" w:name="_Toc154752915"/>
      <w:r>
        <w:rPr>
          <w:rStyle w:val="CharSectno"/>
        </w:rPr>
        <w:t>116</w:t>
      </w:r>
      <w:r>
        <w:t>.</w:t>
      </w:r>
      <w:r>
        <w:tab/>
        <w:t>Documents lodged with the Registrar of Titles, form of</w:t>
      </w:r>
      <w:bookmarkEnd w:id="145"/>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6" w:name="_Toc154752916"/>
      <w:r>
        <w:rPr>
          <w:rStyle w:val="CharPartNo"/>
        </w:rPr>
        <w:lastRenderedPageBreak/>
        <w:t>Part 10</w:t>
      </w:r>
      <w:r>
        <w:t xml:space="preserve"> — </w:t>
      </w:r>
      <w:r>
        <w:rPr>
          <w:rStyle w:val="CharPartText"/>
        </w:rPr>
        <w:t>Mutual recognition of freezing orders and confiscation of property</w:t>
      </w:r>
      <w:bookmarkEnd w:id="146"/>
    </w:p>
    <w:p>
      <w:pPr>
        <w:pStyle w:val="Heading3"/>
      </w:pPr>
      <w:bookmarkStart w:id="147" w:name="_Toc154752917"/>
      <w:r>
        <w:rPr>
          <w:rStyle w:val="CharDivNo"/>
        </w:rPr>
        <w:t>Division 1</w:t>
      </w:r>
      <w:r>
        <w:t xml:space="preserve"> — </w:t>
      </w:r>
      <w:r>
        <w:rPr>
          <w:rStyle w:val="CharDivText"/>
        </w:rPr>
        <w:t>Registration of WA orders in other jurisdictions</w:t>
      </w:r>
      <w:bookmarkEnd w:id="147"/>
    </w:p>
    <w:p>
      <w:pPr>
        <w:pStyle w:val="Heading5"/>
      </w:pPr>
      <w:bookmarkStart w:id="148" w:name="_Toc154752918"/>
      <w:r>
        <w:rPr>
          <w:rStyle w:val="CharSectno"/>
        </w:rPr>
        <w:t>117</w:t>
      </w:r>
      <w:r>
        <w:t>.</w:t>
      </w:r>
      <w:r>
        <w:tab/>
        <w:t>Freezing notices and orders, content of for interstate registration and effect of interstate</w:t>
      </w:r>
      <w:bookmarkEnd w:id="148"/>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9" w:name="_Toc154752919"/>
      <w:r>
        <w:rPr>
          <w:rStyle w:val="CharDivNo"/>
        </w:rPr>
        <w:t>Division 2</w:t>
      </w:r>
      <w:r>
        <w:t xml:space="preserve"> — </w:t>
      </w:r>
      <w:r>
        <w:rPr>
          <w:rStyle w:val="CharDivText"/>
        </w:rPr>
        <w:t>Recognition of orders of other jurisdictions</w:t>
      </w:r>
      <w:bookmarkEnd w:id="149"/>
    </w:p>
    <w:p>
      <w:pPr>
        <w:pStyle w:val="Heading5"/>
      </w:pPr>
      <w:bookmarkStart w:id="150" w:name="_Toc154752920"/>
      <w:r>
        <w:rPr>
          <w:rStyle w:val="CharSectno"/>
        </w:rPr>
        <w:t>118</w:t>
      </w:r>
      <w:r>
        <w:t>.</w:t>
      </w:r>
      <w:r>
        <w:tab/>
        <w:t>Interstate orders, registration of</w:t>
      </w:r>
      <w:bookmarkEnd w:id="15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 xml:space="preserve">Any amendments made to an interstate freezing order or an interstate confiscation declaration may be registered in the same way, whether the amendments were made before or after the </w:t>
      </w:r>
      <w:r>
        <w:lastRenderedPageBreak/>
        <w:t>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r>
        <w:tab/>
        <w:t>[Section 118 amended: No. 10 of 2018 s. 70.]</w:t>
      </w:r>
    </w:p>
    <w:p>
      <w:pPr>
        <w:pStyle w:val="Heading5"/>
      </w:pPr>
      <w:bookmarkStart w:id="151" w:name="_Toc154752921"/>
      <w:r>
        <w:rPr>
          <w:rStyle w:val="CharSectno"/>
        </w:rPr>
        <w:t>119</w:t>
      </w:r>
      <w:r>
        <w:t>.</w:t>
      </w:r>
      <w:r>
        <w:tab/>
        <w:t>Registered interstate freezing orders, effect of</w:t>
      </w:r>
      <w:bookmarkEnd w:id="151"/>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52" w:name="_Toc154752922"/>
      <w:r>
        <w:rPr>
          <w:rStyle w:val="CharSectno"/>
        </w:rPr>
        <w:t>120</w:t>
      </w:r>
      <w:r>
        <w:t>.</w:t>
      </w:r>
      <w:r>
        <w:tab/>
        <w:t>Registered interstate confiscation declarations, effect of</w:t>
      </w:r>
      <w:bookmarkEnd w:id="152"/>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153" w:name="_Toc154752923"/>
      <w:r>
        <w:rPr>
          <w:rStyle w:val="CharSectno"/>
        </w:rPr>
        <w:t>121</w:t>
      </w:r>
      <w:r>
        <w:t>.</w:t>
      </w:r>
      <w:r>
        <w:tab/>
        <w:t>Registered interstate freezing orders etc., duration of</w:t>
      </w:r>
      <w:bookmarkEnd w:id="153"/>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4" w:name="_Toc154752924"/>
      <w:r>
        <w:rPr>
          <w:rStyle w:val="CharSectno"/>
        </w:rPr>
        <w:lastRenderedPageBreak/>
        <w:t>122</w:t>
      </w:r>
      <w:r>
        <w:t>.</w:t>
      </w:r>
      <w:r>
        <w:tab/>
        <w:t>Registered interstate freezing orders etc., cancelling</w:t>
      </w:r>
      <w:bookmarkEnd w:id="154"/>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r>
        <w:tab/>
        <w:t>[Section 122 amended: No. 10 of 2018 s. 71.]</w:t>
      </w:r>
    </w:p>
    <w:p>
      <w:pPr>
        <w:pStyle w:val="Heading3"/>
      </w:pPr>
      <w:bookmarkStart w:id="155" w:name="_Toc154752925"/>
      <w:r>
        <w:rPr>
          <w:rStyle w:val="CharDivNo"/>
        </w:rPr>
        <w:t>Division 3</w:t>
      </w:r>
      <w:r>
        <w:t xml:space="preserve"> — </w:t>
      </w:r>
      <w:r>
        <w:rPr>
          <w:rStyle w:val="CharDivText"/>
        </w:rPr>
        <w:t>Charges on interstate property</w:t>
      </w:r>
      <w:bookmarkEnd w:id="155"/>
    </w:p>
    <w:p>
      <w:pPr>
        <w:pStyle w:val="Heading5"/>
      </w:pPr>
      <w:bookmarkStart w:id="156" w:name="_Toc154752926"/>
      <w:r>
        <w:rPr>
          <w:rStyle w:val="CharSectno"/>
        </w:rPr>
        <w:t>123</w:t>
      </w:r>
      <w:r>
        <w:t>.</w:t>
      </w:r>
      <w:r>
        <w:tab/>
        <w:t>Creation of charge</w:t>
      </w:r>
      <w:bookmarkEnd w:id="15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7" w:name="_Toc154752927"/>
      <w:r>
        <w:rPr>
          <w:rStyle w:val="CharSectno"/>
        </w:rPr>
        <w:lastRenderedPageBreak/>
        <w:t>124</w:t>
      </w:r>
      <w:r>
        <w:t>.</w:t>
      </w:r>
      <w:r>
        <w:tab/>
        <w:t>Cessation of charge</w:t>
      </w:r>
      <w:bookmarkEnd w:id="15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158" w:name="_Toc154752928"/>
      <w:r>
        <w:rPr>
          <w:rStyle w:val="CharSectno"/>
        </w:rPr>
        <w:t>125</w:t>
      </w:r>
      <w:r>
        <w:t>.</w:t>
      </w:r>
      <w:r>
        <w:tab/>
        <w:t>Priority of charge</w:t>
      </w:r>
      <w:bookmarkEnd w:id="158"/>
    </w:p>
    <w:p>
      <w:pPr>
        <w:pStyle w:val="Subsection"/>
      </w:pPr>
      <w:r>
        <w:tab/>
        <w:t>(1)</w:t>
      </w:r>
      <w:r>
        <w:tab/>
        <w:t>A charge created on property under section 123(1) —</w:t>
      </w:r>
    </w:p>
    <w:p>
      <w:pPr>
        <w:pStyle w:val="Indenta"/>
      </w:pPr>
      <w:r>
        <w:tab/>
        <w:t>(a)</w:t>
      </w:r>
      <w:r>
        <w:tab/>
        <w:t xml:space="preserve">is subject to every encumbrance on the property that came into existence before the charge and that would, </w:t>
      </w:r>
      <w:r>
        <w:lastRenderedPageBreak/>
        <w:t>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159" w:name="_Toc154752929"/>
      <w:r>
        <w:rPr>
          <w:rStyle w:val="CharSectno"/>
        </w:rPr>
        <w:t>126</w:t>
      </w:r>
      <w:r>
        <w:t>.</w:t>
      </w:r>
      <w:r>
        <w:tab/>
        <w:t>Charge on land, registration of memorial of</w:t>
      </w:r>
      <w:bookmarkEnd w:id="159"/>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r>
        <w:tab/>
        <w:t>[Section 126 amended: No. 10 of 2018 s. 72.]</w:t>
      </w:r>
    </w:p>
    <w:p>
      <w:pPr>
        <w:pStyle w:val="Heading5"/>
      </w:pPr>
      <w:bookmarkStart w:id="160" w:name="_Toc154752930"/>
      <w:r>
        <w:rPr>
          <w:rStyle w:val="CharSectno"/>
        </w:rPr>
        <w:t>127</w:t>
      </w:r>
      <w:r>
        <w:t>.</w:t>
      </w:r>
      <w:r>
        <w:tab/>
        <w:t>Charge on property other than land, registration of</w:t>
      </w:r>
      <w:bookmarkEnd w:id="160"/>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w:t>
      </w:r>
      <w:r>
        <w:lastRenderedPageBreak/>
        <w:t>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161" w:name="_Toc154752931"/>
      <w:r>
        <w:rPr>
          <w:rStyle w:val="CharPartNo"/>
        </w:rPr>
        <w:lastRenderedPageBreak/>
        <w:t>Part 11</w:t>
      </w:r>
      <w:r>
        <w:rPr>
          <w:rStyle w:val="CharDivNo"/>
        </w:rPr>
        <w:t xml:space="preserve"> </w:t>
      </w:r>
      <w:r>
        <w:t>—</w:t>
      </w:r>
      <w:r>
        <w:rPr>
          <w:rStyle w:val="CharDivText"/>
        </w:rPr>
        <w:t xml:space="preserve"> </w:t>
      </w:r>
      <w:r>
        <w:rPr>
          <w:rStyle w:val="CharPartText"/>
        </w:rPr>
        <w:t>Miscellaneous</w:t>
      </w:r>
      <w:bookmarkEnd w:id="161"/>
    </w:p>
    <w:p>
      <w:pPr>
        <w:pStyle w:val="Heading5"/>
      </w:pPr>
      <w:bookmarkStart w:id="162" w:name="_Toc154752932"/>
      <w:r>
        <w:rPr>
          <w:rStyle w:val="CharSectno"/>
        </w:rPr>
        <w:t>128</w:t>
      </w:r>
      <w:r>
        <w:t>.</w:t>
      </w:r>
      <w:r>
        <w:tab/>
        <w:t>Act binds States, Territories and Commonwealth</w:t>
      </w:r>
      <w:bookmarkEnd w:id="162"/>
    </w:p>
    <w:p>
      <w:pPr>
        <w:pStyle w:val="Subsection"/>
        <w:spacing w:before="100"/>
      </w:pPr>
      <w:r>
        <w:tab/>
        <w:t>(1)</w:t>
      </w:r>
      <w:r>
        <w:tab/>
        <w:t>This Act binds this State, the Commonwealth, each other State, the Australian Capital Territory and the Northern Territory,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63" w:name="_Toc154752933"/>
      <w:r>
        <w:rPr>
          <w:rStyle w:val="CharSectno"/>
        </w:rPr>
        <w:t>129</w:t>
      </w:r>
      <w:r>
        <w:t>.</w:t>
      </w:r>
      <w:r>
        <w:tab/>
        <w:t>Property protected from seizure and confiscation</w:t>
      </w:r>
      <w:bookmarkEnd w:id="163"/>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lastRenderedPageBreak/>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4" w:name="_Toc154752934"/>
      <w:r>
        <w:rPr>
          <w:rStyle w:val="CharSectno"/>
        </w:rPr>
        <w:t>130</w:t>
      </w:r>
      <w:r>
        <w:t>.</w:t>
      </w:r>
      <w:r>
        <w:tab/>
        <w:t>Confiscation Proceeds Account, creation and administration of</w:t>
      </w:r>
      <w:bookmarkEnd w:id="164"/>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165" w:name="_Toc154752935"/>
      <w:r>
        <w:rPr>
          <w:rStyle w:val="CharSectno"/>
        </w:rPr>
        <w:t>131</w:t>
      </w:r>
      <w:r>
        <w:t>.</w:t>
      </w:r>
      <w:r>
        <w:tab/>
        <w:t>Confiscation Proceeds Account, funds and purposes of</w:t>
      </w:r>
      <w:bookmarkEnd w:id="165"/>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lastRenderedPageBreak/>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166" w:name="_Toc154752936"/>
      <w:r>
        <w:rPr>
          <w:rStyle w:val="CharSectno"/>
        </w:rPr>
        <w:t>132</w:t>
      </w:r>
      <w:r>
        <w:t>.</w:t>
      </w:r>
      <w:r>
        <w:tab/>
        <w:t>Obstructing police officers or authorised CCC officers</w:t>
      </w:r>
      <w:bookmarkEnd w:id="166"/>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lastRenderedPageBreak/>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r>
        <w:tab/>
        <w:t>[Section 132 amended: No. 10 of 2018 s. 75.]</w:t>
      </w:r>
    </w:p>
    <w:p>
      <w:pPr>
        <w:pStyle w:val="Heading5"/>
        <w:spacing w:before="120"/>
      </w:pPr>
      <w:bookmarkStart w:id="167" w:name="_Toc154752937"/>
      <w:r>
        <w:rPr>
          <w:rStyle w:val="CharSectno"/>
        </w:rPr>
        <w:t>133</w:t>
      </w:r>
      <w:r>
        <w:t>.</w:t>
      </w:r>
      <w:r>
        <w:tab/>
        <w:t>Subsequent applications, notices, orders etc. not prevented</w:t>
      </w:r>
      <w:bookmarkEnd w:id="167"/>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68" w:name="_Toc154752938"/>
      <w:r>
        <w:rPr>
          <w:rStyle w:val="CharSectno"/>
        </w:rPr>
        <w:t>134</w:t>
      </w:r>
      <w:r>
        <w:t>.</w:t>
      </w:r>
      <w:r>
        <w:tab/>
        <w:t>Delegation by DPP</w:t>
      </w:r>
      <w:bookmarkEnd w:id="168"/>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9" w:name="_Toc154752939"/>
      <w:r>
        <w:rPr>
          <w:rStyle w:val="CharSectno"/>
        </w:rPr>
        <w:lastRenderedPageBreak/>
        <w:t>134A</w:t>
      </w:r>
      <w:r>
        <w:t>.</w:t>
      </w:r>
      <w:r>
        <w:tab/>
        <w:t>CCC’s power to delegate</w:t>
      </w:r>
      <w:bookmarkEnd w:id="169"/>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170" w:name="_Toc154752940"/>
      <w:r>
        <w:rPr>
          <w:rStyle w:val="CharSectno"/>
        </w:rPr>
        <w:t>135</w:t>
      </w:r>
      <w:r>
        <w:t>.</w:t>
      </w:r>
      <w:r>
        <w:tab/>
        <w:t>Sham transactions, orders as to</w:t>
      </w:r>
      <w:bookmarkEnd w:id="170"/>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lastRenderedPageBreak/>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r>
        <w:tab/>
        <w:t>[Section 135 amended: No. 10 of 2018 s. 77.]</w:t>
      </w:r>
    </w:p>
    <w:p>
      <w:pPr>
        <w:pStyle w:val="Heading5"/>
      </w:pPr>
      <w:bookmarkStart w:id="171" w:name="_Toc154752941"/>
      <w:r>
        <w:rPr>
          <w:rStyle w:val="CharSectno"/>
        </w:rPr>
        <w:t>136</w:t>
      </w:r>
      <w:r>
        <w:t>.</w:t>
      </w:r>
      <w:r>
        <w:tab/>
        <w:t>Offences by body corporate, liability of officers of in case of etc.</w:t>
      </w:r>
      <w:bookmarkEnd w:id="171"/>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72" w:name="_Toc154752942"/>
      <w:r>
        <w:rPr>
          <w:rStyle w:val="CharSectno"/>
        </w:rPr>
        <w:lastRenderedPageBreak/>
        <w:t>137</w:t>
      </w:r>
      <w:r>
        <w:t>.</w:t>
      </w:r>
      <w:r>
        <w:tab/>
        <w:t>Protection from personal liability</w:t>
      </w:r>
      <w:bookmarkEnd w:id="172"/>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73" w:name="_Toc154752943"/>
      <w:r>
        <w:rPr>
          <w:rStyle w:val="CharSectno"/>
        </w:rPr>
        <w:t>138</w:t>
      </w:r>
      <w:r>
        <w:t>.</w:t>
      </w:r>
      <w:r>
        <w:tab/>
        <w:t>Death of owner, effect of</w:t>
      </w:r>
      <w:bookmarkEnd w:id="173"/>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4" w:name="_Toc154752944"/>
      <w:r>
        <w:rPr>
          <w:rStyle w:val="CharSectno"/>
        </w:rPr>
        <w:t>139</w:t>
      </w:r>
      <w:r>
        <w:t>.</w:t>
      </w:r>
      <w:r>
        <w:tab/>
        <w:t>Legal professional privilege withdrawn</w:t>
      </w:r>
      <w:bookmarkEnd w:id="174"/>
    </w:p>
    <w:p>
      <w:pPr>
        <w:pStyle w:val="Subsection"/>
      </w:pPr>
      <w:r>
        <w:tab/>
        <w:t>(1)</w:t>
      </w:r>
      <w:r>
        <w:tab/>
        <w:t>A person is not entitled to contravene an order or requirement under this Act in relation to any information or any property</w:t>
      </w:r>
      <w:r>
        <w:noBreakHyphen/>
        <w:t xml:space="preserve">tracking document or other document, on the basis that </w:t>
      </w:r>
      <w:r>
        <w:lastRenderedPageBreak/>
        <w:t>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5" w:name="_Toc154752945"/>
      <w:r>
        <w:rPr>
          <w:rStyle w:val="CharSectno"/>
        </w:rPr>
        <w:t>140</w:t>
      </w:r>
      <w:r>
        <w:t>.</w:t>
      </w:r>
      <w:r>
        <w:tab/>
        <w:t>Regulations</w:t>
      </w:r>
      <w:bookmarkEnd w:id="17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lastRenderedPageBreak/>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176" w:name="_Toc154752946"/>
      <w:r>
        <w:rPr>
          <w:rStyle w:val="CharSectno"/>
        </w:rPr>
        <w:t>140A</w:t>
      </w:r>
      <w:r>
        <w:t>.</w:t>
      </w:r>
      <w:r>
        <w:tab/>
        <w:t>Review of 2018 amendments to Act</w:t>
      </w:r>
      <w:bookmarkEnd w:id="176"/>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177" w:name="_Toc154752947"/>
      <w:r>
        <w:rPr>
          <w:rStyle w:val="CharPartNo"/>
        </w:rPr>
        <w:lastRenderedPageBreak/>
        <w:t>Part 12</w:t>
      </w:r>
      <w:r>
        <w:rPr>
          <w:rStyle w:val="CharDivNo"/>
        </w:rPr>
        <w:t xml:space="preserve"> </w:t>
      </w:r>
      <w:r>
        <w:t>—</w:t>
      </w:r>
      <w:r>
        <w:rPr>
          <w:rStyle w:val="CharDivText"/>
        </w:rPr>
        <w:t xml:space="preserve"> </w:t>
      </w:r>
      <w:r>
        <w:rPr>
          <w:rStyle w:val="CharPartText"/>
        </w:rPr>
        <w:t>Interpretation</w:t>
      </w:r>
      <w:bookmarkEnd w:id="177"/>
    </w:p>
    <w:p>
      <w:pPr>
        <w:pStyle w:val="Heading5"/>
      </w:pPr>
      <w:bookmarkStart w:id="178" w:name="_Toc154752948"/>
      <w:r>
        <w:rPr>
          <w:rStyle w:val="CharSectno"/>
        </w:rPr>
        <w:t>141</w:t>
      </w:r>
      <w:r>
        <w:t>.</w:t>
      </w:r>
      <w:r>
        <w:tab/>
        <w:t>Term used: confiscation offence</w:t>
      </w:r>
      <w:bookmarkEnd w:id="178"/>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179" w:name="_Toc154752949"/>
      <w:r>
        <w:rPr>
          <w:rStyle w:val="CharSectno"/>
        </w:rPr>
        <w:lastRenderedPageBreak/>
        <w:t>142</w:t>
      </w:r>
      <w:r>
        <w:t>.</w:t>
      </w:r>
      <w:r>
        <w:tab/>
        <w:t>Term used: confiscable</w:t>
      </w:r>
      <w:bookmarkEnd w:id="179"/>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80" w:name="_Toc154752950"/>
      <w:r>
        <w:rPr>
          <w:rStyle w:val="CharSectno"/>
        </w:rPr>
        <w:t>143</w:t>
      </w:r>
      <w:r>
        <w:t>.</w:t>
      </w:r>
      <w:r>
        <w:tab/>
        <w:t>Term used: wealth</w:t>
      </w:r>
      <w:bookmarkEnd w:id="18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lastRenderedPageBreak/>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181" w:name="_Toc154752951"/>
      <w:r>
        <w:rPr>
          <w:rStyle w:val="CharSectno"/>
        </w:rPr>
        <w:t>144</w:t>
      </w:r>
      <w:r>
        <w:t>.</w:t>
      </w:r>
      <w:r>
        <w:tab/>
        <w:t>Term used: unexplained wealth</w:t>
      </w:r>
      <w:bookmarkEnd w:id="181"/>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182" w:name="_Toc154752952"/>
      <w:r>
        <w:rPr>
          <w:rStyle w:val="CharSectno"/>
        </w:rPr>
        <w:lastRenderedPageBreak/>
        <w:t>145</w:t>
      </w:r>
      <w:r>
        <w:t>.</w:t>
      </w:r>
      <w:r>
        <w:tab/>
        <w:t>Term used: criminal benefit</w:t>
      </w:r>
      <w:bookmarkEnd w:id="182"/>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83" w:name="_Toc154752953"/>
      <w:r>
        <w:rPr>
          <w:rStyle w:val="CharSectno"/>
        </w:rPr>
        <w:t>146</w:t>
      </w:r>
      <w:r>
        <w:t>.</w:t>
      </w:r>
      <w:r>
        <w:tab/>
        <w:t>Term used: crime</w:t>
      </w:r>
      <w:r>
        <w:noBreakHyphen/>
        <w:t>used</w:t>
      </w:r>
      <w:bookmarkEnd w:id="183"/>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lastRenderedPageBreak/>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84" w:name="_Toc154752954"/>
      <w:r>
        <w:rPr>
          <w:rStyle w:val="CharSectno"/>
        </w:rPr>
        <w:t>147</w:t>
      </w:r>
      <w:r>
        <w:t>.</w:t>
      </w:r>
      <w:r>
        <w:tab/>
        <w:t>Term used: criminal use</w:t>
      </w:r>
      <w:bookmarkEnd w:id="184"/>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5" w:name="_Toc154752955"/>
      <w:r>
        <w:rPr>
          <w:rStyle w:val="CharSectno"/>
        </w:rPr>
        <w:t>148</w:t>
      </w:r>
      <w:r>
        <w:t>.</w:t>
      </w:r>
      <w:r>
        <w:tab/>
        <w:t>Term used: crime</w:t>
      </w:r>
      <w:r>
        <w:noBreakHyphen/>
        <w:t>derived</w:t>
      </w:r>
      <w:bookmarkEnd w:id="185"/>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lastRenderedPageBreak/>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lastRenderedPageBreak/>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186" w:name="_Toc154752956"/>
      <w:r>
        <w:rPr>
          <w:rStyle w:val="CharSectno"/>
        </w:rPr>
        <w:t>149</w:t>
      </w:r>
      <w:r>
        <w:t>.</w:t>
      </w:r>
      <w:r>
        <w:tab/>
        <w:t>Term used: lawfully acquired</w:t>
      </w:r>
      <w:bookmarkEnd w:id="186"/>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7" w:name="_Toc154752957"/>
      <w:r>
        <w:rPr>
          <w:rStyle w:val="CharSectno"/>
        </w:rPr>
        <w:t>150</w:t>
      </w:r>
      <w:r>
        <w:t>.</w:t>
      </w:r>
      <w:r>
        <w:tab/>
        <w:t>Term used: service cut off date</w:t>
      </w:r>
      <w:bookmarkEnd w:id="187"/>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188" w:name="_Toc154752958"/>
      <w:r>
        <w:rPr>
          <w:rStyle w:val="CharSectno"/>
        </w:rPr>
        <w:lastRenderedPageBreak/>
        <w:t>151</w:t>
      </w:r>
      <w:r>
        <w:t>.</w:t>
      </w:r>
      <w:r>
        <w:tab/>
        <w:t>Term used: deal (in relation to property)</w:t>
      </w:r>
      <w:bookmarkEnd w:id="188"/>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9" w:name="_Toc154752959"/>
      <w:r>
        <w:rPr>
          <w:rStyle w:val="CharSectno"/>
        </w:rPr>
        <w:t>152</w:t>
      </w:r>
      <w:r>
        <w:t>.</w:t>
      </w:r>
      <w:r>
        <w:tab/>
        <w:t>Term used: value (in relation to property sold by or for the State)</w:t>
      </w:r>
      <w:bookmarkEnd w:id="18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190" w:name="_Toc154752960"/>
      <w:r>
        <w:rPr>
          <w:rStyle w:val="CharSectno"/>
        </w:rPr>
        <w:lastRenderedPageBreak/>
        <w:t>153</w:t>
      </w:r>
      <w:r>
        <w:t>.</w:t>
      </w:r>
      <w:r>
        <w:tab/>
        <w:t>Term used: innocent party</w:t>
      </w:r>
      <w:bookmarkEnd w:id="190"/>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lastRenderedPageBreak/>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91" w:name="_Toc154752961"/>
      <w:r>
        <w:rPr>
          <w:rStyle w:val="CharSectno"/>
        </w:rPr>
        <w:t>154</w:t>
      </w:r>
      <w:r>
        <w:t>.</w:t>
      </w:r>
      <w:r>
        <w:tab/>
        <w:t>Term used: value (in relation to transfer of property)</w:t>
      </w:r>
      <w:bookmarkEnd w:id="191"/>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92" w:name="_Toc154752962"/>
      <w:r>
        <w:rPr>
          <w:rStyle w:val="CharSectno"/>
        </w:rPr>
        <w:t>155</w:t>
      </w:r>
      <w:r>
        <w:t>.</w:t>
      </w:r>
      <w:r>
        <w:tab/>
        <w:t>Term used: property</w:t>
      </w:r>
      <w:r>
        <w:noBreakHyphen/>
        <w:t>tracking document</w:t>
      </w:r>
      <w:bookmarkEnd w:id="192"/>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lastRenderedPageBreak/>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193" w:name="_Toc154752963"/>
      <w:r>
        <w:rPr>
          <w:rStyle w:val="CharSectno"/>
        </w:rPr>
        <w:t>156</w:t>
      </w:r>
      <w:r>
        <w:t>.</w:t>
      </w:r>
      <w:r>
        <w:tab/>
        <w:t>Term used: effective control (in relation to property)</w:t>
      </w:r>
      <w:bookmarkEnd w:id="193"/>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194" w:name="_Toc154752964"/>
      <w:r>
        <w:rPr>
          <w:rStyle w:val="CharSectno"/>
        </w:rPr>
        <w:lastRenderedPageBreak/>
        <w:t>157</w:t>
      </w:r>
      <w:r>
        <w:t>.</w:t>
      </w:r>
      <w:r>
        <w:tab/>
        <w:t>Term used: conviction (in relation to confiscation offence)</w:t>
      </w:r>
      <w:bookmarkEnd w:id="194"/>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1</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lastRenderedPageBreak/>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5" w:name="_Toc154752965"/>
      <w:r>
        <w:rPr>
          <w:rStyle w:val="CharSectno"/>
        </w:rPr>
        <w:t>158</w:t>
      </w:r>
      <w:r>
        <w:t>.</w:t>
      </w:r>
      <w:r>
        <w:tab/>
        <w:t>Term used: charge (in relation to an offence)</w:t>
      </w:r>
      <w:bookmarkEnd w:id="195"/>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196" w:name="_Toc154752966"/>
      <w:r>
        <w:rPr>
          <w:rStyle w:val="CharSectno"/>
        </w:rPr>
        <w:t>159</w:t>
      </w:r>
      <w:r>
        <w:t>.</w:t>
      </w:r>
      <w:r>
        <w:tab/>
        <w:t>Term used: declared drug trafficker</w:t>
      </w:r>
      <w:bookmarkEnd w:id="196"/>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lastRenderedPageBreak/>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197" w:name="_Toc154752967"/>
      <w:r>
        <w:rPr>
          <w:rStyle w:val="CharSectno"/>
        </w:rPr>
        <w:t>160</w:t>
      </w:r>
      <w:r>
        <w:t>.</w:t>
      </w:r>
      <w:r>
        <w:tab/>
        <w:t>Term used: abscond (in relation to an offence)</w:t>
      </w:r>
      <w:bookmarkEnd w:id="197"/>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198" w:name="_Toc154752968"/>
      <w:r>
        <w:rPr>
          <w:rStyle w:val="CharSectno"/>
        </w:rPr>
        <w:lastRenderedPageBreak/>
        <w:t>161</w:t>
      </w:r>
      <w:r>
        <w:t>.</w:t>
      </w:r>
      <w:r>
        <w:tab/>
        <w:t>Term used: sham transaction</w:t>
      </w:r>
      <w:bookmarkEnd w:id="198"/>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ageBreakBefore w:val="0"/>
        <w:outlineLvl w:val="0"/>
      </w:pPr>
      <w:bookmarkStart w:id="199" w:name="_Toc154752969"/>
      <w:r>
        <w:rPr>
          <w:rStyle w:val="CharSchNo"/>
        </w:rPr>
        <w:lastRenderedPageBreak/>
        <w:t>Glossary</w:t>
      </w:r>
      <w:bookmarkEnd w:id="199"/>
    </w:p>
    <w:p>
      <w:pPr>
        <w:pStyle w:val="yShoulderClause"/>
      </w:pPr>
      <w:r>
        <w:t>[s. 3]</w:t>
      </w:r>
    </w:p>
    <w:p>
      <w:pPr>
        <w:pStyle w:val="yHeading5"/>
        <w:rPr>
          <w:snapToGrid w:val="0"/>
        </w:rPr>
      </w:pPr>
      <w:bookmarkStart w:id="200" w:name="_Toc154752970"/>
      <w:r>
        <w:rPr>
          <w:rStyle w:val="CharSClsNo"/>
        </w:rPr>
        <w:t>1</w:t>
      </w:r>
      <w:r>
        <w:rPr>
          <w:snapToGrid w:val="0"/>
        </w:rPr>
        <w:t>.</w:t>
      </w:r>
      <w:r>
        <w:rPr>
          <w:snapToGrid w:val="0"/>
        </w:rPr>
        <w:tab/>
        <w:t>Terms used</w:t>
      </w:r>
      <w:bookmarkEnd w:id="200"/>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lastRenderedPageBreak/>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 xml:space="preserve">if the institution or corporation is a body corporate incorporated for a public purpose under a law of the </w:t>
      </w:r>
      <w:r>
        <w:lastRenderedPageBreak/>
        <w:t>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lastRenderedPageBreak/>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the Reserve Bank of Australia;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lastRenderedPageBreak/>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lastRenderedPageBreak/>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lastRenderedPageBreak/>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lastRenderedPageBreak/>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r>
        <w:lastRenderedPageBreak/>
        <w:t xml:space="preserve"> </w:t>
      </w:r>
      <w:bookmarkStart w:id="202" w:name="_Toc154752971"/>
      <w:r>
        <w:t>Notes</w:t>
      </w:r>
      <w:bookmarkEnd w:id="202"/>
    </w:p>
    <w:p>
      <w:pPr>
        <w:pStyle w:val="nStatement"/>
      </w:pPr>
      <w:r>
        <w:t xml:space="preserve">This is a compilation of the </w:t>
      </w:r>
      <w:r>
        <w:rPr>
          <w:i/>
          <w:noProof/>
        </w:rPr>
        <w:t>Criminal Property Confiscation Act 2000</w:t>
      </w:r>
      <w:r>
        <w:t xml:space="preserve"> and includes amendments made by other written laws. For provisions that have come into operation, and for information about any reprints, see the compilation table. </w:t>
      </w:r>
    </w:p>
    <w:p>
      <w:pPr>
        <w:pStyle w:val="nHeading3"/>
      </w:pPr>
      <w:bookmarkStart w:id="203" w:name="_Toc154752972"/>
      <w:r>
        <w:t>Compilation table</w:t>
      </w:r>
      <w:bookmarkEnd w:id="203"/>
    </w:p>
    <w:tbl>
      <w:tblPr>
        <w:tblW w:w="714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trPr>
          <w:gridAfter w:val="1"/>
          <w:wAfter w:w="5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Borders>
              <w:top w:val="single" w:sz="8" w:space="0" w:color="auto"/>
            </w:tcBorders>
          </w:tcPr>
          <w:p>
            <w:pPr>
              <w:pStyle w:val="nTable"/>
              <w:spacing w:after="40"/>
            </w:pPr>
            <w:r>
              <w:rPr>
                <w:i/>
                <w:snapToGrid w:val="0"/>
              </w:rPr>
              <w:t>Criminal Property Confiscation Act 2000</w:t>
            </w:r>
          </w:p>
        </w:tc>
        <w:tc>
          <w:tcPr>
            <w:tcW w:w="1134" w:type="dxa"/>
            <w:gridSpan w:val="2"/>
            <w:tcBorders>
              <w:top w:val="single" w:sz="8" w:space="0" w:color="auto"/>
            </w:tcBorders>
          </w:tcPr>
          <w:p>
            <w:pPr>
              <w:pStyle w:val="nTable"/>
              <w:spacing w:after="40"/>
            </w:pPr>
            <w:r>
              <w:t>68 of 2000</w:t>
            </w:r>
          </w:p>
        </w:tc>
        <w:tc>
          <w:tcPr>
            <w:tcW w:w="1138" w:type="dxa"/>
            <w:gridSpan w:val="2"/>
            <w:tcBorders>
              <w:top w:val="single" w:sz="8" w:space="0" w:color="auto"/>
            </w:tcBorders>
          </w:tcPr>
          <w:p>
            <w:pPr>
              <w:pStyle w:val="nTable"/>
              <w:spacing w:after="40"/>
            </w:pPr>
            <w:r>
              <w:t>6 Dec 2000</w:t>
            </w:r>
          </w:p>
        </w:tc>
        <w:tc>
          <w:tcPr>
            <w:tcW w:w="2551" w:type="dxa"/>
            <w:gridSpan w:val="2"/>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 xml:space="preserve">Building Societies Amendment Act 2001 </w:t>
            </w:r>
            <w:r>
              <w:rPr>
                <w:snapToGrid w:val="0"/>
              </w:rPr>
              <w:t>s. 51</w:t>
            </w:r>
          </w:p>
        </w:tc>
        <w:tc>
          <w:tcPr>
            <w:tcW w:w="1134" w:type="dxa"/>
            <w:gridSpan w:val="2"/>
          </w:tcPr>
          <w:p>
            <w:pPr>
              <w:pStyle w:val="nTable"/>
              <w:spacing w:after="40"/>
            </w:pPr>
            <w:r>
              <w:t>12 of 2001</w:t>
            </w:r>
          </w:p>
        </w:tc>
        <w:tc>
          <w:tcPr>
            <w:tcW w:w="1138" w:type="dxa"/>
            <w:gridSpan w:val="2"/>
          </w:tcPr>
          <w:p>
            <w:pPr>
              <w:pStyle w:val="nTable"/>
              <w:spacing w:after="40"/>
            </w:pPr>
            <w:r>
              <w:t>13 Jul 2001</w:t>
            </w:r>
          </w:p>
        </w:tc>
        <w:tc>
          <w:tcPr>
            <w:tcW w:w="2551"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gridSpan w:val="2"/>
          </w:tcPr>
          <w:p>
            <w:pPr>
              <w:pStyle w:val="nTable"/>
              <w:spacing w:after="40"/>
            </w:pPr>
            <w:r>
              <w:t>20 of 2003</w:t>
            </w:r>
          </w:p>
        </w:tc>
        <w:tc>
          <w:tcPr>
            <w:tcW w:w="1138"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Acts Amendment (Equality of Status) Act 2003</w:t>
            </w:r>
            <w:r>
              <w:rPr>
                <w:snapToGrid w:val="0"/>
              </w:rPr>
              <w:t xml:space="preserve"> Pt. 15</w:t>
            </w:r>
          </w:p>
        </w:tc>
        <w:tc>
          <w:tcPr>
            <w:tcW w:w="1134" w:type="dxa"/>
            <w:gridSpan w:val="2"/>
          </w:tcPr>
          <w:p>
            <w:pPr>
              <w:pStyle w:val="nTable"/>
              <w:spacing w:after="40"/>
            </w:pPr>
            <w:r>
              <w:t>28 of 2003</w:t>
            </w:r>
          </w:p>
        </w:tc>
        <w:tc>
          <w:tcPr>
            <w:tcW w:w="1138"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8"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rPr>
                <w:snapToGrid w:val="0"/>
              </w:rPr>
            </w:pPr>
            <w:r>
              <w:rPr>
                <w:snapToGrid w:val="0"/>
              </w:rPr>
              <w:t>84 of 2004</w:t>
            </w:r>
          </w:p>
        </w:tc>
        <w:tc>
          <w:tcPr>
            <w:tcW w:w="1138" w:type="dxa"/>
            <w:gridSpan w:val="2"/>
          </w:tcPr>
          <w:p>
            <w:pPr>
              <w:pStyle w:val="nTable"/>
              <w:spacing w:after="40"/>
              <w:rPr>
                <w:snapToGrid w:val="0"/>
              </w:rPr>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rPr>
              <w:t>Housing Societies Repeal Act 2005</w:t>
            </w:r>
            <w:r>
              <w:t xml:space="preserve"> s. 25 </w:t>
            </w:r>
          </w:p>
        </w:tc>
        <w:tc>
          <w:tcPr>
            <w:tcW w:w="1134" w:type="dxa"/>
            <w:gridSpan w:val="2"/>
          </w:tcPr>
          <w:p>
            <w:pPr>
              <w:pStyle w:val="nTable"/>
              <w:spacing w:after="40"/>
              <w:rPr>
                <w:snapToGrid w:val="0"/>
              </w:rPr>
            </w:pPr>
            <w:r>
              <w:t>17 of 2005</w:t>
            </w:r>
          </w:p>
        </w:tc>
        <w:tc>
          <w:tcPr>
            <w:tcW w:w="1138" w:type="dxa"/>
            <w:gridSpan w:val="2"/>
          </w:tcPr>
          <w:p>
            <w:pPr>
              <w:pStyle w:val="nTable"/>
              <w:spacing w:after="40"/>
            </w:pPr>
            <w:r>
              <w:t>5 Oct 2005</w:t>
            </w:r>
          </w:p>
        </w:tc>
        <w:tc>
          <w:tcPr>
            <w:tcW w:w="2551" w:type="dxa"/>
            <w:gridSpan w:val="2"/>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gridSpan w:val="2"/>
          </w:tcPr>
          <w:p>
            <w:pPr>
              <w:pStyle w:val="nTable"/>
              <w:spacing w:after="40"/>
              <w:rPr>
                <w:snapToGrid w:val="0"/>
              </w:rPr>
            </w:pPr>
            <w:r>
              <w:rPr>
                <w:snapToGrid w:val="0"/>
              </w:rPr>
              <w:t xml:space="preserve">77 of 2006 </w:t>
            </w:r>
          </w:p>
        </w:tc>
        <w:tc>
          <w:tcPr>
            <w:tcW w:w="1138"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rPr>
              <w:t>Road Traffic Amendment Act 2007</w:t>
            </w:r>
            <w:r>
              <w:t xml:space="preserve"> s. 26</w:t>
            </w:r>
            <w:r>
              <w:rPr>
                <w:vertAlign w:val="superscript"/>
              </w:rPr>
              <w:t> </w:t>
            </w:r>
          </w:p>
        </w:tc>
        <w:tc>
          <w:tcPr>
            <w:tcW w:w="1134" w:type="dxa"/>
            <w:gridSpan w:val="2"/>
          </w:tcPr>
          <w:p>
            <w:pPr>
              <w:pStyle w:val="nTable"/>
              <w:spacing w:after="40"/>
              <w:rPr>
                <w:snapToGrid w:val="0"/>
              </w:rPr>
            </w:pPr>
            <w:r>
              <w:t>4 of 2007</w:t>
            </w:r>
          </w:p>
        </w:tc>
        <w:tc>
          <w:tcPr>
            <w:tcW w:w="1138" w:type="dxa"/>
            <w:gridSpan w:val="2"/>
          </w:tcPr>
          <w:p>
            <w:pPr>
              <w:pStyle w:val="nTable"/>
              <w:spacing w:after="40"/>
              <w:rPr>
                <w:snapToGrid w:val="0"/>
              </w:rPr>
            </w:pPr>
            <w:r>
              <w:t>11 Apr 2007</w:t>
            </w:r>
          </w:p>
        </w:tc>
        <w:tc>
          <w:tcPr>
            <w:tcW w:w="2551" w:type="dxa"/>
            <w:gridSpan w:val="2"/>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rPr>
            </w:pPr>
            <w:r>
              <w:rPr>
                <w:i/>
                <w:snapToGrid w:val="0"/>
              </w:rPr>
              <w:t>Criminal Law and Evidence Amendment Act 2008</w:t>
            </w:r>
            <w:r>
              <w:rPr>
                <w:iCs/>
                <w:snapToGrid w:val="0"/>
              </w:rPr>
              <w:t xml:space="preserve"> s. 61</w:t>
            </w:r>
          </w:p>
        </w:tc>
        <w:tc>
          <w:tcPr>
            <w:tcW w:w="1134" w:type="dxa"/>
            <w:gridSpan w:val="2"/>
          </w:tcPr>
          <w:p>
            <w:pPr>
              <w:pStyle w:val="nTable"/>
              <w:spacing w:after="40"/>
            </w:pPr>
            <w:r>
              <w:t>2 of 2008</w:t>
            </w:r>
          </w:p>
        </w:tc>
        <w:tc>
          <w:tcPr>
            <w:tcW w:w="1138"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56" w:type="dxa"/>
          <w:cantSplit/>
        </w:trPr>
        <w:tc>
          <w:tcPr>
            <w:tcW w:w="2268" w:type="dxa"/>
            <w:gridSpan w:val="2"/>
            <w:tcBorders>
              <w:top w:val="nil"/>
              <w:bottom w:val="nil"/>
            </w:tcBorders>
          </w:tcPr>
          <w:p>
            <w:pPr>
              <w:pStyle w:val="nTable"/>
              <w:spacing w:after="40"/>
            </w:pPr>
            <w:r>
              <w:rPr>
                <w:i/>
                <w:snapToGrid w:val="0"/>
              </w:rPr>
              <w:lastRenderedPageBreak/>
              <w:t>Medical Practitioners Act 2008</w:t>
            </w:r>
            <w:r>
              <w:t xml:space="preserve"> Sch. 3 cl. 17</w:t>
            </w:r>
          </w:p>
        </w:tc>
        <w:tc>
          <w:tcPr>
            <w:tcW w:w="1134" w:type="dxa"/>
            <w:gridSpan w:val="2"/>
            <w:tcBorders>
              <w:top w:val="nil"/>
              <w:bottom w:val="nil"/>
            </w:tcBorders>
          </w:tcPr>
          <w:p>
            <w:pPr>
              <w:pStyle w:val="nTable"/>
              <w:spacing w:after="40"/>
            </w:pPr>
            <w:r>
              <w:t>22 of 2008</w:t>
            </w:r>
          </w:p>
        </w:tc>
        <w:tc>
          <w:tcPr>
            <w:tcW w:w="1138"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56" w:type="dxa"/>
          <w:cantSplit/>
        </w:trPr>
        <w:tc>
          <w:tcPr>
            <w:tcW w:w="7091" w:type="dxa"/>
            <w:gridSpan w:val="8"/>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27</w:t>
            </w:r>
          </w:p>
        </w:tc>
        <w:tc>
          <w:tcPr>
            <w:tcW w:w="1134" w:type="dxa"/>
            <w:gridSpan w:val="2"/>
          </w:tcPr>
          <w:p>
            <w:pPr>
              <w:pStyle w:val="nTable"/>
              <w:spacing w:after="40"/>
            </w:pPr>
            <w:r>
              <w:t>18 of 2009</w:t>
            </w:r>
          </w:p>
        </w:tc>
        <w:tc>
          <w:tcPr>
            <w:tcW w:w="1138" w:type="dxa"/>
            <w:gridSpan w:val="2"/>
          </w:tcPr>
          <w:p>
            <w:pPr>
              <w:pStyle w:val="nTable"/>
              <w:spacing w:after="40"/>
            </w:pPr>
            <w:r>
              <w:t>16 Sep 2009</w:t>
            </w:r>
          </w:p>
        </w:tc>
        <w:tc>
          <w:tcPr>
            <w:tcW w:w="2551" w:type="dxa"/>
            <w:gridSpan w:val="2"/>
          </w:tcPr>
          <w:p>
            <w:pPr>
              <w:pStyle w:val="nTable"/>
              <w:spacing w:after="40"/>
            </w:pPr>
            <w:r>
              <w:t>17 Sep 2009 (see s. 2(b))</w:t>
            </w:r>
          </w:p>
        </w:tc>
      </w:tr>
      <w:tr>
        <w:tblPrEx>
          <w:tblBorders>
            <w:top w:val="single" w:sz="4" w:space="0" w:color="auto"/>
            <w:bottom w:val="single" w:sz="4" w:space="0" w:color="auto"/>
            <w:insideH w:val="single" w:sz="4" w:space="0" w:color="auto"/>
          </w:tblBorders>
        </w:tblPrEx>
        <w:trPr>
          <w:gridBefore w:val="1"/>
          <w:wBefore w:w="56" w:type="dxa"/>
        </w:trPr>
        <w:tc>
          <w:tcPr>
            <w:tcW w:w="2268" w:type="dxa"/>
            <w:gridSpan w:val="2"/>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gridSpan w:val="2"/>
            <w:tcBorders>
              <w:top w:val="nil"/>
              <w:bottom w:val="nil"/>
            </w:tcBorders>
          </w:tcPr>
          <w:p>
            <w:pPr>
              <w:pStyle w:val="nTable"/>
              <w:spacing w:after="40"/>
            </w:pPr>
            <w:r>
              <w:t>24 of 2009</w:t>
            </w:r>
          </w:p>
        </w:tc>
        <w:tc>
          <w:tcPr>
            <w:tcW w:w="1138" w:type="dxa"/>
            <w:gridSpan w:val="2"/>
            <w:tcBorders>
              <w:top w:val="nil"/>
              <w:bottom w:val="nil"/>
            </w:tcBorders>
          </w:tcPr>
          <w:p>
            <w:pPr>
              <w:pStyle w:val="nTable"/>
              <w:spacing w:after="40"/>
            </w:pPr>
            <w:r>
              <w:t>22 Oct 2009</w:t>
            </w:r>
          </w:p>
        </w:tc>
        <w:tc>
          <w:tcPr>
            <w:tcW w:w="2551" w:type="dxa"/>
            <w:gridSpan w:val="2"/>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8"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gridSpan w:val="2"/>
          </w:tcPr>
          <w:p>
            <w:pPr>
              <w:pStyle w:val="nTable"/>
              <w:spacing w:after="40"/>
              <w:rPr>
                <w:snapToGrid w:val="0"/>
              </w:rPr>
            </w:pPr>
            <w:r>
              <w:rPr>
                <w:snapToGrid w:val="0"/>
              </w:rPr>
              <w:t>35 of 2010</w:t>
            </w:r>
          </w:p>
        </w:tc>
        <w:tc>
          <w:tcPr>
            <w:tcW w:w="1138"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gridSpan w:val="2"/>
            <w:shd w:val="clear" w:color="auto" w:fill="auto"/>
          </w:tcPr>
          <w:p>
            <w:pPr>
              <w:pStyle w:val="nTable"/>
              <w:spacing w:after="40"/>
              <w:rPr>
                <w:snapToGrid w:val="0"/>
              </w:rPr>
            </w:pPr>
            <w:r>
              <w:rPr>
                <w:snapToGrid w:val="0"/>
              </w:rPr>
              <w:t>42 of 2011</w:t>
            </w:r>
          </w:p>
        </w:tc>
        <w:tc>
          <w:tcPr>
            <w:tcW w:w="1138" w:type="dxa"/>
            <w:gridSpan w:val="2"/>
            <w:shd w:val="clear" w:color="auto" w:fill="auto"/>
          </w:tcPr>
          <w:p>
            <w:pPr>
              <w:pStyle w:val="nTable"/>
              <w:spacing w:after="40"/>
              <w:rPr>
                <w:snapToGrid w:val="0"/>
              </w:rPr>
            </w:pPr>
            <w:r>
              <w:t>4 Oct 2011</w:t>
            </w:r>
          </w:p>
        </w:tc>
        <w:tc>
          <w:tcPr>
            <w:tcW w:w="255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2</w:t>
            </w:r>
          </w:p>
        </w:tc>
        <w:tc>
          <w:tcPr>
            <w:tcW w:w="1134" w:type="dxa"/>
            <w:gridSpan w:val="2"/>
            <w:shd w:val="clear" w:color="auto" w:fill="auto"/>
          </w:tcPr>
          <w:p>
            <w:pPr>
              <w:pStyle w:val="nTable"/>
              <w:spacing w:after="40"/>
              <w:rPr>
                <w:snapToGrid w:val="0"/>
              </w:rPr>
            </w:pPr>
            <w:r>
              <w:rPr>
                <w:snapToGrid w:val="0"/>
              </w:rPr>
              <w:t>49 of 2012</w:t>
            </w:r>
          </w:p>
        </w:tc>
        <w:tc>
          <w:tcPr>
            <w:tcW w:w="1138" w:type="dxa"/>
            <w:gridSpan w:val="2"/>
            <w:shd w:val="clear" w:color="auto" w:fill="auto"/>
          </w:tcPr>
          <w:p>
            <w:pPr>
              <w:pStyle w:val="nTable"/>
              <w:spacing w:after="40"/>
              <w:rPr>
                <w:snapToGrid w:val="0"/>
              </w:rPr>
            </w:pPr>
            <w: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gridSpan w:val="2"/>
            <w:shd w:val="clear" w:color="auto" w:fill="auto"/>
          </w:tcPr>
          <w:p>
            <w:pPr>
              <w:pStyle w:val="nTable"/>
              <w:spacing w:after="40"/>
              <w:rPr>
                <w:snapToGrid w:val="0"/>
              </w:rPr>
            </w:pPr>
            <w:r>
              <w:rPr>
                <w:snapToGrid w:val="0"/>
              </w:rPr>
              <w:t>10 of 2018</w:t>
            </w:r>
          </w:p>
        </w:tc>
        <w:tc>
          <w:tcPr>
            <w:tcW w:w="1138"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2</w:t>
            </w:r>
          </w:p>
        </w:tc>
        <w:tc>
          <w:tcPr>
            <w:tcW w:w="1134" w:type="dxa"/>
            <w:gridSpan w:val="2"/>
            <w:tcBorders>
              <w:bottom w:val="single" w:sz="4" w:space="0" w:color="auto"/>
            </w:tcBorders>
            <w:shd w:val="clear" w:color="auto" w:fill="auto"/>
          </w:tcPr>
          <w:p>
            <w:pPr>
              <w:pStyle w:val="nTable"/>
              <w:spacing w:after="40"/>
              <w:rPr>
                <w:snapToGrid w:val="0"/>
              </w:rPr>
            </w:pPr>
            <w:r>
              <w:t>21 of 2022</w:t>
            </w:r>
          </w:p>
        </w:tc>
        <w:tc>
          <w:tcPr>
            <w:tcW w:w="1138" w:type="dxa"/>
            <w:gridSpan w:val="2"/>
            <w:tcBorders>
              <w:bottom w:val="single" w:sz="4" w:space="0" w:color="auto"/>
            </w:tcBorders>
            <w:shd w:val="clear" w:color="auto" w:fill="auto"/>
          </w:tcPr>
          <w:p>
            <w:pPr>
              <w:pStyle w:val="nTable"/>
              <w:spacing w:after="40"/>
            </w:pPr>
            <w:r>
              <w:t>24 Jun 2022</w:t>
            </w:r>
          </w:p>
        </w:tc>
        <w:tc>
          <w:tcPr>
            <w:tcW w:w="2551" w:type="dxa"/>
            <w:gridSpan w:val="2"/>
            <w:tcBorders>
              <w:bottom w:val="single" w:sz="4" w:space="0" w:color="auto"/>
            </w:tcBorders>
            <w:shd w:val="clear" w:color="auto" w:fill="auto"/>
          </w:tcPr>
          <w:p>
            <w:pPr>
              <w:pStyle w:val="nTable"/>
              <w:spacing w:after="40"/>
              <w:rPr>
                <w:snapToGrid w:val="0"/>
              </w:rPr>
            </w:pPr>
            <w:r>
              <w:t>7 Aug 2023 (see s. 2(b) and SL 2023/111 cl. 2)</w:t>
            </w:r>
          </w:p>
        </w:tc>
      </w:tr>
    </w:tbl>
    <w:p>
      <w:pPr>
        <w:pStyle w:val="nHeading3"/>
      </w:pPr>
      <w:bookmarkStart w:id="204" w:name="_Toc154752973"/>
      <w:r>
        <w:lastRenderedPageBreak/>
        <w:t>Other notes</w:t>
      </w:r>
      <w:bookmarkEnd w:id="204"/>
    </w:p>
    <w:p>
      <w:pPr>
        <w:pStyle w:val="nNote"/>
        <w:rPr>
          <w:snapToGrid w:val="0"/>
        </w:rPr>
      </w:pPr>
      <w:r>
        <w:rPr>
          <w:snapToGrid w:val="0"/>
          <w:vertAlign w:val="superscript"/>
        </w:rPr>
        <w:t>1</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Note"/>
        <w:keepNext/>
        <w:keepLines/>
        <w:rPr>
          <w:i/>
          <w:snapToGrid w:val="0"/>
        </w:rPr>
      </w:pPr>
      <w:r>
        <w:rPr>
          <w:snapToGrid w:val="0"/>
          <w:vertAlign w:val="superscript"/>
        </w:rPr>
        <w:t>2</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06" w:name="_Toc154752974"/>
      <w:r>
        <w:rPr>
          <w:sz w:val="28"/>
        </w:rPr>
        <w:lastRenderedPageBreak/>
        <w:t>Defined terms</w:t>
      </w:r>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authorised CCC officer</w:t>
      </w:r>
      <w:r>
        <w:tab/>
        <w:t>Gl.</w:t>
      </w:r>
    </w:p>
    <w:p>
      <w:pPr>
        <w:pStyle w:val="DefinedTerms"/>
      </w:pPr>
      <w:r>
        <w:t>CCC</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lastRenderedPageBreak/>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r>
        <w:br w:type="page"/>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145915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9F6B49B" w14:textId="5CC39FBE" w:rsidR="00070BD9" w:rsidRDefault="00070B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7B6C4E" w14:textId="77777777" w:rsidR="00070BD9" w:rsidRDefault="00070B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F6EFE9" w14:textId="5A1B4761" w:rsidR="00070BD9" w:rsidRDefault="00070B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95E95FC" w14:textId="77777777" w:rsidR="00070BD9" w:rsidRDefault="00070B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7" w:name="DefinedTerms"/>
    <w:bookmarkEnd w:id="2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96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8C33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ECD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2600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E24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119"/>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 w:name="WAFER_2022062416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05_GUID" w:val="fbfcbf3e-d5b9-418d-96ba-274e0c4f4246"/>
    <w:docVar w:name="WAFER_20230724110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339_GUID" w:val="3584db19-e8fb-4ca3-a752-c0e39cdc33a7"/>
    <w:docVar w:name="WAFER_2023072411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51_GUID" w:val="ff85f2b3-1caf-4034-9177-bc3f718d1b64"/>
    <w:docVar w:name="WAFER_2023080311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2623_GUID" w:val="ef24f35f-ffa8-4dc4-a5d0-33da93d57c68"/>
    <w:docVar w:name="WAFER_20231222094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19_GUID" w:val="c2e026bd-18d0-4696-b41f-18b3b366a9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3729F-05FB-46E0-93D6-968A60AD9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33676</Words>
  <Characters>163334</Characters>
  <Application>Microsoft Office Word</Application>
  <DocSecurity>0</DocSecurity>
  <Lines>4188</Lines>
  <Paragraphs>2290</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194720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2000 - 04-c0-01</dc:title>
  <dc:subject/>
  <dc:creator/>
  <cp:keywords/>
  <dc:description/>
  <cp:lastModifiedBy>Master Repository Process</cp:lastModifiedBy>
  <cp:revision>4</cp:revision>
  <cp:lastPrinted>2019-06-28T06:32:00Z</cp:lastPrinted>
  <dcterms:created xsi:type="dcterms:W3CDTF">2023-12-29T06:32:00Z</dcterms:created>
  <dcterms:modified xsi:type="dcterms:W3CDTF">2023-12-29T06:32:00Z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AsAtDate">
    <vt:lpwstr>07 Aug 2023</vt:lpwstr>
  </property>
  <property fmtid="{D5CDD505-2E9C-101B-9397-08002B2CF9AE}" pid="9" name="Suffix">
    <vt:lpwstr>04-c0-01</vt:lpwstr>
  </property>
  <property fmtid="{D5CDD505-2E9C-101B-9397-08002B2CF9AE}" pid="10" name="Official">
    <vt:lpwstr/>
  </property>
  <property fmtid="{D5CDD505-2E9C-101B-9397-08002B2CF9AE}" pid="11" name="CommencementDate">
    <vt:lpwstr>20230807</vt:lpwstr>
  </property>
  <property fmtid="{D5CDD505-2E9C-101B-9397-08002B2CF9AE}" pid="12" name="CommencementYear">
    <vt:lpwstr>2023</vt:lpwstr>
  </property>
</Properties>
</file>