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Escheat (Procedure) Act 1940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Escheat (Procedure)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_Toc199319976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_Toc199319977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Applications for order of escheat</w:t>
      </w:r>
      <w:r>
        <w:tab/>
      </w:r>
      <w:r>
        <w:fldChar w:fldCharType="begin"/>
      </w:r>
      <w:r>
        <w:instrText xml:space="preserve"> PAGEREF _Toc199319978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published</w:t>
      </w:r>
      <w:r>
        <w:tab/>
      </w:r>
      <w:r>
        <w:fldChar w:fldCharType="begin"/>
      </w:r>
      <w:r>
        <w:instrText xml:space="preserve"> PAGEREF _Toc199319979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claiming title to property or premises may appear and support claim</w:t>
      </w:r>
      <w:r>
        <w:tab/>
      </w:r>
      <w:r>
        <w:fldChar w:fldCharType="begin"/>
      </w:r>
      <w:r>
        <w:instrText xml:space="preserve"> PAGEREF _Toc199319980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 may declare property has become property of Crown by way of escheat</w:t>
      </w:r>
      <w:r>
        <w:tab/>
      </w:r>
      <w:r>
        <w:fldChar w:fldCharType="begin"/>
      </w:r>
      <w:r>
        <w:instrText xml:space="preserve"> PAGEREF _Toc199319981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Sale of escheated property and application of proceeds</w:t>
      </w:r>
      <w:r>
        <w:tab/>
      </w:r>
      <w:r>
        <w:fldChar w:fldCharType="begin"/>
      </w:r>
      <w:r>
        <w:instrText xml:space="preserve"> PAGEREF _Toc199319982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Governor in Executive Council may make orders with respect to escheated property in favour of persons with moral claim</w:t>
      </w:r>
      <w:r>
        <w:tab/>
      </w:r>
      <w:r>
        <w:fldChar w:fldCharType="begin"/>
      </w:r>
      <w:r>
        <w:instrText xml:space="preserve"> PAGEREF _Toc199319983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Sheriff to execute conveyance or transfer of escheated property</w:t>
      </w:r>
      <w:r>
        <w:tab/>
      </w:r>
      <w:r>
        <w:fldChar w:fldCharType="begin"/>
      </w:r>
      <w:r>
        <w:instrText xml:space="preserve"> PAGEREF _Toc199319984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of Court</w:t>
      </w:r>
      <w:r>
        <w:tab/>
      </w:r>
      <w:r>
        <w:fldChar w:fldCharType="begin"/>
      </w:r>
      <w:r>
        <w:instrText xml:space="preserve"> PAGEREF _Toc199319985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_Toc199319986 \h </w:instrText>
      </w:r>
      <w:r>
        <w:fldChar w:fldCharType="separate"/>
      </w:r>
      <w:r>
        <w:t>5</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_Toc199319988 \h </w:instrText>
      </w:r>
      <w:r>
        <w:fldChar w:fldCharType="separate"/>
      </w:r>
      <w:r>
        <w:t>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_Toc199319989 \h </w:instrText>
      </w:r>
      <w:r>
        <w:fldChar w:fldCharType="separate"/>
      </w:r>
      <w:r>
        <w:t>6</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Escheat (Procedure) Act 1940 </w:t>
      </w:r>
    </w:p>
    <w:p>
      <w:pPr>
        <w:pStyle w:val="LongTitle"/>
        <w:rPr>
          <w:snapToGrid w:val="0"/>
        </w:rPr>
      </w:pPr>
      <w:r>
        <w:rPr>
          <w:snapToGrid w:val="0"/>
        </w:rPr>
        <w:t>An Act to repeal certain Ordinances</w:t>
      </w:r>
      <w:r>
        <w:rPr>
          <w:snapToGrid w:val="0"/>
          <w:vertAlign w:val="superscript"/>
        </w:rPr>
        <w:t> 1</w:t>
      </w:r>
      <w:r>
        <w:rPr>
          <w:snapToGrid w:val="0"/>
        </w:rPr>
        <w:t xml:space="preserve"> relating to escheat and to declare the law and practice in cases of escheat. </w:t>
      </w:r>
    </w:p>
    <w:p>
      <w:pPr>
        <w:pStyle w:val="Heading5"/>
        <w:rPr>
          <w:snapToGrid w:val="0"/>
        </w:rPr>
      </w:pPr>
      <w:bookmarkStart w:id="2" w:name="_Toc19931997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w:t>
      </w:r>
      <w:r>
        <w:rPr>
          <w:snapToGrid w:val="0"/>
        </w:rPr>
        <w:t>.</w:t>
      </w:r>
    </w:p>
    <w:p>
      <w:pPr>
        <w:pStyle w:val="Heading5"/>
        <w:rPr>
          <w:snapToGrid w:val="0"/>
        </w:rPr>
      </w:pPr>
      <w:bookmarkStart w:id="3" w:name="_Toc199319977"/>
      <w:r>
        <w:rPr>
          <w:rStyle w:val="CharSectno"/>
        </w:rPr>
        <w:t>2</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Court</w:t>
      </w:r>
      <w:r>
        <w:t xml:space="preserve"> means a Judge of the Supreme Court.</w:t>
      </w:r>
    </w:p>
    <w:p>
      <w:pPr>
        <w:pStyle w:val="Defstart"/>
      </w:pPr>
      <w:r>
        <w:rPr>
          <w:b/>
        </w:rPr>
        <w:tab/>
      </w:r>
      <w:r>
        <w:rPr>
          <w:rStyle w:val="CharDefText"/>
        </w:rPr>
        <w:t>Escheated property</w:t>
      </w:r>
      <w:r>
        <w:t xml:space="preserve"> means real or personal property the subject of an order of escheat.</w:t>
      </w:r>
    </w:p>
    <w:p>
      <w:pPr>
        <w:pStyle w:val="Defstart"/>
      </w:pPr>
      <w:r>
        <w:rPr>
          <w:b/>
        </w:rPr>
        <w:tab/>
      </w:r>
      <w:r>
        <w:rPr>
          <w:rStyle w:val="CharDefText"/>
        </w:rPr>
        <w:t>Order of escheat</w:t>
      </w:r>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r>
        <w:t>Omitted under the Reprints Act 1984 s. 7(4)(f).]</w:t>
      </w:r>
    </w:p>
    <w:p>
      <w:pPr>
        <w:pStyle w:val="Heading5"/>
        <w:rPr>
          <w:snapToGrid w:val="0"/>
        </w:rPr>
      </w:pPr>
      <w:bookmarkStart w:id="4" w:name="_Toc199319978"/>
      <w:r>
        <w:rPr>
          <w:rStyle w:val="CharSectno"/>
        </w:rPr>
        <w:t>4</w:t>
      </w:r>
      <w:r>
        <w:rPr>
          <w:snapToGrid w:val="0"/>
        </w:rPr>
        <w:t>.</w:t>
      </w:r>
      <w:r>
        <w:rPr>
          <w:snapToGrid w:val="0"/>
        </w:rPr>
        <w:tab/>
        <w:t>Applications for order of escheat</w:t>
      </w:r>
      <w:bookmarkEnd w:id="4"/>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tab/>
        <w:t>[Section 4 amended: No. 65 of 2003 s. 91.]</w:t>
      </w:r>
    </w:p>
    <w:p>
      <w:pPr>
        <w:pStyle w:val="Heading5"/>
        <w:rPr>
          <w:snapToGrid w:val="0"/>
        </w:rPr>
      </w:pPr>
      <w:bookmarkStart w:id="5" w:name="_Toc199319979"/>
      <w:r>
        <w:rPr>
          <w:rStyle w:val="CharSectno"/>
        </w:rPr>
        <w:lastRenderedPageBreak/>
        <w:t>5</w:t>
      </w:r>
      <w:r>
        <w:rPr>
          <w:snapToGrid w:val="0"/>
        </w:rPr>
        <w:t>.</w:t>
      </w:r>
      <w:r>
        <w:rPr>
          <w:snapToGrid w:val="0"/>
        </w:rPr>
        <w:tab/>
        <w:t>Notice to be published</w:t>
      </w:r>
      <w:bookmarkEnd w:id="5"/>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6" w:name="_Toc199319980"/>
      <w:r>
        <w:rPr>
          <w:rStyle w:val="CharSectno"/>
        </w:rPr>
        <w:t>6</w:t>
      </w:r>
      <w:r>
        <w:rPr>
          <w:snapToGrid w:val="0"/>
        </w:rPr>
        <w:t>.</w:t>
      </w:r>
      <w:r>
        <w:rPr>
          <w:snapToGrid w:val="0"/>
        </w:rPr>
        <w:tab/>
        <w:t>Person claiming title to property or premises may appear and support claim</w:t>
      </w:r>
      <w:bookmarkEnd w:id="6"/>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7" w:name="_Toc199319981"/>
      <w:r>
        <w:rPr>
          <w:rStyle w:val="CharSectno"/>
        </w:rPr>
        <w:t>7</w:t>
      </w:r>
      <w:r>
        <w:rPr>
          <w:snapToGrid w:val="0"/>
        </w:rPr>
        <w:t>.</w:t>
      </w:r>
      <w:r>
        <w:rPr>
          <w:snapToGrid w:val="0"/>
        </w:rPr>
        <w:tab/>
        <w:t>Court may declare property has become property of Crown by way of escheat</w:t>
      </w:r>
      <w:bookmarkEnd w:id="7"/>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w:t>
      </w:r>
      <w:r>
        <w:rPr>
          <w:snapToGrid w:val="0"/>
          <w:vertAlign w:val="superscript"/>
        </w:rPr>
        <w:t> 2</w:t>
      </w:r>
      <w:r>
        <w:rPr>
          <w:snapToGrid w:val="0"/>
        </w:rPr>
        <w:t>.</w:t>
      </w:r>
    </w:p>
    <w:p>
      <w:pPr>
        <w:pStyle w:val="Heading5"/>
        <w:rPr>
          <w:snapToGrid w:val="0"/>
        </w:rPr>
      </w:pPr>
      <w:bookmarkStart w:id="8" w:name="_Toc199319982"/>
      <w:r>
        <w:rPr>
          <w:rStyle w:val="CharSectno"/>
        </w:rPr>
        <w:t>8</w:t>
      </w:r>
      <w:r>
        <w:rPr>
          <w:snapToGrid w:val="0"/>
        </w:rPr>
        <w:t>.</w:t>
      </w:r>
      <w:r>
        <w:rPr>
          <w:snapToGrid w:val="0"/>
        </w:rPr>
        <w:tab/>
        <w:t>Sale of escheated property and application of proceeds</w:t>
      </w:r>
      <w:bookmarkEnd w:id="8"/>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Consolidated Account. In like manner any other moneys which </w:t>
      </w:r>
      <w:r>
        <w:rPr>
          <w:snapToGrid w:val="0"/>
        </w:rPr>
        <w:lastRenderedPageBreak/>
        <w:t xml:space="preserve">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w:t>
      </w:r>
      <w:r>
        <w:rPr>
          <w:snapToGrid w:val="0"/>
          <w:vertAlign w:val="superscript"/>
        </w:rPr>
        <w:t> 2</w:t>
      </w:r>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 No. 6 of 1993 s. 13; No. 77 of 2006 s. 4.]</w:t>
      </w:r>
    </w:p>
    <w:p>
      <w:pPr>
        <w:pStyle w:val="Heading5"/>
        <w:rPr>
          <w:snapToGrid w:val="0"/>
        </w:rPr>
      </w:pPr>
      <w:bookmarkStart w:id="9" w:name="_Toc199319983"/>
      <w:r>
        <w:rPr>
          <w:rStyle w:val="CharSectno"/>
        </w:rPr>
        <w:t>9</w:t>
      </w:r>
      <w:r>
        <w:rPr>
          <w:snapToGrid w:val="0"/>
        </w:rPr>
        <w:t>.</w:t>
      </w:r>
      <w:r>
        <w:rPr>
          <w:snapToGrid w:val="0"/>
        </w:rPr>
        <w:tab/>
        <w:t>Governor in Executive Council may make orders with respect to escheated property in favour of persons with moral claim</w:t>
      </w:r>
      <w:bookmarkEnd w:id="9"/>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 xml:space="preserve">From and after the making of an order by the Governor under this section, no claim shall be brought or made against the Governor in Executive Council or the Minister for Justice or the Attorney General, as the case may be, the Treasurer, the sheriff, </w:t>
      </w:r>
      <w:r>
        <w:rPr>
          <w:snapToGrid w:val="0"/>
        </w:rPr>
        <w:lastRenderedPageBreak/>
        <w:t>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10" w:name="_Toc199319984"/>
      <w:r>
        <w:rPr>
          <w:rStyle w:val="CharSectno"/>
        </w:rPr>
        <w:t>10</w:t>
      </w:r>
      <w:r>
        <w:rPr>
          <w:snapToGrid w:val="0"/>
        </w:rPr>
        <w:t>.</w:t>
      </w:r>
      <w:r>
        <w:rPr>
          <w:snapToGrid w:val="0"/>
        </w:rPr>
        <w:tab/>
        <w:t>Sheriff to execute conveyance or transfer of escheated property</w:t>
      </w:r>
      <w:bookmarkEnd w:id="10"/>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xml:space="preserve">, together with a certified copy of the order of the Court or the order of the Governor in Executive Council, as the case may be, shall register the said transfer. </w:t>
      </w:r>
    </w:p>
    <w:p>
      <w:pPr>
        <w:pStyle w:val="Footnotesection"/>
      </w:pPr>
      <w:r>
        <w:tab/>
        <w:t xml:space="preserve">[Section 10 amended: No. 81 of 1996 s. 153(1); No. 21 of 2022 s. 53.] </w:t>
      </w:r>
    </w:p>
    <w:p>
      <w:pPr>
        <w:pStyle w:val="Heading5"/>
        <w:rPr>
          <w:snapToGrid w:val="0"/>
        </w:rPr>
      </w:pPr>
      <w:bookmarkStart w:id="11" w:name="_Toc199319985"/>
      <w:r>
        <w:rPr>
          <w:rStyle w:val="CharSectno"/>
        </w:rPr>
        <w:t>11</w:t>
      </w:r>
      <w:r>
        <w:rPr>
          <w:snapToGrid w:val="0"/>
        </w:rPr>
        <w:t>.</w:t>
      </w:r>
      <w:r>
        <w:rPr>
          <w:snapToGrid w:val="0"/>
        </w:rPr>
        <w:tab/>
        <w:t>Rules of Court</w:t>
      </w:r>
      <w:bookmarkEnd w:id="11"/>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12" w:name="_Toc199319986"/>
      <w:r>
        <w:rPr>
          <w:rStyle w:val="CharSectno"/>
        </w:rPr>
        <w:lastRenderedPageBreak/>
        <w:t>12</w:t>
      </w:r>
      <w:r>
        <w:rPr>
          <w:snapToGrid w:val="0"/>
        </w:rPr>
        <w:t>.</w:t>
      </w:r>
      <w:r>
        <w:rPr>
          <w:snapToGrid w:val="0"/>
        </w:rPr>
        <w:tab/>
        <w:t>Regulations</w:t>
      </w:r>
      <w:bookmarkEnd w:id="12"/>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99319987"/>
      <w:r>
        <w:lastRenderedPageBreak/>
        <w:t>Notes</w:t>
      </w:r>
      <w:bookmarkEnd w:id="13"/>
    </w:p>
    <w:p>
      <w:pPr>
        <w:pStyle w:val="nStatement"/>
      </w:pPr>
      <w:r>
        <w:t xml:space="preserve">This is a compilation of the </w:t>
      </w:r>
      <w:r>
        <w:rPr>
          <w:i/>
          <w:noProof/>
        </w:rPr>
        <w:t>Escheat (Procedure) Act 1940</w:t>
      </w:r>
      <w:r>
        <w:t xml:space="preserve"> and includes amendments made by other written laws. For provisions that have come into operation, and for information about any reprints, see the compilation table. </w:t>
      </w:r>
    </w:p>
    <w:p>
      <w:pPr>
        <w:pStyle w:val="nHeading3"/>
      </w:pPr>
      <w:bookmarkStart w:id="14" w:name="_Toc199319988"/>
      <w:r>
        <w:t>Compilation table</w:t>
      </w:r>
      <w:bookmarkEnd w:id="1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Escheat (Procedure) Act 1940</w:t>
            </w:r>
          </w:p>
        </w:tc>
        <w:tc>
          <w:tcPr>
            <w:tcW w:w="1134" w:type="dxa"/>
          </w:tcPr>
          <w:p>
            <w:pPr>
              <w:pStyle w:val="nTable"/>
            </w:pPr>
            <w:r>
              <w:t>45 of 1940</w:t>
            </w:r>
          </w:p>
        </w:tc>
        <w:tc>
          <w:tcPr>
            <w:tcW w:w="1134" w:type="dxa"/>
          </w:tcPr>
          <w:p>
            <w:pPr>
              <w:pStyle w:val="nTable"/>
            </w:pPr>
            <w:r>
              <w:t>30 Dec 1940</w:t>
            </w:r>
          </w:p>
        </w:tc>
        <w:tc>
          <w:tcPr>
            <w:tcW w:w="2552" w:type="dxa"/>
          </w:tcPr>
          <w:p>
            <w:pPr>
              <w:pStyle w:val="nTable"/>
            </w:pPr>
            <w:r>
              <w:t>30 Dec 1940</w:t>
            </w:r>
          </w:p>
        </w:tc>
      </w:tr>
      <w:tr>
        <w:tblPrEx>
          <w:tblBorders>
            <w:top w:val="none" w:sz="0" w:space="0" w:color="auto"/>
            <w:bottom w:val="none" w:sz="0" w:space="0" w:color="auto"/>
            <w:insideH w:val="none" w:sz="0" w:space="0" w:color="auto"/>
          </w:tblBorders>
        </w:tblPrEx>
        <w:tc>
          <w:tcPr>
            <w:tcW w:w="2268" w:type="dxa"/>
          </w:tcPr>
          <w:p>
            <w:pPr>
              <w:pStyle w:val="nTable"/>
            </w:pPr>
            <w:r>
              <w:rPr>
                <w:i/>
              </w:rPr>
              <w:t>Financial Administration Legislation Amendment Act 1993</w:t>
            </w:r>
            <w:r>
              <w:t xml:space="preserve"> s. 13</w:t>
            </w:r>
          </w:p>
        </w:tc>
        <w:tc>
          <w:tcPr>
            <w:tcW w:w="1134" w:type="dxa"/>
          </w:tcPr>
          <w:p>
            <w:pPr>
              <w:pStyle w:val="nTable"/>
            </w:pPr>
            <w:r>
              <w:t>6 of 1993</w:t>
            </w:r>
          </w:p>
        </w:tc>
        <w:tc>
          <w:tcPr>
            <w:tcW w:w="1134" w:type="dxa"/>
          </w:tcPr>
          <w:p>
            <w:pPr>
              <w:pStyle w:val="nTable"/>
            </w:pPr>
            <w:r>
              <w:t>27 Aug 1993</w:t>
            </w:r>
          </w:p>
        </w:tc>
        <w:tc>
          <w:tcPr>
            <w:tcW w:w="2552" w:type="dxa"/>
          </w:tcPr>
          <w:p>
            <w:pPr>
              <w:pStyle w:val="nTable"/>
            </w:pPr>
            <w:r>
              <w:t>1 Jul 1993 (see s. 2(1))</w:t>
            </w:r>
          </w:p>
        </w:tc>
      </w:tr>
      <w:tr>
        <w:tblPrEx>
          <w:tblBorders>
            <w:top w:val="none" w:sz="0" w:space="0" w:color="auto"/>
            <w:bottom w:val="none" w:sz="0" w:space="0" w:color="auto"/>
            <w:insideH w:val="none" w:sz="0" w:space="0" w:color="auto"/>
          </w:tblBorders>
        </w:tblPrEx>
        <w:tc>
          <w:tcPr>
            <w:tcW w:w="2268" w:type="dxa"/>
          </w:tcPr>
          <w:p>
            <w:pPr>
              <w:pStyle w:val="nTable"/>
            </w:pPr>
            <w:r>
              <w:rPr>
                <w:i/>
              </w:rPr>
              <w:t>Transfer of Land Amendment Act 1996</w:t>
            </w:r>
            <w:r>
              <w:t xml:space="preserve"> s. 153(1)</w:t>
            </w:r>
          </w:p>
        </w:tc>
        <w:tc>
          <w:tcPr>
            <w:tcW w:w="1134" w:type="dxa"/>
          </w:tcPr>
          <w:p>
            <w:pPr>
              <w:pStyle w:val="nTable"/>
            </w:pPr>
            <w:r>
              <w:t>81 of 1996</w:t>
            </w:r>
          </w:p>
        </w:tc>
        <w:tc>
          <w:tcPr>
            <w:tcW w:w="1134" w:type="dxa"/>
          </w:tcPr>
          <w:p>
            <w:pPr>
              <w:pStyle w:val="nTable"/>
            </w:pPr>
            <w:r>
              <w:t>14 Nov 1996</w:t>
            </w:r>
          </w:p>
        </w:tc>
        <w:tc>
          <w:tcPr>
            <w:tcW w:w="2552" w:type="dxa"/>
          </w:tcPr>
          <w:p>
            <w:pPr>
              <w:pStyle w:val="nTable"/>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1:  The </w:t>
            </w:r>
            <w:r>
              <w:rPr>
                <w:b/>
                <w:i/>
              </w:rPr>
              <w:t xml:space="preserve">Escheat (Procedure) Act 1940 </w:t>
            </w:r>
            <w:r>
              <w:rPr>
                <w:b/>
              </w:rPr>
              <w:t xml:space="preserve">as at 21 Mar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rPr>
                <w:vertAlign w:val="superscript"/>
              </w:rPr>
            </w:pPr>
            <w:r>
              <w:rPr>
                <w:i/>
              </w:rPr>
              <w:t>Acts Amendment and Repeal (Courts and Legal Practice) Act 2003</w:t>
            </w:r>
            <w:r>
              <w:t xml:space="preserve"> s. 91, 97 </w:t>
            </w:r>
            <w:r>
              <w:rPr>
                <w:vertAlign w:val="superscript"/>
              </w:rPr>
              <w:t>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Borders>
              <w:top w:val="nil"/>
              <w:bottom w:val="nil"/>
            </w:tcBorders>
          </w:tcPr>
          <w:p>
            <w:pPr>
              <w:pStyle w:val="nTable"/>
              <w:rPr>
                <w:i/>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pPr>
            <w:r>
              <w:rPr>
                <w:snapToGrid w:val="0"/>
              </w:rPr>
              <w:t xml:space="preserve">77 of 2006 </w:t>
            </w:r>
          </w:p>
        </w:tc>
        <w:tc>
          <w:tcPr>
            <w:tcW w:w="1134" w:type="dxa"/>
            <w:tcBorders>
              <w:top w:val="nil"/>
              <w:bottom w:val="nil"/>
            </w:tcBorders>
          </w:tcPr>
          <w:p>
            <w:pPr>
              <w:pStyle w:val="nTable"/>
            </w:pPr>
            <w:r>
              <w:rPr>
                <w:snapToGrid w:val="0"/>
              </w:rPr>
              <w:t>21 Dec 2006</w:t>
            </w:r>
          </w:p>
        </w:tc>
        <w:tc>
          <w:tcPr>
            <w:tcW w:w="2552" w:type="dxa"/>
            <w:tcBorders>
              <w:top w:val="nil"/>
              <w:bottom w:val="nil"/>
            </w:tcBorders>
          </w:tcPr>
          <w:p>
            <w:pPr>
              <w:pStyle w:val="nTable"/>
            </w:pPr>
            <w:r>
              <w:rPr>
                <w:snapToGrid w:val="0"/>
              </w:rPr>
              <w:t xml:space="preserve">1 Feb 2007 (see s. 2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rPr>
                <w:i/>
                <w:snapToGrid w:val="0"/>
              </w:rPr>
            </w:pPr>
            <w:r>
              <w:rPr>
                <w:i/>
              </w:rPr>
              <w:t>Transfer of Land Amendment Act 2022</w:t>
            </w:r>
            <w:r>
              <w:t xml:space="preserve"> Pt. 3 Div. 3</w:t>
            </w:r>
          </w:p>
        </w:tc>
        <w:tc>
          <w:tcPr>
            <w:tcW w:w="1134" w:type="dxa"/>
            <w:tcBorders>
              <w:bottom w:val="single" w:sz="4" w:space="0" w:color="auto"/>
            </w:tcBorders>
          </w:tcPr>
          <w:p>
            <w:pPr>
              <w:pStyle w:val="nTable"/>
              <w:rPr>
                <w:snapToGrid w:val="0"/>
              </w:rPr>
            </w:pPr>
            <w:r>
              <w:t>21 of 2022</w:t>
            </w:r>
          </w:p>
        </w:tc>
        <w:tc>
          <w:tcPr>
            <w:tcW w:w="1134" w:type="dxa"/>
            <w:tcBorders>
              <w:bottom w:val="single" w:sz="4" w:space="0" w:color="auto"/>
            </w:tcBorders>
          </w:tcPr>
          <w:p>
            <w:pPr>
              <w:pStyle w:val="nTable"/>
              <w:rPr>
                <w:snapToGrid w:val="0"/>
              </w:rPr>
            </w:pPr>
            <w:r>
              <w:t>24 Jun 2022</w:t>
            </w:r>
          </w:p>
        </w:tc>
        <w:tc>
          <w:tcPr>
            <w:tcW w:w="2552" w:type="dxa"/>
            <w:tcBorders>
              <w:bottom w:val="single" w:sz="4" w:space="0" w:color="auto"/>
            </w:tcBorders>
          </w:tcPr>
          <w:p>
            <w:pPr>
              <w:pStyle w:val="nTable"/>
              <w:rPr>
                <w:snapToGrid w:val="0"/>
              </w:rPr>
            </w:pPr>
            <w:r>
              <w:t>7 Aug 2023 (see s. 2(b) and SL 2023/111 cl. 2)</w:t>
            </w:r>
          </w:p>
        </w:tc>
      </w:tr>
    </w:tbl>
    <w:p>
      <w:pPr>
        <w:pStyle w:val="nHeading3"/>
      </w:pPr>
      <w:bookmarkStart w:id="15" w:name="_Toc199319989"/>
      <w:r>
        <w:t>Other notes</w:t>
      </w:r>
      <w:bookmarkEnd w:id="15"/>
    </w:p>
    <w:p>
      <w:pPr>
        <w:pStyle w:val="nNote"/>
        <w:rPr>
          <w:i/>
        </w:rPr>
      </w:pPr>
      <w:r>
        <w:rPr>
          <w:vertAlign w:val="superscript"/>
        </w:rPr>
        <w:t>1</w:t>
      </w:r>
      <w:r>
        <w:tab/>
        <w:t xml:space="preserve">The provision in this Act repealing these Ordinances has been omitted under s. 7(4)(f) of the </w:t>
      </w:r>
      <w:r>
        <w:rPr>
          <w:i/>
        </w:rPr>
        <w:t>Reprints Act 1984.</w:t>
      </w:r>
    </w:p>
    <w:p>
      <w:pPr>
        <w:pStyle w:val="nNote"/>
        <w:rPr>
          <w:i/>
        </w:rPr>
      </w:pPr>
      <w:r>
        <w:rPr>
          <w:vertAlign w:val="superscript"/>
        </w:rPr>
        <w:t>2</w:t>
      </w:r>
      <w:r>
        <w:tab/>
        <w:t xml:space="preserve">Repealed by the </w:t>
      </w:r>
      <w:r>
        <w:rPr>
          <w:i/>
        </w:rPr>
        <w:t>Public Trustee Act 1941.</w:t>
      </w:r>
    </w:p>
    <w:p>
      <w:pPr>
        <w:pStyle w:val="nNote"/>
      </w:pPr>
      <w:r>
        <w:rPr>
          <w:vertAlign w:val="superscript"/>
        </w:rPr>
        <w:t>3</w:t>
      </w:r>
      <w:r>
        <w:tab/>
        <w:t xml:space="preserve">The </w:t>
      </w:r>
      <w:r>
        <w:rPr>
          <w:i/>
        </w:rPr>
        <w:t xml:space="preserve">Acts Amendment and Repeal (Courts and Legal Practice) Act 2003 </w:t>
      </w:r>
      <w:r>
        <w:t>s. 97 reads as follows:</w:t>
      </w:r>
    </w:p>
    <w:p>
      <w:pPr>
        <w:pStyle w:val="MiscOpen"/>
      </w:pPr>
      <w:r>
        <w:lastRenderedPageBreak/>
        <w:t>“</w:t>
      </w:r>
    </w:p>
    <w:p>
      <w:pPr>
        <w:pStyle w:val="nzHeading5"/>
      </w:pPr>
      <w:r>
        <w:rPr>
          <w:rStyle w:val="CharSectno"/>
        </w:rPr>
        <w:t>97</w:t>
      </w:r>
      <w:r>
        <w:t>.</w:t>
      </w:r>
      <w:r>
        <w:tab/>
        <w:t>References to Crown Solicitor</w:t>
      </w:r>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yEdnoteschedul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99319990"/>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2</w:t>
      </w:r>
    </w:p>
    <w:p>
      <w:pPr>
        <w:pStyle w:val="DefinedTerms"/>
      </w:pPr>
      <w:r>
        <w:t>Escheated property</w:t>
      </w:r>
      <w:r>
        <w:tab/>
        <w:t>2</w:t>
      </w:r>
    </w:p>
    <w:p>
      <w:pPr>
        <w:pStyle w:val="DefinedTerms"/>
      </w:pPr>
      <w:r>
        <w:t>Order of escheat</w:t>
      </w:r>
      <w:r>
        <w:tab/>
        <w:t>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EA30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7F2F653" w14:textId="35ED1F27" w:rsidR="0074109E" w:rsidRDefault="007410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EE0B2EE" w14:textId="77777777" w:rsidR="0074109E" w:rsidRDefault="007410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3D3A11" w14:textId="0B20C9E8" w:rsidR="0074109E" w:rsidRDefault="007410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0E95D57" w14:textId="77777777" w:rsidR="0074109E" w:rsidRDefault="007410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88D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CC1A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367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76C1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83A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3C0D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8E1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08AE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1CC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67D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D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5548"/>
    <w:docVar w:name="WAFER_20140123113314" w:val="RemoveTocBookmarks,RemoveUnusedBookmarks,RemoveLanguageTags,UsedStyles,ResetPageSize,UpdateArrangement"/>
    <w:docVar w:name="WAFER_20140123113314_GUID" w:val="03ff5898-74ef-496f-9740-d6898a6d2698"/>
    <w:docVar w:name="WAFER_20140123113548" w:val="RemoveTocBookmarks,RunningHeaders"/>
    <w:docVar w:name="WAFER_20140123113548_GUID" w:val="55d85fc3-3256-4a31-932e-c359a568a8b2"/>
    <w:docVar w:name="WAFER_20150429111349" w:val="ResetPageSize,UpdateArrangement,UpdateNTable"/>
    <w:docVar w:name="WAFER_20150429111349_GUID" w:val="8d4da01d-ab5f-4ec3-846f-322c1c2fabb2"/>
    <w:docVar w:name="WAFER_20151105124930" w:val="UpdateStyles,UsedStyles"/>
    <w:docVar w:name="WAFER_20151105124930_GUID" w:val="a6d8e832-019a-4afb-8301-ef04190ed81d"/>
    <w:docVar w:name="WAFER_20151201113102" w:val="RemoveTrackChanges"/>
    <w:docVar w:name="WAFER_20151201113102_GUID" w:val="b74b556a-6dee-4577-abbb-5f9357278325"/>
    <w:docVar w:name="WAFER_202206241654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40_GUID" w:val="45eb8fd8-3c17-4ccc-9747-29846d2bccb1"/>
    <w:docVar w:name="WAFER_20230724110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05_GUID" w:val="f8514559-5020-4c90-bc37-e0b00f4dcafd"/>
    <w:docVar w:name="WAFER_20230803113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140_GUID" w:val="eb868f66-112f-4213-a172-fe3139d71bf3"/>
    <w:docVar w:name="WAFER_20230803163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63405_GUID" w:val="69aa2934-f3fd-4cc6-bd62-1d155f6dbb68"/>
    <w:docVar w:name="WAFER_20231222095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48_GUID" w:val="7013fd89-1241-435e-962d-8523b8cc0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1780</Words>
  <Characters>8157</Characters>
  <Application>Microsoft Office Word</Application>
  <DocSecurity>0</DocSecurity>
  <Lines>254</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1940 - 01-e0-02</dc:title>
  <dc:subject/>
  <dc:creator/>
  <cp:keywords/>
  <dc:description/>
  <cp:lastModifiedBy>Master Repository Process</cp:lastModifiedBy>
  <cp:revision>4</cp:revision>
  <cp:lastPrinted>2003-04-10T03:55:00Z</cp:lastPrinted>
  <dcterms:created xsi:type="dcterms:W3CDTF">2025-05-28T02:19:00Z</dcterms:created>
  <dcterms:modified xsi:type="dcterms:W3CDTF">2025-05-28T02:19:00Z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DocumentType">
    <vt:lpwstr>Act</vt:lpwstr>
  </property>
  <property fmtid="{D5CDD505-2E9C-101B-9397-08002B2CF9AE}" pid="4" name="OwlsUID">
    <vt:i4>255</vt:i4>
  </property>
  <property fmtid="{D5CDD505-2E9C-101B-9397-08002B2CF9AE}" pid="5" name="AsAtDate">
    <vt:lpwstr>07 Aug 2023</vt:lpwstr>
  </property>
  <property fmtid="{D5CDD505-2E9C-101B-9397-08002B2CF9AE}" pid="6" name="Suffix">
    <vt:lpwstr>01-e0-02</vt:lpwstr>
  </property>
  <property fmtid="{D5CDD505-2E9C-101B-9397-08002B2CF9AE}" pid="7" name="Official">
    <vt:lpwstr/>
  </property>
  <property fmtid="{D5CDD505-2E9C-101B-9397-08002B2CF9AE}" pid="8" name="CommencementDate">
    <vt:lpwstr>20230807</vt:lpwstr>
  </property>
  <property fmtid="{D5CDD505-2E9C-101B-9397-08002B2CF9AE}" pid="9" name="CommencementYear">
    <vt:lpwstr>2023</vt:lpwstr>
  </property>
</Properties>
</file>