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Workers’ Compensation and Injury Management Act 1981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Workers’ Compensation and Injury Management Amendment Regulations (No. 3)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Workers’ Compensation and Injury Management Amendment Regulations (No. 3)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_Toc201043740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_Toc201043741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_Toc201043742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66A amended</w:t>
      </w:r>
      <w:r>
        <w:tab/>
      </w:r>
      <w:r>
        <w:fldChar w:fldCharType="begin"/>
      </w:r>
      <w:r>
        <w:instrText xml:space="preserve"> PAGEREF _Toc201043743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Workers’ Compensation and Injury Management Act 1981</w:t>
      </w:r>
    </w:p>
    <w:p>
      <w:pPr>
        <w:pStyle w:val="NameofActReg"/>
      </w:pPr>
      <w:r>
        <w:t>Workers’ Compensation and Injury Management Amendment Regulations (No. 3)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043740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Workers’ Compensation and Injury Management Amendment Regulations (No. 3) 2023</w:t>
      </w:r>
      <w:r>
        <w:t>.</w:t>
      </w:r>
    </w:p>
    <w:p>
      <w:pPr>
        <w:pStyle w:val="Heading5"/>
        <w:rPr>
          <w:spacing w:val="-2"/>
        </w:rPr>
      </w:pPr>
      <w:bookmarkStart w:id="4" w:name="_Toc20104374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20104374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Workers’ Compensation and Injury Management Regulations 1982</w:t>
      </w:r>
      <w:r>
        <w:t>.</w:t>
      </w:r>
    </w:p>
    <w:p>
      <w:pPr>
        <w:pStyle w:val="Heading5"/>
      </w:pPr>
      <w:bookmarkStart w:id="6" w:name="_Toc201043743"/>
      <w:r>
        <w:rPr>
          <w:rStyle w:val="CharSectno"/>
        </w:rPr>
        <w:lastRenderedPageBreak/>
        <w:t>4</w:t>
      </w:r>
      <w:r>
        <w:t>.</w:t>
      </w:r>
      <w:r>
        <w:tab/>
        <w:t>Regulation 66A amended</w:t>
      </w:r>
      <w:bookmarkEnd w:id="6"/>
    </w:p>
    <w:p>
      <w:pPr>
        <w:pStyle w:val="Subsection"/>
        <w:keepNext/>
      </w:pPr>
      <w:r>
        <w:tab/>
      </w:r>
      <w:r>
        <w:tab/>
        <w:t>In regulation 66A delete the Table and insert:</w:t>
      </w:r>
    </w:p>
    <w:p>
      <w:pPr>
        <w:pStyle w:val="BlankOpen"/>
      </w:pPr>
    </w:p>
    <w:p>
      <w:pPr>
        <w:pStyle w:val="zTHeadingNAm"/>
      </w:pPr>
      <w:r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>
        <w:trPr>
          <w:cantSplit/>
          <w:tblHeader/>
        </w:trPr>
        <w:tc>
          <w:tcPr>
            <w:tcW w:w="3033" w:type="dxa"/>
            <w:noWrap/>
          </w:tcPr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Disease</w:t>
            </w:r>
          </w:p>
        </w:tc>
        <w:tc>
          <w:tcPr>
            <w:tcW w:w="3034" w:type="dxa"/>
            <w:noWrap/>
          </w:tcPr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Qualifying period</w:t>
            </w:r>
          </w:p>
        </w:tc>
      </w:tr>
      <w:tr>
        <w:trPr>
          <w:cantSplit/>
        </w:trPr>
        <w:tc>
          <w:tcPr>
            <w:tcW w:w="3033" w:type="dxa"/>
            <w:noWrap/>
          </w:tcPr>
          <w:p>
            <w:pPr>
              <w:pStyle w:val="zTableNAm"/>
              <w:rPr>
                <w:szCs w:val="24"/>
              </w:rPr>
            </w:pPr>
            <w:r>
              <w:rPr>
                <w:szCs w:val="24"/>
              </w:rPr>
              <w:t>Malignant mesothelioma</w:t>
            </w:r>
          </w:p>
        </w:tc>
        <w:tc>
          <w:tcPr>
            <w:tcW w:w="3034" w:type="dxa"/>
            <w:noWrap/>
          </w:tcPr>
          <w:p>
            <w:pPr>
              <w:pStyle w:val="zTableNAm"/>
              <w:rPr>
                <w:szCs w:val="24"/>
              </w:rPr>
            </w:pPr>
            <w:r>
              <w:rPr>
                <w:szCs w:val="24"/>
              </w:rPr>
              <w:t>15 years</w:t>
            </w:r>
          </w:p>
        </w:tc>
      </w:tr>
      <w:tr>
        <w:trPr>
          <w:cantSplit/>
        </w:trPr>
        <w:tc>
          <w:tcPr>
            <w:tcW w:w="3033" w:type="dxa"/>
            <w:noWrap/>
          </w:tcPr>
          <w:p>
            <w:pPr>
              <w:pStyle w:val="zTableNAm"/>
              <w:rPr>
                <w:szCs w:val="24"/>
              </w:rPr>
            </w:pPr>
            <w:r>
              <w:rPr>
                <w:szCs w:val="24"/>
              </w:rPr>
              <w:t>Primary site cervical cancer</w:t>
            </w:r>
          </w:p>
        </w:tc>
        <w:tc>
          <w:tcPr>
            <w:tcW w:w="3034" w:type="dxa"/>
            <w:noWrap/>
          </w:tcPr>
          <w:p>
            <w:pPr>
              <w:pStyle w:val="zTableNAm"/>
              <w:rPr>
                <w:szCs w:val="24"/>
              </w:rPr>
            </w:pPr>
            <w:r>
              <w:rPr>
                <w:szCs w:val="24"/>
              </w:rPr>
              <w:t>10 years</w:t>
            </w:r>
          </w:p>
        </w:tc>
      </w:tr>
      <w:tr>
        <w:trPr>
          <w:cantSplit/>
        </w:trPr>
        <w:tc>
          <w:tcPr>
            <w:tcW w:w="3033" w:type="dxa"/>
            <w:noWrap/>
          </w:tcPr>
          <w:p>
            <w:pPr>
              <w:pStyle w:val="zTableNAm"/>
              <w:rPr>
                <w:szCs w:val="24"/>
              </w:rPr>
            </w:pPr>
            <w:r>
              <w:rPr>
                <w:szCs w:val="24"/>
              </w:rPr>
              <w:t>Primary site lung cancer</w:t>
            </w:r>
          </w:p>
        </w:tc>
        <w:tc>
          <w:tcPr>
            <w:tcW w:w="3034" w:type="dxa"/>
            <w:noWrap/>
          </w:tcPr>
          <w:p>
            <w:pPr>
              <w:pStyle w:val="zTableNAm"/>
              <w:rPr>
                <w:szCs w:val="24"/>
              </w:rPr>
            </w:pPr>
            <w:r>
              <w:rPr>
                <w:szCs w:val="24"/>
              </w:rPr>
              <w:t>15 years</w:t>
            </w:r>
          </w:p>
        </w:tc>
      </w:tr>
      <w:tr>
        <w:trPr>
          <w:cantSplit/>
        </w:trPr>
        <w:tc>
          <w:tcPr>
            <w:tcW w:w="3033" w:type="dxa"/>
            <w:noWrap/>
          </w:tcPr>
          <w:p>
            <w:pPr>
              <w:pStyle w:val="zTableNAm"/>
              <w:rPr>
                <w:szCs w:val="24"/>
              </w:rPr>
            </w:pPr>
            <w:r>
              <w:rPr>
                <w:szCs w:val="24"/>
              </w:rPr>
              <w:t>Primary site ovarian cancer</w:t>
            </w:r>
          </w:p>
        </w:tc>
        <w:tc>
          <w:tcPr>
            <w:tcW w:w="3034" w:type="dxa"/>
            <w:noWrap/>
          </w:tcPr>
          <w:p>
            <w:pPr>
              <w:pStyle w:val="zTableNAm"/>
              <w:rPr>
                <w:szCs w:val="24"/>
              </w:rPr>
            </w:pPr>
            <w:r>
              <w:rPr>
                <w:szCs w:val="24"/>
              </w:rPr>
              <w:t>10 years</w:t>
            </w:r>
          </w:p>
        </w:tc>
      </w:tr>
      <w:tr>
        <w:trPr>
          <w:cantSplit/>
        </w:trPr>
        <w:tc>
          <w:tcPr>
            <w:tcW w:w="3033" w:type="dxa"/>
            <w:noWrap/>
          </w:tcPr>
          <w:p>
            <w:pPr>
              <w:pStyle w:val="zTableNAm"/>
              <w:rPr>
                <w:szCs w:val="24"/>
              </w:rPr>
            </w:pPr>
            <w:r>
              <w:rPr>
                <w:szCs w:val="24"/>
              </w:rPr>
              <w:t>Primary site pancreatic cancer</w:t>
            </w:r>
          </w:p>
        </w:tc>
        <w:tc>
          <w:tcPr>
            <w:tcW w:w="3034" w:type="dxa"/>
            <w:noWrap/>
          </w:tcPr>
          <w:p>
            <w:pPr>
              <w:pStyle w:val="zTableNAm"/>
              <w:rPr>
                <w:szCs w:val="24"/>
              </w:rPr>
            </w:pPr>
            <w:r>
              <w:rPr>
                <w:szCs w:val="24"/>
              </w:rPr>
              <w:t>10 years</w:t>
            </w:r>
          </w:p>
        </w:tc>
      </w:tr>
      <w:tr>
        <w:trPr>
          <w:cantSplit/>
        </w:trPr>
        <w:tc>
          <w:tcPr>
            <w:tcW w:w="3033" w:type="dxa"/>
            <w:noWrap/>
          </w:tcPr>
          <w:p>
            <w:pPr>
              <w:pStyle w:val="zTableNAm"/>
              <w:rPr>
                <w:szCs w:val="24"/>
              </w:rPr>
            </w:pPr>
            <w:r>
              <w:rPr>
                <w:szCs w:val="24"/>
              </w:rPr>
              <w:t>Primary site penile cancer</w:t>
            </w:r>
          </w:p>
        </w:tc>
        <w:tc>
          <w:tcPr>
            <w:tcW w:w="3034" w:type="dxa"/>
            <w:noWrap/>
          </w:tcPr>
          <w:p>
            <w:pPr>
              <w:pStyle w:val="zTableNAm"/>
              <w:rPr>
                <w:szCs w:val="24"/>
              </w:rPr>
            </w:pPr>
            <w:r>
              <w:rPr>
                <w:szCs w:val="24"/>
              </w:rPr>
              <w:t>15 years</w:t>
            </w:r>
          </w:p>
        </w:tc>
      </w:tr>
      <w:tr>
        <w:trPr>
          <w:cantSplit/>
        </w:trPr>
        <w:tc>
          <w:tcPr>
            <w:tcW w:w="3033" w:type="dxa"/>
            <w:noWrap/>
          </w:tcPr>
          <w:p>
            <w:pPr>
              <w:pStyle w:val="zTableNAm"/>
              <w:rPr>
                <w:szCs w:val="24"/>
              </w:rPr>
            </w:pPr>
            <w:r>
              <w:rPr>
                <w:szCs w:val="24"/>
              </w:rPr>
              <w:t>Primary site skin cancer</w:t>
            </w:r>
          </w:p>
        </w:tc>
        <w:tc>
          <w:tcPr>
            <w:tcW w:w="3034" w:type="dxa"/>
            <w:noWrap/>
          </w:tcPr>
          <w:p>
            <w:pPr>
              <w:pStyle w:val="zTableNAm"/>
              <w:rPr>
                <w:szCs w:val="24"/>
              </w:rPr>
            </w:pPr>
            <w:r>
              <w:rPr>
                <w:szCs w:val="24"/>
              </w:rPr>
              <w:t>15 years</w:t>
            </w:r>
          </w:p>
        </w:tc>
      </w:tr>
      <w:tr>
        <w:trPr>
          <w:cantSplit/>
        </w:trPr>
        <w:tc>
          <w:tcPr>
            <w:tcW w:w="3033" w:type="dxa"/>
            <w:noWrap/>
          </w:tcPr>
          <w:p>
            <w:pPr>
              <w:pStyle w:val="zTableNAm"/>
              <w:rPr>
                <w:szCs w:val="24"/>
              </w:rPr>
            </w:pPr>
            <w:r>
              <w:rPr>
                <w:szCs w:val="24"/>
              </w:rPr>
              <w:t>Primary site thyroid cancer</w:t>
            </w:r>
          </w:p>
        </w:tc>
        <w:tc>
          <w:tcPr>
            <w:tcW w:w="3034" w:type="dxa"/>
            <w:noWrap/>
          </w:tcPr>
          <w:p>
            <w:pPr>
              <w:pStyle w:val="zTableNAm"/>
              <w:rPr>
                <w:szCs w:val="24"/>
              </w:rPr>
            </w:pPr>
            <w:r>
              <w:rPr>
                <w:szCs w:val="24"/>
              </w:rPr>
              <w:t>10 years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 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C32F5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95C58B9" w14:textId="1AE9FF9C" w:rsidR="004C6E04" w:rsidRDefault="004C6E0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6C453D3" w14:textId="77777777" w:rsidR="004C6E04" w:rsidRDefault="004C6E0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4D09C59" w14:textId="295BEDB8" w:rsidR="004C6E04" w:rsidRDefault="004C6E0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20ABBE0" w14:textId="77777777" w:rsidR="004C6E04" w:rsidRDefault="004C6E0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34411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7211314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721131425_GUID" w:val="2647c985-e3f5-4482-92f4-5b9a820e8743"/>
    <w:docVar w:name="WAFER_202307261600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726160046_GUID" w:val="c60a41ae-bf05-4e5f-abd5-4561f70fc822"/>
    <w:docVar w:name="WAFER_202308051518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805151803_GUID" w:val="7ac02d56-eb6a-44a3-9549-5006b399d1cf"/>
    <w:docVar w:name="WAFER_202401031344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34411_GUID" w:val="63fca307-cf48-4372-a52c-925782a0d11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DACF730D-4266-488E-A46C-1AA8FF41B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BE4BA-FADE-4F88-AB72-35F789E3C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</Words>
  <Characters>1703</Characters>
  <Application>Microsoft Office Word</Application>
  <DocSecurity>0</DocSecurity>
  <Lines>89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and Injury Management Amendment Regulations (No. 3)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2025-06-17T01:08:00Z</dcterms:created>
  <dcterms:modified xsi:type="dcterms:W3CDTF">2025-06-17T01:08:00Z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54429</vt:lpwstr>
  </property>
  <property fmtid="{D5CDD505-2E9C-101B-9397-08002B2CF9AE}" pid="3" name="DocumentType">
    <vt:lpwstr>Reg</vt:lpwstr>
  </property>
  <property fmtid="{D5CDD505-2E9C-101B-9397-08002B2CF9AE}" pid="4" name="AsAtDate">
    <vt:lpwstr>09 Aug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2023/123</vt:lpwstr>
  </property>
  <property fmtid="{D5CDD505-2E9C-101B-9397-08002B2CF9AE}" pid="8" name="PublishDate">
    <vt:lpwstr>9 Aug 2023</vt:lpwstr>
  </property>
  <property fmtid="{D5CDD505-2E9C-101B-9397-08002B2CF9AE}" pid="9" name="CommencementDate">
    <vt:lpwstr>20230809</vt:lpwstr>
  </property>
  <property fmtid="{D5CDD505-2E9C-101B-9397-08002B2CF9AE}" pid="10" name="CommencementAsAt">
    <vt:filetime>2023-08-08T16:00:00Z</vt:filetime>
  </property>
  <property fmtid="{D5CDD505-2E9C-101B-9397-08002B2CF9AE}" pid="11" name="CommencementYear">
    <vt:lpwstr>2023</vt:lpwstr>
  </property>
</Properties>
</file>