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_Toc200720594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_Toc200720595 \h </w:instrText>
      </w:r>
      <w:r>
        <w:fldChar w:fldCharType="separate"/>
      </w:r>
      <w:r>
        <w:t>1</w:t>
      </w:r>
      <w:r>
        <w:fldChar w:fldCharType="end"/>
      </w:r>
    </w:p>
    <w:p>
      <w:pPr>
        <w:pStyle w:val="TOC8"/>
        <w:rPr>
          <w:rFonts w:asciiTheme="minorHAnsi" w:eastAsiaTheme="minorEastAsia" w:hAnsiTheme="minorHAnsi" w:cstheme="minorBidi"/>
          <w:szCs w:val="22"/>
        </w:rPr>
      </w:pPr>
      <w:r>
        <w:t>2AAA.</w:t>
      </w:r>
      <w:r>
        <w:tab/>
        <w:t>Terms used</w:t>
      </w:r>
      <w:r>
        <w:tab/>
      </w:r>
      <w:r>
        <w:fldChar w:fldCharType="begin"/>
      </w:r>
      <w:r>
        <w:instrText xml:space="preserve"> PAGEREF _Toc200720596 \h </w:instrText>
      </w:r>
      <w:r>
        <w:fldChar w:fldCharType="separate"/>
      </w:r>
      <w:r>
        <w:t>1</w:t>
      </w:r>
      <w:r>
        <w:fldChar w:fldCharType="end"/>
      </w:r>
    </w:p>
    <w:p>
      <w:pPr>
        <w:pStyle w:val="TOC8"/>
        <w:rPr>
          <w:rFonts w:asciiTheme="minorHAnsi" w:eastAsiaTheme="minorEastAsia" w:hAnsiTheme="minorHAnsi" w:cstheme="minorBidi"/>
          <w:szCs w:val="22"/>
        </w:rPr>
      </w:pPr>
      <w:r>
        <w:t>2AA.</w:t>
      </w:r>
      <w:r>
        <w:tab/>
        <w:t>Notes not part of regulations</w:t>
      </w:r>
      <w:r>
        <w:tab/>
      </w:r>
      <w:r>
        <w:fldChar w:fldCharType="begin"/>
      </w:r>
      <w:r>
        <w:instrText xml:space="preserve"> PAGEREF _Toc200720597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Indexation of redemption amount</w:t>
      </w:r>
      <w:r>
        <w:tab/>
      </w:r>
      <w:r>
        <w:fldChar w:fldCharType="begin"/>
      </w:r>
      <w:r>
        <w:instrText xml:space="preserve"> PAGEREF _Toc200720599 \h </w:instrText>
      </w:r>
      <w:r>
        <w:fldChar w:fldCharType="separate"/>
      </w:r>
      <w:r>
        <w:t>3</w:t>
      </w:r>
      <w:r>
        <w:fldChar w:fldCharType="end"/>
      </w:r>
    </w:p>
    <w:p>
      <w:pPr>
        <w:pStyle w:val="TOC8"/>
        <w:rPr>
          <w:rFonts w:asciiTheme="minorHAnsi" w:eastAsiaTheme="minorEastAsia" w:hAnsiTheme="minorHAnsi" w:cstheme="minorBidi"/>
          <w:szCs w:val="22"/>
        </w:rPr>
      </w:pPr>
      <w:r>
        <w:t>3.</w:t>
      </w:r>
      <w:r>
        <w:tab/>
      </w:r>
      <w:r>
        <w:rPr>
          <w:snapToGrid w:val="0"/>
        </w:rPr>
        <w:t xml:space="preserve">Certain registered bodies specified for definition of </w:t>
      </w:r>
      <w:r>
        <w:rPr>
          <w:i/>
          <w:snapToGrid w:val="0"/>
        </w:rPr>
        <w:t>company</w:t>
      </w:r>
      <w:r>
        <w:rPr>
          <w:snapToGrid w:val="0"/>
        </w:rPr>
        <w:t xml:space="preserve"> (Act s. 5(1))</w:t>
      </w:r>
      <w:r>
        <w:tab/>
      </w:r>
      <w:r>
        <w:fldChar w:fldCharType="begin"/>
      </w:r>
      <w:r>
        <w:instrText xml:space="preserve"> PAGEREF _Toc200720600 \h </w:instrText>
      </w:r>
      <w:r>
        <w:fldChar w:fldCharType="separate"/>
      </w:r>
      <w:r>
        <w:t>3</w:t>
      </w:r>
      <w:r>
        <w:fldChar w:fldCharType="end"/>
      </w:r>
    </w:p>
    <w:p>
      <w:pPr>
        <w:pStyle w:val="TOC8"/>
        <w:rPr>
          <w:rFonts w:asciiTheme="minorHAnsi" w:eastAsiaTheme="minorEastAsia" w:hAnsiTheme="minorHAnsi" w:cstheme="minorBidi"/>
          <w:szCs w:val="22"/>
        </w:rPr>
      </w:pPr>
      <w:r>
        <w:t>3A.</w:t>
      </w:r>
      <w:r>
        <w:tab/>
        <w:t xml:space="preserve">Instruments under Commonwealth laws prescribed for definition of </w:t>
      </w:r>
      <w:r>
        <w:rPr>
          <w:i/>
        </w:rPr>
        <w:t>industrial award</w:t>
      </w:r>
      <w:r>
        <w:t xml:space="preserve"> in Act</w:t>
      </w:r>
      <w:r>
        <w:tab/>
      </w:r>
      <w:r>
        <w:fldChar w:fldCharType="begin"/>
      </w:r>
      <w:r>
        <w:instrText xml:space="preserve"> PAGEREF _Toc200720601 \h </w:instrText>
      </w:r>
      <w:r>
        <w:fldChar w:fldCharType="separate"/>
      </w:r>
      <w:r>
        <w:t>4</w:t>
      </w:r>
      <w:r>
        <w:fldChar w:fldCharType="end"/>
      </w:r>
    </w:p>
    <w:p>
      <w:pPr>
        <w:pStyle w:val="TOC8"/>
        <w:rPr>
          <w:rFonts w:asciiTheme="minorHAnsi" w:eastAsiaTheme="minorEastAsia" w:hAnsiTheme="minorHAnsi" w:cstheme="minorBidi"/>
          <w:szCs w:val="22"/>
        </w:rPr>
      </w:pPr>
      <w:r>
        <w:t>4A.</w:t>
      </w:r>
      <w:r>
        <w:tab/>
        <w:t xml:space="preserve">Certain mines, mining operations prescribed for definition of </w:t>
      </w:r>
      <w:r>
        <w:rPr>
          <w:i/>
          <w:iCs/>
        </w:rPr>
        <w:t xml:space="preserve">mine </w:t>
      </w:r>
      <w:r>
        <w:t>or</w:t>
      </w:r>
      <w:r>
        <w:rPr>
          <w:i/>
          <w:iCs/>
        </w:rPr>
        <w:t xml:space="preserve"> mining operation</w:t>
      </w:r>
      <w:r>
        <w:t xml:space="preserve"> in Act</w:t>
      </w:r>
      <w:r>
        <w:tab/>
      </w:r>
      <w:r>
        <w:fldChar w:fldCharType="begin"/>
      </w:r>
      <w:r>
        <w:instrText xml:space="preserve"> PAGEREF _Toc200720602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_Toc200720603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_Toc200720604 \h </w:instrText>
      </w:r>
      <w:r>
        <w:fldChar w:fldCharType="separate"/>
      </w:r>
      <w:r>
        <w:t>5</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_Toc200720605 \h </w:instrText>
      </w:r>
      <w:r>
        <w:fldChar w:fldCharType="separate"/>
      </w:r>
      <w:r>
        <w:t>5</w:t>
      </w:r>
      <w:r>
        <w:fldChar w:fldCharType="end"/>
      </w:r>
    </w:p>
    <w:p>
      <w:pPr>
        <w:pStyle w:val="TOC8"/>
        <w:rPr>
          <w:rFonts w:asciiTheme="minorHAnsi" w:eastAsiaTheme="minorEastAsia" w:hAnsiTheme="minorHAnsi" w:cstheme="minorBidi"/>
          <w:szCs w:val="22"/>
        </w:rPr>
      </w:pPr>
      <w:r>
        <w:t>6AB.</w:t>
      </w:r>
      <w:r>
        <w:tab/>
        <w:t>Relevant document (Act s. 180(1)(j))</w:t>
      </w:r>
      <w:r>
        <w:tab/>
      </w:r>
      <w:r>
        <w:fldChar w:fldCharType="begin"/>
      </w:r>
      <w:r>
        <w:instrText xml:space="preserve"> PAGEREF _Toc200720606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first certificate of capacity</w:t>
      </w:r>
      <w:r>
        <w:tab/>
      </w:r>
      <w:r>
        <w:fldChar w:fldCharType="begin"/>
      </w:r>
      <w:r>
        <w:instrText xml:space="preserve"> PAGEREF _Toc200720607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_Toc200720608 \h </w:instrText>
      </w:r>
      <w:r>
        <w:fldChar w:fldCharType="separate"/>
      </w:r>
      <w:r>
        <w:t>6</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_Toc200720609 \h </w:instrText>
      </w:r>
      <w:r>
        <w:fldChar w:fldCharType="separate"/>
      </w:r>
      <w:r>
        <w:t>6</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_Toc200720610 \h </w:instrText>
      </w:r>
      <w:r>
        <w:fldChar w:fldCharType="separate"/>
      </w:r>
      <w:r>
        <w:t>6</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_Toc200720611 \h </w:instrText>
      </w:r>
      <w:r>
        <w:fldChar w:fldCharType="separate"/>
      </w:r>
      <w:r>
        <w:t>6</w:t>
      </w:r>
      <w:r>
        <w:fldChar w:fldCharType="end"/>
      </w:r>
    </w:p>
    <w:p>
      <w:pPr>
        <w:pStyle w:val="TOC8"/>
        <w:rPr>
          <w:rFonts w:asciiTheme="minorHAnsi" w:eastAsiaTheme="minorEastAsia" w:hAnsiTheme="minorHAnsi" w:cstheme="minorBidi"/>
          <w:szCs w:val="22"/>
        </w:rPr>
      </w:pPr>
      <w:r>
        <w:t>6F</w:t>
      </w:r>
      <w:r>
        <w:rPr>
          <w:snapToGrid w:val="0"/>
        </w:rPr>
        <w:t>.</w:t>
      </w:r>
      <w:r>
        <w:rPr>
          <w:snapToGrid w:val="0"/>
        </w:rPr>
        <w:tab/>
        <w:t>Form for employer undecided on liability</w:t>
      </w:r>
      <w:r>
        <w:tab/>
      </w:r>
      <w:r>
        <w:fldChar w:fldCharType="begin"/>
      </w:r>
      <w:r>
        <w:instrText xml:space="preserve"> PAGEREF _Toc200720612 \h </w:instrText>
      </w:r>
      <w:r>
        <w:fldChar w:fldCharType="separate"/>
      </w:r>
      <w:r>
        <w:t>7</w:t>
      </w:r>
      <w:r>
        <w:fldChar w:fldCharType="end"/>
      </w:r>
    </w:p>
    <w:p>
      <w:pPr>
        <w:pStyle w:val="TOC8"/>
        <w:rPr>
          <w:rFonts w:asciiTheme="minorHAnsi" w:eastAsiaTheme="minorEastAsia" w:hAnsiTheme="minorHAnsi" w:cstheme="minorBidi"/>
          <w:szCs w:val="22"/>
        </w:rPr>
      </w:pPr>
      <w:r>
        <w:t>6G.</w:t>
      </w:r>
      <w:r>
        <w:tab/>
        <w:t>Giving notices under Act s. 57A and s. 57B and r. 25</w:t>
      </w:r>
      <w:r>
        <w:tab/>
      </w:r>
      <w:r>
        <w:fldChar w:fldCharType="begin"/>
      </w:r>
      <w:r>
        <w:instrText xml:space="preserve"> PAGEREF _Toc200720613 \h </w:instrText>
      </w:r>
      <w:r>
        <w:fldChar w:fldCharType="separate"/>
      </w:r>
      <w:r>
        <w:t>7</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r>
      <w:r>
        <w:t>Discontinuance or reduction of weekly payments</w:t>
      </w:r>
      <w:r>
        <w:tab/>
      </w:r>
      <w:r>
        <w:fldChar w:fldCharType="begin"/>
      </w:r>
      <w:r>
        <w:instrText xml:space="preserve"> PAGEREF _Toc200720614 \h </w:instrText>
      </w:r>
      <w:r>
        <w:fldChar w:fldCharType="separate"/>
      </w:r>
      <w:r>
        <w:t>7</w:t>
      </w:r>
      <w:r>
        <w:fldChar w:fldCharType="end"/>
      </w:r>
    </w:p>
    <w:p>
      <w:pPr>
        <w:pStyle w:val="TOC8"/>
        <w:rPr>
          <w:rFonts w:asciiTheme="minorHAnsi" w:eastAsiaTheme="minorEastAsia" w:hAnsiTheme="minorHAnsi" w:cstheme="minorBidi"/>
          <w:szCs w:val="22"/>
        </w:rPr>
      </w:pPr>
      <w:r>
        <w:t>7A.</w:t>
      </w:r>
      <w:r>
        <w:tab/>
        <w:t>Form of progress certificate of capacity</w:t>
      </w:r>
      <w:r>
        <w:tab/>
      </w:r>
      <w:r>
        <w:fldChar w:fldCharType="begin"/>
      </w:r>
      <w:r>
        <w:instrText xml:space="preserve"> PAGEREF _Toc200720615 \h </w:instrText>
      </w:r>
      <w:r>
        <w:fldChar w:fldCharType="separate"/>
      </w:r>
      <w:r>
        <w:t>8</w:t>
      </w:r>
      <w:r>
        <w:fldChar w:fldCharType="end"/>
      </w:r>
    </w:p>
    <w:p>
      <w:pPr>
        <w:pStyle w:val="TOC8"/>
        <w:rPr>
          <w:rFonts w:asciiTheme="minorHAnsi" w:eastAsiaTheme="minorEastAsia" w:hAnsiTheme="minorHAnsi" w:cstheme="minorBidi"/>
          <w:szCs w:val="22"/>
        </w:rPr>
      </w:pPr>
      <w:r>
        <w:t>8.</w:t>
      </w:r>
      <w:r>
        <w:tab/>
        <w:t>Frequency and time of medical examinations (Act s. 66)</w:t>
      </w:r>
      <w:r>
        <w:tab/>
      </w:r>
      <w:r>
        <w:fldChar w:fldCharType="begin"/>
      </w:r>
      <w:r>
        <w:instrText xml:space="preserve"> PAGEREF _Toc200720616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_Toc200720617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_Toc200720618 \h </w:instrText>
      </w:r>
      <w:r>
        <w:fldChar w:fldCharType="separate"/>
      </w:r>
      <w:r>
        <w:t>9</w:t>
      </w:r>
      <w:r>
        <w:fldChar w:fldCharType="end"/>
      </w:r>
    </w:p>
    <w:p>
      <w:pPr>
        <w:pStyle w:val="TOC8"/>
        <w:rPr>
          <w:rFonts w:asciiTheme="minorHAnsi" w:eastAsiaTheme="minorEastAsia" w:hAnsiTheme="minorHAnsi" w:cstheme="minorBidi"/>
          <w:szCs w:val="22"/>
        </w:rPr>
      </w:pPr>
      <w:r>
        <w:t>10.</w:t>
      </w:r>
      <w:r>
        <w:tab/>
        <w:t>Worker not residing in State</w:t>
      </w:r>
      <w:r>
        <w:tab/>
      </w:r>
      <w:r>
        <w:fldChar w:fldCharType="begin"/>
      </w:r>
      <w:r>
        <w:instrText xml:space="preserve"> PAGEREF _Toc200720619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after death outside State</w:t>
      </w:r>
      <w:r>
        <w:tab/>
      </w:r>
      <w:r>
        <w:fldChar w:fldCharType="begin"/>
      </w:r>
      <w:r>
        <w:instrText xml:space="preserve"> PAGEREF _Toc200720620 \h </w:instrText>
      </w:r>
      <w:r>
        <w:fldChar w:fldCharType="separate"/>
      </w:r>
      <w:r>
        <w:t>11</w:t>
      </w:r>
      <w:r>
        <w:fldChar w:fldCharType="end"/>
      </w:r>
    </w:p>
    <w:p>
      <w:pPr>
        <w:pStyle w:val="TOC8"/>
        <w:rPr>
          <w:rFonts w:asciiTheme="minorHAnsi" w:eastAsiaTheme="minorEastAsia" w:hAnsiTheme="minorHAnsi" w:cstheme="minorBidi"/>
          <w:szCs w:val="22"/>
        </w:rPr>
      </w:pPr>
      <w:r>
        <w:t>11A.</w:t>
      </w:r>
      <w:r>
        <w:tab/>
        <w:t>Amount to discharge liability for child’s allowance (Act s. 72J(5))</w:t>
      </w:r>
      <w:r>
        <w:tab/>
      </w:r>
      <w:r>
        <w:fldChar w:fldCharType="begin"/>
      </w:r>
      <w:r>
        <w:instrText xml:space="preserve"> PAGEREF _Toc200720621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_Toc200720622 \h </w:instrText>
      </w:r>
      <w:r>
        <w:fldChar w:fldCharType="separate"/>
      </w:r>
      <w:r>
        <w:t>13</w:t>
      </w:r>
      <w:r>
        <w:fldChar w:fldCharType="end"/>
      </w:r>
    </w:p>
    <w:p>
      <w:pPr>
        <w:pStyle w:val="TOC8"/>
        <w:rPr>
          <w:rFonts w:asciiTheme="minorHAnsi" w:eastAsiaTheme="minorEastAsia" w:hAnsiTheme="minorHAnsi" w:cstheme="minorBidi"/>
          <w:szCs w:val="22"/>
        </w:rPr>
      </w:pPr>
      <w:r>
        <w:t>12AA.</w:t>
      </w:r>
      <w:r>
        <w:tab/>
        <w:t>Notice of intention to dismiss worker (Act s. 84AB)</w:t>
      </w:r>
      <w:r>
        <w:tab/>
      </w:r>
      <w:r>
        <w:fldChar w:fldCharType="begin"/>
      </w:r>
      <w:r>
        <w:instrText xml:space="preserve"> PAGEREF _Toc200720623 \h </w:instrText>
      </w:r>
      <w:r>
        <w:fldChar w:fldCharType="separate"/>
      </w:r>
      <w:r>
        <w:t>15</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Account</w:t>
      </w:r>
      <w:r>
        <w:tab/>
      </w:r>
      <w:r>
        <w:fldChar w:fldCharType="begin"/>
      </w:r>
      <w:r>
        <w:instrText xml:space="preserve"> PAGEREF _Toc200720624 \h </w:instrText>
      </w:r>
      <w:r>
        <w:fldChar w:fldCharType="separate"/>
      </w:r>
      <w:r>
        <w:t>15</w:t>
      </w:r>
      <w:r>
        <w:fldChar w:fldCharType="end"/>
      </w:r>
    </w:p>
    <w:p>
      <w:pPr>
        <w:pStyle w:val="TOC8"/>
        <w:rPr>
          <w:rFonts w:asciiTheme="minorHAnsi" w:eastAsiaTheme="minorEastAsia" w:hAnsiTheme="minorHAnsi" w:cstheme="minorBidi"/>
          <w:szCs w:val="22"/>
        </w:rPr>
      </w:pPr>
      <w:r>
        <w:t>13.</w:t>
      </w:r>
      <w:r>
        <w:tab/>
        <w:t>Ascertaining amount for reimbursement (Act s. 154AC(1))</w:t>
      </w:r>
      <w:r>
        <w:tab/>
      </w:r>
      <w:r>
        <w:fldChar w:fldCharType="begin"/>
      </w:r>
      <w:r>
        <w:instrText xml:space="preserve"> PAGEREF _Toc200720625 \h </w:instrText>
      </w:r>
      <w:r>
        <w:fldChar w:fldCharType="separate"/>
      </w:r>
      <w:r>
        <w:t>15</w:t>
      </w:r>
      <w:r>
        <w:fldChar w:fldCharType="end"/>
      </w:r>
    </w:p>
    <w:p>
      <w:pPr>
        <w:pStyle w:val="TOC8"/>
        <w:rPr>
          <w:rFonts w:asciiTheme="minorHAnsi" w:eastAsiaTheme="minorEastAsia" w:hAnsiTheme="minorHAnsi" w:cstheme="minorBidi"/>
          <w:szCs w:val="22"/>
        </w:rPr>
      </w:pPr>
      <w:r>
        <w:t>13A.</w:t>
      </w:r>
      <w:r>
        <w:tab/>
        <w:t>Prescribed rate of interest (Act s. 222(2), 223(2) and 224(2))</w:t>
      </w:r>
      <w:r>
        <w:tab/>
      </w:r>
      <w:r>
        <w:fldChar w:fldCharType="begin"/>
      </w:r>
      <w:r>
        <w:instrText xml:space="preserve"> PAGEREF _Toc200720626 \h </w:instrText>
      </w:r>
      <w:r>
        <w:fldChar w:fldCharType="separate"/>
      </w:r>
      <w:r>
        <w:t>16</w:t>
      </w:r>
      <w:r>
        <w:fldChar w:fldCharType="end"/>
      </w:r>
    </w:p>
    <w:p>
      <w:pPr>
        <w:pStyle w:val="TOC8"/>
        <w:rPr>
          <w:rFonts w:asciiTheme="minorHAnsi" w:eastAsiaTheme="minorEastAsia" w:hAnsiTheme="minorHAnsi" w:cstheme="minorBidi"/>
          <w:szCs w:val="22"/>
        </w:rPr>
      </w:pPr>
      <w:r>
        <w:t>14.</w:t>
      </w:r>
      <w:r>
        <w:tab/>
        <w:t>Insurance requirement (Act s. 160(1))</w:t>
      </w:r>
      <w:r>
        <w:tab/>
      </w:r>
      <w:r>
        <w:fldChar w:fldCharType="begin"/>
      </w:r>
      <w:r>
        <w:instrText xml:space="preserve"> PAGEREF _Toc200720627 \h </w:instrText>
      </w:r>
      <w:r>
        <w:fldChar w:fldCharType="separate"/>
      </w:r>
      <w:r>
        <w:t>17</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_Toc200720628 \h </w:instrText>
      </w:r>
      <w:r>
        <w:fldChar w:fldCharType="separate"/>
      </w:r>
      <w:r>
        <w:t>18</w:t>
      </w:r>
      <w:r>
        <w:fldChar w:fldCharType="end"/>
      </w:r>
    </w:p>
    <w:p>
      <w:pPr>
        <w:pStyle w:val="TOC8"/>
        <w:rPr>
          <w:rFonts w:asciiTheme="minorHAnsi" w:eastAsiaTheme="minorEastAsia" w:hAnsiTheme="minorHAnsi" w:cstheme="minorBidi"/>
          <w:szCs w:val="22"/>
        </w:rPr>
      </w:pPr>
      <w:r>
        <w:t>16A.</w:t>
      </w:r>
      <w:r>
        <w:tab/>
        <w:t>Clause 1C notifications and elections (Act Sch. 1 cl. 1C, Sch. 8 cl. 10)</w:t>
      </w:r>
      <w:r>
        <w:tab/>
      </w:r>
      <w:r>
        <w:fldChar w:fldCharType="begin"/>
      </w:r>
      <w:r>
        <w:instrText xml:space="preserve"> PAGEREF _Toc200720629 \h </w:instrText>
      </w:r>
      <w:r>
        <w:fldChar w:fldCharType="separate"/>
      </w:r>
      <w:r>
        <w:t>18</w:t>
      </w:r>
      <w:r>
        <w:fldChar w:fldCharType="end"/>
      </w:r>
    </w:p>
    <w:p>
      <w:pPr>
        <w:pStyle w:val="TOC8"/>
        <w:rPr>
          <w:rFonts w:asciiTheme="minorHAnsi" w:eastAsiaTheme="minorEastAsia" w:hAnsiTheme="minorHAnsi" w:cstheme="minorBidi"/>
          <w:szCs w:val="22"/>
        </w:rPr>
      </w:pPr>
      <w:r>
        <w:t>17.</w:t>
      </w:r>
      <w:r>
        <w:tab/>
        <w:t>Prescribed allowance (Act Sch. 1 cl. 11(2))</w:t>
      </w:r>
      <w:r>
        <w:tab/>
      </w:r>
      <w:r>
        <w:fldChar w:fldCharType="begin"/>
      </w:r>
      <w:r>
        <w:instrText xml:space="preserve"> PAGEREF _Toc200720630 \h </w:instrText>
      </w:r>
      <w:r>
        <w:fldChar w:fldCharType="separate"/>
      </w:r>
      <w:r>
        <w:t>20</w:t>
      </w:r>
      <w:r>
        <w:fldChar w:fldCharType="end"/>
      </w:r>
    </w:p>
    <w:p>
      <w:pPr>
        <w:pStyle w:val="TOC8"/>
        <w:rPr>
          <w:rFonts w:asciiTheme="minorHAnsi" w:eastAsiaTheme="minorEastAsia" w:hAnsiTheme="minorHAnsi" w:cstheme="minorBidi"/>
          <w:szCs w:val="22"/>
        </w:rPr>
      </w:pPr>
      <w:r>
        <w:t>17AA.</w:t>
      </w:r>
      <w:r>
        <w:tab/>
        <w:t>Prescribed rate for vehicle running expenses (Act Sch. 1 cl. 19(1))</w:t>
      </w:r>
      <w:r>
        <w:tab/>
      </w:r>
      <w:r>
        <w:fldChar w:fldCharType="begin"/>
      </w:r>
      <w:r>
        <w:instrText xml:space="preserve"> PAGEREF _Toc200720631 \h </w:instrText>
      </w:r>
      <w:r>
        <w:fldChar w:fldCharType="separate"/>
      </w:r>
      <w:r>
        <w:t>20</w:t>
      </w:r>
      <w:r>
        <w:fldChar w:fldCharType="end"/>
      </w:r>
    </w:p>
    <w:p>
      <w:pPr>
        <w:pStyle w:val="TOC8"/>
        <w:rPr>
          <w:rFonts w:asciiTheme="minorHAnsi" w:eastAsiaTheme="minorEastAsia" w:hAnsiTheme="minorHAnsi" w:cstheme="minorBidi"/>
          <w:szCs w:val="22"/>
        </w:rPr>
      </w:pPr>
      <w:r>
        <w:t>17AB.</w:t>
      </w:r>
      <w:r>
        <w:tab/>
        <w:t>Exceptional circumstances (Act Sch. 1 cl. 18A(2aa)(c)(ii))</w:t>
      </w:r>
      <w:r>
        <w:tab/>
      </w:r>
      <w:r>
        <w:fldChar w:fldCharType="begin"/>
      </w:r>
      <w:r>
        <w:instrText xml:space="preserve"> PAGEREF _Toc200720632 \h </w:instrText>
      </w:r>
      <w:r>
        <w:fldChar w:fldCharType="separate"/>
      </w:r>
      <w:r>
        <w:t>21</w:t>
      </w:r>
      <w:r>
        <w:fldChar w:fldCharType="end"/>
      </w:r>
    </w:p>
    <w:p>
      <w:pPr>
        <w:pStyle w:val="TOC8"/>
        <w:rPr>
          <w:rFonts w:asciiTheme="minorHAnsi" w:eastAsiaTheme="minorEastAsia" w:hAnsiTheme="minorHAnsi" w:cstheme="minorBidi"/>
          <w:szCs w:val="22"/>
        </w:rPr>
      </w:pPr>
      <w:r>
        <w:t>17AC.</w:t>
      </w:r>
      <w:r>
        <w:tab/>
        <w:t>Management plan (Act Sch. 1 cl. 18A(2ac))</w:t>
      </w:r>
      <w:r>
        <w:tab/>
      </w:r>
      <w:r>
        <w:fldChar w:fldCharType="begin"/>
      </w:r>
      <w:r>
        <w:instrText xml:space="preserve"> PAGEREF _Toc200720633 \h </w:instrText>
      </w:r>
      <w:r>
        <w:fldChar w:fldCharType="separate"/>
      </w:r>
      <w:r>
        <w:t>22</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_Toc200720634 \h </w:instrText>
      </w:r>
      <w:r>
        <w:fldChar w:fldCharType="separate"/>
      </w:r>
      <w:r>
        <w:t>22</w:t>
      </w:r>
      <w:r>
        <w:fldChar w:fldCharType="end"/>
      </w:r>
    </w:p>
    <w:p>
      <w:pPr>
        <w:pStyle w:val="TOC8"/>
        <w:rPr>
          <w:rFonts w:asciiTheme="minorHAnsi" w:eastAsiaTheme="minorEastAsia" w:hAnsiTheme="minorHAnsi" w:cstheme="minorBidi"/>
          <w:szCs w:val="22"/>
        </w:rPr>
      </w:pPr>
      <w:r>
        <w:t>17AE.</w:t>
      </w:r>
      <w:r>
        <w:tab/>
        <w:t>Amount prescribed for funeral expenses (Act Sch. 1 cl. 17(2), Sch. 8 cl. 10(1))</w:t>
      </w:r>
      <w:r>
        <w:tab/>
      </w:r>
      <w:r>
        <w:fldChar w:fldCharType="begin"/>
      </w:r>
      <w:r>
        <w:instrText xml:space="preserve"> PAGEREF _Toc200720635 \h </w:instrText>
      </w:r>
      <w:r>
        <w:fldChar w:fldCharType="separate"/>
      </w:r>
      <w:r>
        <w:t>23</w:t>
      </w:r>
      <w:r>
        <w:fldChar w:fldCharType="end"/>
      </w:r>
    </w:p>
    <w:p>
      <w:pPr>
        <w:pStyle w:val="TOC8"/>
        <w:rPr>
          <w:rFonts w:asciiTheme="minorHAnsi" w:eastAsiaTheme="minorEastAsia" w:hAnsiTheme="minorHAnsi" w:cstheme="minorBidi"/>
          <w:szCs w:val="22"/>
        </w:rPr>
      </w:pPr>
      <w:r>
        <w:t>17AF.</w:t>
      </w:r>
      <w:r>
        <w:tab/>
        <w:t>Amount prescribed for child’s allowance (Act Sch. 1A cl. 5(b))</w:t>
      </w:r>
      <w:r>
        <w:tab/>
      </w:r>
      <w:r>
        <w:fldChar w:fldCharType="begin"/>
      </w:r>
      <w:r>
        <w:instrText xml:space="preserve"> PAGEREF _Toc200720636 \h </w:instrText>
      </w:r>
      <w:r>
        <w:fldChar w:fldCharType="separate"/>
      </w:r>
      <w:r>
        <w:t>24</w:t>
      </w:r>
      <w:r>
        <w:fldChar w:fldCharType="end"/>
      </w:r>
    </w:p>
    <w:p>
      <w:pPr>
        <w:pStyle w:val="TOC8"/>
        <w:rPr>
          <w:rFonts w:asciiTheme="minorHAnsi" w:eastAsiaTheme="minorEastAsia" w:hAnsiTheme="minorHAnsi" w:cstheme="minorBidi"/>
          <w:szCs w:val="22"/>
        </w:rPr>
      </w:pPr>
      <w:r>
        <w:t>17AG.</w:t>
      </w:r>
      <w:r>
        <w:tab/>
        <w:t>Amount prescribed for funeral expenses (Act Sch. 1A cl. 9(2)(b))</w:t>
      </w:r>
      <w:r>
        <w:tab/>
      </w:r>
      <w:r>
        <w:fldChar w:fldCharType="begin"/>
      </w:r>
      <w:r>
        <w:instrText xml:space="preserve"> PAGEREF _Toc200720637 \h </w:instrText>
      </w:r>
      <w:r>
        <w:fldChar w:fldCharType="separate"/>
      </w:r>
      <w:r>
        <w:t>24</w:t>
      </w:r>
      <w:r>
        <w:fldChar w:fldCharType="end"/>
      </w:r>
    </w:p>
    <w:p>
      <w:pPr>
        <w:pStyle w:val="TOC8"/>
        <w:rPr>
          <w:rFonts w:asciiTheme="minorHAnsi" w:eastAsiaTheme="minorEastAsia" w:hAnsiTheme="minorHAnsi" w:cstheme="minorBidi"/>
          <w:szCs w:val="22"/>
        </w:rPr>
      </w:pPr>
      <w:r>
        <w:t>17A.</w:t>
      </w:r>
      <w:r>
        <w:tab/>
        <w:t>Supplementary amount</w:t>
      </w:r>
      <w:r>
        <w:tab/>
      </w:r>
      <w:r>
        <w:fldChar w:fldCharType="begin"/>
      </w:r>
      <w:r>
        <w:instrText xml:space="preserve"> PAGEREF _Toc200720638 \h </w:instrText>
      </w:r>
      <w:r>
        <w:fldChar w:fldCharType="separate"/>
      </w:r>
      <w:r>
        <w:t>25</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_Toc200720639 \h </w:instrText>
      </w:r>
      <w:r>
        <w:fldChar w:fldCharType="separate"/>
      </w:r>
      <w:r>
        <w:t>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_Toc200720640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_Toc200720642 \h </w:instrText>
      </w:r>
      <w:r>
        <w:fldChar w:fldCharType="separate"/>
      </w:r>
      <w:r>
        <w:t>27</w:t>
      </w:r>
      <w:r>
        <w:fldChar w:fldCharType="end"/>
      </w:r>
    </w:p>
    <w:p>
      <w:pPr>
        <w:pStyle w:val="TOC8"/>
        <w:rPr>
          <w:rFonts w:asciiTheme="minorHAnsi" w:eastAsiaTheme="minorEastAsia" w:hAnsiTheme="minorHAnsi" w:cstheme="minorBidi"/>
          <w:szCs w:val="22"/>
        </w:rPr>
      </w:pPr>
      <w:r>
        <w:t>18B.</w:t>
      </w:r>
      <w:r>
        <w:tab/>
        <w:t>Terms used</w:t>
      </w:r>
      <w:r>
        <w:tab/>
      </w:r>
      <w:r>
        <w:fldChar w:fldCharType="begin"/>
      </w:r>
      <w:r>
        <w:instrText xml:space="preserve"> PAGEREF _Toc200720643 \h </w:instrText>
      </w:r>
      <w:r>
        <w:fldChar w:fldCharType="separate"/>
      </w:r>
      <w:r>
        <w:t>27</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_Toc200720644 \h </w:instrText>
      </w:r>
      <w:r>
        <w:fldChar w:fldCharType="separate"/>
      </w:r>
      <w:r>
        <w:t>28</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_Toc200720645 \h </w:instrText>
      </w:r>
      <w:r>
        <w:fldChar w:fldCharType="separate"/>
      </w:r>
      <w:r>
        <w:t>28</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_Toc200720646 \h </w:instrText>
      </w:r>
      <w:r>
        <w:fldChar w:fldCharType="separate"/>
      </w:r>
      <w:r>
        <w:t>29</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_Toc200720647 \h </w:instrText>
      </w:r>
      <w:r>
        <w:fldChar w:fldCharType="separate"/>
      </w:r>
      <w:r>
        <w:t>30</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_Toc200720648 \h </w:instrText>
      </w:r>
      <w:r>
        <w:fldChar w:fldCharType="separate"/>
      </w:r>
      <w:r>
        <w:t>30</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_Toc200720649 \h </w:instrText>
      </w:r>
      <w:r>
        <w:fldChar w:fldCharType="separate"/>
      </w:r>
      <w:r>
        <w:t>30</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_Toc200720650 \h </w:instrText>
      </w:r>
      <w:r>
        <w:fldChar w:fldCharType="separate"/>
      </w:r>
      <w:r>
        <w:t>31</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_Toc200720651 \h </w:instrText>
      </w:r>
      <w:r>
        <w:fldChar w:fldCharType="separate"/>
      </w:r>
      <w:r>
        <w:t>31</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_Toc200720652 \h </w:instrText>
      </w:r>
      <w:r>
        <w:fldChar w:fldCharType="separate"/>
      </w:r>
      <w:r>
        <w:t>32</w:t>
      </w:r>
      <w:r>
        <w:fldChar w:fldCharType="end"/>
      </w:r>
    </w:p>
    <w:p>
      <w:pPr>
        <w:pStyle w:val="TOC8"/>
        <w:rPr>
          <w:rFonts w:asciiTheme="minorHAnsi" w:eastAsiaTheme="minorEastAsia" w:hAnsiTheme="minorHAnsi" w:cstheme="minorBidi"/>
          <w:szCs w:val="22"/>
        </w:rPr>
      </w:pPr>
      <w:r>
        <w:t>18LA.</w:t>
      </w:r>
      <w:r>
        <w:tab/>
        <w:t>Transitional provision</w:t>
      </w:r>
      <w:r>
        <w:tab/>
      </w:r>
      <w:r>
        <w:fldChar w:fldCharType="begin"/>
      </w:r>
      <w:r>
        <w:instrText xml:space="preserve"> PAGEREF _Toc200720653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Terms used</w:t>
      </w:r>
      <w:r>
        <w:tab/>
      </w:r>
      <w:r>
        <w:fldChar w:fldCharType="begin"/>
      </w:r>
      <w:r>
        <w:instrText xml:space="preserve"> PAGEREF _Toc200720655 \h </w:instrText>
      </w:r>
      <w:r>
        <w:fldChar w:fldCharType="separate"/>
      </w:r>
      <w:r>
        <w:t>33</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_Toc200720656 \h </w:instrText>
      </w:r>
      <w:r>
        <w:fldChar w:fldCharType="separate"/>
      </w:r>
      <w:r>
        <w:t>34</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_Toc200720657 \h </w:instrText>
      </w:r>
      <w:r>
        <w:fldChar w:fldCharType="separate"/>
      </w:r>
      <w:r>
        <w:t>34</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_Toc200720658 \h </w:instrText>
      </w:r>
      <w:r>
        <w:fldChar w:fldCharType="separate"/>
      </w:r>
      <w:r>
        <w:t>35</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_Toc200720659 \h </w:instrText>
      </w:r>
      <w:r>
        <w:fldChar w:fldCharType="separate"/>
      </w:r>
      <w:r>
        <w:t>36</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_Toc200720660 \h </w:instrText>
      </w:r>
      <w:r>
        <w:fldChar w:fldCharType="separate"/>
      </w:r>
      <w:r>
        <w:t>36</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_Toc200720661 \h </w:instrText>
      </w:r>
      <w:r>
        <w:fldChar w:fldCharType="separate"/>
      </w:r>
      <w:r>
        <w:t>37</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_Toc200720662 \h </w:instrText>
      </w:r>
      <w:r>
        <w:fldChar w:fldCharType="separate"/>
      </w:r>
      <w:r>
        <w:t>38</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_Toc200720663 \h </w:instrText>
      </w:r>
      <w:r>
        <w:fldChar w:fldCharType="separate"/>
      </w:r>
      <w:r>
        <w:t>38</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_Toc200720664 \h </w:instrText>
      </w:r>
      <w:r>
        <w:fldChar w:fldCharType="separate"/>
      </w:r>
      <w:r>
        <w:t>39</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_Toc200720665 \h </w:instrText>
      </w:r>
      <w:r>
        <w:fldChar w:fldCharType="separate"/>
      </w:r>
      <w:r>
        <w:t>39</w:t>
      </w:r>
      <w:r>
        <w:fldChar w:fldCharType="end"/>
      </w:r>
    </w:p>
    <w:p>
      <w:pPr>
        <w:pStyle w:val="TOC8"/>
        <w:rPr>
          <w:rFonts w:asciiTheme="minorHAnsi" w:eastAsiaTheme="minorEastAsia" w:hAnsiTheme="minorHAnsi" w:cstheme="minorBidi"/>
          <w:szCs w:val="22"/>
        </w:rPr>
      </w:pPr>
      <w:r>
        <w:lastRenderedPageBreak/>
        <w:t>18W.</w:t>
      </w:r>
      <w:r>
        <w:tab/>
        <w:t>Reports and certificates regarding outcome of assessment</w:t>
      </w:r>
      <w:r>
        <w:tab/>
      </w:r>
      <w:r>
        <w:fldChar w:fldCharType="begin"/>
      </w:r>
      <w:r>
        <w:instrText xml:space="preserve"> PAGEREF _Toc200720666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Noise induced hearing loss</w:t>
      </w:r>
    </w:p>
    <w:p>
      <w:pPr>
        <w:pStyle w:val="TOC8"/>
        <w:rPr>
          <w:rFonts w:asciiTheme="minorHAnsi" w:eastAsiaTheme="minorEastAsia" w:hAnsiTheme="minorHAnsi" w:cstheme="minorBidi"/>
          <w:szCs w:val="22"/>
        </w:rPr>
      </w:pPr>
      <w:r>
        <w:t>19A</w:t>
      </w:r>
      <w:r>
        <w:rPr>
          <w:snapToGrid w:val="0"/>
        </w:rPr>
        <w:t>.</w:t>
      </w:r>
      <w:r>
        <w:rPr>
          <w:snapToGrid w:val="0"/>
        </w:rPr>
        <w:tab/>
        <w:t>Terms used</w:t>
      </w:r>
      <w:r>
        <w:tab/>
      </w:r>
      <w:r>
        <w:fldChar w:fldCharType="begin"/>
      </w:r>
      <w:r>
        <w:instrText xml:space="preserve"> PAGEREF _Toc200720668 \h </w:instrText>
      </w:r>
      <w:r>
        <w:fldChar w:fldCharType="separate"/>
      </w:r>
      <w:r>
        <w:t>41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_Toc200720669 \h </w:instrText>
      </w:r>
      <w:r>
        <w:fldChar w:fldCharType="separate"/>
      </w:r>
      <w:r>
        <w:t>41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_Toc200720670 \h </w:instrText>
      </w:r>
      <w:r>
        <w:fldChar w:fldCharType="separate"/>
      </w:r>
      <w:r>
        <w:t>42</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_Toc200720671 \h </w:instrText>
      </w:r>
      <w:r>
        <w:fldChar w:fldCharType="separate"/>
      </w:r>
      <w:r>
        <w:t>46</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_Toc200720672 \h </w:instrText>
      </w:r>
      <w:r>
        <w:fldChar w:fldCharType="separate"/>
      </w:r>
      <w:r>
        <w:t>46</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_Toc200720673 \h </w:instrText>
      </w:r>
      <w:r>
        <w:fldChar w:fldCharType="separate"/>
      </w:r>
      <w:r>
        <w:t>46</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_Toc200720674 \h </w:instrText>
      </w:r>
      <w:r>
        <w:fldChar w:fldCharType="separate"/>
      </w:r>
      <w:r>
        <w:t>47</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_Toc200720675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3A — Constraints on awards of common law damages</w:t>
      </w:r>
    </w:p>
    <w:p>
      <w:pPr>
        <w:pStyle w:val="TOC4"/>
        <w:tabs>
          <w:tab w:val="right" w:leader="dot" w:pos="7077"/>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_Toc200720678 \h </w:instrText>
      </w:r>
      <w:r>
        <w:fldChar w:fldCharType="separate"/>
      </w:r>
      <w:r>
        <w:t>50</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_Toc200720679 \h </w:instrText>
      </w:r>
      <w:r>
        <w:fldChar w:fldCharType="separate"/>
      </w:r>
      <w:r>
        <w:t>50</w:t>
      </w:r>
      <w:r>
        <w:fldChar w:fldCharType="end"/>
      </w:r>
    </w:p>
    <w:p>
      <w:pPr>
        <w:pStyle w:val="TOC8"/>
        <w:rPr>
          <w:rFonts w:asciiTheme="minorHAnsi" w:eastAsiaTheme="minorEastAsia" w:hAnsiTheme="minorHAnsi" w:cstheme="minorBidi"/>
          <w:szCs w:val="22"/>
        </w:rPr>
      </w:pPr>
      <w:r>
        <w:t>19JA.</w:t>
      </w:r>
      <w:r>
        <w:tab/>
        <w:t>Method of referral and notification when Act s. 93EA(3) applies</w:t>
      </w:r>
      <w:r>
        <w:tab/>
      </w:r>
      <w:r>
        <w:fldChar w:fldCharType="begin"/>
      </w:r>
      <w:r>
        <w:instrText xml:space="preserve"> PAGEREF _Toc200720680 \h </w:instrText>
      </w:r>
      <w:r>
        <w:fldChar w:fldCharType="separate"/>
      </w:r>
      <w:r>
        <w:t>51</w:t>
      </w:r>
      <w:r>
        <w:fldChar w:fldCharType="end"/>
      </w:r>
    </w:p>
    <w:p>
      <w:pPr>
        <w:pStyle w:val="TOC8"/>
        <w:rPr>
          <w:rFonts w:asciiTheme="minorHAnsi" w:eastAsiaTheme="minorEastAsia" w:hAnsiTheme="minorHAnsi" w:cstheme="minorBidi"/>
          <w:szCs w:val="22"/>
        </w:rPr>
      </w:pPr>
      <w:r>
        <w:t>19JB.</w:t>
      </w:r>
      <w:r>
        <w:tab/>
        <w:t>Method of referral and notification when Act s. 93EB(3) applies</w:t>
      </w:r>
      <w:r>
        <w:tab/>
      </w:r>
      <w:r>
        <w:fldChar w:fldCharType="begin"/>
      </w:r>
      <w:r>
        <w:instrText xml:space="preserve"> PAGEREF _Toc200720681 \h </w:instrText>
      </w:r>
      <w:r>
        <w:fldChar w:fldCharType="separate"/>
      </w:r>
      <w:r>
        <w:t>52</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_Toc200720682 \h </w:instrText>
      </w:r>
      <w:r>
        <w:fldChar w:fldCharType="separate"/>
      </w:r>
      <w:r>
        <w:t>53</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_Toc200720683 \h </w:instrText>
      </w:r>
      <w:r>
        <w:fldChar w:fldCharType="separate"/>
      </w:r>
      <w:r>
        <w:t>53</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_Toc200720684 \h </w:instrText>
      </w:r>
      <w:r>
        <w:fldChar w:fldCharType="separate"/>
      </w:r>
      <w:r>
        <w:t>54</w:t>
      </w:r>
      <w:r>
        <w:fldChar w:fldCharType="end"/>
      </w:r>
    </w:p>
    <w:p>
      <w:pPr>
        <w:pStyle w:val="TOC8"/>
        <w:rPr>
          <w:rFonts w:asciiTheme="minorHAnsi" w:eastAsiaTheme="minorEastAsia" w:hAnsiTheme="minorHAnsi" w:cstheme="minorBidi"/>
          <w:szCs w:val="22"/>
        </w:rPr>
      </w:pPr>
      <w:r>
        <w:t>19N.</w:t>
      </w:r>
      <w:r>
        <w:tab/>
        <w:t>Extension of time to make election under Act s. 93E(3)(b)</w:t>
      </w:r>
      <w:r>
        <w:tab/>
      </w:r>
      <w:r>
        <w:fldChar w:fldCharType="begin"/>
      </w:r>
      <w:r>
        <w:instrText xml:space="preserve"> PAGEREF _Toc200720685 \h </w:instrText>
      </w:r>
      <w:r>
        <w:fldChar w:fldCharType="separate"/>
      </w:r>
      <w:r>
        <w:t>55</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_Toc200720686 \h </w:instrText>
      </w:r>
      <w:r>
        <w:fldChar w:fldCharType="separate"/>
      </w:r>
      <w:r>
        <w:t>58</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_Toc200720687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_Toc200720689 \h </w:instrText>
      </w:r>
      <w:r>
        <w:fldChar w:fldCharType="separate"/>
      </w:r>
      <w:r>
        <w:t>60</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_Toc200720690 \h </w:instrText>
      </w:r>
      <w:r>
        <w:fldChar w:fldCharType="separate"/>
      </w:r>
      <w:r>
        <w:t>61</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_Toc200720691 \h </w:instrText>
      </w:r>
      <w:r>
        <w:fldChar w:fldCharType="separate"/>
      </w:r>
      <w:r>
        <w:t>62</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_Toc200720692 \h </w:instrText>
      </w:r>
      <w:r>
        <w:fldChar w:fldCharType="separate"/>
      </w:r>
      <w:r>
        <w:t>62</w:t>
      </w:r>
      <w:r>
        <w:fldChar w:fldCharType="end"/>
      </w:r>
    </w:p>
    <w:p>
      <w:pPr>
        <w:pStyle w:val="TOC8"/>
        <w:rPr>
          <w:rFonts w:asciiTheme="minorHAnsi" w:eastAsiaTheme="minorEastAsia" w:hAnsiTheme="minorHAnsi" w:cstheme="minorBidi"/>
          <w:szCs w:val="22"/>
        </w:rPr>
      </w:pPr>
      <w:r>
        <w:t>25.</w:t>
      </w:r>
      <w:r>
        <w:tab/>
        <w:t>Notice relating to common law claims</w:t>
      </w:r>
      <w:r>
        <w:tab/>
      </w:r>
      <w:r>
        <w:fldChar w:fldCharType="begin"/>
      </w:r>
      <w:r>
        <w:instrText xml:space="preserve"> PAGEREF _Toc200720693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w:t>
      </w:r>
      <w:r>
        <w:rPr>
          <w:b w:val="0"/>
        </w:rPr>
        <w:t> </w:t>
      </w:r>
      <w:r>
        <w:t>—</w:t>
      </w:r>
      <w:r>
        <w:rPr>
          <w:b w:val="0"/>
        </w:rPr>
        <w:t> </w:t>
      </w:r>
      <w:r>
        <w:t>Registered agents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_Toc200720696 \h </w:instrText>
      </w:r>
      <w:r>
        <w:fldChar w:fldCharType="separate"/>
      </w:r>
      <w:r>
        <w:t>64</w:t>
      </w:r>
      <w:r>
        <w:fldChar w:fldCharType="end"/>
      </w:r>
    </w:p>
    <w:p>
      <w:pPr>
        <w:pStyle w:val="TOC8"/>
        <w:rPr>
          <w:rFonts w:asciiTheme="minorHAnsi" w:eastAsiaTheme="minorEastAsia" w:hAnsiTheme="minorHAnsi" w:cstheme="minorBidi"/>
          <w:szCs w:val="22"/>
        </w:rPr>
      </w:pPr>
      <w:r>
        <w:t>27.</w:t>
      </w:r>
      <w:r>
        <w:tab/>
        <w:t>Prescribed organisations (Act s. 277(1)(e))</w:t>
      </w:r>
      <w:r>
        <w:tab/>
      </w:r>
      <w:r>
        <w:fldChar w:fldCharType="begin"/>
      </w:r>
      <w:r>
        <w:instrText xml:space="preserve"> PAGEREF _Toc200720697 \h </w:instrText>
      </w:r>
      <w:r>
        <w:fldChar w:fldCharType="separate"/>
      </w:r>
      <w:r>
        <w:t>65</w:t>
      </w:r>
      <w:r>
        <w:fldChar w:fldCharType="end"/>
      </w:r>
    </w:p>
    <w:p>
      <w:pPr>
        <w:pStyle w:val="TOC8"/>
        <w:rPr>
          <w:rFonts w:asciiTheme="minorHAnsi" w:eastAsiaTheme="minorEastAsia" w:hAnsiTheme="minorHAnsi" w:cstheme="minorBidi"/>
          <w:szCs w:val="22"/>
        </w:rPr>
      </w:pPr>
      <w:r>
        <w:t>27A.</w:t>
      </w:r>
      <w:r>
        <w:tab/>
        <w:t>Prescribed classes of persons (Act s. 277(1)(f))</w:t>
      </w:r>
      <w:r>
        <w:tab/>
      </w:r>
      <w:r>
        <w:fldChar w:fldCharType="begin"/>
      </w:r>
      <w:r>
        <w:instrText xml:space="preserve"> PAGEREF _Toc200720698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_Toc200720700 \h </w:instrText>
      </w:r>
      <w:r>
        <w:fldChar w:fldCharType="separate"/>
      </w:r>
      <w:r>
        <w:t>65</w:t>
      </w:r>
      <w:r>
        <w:fldChar w:fldCharType="end"/>
      </w:r>
    </w:p>
    <w:p>
      <w:pPr>
        <w:pStyle w:val="TOC8"/>
        <w:rPr>
          <w:rFonts w:asciiTheme="minorHAnsi" w:eastAsiaTheme="minorEastAsia" w:hAnsiTheme="minorHAnsi" w:cstheme="minorBidi"/>
          <w:szCs w:val="22"/>
        </w:rPr>
      </w:pPr>
      <w:r>
        <w:t>29.</w:t>
      </w:r>
      <w:r>
        <w:tab/>
        <w:t>Registration</w:t>
      </w:r>
      <w:r>
        <w:tab/>
      </w:r>
      <w:r>
        <w:fldChar w:fldCharType="begin"/>
      </w:r>
      <w:r>
        <w:instrText xml:space="preserve"> PAGEREF _Toc200720701 \h </w:instrText>
      </w:r>
      <w:r>
        <w:fldChar w:fldCharType="separate"/>
      </w:r>
      <w:r>
        <w:t>67</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_Toc200720702 \h </w:instrText>
      </w:r>
      <w:r>
        <w:fldChar w:fldCharType="separate"/>
      </w:r>
      <w:r>
        <w:t>68</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_Toc200720703 \h </w:instrText>
      </w:r>
      <w:r>
        <w:fldChar w:fldCharType="separate"/>
      </w:r>
      <w:r>
        <w:t>69</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_Toc200720704 \h </w:instrText>
      </w:r>
      <w:r>
        <w:fldChar w:fldCharType="separate"/>
      </w:r>
      <w:r>
        <w:t>70</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_Toc200720705 \h </w:instrText>
      </w:r>
      <w:r>
        <w:fldChar w:fldCharType="separate"/>
      </w:r>
      <w:r>
        <w:t>70</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_Toc200720706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_Toc200720708 \h </w:instrText>
      </w:r>
      <w:r>
        <w:fldChar w:fldCharType="separate"/>
      </w:r>
      <w:r>
        <w:t>71</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_Toc200720709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_Toc200720711 \h </w:instrText>
      </w:r>
      <w:r>
        <w:fldChar w:fldCharType="separate"/>
      </w:r>
      <w:r>
        <w:t>72</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_Toc200720712 \h </w:instrText>
      </w:r>
      <w:r>
        <w:fldChar w:fldCharType="separate"/>
      </w:r>
      <w:r>
        <w:t>73</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_Toc200720713 \h </w:instrText>
      </w:r>
      <w:r>
        <w:fldChar w:fldCharType="separate"/>
      </w:r>
      <w:r>
        <w:t>73</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_Toc200720714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 by SAT</w:t>
      </w:r>
      <w:r>
        <w:tab/>
      </w:r>
      <w:r>
        <w:fldChar w:fldCharType="begin"/>
      </w:r>
      <w:r>
        <w:instrText xml:space="preserve"> PAGEREF _Toc200720716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_Toc200720718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5 — 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_Toc200720720 \h </w:instrText>
      </w:r>
      <w:r>
        <w:fldChar w:fldCharType="separate"/>
      </w:r>
      <w:r>
        <w:t>76</w:t>
      </w:r>
      <w:r>
        <w:fldChar w:fldCharType="end"/>
      </w:r>
    </w:p>
    <w:p>
      <w:pPr>
        <w:pStyle w:val="TOC8"/>
        <w:rPr>
          <w:rFonts w:asciiTheme="minorHAnsi" w:eastAsiaTheme="minorEastAsia" w:hAnsiTheme="minorHAnsi" w:cstheme="minorBidi"/>
          <w:szCs w:val="22"/>
        </w:rPr>
      </w:pPr>
      <w:r>
        <w:t>44A.</w:t>
      </w:r>
      <w:r>
        <w:tab/>
        <w:t>Counselling psychology</w:t>
      </w:r>
      <w:r>
        <w:tab/>
      </w:r>
      <w:r>
        <w:fldChar w:fldCharType="begin"/>
      </w:r>
      <w:r>
        <w:instrText xml:space="preserve"> PAGEREF _Toc200720721 \h </w:instrText>
      </w:r>
      <w:r>
        <w:fldChar w:fldCharType="separate"/>
      </w:r>
      <w:r>
        <w:t>79</w:t>
      </w:r>
      <w:r>
        <w:fldChar w:fldCharType="end"/>
      </w:r>
    </w:p>
    <w:p>
      <w:pPr>
        <w:pStyle w:val="TOC8"/>
        <w:rPr>
          <w:rFonts w:asciiTheme="minorHAnsi" w:eastAsiaTheme="minorEastAsia" w:hAnsiTheme="minorHAnsi" w:cstheme="minorBidi"/>
          <w:szCs w:val="22"/>
        </w:rPr>
      </w:pPr>
      <w:r>
        <w:t>44B.</w:t>
      </w:r>
      <w:r>
        <w:tab/>
        <w:t>Exercise physiology</w:t>
      </w:r>
      <w:r>
        <w:tab/>
      </w:r>
      <w:r>
        <w:fldChar w:fldCharType="begin"/>
      </w:r>
      <w:r>
        <w:instrText xml:space="preserve"> PAGEREF _Toc200720722 \h </w:instrText>
      </w:r>
      <w:r>
        <w:fldChar w:fldCharType="separate"/>
      </w:r>
      <w:r>
        <w:t>79</w:t>
      </w:r>
      <w:r>
        <w:fldChar w:fldCharType="end"/>
      </w:r>
    </w:p>
    <w:p>
      <w:pPr>
        <w:pStyle w:val="TOC8"/>
        <w:rPr>
          <w:rFonts w:asciiTheme="minorHAnsi" w:eastAsiaTheme="minorEastAsia" w:hAnsiTheme="minorHAnsi" w:cstheme="minorBidi"/>
          <w:szCs w:val="22"/>
        </w:rPr>
      </w:pPr>
      <w:r>
        <w:t>44C.</w:t>
      </w:r>
      <w:r>
        <w:tab/>
        <w:t>Acupuncture</w:t>
      </w:r>
      <w:r>
        <w:tab/>
      </w:r>
      <w:r>
        <w:fldChar w:fldCharType="begin"/>
      </w:r>
      <w:r>
        <w:instrText xml:space="preserve"> PAGEREF _Toc200720723 \h </w:instrText>
      </w:r>
      <w:r>
        <w:fldChar w:fldCharType="separate"/>
      </w:r>
      <w:r>
        <w:t>80</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_Toc200720724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_Toc200720726 \h </w:instrText>
      </w:r>
      <w:r>
        <w:fldChar w:fldCharType="separate"/>
      </w:r>
      <w:r>
        <w:t>82</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_Toc200720727 \h </w:instrText>
      </w:r>
      <w:r>
        <w:fldChar w:fldCharType="separate"/>
      </w:r>
      <w:r>
        <w:t>83</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_Toc200720728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_Toc200720730 \h </w:instrText>
      </w:r>
      <w:r>
        <w:fldChar w:fldCharType="separate"/>
      </w:r>
      <w:r>
        <w:t>86</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_Toc200720731 \h </w:instrText>
      </w:r>
      <w:r>
        <w:fldChar w:fldCharType="separate"/>
      </w:r>
      <w:r>
        <w:t>86</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_Toc200720732 \h </w:instrText>
      </w:r>
      <w:r>
        <w:fldChar w:fldCharType="separate"/>
      </w:r>
      <w:r>
        <w:t>86</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_Toc200720733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8 — Lodging documents</w:t>
      </w:r>
    </w:p>
    <w:p>
      <w:pPr>
        <w:pStyle w:val="TOC8"/>
        <w:rPr>
          <w:rFonts w:asciiTheme="minorHAnsi" w:eastAsiaTheme="minorEastAsia" w:hAnsiTheme="minorHAnsi" w:cstheme="minorBidi"/>
          <w:szCs w:val="22"/>
        </w:rPr>
      </w:pPr>
      <w:r>
        <w:t>54.</w:t>
      </w:r>
      <w:r>
        <w:tab/>
        <w:t>Terms used</w:t>
      </w:r>
      <w:r>
        <w:tab/>
      </w:r>
      <w:r>
        <w:fldChar w:fldCharType="begin"/>
      </w:r>
      <w:r>
        <w:instrText xml:space="preserve"> PAGEREF _Toc200720735 \h </w:instrText>
      </w:r>
      <w:r>
        <w:fldChar w:fldCharType="separate"/>
      </w:r>
      <w:r>
        <w:t>87</w:t>
      </w:r>
      <w:r>
        <w:fldChar w:fldCharType="end"/>
      </w:r>
    </w:p>
    <w:p>
      <w:pPr>
        <w:pStyle w:val="TOC8"/>
        <w:rPr>
          <w:rFonts w:asciiTheme="minorHAnsi" w:eastAsiaTheme="minorEastAsia" w:hAnsiTheme="minorHAnsi" w:cstheme="minorBidi"/>
          <w:szCs w:val="22"/>
        </w:rPr>
      </w:pPr>
      <w:r>
        <w:t>55.</w:t>
      </w:r>
      <w:r>
        <w:tab/>
        <w:t>Completion of documents</w:t>
      </w:r>
      <w:r>
        <w:tab/>
      </w:r>
      <w:r>
        <w:fldChar w:fldCharType="begin"/>
      </w:r>
      <w:r>
        <w:instrText xml:space="preserve"> PAGEREF _Toc200720736 \h </w:instrText>
      </w:r>
      <w:r>
        <w:fldChar w:fldCharType="separate"/>
      </w:r>
      <w:r>
        <w:t>88</w:t>
      </w:r>
      <w:r>
        <w:fldChar w:fldCharType="end"/>
      </w:r>
    </w:p>
    <w:p>
      <w:pPr>
        <w:pStyle w:val="TOC8"/>
        <w:rPr>
          <w:rFonts w:asciiTheme="minorHAnsi" w:eastAsiaTheme="minorEastAsia" w:hAnsiTheme="minorHAnsi" w:cstheme="minorBidi"/>
          <w:szCs w:val="22"/>
        </w:rPr>
      </w:pPr>
      <w:r>
        <w:t>56.</w:t>
      </w:r>
      <w:r>
        <w:tab/>
        <w:t>EDS exempt</w:t>
      </w:r>
      <w:r>
        <w:tab/>
      </w:r>
      <w:r>
        <w:fldChar w:fldCharType="begin"/>
      </w:r>
      <w:r>
        <w:instrText xml:space="preserve"> PAGEREF _Toc200720737 \h </w:instrText>
      </w:r>
      <w:r>
        <w:fldChar w:fldCharType="separate"/>
      </w:r>
      <w:r>
        <w:t>88</w:t>
      </w:r>
      <w:r>
        <w:fldChar w:fldCharType="end"/>
      </w:r>
    </w:p>
    <w:p>
      <w:pPr>
        <w:pStyle w:val="TOC8"/>
        <w:rPr>
          <w:rFonts w:asciiTheme="minorHAnsi" w:eastAsiaTheme="minorEastAsia" w:hAnsiTheme="minorHAnsi" w:cstheme="minorBidi"/>
          <w:szCs w:val="22"/>
        </w:rPr>
      </w:pPr>
      <w:r>
        <w:t>57.</w:t>
      </w:r>
      <w:r>
        <w:tab/>
        <w:t>Lodging documents</w:t>
      </w:r>
      <w:r>
        <w:tab/>
      </w:r>
      <w:r>
        <w:fldChar w:fldCharType="begin"/>
      </w:r>
      <w:r>
        <w:instrText xml:space="preserve"> PAGEREF _Toc200720738 \h </w:instrText>
      </w:r>
      <w:r>
        <w:fldChar w:fldCharType="separate"/>
      </w:r>
      <w:r>
        <w:t>89</w:t>
      </w:r>
      <w:r>
        <w:fldChar w:fldCharType="end"/>
      </w:r>
    </w:p>
    <w:p>
      <w:pPr>
        <w:pStyle w:val="TOC8"/>
        <w:rPr>
          <w:rFonts w:asciiTheme="minorHAnsi" w:eastAsiaTheme="minorEastAsia" w:hAnsiTheme="minorHAnsi" w:cstheme="minorBidi"/>
          <w:szCs w:val="22"/>
        </w:rPr>
      </w:pPr>
      <w:r>
        <w:t>58.</w:t>
      </w:r>
      <w:r>
        <w:tab/>
        <w:t>Lodging by email</w:t>
      </w:r>
      <w:r>
        <w:tab/>
      </w:r>
      <w:r>
        <w:fldChar w:fldCharType="begin"/>
      </w:r>
      <w:r>
        <w:instrText xml:space="preserve"> PAGEREF _Toc200720739 \h </w:instrText>
      </w:r>
      <w:r>
        <w:fldChar w:fldCharType="separate"/>
      </w:r>
      <w:r>
        <w:t>90</w:t>
      </w:r>
      <w:r>
        <w:fldChar w:fldCharType="end"/>
      </w:r>
    </w:p>
    <w:p>
      <w:pPr>
        <w:pStyle w:val="TOC8"/>
        <w:rPr>
          <w:rFonts w:asciiTheme="minorHAnsi" w:eastAsiaTheme="minorEastAsia" w:hAnsiTheme="minorHAnsi" w:cstheme="minorBidi"/>
          <w:szCs w:val="22"/>
        </w:rPr>
      </w:pPr>
      <w:r>
        <w:t>59.</w:t>
      </w:r>
      <w:r>
        <w:tab/>
        <w:t>Day of lodgment</w:t>
      </w:r>
      <w:r>
        <w:tab/>
      </w:r>
      <w:r>
        <w:fldChar w:fldCharType="begin"/>
      </w:r>
      <w:r>
        <w:instrText xml:space="preserve"> PAGEREF _Toc200720740 \h </w:instrText>
      </w:r>
      <w:r>
        <w:fldChar w:fldCharType="separate"/>
      </w:r>
      <w:r>
        <w:t>90</w:t>
      </w:r>
      <w:r>
        <w:fldChar w:fldCharType="end"/>
      </w:r>
    </w:p>
    <w:p>
      <w:pPr>
        <w:pStyle w:val="TOC8"/>
        <w:rPr>
          <w:rFonts w:asciiTheme="minorHAnsi" w:eastAsiaTheme="minorEastAsia" w:hAnsiTheme="minorHAnsi" w:cstheme="minorBidi"/>
          <w:szCs w:val="22"/>
        </w:rPr>
      </w:pPr>
      <w:r>
        <w:t>60.</w:t>
      </w:r>
      <w:r>
        <w:tab/>
        <w:t>Notification by Director</w:t>
      </w:r>
      <w:r>
        <w:tab/>
      </w:r>
      <w:r>
        <w:fldChar w:fldCharType="begin"/>
      </w:r>
      <w:r>
        <w:instrText xml:space="preserve"> PAGEREF _Toc200720741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9 — Variation of certain amounts</w:t>
      </w:r>
    </w:p>
    <w:p>
      <w:pPr>
        <w:pStyle w:val="TOC8"/>
        <w:rPr>
          <w:rFonts w:asciiTheme="minorHAnsi" w:eastAsiaTheme="minorEastAsia" w:hAnsiTheme="minorHAnsi" w:cstheme="minorBidi"/>
          <w:szCs w:val="22"/>
        </w:rPr>
      </w:pPr>
      <w:r>
        <w:t>61.</w:t>
      </w:r>
      <w:r>
        <w:tab/>
        <w:t>Amount C (Act s. 5A(1A))</w:t>
      </w:r>
      <w:r>
        <w:tab/>
      </w:r>
      <w:r>
        <w:fldChar w:fldCharType="begin"/>
      </w:r>
      <w:r>
        <w:instrText xml:space="preserve"> PAGEREF _Toc200720743 \h </w:instrText>
      </w:r>
      <w:r>
        <w:fldChar w:fldCharType="separate"/>
      </w:r>
      <w:r>
        <w:t>92</w:t>
      </w:r>
      <w:r>
        <w:fldChar w:fldCharType="end"/>
      </w:r>
    </w:p>
    <w:p>
      <w:pPr>
        <w:pStyle w:val="TOC8"/>
        <w:rPr>
          <w:rFonts w:asciiTheme="minorHAnsi" w:eastAsiaTheme="minorEastAsia" w:hAnsiTheme="minorHAnsi" w:cstheme="minorBidi"/>
          <w:szCs w:val="22"/>
        </w:rPr>
      </w:pPr>
      <w:r>
        <w:t>62.</w:t>
      </w:r>
      <w:r>
        <w:tab/>
        <w:t>Prescribed amount (Act s. 5A(1A))</w:t>
      </w:r>
      <w:r>
        <w:tab/>
      </w:r>
      <w:r>
        <w:fldChar w:fldCharType="begin"/>
      </w:r>
      <w:r>
        <w:instrText xml:space="preserve"> PAGEREF _Toc200720744 \h </w:instrText>
      </w:r>
      <w:r>
        <w:fldChar w:fldCharType="separate"/>
      </w:r>
      <w:r>
        <w:t>92</w:t>
      </w:r>
      <w:r>
        <w:fldChar w:fldCharType="end"/>
      </w:r>
    </w:p>
    <w:p>
      <w:pPr>
        <w:pStyle w:val="TOC8"/>
        <w:rPr>
          <w:rFonts w:asciiTheme="minorHAnsi" w:eastAsiaTheme="minorEastAsia" w:hAnsiTheme="minorHAnsi" w:cstheme="minorBidi"/>
          <w:szCs w:val="22"/>
        </w:rPr>
      </w:pPr>
      <w:r>
        <w:t>63.</w:t>
      </w:r>
      <w:r>
        <w:tab/>
        <w:t>Board and lodging value (Act Sch. 1 cl. 15)</w:t>
      </w:r>
      <w:r>
        <w:tab/>
      </w:r>
      <w:r>
        <w:fldChar w:fldCharType="begin"/>
      </w:r>
      <w:r>
        <w:instrText xml:space="preserve"> PAGEREF _Toc200720745 \h </w:instrText>
      </w:r>
      <w:r>
        <w:fldChar w:fldCharType="separate"/>
      </w:r>
      <w:r>
        <w:t>92</w:t>
      </w:r>
      <w:r>
        <w:fldChar w:fldCharType="end"/>
      </w:r>
    </w:p>
    <w:p>
      <w:pPr>
        <w:pStyle w:val="TOC8"/>
        <w:rPr>
          <w:rFonts w:asciiTheme="minorHAnsi" w:eastAsiaTheme="minorEastAsia" w:hAnsiTheme="minorHAnsi" w:cstheme="minorBidi"/>
          <w:szCs w:val="22"/>
        </w:rPr>
      </w:pPr>
      <w:r>
        <w:t>64.</w:t>
      </w:r>
      <w:r>
        <w:tab/>
        <w:t>Wheeled chair or similar appliance expenses (Act Sch. 1 cl. 17(4))</w:t>
      </w:r>
      <w:r>
        <w:tab/>
      </w:r>
      <w:r>
        <w:fldChar w:fldCharType="begin"/>
      </w:r>
      <w:r>
        <w:instrText xml:space="preserve"> PAGEREF _Toc200720746 \h </w:instrText>
      </w:r>
      <w:r>
        <w:fldChar w:fldCharType="separate"/>
      </w:r>
      <w:r>
        <w:t>93</w:t>
      </w:r>
      <w:r>
        <w:fldChar w:fldCharType="end"/>
      </w:r>
    </w:p>
    <w:p>
      <w:pPr>
        <w:pStyle w:val="TOC8"/>
        <w:rPr>
          <w:rFonts w:asciiTheme="minorHAnsi" w:eastAsiaTheme="minorEastAsia" w:hAnsiTheme="minorHAnsi" w:cstheme="minorBidi"/>
          <w:szCs w:val="22"/>
        </w:rPr>
      </w:pPr>
      <w:r>
        <w:t>65.</w:t>
      </w:r>
      <w:r>
        <w:tab/>
        <w:t>Meals and lodging cost (Act Sch. 1 cl. 19(1))</w:t>
      </w:r>
      <w:r>
        <w:tab/>
      </w:r>
      <w:r>
        <w:fldChar w:fldCharType="begin"/>
      </w:r>
      <w:r>
        <w:instrText xml:space="preserve"> PAGEREF _Toc200720747 \h </w:instrText>
      </w:r>
      <w:r>
        <w:fldChar w:fldCharType="separate"/>
      </w:r>
      <w:r>
        <w:t>93</w:t>
      </w:r>
      <w:r>
        <w:fldChar w:fldCharType="end"/>
      </w:r>
    </w:p>
    <w:p>
      <w:pPr>
        <w:pStyle w:val="TOC8"/>
        <w:rPr>
          <w:rFonts w:asciiTheme="minorHAnsi" w:eastAsiaTheme="minorEastAsia" w:hAnsiTheme="minorHAnsi" w:cstheme="minorBidi"/>
          <w:szCs w:val="22"/>
        </w:rPr>
      </w:pPr>
      <w:r>
        <w:t>66.</w:t>
      </w:r>
      <w:r>
        <w:tab/>
        <w:t>Rounding</w:t>
      </w:r>
      <w:r>
        <w:tab/>
      </w:r>
      <w:r>
        <w:fldChar w:fldCharType="begin"/>
      </w:r>
      <w:r>
        <w:instrText xml:space="preserve"> PAGEREF _Toc200720748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9A — Specified diseases contracted by firefighters</w:t>
      </w:r>
    </w:p>
    <w:p>
      <w:pPr>
        <w:pStyle w:val="TOC8"/>
        <w:rPr>
          <w:rFonts w:asciiTheme="minorHAnsi" w:eastAsiaTheme="minorEastAsia" w:hAnsiTheme="minorHAnsi" w:cstheme="minorBidi"/>
          <w:szCs w:val="22"/>
        </w:rPr>
      </w:pPr>
      <w:r>
        <w:t>66A.</w:t>
      </w:r>
      <w:r>
        <w:tab/>
        <w:t>Specified diseases for firefighters (Act Sch. 4A)</w:t>
      </w:r>
      <w:r>
        <w:tab/>
      </w:r>
      <w:r>
        <w:fldChar w:fldCharType="begin"/>
      </w:r>
      <w:r>
        <w:instrText xml:space="preserve"> PAGEREF _Toc200720750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10 — Prescribed diseases: presumption of work</w:t>
      </w:r>
      <w:r>
        <w:noBreakHyphen/>
        <w:t>related injury</w:t>
      </w:r>
    </w:p>
    <w:p>
      <w:pPr>
        <w:pStyle w:val="TOC8"/>
        <w:rPr>
          <w:rFonts w:asciiTheme="minorHAnsi" w:eastAsiaTheme="minorEastAsia" w:hAnsiTheme="minorHAnsi" w:cstheme="minorBidi"/>
          <w:szCs w:val="22"/>
        </w:rPr>
      </w:pPr>
      <w:r>
        <w:t>67.</w:t>
      </w:r>
      <w:r>
        <w:tab/>
        <w:t>COVID</w:t>
      </w:r>
      <w:r>
        <w:noBreakHyphen/>
        <w:t>19: prescribed disease and prescribed employment (Act s. 49F)</w:t>
      </w:r>
      <w:r>
        <w:tab/>
      </w:r>
      <w:r>
        <w:fldChar w:fldCharType="begin"/>
      </w:r>
      <w:r>
        <w:instrText xml:space="preserve"> PAGEREF _Toc200720752 \h </w:instrText>
      </w:r>
      <w:r>
        <w:fldChar w:fldCharType="separate"/>
      </w:r>
      <w:r>
        <w:t>96</w:t>
      </w:r>
      <w:r>
        <w:fldChar w:fldCharType="end"/>
      </w:r>
    </w:p>
    <w:p>
      <w:pPr>
        <w:pStyle w:val="TOC8"/>
        <w:rPr>
          <w:rFonts w:asciiTheme="minorHAnsi" w:eastAsiaTheme="minorEastAsia" w:hAnsiTheme="minorHAnsi" w:cstheme="minorBidi"/>
          <w:szCs w:val="22"/>
        </w:rPr>
      </w:pPr>
      <w:r>
        <w:t>68.</w:t>
      </w:r>
      <w:r>
        <w:tab/>
        <w:t>Post</w:t>
      </w:r>
      <w:r>
        <w:noBreakHyphen/>
        <w:t>traumatic stress disorder: prescribed disease and prescribed employment (Act s. 49F)</w:t>
      </w:r>
      <w:r>
        <w:tab/>
      </w:r>
      <w:r>
        <w:fldChar w:fldCharType="begin"/>
      </w:r>
      <w:r>
        <w:instrText xml:space="preserve"> PAGEREF _Toc200720753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rPr>
          <w:rFonts w:ascii="Times" w:hAnsi="Times"/>
        </w:rPr>
        <w:lastRenderedPageBreak/>
        <w:t>Appendix I</w:t>
      </w:r>
    </w:p>
    <w:p>
      <w:pPr>
        <w:pStyle w:val="TOC2"/>
        <w:tabs>
          <w:tab w:val="right" w:leader="dot" w:pos="7077"/>
        </w:tabs>
        <w:rPr>
          <w:rFonts w:asciiTheme="minorHAnsi" w:eastAsiaTheme="minorEastAsia" w:hAnsiTheme="minorHAnsi" w:cstheme="minorBidi"/>
          <w:b w:val="0"/>
          <w:sz w:val="22"/>
          <w:szCs w:val="22"/>
        </w:rPr>
      </w:pPr>
      <w:r>
        <w:t>Appendix II</w:t>
      </w:r>
    </w:p>
    <w:p>
      <w:pPr>
        <w:pStyle w:val="TOC2"/>
        <w:tabs>
          <w:tab w:val="right" w:leader="dot" w:pos="7077"/>
        </w:tabs>
        <w:rPr>
          <w:rFonts w:asciiTheme="minorHAnsi" w:eastAsiaTheme="minorEastAsia" w:hAnsiTheme="minorHAnsi" w:cstheme="minorBidi"/>
          <w:b w:val="0"/>
          <w:sz w:val="22"/>
          <w:szCs w:val="22"/>
        </w:rPr>
      </w:pPr>
      <w:r>
        <w:t>Appendix III</w:t>
      </w:r>
    </w:p>
    <w:p>
      <w:pPr>
        <w:pStyle w:val="TOC2"/>
        <w:tabs>
          <w:tab w:val="right" w:leader="dot" w:pos="7077"/>
        </w:tabs>
        <w:rPr>
          <w:rFonts w:asciiTheme="minorHAnsi" w:eastAsiaTheme="minorEastAsia" w:hAnsiTheme="minorHAnsi" w:cstheme="minorBidi"/>
          <w:b w:val="0"/>
          <w:sz w:val="22"/>
          <w:szCs w:val="22"/>
        </w:rPr>
      </w:pPr>
      <w:r>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_Toc200720758 \h </w:instrText>
      </w:r>
      <w:r>
        <w:fldChar w:fldCharType="separate"/>
      </w:r>
      <w:r>
        <w:t>232</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_Toc200720759 \h </w:instrText>
      </w:r>
      <w:r>
        <w:fldChar w:fldCharType="separate"/>
      </w:r>
      <w:r>
        <w:t>232</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_Toc200720760 \h </w:instrText>
      </w:r>
      <w:r>
        <w:fldChar w:fldCharType="separate"/>
      </w:r>
      <w:r>
        <w:t>233</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_Toc200720761 \h </w:instrText>
      </w:r>
      <w:r>
        <w:fldChar w:fldCharType="separate"/>
      </w:r>
      <w:r>
        <w:t>234</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_Toc200720762 \h </w:instrText>
      </w:r>
      <w:r>
        <w:fldChar w:fldCharType="separate"/>
      </w:r>
      <w:r>
        <w:t>234</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_Toc200720763 \h </w:instrText>
      </w:r>
      <w:r>
        <w:fldChar w:fldCharType="separate"/>
      </w:r>
      <w:r>
        <w:t>235</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_Toc200720764 \h </w:instrText>
      </w:r>
      <w:r>
        <w:fldChar w:fldCharType="separate"/>
      </w:r>
      <w:r>
        <w:t>235</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_Toc200720765 \h </w:instrText>
      </w:r>
      <w:r>
        <w:fldChar w:fldCharType="separate"/>
      </w:r>
      <w:r>
        <w:t>237</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_Toc200720766 \h </w:instrText>
      </w:r>
      <w:r>
        <w:fldChar w:fldCharType="separate"/>
      </w:r>
      <w:r>
        <w:t>237</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_Toc200720767 \h </w:instrText>
      </w:r>
      <w:r>
        <w:fldChar w:fldCharType="separate"/>
      </w:r>
      <w:r>
        <w:t>237</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_Toc200720768 \h </w:instrText>
      </w:r>
      <w:r>
        <w:fldChar w:fldCharType="separate"/>
      </w:r>
      <w:r>
        <w:t>238</w:t>
      </w:r>
      <w:r>
        <w:fldChar w:fldCharType="end"/>
      </w:r>
    </w:p>
    <w:p>
      <w:pPr>
        <w:pStyle w:val="TOC2"/>
        <w:tabs>
          <w:tab w:val="right" w:leader="dot" w:pos="7077"/>
        </w:tabs>
        <w:rPr>
          <w:rFonts w:asciiTheme="minorHAnsi" w:eastAsiaTheme="minorEastAsia" w:hAnsiTheme="minorHAnsi" w:cstheme="minorBidi"/>
          <w:b w:val="0"/>
          <w:sz w:val="22"/>
          <w:szCs w:val="22"/>
        </w:rPr>
      </w:pPr>
      <w:r>
        <w:t>Appendix V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_Toc200720771 \h </w:instrText>
      </w:r>
      <w:r>
        <w:fldChar w:fldCharType="separate"/>
      </w:r>
      <w:r>
        <w:t>243</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_Toc200720772 \h </w:instrText>
      </w:r>
      <w:r>
        <w:fldChar w:fldCharType="separate"/>
      </w:r>
      <w:r>
        <w:t>249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240"/>
        <w:rPr>
          <w:snapToGrid w:val="0"/>
        </w:rPr>
      </w:pPr>
      <w:r>
        <w:rPr>
          <w:snapToGrid w:val="0"/>
        </w:rPr>
        <w:lastRenderedPageBreak/>
        <w:t>Workers’ Compensation and Injury Management Act 1981</w:t>
      </w:r>
    </w:p>
    <w:p>
      <w:pPr>
        <w:pStyle w:val="NameofActReg"/>
      </w:pPr>
      <w:r>
        <w:t>Workers’ Compensation and Injury Management Regulations 1982</w:t>
      </w:r>
    </w:p>
    <w:p>
      <w:pPr>
        <w:pStyle w:val="Heading2"/>
        <w:pageBreakBefore w:val="0"/>
        <w:spacing w:before="360"/>
      </w:pPr>
      <w:bookmarkStart w:id="2" w:name="_Toc200720593"/>
      <w:r>
        <w:rPr>
          <w:rStyle w:val="CharPartNo"/>
        </w:rPr>
        <w:t>Part 1</w:t>
      </w:r>
      <w:r>
        <w:rPr>
          <w:rStyle w:val="CharDivNo"/>
        </w:rPr>
        <w:t> </w:t>
      </w:r>
      <w:r>
        <w:t>—</w:t>
      </w:r>
      <w:r>
        <w:rPr>
          <w:rStyle w:val="CharDivText"/>
        </w:rPr>
        <w:t> </w:t>
      </w:r>
      <w:r>
        <w:rPr>
          <w:rStyle w:val="CharPartText"/>
        </w:rPr>
        <w:t>Preliminary</w:t>
      </w:r>
      <w:bookmarkEnd w:id="2"/>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rPr>
          <w:snapToGrid w:val="0"/>
        </w:rPr>
      </w:pPr>
      <w:bookmarkStart w:id="3" w:name="_Toc200720594"/>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w:t>
      </w:r>
    </w:p>
    <w:p>
      <w:pPr>
        <w:pStyle w:val="Footnotesection"/>
      </w:pPr>
      <w:r>
        <w:tab/>
        <w:t xml:space="preserve">[Regulation 1 amended: Gazette 8 Mar 1991 p. 1071; 21 Jan 2005 p. 275.] </w:t>
      </w:r>
    </w:p>
    <w:p>
      <w:pPr>
        <w:pStyle w:val="Heading5"/>
        <w:rPr>
          <w:snapToGrid w:val="0"/>
        </w:rPr>
      </w:pPr>
      <w:bookmarkStart w:id="4" w:name="_Toc20072059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w:t>
      </w:r>
      <w:r>
        <w:rPr>
          <w:snapToGrid w:val="0"/>
        </w:rPr>
        <w:t>.</w:t>
      </w:r>
    </w:p>
    <w:p>
      <w:pPr>
        <w:pStyle w:val="Heading5"/>
      </w:pPr>
      <w:bookmarkStart w:id="5" w:name="_Toc200720596"/>
      <w:r>
        <w:rPr>
          <w:rStyle w:val="CharSectno"/>
        </w:rPr>
        <w:t>2AAA</w:t>
      </w:r>
      <w:r>
        <w:t>.</w:t>
      </w:r>
      <w:r>
        <w:tab/>
        <w:t>Terms used</w:t>
      </w:r>
      <w:bookmarkEnd w:id="5"/>
    </w:p>
    <w:p>
      <w:pPr>
        <w:pStyle w:val="Subsection"/>
      </w:pPr>
      <w:r>
        <w:tab/>
      </w:r>
      <w:r>
        <w:tab/>
        <w:t xml:space="preserve">In these regulations — </w:t>
      </w:r>
    </w:p>
    <w:p>
      <w:pPr>
        <w:pStyle w:val="Defstart"/>
      </w:pPr>
      <w:r>
        <w:tab/>
      </w:r>
      <w:r>
        <w:rPr>
          <w:rStyle w:val="CharDefText"/>
        </w:rPr>
        <w:t>CPI</w:t>
      </w:r>
      <w:r>
        <w:t xml:space="preserve"> means the all groups consumer price index for Perth published by the Australian Statistician;</w:t>
      </w:r>
    </w:p>
    <w:p>
      <w:pPr>
        <w:pStyle w:val="Defstart"/>
      </w:pPr>
      <w:r>
        <w:tab/>
      </w:r>
      <w:r>
        <w:rPr>
          <w:rStyle w:val="CharDefText"/>
        </w:rPr>
        <w:t>December WPI</w:t>
      </w:r>
      <w:r>
        <w:t>, for a financial year, means the WPI for the last December quarter before the financial year;</w:t>
      </w:r>
    </w:p>
    <w:p>
      <w:pPr>
        <w:pStyle w:val="Defstart"/>
      </w:pPr>
      <w:r>
        <w:tab/>
      </w:r>
      <w:r>
        <w:rPr>
          <w:rStyle w:val="CharDefText"/>
        </w:rPr>
        <w:t>March CPI</w:t>
      </w:r>
      <w:r>
        <w:t>, for a financial year, means the CPI for the last March quarter before the financial year;</w:t>
      </w:r>
    </w:p>
    <w:p>
      <w:pPr>
        <w:pStyle w:val="Defstart"/>
        <w:keepNext/>
      </w:pPr>
      <w:r>
        <w:lastRenderedPageBreak/>
        <w:tab/>
      </w:r>
      <w:r>
        <w:rPr>
          <w:rStyle w:val="CharDefText"/>
        </w:rPr>
        <w:t>WPI</w:t>
      </w:r>
      <w:r>
        <w:t xml:space="preserve"> means the wage price index for ordinary time hourly rates of pay excluding bonuses (all sectors) (original) for Western Australia published by the Australian Statistician.</w:t>
      </w:r>
    </w:p>
    <w:p>
      <w:pPr>
        <w:pStyle w:val="Footnotesection"/>
        <w:rPr>
          <w:snapToGrid w:val="0"/>
        </w:rPr>
      </w:pPr>
      <w:r>
        <w:tab/>
        <w:t>[Regulation 2AAA inserted: SL 2020/188 r. 4.]</w:t>
      </w:r>
    </w:p>
    <w:p>
      <w:pPr>
        <w:pStyle w:val="Heading5"/>
      </w:pPr>
      <w:bookmarkStart w:id="6" w:name="_Toc200720597"/>
      <w:r>
        <w:rPr>
          <w:rStyle w:val="CharSectno"/>
        </w:rPr>
        <w:t>2AA</w:t>
      </w:r>
      <w:r>
        <w:t>.</w:t>
      </w:r>
      <w:r>
        <w:tab/>
        <w:t>Notes not part of regulations</w:t>
      </w:r>
      <w:bookmarkEnd w:id="6"/>
    </w:p>
    <w:p>
      <w:pPr>
        <w:pStyle w:val="Subsection"/>
      </w:pPr>
      <w:r>
        <w:tab/>
      </w:r>
      <w:r>
        <w:tab/>
        <w:t>Notes in these regulations are provided to assist understanding and do not form part of the regulations.</w:t>
      </w:r>
    </w:p>
    <w:p>
      <w:pPr>
        <w:pStyle w:val="Footnotesection"/>
        <w:rPr>
          <w:snapToGrid w:val="0"/>
        </w:rPr>
      </w:pPr>
      <w:r>
        <w:tab/>
        <w:t>[Regulation 2AA inserted: Gazette 27 Jul 2012 p. 3665.]</w:t>
      </w:r>
    </w:p>
    <w:p>
      <w:pPr>
        <w:pStyle w:val="Heading2"/>
      </w:pPr>
      <w:bookmarkStart w:id="7" w:name="_Toc200720598"/>
      <w:r>
        <w:rPr>
          <w:rStyle w:val="CharPartNo"/>
        </w:rPr>
        <w:lastRenderedPageBreak/>
        <w:t>Part 2</w:t>
      </w:r>
      <w:r>
        <w:rPr>
          <w:rStyle w:val="CharDivNo"/>
        </w:rPr>
        <w:t> </w:t>
      </w:r>
      <w:r>
        <w:t>—</w:t>
      </w:r>
      <w:r>
        <w:rPr>
          <w:rStyle w:val="CharDivText"/>
        </w:rPr>
        <w:t> </w:t>
      </w:r>
      <w:r>
        <w:rPr>
          <w:rStyle w:val="CharPartText"/>
        </w:rPr>
        <w:t>General</w:t>
      </w:r>
      <w:bookmarkEnd w:id="7"/>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pPr>
      <w:bookmarkStart w:id="8" w:name="_Toc200720599"/>
      <w:r>
        <w:rPr>
          <w:rStyle w:val="CharSectno"/>
        </w:rPr>
        <w:t>2A</w:t>
      </w:r>
      <w:r>
        <w:t>.</w:t>
      </w:r>
      <w:r>
        <w:tab/>
        <w:t>Indexation of redemption amount</w:t>
      </w:r>
      <w:bookmarkEnd w:id="8"/>
    </w:p>
    <w:p>
      <w:pPr>
        <w:pStyle w:val="Subsection"/>
      </w:pPr>
      <w:r>
        <w:tab/>
        <w:t>(1)</w:t>
      </w:r>
      <w:r>
        <w:tab/>
        <w:t xml:space="preserve">If the minimum award rates that would be relevant to calculating the redemption amount (as defined in Schedule 5 clause 1 of the Act) 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The amount is varied by the percentage by which the December WPI varies from the previous December WPI.</w:t>
      </w:r>
    </w:p>
    <w:p>
      <w:pPr>
        <w:pStyle w:val="Footnotesection"/>
      </w:pPr>
      <w:r>
        <w:tab/>
        <w:t>[Regulation 2A inserted: Gazette 17 Nov 2000 p. 6309</w:t>
      </w:r>
      <w:r>
        <w:noBreakHyphen/>
        <w:t>10; amended: Gazette 28 Oct 2005 p. 4861; 19 Mar 2010 p. 1038; 29 Jun 2018 p. 2443; SL 2020/188 r. 5.]</w:t>
      </w:r>
    </w:p>
    <w:p>
      <w:pPr>
        <w:pStyle w:val="Heading5"/>
      </w:pPr>
      <w:bookmarkStart w:id="9" w:name="_Toc200720600"/>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9"/>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Gazette 28 Sep 2001 p. 5357.]</w:t>
      </w:r>
    </w:p>
    <w:p>
      <w:pPr>
        <w:pStyle w:val="Heading5"/>
      </w:pPr>
      <w:bookmarkStart w:id="10" w:name="_Toc200720601"/>
      <w:r>
        <w:rPr>
          <w:rStyle w:val="CharSectno"/>
        </w:rPr>
        <w:lastRenderedPageBreak/>
        <w:t>3A</w:t>
      </w:r>
      <w:r>
        <w:t>.</w:t>
      </w:r>
      <w:r>
        <w:tab/>
        <w:t xml:space="preserve">Instruments under Commonwealth laws prescribed for definition of </w:t>
      </w:r>
      <w:r>
        <w:rPr>
          <w:i/>
        </w:rPr>
        <w:t>industrial award</w:t>
      </w:r>
      <w:r>
        <w:t xml:space="preserve"> in Act</w:t>
      </w:r>
      <w:bookmarkEnd w:id="10"/>
    </w:p>
    <w:p>
      <w:pPr>
        <w:pStyle w:val="Subsection"/>
        <w:spacing w:before="120"/>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Gazette 15 Apr 2016 p. 1185.]</w:t>
      </w:r>
    </w:p>
    <w:p>
      <w:pPr>
        <w:pStyle w:val="Heading5"/>
      </w:pPr>
      <w:bookmarkStart w:id="11" w:name="_Toc200720602"/>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11"/>
    </w:p>
    <w:p>
      <w:pPr>
        <w:pStyle w:val="Subsection"/>
        <w:spacing w:before="120"/>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spacing w:before="120"/>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Gazette 19 Mar 2010 p. 1038</w:t>
      </w:r>
      <w:r>
        <w:noBreakHyphen/>
        <w:t>9.]</w:t>
      </w:r>
    </w:p>
    <w:p>
      <w:pPr>
        <w:pStyle w:val="Heading5"/>
        <w:rPr>
          <w:snapToGrid w:val="0"/>
        </w:rPr>
      </w:pPr>
      <w:bookmarkStart w:id="12" w:name="_Toc200720603"/>
      <w:r>
        <w:rPr>
          <w:rStyle w:val="CharSectno"/>
        </w:rPr>
        <w:t>4</w:t>
      </w:r>
      <w:r>
        <w:rPr>
          <w:snapToGrid w:val="0"/>
        </w:rPr>
        <w:t>.</w:t>
      </w:r>
      <w:r>
        <w:rPr>
          <w:snapToGrid w:val="0"/>
        </w:rPr>
        <w:tab/>
        <w:t>Form of election</w:t>
      </w:r>
      <w:bookmarkEnd w:id="12"/>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 xml:space="preserve">The form of election referred to in section 31H of the Act must be in the form of Form 1A in Appendix I or, in the case of a </w:t>
      </w:r>
      <w:r>
        <w:lastRenderedPageBreak/>
        <w:t>worker suffering from noise induced hearing loss, in the form of Form 2CA in Appendix I.</w:t>
      </w:r>
    </w:p>
    <w:p>
      <w:pPr>
        <w:pStyle w:val="Footnotesection"/>
      </w:pPr>
      <w:r>
        <w:tab/>
        <w:t xml:space="preserve">[Regulation 4 amended: Gazette 26 Feb 1991 p. 934; 25 Aug 1995 p. 3885; 28 Oct 2005 p. 4862.] </w:t>
      </w:r>
    </w:p>
    <w:p>
      <w:pPr>
        <w:pStyle w:val="Heading5"/>
        <w:rPr>
          <w:snapToGrid w:val="0"/>
        </w:rPr>
      </w:pPr>
      <w:bookmarkStart w:id="13" w:name="_Toc200720604"/>
      <w:r>
        <w:rPr>
          <w:rStyle w:val="CharSectno"/>
        </w:rPr>
        <w:t>5</w:t>
      </w:r>
      <w:r>
        <w:rPr>
          <w:snapToGrid w:val="0"/>
        </w:rPr>
        <w:t>.</w:t>
      </w:r>
      <w:r>
        <w:rPr>
          <w:snapToGrid w:val="0"/>
        </w:rPr>
        <w:tab/>
        <w:t>Determination form for medical panel</w:t>
      </w:r>
      <w:bookmarkEnd w:id="13"/>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Gazette 15 Oct 1999 p. 4900.]</w:t>
      </w:r>
    </w:p>
    <w:p>
      <w:pPr>
        <w:pStyle w:val="Heading5"/>
        <w:rPr>
          <w:snapToGrid w:val="0"/>
        </w:rPr>
      </w:pPr>
      <w:bookmarkStart w:id="14" w:name="_Toc200720605"/>
      <w:r>
        <w:rPr>
          <w:rStyle w:val="CharSectno"/>
        </w:rPr>
        <w:t>6AA</w:t>
      </w:r>
      <w:r>
        <w:rPr>
          <w:snapToGrid w:val="0"/>
        </w:rPr>
        <w:t>.</w:t>
      </w:r>
      <w:r>
        <w:rPr>
          <w:snapToGrid w:val="0"/>
        </w:rPr>
        <w:tab/>
        <w:t>Form of claim for compensation</w:t>
      </w:r>
      <w:bookmarkEnd w:id="14"/>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 (3)</w:t>
      </w:r>
      <w:r>
        <w:tab/>
        <w:t>deleted]</w:t>
      </w:r>
    </w:p>
    <w:p>
      <w:pPr>
        <w:pStyle w:val="Footnotesection"/>
        <w:ind w:left="890" w:hanging="890"/>
      </w:pPr>
      <w:r>
        <w:tab/>
        <w:t>[Regulation 6AA inserted: Gazette 28 Jun 1991 p. 3291; amended: Gazette 18 Feb 1994 p. 660; 25 Aug 1995 p. 3885; 13 Apr 1999 p. 1531</w:t>
      </w:r>
      <w:r>
        <w:noBreakHyphen/>
        <w:t xml:space="preserve">2; 15 Oct 1999 p. 4900; 28 Oct 2005 p. 4862; 10 Sep 2010 p. 4352; 29 Jun 2018 p. 2443.] </w:t>
      </w:r>
    </w:p>
    <w:p>
      <w:pPr>
        <w:pStyle w:val="Heading5"/>
      </w:pPr>
      <w:bookmarkStart w:id="15" w:name="_Toc200720606"/>
      <w:r>
        <w:rPr>
          <w:rStyle w:val="CharSectno"/>
        </w:rPr>
        <w:t>6AB</w:t>
      </w:r>
      <w:r>
        <w:t>.</w:t>
      </w:r>
      <w:r>
        <w:tab/>
        <w:t>Relevant document (Act s. 180(1)(j))</w:t>
      </w:r>
      <w:bookmarkEnd w:id="15"/>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Gazette 28 Oct 2005 p. 4863.]</w:t>
      </w:r>
    </w:p>
    <w:p>
      <w:pPr>
        <w:pStyle w:val="Heading5"/>
        <w:rPr>
          <w:snapToGrid w:val="0"/>
        </w:rPr>
      </w:pPr>
      <w:bookmarkStart w:id="16" w:name="_Toc200720607"/>
      <w:r>
        <w:rPr>
          <w:rStyle w:val="CharSectno"/>
        </w:rPr>
        <w:t>6A</w:t>
      </w:r>
      <w:r>
        <w:rPr>
          <w:snapToGrid w:val="0"/>
        </w:rPr>
        <w:t>.</w:t>
      </w:r>
      <w:r>
        <w:rPr>
          <w:snapToGrid w:val="0"/>
        </w:rPr>
        <w:tab/>
        <w:t>Form of first certificate of capacity</w:t>
      </w:r>
      <w:bookmarkEnd w:id="16"/>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lastRenderedPageBreak/>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Gazette 8 Mar 1991 p. 1071; amended: Gazette 13 Apr 1999 p. 1532; 28 Oct 2005 p. 4863; 18 Nov 2011 p. 4820; 25 Mar 2014 p. 821.]</w:t>
      </w:r>
    </w:p>
    <w:p>
      <w:pPr>
        <w:pStyle w:val="Heading5"/>
        <w:rPr>
          <w:snapToGrid w:val="0"/>
        </w:rPr>
      </w:pPr>
      <w:bookmarkStart w:id="17" w:name="_Toc200720608"/>
      <w:r>
        <w:rPr>
          <w:rStyle w:val="CharSectno"/>
        </w:rPr>
        <w:t>6B</w:t>
      </w:r>
      <w:r>
        <w:rPr>
          <w:snapToGrid w:val="0"/>
        </w:rPr>
        <w:t>.</w:t>
      </w:r>
      <w:r>
        <w:rPr>
          <w:snapToGrid w:val="0"/>
        </w:rPr>
        <w:tab/>
        <w:t>Form for insurer accepting liability</w:t>
      </w:r>
      <w:bookmarkEnd w:id="17"/>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Gazette 8 Mar 1991 p. 1071.] </w:t>
      </w:r>
    </w:p>
    <w:p>
      <w:pPr>
        <w:pStyle w:val="Heading5"/>
        <w:rPr>
          <w:snapToGrid w:val="0"/>
        </w:rPr>
      </w:pPr>
      <w:bookmarkStart w:id="18" w:name="_Toc200720609"/>
      <w:r>
        <w:rPr>
          <w:rStyle w:val="CharSectno"/>
        </w:rPr>
        <w:t>6C</w:t>
      </w:r>
      <w:r>
        <w:rPr>
          <w:snapToGrid w:val="0"/>
        </w:rPr>
        <w:t>.</w:t>
      </w:r>
      <w:r>
        <w:rPr>
          <w:snapToGrid w:val="0"/>
        </w:rPr>
        <w:tab/>
        <w:t>Form for insurer disputing liability</w:t>
      </w:r>
      <w:bookmarkEnd w:id="18"/>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Gazette 8 Mar 1991 p. 1071.] </w:t>
      </w:r>
    </w:p>
    <w:p>
      <w:pPr>
        <w:pStyle w:val="Heading5"/>
        <w:rPr>
          <w:snapToGrid w:val="0"/>
        </w:rPr>
      </w:pPr>
      <w:bookmarkStart w:id="19" w:name="_Toc200720610"/>
      <w:r>
        <w:rPr>
          <w:rStyle w:val="CharSectno"/>
        </w:rPr>
        <w:t>6D</w:t>
      </w:r>
      <w:r>
        <w:rPr>
          <w:snapToGrid w:val="0"/>
        </w:rPr>
        <w:t>.</w:t>
      </w:r>
      <w:r>
        <w:rPr>
          <w:snapToGrid w:val="0"/>
        </w:rPr>
        <w:tab/>
        <w:t>Form for insurer undecided on liability</w:t>
      </w:r>
      <w:bookmarkEnd w:id="19"/>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Gazette 8 Mar 1991 p. 1071.] </w:t>
      </w:r>
    </w:p>
    <w:p>
      <w:pPr>
        <w:pStyle w:val="Heading5"/>
        <w:rPr>
          <w:snapToGrid w:val="0"/>
        </w:rPr>
      </w:pPr>
      <w:bookmarkStart w:id="20" w:name="_Toc200720611"/>
      <w:r>
        <w:rPr>
          <w:rStyle w:val="CharSectno"/>
        </w:rPr>
        <w:t>6E</w:t>
      </w:r>
      <w:r>
        <w:rPr>
          <w:snapToGrid w:val="0"/>
        </w:rPr>
        <w:t>.</w:t>
      </w:r>
      <w:r>
        <w:rPr>
          <w:snapToGrid w:val="0"/>
        </w:rPr>
        <w:tab/>
        <w:t>Form for employer disputing liability</w:t>
      </w:r>
      <w:bookmarkEnd w:id="20"/>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Gazette 8 Mar 1991 p. 1071.] </w:t>
      </w:r>
    </w:p>
    <w:p>
      <w:pPr>
        <w:pStyle w:val="Heading5"/>
        <w:rPr>
          <w:snapToGrid w:val="0"/>
        </w:rPr>
      </w:pPr>
      <w:bookmarkStart w:id="21" w:name="_Toc200720612"/>
      <w:r>
        <w:rPr>
          <w:rStyle w:val="CharSectno"/>
        </w:rPr>
        <w:lastRenderedPageBreak/>
        <w:t>6F</w:t>
      </w:r>
      <w:r>
        <w:rPr>
          <w:snapToGrid w:val="0"/>
        </w:rPr>
        <w:t>.</w:t>
      </w:r>
      <w:r>
        <w:rPr>
          <w:snapToGrid w:val="0"/>
        </w:rPr>
        <w:tab/>
        <w:t>Form for employer undecided on liability</w:t>
      </w:r>
      <w:bookmarkEnd w:id="21"/>
      <w:r>
        <w:rPr>
          <w:snapToGrid w:val="0"/>
        </w:rPr>
        <w:t xml:space="preserve"> </w:t>
      </w:r>
    </w:p>
    <w:p>
      <w:pPr>
        <w:pStyle w:val="Subsection"/>
        <w:keepNext/>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Gazette 8 Mar 1991 p. 1071.] </w:t>
      </w:r>
    </w:p>
    <w:p>
      <w:pPr>
        <w:pStyle w:val="Heading5"/>
      </w:pPr>
      <w:bookmarkStart w:id="22" w:name="_Toc200720613"/>
      <w:r>
        <w:rPr>
          <w:rStyle w:val="CharSectno"/>
        </w:rPr>
        <w:t>6G</w:t>
      </w:r>
      <w:r>
        <w:t>.</w:t>
      </w:r>
      <w:r>
        <w:tab/>
        <w:t>Giving notices under Act s. 57A and s. 57B and r. 25</w:t>
      </w:r>
      <w:bookmarkEnd w:id="22"/>
    </w:p>
    <w:p>
      <w:pPr>
        <w:pStyle w:val="Subsection"/>
      </w:pPr>
      <w:r>
        <w:tab/>
        <w:t>(1)</w:t>
      </w:r>
      <w:r>
        <w:tab/>
        <w:t>A notice under section 57A or 57B of the Act or regulation 25 may be given to a worker or an employer by emailing the notice to an email address nominated by the worker or employer (whichever is relevant).</w:t>
      </w:r>
    </w:p>
    <w:p>
      <w:pPr>
        <w:pStyle w:val="Subsection"/>
      </w:pPr>
      <w:r>
        <w:tab/>
        <w:t>(2)</w:t>
      </w:r>
      <w:r>
        <w:tab/>
        <w:t>A worker or employer is taken to have nominated an email address as described in subregulation (1) if the email address is included in the worker’s claim for compensation.</w:t>
      </w:r>
    </w:p>
    <w:p>
      <w:pPr>
        <w:pStyle w:val="Footnotesection"/>
      </w:pPr>
      <w:r>
        <w:tab/>
        <w:t>[Regulation 6G inserted: SL 2020/188 r. 6.]</w:t>
      </w:r>
    </w:p>
    <w:p>
      <w:pPr>
        <w:pStyle w:val="Heading5"/>
        <w:rPr>
          <w:snapToGrid w:val="0"/>
        </w:rPr>
      </w:pPr>
      <w:bookmarkStart w:id="23" w:name="_Toc200720614"/>
      <w:r>
        <w:rPr>
          <w:rStyle w:val="CharSectno"/>
        </w:rPr>
        <w:t>7</w:t>
      </w:r>
      <w:r>
        <w:rPr>
          <w:snapToGrid w:val="0"/>
        </w:rPr>
        <w:t>.</w:t>
      </w:r>
      <w:r>
        <w:rPr>
          <w:snapToGrid w:val="0"/>
        </w:rPr>
        <w:tab/>
      </w:r>
      <w:r>
        <w:t>Discontinuance or reduction of weekly payments</w:t>
      </w:r>
      <w:bookmarkEnd w:id="23"/>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lastRenderedPageBreak/>
        <w:tab/>
        <w:t>(b)</w:t>
      </w:r>
      <w:r>
        <w:tab/>
        <w:t>calculating the time within which the worker may apply for an order of an arbitrator under section 61(3).</w:t>
      </w:r>
    </w:p>
    <w:p>
      <w:pPr>
        <w:pStyle w:val="Footnotesection"/>
        <w:rPr>
          <w:i w:val="0"/>
        </w:rPr>
      </w:pPr>
      <w:r>
        <w:tab/>
        <w:t>[Regulation 7 amended: Gazette 29 Oct 1993 p. 5930; 13 Apr 1999 p. 1532; 18 Nov 2011 p. 4820; 25 Mar 2014 p. 821.]</w:t>
      </w:r>
    </w:p>
    <w:p>
      <w:pPr>
        <w:pStyle w:val="Heading5"/>
      </w:pPr>
      <w:bookmarkStart w:id="24" w:name="_Toc200720615"/>
      <w:r>
        <w:rPr>
          <w:rStyle w:val="CharSectno"/>
        </w:rPr>
        <w:t>7A</w:t>
      </w:r>
      <w:r>
        <w:t>.</w:t>
      </w:r>
      <w:r>
        <w:tab/>
        <w:t>Form of progress certificate of capacity</w:t>
      </w:r>
      <w:bookmarkEnd w:id="24"/>
    </w:p>
    <w:p>
      <w:pPr>
        <w:pStyle w:val="Subsection"/>
      </w:pPr>
      <w:r>
        <w:tab/>
      </w:r>
      <w:r>
        <w:tab/>
        <w:t>Form 4A in Appendix 1 is prescribed as a certificate for the purposes of section 61(1) of the Act.</w:t>
      </w:r>
    </w:p>
    <w:p>
      <w:pPr>
        <w:pStyle w:val="Footnotesection"/>
        <w:rPr>
          <w:i w:val="0"/>
        </w:rPr>
      </w:pPr>
      <w:r>
        <w:tab/>
        <w:t>[Regulation 7A inserted: Gazette 25 Mar 2014 p. 821.]</w:t>
      </w:r>
    </w:p>
    <w:p>
      <w:pPr>
        <w:pStyle w:val="Heading5"/>
      </w:pPr>
      <w:bookmarkStart w:id="25" w:name="_Toc200720616"/>
      <w:r>
        <w:rPr>
          <w:rStyle w:val="CharSectno"/>
        </w:rPr>
        <w:t>8</w:t>
      </w:r>
      <w:r>
        <w:t>.</w:t>
      </w:r>
      <w:r>
        <w:tab/>
        <w:t>Frequency and time of medical examinations (Act s. 66)</w:t>
      </w:r>
      <w:bookmarkEnd w:id="25"/>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keepNext/>
      </w:pPr>
      <w:r>
        <w:lastRenderedPageBreak/>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Gazette 13 Apr 1999 p. 1532</w:t>
      </w:r>
      <w:r>
        <w:noBreakHyphen/>
        <w:t>3; amended: Gazette 28 Oct 2005 p. 4863</w:t>
      </w:r>
      <w:r>
        <w:noBreakHyphen/>
        <w:t>4; 25 Mar 2014 p. 821.]</w:t>
      </w:r>
    </w:p>
    <w:p>
      <w:pPr>
        <w:pStyle w:val="Ednotesection"/>
        <w:ind w:left="890" w:hanging="890"/>
      </w:pPr>
      <w:r>
        <w:t>[</w:t>
      </w:r>
      <w:r>
        <w:rPr>
          <w:b/>
        </w:rPr>
        <w:t>8A.</w:t>
      </w:r>
      <w:r>
        <w:tab/>
        <w:t>Deleted: Gazette 15 Oct 1999 p. 4890.]</w:t>
      </w:r>
    </w:p>
    <w:p>
      <w:pPr>
        <w:pStyle w:val="Heading5"/>
        <w:rPr>
          <w:snapToGrid w:val="0"/>
        </w:rPr>
      </w:pPr>
      <w:bookmarkStart w:id="26" w:name="_Toc200720617"/>
      <w:r>
        <w:rPr>
          <w:rStyle w:val="CharSectno"/>
        </w:rPr>
        <w:t>9</w:t>
      </w:r>
      <w:r>
        <w:rPr>
          <w:snapToGrid w:val="0"/>
        </w:rPr>
        <w:t>.</w:t>
      </w:r>
      <w:r>
        <w:rPr>
          <w:snapToGrid w:val="0"/>
        </w:rPr>
        <w:tab/>
        <w:t>Compound discount table</w:t>
      </w:r>
      <w:bookmarkEnd w:id="26"/>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Gazette 2 Sep 1988 p. 3464; 15 Oct 1999 p. 4890.] </w:t>
      </w:r>
    </w:p>
    <w:p>
      <w:pPr>
        <w:pStyle w:val="Heading5"/>
        <w:rPr>
          <w:snapToGrid w:val="0"/>
        </w:rPr>
      </w:pPr>
      <w:bookmarkStart w:id="27" w:name="_Toc200720618"/>
      <w:r>
        <w:rPr>
          <w:rStyle w:val="CharSectno"/>
        </w:rPr>
        <w:t>9A</w:t>
      </w:r>
      <w:r>
        <w:rPr>
          <w:snapToGrid w:val="0"/>
        </w:rPr>
        <w:t>.</w:t>
      </w:r>
      <w:r>
        <w:rPr>
          <w:snapToGrid w:val="0"/>
        </w:rPr>
        <w:tab/>
        <w:t>Discount formula</w:t>
      </w:r>
      <w:bookmarkEnd w:id="27"/>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1.5pt" o:ole="" fillcolor="window">
                  <v:imagedata r:id="rId21" o:title=""/>
                </v:shape>
                <o:OLEObject Type="Embed" ProgID="Equation.3" ShapeID="_x0000_i1025" DrawAspect="Content" ObjectID="_1811333453" r:id="rId22"/>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20">
                <v:shape id="_x0000_i1026" type="#_x0000_t75" style="width:16.5pt;height:31.5pt" o:ole="" fillcolor="window">
                  <v:imagedata r:id="rId23" o:title=""/>
                </v:shape>
                <o:OLEObject Type="Embed" ProgID="Equation.3" ShapeID="_x0000_i1026" DrawAspect="Content" ObjectID="_1811333454" r:id="rId24"/>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Gazette 25 Jul 1986 p. 2484; amended: Gazette 2 Sep 1988 p. 3464.] </w:t>
      </w:r>
    </w:p>
    <w:p>
      <w:pPr>
        <w:pStyle w:val="Heading5"/>
      </w:pPr>
      <w:bookmarkStart w:id="28" w:name="_Toc200720619"/>
      <w:r>
        <w:rPr>
          <w:rStyle w:val="CharSectno"/>
        </w:rPr>
        <w:t>10</w:t>
      </w:r>
      <w:r>
        <w:t>.</w:t>
      </w:r>
      <w:r>
        <w:tab/>
        <w:t>Worker not residing in State</w:t>
      </w:r>
      <w:bookmarkEnd w:id="28"/>
    </w:p>
    <w:p>
      <w:pPr>
        <w:pStyle w:val="Subsection"/>
      </w:pPr>
      <w:r>
        <w:tab/>
        <w:t>(1)</w:t>
      </w:r>
      <w:r>
        <w:tab/>
        <w:t xml:space="preserve">For the purposes of section 69, a worker must send to the employer or the employer’s insurer a declaration by the worker and a medical practitioner in the form of Appendix I Form 6 — </w:t>
      </w:r>
    </w:p>
    <w:p>
      <w:pPr>
        <w:pStyle w:val="Indenta"/>
      </w:pPr>
      <w:r>
        <w:tab/>
        <w:t>(a)</w:t>
      </w:r>
      <w:r>
        <w:tab/>
        <w:t>within 3 months after the date on which the worker is no longer residing in the State; and</w:t>
      </w:r>
    </w:p>
    <w:p>
      <w:pPr>
        <w:pStyle w:val="Indenta"/>
      </w:pPr>
      <w:r>
        <w:tab/>
        <w:t>(b)</w:t>
      </w:r>
      <w:r>
        <w:tab/>
        <w:t>for each subsequent period during which the worker continues to receive weekly payments while not residing in the State, within 3 months after the date of the previous declaration by the worker and a medical practitioner.</w:t>
      </w:r>
    </w:p>
    <w:p>
      <w:pPr>
        <w:pStyle w:val="Subsection"/>
      </w:pPr>
      <w:r>
        <w:tab/>
        <w:t>(2)</w:t>
      </w:r>
      <w:r>
        <w:tab/>
        <w:t>A declaration under subregulation (1) is taken to have been sent to an employer or an employer’s insurer at the time it was —</w:t>
      </w:r>
    </w:p>
    <w:p>
      <w:pPr>
        <w:pStyle w:val="Indenta"/>
      </w:pPr>
      <w:r>
        <w:tab/>
        <w:t>(a)</w:t>
      </w:r>
      <w:r>
        <w:tab/>
        <w:t>delivered personally to the last known business address of the employer or the employer’s insurer; or</w:t>
      </w:r>
    </w:p>
    <w:p>
      <w:pPr>
        <w:pStyle w:val="Indenta"/>
      </w:pPr>
      <w:r>
        <w:tab/>
        <w:t>(b)</w:t>
      </w:r>
      <w:r>
        <w:tab/>
        <w:t>posted to the last known business address of the employer or the employer’s insurer; or</w:t>
      </w:r>
    </w:p>
    <w:p>
      <w:pPr>
        <w:pStyle w:val="Indenta"/>
      </w:pPr>
      <w:r>
        <w:tab/>
        <w:t>(c)</w:t>
      </w:r>
      <w:r>
        <w:tab/>
        <w:t>sent by electronic means to the last known email address or fax number of the employer or the employer’s insurer.</w:t>
      </w:r>
    </w:p>
    <w:p>
      <w:pPr>
        <w:pStyle w:val="Subsection"/>
        <w:keepNext/>
      </w:pPr>
      <w:r>
        <w:lastRenderedPageBreak/>
        <w:tab/>
        <w:t>(3)</w:t>
      </w:r>
      <w:r>
        <w:tab/>
        <w:t xml:space="preserve">An employer or an employer’s insurer who disputes the identity or entitlement, or both, of a worker may apply — </w:t>
      </w:r>
    </w:p>
    <w:p>
      <w:pPr>
        <w:pStyle w:val="Indenta"/>
      </w:pPr>
      <w:r>
        <w:tab/>
        <w:t>(a)</w:t>
      </w:r>
      <w:r>
        <w:tab/>
        <w:t>under section 182E of the Act for resolution of the dispute by conciliation; and</w:t>
      </w:r>
    </w:p>
    <w:p>
      <w:pPr>
        <w:pStyle w:val="Indenta"/>
      </w:pPr>
      <w:r>
        <w:tab/>
        <w:t>(b)</w:t>
      </w:r>
      <w:r>
        <w:tab/>
        <w:t>under section 182ZT of the Act for determination of the dispute by arbitration, if the dispute is not resolved by conciliation.</w:t>
      </w:r>
    </w:p>
    <w:p>
      <w:pPr>
        <w:pStyle w:val="Footnotesection"/>
      </w:pPr>
      <w:r>
        <w:tab/>
        <w:t>[Regulation 10 inserted: Gazette 4 Oct 2016 p. 4242-3.]</w:t>
      </w:r>
    </w:p>
    <w:p>
      <w:pPr>
        <w:pStyle w:val="Ednotesection"/>
      </w:pPr>
      <w:r>
        <w:t>[</w:t>
      </w:r>
      <w:r>
        <w:rPr>
          <w:b/>
        </w:rPr>
        <w:t>10A.</w:t>
      </w:r>
      <w:r>
        <w:tab/>
        <w:t xml:space="preserve">Deleted: Gazette 18 Nov 2011 p. 4821.] </w:t>
      </w:r>
    </w:p>
    <w:p>
      <w:pPr>
        <w:pStyle w:val="Ednotesection"/>
      </w:pPr>
      <w:r>
        <w:t>[</w:t>
      </w:r>
      <w:r>
        <w:rPr>
          <w:b/>
        </w:rPr>
        <w:t>10B.</w:t>
      </w:r>
      <w:r>
        <w:tab/>
        <w:t>Deleted: Gazette 28 Oct 2005 p. 4864.]</w:t>
      </w:r>
    </w:p>
    <w:p>
      <w:pPr>
        <w:pStyle w:val="Heading5"/>
        <w:rPr>
          <w:snapToGrid w:val="0"/>
        </w:rPr>
      </w:pPr>
      <w:bookmarkStart w:id="29" w:name="_Toc200720620"/>
      <w:r>
        <w:rPr>
          <w:rStyle w:val="CharSectno"/>
        </w:rPr>
        <w:t>11</w:t>
      </w:r>
      <w:r>
        <w:rPr>
          <w:snapToGrid w:val="0"/>
        </w:rPr>
        <w:t>.</w:t>
      </w:r>
      <w:r>
        <w:rPr>
          <w:snapToGrid w:val="0"/>
        </w:rPr>
        <w:tab/>
        <w:t>Payments after death outside State</w:t>
      </w:r>
      <w:bookmarkEnd w:id="29"/>
      <w:r>
        <w:rPr>
          <w:snapToGrid w:val="0"/>
        </w:rPr>
        <w:t xml:space="preserve"> </w:t>
      </w:r>
    </w:p>
    <w:p>
      <w:pPr>
        <w:pStyle w:val="Subsection"/>
        <w:spacing w:before="120"/>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spacing w:before="120"/>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spacing w:before="120"/>
        <w:rPr>
          <w:snapToGrid w:val="0"/>
        </w:rPr>
      </w:pPr>
      <w:r>
        <w:rPr>
          <w:snapToGrid w:val="0"/>
        </w:rPr>
        <w:tab/>
        <w:t>(3)</w:t>
      </w:r>
      <w:r>
        <w:rPr>
          <w:snapToGrid w:val="0"/>
        </w:rPr>
        <w:tab/>
        <w:t xml:space="preserve">On receipt of the certificate of death and the documents mentioned in this regulation, the Director shall examine them, </w:t>
      </w:r>
      <w:r>
        <w:rPr>
          <w:snapToGrid w:val="0"/>
        </w:rPr>
        <w:lastRenderedPageBreak/>
        <w:t>and may, if not satisfied that they are in order, return them to the representatives for correction.</w:t>
      </w:r>
    </w:p>
    <w:p>
      <w:pPr>
        <w:pStyle w:val="Subsection"/>
        <w:spacing w:before="120"/>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Gazette 18 Feb 1994 p. 661.] </w:t>
      </w:r>
    </w:p>
    <w:p>
      <w:pPr>
        <w:pStyle w:val="Heading5"/>
      </w:pPr>
      <w:bookmarkStart w:id="30" w:name="_Toc200720621"/>
      <w:r>
        <w:rPr>
          <w:rStyle w:val="CharSectno"/>
        </w:rPr>
        <w:t>11A</w:t>
      </w:r>
      <w:r>
        <w:t>.</w:t>
      </w:r>
      <w:r>
        <w:tab/>
        <w:t>Amount to discharge liability for child’s allowance (Act s. 72J(5))</w:t>
      </w:r>
      <w:bookmarkEnd w:id="30"/>
    </w:p>
    <w:p>
      <w:pPr>
        <w:pStyle w:val="Subsection"/>
      </w:pPr>
      <w:r>
        <w:tab/>
        <w:t>(1)</w:t>
      </w:r>
      <w:r>
        <w:tab/>
        <w:t xml:space="preserve">In this regulation — </w:t>
      </w:r>
    </w:p>
    <w:p>
      <w:pPr>
        <w:pStyle w:val="Defstart"/>
      </w:pPr>
      <w:r>
        <w:tab/>
      </w:r>
      <w:r>
        <w:rPr>
          <w:rStyle w:val="CharDefText"/>
        </w:rPr>
        <w:t>relevant year</w:t>
      </w:r>
      <w:r>
        <w:t>, in relation to the payment of an amount to WorkCover WA under section 72J(5) of the Act, means the financial year in which the amount is to be paid.</w:t>
      </w:r>
    </w:p>
    <w:p>
      <w:pPr>
        <w:pStyle w:val="Subsection"/>
      </w:pPr>
      <w:r>
        <w:tab/>
        <w:t>(2)</w:t>
      </w:r>
      <w:r>
        <w:tab/>
        <w:t xml:space="preserve">For the purposes of section 72J(5) of the Act, the amount to be paid to WorkCover WA is to be calculated as follows — </w:t>
      </w:r>
    </w:p>
    <w:p>
      <w:pPr>
        <w:pStyle w:val="Equation"/>
        <w:spacing w:before="120"/>
        <w:ind w:left="896" w:hanging="45"/>
      </w:pPr>
      <m:oMathPara>
        <m:oMathParaPr>
          <m:jc m:val="left"/>
        </m:oMathParaPr>
        <m:oMath>
          <m:r>
            <m:rPr>
              <m:sty m:val="p"/>
            </m:rPr>
            <w:rPr>
              <w:rFonts w:ascii="Cambria Math" w:hAnsi="Cambria Math"/>
            </w:rPr>
            <m:t>C×</m:t>
          </m:r>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W</m:t>
                  </m:r>
                </m:num>
                <m:den>
                  <m:r>
                    <m:rPr>
                      <m:sty m:val="p"/>
                    </m:rPr>
                    <w:rPr>
                      <w:rFonts w:ascii="Cambria Math" w:hAnsi="Cambria Math"/>
                    </w:rPr>
                    <m:t>2</m:t>
                  </m:r>
                </m:den>
              </m:f>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0.999962</m:t>
                  </m:r>
                </m:e>
                <m:sup>
                  <m:r>
                    <m:rPr>
                      <m:sty m:val="p"/>
                    </m:rPr>
                    <w:rPr>
                      <w:rFonts w:ascii="Cambria Math" w:hAnsi="Cambria Math"/>
                    </w:rPr>
                    <m:t>-N</m:t>
                  </m:r>
                </m:sup>
              </m:sSup>
            </m:num>
            <m:den>
              <m:r>
                <m:rPr>
                  <m:sty m:val="p"/>
                </m:rPr>
                <w:rPr>
                  <w:rFonts w:ascii="Cambria Math" w:hAnsi="Cambria Math"/>
                </w:rPr>
                <m:t>-0.000038</m:t>
              </m:r>
            </m:den>
          </m:f>
          <m:r>
            <m:rPr>
              <m:sty m:val="p"/>
            </m:rPr>
            <w:rPr>
              <w:rFonts w:ascii="Cambria Math" w:hAnsi="Cambria Math"/>
            </w:rPr>
            <m:t xml:space="preserve"> </m:t>
          </m:r>
        </m:oMath>
      </m:oMathPara>
    </w:p>
    <w:p>
      <w:pPr>
        <w:pStyle w:val="Subsection"/>
      </w:pPr>
      <w:r>
        <w:tab/>
      </w:r>
      <w:r>
        <w:tab/>
        <w:t xml:space="preserve">where — </w:t>
      </w:r>
    </w:p>
    <w:p>
      <w:pPr>
        <w:pStyle w:val="Subsection"/>
        <w:tabs>
          <w:tab w:val="left" w:pos="1418"/>
        </w:tabs>
        <w:ind w:left="1418" w:hanging="1418"/>
      </w:pPr>
      <w:r>
        <w:tab/>
      </w:r>
      <w:r>
        <w:tab/>
        <w:t>C</w:t>
      </w:r>
      <w:r>
        <w:tab/>
        <w:t>is the child’s allowance (as defined in Schedule 1A clause 5 of the Act);</w:t>
      </w:r>
    </w:p>
    <w:p>
      <w:pPr>
        <w:pStyle w:val="Subsection"/>
        <w:tabs>
          <w:tab w:val="left" w:pos="1418"/>
        </w:tabs>
        <w:ind w:left="1418" w:hanging="1418"/>
      </w:pPr>
      <w:r>
        <w:tab/>
      </w:r>
      <w:r>
        <w:tab/>
        <w:t>W</w:t>
      </w:r>
      <w:r>
        <w:tab/>
        <w:t>is the percentage by which WPI varied between the second-last December quarter before the relevant year commenced and the last December quarter before the relevant year commenced;</w:t>
      </w:r>
    </w:p>
    <w:p>
      <w:pPr>
        <w:pStyle w:val="Subsection"/>
        <w:keepNext/>
        <w:tabs>
          <w:tab w:val="left" w:pos="1418"/>
        </w:tabs>
        <w:ind w:left="1418" w:hanging="1418"/>
      </w:pPr>
      <w:r>
        <w:lastRenderedPageBreak/>
        <w:tab/>
      </w:r>
      <w:r>
        <w:tab/>
        <w:t>N</w:t>
      </w:r>
      <w:r>
        <w:tab/>
        <w:t>is the number of weeks until the child attains the age of 21 years.</w:t>
      </w:r>
    </w:p>
    <w:p>
      <w:pPr>
        <w:pStyle w:val="Footnotesection"/>
      </w:pPr>
      <w:r>
        <w:rPr>
          <w:snapToGrid w:val="0"/>
        </w:rPr>
        <w:tab/>
        <w:t>[</w:t>
      </w:r>
      <w:r>
        <w:t>Regulation 11A i</w:t>
      </w:r>
      <w:r>
        <w:rPr>
          <w:snapToGrid w:val="0"/>
        </w:rPr>
        <w:t xml:space="preserve">nserted: </w:t>
      </w:r>
      <w:r>
        <w:t>Gazette 29 Jun 2018 p. 2443</w:t>
      </w:r>
      <w:r>
        <w:noBreakHyphen/>
        <w:t>4; amended: SL 2020/188 r. 7</w:t>
      </w:r>
      <w:r>
        <w:rPr>
          <w:snapToGrid w:val="0"/>
        </w:rPr>
        <w:t>.]</w:t>
      </w:r>
    </w:p>
    <w:p>
      <w:pPr>
        <w:pStyle w:val="Heading5"/>
        <w:rPr>
          <w:snapToGrid w:val="0"/>
        </w:rPr>
      </w:pPr>
      <w:bookmarkStart w:id="31" w:name="_Toc200720622"/>
      <w:r>
        <w:rPr>
          <w:rStyle w:val="CharSectno"/>
        </w:rPr>
        <w:t>12</w:t>
      </w:r>
      <w:r>
        <w:rPr>
          <w:snapToGrid w:val="0"/>
        </w:rPr>
        <w:t>.</w:t>
      </w:r>
      <w:r>
        <w:rPr>
          <w:snapToGrid w:val="0"/>
        </w:rPr>
        <w:tab/>
        <w:t>Agreements</w:t>
      </w:r>
      <w:bookmarkEnd w:id="31"/>
      <w:r>
        <w:rPr>
          <w:snapToGrid w:val="0"/>
        </w:rPr>
        <w:t xml:space="preserve"> </w:t>
      </w:r>
    </w:p>
    <w:p>
      <w:pPr>
        <w:pStyle w:val="Subsection"/>
      </w:pPr>
      <w:r>
        <w:tab/>
        <w:t>(1AA)</w:t>
      </w:r>
      <w:r>
        <w:tab/>
        <w:t xml:space="preserve">In this regulation — </w:t>
      </w:r>
    </w:p>
    <w:p>
      <w:pPr>
        <w:pStyle w:val="Defstart"/>
      </w:pPr>
      <w:r>
        <w:tab/>
      </w:r>
      <w:r>
        <w:rPr>
          <w:rStyle w:val="CharDefText"/>
        </w:rPr>
        <w:t>lodge</w:t>
      </w:r>
      <w:r>
        <w:t xml:space="preserve"> means to lodge in accordance with regulation 57.</w:t>
      </w:r>
    </w:p>
    <w:p>
      <w:pPr>
        <w:pStyle w:val="Subsection"/>
      </w:pPr>
      <w:r>
        <w:tab/>
        <w:t>(1)</w:t>
      </w:r>
      <w:r>
        <w:tab/>
        <w:t>A memorandum of an agreement referred to in section 76 of the Act is sent to the Director in accordance with that section by lodging it as soon as practicable after the agreement has been entered into.</w:t>
      </w:r>
    </w:p>
    <w:p>
      <w:pPr>
        <w:pStyle w:val="Subsection"/>
        <w:keepNext/>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keepNext/>
      </w:pPr>
      <w:r>
        <w:lastRenderedPageBreak/>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pPr>
      <w:r>
        <w:tab/>
        <w:t>(3)</w:t>
      </w:r>
      <w:r>
        <w:tab/>
        <w:t xml:space="preserve">The memorandum is to be signed by or on behalf of each party to the agreement. </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lodge a notice in the form of Form 15E in Appendix I.</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lodge written consent to make that variation or amendment.</w:t>
      </w:r>
    </w:p>
    <w:p>
      <w:pPr>
        <w:pStyle w:val="Subsection"/>
      </w:pPr>
      <w:r>
        <w:lastRenderedPageBreak/>
        <w:tab/>
        <w:t>(7)</w:t>
      </w:r>
      <w:r>
        <w:tab/>
        <w:t>For the purpose of providing a statement of benefits paid, under section 67(2) of the Act, Part 4 of the Memorandum of Agreement form (Form 15C), may be used for this purpose.</w:t>
      </w:r>
    </w:p>
    <w:p>
      <w:pPr>
        <w:pStyle w:val="Footnotesection"/>
      </w:pPr>
      <w:r>
        <w:tab/>
        <w:t>[Regulation 12 inserted: Gazette 18 Feb 1994 p. 661; amended: Gazette 15 Oct 1999 p. 4906</w:t>
      </w:r>
      <w:r>
        <w:noBreakHyphen/>
        <w:t>7; 28 Oct 2005 p. 4864</w:t>
      </w:r>
      <w:r>
        <w:noBreakHyphen/>
        <w:t xml:space="preserve">5; 18 Nov 2011 p. 4821; SL 2020/149 r. 4.] </w:t>
      </w:r>
    </w:p>
    <w:p>
      <w:pPr>
        <w:pStyle w:val="Heading5"/>
      </w:pPr>
      <w:bookmarkStart w:id="32" w:name="_Toc200720623"/>
      <w:r>
        <w:rPr>
          <w:rStyle w:val="CharSectno"/>
        </w:rPr>
        <w:t>12AA</w:t>
      </w:r>
      <w:r>
        <w:t>.</w:t>
      </w:r>
      <w:r>
        <w:tab/>
        <w:t>Notice of intention to dismiss worker (Act s. 84AB)</w:t>
      </w:r>
      <w:bookmarkEnd w:id="32"/>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Gazette 28 Oct 2005 p. 4865.]</w:t>
      </w:r>
    </w:p>
    <w:p>
      <w:pPr>
        <w:pStyle w:val="Ednotesection"/>
      </w:pPr>
      <w:r>
        <w:t>[</w:t>
      </w:r>
      <w:r>
        <w:rPr>
          <w:b/>
        </w:rPr>
        <w:t>12AB.</w:t>
      </w:r>
      <w:r>
        <w:tab/>
        <w:t>Deleted: Gazette 28 Oct 2005 p. 4865.]</w:t>
      </w:r>
    </w:p>
    <w:p>
      <w:pPr>
        <w:pStyle w:val="Heading5"/>
        <w:rPr>
          <w:snapToGrid w:val="0"/>
        </w:rPr>
      </w:pPr>
      <w:bookmarkStart w:id="33" w:name="_Toc200720624"/>
      <w:r>
        <w:rPr>
          <w:rStyle w:val="CharSectno"/>
        </w:rPr>
        <w:t>12A</w:t>
      </w:r>
      <w:r>
        <w:rPr>
          <w:snapToGrid w:val="0"/>
        </w:rPr>
        <w:t>.</w:t>
      </w:r>
      <w:r>
        <w:rPr>
          <w:snapToGrid w:val="0"/>
        </w:rPr>
        <w:tab/>
        <w:t>Contributions to General Account</w:t>
      </w:r>
      <w:bookmarkEnd w:id="33"/>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keepNext/>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Gazette 22 May 1987 p. 2193; amended: Gazette 2 Sep 1988 p. 3464; 22 Sep 1989 p. 3490</w:t>
      </w:r>
      <w:r>
        <w:noBreakHyphen/>
        <w:t xml:space="preserve">1; 6 Dec 1991 p. 6119; 16 Sep 2003 p. 4103; 28 Oct 2005 p. 4866.] </w:t>
      </w:r>
    </w:p>
    <w:p>
      <w:pPr>
        <w:pStyle w:val="Heading5"/>
      </w:pPr>
      <w:bookmarkStart w:id="34" w:name="_Toc200720625"/>
      <w:r>
        <w:rPr>
          <w:rStyle w:val="CharSectno"/>
        </w:rPr>
        <w:t>13</w:t>
      </w:r>
      <w:r>
        <w:t>.</w:t>
      </w:r>
      <w:r>
        <w:tab/>
        <w:t>Ascertaining amount for reimbursement (Act s. 154AC(1))</w:t>
      </w:r>
      <w:bookmarkEnd w:id="34"/>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keepNext/>
      </w:pPr>
      <w:r>
        <w:lastRenderedPageBreak/>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Gazette 26 Oct 2004 p. 4898</w:t>
      </w:r>
      <w:r>
        <w:noBreakHyphen/>
        <w:t>9; amended: Gazette 21 Jan 2005 p. 276.]</w:t>
      </w:r>
    </w:p>
    <w:p>
      <w:pPr>
        <w:pStyle w:val="Heading5"/>
      </w:pPr>
      <w:bookmarkStart w:id="35" w:name="_Toc200720626"/>
      <w:r>
        <w:rPr>
          <w:rStyle w:val="CharSectno"/>
        </w:rPr>
        <w:t>13A</w:t>
      </w:r>
      <w:r>
        <w:t>.</w:t>
      </w:r>
      <w:r>
        <w:tab/>
        <w:t>Prescribed rate of interest (Act s. 222(2), 223(2) and 224(2))</w:t>
      </w:r>
      <w:bookmarkEnd w:id="35"/>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lastRenderedPageBreak/>
        <w:tab/>
        <w:t>(3)</w:t>
      </w:r>
      <w:r>
        <w:tab/>
        <w:t>Interest payable under section 224(1) of the Act in respect of a sum agreed to be paid must be calculated at a rate of 6% per annum.</w:t>
      </w:r>
    </w:p>
    <w:p>
      <w:pPr>
        <w:pStyle w:val="Footnotesection"/>
      </w:pPr>
      <w:r>
        <w:tab/>
        <w:t>[Regulation 13A inserted: Gazette 28 Oct 2005 p. 4866.]</w:t>
      </w:r>
    </w:p>
    <w:p>
      <w:pPr>
        <w:pStyle w:val="Heading5"/>
        <w:keepNext w:val="0"/>
        <w:keepLines w:val="0"/>
      </w:pPr>
      <w:bookmarkStart w:id="36" w:name="_Toc200720627"/>
      <w:r>
        <w:rPr>
          <w:rStyle w:val="CharSectno"/>
        </w:rPr>
        <w:t>14</w:t>
      </w:r>
      <w:r>
        <w:t>.</w:t>
      </w:r>
      <w:r>
        <w:tab/>
        <w:t>Insurance requirement (Act s. 160(1))</w:t>
      </w:r>
      <w:bookmarkEnd w:id="36"/>
    </w:p>
    <w:p>
      <w:pPr>
        <w:pStyle w:val="Subsection"/>
        <w:keepNext/>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keepNext/>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lastRenderedPageBreak/>
        <w:tab/>
        <w:t>(2)</w:t>
      </w:r>
      <w:r>
        <w:tab/>
        <w:t xml:space="preserve">Section 160(1) of the Act does not require an employer to obtain or keep current a policy of insurance for liability to pay damages arising out of — </w:t>
      </w:r>
    </w:p>
    <w:p>
      <w:pPr>
        <w:pStyle w:val="Indenta"/>
      </w:pPr>
      <w:r>
        <w:tab/>
        <w:t>(a)</w:t>
      </w:r>
      <w:r>
        <w:tab/>
        <w:t>a claim brought in respect of an injury occurring outside Australia; or</w:t>
      </w:r>
    </w:p>
    <w:p>
      <w:pPr>
        <w:pStyle w:val="Indenta"/>
      </w:pPr>
      <w:r>
        <w:tab/>
        <w:t>(b)</w:t>
      </w:r>
      <w:r>
        <w:tab/>
        <w:t>a claim brought outside Australia.</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Gazette 27 Jul 2012 p. 3665</w:t>
      </w:r>
      <w:r>
        <w:noBreakHyphen/>
        <w:t>6.]</w:t>
      </w:r>
    </w:p>
    <w:p>
      <w:pPr>
        <w:pStyle w:val="Heading5"/>
      </w:pPr>
      <w:bookmarkStart w:id="37" w:name="_Toc200720628"/>
      <w:r>
        <w:rPr>
          <w:rStyle w:val="CharSectno"/>
        </w:rPr>
        <w:t>15</w:t>
      </w:r>
      <w:r>
        <w:t>.</w:t>
      </w:r>
      <w:r>
        <w:tab/>
        <w:t>Statements by approved insurance offices</w:t>
      </w:r>
      <w:bookmarkEnd w:id="37"/>
    </w:p>
    <w:p>
      <w:pPr>
        <w:pStyle w:val="Subsection"/>
        <w:keepNext/>
      </w:pPr>
      <w:r>
        <w:tab/>
      </w:r>
      <w:r>
        <w:tab/>
        <w:t>The statements required to be transmitted to WorkCover WA under section 171 of the Act shall be in the form of Forms 16 and 17 in Appendix 1.</w:t>
      </w:r>
    </w:p>
    <w:p>
      <w:pPr>
        <w:pStyle w:val="Footnotesection"/>
        <w:keepNext/>
      </w:pPr>
      <w:r>
        <w:tab/>
        <w:t xml:space="preserve">[Regulation 15 inserted: Gazette 8 Mar 2002 p. 949; amended: Gazette 16 Sep 2003 p. 4104; 21 Jan 2005 p. 276.] </w:t>
      </w:r>
    </w:p>
    <w:p>
      <w:pPr>
        <w:pStyle w:val="Ednotesection"/>
      </w:pPr>
      <w:r>
        <w:t>[</w:t>
      </w:r>
      <w:r>
        <w:rPr>
          <w:b/>
        </w:rPr>
        <w:t>16.</w:t>
      </w:r>
      <w:r>
        <w:tab/>
        <w:t>Deleted: Gazette 28 Oct 2005 p. 4866.]</w:t>
      </w:r>
    </w:p>
    <w:p>
      <w:pPr>
        <w:pStyle w:val="Heading5"/>
      </w:pPr>
      <w:bookmarkStart w:id="38" w:name="_Toc200720629"/>
      <w:r>
        <w:rPr>
          <w:rStyle w:val="CharSectno"/>
        </w:rPr>
        <w:t>16A</w:t>
      </w:r>
      <w:r>
        <w:t>.</w:t>
      </w:r>
      <w:r>
        <w:tab/>
        <w:t>Clause 1C notifications and elections (Act Sch. 1 cl. 1C, Sch. 8 cl. 10)</w:t>
      </w:r>
      <w:bookmarkEnd w:id="38"/>
    </w:p>
    <w:p>
      <w:pPr>
        <w:pStyle w:val="Subsection"/>
      </w:pPr>
      <w:r>
        <w:tab/>
        <w:t>(1A)</w:t>
      </w:r>
      <w:r>
        <w:tab/>
        <w:t>This regulation applies only if the injury of a worker occurred and the worker died before 1 July 2018.</w:t>
      </w:r>
    </w:p>
    <w:p>
      <w:pPr>
        <w:pStyle w:val="Subsection"/>
      </w:pPr>
      <w:r>
        <w:tab/>
        <w:t>(1)</w:t>
      </w:r>
      <w:r>
        <w:tab/>
        <w:t>The form of notification for the purposes of the Act Schedule 1 clause 1C(1) must be in the form of Form 29 in Appendix I.</w:t>
      </w:r>
    </w:p>
    <w:p>
      <w:pPr>
        <w:pStyle w:val="Subsection"/>
      </w:pPr>
      <w:r>
        <w:lastRenderedPageBreak/>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keepLines/>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lastRenderedPageBreak/>
        <w:tab/>
        <w:t>(e)</w:t>
      </w:r>
      <w:r>
        <w:tab/>
        <w:t>be given to the Director.</w:t>
      </w:r>
    </w:p>
    <w:p>
      <w:pPr>
        <w:pStyle w:val="Footnotesection"/>
        <w:ind w:left="890" w:hanging="890"/>
      </w:pPr>
      <w:r>
        <w:tab/>
        <w:t>[Regulation 16A inserted: Gazette 28 Oct 2005 p. 4867</w:t>
      </w:r>
      <w:r>
        <w:noBreakHyphen/>
        <w:t>8; amended: Gazette 29 Jun 2018 p. 2444.]</w:t>
      </w:r>
    </w:p>
    <w:p>
      <w:pPr>
        <w:pStyle w:val="Heading5"/>
      </w:pPr>
      <w:bookmarkStart w:id="39" w:name="_Toc200720630"/>
      <w:r>
        <w:rPr>
          <w:rStyle w:val="CharSectno"/>
        </w:rPr>
        <w:t>17</w:t>
      </w:r>
      <w:r>
        <w:t>.</w:t>
      </w:r>
      <w:r>
        <w:tab/>
        <w:t>Prescribed allowance (Act Sch. 1 cl. 11(2))</w:t>
      </w:r>
      <w:bookmarkEnd w:id="39"/>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pPr>
      <w:r>
        <w:tab/>
        <w:t>[Regulation 17 inserted: Gazette 21 Jan 2005 p. 275; amended: Gazette 28 Oct 2005 p. 4868.]</w:t>
      </w:r>
    </w:p>
    <w:p>
      <w:pPr>
        <w:pStyle w:val="Ednotesection"/>
        <w:keepNext/>
      </w:pPr>
      <w:r>
        <w:t>[</w:t>
      </w:r>
      <w:r>
        <w:rPr>
          <w:b/>
        </w:rPr>
        <w:t>17AAA.</w:t>
      </w:r>
      <w:r>
        <w:tab/>
        <w:t xml:space="preserve"> Deleted: SL 2020/188 r. 8.]</w:t>
      </w:r>
    </w:p>
    <w:p>
      <w:pPr>
        <w:pStyle w:val="Heading5"/>
      </w:pPr>
      <w:bookmarkStart w:id="40" w:name="_Toc200720631"/>
      <w:r>
        <w:rPr>
          <w:rStyle w:val="CharSectno"/>
        </w:rPr>
        <w:t>17AA</w:t>
      </w:r>
      <w:r>
        <w:t>.</w:t>
      </w:r>
      <w:r>
        <w:tab/>
        <w:t>Prescribed rate for vehicle running expenses (Act Sch. 1 cl. 19(1))</w:t>
      </w:r>
      <w:bookmarkEnd w:id="40"/>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Ednotesubsection"/>
      </w:pPr>
      <w:r>
        <w:lastRenderedPageBreak/>
        <w:tab/>
        <w:t>[(2)</w:t>
      </w:r>
      <w:r>
        <w:tab/>
        <w:t>deleted]</w:t>
      </w:r>
    </w:p>
    <w:p>
      <w:pPr>
        <w:pStyle w:val="Footnotesection"/>
      </w:pPr>
      <w:r>
        <w:tab/>
        <w:t>[Regulation 17AA inserted: Gazette 29 Oct 2004 p. 4939</w:t>
      </w:r>
      <w:r>
        <w:noBreakHyphen/>
        <w:t>40; amended: Gazette 28 Oct 2005 p. 4868; SL 2020/188 r. 9.]</w:t>
      </w:r>
    </w:p>
    <w:p>
      <w:pPr>
        <w:pStyle w:val="Heading5"/>
      </w:pPr>
      <w:bookmarkStart w:id="41" w:name="_Toc200720632"/>
      <w:r>
        <w:rPr>
          <w:rStyle w:val="CharSectno"/>
        </w:rPr>
        <w:t>17AB</w:t>
      </w:r>
      <w:r>
        <w:t>.</w:t>
      </w:r>
      <w:r>
        <w:tab/>
        <w:t>Exceptional circumstances (Act Sch. 1 cl. 18A(2aa)(c)(ii))</w:t>
      </w:r>
      <w:bookmarkEnd w:id="41"/>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keepNext/>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lastRenderedPageBreak/>
        <w:tab/>
        <w:t>(b)</w:t>
      </w:r>
      <w:r>
        <w:tab/>
        <w:t>is a specialist in a relevant field of medicine.</w:t>
      </w:r>
    </w:p>
    <w:p>
      <w:pPr>
        <w:pStyle w:val="Footnotesection"/>
      </w:pPr>
      <w:r>
        <w:tab/>
        <w:t>[Regulation 17AB inserted: Gazette 28 Oct 2005 p. 4868</w:t>
      </w:r>
      <w:r>
        <w:noBreakHyphen/>
        <w:t>9; amended: Gazette 18 Nov 2011 p. 4821; SL 2020/149 r. 5.]</w:t>
      </w:r>
    </w:p>
    <w:p>
      <w:pPr>
        <w:pStyle w:val="Heading5"/>
        <w:spacing w:before="180"/>
      </w:pPr>
      <w:bookmarkStart w:id="42" w:name="_Toc200720633"/>
      <w:r>
        <w:rPr>
          <w:rStyle w:val="CharSectno"/>
        </w:rPr>
        <w:t>17AC</w:t>
      </w:r>
      <w:r>
        <w:t>.</w:t>
      </w:r>
      <w:r>
        <w:tab/>
        <w:t>Management plan (Act Sch. 1 cl. 18A(2ac))</w:t>
      </w:r>
      <w:bookmarkEnd w:id="42"/>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Gazette 28 Oct 2005 p. 4870.]</w:t>
      </w:r>
    </w:p>
    <w:p>
      <w:pPr>
        <w:pStyle w:val="Heading5"/>
        <w:spacing w:before="180"/>
      </w:pPr>
      <w:bookmarkStart w:id="43" w:name="_Toc200720634"/>
      <w:r>
        <w:rPr>
          <w:rStyle w:val="CharSectno"/>
        </w:rPr>
        <w:t>17AD</w:t>
      </w:r>
      <w:r>
        <w:t>.</w:t>
      </w:r>
      <w:r>
        <w:tab/>
        <w:t>Extending final day</w:t>
      </w:r>
      <w:bookmarkEnd w:id="43"/>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lastRenderedPageBreak/>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Gazette 28 Oct 2005 p. 4870</w:t>
      </w:r>
      <w:r>
        <w:noBreakHyphen/>
        <w:t>1.]</w:t>
      </w:r>
    </w:p>
    <w:p>
      <w:pPr>
        <w:pStyle w:val="Heading5"/>
      </w:pPr>
      <w:bookmarkStart w:id="44" w:name="_Toc200720635"/>
      <w:r>
        <w:rPr>
          <w:rStyle w:val="CharSectno"/>
        </w:rPr>
        <w:t>17AE</w:t>
      </w:r>
      <w:r>
        <w:t>.</w:t>
      </w:r>
      <w:r>
        <w:tab/>
        <w:t>Amount prescribed for funeral expenses (Act Sch. 1 cl. 17(2), Sch. 8 cl. 10(1))</w:t>
      </w:r>
      <w:bookmarkEnd w:id="44"/>
    </w:p>
    <w:p>
      <w:pPr>
        <w:pStyle w:val="Subsection"/>
      </w:pPr>
      <w:r>
        <w:tab/>
        <w:t>(1A)</w:t>
      </w:r>
      <w:r>
        <w:tab/>
        <w:t>This regulation applies only if the injury of a worker occurred and the worker died before 1 July 2018.</w:t>
      </w:r>
    </w:p>
    <w:p>
      <w:pPr>
        <w:pStyle w:val="Subsection"/>
        <w:keepNext/>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Ednotesubsection"/>
      </w:pPr>
      <w:r>
        <w:tab/>
        <w:t>[(2)</w:t>
      </w:r>
      <w:r>
        <w:tab/>
        <w:t>deleted]</w:t>
      </w:r>
    </w:p>
    <w:p>
      <w:pPr>
        <w:pStyle w:val="Footnotesection"/>
      </w:pPr>
      <w:r>
        <w:tab/>
        <w:t>[Regulation 17AE inserted: Gazette 4 Aug 2006 p. 2855</w:t>
      </w:r>
      <w:r>
        <w:noBreakHyphen/>
        <w:t>6; amended: Gazette 29 Jun 2018 p. 2444; SL 2020/188 r. 10.]</w:t>
      </w:r>
    </w:p>
    <w:p>
      <w:pPr>
        <w:pStyle w:val="Heading5"/>
      </w:pPr>
      <w:bookmarkStart w:id="45" w:name="_Toc200720636"/>
      <w:r>
        <w:rPr>
          <w:rStyle w:val="CharSectno"/>
        </w:rPr>
        <w:lastRenderedPageBreak/>
        <w:t>17AF</w:t>
      </w:r>
      <w:r>
        <w:t>.</w:t>
      </w:r>
      <w:r>
        <w:tab/>
        <w:t>Amount prescribed for child’s allowance (Act Sch. 1A cl. 5(b))</w:t>
      </w:r>
      <w:bookmarkEnd w:id="45"/>
    </w:p>
    <w:p>
      <w:pPr>
        <w:pStyle w:val="Ednotesubsection"/>
        <w:keepNext/>
      </w:pPr>
      <w:r>
        <w:tab/>
        <w:t>[(1)</w:t>
      </w:r>
      <w:r>
        <w:tab/>
        <w:t>deleted]</w:t>
      </w:r>
    </w:p>
    <w:p>
      <w:pPr>
        <w:pStyle w:val="Subsection"/>
      </w:pPr>
      <w:r>
        <w:tab/>
        <w:t>(2)</w:t>
      </w:r>
      <w:r>
        <w:tab/>
        <w:t xml:space="preserve">For the purposes of Schedule 1A clause 5(b) of the Act, the child’s allowance is — </w:t>
      </w:r>
    </w:p>
    <w:p>
      <w:pPr>
        <w:pStyle w:val="Indenta"/>
      </w:pPr>
      <w:r>
        <w:tab/>
        <w:t>(a)</w:t>
      </w:r>
      <w:r>
        <w:tab/>
        <w:t>for the financial year commencing on 1 July 2018, the amount of $135 per week; and</w:t>
      </w:r>
    </w:p>
    <w:p>
      <w:pPr>
        <w:pStyle w:val="Indenta"/>
      </w:pPr>
      <w:r>
        <w:tab/>
        <w:t>(b)</w:t>
      </w:r>
      <w:r>
        <w:tab/>
        <w:t xml:space="preserve">for a financial year commencing on or after 1 July 2019 (the </w:t>
      </w:r>
      <w:r>
        <w:rPr>
          <w:b/>
          <w:i/>
        </w:rPr>
        <w:t>relevant year</w:t>
      </w:r>
      <w:r>
        <w:t xml:space="preserve">), the amount per week determined by — </w:t>
      </w:r>
    </w:p>
    <w:p>
      <w:pPr>
        <w:pStyle w:val="Indenti"/>
      </w:pPr>
      <w:r>
        <w:tab/>
        <w:t>(i)</w:t>
      </w:r>
      <w:r>
        <w:tab/>
        <w:t>varying the amount for the preceding financial year by the percentage by which WPI varied between the second-last December quarter before the relevant year commenced and the last December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pPr>
      <w:r>
        <w:tab/>
        <w:t>(3)</w:t>
      </w:r>
      <w:r>
        <w:tab/>
        <w:t>Despite subregulation (2)(b), if the amount determined under that subregulation would result in a decrease in the amount prescribed for the child’s allowance, the amount prescribed is the same amount as the amount for the preceding financial year.</w:t>
      </w:r>
    </w:p>
    <w:p>
      <w:pPr>
        <w:pStyle w:val="Footnotesection"/>
      </w:pPr>
      <w:r>
        <w:tab/>
        <w:t>[Regulation 17AF inserted: Gazette 29 Jun 2018 p. 2444</w:t>
      </w:r>
      <w:r>
        <w:noBreakHyphen/>
        <w:t>5; amended: SL 2020/188 r. 11.]</w:t>
      </w:r>
    </w:p>
    <w:p>
      <w:pPr>
        <w:pStyle w:val="Heading5"/>
      </w:pPr>
      <w:bookmarkStart w:id="46" w:name="_Toc200720637"/>
      <w:r>
        <w:rPr>
          <w:rStyle w:val="CharSectno"/>
        </w:rPr>
        <w:t>17AG</w:t>
      </w:r>
      <w:r>
        <w:t>.</w:t>
      </w:r>
      <w:r>
        <w:tab/>
        <w:t>Amount prescribed for funeral expenses (Act Sch. 1A cl. 9(2)(b))</w:t>
      </w:r>
      <w:bookmarkEnd w:id="46"/>
    </w:p>
    <w:p>
      <w:pPr>
        <w:pStyle w:val="Ednotesubsection"/>
      </w:pPr>
      <w:r>
        <w:tab/>
        <w:t>[(1)</w:t>
      </w:r>
      <w:r>
        <w:tab/>
        <w:t>deleted]</w:t>
      </w:r>
    </w:p>
    <w:p>
      <w:pPr>
        <w:pStyle w:val="Subsection"/>
        <w:keepNext/>
      </w:pPr>
      <w:r>
        <w:lastRenderedPageBreak/>
        <w:tab/>
        <w:t>(2)</w:t>
      </w:r>
      <w:r>
        <w:tab/>
        <w:t xml:space="preserve">For the purposes of Schedule 1A clause 9(2)(b) of the Act, the amount prescribed for funeral expenses is — </w:t>
      </w:r>
    </w:p>
    <w:p>
      <w:pPr>
        <w:pStyle w:val="Indenta"/>
      </w:pPr>
      <w:r>
        <w:tab/>
        <w:t>(a)</w:t>
      </w:r>
      <w:r>
        <w:tab/>
        <w:t>for the financial year commencing on 1 July 2018, $9 903; and</w:t>
      </w:r>
    </w:p>
    <w:p>
      <w:pPr>
        <w:pStyle w:val="Indenta"/>
      </w:pPr>
      <w:r>
        <w:tab/>
        <w:t>(b)</w:t>
      </w:r>
      <w:r>
        <w:tab/>
        <w:t xml:space="preserve">for a financial year commencing on or after 1 July 2019 (the </w:t>
      </w:r>
      <w:r>
        <w:rPr>
          <w:b/>
          <w:i/>
        </w:rPr>
        <w:t>relevant year</w:t>
      </w:r>
      <w:r>
        <w:t xml:space="preserve">), the amount determined by — </w:t>
      </w:r>
    </w:p>
    <w:p>
      <w:pPr>
        <w:pStyle w:val="Indenti"/>
      </w:pPr>
      <w:r>
        <w:tab/>
        <w:t>(i)</w:t>
      </w:r>
      <w:r>
        <w:tab/>
        <w:t>varying the amount for the preceding financial year by the percentage by which CPI varied between the second-last March quarter before the relevant year commenced and the last March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keepLines/>
      </w:pPr>
      <w:r>
        <w:tab/>
        <w:t>(3)</w:t>
      </w:r>
      <w:r>
        <w:tab/>
        <w:t>Despite subregulation (2)(b), if the amount determined under that subregulation would result in a decrease in the amount prescribed for funeral expenses, the amount prescribed is the same amount as the amount for the preceding financial year.</w:t>
      </w:r>
    </w:p>
    <w:p>
      <w:pPr>
        <w:pStyle w:val="Footnotesection"/>
      </w:pPr>
      <w:r>
        <w:tab/>
        <w:t>[Regulation 17AG inserted: Gazette 29 Jun 2018 p. 2445</w:t>
      </w:r>
      <w:r>
        <w:noBreakHyphen/>
        <w:t>6; amended: SL 2020/188 r. 12.]</w:t>
      </w:r>
    </w:p>
    <w:p>
      <w:pPr>
        <w:pStyle w:val="Heading5"/>
      </w:pPr>
      <w:bookmarkStart w:id="47" w:name="_Toc200720638"/>
      <w:r>
        <w:rPr>
          <w:rStyle w:val="CharSectno"/>
        </w:rPr>
        <w:t>17A</w:t>
      </w:r>
      <w:r>
        <w:t>.</w:t>
      </w:r>
      <w:r>
        <w:tab/>
        <w:t>Supplementary amount</w:t>
      </w:r>
      <w:bookmarkEnd w:id="47"/>
    </w:p>
    <w:p>
      <w:pPr>
        <w:pStyle w:val="Subsection"/>
        <w:spacing w:before="120"/>
      </w:pPr>
      <w:r>
        <w:tab/>
        <w:t>(1)</w:t>
      </w:r>
      <w:r>
        <w:tab/>
        <w:t xml:space="preserve">The supplementary amount referred to in the Schedule 5 clause 1 of the Act is — </w:t>
      </w:r>
    </w:p>
    <w:p>
      <w:pPr>
        <w:pStyle w:val="Indenta"/>
        <w:spacing w:before="60"/>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keepNext/>
        <w:spacing w:before="60"/>
      </w:pPr>
      <w:r>
        <w:lastRenderedPageBreak/>
        <w:tab/>
        <w:t>(b)</w:t>
      </w:r>
      <w:r>
        <w:tab/>
        <w:t xml:space="preserve">for a financial year commencing on or after 1 July 2008,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Ednotesubsection"/>
      </w:pPr>
      <w:r>
        <w:tab/>
        <w:t>[(2)</w:t>
      </w:r>
      <w:r>
        <w:tab/>
        <w:t>deleted]</w:t>
      </w:r>
    </w:p>
    <w:p>
      <w:pPr>
        <w:pStyle w:val="Footnotesection"/>
      </w:pPr>
      <w:r>
        <w:tab/>
        <w:t>[Regulation 17A inserted: Gazette 2 Nov 2007 p. 5933</w:t>
      </w:r>
      <w:r>
        <w:noBreakHyphen/>
        <w:t>4; amended: SL 2020/188 r. 13.]</w:t>
      </w:r>
    </w:p>
    <w:p>
      <w:pPr>
        <w:pStyle w:val="Heading5"/>
      </w:pPr>
      <w:bookmarkStart w:id="48" w:name="_Toc200720639"/>
      <w:r>
        <w:rPr>
          <w:rStyle w:val="CharSectno"/>
        </w:rPr>
        <w:t>17B</w:t>
      </w:r>
      <w:r>
        <w:t>.</w:t>
      </w:r>
      <w:r>
        <w:tab/>
        <w:t>Witness allowances</w:t>
      </w:r>
      <w:bookmarkEnd w:id="48"/>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Gazette 28 Oct 2005 p. 4871; amended: Gazette 18 Nov 2011 p. 4821.]</w:t>
      </w:r>
    </w:p>
    <w:p>
      <w:pPr>
        <w:pStyle w:val="Heading5"/>
        <w:rPr>
          <w:snapToGrid w:val="0"/>
        </w:rPr>
      </w:pPr>
      <w:bookmarkStart w:id="49" w:name="_Toc200720640"/>
      <w:r>
        <w:rPr>
          <w:rStyle w:val="CharSectno"/>
        </w:rPr>
        <w:t>18</w:t>
      </w:r>
      <w:r>
        <w:rPr>
          <w:snapToGrid w:val="0"/>
        </w:rPr>
        <w:t>.</w:t>
      </w:r>
      <w:r>
        <w:rPr>
          <w:snapToGrid w:val="0"/>
        </w:rPr>
        <w:tab/>
        <w:t>Form of election to receive redemption amount or supplementary amount</w:t>
      </w:r>
      <w:bookmarkEnd w:id="49"/>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Gazette 17 Nov 2000 p. 6312.]</w:t>
      </w:r>
    </w:p>
    <w:p>
      <w:pPr>
        <w:pStyle w:val="Heading2"/>
      </w:pPr>
      <w:bookmarkStart w:id="50" w:name="_Toc200720641"/>
      <w:r>
        <w:rPr>
          <w:rStyle w:val="CharPartNo"/>
        </w:rPr>
        <w:lastRenderedPageBreak/>
        <w:t>Part 2A</w:t>
      </w:r>
      <w:r>
        <w:rPr>
          <w:b w:val="0"/>
        </w:rPr>
        <w:t> </w:t>
      </w:r>
      <w:r>
        <w:t>—</w:t>
      </w:r>
      <w:r>
        <w:rPr>
          <w:b w:val="0"/>
        </w:rPr>
        <w:t> </w:t>
      </w:r>
      <w:r>
        <w:rPr>
          <w:rStyle w:val="CharPartText"/>
        </w:rPr>
        <w:t>Assessment of costs</w:t>
      </w:r>
      <w:bookmarkEnd w:id="50"/>
    </w:p>
    <w:p>
      <w:pPr>
        <w:pStyle w:val="Footnoteheading"/>
      </w:pPr>
      <w:r>
        <w:tab/>
        <w:t>[Heading inserted: Gazette 28 Oct 2005 p. 4871.]</w:t>
      </w:r>
    </w:p>
    <w:p>
      <w:pPr>
        <w:pStyle w:val="Heading5"/>
      </w:pPr>
      <w:bookmarkStart w:id="51" w:name="_Toc200720642"/>
      <w:r>
        <w:rPr>
          <w:rStyle w:val="CharSectno"/>
        </w:rPr>
        <w:t>18A</w:t>
      </w:r>
      <w:r>
        <w:t>.</w:t>
      </w:r>
      <w:r>
        <w:tab/>
        <w:t>Application of this Part</w:t>
      </w:r>
      <w:bookmarkEnd w:id="51"/>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Gazette 28 Oct 2005 p. 4871.]</w:t>
      </w:r>
    </w:p>
    <w:p>
      <w:pPr>
        <w:pStyle w:val="Heading5"/>
      </w:pPr>
      <w:bookmarkStart w:id="52" w:name="_Toc200720643"/>
      <w:r>
        <w:rPr>
          <w:rStyle w:val="CharSectno"/>
        </w:rPr>
        <w:t>18B</w:t>
      </w:r>
      <w:r>
        <w:t>.</w:t>
      </w:r>
      <w:r>
        <w:tab/>
        <w:t>Terms used</w:t>
      </w:r>
      <w:bookmarkEnd w:id="52"/>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Gazette 28 Oct 2005 p. 4872; amended: Gazette 18 Nov 2011 p. 4821.]</w:t>
      </w:r>
    </w:p>
    <w:p>
      <w:pPr>
        <w:pStyle w:val="Heading5"/>
      </w:pPr>
      <w:bookmarkStart w:id="53" w:name="_Toc200720644"/>
      <w:r>
        <w:rPr>
          <w:rStyle w:val="CharSectno"/>
        </w:rPr>
        <w:lastRenderedPageBreak/>
        <w:t>18C</w:t>
      </w:r>
      <w:r>
        <w:t>.</w:t>
      </w:r>
      <w:r>
        <w:tab/>
        <w:t>Application for assessment of costs</w:t>
      </w:r>
      <w:bookmarkEnd w:id="53"/>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Gazette 28 Oct 2005 p. 4872; amended: Gazette 18 Nov 2011 p. 4822.]</w:t>
      </w:r>
    </w:p>
    <w:p>
      <w:pPr>
        <w:pStyle w:val="Heading5"/>
      </w:pPr>
      <w:bookmarkStart w:id="54" w:name="_Toc200720645"/>
      <w:r>
        <w:rPr>
          <w:rStyle w:val="CharSectno"/>
        </w:rPr>
        <w:t>18D</w:t>
      </w:r>
      <w:r>
        <w:t>.</w:t>
      </w:r>
      <w:r>
        <w:tab/>
        <w:t>Taxing officer may require application to be given to other persons</w:t>
      </w:r>
      <w:bookmarkEnd w:id="54"/>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lastRenderedPageBreak/>
        <w:tab/>
        <w:t>(3)</w:t>
      </w:r>
      <w:r>
        <w:tab/>
        <w:t>If a person fails, without reasonable excuse, to comply with a notice given under subregulation (1) the taxing officer may decline to deal with the application.</w:t>
      </w:r>
    </w:p>
    <w:p>
      <w:pPr>
        <w:pStyle w:val="Footnotesection"/>
      </w:pPr>
      <w:r>
        <w:tab/>
        <w:t>[Regulation 18D inserted: Gazette 28 Oct 2005 p. 4872</w:t>
      </w:r>
      <w:r>
        <w:noBreakHyphen/>
        <w:t>3; amended: Gazette 18 Nov 2011 p. 4822.]</w:t>
      </w:r>
    </w:p>
    <w:p>
      <w:pPr>
        <w:pStyle w:val="Heading5"/>
      </w:pPr>
      <w:bookmarkStart w:id="55" w:name="_Toc200720646"/>
      <w:r>
        <w:rPr>
          <w:rStyle w:val="CharSectno"/>
        </w:rPr>
        <w:t>18E</w:t>
      </w:r>
      <w:r>
        <w:t>.</w:t>
      </w:r>
      <w:r>
        <w:tab/>
        <w:t>Taxing officer may require documents or further particulars</w:t>
      </w:r>
      <w:bookmarkEnd w:id="55"/>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Gazette 28 Oct 2005 p. 4873.]</w:t>
      </w:r>
    </w:p>
    <w:p>
      <w:pPr>
        <w:pStyle w:val="Heading5"/>
      </w:pPr>
      <w:bookmarkStart w:id="56" w:name="_Toc200720647"/>
      <w:r>
        <w:rPr>
          <w:rStyle w:val="CharSectno"/>
        </w:rPr>
        <w:lastRenderedPageBreak/>
        <w:t>18F</w:t>
      </w:r>
      <w:r>
        <w:t>.</w:t>
      </w:r>
      <w:r>
        <w:tab/>
        <w:t>Consideration of application</w:t>
      </w:r>
      <w:bookmarkEnd w:id="56"/>
    </w:p>
    <w:p>
      <w:pPr>
        <w:pStyle w:val="Subsection"/>
        <w:keepNext/>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Gazette 28 Oct 2005 p. 4874.]</w:t>
      </w:r>
    </w:p>
    <w:p>
      <w:pPr>
        <w:pStyle w:val="Heading5"/>
      </w:pPr>
      <w:bookmarkStart w:id="57" w:name="_Toc200720648"/>
      <w:r>
        <w:rPr>
          <w:rStyle w:val="CharSectno"/>
        </w:rPr>
        <w:t>18G</w:t>
      </w:r>
      <w:r>
        <w:t>.</w:t>
      </w:r>
      <w:r>
        <w:tab/>
        <w:t>Assessment to give effect to order and costs determination</w:t>
      </w:r>
      <w:bookmarkEnd w:id="57"/>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Gazette 28 Oct 2005 p. 4874.]</w:t>
      </w:r>
    </w:p>
    <w:p>
      <w:pPr>
        <w:pStyle w:val="Heading5"/>
      </w:pPr>
      <w:bookmarkStart w:id="58" w:name="_Toc200720649"/>
      <w:r>
        <w:rPr>
          <w:rStyle w:val="CharSectno"/>
        </w:rPr>
        <w:t>18H</w:t>
      </w:r>
      <w:r>
        <w:t>.</w:t>
      </w:r>
      <w:r>
        <w:tab/>
        <w:t>Matters to be considered</w:t>
      </w:r>
      <w:bookmarkEnd w:id="58"/>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lastRenderedPageBreak/>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Gazette 28 Oct 2005 p. 4874</w:t>
      </w:r>
      <w:r>
        <w:noBreakHyphen/>
        <w:t>5.]</w:t>
      </w:r>
    </w:p>
    <w:p>
      <w:pPr>
        <w:pStyle w:val="Heading5"/>
      </w:pPr>
      <w:bookmarkStart w:id="59" w:name="_Toc200720650"/>
      <w:r>
        <w:rPr>
          <w:rStyle w:val="CharSectno"/>
        </w:rPr>
        <w:t>18I</w:t>
      </w:r>
      <w:r>
        <w:t>.</w:t>
      </w:r>
      <w:r>
        <w:tab/>
        <w:t>Cost of assessment</w:t>
      </w:r>
      <w:bookmarkEnd w:id="59"/>
    </w:p>
    <w:p>
      <w:pPr>
        <w:pStyle w:val="Subsection"/>
      </w:pPr>
      <w:r>
        <w:tab/>
      </w:r>
      <w:r>
        <w:tab/>
        <w:t>The costs of and incidental to an assessment are at the discretion of the taxing officer.</w:t>
      </w:r>
    </w:p>
    <w:p>
      <w:pPr>
        <w:pStyle w:val="Footnotesection"/>
      </w:pPr>
      <w:r>
        <w:tab/>
        <w:t>[Regulation 18I inserted: Gazette 28 Oct 2005 p. 4875.]</w:t>
      </w:r>
    </w:p>
    <w:p>
      <w:pPr>
        <w:pStyle w:val="Heading5"/>
      </w:pPr>
      <w:bookmarkStart w:id="60" w:name="_Toc200720651"/>
      <w:r>
        <w:rPr>
          <w:rStyle w:val="CharSectno"/>
        </w:rPr>
        <w:t>18J</w:t>
      </w:r>
      <w:r>
        <w:t>.</w:t>
      </w:r>
      <w:r>
        <w:tab/>
        <w:t>Enforcement of assessment</w:t>
      </w:r>
      <w:bookmarkEnd w:id="60"/>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Gazette 28 Oct 2005 p. 4875.]</w:t>
      </w:r>
    </w:p>
    <w:p>
      <w:pPr>
        <w:pStyle w:val="Heading5"/>
      </w:pPr>
      <w:bookmarkStart w:id="61" w:name="_Toc200720652"/>
      <w:r>
        <w:rPr>
          <w:rStyle w:val="CharSectno"/>
        </w:rPr>
        <w:lastRenderedPageBreak/>
        <w:t>18K</w:t>
      </w:r>
      <w:r>
        <w:t>.</w:t>
      </w:r>
      <w:r>
        <w:tab/>
        <w:t>Correction of error</w:t>
      </w:r>
      <w:bookmarkEnd w:id="61"/>
    </w:p>
    <w:p>
      <w:pPr>
        <w:pStyle w:val="Subsection"/>
        <w:keepNext/>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Gazette 28 Oct 2005 p. 4876.]</w:t>
      </w:r>
    </w:p>
    <w:p>
      <w:pPr>
        <w:pStyle w:val="Heading5"/>
      </w:pPr>
      <w:bookmarkStart w:id="62" w:name="_Toc200720653"/>
      <w:r>
        <w:rPr>
          <w:rStyle w:val="CharSectno"/>
        </w:rPr>
        <w:t>18LA</w:t>
      </w:r>
      <w:r>
        <w:t>.</w:t>
      </w:r>
      <w:r>
        <w:tab/>
        <w:t>Transitional provision</w:t>
      </w:r>
      <w:bookmarkEnd w:id="62"/>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2</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Gazette 18 Nov 2011 p. 4822</w:t>
      </w:r>
      <w:r>
        <w:noBreakHyphen/>
        <w:t>3.]</w:t>
      </w:r>
    </w:p>
    <w:p>
      <w:pPr>
        <w:pStyle w:val="Heading2"/>
      </w:pPr>
      <w:bookmarkStart w:id="63" w:name="_Toc200720654"/>
      <w:r>
        <w:rPr>
          <w:rStyle w:val="CharPartNo"/>
        </w:rPr>
        <w:lastRenderedPageBreak/>
        <w:t>Part 2B</w:t>
      </w:r>
      <w:r>
        <w:rPr>
          <w:b w:val="0"/>
        </w:rPr>
        <w:t> </w:t>
      </w:r>
      <w:r>
        <w:t>—</w:t>
      </w:r>
      <w:r>
        <w:rPr>
          <w:b w:val="0"/>
        </w:rPr>
        <w:t> </w:t>
      </w:r>
      <w:r>
        <w:rPr>
          <w:rStyle w:val="CharPartText"/>
        </w:rPr>
        <w:t>Medical assessment</w:t>
      </w:r>
      <w:bookmarkEnd w:id="63"/>
    </w:p>
    <w:p>
      <w:pPr>
        <w:pStyle w:val="Footnoteheading"/>
      </w:pPr>
      <w:r>
        <w:tab/>
        <w:t>[Heading inserted: Gazette 28 Oct 2005 p. 4876.]</w:t>
      </w:r>
    </w:p>
    <w:p>
      <w:pPr>
        <w:pStyle w:val="Heading5"/>
        <w:spacing w:before="240"/>
      </w:pPr>
      <w:bookmarkStart w:id="64" w:name="_Toc200720655"/>
      <w:r>
        <w:rPr>
          <w:rStyle w:val="CharSectno"/>
        </w:rPr>
        <w:t>18L</w:t>
      </w:r>
      <w:r>
        <w:t>.</w:t>
      </w:r>
      <w:r>
        <w:tab/>
        <w:t>Terms used</w:t>
      </w:r>
      <w:bookmarkEnd w:id="64"/>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lastRenderedPageBreak/>
        <w:tab/>
        <w:t>(d)</w:t>
      </w:r>
      <w:r>
        <w:tab/>
        <w:t>(except in regulation 18R(3)(e)) clause 18A of Schedule 1 to the Act (which provides for additional sums to be allowed for medical expenses).</w:t>
      </w:r>
    </w:p>
    <w:p>
      <w:pPr>
        <w:pStyle w:val="Footnotesection"/>
      </w:pPr>
      <w:r>
        <w:tab/>
        <w:t>[Regulation 18L inserted: Gazette 28 Oct 2005 p. 4876</w:t>
      </w:r>
      <w:r>
        <w:noBreakHyphen/>
        <w:t>7.]</w:t>
      </w:r>
    </w:p>
    <w:p>
      <w:pPr>
        <w:pStyle w:val="Heading5"/>
      </w:pPr>
      <w:bookmarkStart w:id="65" w:name="_Toc200720656"/>
      <w:r>
        <w:rPr>
          <w:rStyle w:val="CharSectno"/>
        </w:rPr>
        <w:t>18M</w:t>
      </w:r>
      <w:r>
        <w:t>.</w:t>
      </w:r>
      <w:r>
        <w:tab/>
        <w:t>Request for assessment by approved medical specialist of worker’s degree of impairment</w:t>
      </w:r>
      <w:bookmarkEnd w:id="65"/>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Gazette 28 Oct 2005 p. 4877.]</w:t>
      </w:r>
    </w:p>
    <w:p>
      <w:pPr>
        <w:pStyle w:val="Heading5"/>
      </w:pPr>
      <w:bookmarkStart w:id="66" w:name="_Toc200720657"/>
      <w:r>
        <w:rPr>
          <w:rStyle w:val="CharSectno"/>
        </w:rPr>
        <w:t>18N</w:t>
      </w:r>
      <w:r>
        <w:t>.</w:t>
      </w:r>
      <w:r>
        <w:tab/>
        <w:t>Requirement to attend at place specified by approved medical specialist</w:t>
      </w:r>
      <w:bookmarkEnd w:id="66"/>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lastRenderedPageBreak/>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Gazette 28 Oct 2005 p. 4878.]</w:t>
      </w:r>
    </w:p>
    <w:p>
      <w:pPr>
        <w:pStyle w:val="Heading5"/>
      </w:pPr>
      <w:bookmarkStart w:id="67" w:name="_Toc200720658"/>
      <w:r>
        <w:rPr>
          <w:rStyle w:val="CharSectno"/>
        </w:rPr>
        <w:t>18O</w:t>
      </w:r>
      <w:r>
        <w:t>.</w:t>
      </w:r>
      <w:r>
        <w:tab/>
        <w:t>Requirement to produce to approved medical specialist relevant documents and information and give consent</w:t>
      </w:r>
      <w:bookmarkEnd w:id="67"/>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lastRenderedPageBreak/>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Gazette 28 Oct 2005 p. 4878</w:t>
      </w:r>
      <w:r>
        <w:noBreakHyphen/>
        <w:t>9.]</w:t>
      </w:r>
    </w:p>
    <w:p>
      <w:pPr>
        <w:pStyle w:val="Heading5"/>
      </w:pPr>
      <w:bookmarkStart w:id="68" w:name="_Toc200720659"/>
      <w:r>
        <w:rPr>
          <w:rStyle w:val="CharSectno"/>
        </w:rPr>
        <w:t>18P</w:t>
      </w:r>
      <w:r>
        <w:t>.</w:t>
      </w:r>
      <w:r>
        <w:tab/>
        <w:t>Period for compliance with requirements</w:t>
      </w:r>
      <w:bookmarkEnd w:id="68"/>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Gazette 28 Oct 2005 p. 4879.]</w:t>
      </w:r>
    </w:p>
    <w:p>
      <w:pPr>
        <w:pStyle w:val="Heading5"/>
      </w:pPr>
      <w:bookmarkStart w:id="69" w:name="_Toc200720660"/>
      <w:r>
        <w:rPr>
          <w:rStyle w:val="CharSectno"/>
        </w:rPr>
        <w:t>18Q</w:t>
      </w:r>
      <w:r>
        <w:t>.</w:t>
      </w:r>
      <w:r>
        <w:tab/>
        <w:t>Requirement for worker to produce requested information</w:t>
      </w:r>
      <w:bookmarkEnd w:id="69"/>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lastRenderedPageBreak/>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Gazette 28 Oct 2005 p. 4880.]</w:t>
      </w:r>
    </w:p>
    <w:p>
      <w:pPr>
        <w:pStyle w:val="Heading5"/>
      </w:pPr>
      <w:bookmarkStart w:id="70" w:name="_Toc200720661"/>
      <w:r>
        <w:rPr>
          <w:rStyle w:val="CharSectno"/>
        </w:rPr>
        <w:t>18R</w:t>
      </w:r>
      <w:r>
        <w:t>.</w:t>
      </w:r>
      <w:r>
        <w:tab/>
        <w:t>Reports and certificates regarding outcome of assessment</w:t>
      </w:r>
      <w:bookmarkEnd w:id="70"/>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lastRenderedPageBreak/>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Gazette 28 Oct 2005 p. 4880</w:t>
      </w:r>
      <w:r>
        <w:noBreakHyphen/>
        <w:t>1.]</w:t>
      </w:r>
    </w:p>
    <w:p>
      <w:pPr>
        <w:pStyle w:val="Heading5"/>
      </w:pPr>
      <w:bookmarkStart w:id="71" w:name="_Toc200720662"/>
      <w:r>
        <w:rPr>
          <w:rStyle w:val="CharSectno"/>
        </w:rPr>
        <w:t>18S</w:t>
      </w:r>
      <w:r>
        <w:t>.</w:t>
      </w:r>
      <w:r>
        <w:tab/>
        <w:t>Requirement to attend at place specified by approved medical specialist panel</w:t>
      </w:r>
      <w:bookmarkEnd w:id="71"/>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Gazette 28 Oct 2005 p. 4882.]</w:t>
      </w:r>
    </w:p>
    <w:p>
      <w:pPr>
        <w:pStyle w:val="Heading5"/>
      </w:pPr>
      <w:bookmarkStart w:id="72" w:name="_Toc200720663"/>
      <w:r>
        <w:rPr>
          <w:rStyle w:val="CharSectno"/>
        </w:rPr>
        <w:t>18T</w:t>
      </w:r>
      <w:r>
        <w:t>.</w:t>
      </w:r>
      <w:r>
        <w:tab/>
        <w:t>Requirement to produce to approved medical specialist panel relevant documents and information and give consent</w:t>
      </w:r>
      <w:bookmarkEnd w:id="72"/>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lastRenderedPageBreak/>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Gazette 28 Oct 2005 p. 4882</w:t>
      </w:r>
      <w:r>
        <w:noBreakHyphen/>
        <w:t>3.]</w:t>
      </w:r>
    </w:p>
    <w:p>
      <w:pPr>
        <w:pStyle w:val="Heading5"/>
      </w:pPr>
      <w:bookmarkStart w:id="73" w:name="_Toc200720664"/>
      <w:r>
        <w:rPr>
          <w:rStyle w:val="CharSectno"/>
        </w:rPr>
        <w:t>18U</w:t>
      </w:r>
      <w:r>
        <w:t>.</w:t>
      </w:r>
      <w:r>
        <w:tab/>
        <w:t>Period for compliance with requirements</w:t>
      </w:r>
      <w:bookmarkEnd w:id="73"/>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Gazette 28 Oct 2005 p. 4883.]</w:t>
      </w:r>
    </w:p>
    <w:p>
      <w:pPr>
        <w:pStyle w:val="Heading5"/>
      </w:pPr>
      <w:bookmarkStart w:id="74" w:name="_Toc200720665"/>
      <w:r>
        <w:rPr>
          <w:rStyle w:val="CharSectno"/>
        </w:rPr>
        <w:t>18V</w:t>
      </w:r>
      <w:r>
        <w:t>.</w:t>
      </w:r>
      <w:r>
        <w:tab/>
        <w:t>Requirement for worker to produce requested information</w:t>
      </w:r>
      <w:bookmarkEnd w:id="74"/>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w:t>
      </w:r>
      <w:r>
        <w:lastRenderedPageBreak/>
        <w:t xml:space="preserve">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Gazette 28 Oct 2005 p. 4883</w:t>
      </w:r>
      <w:r>
        <w:noBreakHyphen/>
        <w:t>4.]</w:t>
      </w:r>
    </w:p>
    <w:p>
      <w:pPr>
        <w:pStyle w:val="Heading5"/>
      </w:pPr>
      <w:bookmarkStart w:id="75" w:name="_Toc200720666"/>
      <w:r>
        <w:rPr>
          <w:rStyle w:val="CharSectno"/>
        </w:rPr>
        <w:t>18W</w:t>
      </w:r>
      <w:r>
        <w:t>.</w:t>
      </w:r>
      <w:r>
        <w:tab/>
        <w:t>Reports and certificates regarding outcome of assessment</w:t>
      </w:r>
      <w:bookmarkEnd w:id="75"/>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Gazette 28 Oct 2005 p. 4884.]</w:t>
      </w:r>
    </w:p>
    <w:p>
      <w:pPr>
        <w:pStyle w:val="Ednotesection"/>
      </w:pPr>
      <w:r>
        <w:t>[</w:t>
      </w:r>
      <w:r>
        <w:rPr>
          <w:b/>
        </w:rPr>
        <w:t>19.</w:t>
      </w:r>
      <w:r>
        <w:tab/>
        <w:t>Deleted: Gazette 8 Mar 2002 p. 949.]</w:t>
      </w:r>
    </w:p>
    <w:p>
      <w:pPr>
        <w:pStyle w:val="Heading2"/>
      </w:pPr>
      <w:bookmarkStart w:id="76" w:name="_Toc200720667"/>
      <w:r>
        <w:rPr>
          <w:rStyle w:val="CharPartNo"/>
        </w:rPr>
        <w:lastRenderedPageBreak/>
        <w:t>Part 3</w:t>
      </w:r>
      <w:r>
        <w:rPr>
          <w:rStyle w:val="CharDivNo"/>
        </w:rPr>
        <w:t> </w:t>
      </w:r>
      <w:r>
        <w:t>—</w:t>
      </w:r>
      <w:r>
        <w:rPr>
          <w:rStyle w:val="CharDivText"/>
        </w:rPr>
        <w:t> </w:t>
      </w:r>
      <w:r>
        <w:rPr>
          <w:rStyle w:val="CharPartText"/>
        </w:rPr>
        <w:t>Noise induced hearing loss</w:t>
      </w:r>
      <w:bookmarkEnd w:id="76"/>
      <w:r>
        <w:rPr>
          <w:rStyle w:val="CharPartText"/>
        </w:rPr>
        <w:t xml:space="preserve"> </w:t>
      </w:r>
    </w:p>
    <w:p>
      <w:pPr>
        <w:pStyle w:val="Footnoteheading"/>
        <w:tabs>
          <w:tab w:val="left" w:pos="851"/>
        </w:tabs>
      </w:pPr>
      <w:r>
        <w:rPr>
          <w:snapToGrid w:val="0"/>
        </w:rPr>
        <w:tab/>
        <w:t>[</w:t>
      </w:r>
      <w:r>
        <w:t xml:space="preserve">Heading inserted: Gazette 26 Feb 1991 p. 934.] </w:t>
      </w:r>
    </w:p>
    <w:p>
      <w:pPr>
        <w:pStyle w:val="Heading5"/>
        <w:rPr>
          <w:snapToGrid w:val="0"/>
        </w:rPr>
      </w:pPr>
      <w:bookmarkStart w:id="77" w:name="_Toc200720668"/>
      <w:r>
        <w:rPr>
          <w:rStyle w:val="CharSectno"/>
        </w:rPr>
        <w:t>19A</w:t>
      </w:r>
      <w:r>
        <w:rPr>
          <w:snapToGrid w:val="0"/>
        </w:rPr>
        <w:t>.</w:t>
      </w:r>
      <w:r>
        <w:rPr>
          <w:snapToGrid w:val="0"/>
        </w:rPr>
        <w:tab/>
        <w:t>Terms used</w:t>
      </w:r>
      <w:bookmarkEnd w:id="7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tabs>
          <w:tab w:val="left" w:pos="4253"/>
        </w:tabs>
      </w:pPr>
      <w:r>
        <w:rPr>
          <w:b/>
        </w:rPr>
        <w:tab/>
      </w:r>
      <w:r>
        <w:rPr>
          <w:rStyle w:val="CharDefText"/>
        </w:rPr>
        <w:t>Australian Standard</w:t>
      </w:r>
      <w:r>
        <w:t xml:space="preserve"> means a standard published by the Standards Association of Australia</w:t>
      </w:r>
      <w:r>
        <w:rPr>
          <w:vertAlign w:val="superscript"/>
        </w:rPr>
        <w:t xml:space="preserve"> 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Gazette 26 Feb 1991 p. 934; amended: Gazette 21 Jan 2005 p. 276; 28 Oct 2005 p. 4884.] </w:t>
      </w:r>
    </w:p>
    <w:p>
      <w:pPr>
        <w:pStyle w:val="Heading5"/>
        <w:rPr>
          <w:snapToGrid w:val="0"/>
        </w:rPr>
      </w:pPr>
      <w:bookmarkStart w:id="78" w:name="_Toc200720669"/>
      <w:r>
        <w:rPr>
          <w:rStyle w:val="CharSectno"/>
        </w:rPr>
        <w:t>19B</w:t>
      </w:r>
      <w:r>
        <w:rPr>
          <w:snapToGrid w:val="0"/>
        </w:rPr>
        <w:t>.</w:t>
      </w:r>
      <w:r>
        <w:rPr>
          <w:snapToGrid w:val="0"/>
        </w:rPr>
        <w:tab/>
        <w:t>Persons approved to carry out audiometric testing</w:t>
      </w:r>
      <w:bookmarkEnd w:id="78"/>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keepLines/>
        <w:rPr>
          <w:snapToGrid w:val="0"/>
        </w:rPr>
      </w:pPr>
      <w:r>
        <w:rPr>
          <w:snapToGrid w:val="0"/>
        </w:rPr>
        <w:lastRenderedPageBreak/>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Gazette 26 Feb 1991 p. 934; amended: Gazette 21 Jan 2005 p. 276.] </w:t>
      </w:r>
    </w:p>
    <w:p>
      <w:pPr>
        <w:pStyle w:val="Heading5"/>
        <w:rPr>
          <w:snapToGrid w:val="0"/>
        </w:rPr>
      </w:pPr>
      <w:bookmarkStart w:id="79" w:name="_Toc200720670"/>
      <w:r>
        <w:rPr>
          <w:rStyle w:val="CharSectno"/>
        </w:rPr>
        <w:t>19C</w:t>
      </w:r>
      <w:r>
        <w:rPr>
          <w:snapToGrid w:val="0"/>
        </w:rPr>
        <w:t>.</w:t>
      </w:r>
      <w:r>
        <w:rPr>
          <w:snapToGrid w:val="0"/>
        </w:rPr>
        <w:tab/>
        <w:t>Testing procedures</w:t>
      </w:r>
      <w:bookmarkEnd w:id="79"/>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lastRenderedPageBreak/>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w:t>
      </w:r>
      <w:r>
        <w:rPr>
          <w:snapToGrid w:val="0"/>
        </w:rPr>
        <w:lastRenderedPageBreak/>
        <w:t>be tested by any other method approved for the purposes of this subregulation.</w:t>
      </w:r>
    </w:p>
    <w:p>
      <w:pPr>
        <w:pStyle w:val="Subsection"/>
        <w:keepLines/>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w:t>
      </w:r>
      <w:r>
        <w:rPr>
          <w:snapToGrid w:val="0"/>
        </w:rPr>
        <w:lastRenderedPageBreak/>
        <w:t>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Gazette 26 Feb 1991 p. 935</w:t>
      </w:r>
      <w:r>
        <w:noBreakHyphen/>
        <w:t>7; amended: Gazette 3 Apr 1992 p. 1541</w:t>
      </w:r>
      <w:r>
        <w:noBreakHyphen/>
        <w:t>2; 24 Dec 1993 p. 6845; 17 Nov 2000 p. 6312; 21 Jan 2005 p. 276; 28 Oct 2005 p. 4884</w:t>
      </w:r>
      <w:r>
        <w:noBreakHyphen/>
        <w:t xml:space="preserve">5.] </w:t>
      </w:r>
    </w:p>
    <w:p>
      <w:pPr>
        <w:pStyle w:val="Heading5"/>
        <w:rPr>
          <w:snapToGrid w:val="0"/>
        </w:rPr>
      </w:pPr>
      <w:bookmarkStart w:id="80" w:name="_Toc200720671"/>
      <w:r>
        <w:rPr>
          <w:rStyle w:val="CharSectno"/>
        </w:rPr>
        <w:lastRenderedPageBreak/>
        <w:t>19D</w:t>
      </w:r>
      <w:r>
        <w:rPr>
          <w:snapToGrid w:val="0"/>
        </w:rPr>
        <w:t>.</w:t>
      </w:r>
      <w:r>
        <w:rPr>
          <w:snapToGrid w:val="0"/>
        </w:rPr>
        <w:tab/>
        <w:t>Notice of audiometric test and testing arrangements</w:t>
      </w:r>
      <w:bookmarkEnd w:id="80"/>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Gazette 26 Feb 1991 p. 937; amended: Gazette 17 Nov 2000 p. 6312.] </w:t>
      </w:r>
    </w:p>
    <w:p>
      <w:pPr>
        <w:pStyle w:val="Heading5"/>
        <w:rPr>
          <w:snapToGrid w:val="0"/>
        </w:rPr>
      </w:pPr>
      <w:bookmarkStart w:id="81" w:name="_Toc200720672"/>
      <w:r>
        <w:rPr>
          <w:rStyle w:val="CharSectno"/>
        </w:rPr>
        <w:t>19E</w:t>
      </w:r>
      <w:r>
        <w:rPr>
          <w:snapToGrid w:val="0"/>
        </w:rPr>
        <w:t>.</w:t>
      </w:r>
      <w:r>
        <w:rPr>
          <w:snapToGrid w:val="0"/>
        </w:rPr>
        <w:tab/>
        <w:t>Calculation of loss of hearing</w:t>
      </w:r>
      <w:bookmarkEnd w:id="81"/>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Gazette 26 Feb 1991 p. 937; amended: Gazette 28 Oct 2005 p. 4885.] </w:t>
      </w:r>
    </w:p>
    <w:p>
      <w:pPr>
        <w:pStyle w:val="Heading5"/>
        <w:rPr>
          <w:snapToGrid w:val="0"/>
        </w:rPr>
      </w:pPr>
      <w:bookmarkStart w:id="82" w:name="_Toc200720673"/>
      <w:r>
        <w:rPr>
          <w:rStyle w:val="CharSectno"/>
        </w:rPr>
        <w:t>19F</w:t>
      </w:r>
      <w:r>
        <w:rPr>
          <w:snapToGrid w:val="0"/>
        </w:rPr>
        <w:t>.</w:t>
      </w:r>
      <w:r>
        <w:rPr>
          <w:snapToGrid w:val="0"/>
        </w:rPr>
        <w:tab/>
        <w:t>Report on audiometric test and storage of results</w:t>
      </w:r>
      <w:bookmarkEnd w:id="82"/>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lastRenderedPageBreak/>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Gazette 26 Feb 1991 p. 937</w:t>
      </w:r>
      <w:r>
        <w:noBreakHyphen/>
        <w:t xml:space="preserve">8; amended: Gazette 17 Nov 2000 p. 6312; 21 Jan 2005 p. 276; 28 Oct 2005 p. 4885.] </w:t>
      </w:r>
    </w:p>
    <w:p>
      <w:pPr>
        <w:pStyle w:val="Ednotesection"/>
      </w:pPr>
      <w:r>
        <w:t>[</w:t>
      </w:r>
      <w:r>
        <w:rPr>
          <w:b/>
        </w:rPr>
        <w:t>19G.</w:t>
      </w:r>
      <w:r>
        <w:tab/>
        <w:t>Deleted: Gazette 28 Oct 2005 p. 4885.]</w:t>
      </w:r>
    </w:p>
    <w:p>
      <w:pPr>
        <w:pStyle w:val="Heading5"/>
        <w:rPr>
          <w:snapToGrid w:val="0"/>
        </w:rPr>
      </w:pPr>
      <w:bookmarkStart w:id="83" w:name="_Toc200720674"/>
      <w:r>
        <w:rPr>
          <w:rStyle w:val="CharSectno"/>
        </w:rPr>
        <w:t>19H</w:t>
      </w:r>
      <w:r>
        <w:rPr>
          <w:snapToGrid w:val="0"/>
        </w:rPr>
        <w:t>.</w:t>
      </w:r>
      <w:r>
        <w:rPr>
          <w:snapToGrid w:val="0"/>
        </w:rPr>
        <w:tab/>
        <w:t>Retest of person’s hearing</w:t>
      </w:r>
      <w:bookmarkEnd w:id="83"/>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lastRenderedPageBreak/>
        <w:tab/>
        <w:t>(a)</w:t>
      </w:r>
      <w:r>
        <w:rPr>
          <w:snapToGrid w:val="0"/>
        </w:rPr>
        <w:tab/>
        <w:t>a physical examination; and</w:t>
      </w:r>
    </w:p>
    <w:p>
      <w:pPr>
        <w:pStyle w:val="Indenta"/>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Gazette 26 Feb 1991 p. 938</w:t>
      </w:r>
      <w:r>
        <w:noBreakHyphen/>
        <w:t xml:space="preserve">9; amended: Gazette 21 Jan 2005 p. 276.] </w:t>
      </w:r>
    </w:p>
    <w:p>
      <w:pPr>
        <w:pStyle w:val="Heading5"/>
        <w:rPr>
          <w:snapToGrid w:val="0"/>
        </w:rPr>
      </w:pPr>
      <w:bookmarkStart w:id="84" w:name="_Toc200720675"/>
      <w:r>
        <w:rPr>
          <w:rStyle w:val="CharSectno"/>
        </w:rPr>
        <w:t>19I</w:t>
      </w:r>
      <w:r>
        <w:rPr>
          <w:snapToGrid w:val="0"/>
        </w:rPr>
        <w:t>.</w:t>
      </w:r>
      <w:r>
        <w:rPr>
          <w:snapToGrid w:val="0"/>
        </w:rPr>
        <w:tab/>
        <w:t>Prescribed workplaces</w:t>
      </w:r>
      <w:bookmarkEnd w:id="84"/>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lastRenderedPageBreak/>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Gazette 26 Feb 1991 p. 939.] </w:t>
      </w:r>
    </w:p>
    <w:p>
      <w:pPr>
        <w:pStyle w:val="Heading2"/>
      </w:pPr>
      <w:bookmarkStart w:id="85" w:name="_Toc200720676"/>
      <w:r>
        <w:rPr>
          <w:rStyle w:val="CharPartNo"/>
        </w:rPr>
        <w:lastRenderedPageBreak/>
        <w:t>Part 3A</w:t>
      </w:r>
      <w:r>
        <w:t xml:space="preserve"> — </w:t>
      </w:r>
      <w:r>
        <w:rPr>
          <w:rStyle w:val="CharPartText"/>
        </w:rPr>
        <w:t>Constraints on awards of common law damages</w:t>
      </w:r>
      <w:bookmarkEnd w:id="85"/>
    </w:p>
    <w:p>
      <w:pPr>
        <w:pStyle w:val="Footnoteheading"/>
        <w:tabs>
          <w:tab w:val="left" w:pos="851"/>
        </w:tabs>
      </w:pPr>
      <w:r>
        <w:rPr>
          <w:snapToGrid w:val="0"/>
        </w:rPr>
        <w:tab/>
        <w:t>[</w:t>
      </w:r>
      <w:r>
        <w:t>Heading inserted: Gazette 15 Oct 1999 p. 4890.]</w:t>
      </w:r>
    </w:p>
    <w:p>
      <w:pPr>
        <w:pStyle w:val="Heading3"/>
      </w:pPr>
      <w:bookmarkStart w:id="86" w:name="_Toc200720677"/>
      <w:r>
        <w:rPr>
          <w:rStyle w:val="CharDivNo"/>
        </w:rPr>
        <w:t>Division 1</w:t>
      </w:r>
      <w:r>
        <w:t> — </w:t>
      </w:r>
      <w:r>
        <w:rPr>
          <w:rStyle w:val="CharDivText"/>
        </w:rPr>
        <w:t>1993 scheme</w:t>
      </w:r>
      <w:bookmarkEnd w:id="86"/>
    </w:p>
    <w:p>
      <w:pPr>
        <w:pStyle w:val="Footnoteheading"/>
        <w:tabs>
          <w:tab w:val="left" w:pos="851"/>
        </w:tabs>
      </w:pPr>
      <w:r>
        <w:rPr>
          <w:snapToGrid w:val="0"/>
        </w:rPr>
        <w:tab/>
        <w:t>[</w:t>
      </w:r>
      <w:r>
        <w:t>Heading inserted: Gazette 28 Oct 2005 p. 4885.]</w:t>
      </w:r>
    </w:p>
    <w:p>
      <w:pPr>
        <w:pStyle w:val="Heading5"/>
      </w:pPr>
      <w:bookmarkStart w:id="87" w:name="_Toc200720678"/>
      <w:r>
        <w:rPr>
          <w:rStyle w:val="CharSectno"/>
        </w:rPr>
        <w:t>19IA</w:t>
      </w:r>
      <w:r>
        <w:t>.</w:t>
      </w:r>
      <w:r>
        <w:tab/>
        <w:t>Guides for assessing degree of disability</w:t>
      </w:r>
      <w:bookmarkEnd w:id="87"/>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Gazette 17 Nov 2000 p. 6312</w:t>
      </w:r>
      <w:r>
        <w:noBreakHyphen/>
        <w:t>13; amended: Gazette 28 Oct 2005 p. 4885.]</w:t>
      </w:r>
    </w:p>
    <w:p>
      <w:pPr>
        <w:pStyle w:val="Heading5"/>
      </w:pPr>
      <w:bookmarkStart w:id="88" w:name="_Toc200720679"/>
      <w:r>
        <w:rPr>
          <w:rStyle w:val="CharSectno"/>
        </w:rPr>
        <w:t>19J</w:t>
      </w:r>
      <w:r>
        <w:t>.</w:t>
      </w:r>
      <w:r>
        <w:tab/>
        <w:t>Assessment of degree of disability</w:t>
      </w:r>
      <w:bookmarkEnd w:id="88"/>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lastRenderedPageBreak/>
        <w:tab/>
        <w:t>(3)</w:t>
      </w:r>
      <w:r>
        <w:tab/>
        <w:t>Subject to regulations 19JA and 19JB, a notification under section 93D(8) of the Act is to be made in the form of Form 23 in Appendix I.</w:t>
      </w:r>
    </w:p>
    <w:p>
      <w:pPr>
        <w:pStyle w:val="Footnotesection"/>
      </w:pPr>
      <w:r>
        <w:tab/>
        <w:t>[Regulation 19J inserted: Gazette 15 Oct 1999 p. 4890</w:t>
      </w:r>
      <w:r>
        <w:noBreakHyphen/>
        <w:t>1; amended: Gazette 14 Dec 1999 p. 6147; 26 Oct 2004 p. 4899; 28 Oct 2005 p. 4886 and 4911.]</w:t>
      </w:r>
    </w:p>
    <w:p>
      <w:pPr>
        <w:pStyle w:val="Heading5"/>
      </w:pPr>
      <w:bookmarkStart w:id="89" w:name="_Toc200720680"/>
      <w:r>
        <w:rPr>
          <w:rStyle w:val="CharSectno"/>
        </w:rPr>
        <w:t>19JA</w:t>
      </w:r>
      <w:r>
        <w:t>.</w:t>
      </w:r>
      <w:r>
        <w:tab/>
        <w:t>Method of referral and notification when Act s. 93EA(3) applies</w:t>
      </w:r>
      <w:bookmarkEnd w:id="89"/>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lastRenderedPageBreak/>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Gazette 26 Oct 2004 p. 4899</w:t>
      </w:r>
      <w:r>
        <w:noBreakHyphen/>
        <w:t>900; amended: Gazette 28 Oct 2005 p. 4911.]</w:t>
      </w:r>
    </w:p>
    <w:p>
      <w:pPr>
        <w:pStyle w:val="Heading5"/>
        <w:spacing w:before="180"/>
      </w:pPr>
      <w:bookmarkStart w:id="90" w:name="_Toc200720681"/>
      <w:r>
        <w:rPr>
          <w:rStyle w:val="CharSectno"/>
        </w:rPr>
        <w:t>19JB</w:t>
      </w:r>
      <w:r>
        <w:t>.</w:t>
      </w:r>
      <w:r>
        <w:tab/>
        <w:t>Method of referral and notification when Act s. 93EB(3) applies</w:t>
      </w:r>
      <w:bookmarkEnd w:id="90"/>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lastRenderedPageBreak/>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Gazette 26 Oct 2004 p. 4900</w:t>
      </w:r>
      <w:r>
        <w:noBreakHyphen/>
        <w:t>1; amended: Gazette 28 Oct 2005 p. 4911.]</w:t>
      </w:r>
    </w:p>
    <w:p>
      <w:pPr>
        <w:pStyle w:val="Heading5"/>
      </w:pPr>
      <w:bookmarkStart w:id="91" w:name="_Toc200720682"/>
      <w:r>
        <w:rPr>
          <w:rStyle w:val="CharSectno"/>
        </w:rPr>
        <w:t>19K</w:t>
      </w:r>
      <w:r>
        <w:t>.</w:t>
      </w:r>
      <w:r>
        <w:tab/>
        <w:t>Agreement as to degree of disability</w:t>
      </w:r>
      <w:bookmarkEnd w:id="91"/>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Gazette 15 Oct 1999 p. 4891; amended: Gazette 28 Oct 2005 p. 4886.]</w:t>
      </w:r>
    </w:p>
    <w:p>
      <w:pPr>
        <w:pStyle w:val="Heading5"/>
      </w:pPr>
      <w:bookmarkStart w:id="92" w:name="_Toc200720683"/>
      <w:r>
        <w:rPr>
          <w:rStyle w:val="CharSectno"/>
        </w:rPr>
        <w:t>19L</w:t>
      </w:r>
      <w:r>
        <w:t>.</w:t>
      </w:r>
      <w:r>
        <w:tab/>
        <w:t>Determination of degree of disability</w:t>
      </w:r>
      <w:bookmarkEnd w:id="92"/>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lastRenderedPageBreak/>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Gazette 15 Oct 1999 p. 4891; amended: Gazette 17 Nov 2000 p. 6313; 28 Oct 2005 p. 4886; 18 Nov 2011 p. 4823.]</w:t>
      </w:r>
    </w:p>
    <w:p>
      <w:pPr>
        <w:pStyle w:val="Heading5"/>
      </w:pPr>
      <w:bookmarkStart w:id="93" w:name="_Toc200720684"/>
      <w:r>
        <w:rPr>
          <w:rStyle w:val="CharSectno"/>
        </w:rPr>
        <w:t>19M</w:t>
      </w:r>
      <w:r>
        <w:t>.</w:t>
      </w:r>
      <w:r>
        <w:tab/>
        <w:t>Election to retain right to seek common law damages</w:t>
      </w:r>
      <w:bookmarkEnd w:id="93"/>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lastRenderedPageBreak/>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w:t>
      </w:r>
    </w:p>
    <w:p>
      <w:pPr>
        <w:pStyle w:val="Footnotesection"/>
      </w:pPr>
      <w:r>
        <w:tab/>
        <w:t>[Regulation 19M inserted: Gazette 14 Dec 1999 p. 6147</w:t>
      </w:r>
      <w:r>
        <w:noBreakHyphen/>
        <w:t>8; amended: Gazette 17 Nov 2000 p. 6313</w:t>
      </w:r>
      <w:r>
        <w:noBreakHyphen/>
        <w:t>14.]</w:t>
      </w:r>
    </w:p>
    <w:p>
      <w:pPr>
        <w:pStyle w:val="Heading5"/>
      </w:pPr>
      <w:bookmarkStart w:id="94" w:name="_Toc200720685"/>
      <w:r>
        <w:rPr>
          <w:rStyle w:val="CharSectno"/>
        </w:rPr>
        <w:t>19N</w:t>
      </w:r>
      <w:r>
        <w:t>.</w:t>
      </w:r>
      <w:r>
        <w:tab/>
        <w:t>Extension of time to make election under Act s. 93E(3)(b)</w:t>
      </w:r>
      <w:bookmarkEnd w:id="94"/>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w:t>
      </w:r>
      <w:r>
        <w:lastRenderedPageBreak/>
        <w:t xml:space="preserve">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lastRenderedPageBreak/>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lastRenderedPageBreak/>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Gazette 14 Dec 1999 p. 6149</w:t>
      </w:r>
      <w:r>
        <w:noBreakHyphen/>
        <w:t>50; amended: Gazette 17 Nov 2000 p. 6314</w:t>
      </w:r>
      <w:r>
        <w:noBreakHyphen/>
        <w:t>16; 28 Oct 2005 p. 4911.]</w:t>
      </w:r>
    </w:p>
    <w:p>
      <w:pPr>
        <w:pStyle w:val="Heading5"/>
      </w:pPr>
      <w:bookmarkStart w:id="95" w:name="_Toc200720686"/>
      <w:r>
        <w:rPr>
          <w:rStyle w:val="CharSectno"/>
        </w:rPr>
        <w:t>19O</w:t>
      </w:r>
      <w:r>
        <w:t>.</w:t>
      </w:r>
      <w:r>
        <w:tab/>
        <w:t>Application for compensation</w:t>
      </w:r>
      <w:bookmarkEnd w:id="95"/>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Gazette 15 Oct 1999 p. 4892; amended: Gazette 28 Oct 2005 p. 4886; 18 Nov 2011 p. 4823.]</w:t>
      </w:r>
    </w:p>
    <w:p>
      <w:pPr>
        <w:pStyle w:val="Heading5"/>
      </w:pPr>
      <w:bookmarkStart w:id="96" w:name="_Toc200720687"/>
      <w:r>
        <w:rPr>
          <w:rStyle w:val="CharSectno"/>
        </w:rPr>
        <w:lastRenderedPageBreak/>
        <w:t>19P</w:t>
      </w:r>
      <w:r>
        <w:t>.</w:t>
      </w:r>
      <w:r>
        <w:tab/>
        <w:t>Notification to workers about elections as to common law damages</w:t>
      </w:r>
      <w:bookmarkEnd w:id="96"/>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Gazette 14 Dec 1999 p. 6150</w:t>
      </w:r>
      <w:r>
        <w:noBreakHyphen/>
        <w:t>1; amended: Gazette 17 Nov 2000 p. 6316</w:t>
      </w:r>
      <w:r>
        <w:noBreakHyphen/>
        <w:t>17; 21 Jan 2005 p. 276; 28 Oct 2005 p. 4886.]</w:t>
      </w:r>
    </w:p>
    <w:p>
      <w:pPr>
        <w:pStyle w:val="Heading3"/>
      </w:pPr>
      <w:bookmarkStart w:id="97" w:name="_Toc200720688"/>
      <w:r>
        <w:rPr>
          <w:rStyle w:val="CharDivNo"/>
        </w:rPr>
        <w:lastRenderedPageBreak/>
        <w:t>Division 2</w:t>
      </w:r>
      <w:r>
        <w:t> — </w:t>
      </w:r>
      <w:r>
        <w:rPr>
          <w:rStyle w:val="CharDivText"/>
        </w:rPr>
        <w:t>2004 scheme</w:t>
      </w:r>
      <w:bookmarkEnd w:id="97"/>
    </w:p>
    <w:p>
      <w:pPr>
        <w:pStyle w:val="Footnoteheading"/>
        <w:keepNext/>
        <w:tabs>
          <w:tab w:val="left" w:pos="851"/>
        </w:tabs>
      </w:pPr>
      <w:r>
        <w:rPr>
          <w:snapToGrid w:val="0"/>
        </w:rPr>
        <w:tab/>
        <w:t>[</w:t>
      </w:r>
      <w:r>
        <w:t>Heading inserted: Gazette 28 Oct 2005 p. 4887.]</w:t>
      </w:r>
    </w:p>
    <w:p>
      <w:pPr>
        <w:pStyle w:val="Heading5"/>
        <w:spacing w:before="120"/>
      </w:pPr>
      <w:bookmarkStart w:id="98" w:name="_Toc200720689"/>
      <w:r>
        <w:rPr>
          <w:rStyle w:val="CharSectno"/>
        </w:rPr>
        <w:t>20</w:t>
      </w:r>
      <w:r>
        <w:t>.</w:t>
      </w:r>
      <w:r>
        <w:tab/>
        <w:t>Recording agreement</w:t>
      </w:r>
      <w:bookmarkEnd w:id="98"/>
    </w:p>
    <w:p>
      <w:pPr>
        <w:pStyle w:val="Subsection"/>
        <w:keepNext/>
      </w:pPr>
      <w:r>
        <w:tab/>
        <w:t>(1)</w:t>
      </w:r>
      <w:r>
        <w:tab/>
        <w:t xml:space="preserve">If — </w:t>
      </w:r>
    </w:p>
    <w:p>
      <w:pPr>
        <w:pStyle w:val="Indenta"/>
        <w:keepNext/>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lastRenderedPageBreak/>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Gazette 28 Oct 2005 p. 4887</w:t>
      </w:r>
      <w:r>
        <w:noBreakHyphen/>
        <w:t>8.]</w:t>
      </w:r>
    </w:p>
    <w:p>
      <w:pPr>
        <w:pStyle w:val="Heading5"/>
      </w:pPr>
      <w:bookmarkStart w:id="99" w:name="_Toc200720690"/>
      <w:r>
        <w:rPr>
          <w:rStyle w:val="CharSectno"/>
        </w:rPr>
        <w:t>21</w:t>
      </w:r>
      <w:r>
        <w:t>.</w:t>
      </w:r>
      <w:r>
        <w:tab/>
        <w:t>Recording assessment</w:t>
      </w:r>
      <w:bookmarkEnd w:id="99"/>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keepNext/>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lastRenderedPageBreak/>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Gazette 28 Oct 2005 p. 4888</w:t>
      </w:r>
      <w:r>
        <w:noBreakHyphen/>
        <w:t>9.]</w:t>
      </w:r>
    </w:p>
    <w:p>
      <w:pPr>
        <w:pStyle w:val="Heading5"/>
      </w:pPr>
      <w:bookmarkStart w:id="100" w:name="_Toc200720691"/>
      <w:r>
        <w:rPr>
          <w:rStyle w:val="CharSectno"/>
        </w:rPr>
        <w:t>22</w:t>
      </w:r>
      <w:r>
        <w:t>.</w:t>
      </w:r>
      <w:r>
        <w:tab/>
        <w:t>Electing to retain right to seek damages</w:t>
      </w:r>
      <w:bookmarkEnd w:id="100"/>
    </w:p>
    <w:p>
      <w:pPr>
        <w:pStyle w:val="Subsection"/>
      </w:pPr>
      <w:r>
        <w:tab/>
        <w:t>(1)</w:t>
      </w:r>
      <w:r>
        <w:tab/>
        <w:t>An election under section 93K(4)(a) of the Act is made by completing an election form in the form of Form 34 in Appendix I and lodging it in accordance with regulation 57.</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as soon as practicable after the election form is lodged;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Gazette 28 Oct 2005 p. 4889; amended: SL 2020/149 r. 6.]</w:t>
      </w:r>
    </w:p>
    <w:p>
      <w:pPr>
        <w:pStyle w:val="Ednotesection"/>
      </w:pPr>
      <w:r>
        <w:t>[</w:t>
      </w:r>
      <w:r>
        <w:rPr>
          <w:b/>
        </w:rPr>
        <w:t>23.</w:t>
      </w:r>
      <w:r>
        <w:tab/>
        <w:t>Deleted: SL 2020/188 r. 14.]</w:t>
      </w:r>
    </w:p>
    <w:p>
      <w:pPr>
        <w:pStyle w:val="Heading5"/>
        <w:spacing w:before="180"/>
      </w:pPr>
      <w:bookmarkStart w:id="101" w:name="_Toc200720692"/>
      <w:r>
        <w:rPr>
          <w:rStyle w:val="CharSectno"/>
        </w:rPr>
        <w:t>24</w:t>
      </w:r>
      <w:r>
        <w:t>.</w:t>
      </w:r>
      <w:r>
        <w:tab/>
        <w:t>Expected time for approved medical specialist to give assessment documents</w:t>
      </w:r>
      <w:bookmarkEnd w:id="101"/>
    </w:p>
    <w:p>
      <w:pPr>
        <w:pStyle w:val="Subsection"/>
        <w:spacing w:before="120"/>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Gazette 28 Oct 2005 p. 4892.]</w:t>
      </w:r>
    </w:p>
    <w:p>
      <w:pPr>
        <w:pStyle w:val="Heading5"/>
      </w:pPr>
      <w:bookmarkStart w:id="102" w:name="_Toc200720693"/>
      <w:r>
        <w:rPr>
          <w:rStyle w:val="CharSectno"/>
        </w:rPr>
        <w:lastRenderedPageBreak/>
        <w:t>25</w:t>
      </w:r>
      <w:r>
        <w:t>.</w:t>
      </w:r>
      <w:r>
        <w:tab/>
        <w:t>Notice relating to common law claims</w:t>
      </w:r>
      <w:bookmarkEnd w:id="102"/>
    </w:p>
    <w:p>
      <w:pPr>
        <w:pStyle w:val="Subsection"/>
      </w:pPr>
      <w:r>
        <w:tab/>
        <w:t>(1)</w:t>
      </w:r>
      <w:r>
        <w:tab/>
        <w:t xml:space="preserve">In this regulation — </w:t>
      </w:r>
    </w:p>
    <w:p>
      <w:pPr>
        <w:pStyle w:val="Defstart"/>
      </w:pPr>
      <w:r>
        <w:tab/>
      </w:r>
      <w:r>
        <w:rPr>
          <w:rStyle w:val="CharDefText"/>
        </w:rPr>
        <w:t>approved form</w:t>
      </w:r>
      <w:r>
        <w:t xml:space="preserve"> means a form approved by the chief executive officer.</w:t>
      </w:r>
    </w:p>
    <w:p>
      <w:pPr>
        <w:pStyle w:val="Subsection"/>
      </w:pPr>
      <w:r>
        <w:tab/>
        <w:t>(2)</w:t>
      </w:r>
      <w:r>
        <w:tab/>
        <w:t>This regulation applies in relation to a claim by a worker for compensation by way of weekly payments.</w:t>
      </w:r>
    </w:p>
    <w:p>
      <w:pPr>
        <w:pStyle w:val="Subsection"/>
      </w:pPr>
      <w:r>
        <w:tab/>
        <w:t>(3)</w:t>
      </w:r>
      <w:r>
        <w:tab/>
        <w:t>If an insurer notifies the worker under section 57A of the Act that liability is accepted in relation to the claim, the insurer must at the same time notify the worker, in the approved form, of the effect of the provisions of Part IV Division 2 Subdivision 3.</w:t>
      </w:r>
    </w:p>
    <w:p>
      <w:pPr>
        <w:pStyle w:val="Penstart"/>
      </w:pPr>
      <w:r>
        <w:tab/>
        <w:t>Penalty for this subregulation: a fine of $1 000.</w:t>
      </w:r>
    </w:p>
    <w:p>
      <w:pPr>
        <w:pStyle w:val="Subsection"/>
        <w:keepNext/>
      </w:pPr>
      <w:r>
        <w:tab/>
        <w:t>(4)</w:t>
      </w:r>
      <w:r>
        <w:tab/>
        <w:t>If a self</w:t>
      </w:r>
      <w:r>
        <w:noBreakHyphen/>
        <w:t>insurer accepts liability in relation to the claim, the self</w:t>
      </w:r>
      <w:r>
        <w:noBreakHyphen/>
        <w:t>insurer must on or before making the 1</w:t>
      </w:r>
      <w:r>
        <w:rPr>
          <w:vertAlign w:val="superscript"/>
        </w:rPr>
        <w:t>st</w:t>
      </w:r>
      <w:r>
        <w:t xml:space="preserve"> weekly payment notify the worker, in the approved form, of the effect of the provisions of Part IV Division 2 Subdivision 3.</w:t>
      </w:r>
    </w:p>
    <w:p>
      <w:pPr>
        <w:pStyle w:val="Penstart"/>
      </w:pPr>
      <w:r>
        <w:tab/>
        <w:t>Penalty for this subregulation: a fine of $1 000.</w:t>
      </w:r>
    </w:p>
    <w:p>
      <w:pPr>
        <w:pStyle w:val="Footnotesection"/>
      </w:pPr>
      <w:r>
        <w:tab/>
        <w:t>[Regulation 25 inserted: SL 2020/188 r. 15.]</w:t>
      </w:r>
    </w:p>
    <w:p>
      <w:pPr>
        <w:pStyle w:val="Heading2"/>
      </w:pPr>
      <w:bookmarkStart w:id="103" w:name="_Toc200720694"/>
      <w:r>
        <w:rPr>
          <w:rStyle w:val="CharPartNo"/>
        </w:rPr>
        <w:lastRenderedPageBreak/>
        <w:t>Part 4</w:t>
      </w:r>
      <w:r>
        <w:rPr>
          <w:b w:val="0"/>
        </w:rPr>
        <w:t> </w:t>
      </w:r>
      <w:r>
        <w:t>—</w:t>
      </w:r>
      <w:r>
        <w:rPr>
          <w:b w:val="0"/>
        </w:rPr>
        <w:t> </w:t>
      </w:r>
      <w:r>
        <w:rPr>
          <w:rStyle w:val="CharPartText"/>
        </w:rPr>
        <w:t>Registered agents</w:t>
      </w:r>
      <w:bookmarkEnd w:id="103"/>
    </w:p>
    <w:p>
      <w:pPr>
        <w:pStyle w:val="Footnoteheading"/>
        <w:tabs>
          <w:tab w:val="left" w:pos="851"/>
        </w:tabs>
      </w:pPr>
      <w:r>
        <w:rPr>
          <w:snapToGrid w:val="0"/>
        </w:rPr>
        <w:tab/>
        <w:t>[</w:t>
      </w:r>
      <w:r>
        <w:t>Heading inserted: Gazette 28 Oct 2005 p. 4893.]</w:t>
      </w:r>
    </w:p>
    <w:p>
      <w:pPr>
        <w:pStyle w:val="Heading3"/>
      </w:pPr>
      <w:bookmarkStart w:id="104" w:name="_Toc200720695"/>
      <w:r>
        <w:rPr>
          <w:rStyle w:val="CharDivNo"/>
        </w:rPr>
        <w:t>Division 1</w:t>
      </w:r>
      <w:r>
        <w:t> — </w:t>
      </w:r>
      <w:r>
        <w:rPr>
          <w:rStyle w:val="CharDivText"/>
        </w:rPr>
        <w:t>Preliminary</w:t>
      </w:r>
      <w:bookmarkEnd w:id="104"/>
    </w:p>
    <w:p>
      <w:pPr>
        <w:pStyle w:val="Footnoteheading"/>
        <w:tabs>
          <w:tab w:val="left" w:pos="851"/>
        </w:tabs>
      </w:pPr>
      <w:r>
        <w:rPr>
          <w:snapToGrid w:val="0"/>
        </w:rPr>
        <w:tab/>
        <w:t>[</w:t>
      </w:r>
      <w:r>
        <w:t>Heading inserted: Gazette 28 Oct 2005 p. 4893.]</w:t>
      </w:r>
    </w:p>
    <w:p>
      <w:pPr>
        <w:pStyle w:val="Heading5"/>
      </w:pPr>
      <w:bookmarkStart w:id="105" w:name="_Toc200720696"/>
      <w:r>
        <w:rPr>
          <w:rStyle w:val="CharSectno"/>
        </w:rPr>
        <w:t>26</w:t>
      </w:r>
      <w:r>
        <w:t>.</w:t>
      </w:r>
      <w:r>
        <w:tab/>
        <w:t>Terms used</w:t>
      </w:r>
      <w:bookmarkEnd w:id="105"/>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Gazette 28 Oct 2005 p. 4893; amended: Gazette 9 Dec 2005 p. 5892.]</w:t>
      </w:r>
    </w:p>
    <w:p>
      <w:pPr>
        <w:pStyle w:val="Heading5"/>
      </w:pPr>
      <w:bookmarkStart w:id="106" w:name="_Toc200720697"/>
      <w:r>
        <w:rPr>
          <w:rStyle w:val="CharSectno"/>
        </w:rPr>
        <w:lastRenderedPageBreak/>
        <w:t>27</w:t>
      </w:r>
      <w:r>
        <w:t>.</w:t>
      </w:r>
      <w:r>
        <w:tab/>
        <w:t>Prescribed organisations (Act s. 277(1)(e))</w:t>
      </w:r>
      <w:bookmarkEnd w:id="106"/>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Gazette 9 Dec 2005 p. 5892.]</w:t>
      </w:r>
    </w:p>
    <w:p>
      <w:pPr>
        <w:pStyle w:val="Heading5"/>
      </w:pPr>
      <w:bookmarkStart w:id="107" w:name="_Toc200720698"/>
      <w:r>
        <w:rPr>
          <w:rStyle w:val="CharSectno"/>
        </w:rPr>
        <w:t>27A</w:t>
      </w:r>
      <w:r>
        <w:t>.</w:t>
      </w:r>
      <w:r>
        <w:tab/>
        <w:t>Prescribed classes of persons (Act s. 277(1)(f))</w:t>
      </w:r>
      <w:bookmarkEnd w:id="107"/>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Gazette 9 Dec 2005 p. 5892</w:t>
      </w:r>
      <w:r>
        <w:noBreakHyphen/>
        <w:t>3; amended: Gazette 18 Nov 2011 p. 4823.]</w:t>
      </w:r>
    </w:p>
    <w:p>
      <w:pPr>
        <w:pStyle w:val="Heading3"/>
      </w:pPr>
      <w:bookmarkStart w:id="108" w:name="_Toc200720699"/>
      <w:r>
        <w:rPr>
          <w:rStyle w:val="CharDivNo"/>
        </w:rPr>
        <w:t>Division 2</w:t>
      </w:r>
      <w:r>
        <w:t xml:space="preserve"> — </w:t>
      </w:r>
      <w:r>
        <w:rPr>
          <w:rStyle w:val="CharDivText"/>
        </w:rPr>
        <w:t>Registration and renewal</w:t>
      </w:r>
      <w:bookmarkEnd w:id="108"/>
    </w:p>
    <w:p>
      <w:pPr>
        <w:pStyle w:val="Footnoteheading"/>
        <w:tabs>
          <w:tab w:val="left" w:pos="851"/>
        </w:tabs>
      </w:pPr>
      <w:r>
        <w:rPr>
          <w:snapToGrid w:val="0"/>
        </w:rPr>
        <w:tab/>
        <w:t>[</w:t>
      </w:r>
      <w:r>
        <w:t>Heading inserted: Gazette 28 Oct 2005 p. 4894.]</w:t>
      </w:r>
    </w:p>
    <w:p>
      <w:pPr>
        <w:pStyle w:val="Heading5"/>
      </w:pPr>
      <w:bookmarkStart w:id="109" w:name="_Toc200720700"/>
      <w:r>
        <w:rPr>
          <w:rStyle w:val="CharSectno"/>
        </w:rPr>
        <w:t>28</w:t>
      </w:r>
      <w:r>
        <w:t>.</w:t>
      </w:r>
      <w:r>
        <w:tab/>
        <w:t>Application for registration</w:t>
      </w:r>
      <w:bookmarkEnd w:id="109"/>
    </w:p>
    <w:p>
      <w:pPr>
        <w:pStyle w:val="Subsection"/>
      </w:pPr>
      <w:r>
        <w:tab/>
        <w:t>(1)</w:t>
      </w:r>
      <w:r>
        <w:tab/>
        <w:t>An application for registration must be made to WorkCover WA in a form approved by WorkCover WA.</w:t>
      </w:r>
    </w:p>
    <w:p>
      <w:pPr>
        <w:pStyle w:val="Subsection"/>
      </w:pPr>
      <w:r>
        <w:lastRenderedPageBreak/>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lastRenderedPageBreak/>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The applicant must provide WorkCover WA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Gazette 28 Oct 2005 p. 4894</w:t>
      </w:r>
      <w:r>
        <w:noBreakHyphen/>
        <w:t>5; amended: Gazette 9 Dec 2005 p. 5893</w:t>
      </w:r>
      <w:r>
        <w:noBreakHyphen/>
        <w:t>4.]</w:t>
      </w:r>
    </w:p>
    <w:p>
      <w:pPr>
        <w:pStyle w:val="Heading5"/>
      </w:pPr>
      <w:bookmarkStart w:id="110" w:name="_Toc200720701"/>
      <w:r>
        <w:rPr>
          <w:rStyle w:val="CharSectno"/>
        </w:rPr>
        <w:t>29</w:t>
      </w:r>
      <w:r>
        <w:t>.</w:t>
      </w:r>
      <w:r>
        <w:tab/>
        <w:t>Registration</w:t>
      </w:r>
      <w:bookmarkEnd w:id="110"/>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lastRenderedPageBreak/>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Gazette 28 Oct 2005 p. 4895; amended: Gazette 9 Dec 2005 p. 5894</w:t>
      </w:r>
      <w:r>
        <w:noBreakHyphen/>
        <w:t>5.]</w:t>
      </w:r>
    </w:p>
    <w:p>
      <w:pPr>
        <w:pStyle w:val="Heading5"/>
      </w:pPr>
      <w:bookmarkStart w:id="111" w:name="_Toc200720702"/>
      <w:r>
        <w:rPr>
          <w:rStyle w:val="CharSectno"/>
        </w:rPr>
        <w:t>30</w:t>
      </w:r>
      <w:r>
        <w:t>.</w:t>
      </w:r>
      <w:r>
        <w:tab/>
        <w:t>Indemnity and other conditions of registration</w:t>
      </w:r>
      <w:bookmarkEnd w:id="111"/>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lastRenderedPageBreak/>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Gazette 28 Oct 2005 p. 4895</w:t>
      </w:r>
      <w:r>
        <w:noBreakHyphen/>
        <w:t>6; amended: Gazette 9 Dec 2005 p. 5895.]</w:t>
      </w:r>
    </w:p>
    <w:p>
      <w:pPr>
        <w:pStyle w:val="Heading5"/>
      </w:pPr>
      <w:bookmarkStart w:id="112" w:name="_Toc200720703"/>
      <w:r>
        <w:rPr>
          <w:rStyle w:val="CharSectno"/>
        </w:rPr>
        <w:t>31</w:t>
      </w:r>
      <w:r>
        <w:t>.</w:t>
      </w:r>
      <w:r>
        <w:tab/>
        <w:t>Duration of registration</w:t>
      </w:r>
      <w:bookmarkEnd w:id="112"/>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 xml:space="preserve">If a registered agent is removed from the register under regulation 36, or has his or her registration suspended or </w:t>
      </w:r>
      <w:r>
        <w:lastRenderedPageBreak/>
        <w:t>cancelled under regulation 38 or 39, the registration or renewal has effect until that removal or suspension, as the case requires.</w:t>
      </w:r>
    </w:p>
    <w:p>
      <w:pPr>
        <w:pStyle w:val="Footnotesection"/>
      </w:pPr>
      <w:r>
        <w:tab/>
        <w:t>[Regulation 31 inserted: Gazette 28 Oct 2005 p. 4896.]</w:t>
      </w:r>
    </w:p>
    <w:p>
      <w:pPr>
        <w:pStyle w:val="Heading5"/>
        <w:keepNext w:val="0"/>
        <w:keepLines w:val="0"/>
        <w:spacing w:before="180"/>
      </w:pPr>
      <w:bookmarkStart w:id="113" w:name="_Toc200720704"/>
      <w:r>
        <w:rPr>
          <w:rStyle w:val="CharSectno"/>
        </w:rPr>
        <w:t>32</w:t>
      </w:r>
      <w:r>
        <w:t>.</w:t>
      </w:r>
      <w:r>
        <w:tab/>
        <w:t>Application for renewal of registration</w:t>
      </w:r>
      <w:bookmarkEnd w:id="113"/>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Gazette 28 Oct 2005 p. 4896</w:t>
      </w:r>
      <w:r>
        <w:noBreakHyphen/>
        <w:t>7; amended: Gazette 9 Dec 2005 p. 5895</w:t>
      </w:r>
      <w:r>
        <w:noBreakHyphen/>
        <w:t>6.]</w:t>
      </w:r>
    </w:p>
    <w:p>
      <w:pPr>
        <w:pStyle w:val="Heading5"/>
      </w:pPr>
      <w:bookmarkStart w:id="114" w:name="_Toc200720705"/>
      <w:r>
        <w:rPr>
          <w:rStyle w:val="CharSectno"/>
        </w:rPr>
        <w:t>33</w:t>
      </w:r>
      <w:r>
        <w:t>.</w:t>
      </w:r>
      <w:r>
        <w:tab/>
        <w:t>Certificate of registration</w:t>
      </w:r>
      <w:bookmarkEnd w:id="114"/>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lastRenderedPageBreak/>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Gazette 28 Oct 2005 p. 4897.]</w:t>
      </w:r>
    </w:p>
    <w:p>
      <w:pPr>
        <w:pStyle w:val="Heading5"/>
      </w:pPr>
      <w:bookmarkStart w:id="115" w:name="_Toc200720706"/>
      <w:r>
        <w:rPr>
          <w:rStyle w:val="CharSectno"/>
        </w:rPr>
        <w:t>34</w:t>
      </w:r>
      <w:r>
        <w:t>.</w:t>
      </w:r>
      <w:r>
        <w:tab/>
        <w:t>False or misleading information</w:t>
      </w:r>
      <w:bookmarkEnd w:id="115"/>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Gazette 28 Oct 2005 p. 4897.]</w:t>
      </w:r>
    </w:p>
    <w:p>
      <w:pPr>
        <w:pStyle w:val="Heading3"/>
      </w:pPr>
      <w:bookmarkStart w:id="116" w:name="_Toc200720707"/>
      <w:r>
        <w:rPr>
          <w:rStyle w:val="CharDivNo"/>
        </w:rPr>
        <w:t>Division 3</w:t>
      </w:r>
      <w:r>
        <w:t> — </w:t>
      </w:r>
      <w:r>
        <w:rPr>
          <w:rStyle w:val="CharDivText"/>
        </w:rPr>
        <w:t>The register</w:t>
      </w:r>
      <w:bookmarkEnd w:id="116"/>
    </w:p>
    <w:p>
      <w:pPr>
        <w:pStyle w:val="Footnoteheading"/>
        <w:tabs>
          <w:tab w:val="left" w:pos="851"/>
        </w:tabs>
      </w:pPr>
      <w:r>
        <w:rPr>
          <w:snapToGrid w:val="0"/>
        </w:rPr>
        <w:tab/>
        <w:t>[</w:t>
      </w:r>
      <w:r>
        <w:t>Heading inserted: Gazette 28 Oct 2005 p. 4898.]</w:t>
      </w:r>
    </w:p>
    <w:p>
      <w:pPr>
        <w:pStyle w:val="Heading5"/>
      </w:pPr>
      <w:bookmarkStart w:id="117" w:name="_Toc200720708"/>
      <w:r>
        <w:rPr>
          <w:rStyle w:val="CharSectno"/>
        </w:rPr>
        <w:t>35</w:t>
      </w:r>
      <w:r>
        <w:t>.</w:t>
      </w:r>
      <w:r>
        <w:tab/>
        <w:t>Register</w:t>
      </w:r>
      <w:bookmarkEnd w:id="117"/>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lastRenderedPageBreak/>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Gazette 28 Oct 2005 p. 4898; amended: Gazette 9 Dec 2005 p. 5896.]</w:t>
      </w:r>
    </w:p>
    <w:p>
      <w:pPr>
        <w:pStyle w:val="Heading5"/>
      </w:pPr>
      <w:bookmarkStart w:id="118" w:name="_Toc200720709"/>
      <w:r>
        <w:rPr>
          <w:rStyle w:val="CharSectno"/>
        </w:rPr>
        <w:t>36</w:t>
      </w:r>
      <w:r>
        <w:t>.</w:t>
      </w:r>
      <w:r>
        <w:tab/>
        <w:t>Removal from register</w:t>
      </w:r>
      <w:bookmarkEnd w:id="118"/>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Gazette 28 Oct 2005 p. 4898</w:t>
      </w:r>
      <w:r>
        <w:noBreakHyphen/>
        <w:t>9.]</w:t>
      </w:r>
    </w:p>
    <w:p>
      <w:pPr>
        <w:pStyle w:val="Heading3"/>
      </w:pPr>
      <w:bookmarkStart w:id="119" w:name="_Toc200720710"/>
      <w:r>
        <w:rPr>
          <w:rStyle w:val="CharDivNo"/>
        </w:rPr>
        <w:t>Division 4</w:t>
      </w:r>
      <w:r>
        <w:t> — </w:t>
      </w:r>
      <w:r>
        <w:rPr>
          <w:rStyle w:val="CharDivText"/>
        </w:rPr>
        <w:t>Disciplinary powers</w:t>
      </w:r>
      <w:bookmarkEnd w:id="119"/>
    </w:p>
    <w:p>
      <w:pPr>
        <w:pStyle w:val="Footnoteheading"/>
        <w:tabs>
          <w:tab w:val="left" w:pos="851"/>
        </w:tabs>
      </w:pPr>
      <w:r>
        <w:rPr>
          <w:snapToGrid w:val="0"/>
        </w:rPr>
        <w:tab/>
        <w:t>[</w:t>
      </w:r>
      <w:r>
        <w:t>Heading inserted: Gazette 28 Oct 2005 p. 4899.]</w:t>
      </w:r>
    </w:p>
    <w:p>
      <w:pPr>
        <w:pStyle w:val="Heading5"/>
      </w:pPr>
      <w:bookmarkStart w:id="120" w:name="_Toc200720711"/>
      <w:r>
        <w:rPr>
          <w:rStyle w:val="CharSectno"/>
        </w:rPr>
        <w:t>37</w:t>
      </w:r>
      <w:r>
        <w:t>.</w:t>
      </w:r>
      <w:r>
        <w:tab/>
        <w:t>Restriction on exercise of powers</w:t>
      </w:r>
      <w:bookmarkEnd w:id="120"/>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lastRenderedPageBreak/>
        <w:tab/>
        <w:t>[Regulation 37 inserted: Gazette 28 Oct 2005 p. 4899; amended: Gazette 9 Dec 2005 p. 5896.]</w:t>
      </w:r>
    </w:p>
    <w:p>
      <w:pPr>
        <w:pStyle w:val="Heading5"/>
      </w:pPr>
      <w:bookmarkStart w:id="121" w:name="_Toc200720712"/>
      <w:r>
        <w:rPr>
          <w:rStyle w:val="CharSectno"/>
        </w:rPr>
        <w:t>38</w:t>
      </w:r>
      <w:r>
        <w:t>.</w:t>
      </w:r>
      <w:r>
        <w:tab/>
        <w:t>Cancellation of registration</w:t>
      </w:r>
      <w:bookmarkEnd w:id="121"/>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Gazette 28 Oct 2005 p. 4899.]</w:t>
      </w:r>
    </w:p>
    <w:p>
      <w:pPr>
        <w:pStyle w:val="Heading5"/>
      </w:pPr>
      <w:bookmarkStart w:id="122" w:name="_Toc200720713"/>
      <w:r>
        <w:rPr>
          <w:rStyle w:val="CharSectno"/>
        </w:rPr>
        <w:t>39</w:t>
      </w:r>
      <w:r>
        <w:t>.</w:t>
      </w:r>
      <w:r>
        <w:tab/>
        <w:t>Taking disciplinary action</w:t>
      </w:r>
      <w:bookmarkEnd w:id="122"/>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Gazette 28 Oct 2005 p. 4899</w:t>
      </w:r>
      <w:r>
        <w:noBreakHyphen/>
        <w:t>900.]</w:t>
      </w:r>
    </w:p>
    <w:p>
      <w:pPr>
        <w:pStyle w:val="Heading5"/>
      </w:pPr>
      <w:bookmarkStart w:id="123" w:name="_Toc200720714"/>
      <w:r>
        <w:rPr>
          <w:rStyle w:val="CharSectno"/>
        </w:rPr>
        <w:lastRenderedPageBreak/>
        <w:t>40</w:t>
      </w:r>
      <w:r>
        <w:t>.</w:t>
      </w:r>
      <w:r>
        <w:tab/>
        <w:t>Return of certificate of registration</w:t>
      </w:r>
      <w:bookmarkEnd w:id="123"/>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Gazette 28 Oct 2005 p. 4900.]</w:t>
      </w:r>
    </w:p>
    <w:p>
      <w:pPr>
        <w:pStyle w:val="Heading3"/>
      </w:pPr>
      <w:bookmarkStart w:id="124" w:name="_Toc200720715"/>
      <w:r>
        <w:rPr>
          <w:rStyle w:val="CharDivNo"/>
        </w:rPr>
        <w:t>Division 5</w:t>
      </w:r>
      <w:r>
        <w:t> — </w:t>
      </w:r>
      <w:r>
        <w:rPr>
          <w:rStyle w:val="CharDivText"/>
        </w:rPr>
        <w:t>Review</w:t>
      </w:r>
      <w:bookmarkEnd w:id="124"/>
    </w:p>
    <w:p>
      <w:pPr>
        <w:pStyle w:val="Footnoteheading"/>
        <w:tabs>
          <w:tab w:val="left" w:pos="851"/>
        </w:tabs>
      </w:pPr>
      <w:r>
        <w:rPr>
          <w:snapToGrid w:val="0"/>
        </w:rPr>
        <w:tab/>
        <w:t>[</w:t>
      </w:r>
      <w:r>
        <w:t>Heading inserted: Gazette 28 Oct 2005 p. 4900.]</w:t>
      </w:r>
    </w:p>
    <w:p>
      <w:pPr>
        <w:pStyle w:val="Heading5"/>
      </w:pPr>
      <w:bookmarkStart w:id="125" w:name="_Toc200720716"/>
      <w:r>
        <w:rPr>
          <w:rStyle w:val="CharSectno"/>
        </w:rPr>
        <w:t>41</w:t>
      </w:r>
      <w:r>
        <w:t>.</w:t>
      </w:r>
      <w:r>
        <w:tab/>
        <w:t>Review by SAT</w:t>
      </w:r>
      <w:bookmarkEnd w:id="125"/>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Gazette 28 Oct 2005 p. 4900.]</w:t>
      </w:r>
    </w:p>
    <w:p>
      <w:pPr>
        <w:pStyle w:val="Heading3"/>
      </w:pPr>
      <w:bookmarkStart w:id="126" w:name="_Toc200720717"/>
      <w:r>
        <w:rPr>
          <w:rStyle w:val="CharDivNo"/>
        </w:rPr>
        <w:t>Division 6</w:t>
      </w:r>
      <w:r>
        <w:t> — </w:t>
      </w:r>
      <w:r>
        <w:rPr>
          <w:rStyle w:val="CharDivText"/>
        </w:rPr>
        <w:t>Miscellaneous</w:t>
      </w:r>
      <w:bookmarkEnd w:id="126"/>
    </w:p>
    <w:p>
      <w:pPr>
        <w:pStyle w:val="Footnoteheading"/>
        <w:tabs>
          <w:tab w:val="left" w:pos="851"/>
        </w:tabs>
      </w:pPr>
      <w:r>
        <w:rPr>
          <w:snapToGrid w:val="0"/>
        </w:rPr>
        <w:tab/>
        <w:t>[</w:t>
      </w:r>
      <w:r>
        <w:t>Heading inserted: Gazette 28 Oct 2005 p. 4901.]</w:t>
      </w:r>
    </w:p>
    <w:p>
      <w:pPr>
        <w:pStyle w:val="Heading5"/>
      </w:pPr>
      <w:bookmarkStart w:id="127" w:name="_Toc200720718"/>
      <w:r>
        <w:rPr>
          <w:rStyle w:val="CharSectno"/>
        </w:rPr>
        <w:t>42</w:t>
      </w:r>
      <w:r>
        <w:t>.</w:t>
      </w:r>
      <w:r>
        <w:tab/>
        <w:t>Evidentiary matters</w:t>
      </w:r>
      <w:bookmarkEnd w:id="127"/>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lastRenderedPageBreak/>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Gazette 28 Oct 2005 p. 4901.]</w:t>
      </w:r>
    </w:p>
    <w:p>
      <w:pPr>
        <w:pStyle w:val="Ednotesection"/>
      </w:pPr>
      <w:r>
        <w:t>[</w:t>
      </w:r>
      <w:r>
        <w:rPr>
          <w:b/>
        </w:rPr>
        <w:t>43.</w:t>
      </w:r>
      <w:r>
        <w:tab/>
        <w:t xml:space="preserve">Deleted: Gazette 18 Nov 2011 p. 4823.] </w:t>
      </w:r>
    </w:p>
    <w:p>
      <w:pPr>
        <w:pStyle w:val="Heading2"/>
      </w:pPr>
      <w:bookmarkStart w:id="128" w:name="_Toc200720719"/>
      <w:r>
        <w:rPr>
          <w:rStyle w:val="CharPartNo"/>
        </w:rPr>
        <w:lastRenderedPageBreak/>
        <w:t>Part 5</w:t>
      </w:r>
      <w:r>
        <w:rPr>
          <w:rStyle w:val="CharDivNo"/>
        </w:rPr>
        <w:t> </w:t>
      </w:r>
      <w:r>
        <w:t>—</w:t>
      </w:r>
      <w:r>
        <w:rPr>
          <w:rStyle w:val="CharDivText"/>
        </w:rPr>
        <w:t> </w:t>
      </w:r>
      <w:r>
        <w:rPr>
          <w:rStyle w:val="CharPartText"/>
        </w:rPr>
        <w:t>Injury management</w:t>
      </w:r>
      <w:bookmarkEnd w:id="128"/>
    </w:p>
    <w:p>
      <w:pPr>
        <w:pStyle w:val="Footnoteheading"/>
        <w:tabs>
          <w:tab w:val="left" w:pos="851"/>
        </w:tabs>
      </w:pPr>
      <w:r>
        <w:rPr>
          <w:snapToGrid w:val="0"/>
        </w:rPr>
        <w:tab/>
        <w:t>[</w:t>
      </w:r>
      <w:r>
        <w:t>Heading inserted: Gazette 28 Oct 2005 p. 4903.]</w:t>
      </w:r>
    </w:p>
    <w:p>
      <w:pPr>
        <w:pStyle w:val="Heading5"/>
      </w:pPr>
      <w:bookmarkStart w:id="129" w:name="_Toc200720720"/>
      <w:r>
        <w:rPr>
          <w:rStyle w:val="CharSectno"/>
        </w:rPr>
        <w:t>44</w:t>
      </w:r>
      <w:r>
        <w:t>.</w:t>
      </w:r>
      <w:r>
        <w:tab/>
        <w:t>Vocational rehabilitation services</w:t>
      </w:r>
      <w:bookmarkEnd w:id="129"/>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 xml:space="preserve">activities associated with the management of the worker’s return to work, which may include liaising and negotiating with the parties, developing, coordinating and </w:t>
            </w:r>
            <w:r>
              <w:lastRenderedPageBreak/>
              <w:t>otherwise managing, and reviewing, the service delivery plan, and arranging for interpreter services</w:t>
            </w:r>
          </w:p>
        </w:tc>
      </w:tr>
      <w:tr>
        <w:tc>
          <w:tcPr>
            <w:tcW w:w="1374" w:type="dxa"/>
          </w:tcPr>
          <w:p>
            <w:pPr>
              <w:pStyle w:val="TableNAm"/>
              <w:spacing w:before="60"/>
            </w:pPr>
            <w:r>
              <w:lastRenderedPageBreak/>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lastRenderedPageBreak/>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lastRenderedPageBreak/>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Gazette 28 Oct 2005 p. 4903</w:t>
      </w:r>
      <w:r>
        <w:noBreakHyphen/>
        <w:t>5.]</w:t>
      </w:r>
    </w:p>
    <w:p>
      <w:pPr>
        <w:pStyle w:val="Heading5"/>
      </w:pPr>
      <w:bookmarkStart w:id="130" w:name="_Toc200720721"/>
      <w:r>
        <w:rPr>
          <w:rStyle w:val="CharSectno"/>
        </w:rPr>
        <w:t>44A</w:t>
      </w:r>
      <w:r>
        <w:t>.</w:t>
      </w:r>
      <w:r>
        <w:tab/>
        <w:t>Counselling psychology</w:t>
      </w:r>
      <w:bookmarkEnd w:id="130"/>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Gazette 15 Dec 2006 p. 5637.]</w:t>
      </w:r>
    </w:p>
    <w:p>
      <w:pPr>
        <w:pStyle w:val="Heading5"/>
      </w:pPr>
      <w:bookmarkStart w:id="131" w:name="_Toc200720722"/>
      <w:r>
        <w:rPr>
          <w:rStyle w:val="CharSectno"/>
        </w:rPr>
        <w:t>44B</w:t>
      </w:r>
      <w:r>
        <w:t>.</w:t>
      </w:r>
      <w:r>
        <w:tab/>
        <w:t>Exercise physiology</w:t>
      </w:r>
      <w:bookmarkEnd w:id="131"/>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Australia.</w:t>
      </w:r>
    </w:p>
    <w:p>
      <w:pPr>
        <w:pStyle w:val="Subsection"/>
        <w:spacing w:before="120"/>
      </w:pPr>
      <w:r>
        <w:tab/>
        <w:t>(2)</w:t>
      </w:r>
      <w:r>
        <w:tab/>
        <w:t xml:space="preserve">Where exercise physiology is approved under section 5(1) of the Act as an “approved treatment” for workers suffering </w:t>
      </w:r>
      <w:r>
        <w:lastRenderedPageBreak/>
        <w:t>disabilities that are compensable under the Act, that treatment can only be provided by an exercise physiologist.</w:t>
      </w:r>
    </w:p>
    <w:p>
      <w:pPr>
        <w:pStyle w:val="Footnotesection"/>
      </w:pPr>
      <w:r>
        <w:tab/>
        <w:t>[Regulation 44B inserted: Gazette 17 Dec 2008 p. 5333</w:t>
      </w:r>
      <w:r>
        <w:noBreakHyphen/>
        <w:t>4; amended: Gazette 14 Dec 2012 p. 6209.]</w:t>
      </w:r>
    </w:p>
    <w:p>
      <w:pPr>
        <w:pStyle w:val="Heading5"/>
      </w:pPr>
      <w:bookmarkStart w:id="132" w:name="_Toc200720723"/>
      <w:r>
        <w:rPr>
          <w:rStyle w:val="CharSectno"/>
        </w:rPr>
        <w:t>44C</w:t>
      </w:r>
      <w:r>
        <w:t>.</w:t>
      </w:r>
      <w:r>
        <w:tab/>
        <w:t>Acupuncture</w:t>
      </w:r>
      <w:bookmarkEnd w:id="132"/>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Gazette 20 Mar 2015 p. 910</w:t>
      </w:r>
      <w:r>
        <w:noBreakHyphen/>
        <w:t>11.]</w:t>
      </w:r>
    </w:p>
    <w:p>
      <w:pPr>
        <w:pStyle w:val="Heading5"/>
        <w:spacing w:before="240"/>
      </w:pPr>
      <w:bookmarkStart w:id="133" w:name="_Toc200720724"/>
      <w:r>
        <w:rPr>
          <w:rStyle w:val="CharSectno"/>
        </w:rPr>
        <w:t>45</w:t>
      </w:r>
      <w:r>
        <w:t>.</w:t>
      </w:r>
      <w:r>
        <w:tab/>
        <w:t>Insurer to advise of injury management obligations</w:t>
      </w:r>
      <w:bookmarkEnd w:id="133"/>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spacing w:before="180"/>
      </w:pPr>
      <w:r>
        <w:lastRenderedPageBreak/>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Gazette 28 Oct 2005 p. 4905</w:t>
      </w:r>
      <w:r>
        <w:noBreakHyphen/>
        <w:t>6.]</w:t>
      </w:r>
    </w:p>
    <w:p>
      <w:pPr>
        <w:pStyle w:val="Ednotesection"/>
      </w:pPr>
      <w:r>
        <w:t>[</w:t>
      </w:r>
      <w:r>
        <w:rPr>
          <w:b/>
        </w:rPr>
        <w:t>46.</w:t>
      </w:r>
      <w:r>
        <w:tab/>
        <w:t xml:space="preserve">Deleted: Gazette 18 Nov 2011 p. 4823.] </w:t>
      </w:r>
    </w:p>
    <w:p>
      <w:pPr>
        <w:pStyle w:val="Heading2"/>
      </w:pPr>
      <w:bookmarkStart w:id="134" w:name="_Toc200720725"/>
      <w:r>
        <w:rPr>
          <w:rStyle w:val="CharPartNo"/>
        </w:rPr>
        <w:lastRenderedPageBreak/>
        <w:t>Part 6</w:t>
      </w:r>
      <w:r>
        <w:rPr>
          <w:b w:val="0"/>
        </w:rPr>
        <w:t> </w:t>
      </w:r>
      <w:r>
        <w:t>—</w:t>
      </w:r>
      <w:r>
        <w:rPr>
          <w:b w:val="0"/>
        </w:rPr>
        <w:t> </w:t>
      </w:r>
      <w:r>
        <w:rPr>
          <w:rStyle w:val="CharPartText"/>
        </w:rPr>
        <w:t>Specialised retraining programs</w:t>
      </w:r>
      <w:bookmarkEnd w:id="134"/>
    </w:p>
    <w:p>
      <w:pPr>
        <w:pStyle w:val="Footnoteheading"/>
        <w:tabs>
          <w:tab w:val="left" w:pos="851"/>
        </w:tabs>
      </w:pPr>
      <w:r>
        <w:rPr>
          <w:snapToGrid w:val="0"/>
        </w:rPr>
        <w:tab/>
        <w:t>[</w:t>
      </w:r>
      <w:r>
        <w:t>Heading inserted: Gazette 28 Oct 2005 p. 4907.]</w:t>
      </w:r>
    </w:p>
    <w:p>
      <w:pPr>
        <w:pStyle w:val="Heading5"/>
      </w:pPr>
      <w:bookmarkStart w:id="135" w:name="_Toc200720726"/>
      <w:r>
        <w:rPr>
          <w:rStyle w:val="CharSectno"/>
        </w:rPr>
        <w:t>47</w:t>
      </w:r>
      <w:r>
        <w:t>.</w:t>
      </w:r>
      <w:r>
        <w:tab/>
        <w:t>Recording agreement</w:t>
      </w:r>
      <w:bookmarkEnd w:id="135"/>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 xml:space="preserve">if a claim for compensation under the Act for the injury has been made, the date on which the worker’s claim was made and sufficient other details to identify the </w:t>
      </w:r>
      <w:r>
        <w:lastRenderedPageBreak/>
        <w:t>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Gazette 28 Oct 2005 p. 4907</w:t>
      </w:r>
      <w:r>
        <w:noBreakHyphen/>
        <w:t>8.]</w:t>
      </w:r>
    </w:p>
    <w:p>
      <w:pPr>
        <w:pStyle w:val="Heading5"/>
        <w:spacing w:before="180"/>
      </w:pPr>
      <w:bookmarkStart w:id="136" w:name="_Toc200720727"/>
      <w:r>
        <w:rPr>
          <w:rStyle w:val="CharSectno"/>
        </w:rPr>
        <w:t>48</w:t>
      </w:r>
      <w:r>
        <w:t>.</w:t>
      </w:r>
      <w:r>
        <w:tab/>
        <w:t>Extending final day</w:t>
      </w:r>
      <w:bookmarkEnd w:id="136"/>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lastRenderedPageBreak/>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Gazette 28 Oct 2005 p. 4908</w:t>
      </w:r>
      <w:r>
        <w:noBreakHyphen/>
        <w:t>9.]</w:t>
      </w:r>
    </w:p>
    <w:p>
      <w:pPr>
        <w:pStyle w:val="Heading5"/>
        <w:spacing w:before="180"/>
      </w:pPr>
      <w:bookmarkStart w:id="137" w:name="_Toc200720728"/>
      <w:r>
        <w:rPr>
          <w:rStyle w:val="CharSectno"/>
        </w:rPr>
        <w:t>49</w:t>
      </w:r>
      <w:r>
        <w:t>.</w:t>
      </w:r>
      <w:r>
        <w:tab/>
        <w:t>Request for WorkCover to direct payment</w:t>
      </w:r>
      <w:bookmarkEnd w:id="137"/>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 xml:space="preserve">If the payment is to satisfy a debt incurred or to recoup the cost of any payment that has been made, the request has to be accompanied by copies of relevant invoices or other sufficient </w:t>
      </w:r>
      <w:r>
        <w:lastRenderedPageBreak/>
        <w:t>evidence of the debt or cost, showing details of each item charged and the rate at which it was charged, if applicable.</w:t>
      </w:r>
    </w:p>
    <w:p>
      <w:pPr>
        <w:pStyle w:val="Footnotesection"/>
        <w:spacing w:before="80"/>
        <w:ind w:left="890" w:hanging="890"/>
      </w:pPr>
      <w:r>
        <w:tab/>
        <w:t>[Regulation 49 inserted: Gazette 28 Oct 2005 p. 4909</w:t>
      </w:r>
      <w:r>
        <w:noBreakHyphen/>
        <w:t>10.]</w:t>
      </w:r>
    </w:p>
    <w:p>
      <w:pPr>
        <w:pStyle w:val="Heading2"/>
      </w:pPr>
      <w:bookmarkStart w:id="138" w:name="_Toc200720729"/>
      <w:r>
        <w:rPr>
          <w:rStyle w:val="CharPartNo"/>
        </w:rPr>
        <w:lastRenderedPageBreak/>
        <w:t>Part 7</w:t>
      </w:r>
      <w:r>
        <w:rPr>
          <w:b w:val="0"/>
        </w:rPr>
        <w:t> </w:t>
      </w:r>
      <w:r>
        <w:t>—</w:t>
      </w:r>
      <w:r>
        <w:rPr>
          <w:b w:val="0"/>
        </w:rPr>
        <w:t> </w:t>
      </w:r>
      <w:r>
        <w:rPr>
          <w:rStyle w:val="CharPartText"/>
        </w:rPr>
        <w:t>Infringement notices and modified penalties</w:t>
      </w:r>
      <w:bookmarkEnd w:id="138"/>
    </w:p>
    <w:p>
      <w:pPr>
        <w:pStyle w:val="Footnoteheading"/>
        <w:tabs>
          <w:tab w:val="left" w:pos="851"/>
        </w:tabs>
      </w:pPr>
      <w:r>
        <w:rPr>
          <w:snapToGrid w:val="0"/>
        </w:rPr>
        <w:tab/>
        <w:t>[</w:t>
      </w:r>
      <w:r>
        <w:t>Heading inserted: Gazette 28 Oct 2005 p. 4910.]</w:t>
      </w:r>
    </w:p>
    <w:p>
      <w:pPr>
        <w:pStyle w:val="Heading5"/>
      </w:pPr>
      <w:bookmarkStart w:id="139" w:name="_Toc200720730"/>
      <w:r>
        <w:rPr>
          <w:rStyle w:val="CharSectno"/>
        </w:rPr>
        <w:t>50</w:t>
      </w:r>
      <w:r>
        <w:t>.</w:t>
      </w:r>
      <w:r>
        <w:tab/>
        <w:t>Prescribed offences</w:t>
      </w:r>
      <w:bookmarkEnd w:id="139"/>
    </w:p>
    <w:p>
      <w:pPr>
        <w:pStyle w:val="Subsection"/>
      </w:pPr>
      <w:r>
        <w:tab/>
      </w:r>
      <w:r>
        <w:tab/>
        <w:t>The offences described in Appendix V are the offences for which an infringement notice may be given under section 175G(1) of the Act.</w:t>
      </w:r>
    </w:p>
    <w:p>
      <w:pPr>
        <w:pStyle w:val="Footnotesection"/>
      </w:pPr>
      <w:r>
        <w:tab/>
        <w:t>[Regulation 50 inserted: Gazette 28 Oct 2005 p. 4910.]</w:t>
      </w:r>
    </w:p>
    <w:p>
      <w:pPr>
        <w:pStyle w:val="Heading5"/>
      </w:pPr>
      <w:bookmarkStart w:id="140" w:name="_Toc200720731"/>
      <w:r>
        <w:rPr>
          <w:rStyle w:val="CharSectno"/>
        </w:rPr>
        <w:t>51</w:t>
      </w:r>
      <w:r>
        <w:t>.</w:t>
      </w:r>
      <w:r>
        <w:tab/>
        <w:t>Prescribed modified penalties</w:t>
      </w:r>
      <w:bookmarkEnd w:id="140"/>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Gazette 28 Oct 2005 p. 4910.]</w:t>
      </w:r>
    </w:p>
    <w:p>
      <w:pPr>
        <w:pStyle w:val="Heading5"/>
      </w:pPr>
      <w:bookmarkStart w:id="141" w:name="_Toc200720732"/>
      <w:r>
        <w:rPr>
          <w:rStyle w:val="CharSectno"/>
        </w:rPr>
        <w:t>52</w:t>
      </w:r>
      <w:r>
        <w:t>.</w:t>
      </w:r>
      <w:r>
        <w:tab/>
        <w:t>Prescribed form of infringement notice</w:t>
      </w:r>
      <w:bookmarkEnd w:id="141"/>
    </w:p>
    <w:p>
      <w:pPr>
        <w:pStyle w:val="Subsection"/>
      </w:pPr>
      <w:r>
        <w:tab/>
      </w:r>
      <w:r>
        <w:tab/>
        <w:t>The form of an infringement notice is set out in Appendix I Form 40 for the purposes of section 175H(1) of the Act.</w:t>
      </w:r>
    </w:p>
    <w:p>
      <w:pPr>
        <w:pStyle w:val="Footnotesection"/>
      </w:pPr>
      <w:r>
        <w:tab/>
        <w:t>[Regulation 52 inserted: Gazette 28 Oct 2005 p. 4910.]</w:t>
      </w:r>
    </w:p>
    <w:p>
      <w:pPr>
        <w:pStyle w:val="Heading5"/>
      </w:pPr>
      <w:bookmarkStart w:id="142" w:name="_Toc200720733"/>
      <w:r>
        <w:rPr>
          <w:rStyle w:val="CharSectno"/>
        </w:rPr>
        <w:t>53</w:t>
      </w:r>
      <w:r>
        <w:t>.</w:t>
      </w:r>
      <w:r>
        <w:tab/>
        <w:t>Prescribed form of withdrawal of notice</w:t>
      </w:r>
      <w:bookmarkEnd w:id="142"/>
    </w:p>
    <w:p>
      <w:pPr>
        <w:pStyle w:val="Subsection"/>
      </w:pPr>
      <w:r>
        <w:tab/>
      </w:r>
      <w:r>
        <w:tab/>
        <w:t>The form of a notice to withdraw an infringement notice is set out in Appendix I Form 41 for the purposes of section 175J(1) of the Act.</w:t>
      </w:r>
    </w:p>
    <w:p>
      <w:pPr>
        <w:pStyle w:val="Footnotesection"/>
      </w:pPr>
      <w:r>
        <w:tab/>
        <w:t>[Regulation 53 inserted: Gazette 28 Oct 2005 p. 4911.]</w:t>
      </w:r>
    </w:p>
    <w:p>
      <w:pPr>
        <w:pStyle w:val="Heading2"/>
      </w:pPr>
      <w:bookmarkStart w:id="143" w:name="_Toc200720734"/>
      <w:r>
        <w:rPr>
          <w:rStyle w:val="CharPartNo"/>
        </w:rPr>
        <w:lastRenderedPageBreak/>
        <w:t>Part 8</w:t>
      </w:r>
      <w:r>
        <w:t> — </w:t>
      </w:r>
      <w:r>
        <w:rPr>
          <w:rStyle w:val="CharPartText"/>
        </w:rPr>
        <w:t>Lodging documents</w:t>
      </w:r>
      <w:bookmarkEnd w:id="143"/>
    </w:p>
    <w:p>
      <w:pPr>
        <w:pStyle w:val="Footnoteheading"/>
      </w:pPr>
      <w:r>
        <w:tab/>
        <w:t>[Heading inserted: SL 2020/149 r. 8.]</w:t>
      </w:r>
    </w:p>
    <w:p>
      <w:pPr>
        <w:pStyle w:val="Heading5"/>
      </w:pPr>
      <w:bookmarkStart w:id="144" w:name="_Toc200720735"/>
      <w:r>
        <w:rPr>
          <w:rStyle w:val="CharSectno"/>
        </w:rPr>
        <w:t>54</w:t>
      </w:r>
      <w:r>
        <w:t>.</w:t>
      </w:r>
      <w:r>
        <w:tab/>
        <w:t>Terms used</w:t>
      </w:r>
      <w:bookmarkEnd w:id="144"/>
    </w:p>
    <w:p>
      <w:pPr>
        <w:pStyle w:val="Subsection"/>
      </w:pPr>
      <w:r>
        <w:tab/>
      </w:r>
      <w:r>
        <w:tab/>
        <w:t>In this Part —</w:t>
      </w:r>
    </w:p>
    <w:p>
      <w:pPr>
        <w:pStyle w:val="Defstart"/>
      </w:pPr>
      <w:r>
        <w:tab/>
      </w:r>
      <w:r>
        <w:rPr>
          <w:rStyle w:val="CharDefText"/>
        </w:rPr>
        <w:t>agreement</w:t>
      </w:r>
      <w:r>
        <w:t xml:space="preserve"> means either — </w:t>
      </w:r>
    </w:p>
    <w:p>
      <w:pPr>
        <w:pStyle w:val="Defpara"/>
      </w:pPr>
      <w:r>
        <w:tab/>
        <w:t>(a)</w:t>
      </w:r>
      <w:r>
        <w:tab/>
        <w:t>an agreement referred to in section 76(1) of the Act; or</w:t>
      </w:r>
    </w:p>
    <w:p>
      <w:pPr>
        <w:pStyle w:val="Defpara"/>
      </w:pPr>
      <w:r>
        <w:tab/>
        <w:t>(b)</w:t>
      </w:r>
      <w:r>
        <w:tab/>
        <w:t>an agreement referred to in section 92(f) of the Act;</w:t>
      </w:r>
    </w:p>
    <w:p>
      <w:pPr>
        <w:pStyle w:val="Defstart"/>
      </w:pPr>
      <w:r>
        <w:tab/>
      </w:r>
      <w:r>
        <w:rPr>
          <w:rStyle w:val="CharDefText"/>
        </w:rPr>
        <w:t>application</w:t>
      </w:r>
      <w:r>
        <w:t xml:space="preserve"> means an application or election made for the purposes of Part IV Division 2 of the Act;</w:t>
      </w:r>
    </w:p>
    <w:p>
      <w:pPr>
        <w:pStyle w:val="Defstart"/>
        <w:rPr>
          <w:szCs w:val="24"/>
        </w:rPr>
      </w:pPr>
      <w:r>
        <w:rPr>
          <w:szCs w:val="24"/>
        </w:rPr>
        <w:tab/>
      </w:r>
      <w:r>
        <w:rPr>
          <w:rStyle w:val="CharDefText"/>
          <w:szCs w:val="24"/>
        </w:rPr>
        <w:t>EDS</w:t>
      </w:r>
      <w:r>
        <w:rPr>
          <w:szCs w:val="24"/>
        </w:rPr>
        <w:t xml:space="preserve"> means the electronic document system operated by or on behalf of the Director that, amongst other things, enables Part 8 documents to be lodged with the Director;</w:t>
      </w:r>
    </w:p>
    <w:p>
      <w:pPr>
        <w:pStyle w:val="Defstart"/>
      </w:pPr>
      <w:r>
        <w:tab/>
      </w:r>
      <w:r>
        <w:rPr>
          <w:rStyle w:val="CharDefText"/>
        </w:rPr>
        <w:t>EDS exempt</w:t>
      </w:r>
      <w:r>
        <w:t>, in relation to an agreement or application, has the meaning given in regulation 56;</w:t>
      </w:r>
    </w:p>
    <w:p>
      <w:pPr>
        <w:pStyle w:val="Defstart"/>
      </w:pPr>
      <w:r>
        <w:tab/>
      </w:r>
      <w:r>
        <w:rPr>
          <w:rStyle w:val="CharDefText"/>
        </w:rPr>
        <w:t>Part 8 document</w:t>
      </w:r>
      <w:r>
        <w:t xml:space="preserve"> means any of the following — </w:t>
      </w:r>
    </w:p>
    <w:p>
      <w:pPr>
        <w:pStyle w:val="Defpara"/>
      </w:pPr>
      <w:r>
        <w:tab/>
        <w:t>(a)</w:t>
      </w:r>
      <w:r>
        <w:tab/>
        <w:t xml:space="preserve">an election, determination, agreement, notice, application or other thing in the form of a Form 1, 1A, 2, 2C, 2CA, 14, 15C, 15D, 15E, 34 or 35 in Appendix I; </w:t>
      </w:r>
    </w:p>
    <w:p>
      <w:pPr>
        <w:pStyle w:val="Defpara"/>
      </w:pPr>
      <w:r>
        <w:tab/>
        <w:t>(b)</w:t>
      </w:r>
      <w:r>
        <w:tab/>
        <w:t>written consent referred to in regulation 12(6);</w:t>
      </w:r>
    </w:p>
    <w:p>
      <w:pPr>
        <w:pStyle w:val="Defpara"/>
      </w:pPr>
      <w:r>
        <w:tab/>
        <w:t>(c)</w:t>
      </w:r>
      <w:r>
        <w:tab/>
        <w:t>a written request referred to in regulation 20 or 21;</w:t>
      </w:r>
    </w:p>
    <w:p>
      <w:pPr>
        <w:pStyle w:val="Defpara"/>
      </w:pPr>
      <w:r>
        <w:tab/>
        <w:t>(d)</w:t>
      </w:r>
      <w:r>
        <w:tab/>
        <w:t xml:space="preserve">a memorandum referred to in section 92(f) of the Act; </w:t>
      </w:r>
    </w:p>
    <w:p>
      <w:pPr>
        <w:pStyle w:val="Defpara"/>
      </w:pPr>
      <w:r>
        <w:tab/>
        <w:t>(e)</w:t>
      </w:r>
      <w:r>
        <w:tab/>
        <w:t>any document accompanying a document referred to in paragraphs (a) to (d);</w:t>
      </w:r>
    </w:p>
    <w:p>
      <w:pPr>
        <w:pStyle w:val="Defpara"/>
      </w:pPr>
      <w:r>
        <w:tab/>
        <w:t>(f)</w:t>
      </w:r>
      <w:r>
        <w:tab/>
        <w:t>any document the Director considers relevant to an agreement or application.</w:t>
      </w:r>
    </w:p>
    <w:p>
      <w:pPr>
        <w:pStyle w:val="Footnotesection"/>
      </w:pPr>
      <w:r>
        <w:tab/>
        <w:t>[Regulation 54 inserted: SL 2020/149 r. 8.]</w:t>
      </w:r>
    </w:p>
    <w:p>
      <w:pPr>
        <w:pStyle w:val="Heading5"/>
      </w:pPr>
      <w:bookmarkStart w:id="145" w:name="_Toc200720736"/>
      <w:r>
        <w:rPr>
          <w:rStyle w:val="CharSectno"/>
        </w:rPr>
        <w:lastRenderedPageBreak/>
        <w:t>55</w:t>
      </w:r>
      <w:r>
        <w:t>.</w:t>
      </w:r>
      <w:r>
        <w:tab/>
        <w:t>Completion of documents</w:t>
      </w:r>
      <w:bookmarkEnd w:id="145"/>
    </w:p>
    <w:p>
      <w:pPr>
        <w:pStyle w:val="Subsection"/>
        <w:keepNext/>
      </w:pPr>
      <w:r>
        <w:tab/>
      </w:r>
      <w:r>
        <w:tab/>
        <w:t xml:space="preserve">Every Part 8 document — </w:t>
      </w:r>
    </w:p>
    <w:p>
      <w:pPr>
        <w:pStyle w:val="Indenta"/>
      </w:pPr>
      <w:r>
        <w:tab/>
        <w:t>(a)</w:t>
      </w:r>
      <w:r>
        <w:tab/>
        <w:t>where relevant, must be clearly written, typed or reproduced; and</w:t>
      </w:r>
    </w:p>
    <w:p>
      <w:pPr>
        <w:pStyle w:val="Indenta"/>
      </w:pPr>
      <w:r>
        <w:tab/>
        <w:t>(b)</w:t>
      </w:r>
      <w:r>
        <w:tab/>
        <w:t xml:space="preserve">must be properly completed. </w:t>
      </w:r>
    </w:p>
    <w:p>
      <w:pPr>
        <w:pStyle w:val="Footnotesection"/>
      </w:pPr>
      <w:r>
        <w:tab/>
        <w:t>[Regulation 55 inserted: SL 2020/149 r. 8.]</w:t>
      </w:r>
    </w:p>
    <w:p>
      <w:pPr>
        <w:pStyle w:val="Heading5"/>
      </w:pPr>
      <w:bookmarkStart w:id="146" w:name="_Toc200720737"/>
      <w:r>
        <w:rPr>
          <w:rStyle w:val="CharSectno"/>
        </w:rPr>
        <w:t>56</w:t>
      </w:r>
      <w:r>
        <w:t>.</w:t>
      </w:r>
      <w:r>
        <w:tab/>
        <w:t>EDS exempt</w:t>
      </w:r>
      <w:bookmarkEnd w:id="146"/>
    </w:p>
    <w:p>
      <w:pPr>
        <w:pStyle w:val="Subsection"/>
      </w:pPr>
      <w:r>
        <w:tab/>
        <w:t>(1)</w:t>
      </w:r>
      <w:r>
        <w:tab/>
        <w:t xml:space="preserve">A person is EDS exempt in relation to an agreement or application at a particular time if, at that time — </w:t>
      </w:r>
    </w:p>
    <w:p>
      <w:pPr>
        <w:pStyle w:val="Indenta"/>
      </w:pPr>
      <w:r>
        <w:tab/>
        <w:t>(a)</w:t>
      </w:r>
      <w:r>
        <w:tab/>
        <w:t xml:space="preserve">the person — </w:t>
      </w:r>
    </w:p>
    <w:p>
      <w:pPr>
        <w:pStyle w:val="Indenti"/>
      </w:pPr>
      <w:r>
        <w:tab/>
        <w:t>(i)</w:t>
      </w:r>
      <w:r>
        <w:tab/>
        <w:t xml:space="preserve">is a party to the agreement or the person who lodged the application; and </w:t>
      </w:r>
    </w:p>
    <w:p>
      <w:pPr>
        <w:pStyle w:val="Indenti"/>
      </w:pPr>
      <w:r>
        <w:tab/>
        <w:t>(ii)</w:t>
      </w:r>
      <w:r>
        <w:tab/>
        <w:t>is self</w:t>
      </w:r>
      <w:r>
        <w:noBreakHyphen/>
        <w:t>represented in relation to the agreement or application; and</w:t>
      </w:r>
    </w:p>
    <w:p>
      <w:pPr>
        <w:pStyle w:val="Indenti"/>
      </w:pPr>
      <w:r>
        <w:tab/>
        <w:t>(iii)</w:t>
      </w:r>
      <w:r>
        <w:tab/>
        <w:t>is neither an insurer nor a self</w:t>
      </w:r>
      <w:r>
        <w:noBreakHyphen/>
        <w:t xml:space="preserve">insurer; </w:t>
      </w:r>
    </w:p>
    <w:p>
      <w:pPr>
        <w:pStyle w:val="Indenta"/>
      </w:pPr>
      <w:r>
        <w:tab/>
      </w:r>
      <w:r>
        <w:tab/>
        <w:t>or</w:t>
      </w:r>
    </w:p>
    <w:p>
      <w:pPr>
        <w:pStyle w:val="Indenta"/>
      </w:pPr>
      <w:r>
        <w:tab/>
        <w:t>(b)</w:t>
      </w:r>
      <w:r>
        <w:tab/>
        <w:t>the person is exempt in relation to the agreement or application under subregulation (3).</w:t>
      </w:r>
    </w:p>
    <w:p>
      <w:pPr>
        <w:pStyle w:val="Subsection"/>
      </w:pPr>
      <w:r>
        <w:tab/>
        <w:t>(2)</w:t>
      </w:r>
      <w:r>
        <w:tab/>
        <w:t>A person is self</w:t>
      </w:r>
      <w:r>
        <w:noBreakHyphen/>
        <w:t xml:space="preserve">represented in relation to an agreement or application if — </w:t>
      </w:r>
    </w:p>
    <w:p>
      <w:pPr>
        <w:pStyle w:val="Indenta"/>
      </w:pPr>
      <w:r>
        <w:tab/>
        <w:t>(a)</w:t>
      </w:r>
      <w:r>
        <w:tab/>
        <w:t>in the case of a worker — a legal practitioner is not engaged by or on behalf of the worker in relation to the agreement or application; or</w:t>
      </w:r>
    </w:p>
    <w:p>
      <w:pPr>
        <w:pStyle w:val="Indenta"/>
      </w:pPr>
      <w:r>
        <w:tab/>
        <w:t>(b)</w:t>
      </w:r>
      <w:r>
        <w:tab/>
        <w:t>in the case of an employer — the employer is uninsured.</w:t>
      </w:r>
    </w:p>
    <w:p>
      <w:pPr>
        <w:pStyle w:val="Subsection"/>
      </w:pPr>
      <w:r>
        <w:tab/>
        <w:t>(3)</w:t>
      </w:r>
      <w:r>
        <w:tab/>
        <w:t xml:space="preserve">The Director may exempt a person from a requirement to use the EDS in relation to — </w:t>
      </w:r>
    </w:p>
    <w:p>
      <w:pPr>
        <w:pStyle w:val="Indenta"/>
      </w:pPr>
      <w:r>
        <w:tab/>
        <w:t>(a)</w:t>
      </w:r>
      <w:r>
        <w:tab/>
        <w:t xml:space="preserve">an agreement or application, if satisfied that it would be unreasonable for the person to be required to use the EDS in relation to the agreement or application; or </w:t>
      </w:r>
    </w:p>
    <w:p>
      <w:pPr>
        <w:pStyle w:val="Indenta"/>
      </w:pPr>
      <w:r>
        <w:lastRenderedPageBreak/>
        <w:tab/>
        <w:t>(b)</w:t>
      </w:r>
      <w:r>
        <w:tab/>
        <w:t>all agreements and applications, if satisfied that it would be unreasonable for the person to be required to use the EDS in relation to the agreements and applications.</w:t>
      </w:r>
    </w:p>
    <w:p>
      <w:pPr>
        <w:pStyle w:val="Footnotesection"/>
      </w:pPr>
      <w:r>
        <w:tab/>
        <w:t>[Regulation 56 inserted: SL 2020/149 r. 8.]</w:t>
      </w:r>
    </w:p>
    <w:p>
      <w:pPr>
        <w:pStyle w:val="Heading5"/>
      </w:pPr>
      <w:bookmarkStart w:id="147" w:name="_Toc200720738"/>
      <w:r>
        <w:rPr>
          <w:rStyle w:val="CharSectno"/>
        </w:rPr>
        <w:t>57</w:t>
      </w:r>
      <w:r>
        <w:t>.</w:t>
      </w:r>
      <w:r>
        <w:tab/>
        <w:t>Lodging documents</w:t>
      </w:r>
      <w:bookmarkEnd w:id="147"/>
    </w:p>
    <w:p>
      <w:pPr>
        <w:pStyle w:val="Subsection"/>
      </w:pPr>
      <w:r>
        <w:tab/>
        <w:t>(1)</w:t>
      </w:r>
      <w:r>
        <w:tab/>
        <w:t>A Part 8 document in relation to an agreement or application must be lodged using the EDS unless —</w:t>
      </w:r>
    </w:p>
    <w:p>
      <w:pPr>
        <w:pStyle w:val="Indenta"/>
      </w:pPr>
      <w:r>
        <w:tab/>
        <w:t>(a)</w:t>
      </w:r>
      <w:r>
        <w:tab/>
        <w:t>the person lodging the document is EDS exempt in relation to the agreement or application; or</w:t>
      </w:r>
    </w:p>
    <w:p>
      <w:pPr>
        <w:pStyle w:val="Indenta"/>
      </w:pPr>
      <w:r>
        <w:tab/>
        <w:t>(b)</w:t>
      </w:r>
      <w:r>
        <w:tab/>
        <w:t>the EDS is unavailable at the time of lodging.</w:t>
      </w:r>
    </w:p>
    <w:p>
      <w:pPr>
        <w:pStyle w:val="Subsection"/>
      </w:pPr>
      <w:r>
        <w:tab/>
        <w:t>(2)</w:t>
      </w:r>
      <w:r>
        <w:tab/>
        <w:t xml:space="preserve">A person who is EDS exempt in relation to an agreement or application may lodge a Part 8 document in relation to the agreement or application with the Director in the following manner — </w:t>
      </w:r>
    </w:p>
    <w:p>
      <w:pPr>
        <w:pStyle w:val="Indenta"/>
      </w:pPr>
      <w:r>
        <w:tab/>
        <w:t>(a)</w:t>
      </w:r>
      <w:r>
        <w:tab/>
        <w:t>by presenting it at the office of the Director when the office is open for business; or</w:t>
      </w:r>
    </w:p>
    <w:p>
      <w:pPr>
        <w:pStyle w:val="Indenta"/>
      </w:pPr>
      <w:r>
        <w:tab/>
        <w:t>(b)</w:t>
      </w:r>
      <w:r>
        <w:tab/>
        <w:t>by sending it to the office of the Director by pre</w:t>
      </w:r>
      <w:r>
        <w:noBreakHyphen/>
        <w:t>paid post; or</w:t>
      </w:r>
    </w:p>
    <w:p>
      <w:pPr>
        <w:pStyle w:val="Indenta"/>
      </w:pPr>
      <w:r>
        <w:tab/>
        <w:t>(c)</w:t>
      </w:r>
      <w:r>
        <w:tab/>
        <w:t>by sending it to the Director by email in accordance with regulation 58(2) and (3); or</w:t>
      </w:r>
    </w:p>
    <w:p>
      <w:pPr>
        <w:pStyle w:val="Indenta"/>
      </w:pPr>
      <w:r>
        <w:tab/>
        <w:t>(d)</w:t>
      </w:r>
      <w:r>
        <w:tab/>
        <w:t>by using the EDS.</w:t>
      </w:r>
    </w:p>
    <w:p>
      <w:pPr>
        <w:pStyle w:val="Subsection"/>
      </w:pPr>
      <w:r>
        <w:tab/>
        <w:t>(3)</w:t>
      </w:r>
      <w:r>
        <w:tab/>
        <w:t>While the EDS is unavailable for use a Part 8 document may be lodged in the manner referred to in subregulation (2)(a), (b) or (c).</w:t>
      </w:r>
    </w:p>
    <w:p>
      <w:pPr>
        <w:pStyle w:val="Subsection"/>
      </w:pPr>
      <w:r>
        <w:tab/>
        <w:t>(4)</w:t>
      </w:r>
      <w:r>
        <w:tab/>
        <w:t>The Director may at any time require a person who has lodged a Part 8 document by email or by using the EDS to lodge the document in person or by post.</w:t>
      </w:r>
    </w:p>
    <w:p>
      <w:pPr>
        <w:pStyle w:val="Subsection"/>
      </w:pPr>
      <w:r>
        <w:tab/>
        <w:t>(5)</w:t>
      </w:r>
      <w:r>
        <w:tab/>
        <w:t>A person who lodges an agreement under this regulation must confirm that the agreement has been executed in accordance with the laws of the State.</w:t>
      </w:r>
    </w:p>
    <w:p>
      <w:pPr>
        <w:pStyle w:val="Footnotesection"/>
      </w:pPr>
      <w:r>
        <w:lastRenderedPageBreak/>
        <w:tab/>
        <w:t>[Regulation 57 inserted: SL 2020/149 r. 8.]</w:t>
      </w:r>
    </w:p>
    <w:p>
      <w:pPr>
        <w:pStyle w:val="Heading5"/>
      </w:pPr>
      <w:bookmarkStart w:id="148" w:name="_Toc200720739"/>
      <w:r>
        <w:rPr>
          <w:rStyle w:val="CharSectno"/>
        </w:rPr>
        <w:t>58</w:t>
      </w:r>
      <w:r>
        <w:t>.</w:t>
      </w:r>
      <w:r>
        <w:tab/>
        <w:t>Lodging by email</w:t>
      </w:r>
      <w:bookmarkEnd w:id="148"/>
    </w:p>
    <w:p>
      <w:pPr>
        <w:pStyle w:val="Subsection"/>
      </w:pPr>
      <w:r>
        <w:tab/>
        <w:t>(1)</w:t>
      </w:r>
      <w:r>
        <w:tab/>
        <w:t xml:space="preserve">For the purposes of regulation 57(2)(c), the Director may — </w:t>
      </w:r>
    </w:p>
    <w:p>
      <w:pPr>
        <w:pStyle w:val="Indenta"/>
      </w:pPr>
      <w:r>
        <w:tab/>
        <w:t>(a)</w:t>
      </w:r>
      <w:r>
        <w:tab/>
        <w:t>approve and publish an email address for the lodgment of documents under this regulation; and</w:t>
      </w:r>
    </w:p>
    <w:p>
      <w:pPr>
        <w:pStyle w:val="Indenta"/>
      </w:pPr>
      <w:r>
        <w:tab/>
        <w:t>(b)</w:t>
      </w:r>
      <w:r>
        <w:tab/>
        <w:t>determine and publish requirements as to the permissible format and the maximum size of documents that may be lodged under this regulation.</w:t>
      </w:r>
    </w:p>
    <w:p>
      <w:pPr>
        <w:pStyle w:val="Subsection"/>
      </w:pPr>
      <w:r>
        <w:tab/>
        <w:t>(2)</w:t>
      </w:r>
      <w:r>
        <w:tab/>
        <w:t xml:space="preserve">An email by which documents are lodged under this regulation must — </w:t>
      </w:r>
    </w:p>
    <w:p>
      <w:pPr>
        <w:pStyle w:val="Indenta"/>
      </w:pPr>
      <w:r>
        <w:tab/>
        <w:t>(a)</w:t>
      </w:r>
      <w:r>
        <w:tab/>
        <w:t>state the sender’s name; and</w:t>
      </w:r>
    </w:p>
    <w:p>
      <w:pPr>
        <w:pStyle w:val="Indenta"/>
      </w:pPr>
      <w:r>
        <w:tab/>
        <w:t>(b)</w:t>
      </w:r>
      <w:r>
        <w:tab/>
        <w:t>state a telephone number by which the sender can be contacted; and</w:t>
      </w:r>
    </w:p>
    <w:p>
      <w:pPr>
        <w:pStyle w:val="Indenta"/>
      </w:pPr>
      <w:r>
        <w:tab/>
        <w:t>(c)</w:t>
      </w:r>
      <w:r>
        <w:tab/>
        <w:t>list and describe the documents being lodged by the email.</w:t>
      </w:r>
    </w:p>
    <w:p>
      <w:pPr>
        <w:pStyle w:val="Subsection"/>
      </w:pPr>
      <w:r>
        <w:tab/>
        <w:t>(3)</w:t>
      </w:r>
      <w:r>
        <w:tab/>
        <w:t>Documents lodged under this regulation must comply with any published requirements as to format and size.</w:t>
      </w:r>
    </w:p>
    <w:p>
      <w:pPr>
        <w:pStyle w:val="Footnotesection"/>
      </w:pPr>
      <w:r>
        <w:tab/>
        <w:t>[Regulation 58 inserted: SL 2020/149 r. 8.]</w:t>
      </w:r>
    </w:p>
    <w:p>
      <w:pPr>
        <w:pStyle w:val="Heading5"/>
      </w:pPr>
      <w:bookmarkStart w:id="149" w:name="_Toc200720740"/>
      <w:r>
        <w:rPr>
          <w:rStyle w:val="CharSectno"/>
        </w:rPr>
        <w:t>59</w:t>
      </w:r>
      <w:r>
        <w:t>.</w:t>
      </w:r>
      <w:r>
        <w:tab/>
        <w:t>Day of lodgment</w:t>
      </w:r>
      <w:bookmarkEnd w:id="149"/>
    </w:p>
    <w:p>
      <w:pPr>
        <w:pStyle w:val="Subsection"/>
      </w:pPr>
      <w:r>
        <w:tab/>
        <w:t>(1)</w:t>
      </w:r>
      <w:r>
        <w:tab/>
        <w:t xml:space="preserve">In this regulation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A document is taken to have been lodged — </w:t>
      </w:r>
    </w:p>
    <w:p>
      <w:pPr>
        <w:pStyle w:val="Indenta"/>
      </w:pPr>
      <w:r>
        <w:tab/>
        <w:t>(a)</w:t>
      </w:r>
      <w:r>
        <w:tab/>
        <w:t>if the whole document is received before 5 pm on a particular working day, on that day; or</w:t>
      </w:r>
    </w:p>
    <w:p>
      <w:pPr>
        <w:pStyle w:val="Indenta"/>
      </w:pPr>
      <w:r>
        <w:tab/>
        <w:t>(b)</w:t>
      </w:r>
      <w:r>
        <w:tab/>
        <w:t>otherwise, on the next working day.</w:t>
      </w:r>
    </w:p>
    <w:p>
      <w:pPr>
        <w:pStyle w:val="Footnotesection"/>
      </w:pPr>
      <w:r>
        <w:tab/>
        <w:t>[Regulation 59 inserted: SL 2020/149 r. 8.]</w:t>
      </w:r>
    </w:p>
    <w:p>
      <w:pPr>
        <w:pStyle w:val="Heading5"/>
      </w:pPr>
      <w:bookmarkStart w:id="150" w:name="_Toc200720741"/>
      <w:r>
        <w:rPr>
          <w:rStyle w:val="CharSectno"/>
        </w:rPr>
        <w:lastRenderedPageBreak/>
        <w:t>60</w:t>
      </w:r>
      <w:r>
        <w:t>.</w:t>
      </w:r>
      <w:r>
        <w:tab/>
        <w:t>Notification by Director</w:t>
      </w:r>
      <w:bookmarkEnd w:id="150"/>
    </w:p>
    <w:p>
      <w:pPr>
        <w:pStyle w:val="Subsection"/>
        <w:keepNext/>
      </w:pPr>
      <w:r>
        <w:tab/>
        <w:t>(1)</w:t>
      </w:r>
      <w:r>
        <w:tab/>
        <w:t xml:space="preserve">In this regulation — </w:t>
      </w:r>
    </w:p>
    <w:p>
      <w:pPr>
        <w:pStyle w:val="Defstart"/>
      </w:pPr>
      <w:r>
        <w:tab/>
      </w:r>
      <w:r>
        <w:rPr>
          <w:rStyle w:val="CharDefText"/>
        </w:rPr>
        <w:t>electronic notification</w:t>
      </w:r>
      <w:r>
        <w:t>, in relation to a person, includes notification by an email sent to an email address provided by the person;</w:t>
      </w:r>
    </w:p>
    <w:p>
      <w:pPr>
        <w:pStyle w:val="Defstart"/>
      </w:pPr>
      <w:r>
        <w:tab/>
      </w:r>
      <w:r>
        <w:rPr>
          <w:rStyle w:val="CharDefText"/>
        </w:rPr>
        <w:t>notify</w:t>
      </w:r>
      <w:r>
        <w:t xml:space="preserve"> includes to despatch or send a notice to.</w:t>
      </w:r>
    </w:p>
    <w:p>
      <w:pPr>
        <w:pStyle w:val="Subsection"/>
      </w:pPr>
      <w:r>
        <w:tab/>
        <w:t>(2)</w:t>
      </w:r>
      <w:r>
        <w:tab/>
        <w:t>A requirement for the Director to notify a person, or give them a copy of a document, in relation to an agreement or application is satisfied, on a day, if —</w:t>
      </w:r>
    </w:p>
    <w:p>
      <w:pPr>
        <w:pStyle w:val="Indenta"/>
      </w:pPr>
      <w:r>
        <w:tab/>
        <w:t>(a)</w:t>
      </w:r>
      <w:r>
        <w:tab/>
        <w:t xml:space="preserve">before 5 pm on that day — </w:t>
      </w:r>
    </w:p>
    <w:p>
      <w:pPr>
        <w:pStyle w:val="Indenti"/>
      </w:pPr>
      <w:r>
        <w:tab/>
        <w:t>(i)</w:t>
      </w:r>
      <w:r>
        <w:tab/>
        <w:t>the notice or document becomes accessible to the person by using the EDS; and</w:t>
      </w:r>
    </w:p>
    <w:p>
      <w:pPr>
        <w:pStyle w:val="Indenti"/>
      </w:pPr>
      <w:r>
        <w:tab/>
        <w:t>(ii)</w:t>
      </w:r>
      <w:r>
        <w:tab/>
        <w:t xml:space="preserve">electronic notification that the notice or document is accessible is sent to the person; </w:t>
      </w:r>
    </w:p>
    <w:p>
      <w:pPr>
        <w:pStyle w:val="Indenta"/>
      </w:pPr>
      <w:r>
        <w:tab/>
      </w:r>
      <w:r>
        <w:tab/>
        <w:t>or</w:t>
      </w:r>
    </w:p>
    <w:p>
      <w:pPr>
        <w:pStyle w:val="Indenta"/>
      </w:pPr>
      <w:r>
        <w:tab/>
        <w:t>(b)</w:t>
      </w:r>
      <w:r>
        <w:tab/>
        <w:t>the notice or document is sent to the person by pre</w:t>
      </w:r>
      <w:r>
        <w:noBreakHyphen/>
        <w:t>paid post 2 business days before that day; or</w:t>
      </w:r>
    </w:p>
    <w:p>
      <w:pPr>
        <w:pStyle w:val="Indenta"/>
      </w:pPr>
      <w:r>
        <w:tab/>
        <w:t>(c)</w:t>
      </w:r>
      <w:r>
        <w:tab/>
        <w:t>the notice or document is sent to an email address provided by the person before 5 pm on that day.</w:t>
      </w:r>
    </w:p>
    <w:p>
      <w:pPr>
        <w:pStyle w:val="Subsection"/>
      </w:pPr>
      <w:r>
        <w:tab/>
        <w:t>(3)</w:t>
      </w:r>
      <w:r>
        <w:tab/>
        <w:t xml:space="preserve">Subregulation (2)(a) does not apply if the person — </w:t>
      </w:r>
    </w:p>
    <w:p>
      <w:pPr>
        <w:pStyle w:val="Indenta"/>
      </w:pPr>
      <w:r>
        <w:tab/>
        <w:t>(a)</w:t>
      </w:r>
      <w:r>
        <w:tab/>
        <w:t>is EDS exempt in relation to the agreement or application; and</w:t>
      </w:r>
    </w:p>
    <w:p>
      <w:pPr>
        <w:pStyle w:val="Indenta"/>
      </w:pPr>
      <w:r>
        <w:tab/>
        <w:t>(b)</w:t>
      </w:r>
      <w:r>
        <w:tab/>
        <w:t>does not have access to the EDS in relation to the agreement or application.</w:t>
      </w:r>
    </w:p>
    <w:p>
      <w:pPr>
        <w:pStyle w:val="Footnotesection"/>
      </w:pPr>
      <w:r>
        <w:tab/>
        <w:t>[Regulation 60 inserted: SL 2020/149 r. 8.]</w:t>
      </w:r>
    </w:p>
    <w:p>
      <w:pPr>
        <w:pStyle w:val="Heading2"/>
      </w:pPr>
      <w:bookmarkStart w:id="151" w:name="_Toc200720742"/>
      <w:r>
        <w:rPr>
          <w:rStyle w:val="CharPartNo"/>
        </w:rPr>
        <w:lastRenderedPageBreak/>
        <w:t>Part 9</w:t>
      </w:r>
      <w:r>
        <w:t> — </w:t>
      </w:r>
      <w:r>
        <w:rPr>
          <w:rStyle w:val="CharPartText"/>
        </w:rPr>
        <w:t>Variation of certain amounts</w:t>
      </w:r>
      <w:bookmarkEnd w:id="151"/>
    </w:p>
    <w:p>
      <w:pPr>
        <w:pStyle w:val="Footnoteheading"/>
      </w:pPr>
      <w:r>
        <w:tab/>
        <w:t>[Heading inserted: SL 2020/188 r. 16.]</w:t>
      </w:r>
    </w:p>
    <w:p>
      <w:pPr>
        <w:pStyle w:val="Heading5"/>
      </w:pPr>
      <w:bookmarkStart w:id="152" w:name="_Toc200720743"/>
      <w:r>
        <w:rPr>
          <w:rStyle w:val="CharSectno"/>
        </w:rPr>
        <w:t>61</w:t>
      </w:r>
      <w:r>
        <w:t>.</w:t>
      </w:r>
      <w:r>
        <w:tab/>
        <w:t>Amount C (Act s. 5A(1A))</w:t>
      </w:r>
      <w:bookmarkEnd w:id="152"/>
    </w:p>
    <w:p>
      <w:pPr>
        <w:pStyle w:val="Subsection"/>
      </w:pPr>
      <w:r>
        <w:tab/>
      </w:r>
      <w:r>
        <w:tab/>
        <w:t xml:space="preserve">For the purposes of paragraph (c) of the definition of </w:t>
      </w:r>
      <w:r>
        <w:rPr>
          <w:b/>
          <w:i/>
        </w:rPr>
        <w:t>Amount C</w:t>
      </w:r>
      <w:r>
        <w:t xml:space="preserve"> in section 5A(1A) of the Act, the amount for a financial year is worked out by multiplying by 2 the average of the amounts that the Australian Statistician published as the all employees average weekly total earnings in Western Australia for pay periods ending in the months of May and November preceding the financial year.</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61 inserted: SL 2020/188 r. 16.]</w:t>
      </w:r>
    </w:p>
    <w:p>
      <w:pPr>
        <w:pStyle w:val="Heading5"/>
      </w:pPr>
      <w:bookmarkStart w:id="153" w:name="_Toc200720744"/>
      <w:r>
        <w:rPr>
          <w:rStyle w:val="CharSectno"/>
        </w:rPr>
        <w:t>62</w:t>
      </w:r>
      <w:r>
        <w:t>.</w:t>
      </w:r>
      <w:r>
        <w:tab/>
        <w:t>Prescribed amount (Act s. 5A(1A))</w:t>
      </w:r>
      <w:bookmarkEnd w:id="153"/>
    </w:p>
    <w:p>
      <w:pPr>
        <w:pStyle w:val="Subsection"/>
      </w:pPr>
      <w:r>
        <w:tab/>
      </w:r>
      <w:r>
        <w:tab/>
        <w:t xml:space="preserve">For the purposes of paragraph (c) of the definition of </w:t>
      </w:r>
      <w:r>
        <w:rPr>
          <w:b/>
          <w:i/>
        </w:rPr>
        <w:t>prescribed amount</w:t>
      </w:r>
      <w:r>
        <w:t xml:space="preserve"> in section 5A(1A) of the Act, the amount for a financial year is worked out by varying the prescribed amount for the previous financial year by the percentage by which the December WPI varies from the previous December WPI.</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62 inserted: SL 2020/188 r. 16.]</w:t>
      </w:r>
    </w:p>
    <w:p>
      <w:pPr>
        <w:pStyle w:val="Heading5"/>
      </w:pPr>
      <w:bookmarkStart w:id="154" w:name="_Toc200720745"/>
      <w:r>
        <w:rPr>
          <w:rStyle w:val="CharSectno"/>
        </w:rPr>
        <w:t>63</w:t>
      </w:r>
      <w:r>
        <w:t>.</w:t>
      </w:r>
      <w:r>
        <w:tab/>
        <w:t>Board and lodging value (Act Sch. 1 cl. 15)</w:t>
      </w:r>
      <w:bookmarkEnd w:id="154"/>
    </w:p>
    <w:p>
      <w:pPr>
        <w:pStyle w:val="Subsection"/>
      </w:pPr>
      <w:r>
        <w:tab/>
        <w:t>(1)</w:t>
      </w:r>
      <w:r>
        <w:tab/>
        <w:t>This regulation has effect for the purposes of assessing the value of board or board and lodging under Schedule 1 clause 15 of the Act for a financial year commencing on or after 1 July 2021.</w:t>
      </w:r>
    </w:p>
    <w:p>
      <w:pPr>
        <w:pStyle w:val="Subsection"/>
      </w:pPr>
      <w:r>
        <w:tab/>
        <w:t>(2)</w:t>
      </w:r>
      <w:r>
        <w:tab/>
        <w:t xml:space="preserve">For the purposes of section 5A(1)(c) of the Act, the amount, which the sum assessed for the board or board and lodging is </w:t>
      </w:r>
      <w:r>
        <w:lastRenderedPageBreak/>
        <w:t>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$157 per day.</w:t>
      </w:r>
    </w:p>
    <w:p>
      <w:pPr>
        <w:pStyle w:val="PermNoteText"/>
      </w:pPr>
      <w:r>
        <w:tab/>
        <w:t>2.</w:t>
      </w:r>
      <w:r>
        <w:tab/>
        <w:t>Under section 5A(5) of the Act a variation that would reduce the amount has no effect.</w:t>
      </w:r>
    </w:p>
    <w:p>
      <w:pPr>
        <w:pStyle w:val="Footnotesection"/>
      </w:pPr>
      <w:r>
        <w:tab/>
        <w:t>[Regulation 63 inserted: SL 2020/188 r. 16.]</w:t>
      </w:r>
    </w:p>
    <w:p>
      <w:pPr>
        <w:pStyle w:val="Heading5"/>
      </w:pPr>
      <w:bookmarkStart w:id="155" w:name="_Toc200720746"/>
      <w:r>
        <w:rPr>
          <w:rStyle w:val="CharSectno"/>
        </w:rPr>
        <w:t>64</w:t>
      </w:r>
      <w:r>
        <w:t>.</w:t>
      </w:r>
      <w:r>
        <w:tab/>
        <w:t>Wheeled chair or similar appliance expenses (Act Sch. 1 cl. 17(4))</w:t>
      </w:r>
      <w:bookmarkEnd w:id="155"/>
    </w:p>
    <w:p>
      <w:pPr>
        <w:pStyle w:val="Subsection"/>
      </w:pPr>
      <w:r>
        <w:tab/>
        <w:t>(1)</w:t>
      </w:r>
      <w:r>
        <w:tab/>
        <w:t>This regulation has effect for the purposes of assessing the reasonable expenses incurred or likely to be incurred in respect of the purchase or supply of a wheeled chair or similar appliance under Schedule 1 clause 17(4) of the Act for a financial year commencing on or after 1 July 2021.</w:t>
      </w:r>
    </w:p>
    <w:p>
      <w:pPr>
        <w:pStyle w:val="Subsection"/>
      </w:pPr>
      <w:r>
        <w:tab/>
        <w:t>(2)</w:t>
      </w:r>
      <w:r>
        <w:tab/>
        <w:t>For the purposes of section 5A(1)(c) of the Act, the amount, which the sum payable for those expenses is not to exceed, is the amount worked out by varying the amount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$12 180.</w:t>
      </w:r>
    </w:p>
    <w:p>
      <w:pPr>
        <w:pStyle w:val="PermNoteText"/>
      </w:pPr>
      <w:r>
        <w:tab/>
        <w:t>2.</w:t>
      </w:r>
      <w:r>
        <w:tab/>
        <w:t>Under section 5A(5) of the Act a variation that would reduce the amount has no effect.</w:t>
      </w:r>
    </w:p>
    <w:p>
      <w:pPr>
        <w:pStyle w:val="Footnotesection"/>
      </w:pPr>
      <w:r>
        <w:tab/>
        <w:t>[Regulation 64 inserted: SL 2020/188 r. 16.]</w:t>
      </w:r>
    </w:p>
    <w:p>
      <w:pPr>
        <w:pStyle w:val="Heading5"/>
      </w:pPr>
      <w:bookmarkStart w:id="156" w:name="_Toc200720747"/>
      <w:r>
        <w:rPr>
          <w:rStyle w:val="CharSectno"/>
        </w:rPr>
        <w:t>65</w:t>
      </w:r>
      <w:r>
        <w:t>.</w:t>
      </w:r>
      <w:r>
        <w:tab/>
        <w:t>Meals and lodging cost (Act Sch. 1 cl. 19(1))</w:t>
      </w:r>
      <w:bookmarkEnd w:id="156"/>
    </w:p>
    <w:p>
      <w:pPr>
        <w:pStyle w:val="Subsection"/>
      </w:pPr>
      <w:r>
        <w:tab/>
        <w:t>(1)</w:t>
      </w:r>
      <w:r>
        <w:tab/>
        <w:t>This regulation has effect for the purposes of assessing the reasonable costs incurred for meals and lodging under Schedule 1 clause 19(1) of the Act for a financial year commencing on or after 1 July 2021.</w:t>
      </w:r>
    </w:p>
    <w:p>
      <w:pPr>
        <w:pStyle w:val="Subsection"/>
      </w:pPr>
      <w:r>
        <w:lastRenderedPageBreak/>
        <w:tab/>
        <w:t>(2)</w:t>
      </w:r>
      <w:r>
        <w:tab/>
        <w:t>For the purposes of section 5A(1)(c) of the Act, the amount, which the amount payable for those costs is 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$121 per day.</w:t>
      </w:r>
    </w:p>
    <w:p>
      <w:pPr>
        <w:pStyle w:val="PermNoteText"/>
      </w:pPr>
      <w:r>
        <w:tab/>
        <w:t>2.</w:t>
      </w:r>
      <w:r>
        <w:tab/>
        <w:t>Under section 5A(5) of the Act a variation that would reduce the amount has no effect.</w:t>
      </w:r>
    </w:p>
    <w:p>
      <w:pPr>
        <w:pStyle w:val="Footnotesection"/>
      </w:pPr>
      <w:r>
        <w:tab/>
        <w:t>[Regulation 65 inserted: SL 2020/188 r. 16.]</w:t>
      </w:r>
    </w:p>
    <w:p>
      <w:pPr>
        <w:pStyle w:val="Heading5"/>
      </w:pPr>
      <w:bookmarkStart w:id="157" w:name="_Toc200720748"/>
      <w:r>
        <w:rPr>
          <w:rStyle w:val="CharSectno"/>
        </w:rPr>
        <w:t>66</w:t>
      </w:r>
      <w:r>
        <w:t>.</w:t>
      </w:r>
      <w:r>
        <w:tab/>
        <w:t>Rounding</w:t>
      </w:r>
      <w:bookmarkEnd w:id="157"/>
    </w:p>
    <w:p>
      <w:pPr>
        <w:pStyle w:val="Subsection"/>
      </w:pPr>
      <w:r>
        <w:tab/>
      </w:r>
      <w:r>
        <w:tab/>
        <w:t>An amount worked out under this Part must be rounded to the nearest whole dollar with an amount that is 50 cents more than a whole dollar being rounded up to the next whole dollar.</w:t>
      </w:r>
    </w:p>
    <w:p>
      <w:pPr>
        <w:pStyle w:val="Footnotesection"/>
      </w:pPr>
      <w:r>
        <w:tab/>
        <w:t>[Regulation 66 inserted: SL 2020/188 r. 16.]</w:t>
      </w:r>
    </w:p>
    <w:p>
      <w:pPr>
        <w:pStyle w:val="Heading2"/>
      </w:pPr>
      <w:bookmarkStart w:id="158" w:name="_Toc200720749"/>
      <w:r>
        <w:rPr>
          <w:rStyle w:val="CharPartNo"/>
        </w:rPr>
        <w:lastRenderedPageBreak/>
        <w:t>Part 9A</w:t>
      </w:r>
      <w:r>
        <w:t> — </w:t>
      </w:r>
      <w:r>
        <w:rPr>
          <w:rStyle w:val="CharPartText"/>
        </w:rPr>
        <w:t>Specified diseases contracted by firefighters</w:t>
      </w:r>
      <w:bookmarkEnd w:id="158"/>
    </w:p>
    <w:p>
      <w:pPr>
        <w:pStyle w:val="Footnoteheading"/>
      </w:pPr>
      <w:r>
        <w:tab/>
        <w:t>[Heading inserted: SL 2023/37 r. 4.]</w:t>
      </w:r>
    </w:p>
    <w:p>
      <w:pPr>
        <w:pStyle w:val="Heading5"/>
      </w:pPr>
      <w:bookmarkStart w:id="159" w:name="_Toc200720750"/>
      <w:r>
        <w:rPr>
          <w:rStyle w:val="CharSectno"/>
        </w:rPr>
        <w:t>66A</w:t>
      </w:r>
      <w:r>
        <w:t>.</w:t>
      </w:r>
      <w:r>
        <w:tab/>
        <w:t>Specified diseases for firefighters (Act Sch. 4A)</w:t>
      </w:r>
      <w:bookmarkEnd w:id="159"/>
    </w:p>
    <w:p>
      <w:pPr>
        <w:pStyle w:val="Subsection"/>
      </w:pPr>
      <w:r>
        <w:tab/>
      </w:r>
      <w:r>
        <w:tab/>
        <w:t xml:space="preserve">For the purposes of Schedule 4A item 13 of the Act — </w:t>
      </w:r>
    </w:p>
    <w:p>
      <w:pPr>
        <w:pStyle w:val="Indenta"/>
      </w:pPr>
      <w:r>
        <w:tab/>
        <w:t>(a)</w:t>
      </w:r>
      <w:r>
        <w:tab/>
        <w:t>each kind of cancer listed in column 1 of the Table is prescribed; and</w:t>
      </w:r>
    </w:p>
    <w:p>
      <w:pPr>
        <w:pStyle w:val="Indenta"/>
      </w:pPr>
      <w:r>
        <w:tab/>
        <w:t>(b)</w:t>
      </w:r>
      <w:r>
        <w:tab/>
        <w:t>the period listed in column 2 of the Table opposite the kind of cancer is the qualifying period for that cancer.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rPr>
            </w:pPr>
            <w:r>
              <w:rPr>
                <w:b/>
              </w:rPr>
              <w:t>Column 1</w:t>
            </w:r>
          </w:p>
          <w:p>
            <w:pPr>
              <w:pStyle w:val="TableNAm"/>
              <w:jc w:val="center"/>
              <w:rPr>
                <w:b/>
              </w:rPr>
            </w:pPr>
            <w:r>
              <w:rPr>
                <w:b/>
              </w:rPr>
              <w:t>Disease</w:t>
            </w:r>
          </w:p>
        </w:tc>
        <w:tc>
          <w:tcPr>
            <w:tcW w:w="3034" w:type="dxa"/>
            <w:noWrap/>
          </w:tcPr>
          <w:p>
            <w:pPr>
              <w:pStyle w:val="TableNAm"/>
              <w:jc w:val="center"/>
              <w:rPr>
                <w:b/>
              </w:rPr>
            </w:pPr>
            <w:r>
              <w:rPr>
                <w:b/>
              </w:rPr>
              <w:t>Column 2</w:t>
            </w:r>
          </w:p>
          <w:p>
            <w:pPr>
              <w:pStyle w:val="TableNAm"/>
              <w:jc w:val="center"/>
              <w:rPr>
                <w:b/>
              </w:rPr>
            </w:pPr>
            <w:r>
              <w:rPr>
                <w:b/>
              </w:rPr>
              <w:t>Qualifying period</w:t>
            </w:r>
          </w:p>
        </w:tc>
      </w:tr>
      <w:tr>
        <w:trPr>
          <w:cantSplit/>
        </w:trPr>
        <w:tc>
          <w:tcPr>
            <w:tcW w:w="3033" w:type="dxa"/>
            <w:noWrap/>
          </w:tcPr>
          <w:p>
            <w:pPr>
              <w:pStyle w:val="TableNAm"/>
              <w:rPr>
                <w:szCs w:val="24"/>
              </w:rPr>
            </w:pPr>
            <w:r>
              <w:rPr>
                <w:szCs w:val="24"/>
              </w:rPr>
              <w:t>Malignant mesothelioma</w:t>
            </w:r>
          </w:p>
        </w:tc>
        <w:tc>
          <w:tcPr>
            <w:tcW w:w="3034" w:type="dxa"/>
            <w:noWrap/>
          </w:tcPr>
          <w:p>
            <w:pPr>
              <w:pStyle w:val="TableNAm"/>
              <w:rPr>
                <w:szCs w:val="24"/>
              </w:rPr>
            </w:pPr>
            <w:r>
              <w:rPr>
                <w:szCs w:val="24"/>
              </w:rPr>
              <w:t>15 years</w:t>
            </w:r>
          </w:p>
        </w:tc>
      </w:tr>
      <w:tr>
        <w:trPr>
          <w:cantSplit/>
        </w:trPr>
        <w:tc>
          <w:tcPr>
            <w:tcW w:w="3033" w:type="dxa"/>
            <w:noWrap/>
          </w:tcPr>
          <w:p>
            <w:pPr>
              <w:pStyle w:val="TableNAm"/>
              <w:rPr>
                <w:szCs w:val="24"/>
              </w:rPr>
            </w:pPr>
            <w:r>
              <w:rPr>
                <w:szCs w:val="24"/>
              </w:rPr>
              <w:t>Primary site cervical cancer</w:t>
            </w:r>
          </w:p>
        </w:tc>
        <w:tc>
          <w:tcPr>
            <w:tcW w:w="3034" w:type="dxa"/>
            <w:noWrap/>
          </w:tcPr>
          <w:p>
            <w:pPr>
              <w:pStyle w:val="TableNAm"/>
              <w:rPr>
                <w:szCs w:val="24"/>
              </w:rPr>
            </w:pPr>
            <w:r>
              <w:rPr>
                <w:szCs w:val="24"/>
              </w:rPr>
              <w:t>10 years</w:t>
            </w:r>
          </w:p>
        </w:tc>
      </w:tr>
      <w:tr>
        <w:trPr>
          <w:cantSplit/>
        </w:trPr>
        <w:tc>
          <w:tcPr>
            <w:tcW w:w="3033" w:type="dxa"/>
            <w:noWrap/>
          </w:tcPr>
          <w:p>
            <w:pPr>
              <w:pStyle w:val="TableNAm"/>
              <w:rPr>
                <w:szCs w:val="24"/>
              </w:rPr>
            </w:pPr>
            <w:r>
              <w:rPr>
                <w:szCs w:val="24"/>
              </w:rPr>
              <w:t>Primary site lung cancer</w:t>
            </w:r>
          </w:p>
        </w:tc>
        <w:tc>
          <w:tcPr>
            <w:tcW w:w="3034" w:type="dxa"/>
            <w:noWrap/>
          </w:tcPr>
          <w:p>
            <w:pPr>
              <w:pStyle w:val="TableNAm"/>
              <w:rPr>
                <w:szCs w:val="24"/>
              </w:rPr>
            </w:pPr>
            <w:r>
              <w:rPr>
                <w:szCs w:val="24"/>
              </w:rPr>
              <w:t>15 years</w:t>
            </w:r>
          </w:p>
        </w:tc>
      </w:tr>
      <w:tr>
        <w:trPr>
          <w:cantSplit/>
        </w:trPr>
        <w:tc>
          <w:tcPr>
            <w:tcW w:w="3033" w:type="dxa"/>
            <w:noWrap/>
          </w:tcPr>
          <w:p>
            <w:pPr>
              <w:pStyle w:val="TableNAm"/>
              <w:rPr>
                <w:szCs w:val="24"/>
              </w:rPr>
            </w:pPr>
            <w:r>
              <w:rPr>
                <w:szCs w:val="24"/>
              </w:rPr>
              <w:t>Primary site ovarian cancer</w:t>
            </w:r>
          </w:p>
        </w:tc>
        <w:tc>
          <w:tcPr>
            <w:tcW w:w="3034" w:type="dxa"/>
            <w:noWrap/>
          </w:tcPr>
          <w:p>
            <w:pPr>
              <w:pStyle w:val="TableNAm"/>
              <w:rPr>
                <w:szCs w:val="24"/>
              </w:rPr>
            </w:pPr>
            <w:r>
              <w:rPr>
                <w:szCs w:val="24"/>
              </w:rPr>
              <w:t>10 years</w:t>
            </w:r>
          </w:p>
        </w:tc>
      </w:tr>
      <w:tr>
        <w:trPr>
          <w:cantSplit/>
        </w:trPr>
        <w:tc>
          <w:tcPr>
            <w:tcW w:w="3033" w:type="dxa"/>
            <w:noWrap/>
          </w:tcPr>
          <w:p>
            <w:pPr>
              <w:pStyle w:val="TableNAm"/>
              <w:rPr>
                <w:szCs w:val="24"/>
              </w:rPr>
            </w:pPr>
            <w:r>
              <w:rPr>
                <w:szCs w:val="24"/>
              </w:rPr>
              <w:t>Primary site pancreatic cancer</w:t>
            </w:r>
          </w:p>
        </w:tc>
        <w:tc>
          <w:tcPr>
            <w:tcW w:w="3034" w:type="dxa"/>
            <w:noWrap/>
          </w:tcPr>
          <w:p>
            <w:pPr>
              <w:pStyle w:val="TableNAm"/>
              <w:rPr>
                <w:szCs w:val="24"/>
              </w:rPr>
            </w:pPr>
            <w:r>
              <w:rPr>
                <w:szCs w:val="24"/>
              </w:rPr>
              <w:t>10 years</w:t>
            </w:r>
          </w:p>
        </w:tc>
      </w:tr>
      <w:tr>
        <w:trPr>
          <w:cantSplit/>
        </w:trPr>
        <w:tc>
          <w:tcPr>
            <w:tcW w:w="3033" w:type="dxa"/>
            <w:noWrap/>
          </w:tcPr>
          <w:p>
            <w:pPr>
              <w:pStyle w:val="TableNAm"/>
              <w:rPr>
                <w:szCs w:val="24"/>
              </w:rPr>
            </w:pPr>
            <w:r>
              <w:rPr>
                <w:szCs w:val="24"/>
              </w:rPr>
              <w:t>Primary site penile cancer</w:t>
            </w:r>
          </w:p>
        </w:tc>
        <w:tc>
          <w:tcPr>
            <w:tcW w:w="3034" w:type="dxa"/>
            <w:noWrap/>
          </w:tcPr>
          <w:p>
            <w:pPr>
              <w:pStyle w:val="TableNAm"/>
              <w:rPr>
                <w:szCs w:val="24"/>
              </w:rPr>
            </w:pPr>
            <w:r>
              <w:rPr>
                <w:szCs w:val="24"/>
              </w:rPr>
              <w:t>15 years</w:t>
            </w:r>
          </w:p>
        </w:tc>
      </w:tr>
      <w:tr>
        <w:trPr>
          <w:cantSplit/>
        </w:trPr>
        <w:tc>
          <w:tcPr>
            <w:tcW w:w="3033" w:type="dxa"/>
            <w:noWrap/>
          </w:tcPr>
          <w:p>
            <w:pPr>
              <w:pStyle w:val="TableNAm"/>
              <w:rPr>
                <w:szCs w:val="24"/>
              </w:rPr>
            </w:pPr>
            <w:r>
              <w:rPr>
                <w:szCs w:val="24"/>
              </w:rPr>
              <w:t>Primary site skin cancer</w:t>
            </w:r>
          </w:p>
        </w:tc>
        <w:tc>
          <w:tcPr>
            <w:tcW w:w="3034" w:type="dxa"/>
            <w:noWrap/>
          </w:tcPr>
          <w:p>
            <w:pPr>
              <w:pStyle w:val="TableNAm"/>
              <w:rPr>
                <w:szCs w:val="24"/>
              </w:rPr>
            </w:pPr>
            <w:r>
              <w:rPr>
                <w:szCs w:val="24"/>
              </w:rPr>
              <w:t>15 years</w:t>
            </w:r>
          </w:p>
        </w:tc>
      </w:tr>
      <w:tr>
        <w:trPr>
          <w:cantSplit/>
        </w:trPr>
        <w:tc>
          <w:tcPr>
            <w:tcW w:w="3033" w:type="dxa"/>
            <w:noWrap/>
          </w:tcPr>
          <w:p>
            <w:pPr>
              <w:pStyle w:val="TableNAm"/>
              <w:rPr>
                <w:szCs w:val="24"/>
              </w:rPr>
            </w:pPr>
            <w:r>
              <w:rPr>
                <w:szCs w:val="24"/>
              </w:rPr>
              <w:t>Primary site thyroid cancer</w:t>
            </w:r>
          </w:p>
        </w:tc>
        <w:tc>
          <w:tcPr>
            <w:tcW w:w="3034" w:type="dxa"/>
            <w:noWrap/>
          </w:tcPr>
          <w:p>
            <w:pPr>
              <w:pStyle w:val="TableNAm"/>
              <w:rPr>
                <w:szCs w:val="24"/>
              </w:rPr>
            </w:pPr>
            <w:r>
              <w:rPr>
                <w:szCs w:val="24"/>
              </w:rPr>
              <w:t>10 years</w:t>
            </w:r>
          </w:p>
        </w:tc>
      </w:tr>
    </w:tbl>
    <w:p>
      <w:pPr>
        <w:pStyle w:val="Footnotesection"/>
      </w:pPr>
      <w:r>
        <w:tab/>
        <w:t>[Regulation 66A inserted: SL 2023/37 r. 4; amended: SL 2023/123 r. 4.]</w:t>
      </w:r>
    </w:p>
    <w:p>
      <w:pPr>
        <w:pStyle w:val="Heading2"/>
      </w:pPr>
      <w:bookmarkStart w:id="160" w:name="_Toc200720751"/>
      <w:r>
        <w:rPr>
          <w:rStyle w:val="CharPartNo"/>
        </w:rPr>
        <w:lastRenderedPageBreak/>
        <w:t>Part 10</w:t>
      </w:r>
      <w:r>
        <w:t> — </w:t>
      </w:r>
      <w:r>
        <w:rPr>
          <w:rStyle w:val="CharPartText"/>
        </w:rPr>
        <w:t>Prescribed diseases: presumption of work</w:t>
      </w:r>
      <w:r>
        <w:rPr>
          <w:rStyle w:val="CharPartText"/>
        </w:rPr>
        <w:noBreakHyphen/>
        <w:t>related injury</w:t>
      </w:r>
      <w:bookmarkEnd w:id="160"/>
    </w:p>
    <w:p>
      <w:pPr>
        <w:pStyle w:val="Footnoteheading"/>
      </w:pPr>
      <w:r>
        <w:tab/>
        <w:t>[Heading inserted: SL 2020/188 r. 16.]</w:t>
      </w:r>
    </w:p>
    <w:p>
      <w:pPr>
        <w:pStyle w:val="Heading5"/>
      </w:pPr>
      <w:bookmarkStart w:id="161" w:name="_Toc200720752"/>
      <w:r>
        <w:rPr>
          <w:rStyle w:val="CharSectno"/>
        </w:rPr>
        <w:t>67</w:t>
      </w:r>
      <w:r>
        <w:t>.</w:t>
      </w:r>
      <w:r>
        <w:tab/>
        <w:t>COVID</w:t>
      </w:r>
      <w:r>
        <w:noBreakHyphen/>
        <w:t>19: prescribed disease and prescribed employment (Act s. 49F)</w:t>
      </w:r>
      <w:bookmarkEnd w:id="161"/>
    </w:p>
    <w:p>
      <w:pPr>
        <w:pStyle w:val="Subsection"/>
      </w:pPr>
      <w:r>
        <w:tab/>
        <w:t>(1)</w:t>
      </w:r>
      <w:r>
        <w:tab/>
        <w:t xml:space="preserve">In this regulation — </w:t>
      </w:r>
    </w:p>
    <w:p>
      <w:pPr>
        <w:pStyle w:val="Defstart"/>
      </w:pPr>
      <w:r>
        <w:tab/>
      </w:r>
      <w:r>
        <w:rPr>
          <w:rStyle w:val="CharDefText"/>
        </w:rPr>
        <w:t>health professional</w:t>
      </w:r>
      <w:r>
        <w:t xml:space="preserve"> means a person registered under the </w:t>
      </w:r>
      <w:r>
        <w:rPr>
          <w:i/>
        </w:rPr>
        <w:t>Health Practitioner Regulation National Law (Western Australia)</w:t>
      </w:r>
      <w:r>
        <w:t xml:space="preserve"> in a health profession;</w:t>
      </w:r>
    </w:p>
    <w:p>
      <w:pPr>
        <w:pStyle w:val="Defstart"/>
      </w:pPr>
      <w:r>
        <w:tab/>
      </w:r>
      <w:r>
        <w:rPr>
          <w:rStyle w:val="CharDefText"/>
        </w:rPr>
        <w:t>NATA</w:t>
      </w:r>
      <w:r>
        <w:t xml:space="preserve"> means the National Association of Testing Authorities.</w:t>
      </w:r>
    </w:p>
    <w:p>
      <w:pPr>
        <w:pStyle w:val="Subsection"/>
      </w:pPr>
      <w:r>
        <w:tab/>
        <w:t>(2)</w:t>
      </w:r>
      <w:r>
        <w:tab/>
        <w:t>For the purposes of section 49F(1)(a) of the Act, COVID</w:t>
      </w:r>
      <w:r>
        <w:noBreakHyphen/>
        <w:t>19 is specified as a prescribed disease.</w:t>
      </w:r>
    </w:p>
    <w:p>
      <w:pPr>
        <w:pStyle w:val="Subsection"/>
      </w:pPr>
      <w:r>
        <w:tab/>
        <w:t>(3)</w:t>
      </w:r>
      <w:r>
        <w:tab/>
        <w:t>For the purposes of section 49F(1)(b) of the Act, the following kinds of employment are specified as prescribed employment for COVID</w:t>
      </w:r>
      <w:r>
        <w:noBreakHyphen/>
        <w:t xml:space="preserve">19 — </w:t>
      </w:r>
    </w:p>
    <w:p>
      <w:pPr>
        <w:pStyle w:val="Indenta"/>
      </w:pPr>
      <w:r>
        <w:tab/>
        <w:t>(a)</w:t>
      </w:r>
      <w:r>
        <w:tab/>
        <w:t>employment as a health professional;</w:t>
      </w:r>
    </w:p>
    <w:p>
      <w:pPr>
        <w:pStyle w:val="Indenta"/>
      </w:pPr>
      <w:r>
        <w:tab/>
        <w:t>(b)</w:t>
      </w:r>
      <w:r>
        <w:tab/>
        <w:t>employment, of any kind, in a hospital, medical practice, clinic or facility where persons attend for health related screening, testing or treatment;</w:t>
      </w:r>
    </w:p>
    <w:p>
      <w:pPr>
        <w:pStyle w:val="Indenta"/>
      </w:pPr>
      <w:r>
        <w:tab/>
        <w:t>(c)</w:t>
      </w:r>
      <w:r>
        <w:tab/>
        <w:t>employment as an ambulance officer.</w:t>
      </w:r>
    </w:p>
    <w:p>
      <w:pPr>
        <w:pStyle w:val="Subsection"/>
      </w:pPr>
      <w:r>
        <w:tab/>
        <w:t>(4)</w:t>
      </w:r>
      <w:r>
        <w:tab/>
        <w:t>For the purposes of section 49F(3) of the Act, a worker who suffers an injury by contracting COVID</w:t>
      </w:r>
      <w:r>
        <w:noBreakHyphen/>
        <w:t xml:space="preserve">19 is taken to have suffered the injury — </w:t>
      </w:r>
    </w:p>
    <w:p>
      <w:pPr>
        <w:pStyle w:val="Indenta"/>
      </w:pPr>
      <w:r>
        <w:tab/>
        <w:t>(a)</w:t>
      </w:r>
      <w:r>
        <w:tab/>
        <w:t>if paragraph (b) does not apply — on the day on which the worker is diagnosed as having COVID</w:t>
      </w:r>
      <w:r>
        <w:noBreakHyphen/>
        <w:t>19 by a medical practitioner on the basis of a test result described in subregulation (6); or</w:t>
      </w:r>
    </w:p>
    <w:p>
      <w:pPr>
        <w:pStyle w:val="Indenta"/>
      </w:pPr>
      <w:r>
        <w:tab/>
        <w:t>(b)</w:t>
      </w:r>
      <w:r>
        <w:tab/>
        <w:t>if the worker dies as a result of contracting COVID</w:t>
      </w:r>
      <w:r>
        <w:noBreakHyphen/>
        <w:t>19 before they are diagnosed as described in paragraph (a) — on the day on which the worker dies.</w:t>
      </w:r>
    </w:p>
    <w:p>
      <w:pPr>
        <w:pStyle w:val="Subsection"/>
      </w:pPr>
      <w:r>
        <w:lastRenderedPageBreak/>
        <w:tab/>
        <w:t>(5)</w:t>
      </w:r>
      <w:r>
        <w:tab/>
        <w:t>Section 49F(3) of the Act does not apply to a worker who suffers an injury by contracting COVID</w:t>
      </w:r>
      <w:r>
        <w:noBreakHyphen/>
        <w:t xml:space="preserve">19 if — </w:t>
      </w:r>
    </w:p>
    <w:p>
      <w:pPr>
        <w:pStyle w:val="Indenta"/>
      </w:pPr>
      <w:r>
        <w:tab/>
        <w:t>(a)</w:t>
      </w:r>
      <w:r>
        <w:tab/>
        <w:t>the day on which the worker is taken, under subregulation (4), to have suffered the injury is before 16 February 2020; or</w:t>
      </w:r>
    </w:p>
    <w:p>
      <w:pPr>
        <w:pStyle w:val="Indenta"/>
      </w:pPr>
      <w:r>
        <w:tab/>
        <w:t>(b)</w:t>
      </w:r>
      <w:r>
        <w:tab/>
        <w:t>the worker is not in prescribed employment for COVID</w:t>
      </w:r>
      <w:r>
        <w:noBreakHyphen/>
        <w:t>19 on the day on which the worker is taken, under subregulation (4), to have suffered the injury.</w:t>
      </w:r>
    </w:p>
    <w:p>
      <w:pPr>
        <w:pStyle w:val="Subsection"/>
      </w:pPr>
      <w:r>
        <w:tab/>
        <w:t>(6)</w:t>
      </w:r>
      <w:r>
        <w:tab/>
        <w:t xml:space="preserve">For the purposes of subregulation (4)(a), the test results are as follows — </w:t>
      </w:r>
    </w:p>
    <w:p>
      <w:pPr>
        <w:pStyle w:val="Indenta"/>
      </w:pPr>
      <w:r>
        <w:tab/>
        <w:t>(a)</w:t>
      </w:r>
      <w:r>
        <w:tab/>
        <w:t>detection of SARS</w:t>
      </w:r>
      <w:r>
        <w:noBreakHyphen/>
        <w:t>CoV</w:t>
      </w:r>
      <w:r>
        <w:noBreakHyphen/>
        <w:t>2 using a SARS</w:t>
      </w:r>
      <w:r>
        <w:noBreakHyphen/>
        <w:t>CoV</w:t>
      </w:r>
      <w:r>
        <w:noBreakHyphen/>
        <w:t>2 specific nucleic acid test by a NATA accredited laboratory;</w:t>
      </w:r>
    </w:p>
    <w:p>
      <w:pPr>
        <w:pStyle w:val="Indenta"/>
      </w:pPr>
      <w:r>
        <w:tab/>
        <w:t>(b)</w:t>
      </w:r>
      <w:r>
        <w:tab/>
        <w:t>isolation of SARS</w:t>
      </w:r>
      <w:r>
        <w:noBreakHyphen/>
        <w:t>CoV</w:t>
      </w:r>
      <w:r>
        <w:noBreakHyphen/>
        <w:t>2 in a cell culture, with confirmation using a SARS</w:t>
      </w:r>
      <w:r>
        <w:noBreakHyphen/>
        <w:t>CoV</w:t>
      </w:r>
      <w:r>
        <w:noBreakHyphen/>
        <w:t>2 specific nucleic acid test, by a NATA accredited laboratory;</w:t>
      </w:r>
    </w:p>
    <w:p>
      <w:pPr>
        <w:pStyle w:val="Indenta"/>
      </w:pPr>
      <w:r>
        <w:tab/>
        <w:t>(c)</w:t>
      </w:r>
      <w:r>
        <w:tab/>
        <w:t>confirmation of SARS</w:t>
      </w:r>
      <w:r>
        <w:noBreakHyphen/>
        <w:t>CoV</w:t>
      </w:r>
      <w:r>
        <w:noBreakHyphen/>
        <w:t>2 specific antibodies by a NATA accredited laboratory.</w:t>
      </w:r>
    </w:p>
    <w:p>
      <w:pPr>
        <w:pStyle w:val="Footnotesection"/>
      </w:pPr>
      <w:r>
        <w:tab/>
        <w:t>[Regulation 67 inserted: SL 2020/188 r. 16.]</w:t>
      </w:r>
    </w:p>
    <w:p>
      <w:pPr>
        <w:pStyle w:val="Heading5"/>
      </w:pPr>
      <w:bookmarkStart w:id="162" w:name="_Toc200720753"/>
      <w:r>
        <w:rPr>
          <w:rStyle w:val="CharSectno"/>
        </w:rPr>
        <w:t>68</w:t>
      </w:r>
      <w:r>
        <w:t>.</w:t>
      </w:r>
      <w:r>
        <w:tab/>
        <w:t>Post</w:t>
      </w:r>
      <w:r>
        <w:noBreakHyphen/>
        <w:t>traumatic stress disorder: prescribed disease and prescribed employment (Act s. 49F)</w:t>
      </w:r>
      <w:bookmarkEnd w:id="162"/>
    </w:p>
    <w:p>
      <w:pPr>
        <w:pStyle w:val="Subsection"/>
      </w:pPr>
      <w:r>
        <w:tab/>
        <w:t>(1)</w:t>
      </w:r>
      <w:r>
        <w:tab/>
        <w:t>In this regulation —</w:t>
      </w:r>
    </w:p>
    <w:p>
      <w:pPr>
        <w:pStyle w:val="Defstart"/>
      </w:pPr>
      <w:r>
        <w:tab/>
      </w:r>
      <w:r>
        <w:rPr>
          <w:rStyle w:val="CharDefText"/>
        </w:rPr>
        <w:t>ambulance emergency communications officer</w:t>
      </w:r>
      <w:r>
        <w:t xml:space="preserve"> means a person whose primary duties include — </w:t>
      </w:r>
    </w:p>
    <w:p>
      <w:pPr>
        <w:pStyle w:val="Defpara"/>
      </w:pPr>
      <w:r>
        <w:tab/>
        <w:t>(a)</w:t>
      </w:r>
      <w:r>
        <w:tab/>
        <w:t>to receive telephone calls for emergency ambulance attendance; and</w:t>
      </w:r>
    </w:p>
    <w:p>
      <w:pPr>
        <w:pStyle w:val="Defpara"/>
      </w:pPr>
      <w:r>
        <w:tab/>
        <w:t>(b)</w:t>
      </w:r>
      <w:r>
        <w:tab/>
        <w:t>to provide instructions and advice, including first aid advice, prior to the arrival of an ambulance;</w:t>
      </w:r>
    </w:p>
    <w:p>
      <w:pPr>
        <w:pStyle w:val="Defstart"/>
      </w:pPr>
      <w:r>
        <w:tab/>
      </w:r>
      <w:r>
        <w:rPr>
          <w:rStyle w:val="CharDefText"/>
        </w:rPr>
        <w:t>communications systems officer</w:t>
      </w:r>
      <w:r>
        <w:t xml:space="preserve"> means a person —</w:t>
      </w:r>
    </w:p>
    <w:p>
      <w:pPr>
        <w:pStyle w:val="Defpara"/>
      </w:pPr>
      <w:r>
        <w:tab/>
        <w:t>(a)</w:t>
      </w:r>
      <w:r>
        <w:tab/>
        <w:t xml:space="preserve">employed by the department of the Public Service principally assisting in the administration of the </w:t>
      </w:r>
      <w:r>
        <w:rPr>
          <w:i/>
        </w:rPr>
        <w:t>Fire and Emergency Services Act 1998</w:t>
      </w:r>
      <w:r>
        <w:t>; and</w:t>
      </w:r>
    </w:p>
    <w:p>
      <w:pPr>
        <w:pStyle w:val="Defpara"/>
      </w:pPr>
      <w:r>
        <w:lastRenderedPageBreak/>
        <w:tab/>
        <w:t>(b)</w:t>
      </w:r>
      <w:r>
        <w:tab/>
        <w:t>whose primary duties in that employment include to receive telephone calls and dispatch emergency services in response to incidents;</w:t>
      </w:r>
    </w:p>
    <w:p>
      <w:pPr>
        <w:pStyle w:val="Defstart"/>
      </w:pPr>
      <w:r>
        <w:tab/>
      </w:r>
      <w:r>
        <w:rPr>
          <w:rStyle w:val="CharDefText"/>
        </w:rPr>
        <w:t>DSM</w:t>
      </w:r>
      <w:r>
        <w:rPr>
          <w:rStyle w:val="CharDefText"/>
        </w:rPr>
        <w:noBreakHyphen/>
        <w:t>5</w:t>
      </w:r>
      <w:r>
        <w:t xml:space="preserve"> means the Diagnostic and Statistical Manual of Mental Disorders, 5</w:t>
      </w:r>
      <w:r>
        <w:rPr>
          <w:vertAlign w:val="superscript"/>
        </w:rPr>
        <w:t>th</w:t>
      </w:r>
      <w:r>
        <w:t> edition, published by the American Psychiatric Association in 2013;</w:t>
      </w:r>
    </w:p>
    <w:p>
      <w:pPr>
        <w:pStyle w:val="Defstart"/>
      </w:pPr>
      <w:r>
        <w:tab/>
      </w:r>
      <w:r>
        <w:rPr>
          <w:rStyle w:val="CharDefText"/>
        </w:rPr>
        <w:t>incident</w:t>
      </w:r>
      <w:r>
        <w:t xml:space="preserve"> has the meaning given in the </w:t>
      </w:r>
      <w:r>
        <w:rPr>
          <w:i/>
        </w:rPr>
        <w:t>Fire and Emergency Services Act 1998</w:t>
      </w:r>
      <w:r>
        <w:t xml:space="preserve"> section 3;</w:t>
      </w:r>
    </w:p>
    <w:p>
      <w:pPr>
        <w:pStyle w:val="Defstart"/>
      </w:pPr>
      <w:r>
        <w:tab/>
      </w:r>
      <w:r>
        <w:rPr>
          <w:rStyle w:val="CharDefText"/>
        </w:rPr>
        <w:t>paramedic</w:t>
      </w:r>
      <w:r>
        <w:t xml:space="preserve"> means a person registered under the </w:t>
      </w:r>
      <w:r>
        <w:rPr>
          <w:i/>
        </w:rPr>
        <w:t xml:space="preserve">Health Practitioner Regulation National Law (Western Australia) </w:t>
      </w:r>
      <w:r>
        <w:t>in the paramedicine profession;</w:t>
      </w:r>
    </w:p>
    <w:p>
      <w:pPr>
        <w:pStyle w:val="Defstart"/>
      </w:pPr>
      <w:r>
        <w:tab/>
      </w:r>
      <w:r>
        <w:rPr>
          <w:rStyle w:val="CharDefText"/>
        </w:rPr>
        <w:t>psychiatrist</w:t>
      </w:r>
      <w:r>
        <w:t xml:space="preserve"> means a person registered under the </w:t>
      </w:r>
      <w:r>
        <w:rPr>
          <w:i/>
        </w:rPr>
        <w:t>Health Practitioner Regulation National Law (Western Australia)</w:t>
      </w:r>
      <w:r>
        <w:t xml:space="preserve"> in the medical profession who is registered under that Law in the speciality of psychiatry.</w:t>
      </w:r>
    </w:p>
    <w:p>
      <w:pPr>
        <w:pStyle w:val="Subsection"/>
      </w:pPr>
      <w:r>
        <w:tab/>
        <w:t>(2)</w:t>
      </w:r>
      <w:r>
        <w:tab/>
        <w:t>For the purposes of section 49F(1)(a) of the Act, post</w:t>
      </w:r>
      <w:r>
        <w:noBreakHyphen/>
        <w:t>traumatic stress disorder is specified as a prescribed disease.</w:t>
      </w:r>
    </w:p>
    <w:p>
      <w:pPr>
        <w:pStyle w:val="Subsection"/>
      </w:pPr>
      <w:r>
        <w:tab/>
        <w:t>(3)</w:t>
      </w:r>
      <w:r>
        <w:tab/>
        <w:t>For the purposes of section 49F(1)(b) of the Act, the following kinds of employment are specified as prescribed employment for post</w:t>
      </w:r>
      <w:r>
        <w:noBreakHyphen/>
        <w:t xml:space="preserve">traumatic stress disorder — </w:t>
      </w:r>
    </w:p>
    <w:p>
      <w:pPr>
        <w:pStyle w:val="Indenta"/>
      </w:pPr>
      <w:r>
        <w:tab/>
        <w:t>(a)</w:t>
      </w:r>
      <w:r>
        <w:tab/>
        <w:t>employment as a paramedic;</w:t>
      </w:r>
    </w:p>
    <w:p>
      <w:pPr>
        <w:pStyle w:val="Indenta"/>
      </w:pPr>
      <w:r>
        <w:tab/>
        <w:t>(b)</w:t>
      </w:r>
      <w:r>
        <w:tab/>
        <w:t>employment as an ambulance officer;</w:t>
      </w:r>
    </w:p>
    <w:p>
      <w:pPr>
        <w:pStyle w:val="Indenta"/>
      </w:pPr>
      <w:r>
        <w:tab/>
        <w:t>(c)</w:t>
      </w:r>
      <w:r>
        <w:tab/>
        <w:t>employment as an ambulance emergency communications officer;</w:t>
      </w:r>
    </w:p>
    <w:p>
      <w:pPr>
        <w:pStyle w:val="Indenta"/>
      </w:pPr>
      <w:r>
        <w:tab/>
        <w:t>(d)</w:t>
      </w:r>
      <w:r>
        <w:tab/>
        <w:t>employment by or under the Crown in right of the State —</w:t>
      </w:r>
    </w:p>
    <w:p>
      <w:pPr>
        <w:pStyle w:val="Indenti"/>
      </w:pPr>
      <w:r>
        <w:tab/>
        <w:t>(i)</w:t>
      </w:r>
      <w:r>
        <w:tab/>
        <w:t>to which an industrial award or industrial agreement relating to firefighting applies; and</w:t>
      </w:r>
    </w:p>
    <w:p>
      <w:pPr>
        <w:pStyle w:val="Indenti"/>
      </w:pPr>
      <w:r>
        <w:tab/>
        <w:t>(ii)</w:t>
      </w:r>
      <w:r>
        <w:tab/>
        <w:t>that is in a firefighter classification under the award or agreement;</w:t>
      </w:r>
    </w:p>
    <w:p>
      <w:pPr>
        <w:pStyle w:val="Indenta"/>
      </w:pPr>
      <w:r>
        <w:tab/>
        <w:t>(e)</w:t>
      </w:r>
      <w:r>
        <w:tab/>
        <w:t>employment as a communications systems officer.</w:t>
      </w:r>
    </w:p>
    <w:p>
      <w:pPr>
        <w:pStyle w:val="Subsection"/>
        <w:keepNext/>
      </w:pPr>
      <w:r>
        <w:lastRenderedPageBreak/>
        <w:tab/>
        <w:t>(4)</w:t>
      </w:r>
      <w:r>
        <w:tab/>
        <w:t>Section 49F(3) of the Act does not apply to a worker who suffers an injury by contracting post</w:t>
      </w:r>
      <w:r>
        <w:noBreakHyphen/>
        <w:t xml:space="preserve">traumatic stress disorder unless — </w:t>
      </w:r>
    </w:p>
    <w:p>
      <w:pPr>
        <w:pStyle w:val="Indenta"/>
      </w:pPr>
      <w:r>
        <w:tab/>
        <w:t>(a)</w:t>
      </w:r>
      <w:r>
        <w:tab/>
        <w:t>the worker is diagnosed as having post</w:t>
      </w:r>
      <w:r>
        <w:noBreakHyphen/>
        <w:t>traumatic stress disorder by a psychiatrist in accordance with the diagnostic criteria in DSM</w:t>
      </w:r>
      <w:r>
        <w:noBreakHyphen/>
        <w:t>5 for post</w:t>
      </w:r>
      <w:r>
        <w:noBreakHyphen/>
        <w:t>traumatic stress disorder; and</w:t>
      </w:r>
    </w:p>
    <w:p>
      <w:pPr>
        <w:pStyle w:val="Indenta"/>
      </w:pPr>
      <w:r>
        <w:tab/>
        <w:t>(b)</w:t>
      </w:r>
      <w:r>
        <w:tab/>
        <w:t>in the case of a worker who is working or worked in employment prescribed in subregulation (3)(a), (b) or (c) — the worker is first diagnosed as having post</w:t>
      </w:r>
      <w:r>
        <w:noBreakHyphen/>
        <w:t xml:space="preserve">traumatic stress disorder (whether in accordance with paragraph (a) or otherwise) on or after the day on which the </w:t>
      </w:r>
      <w:r>
        <w:rPr>
          <w:i/>
        </w:rPr>
        <w:t>Workers’ Compensation and Injury Management Amendment Regulations 2021</w:t>
      </w:r>
      <w:r>
        <w:t xml:space="preserve"> regulation 4 comes into operation; and</w:t>
      </w:r>
    </w:p>
    <w:p>
      <w:pPr>
        <w:pStyle w:val="Indenta"/>
        <w:keepNext/>
      </w:pPr>
      <w:r>
        <w:tab/>
        <w:t>(c)</w:t>
      </w:r>
      <w:r>
        <w:tab/>
        <w:t>in the case of a worker who is working or worked in employment prescribed in subregulation (3)(d) or (e) — the worker is first diagnosed as having post</w:t>
      </w:r>
      <w:r>
        <w:noBreakHyphen/>
        <w:t xml:space="preserve">traumatic stress disorder (whether in accordance with paragraph (a) or otherwise) on or after the day on which the </w:t>
      </w:r>
      <w:r>
        <w:rPr>
          <w:i/>
        </w:rPr>
        <w:t>Workers’ Compensation and Injury Management Amendment Regulations 2023</w:t>
      </w:r>
      <w:r>
        <w:t xml:space="preserve"> regulation 5 comes into operation.</w:t>
      </w:r>
    </w:p>
    <w:p>
      <w:pPr>
        <w:pStyle w:val="Footnotesection"/>
      </w:pPr>
      <w:r>
        <w:tab/>
        <w:t>[Regulation 68 inserted: SL 2021/221 r. 4; amended: SL 2023/37 r. 5; SL 2023/113 r. 4.]</w:t>
      </w:r>
    </w:p>
    <w:p>
      <w:pPr>
        <w:sectPr>
          <w:headerReference w:type="even" r:id="rId25"/>
          <w:headerReference w:type="default" r:id="rId26"/>
          <w:headerReference w:type="first" r:id="rId27"/>
          <w:pgSz w:w="11907" w:h="16840" w:code="9"/>
          <w:pgMar w:top="2376" w:right="2405" w:bottom="3542" w:left="2405" w:header="706" w:footer="3544" w:gutter="0"/>
          <w:pgNumType w:start="1"/>
          <w:cols w:space="720"/>
          <w:noEndnote/>
          <w:titlePg/>
          <w:docGrid w:linePitch="326"/>
        </w:sectPr>
      </w:pPr>
    </w:p>
    <w:p>
      <w:pPr>
        <w:pStyle w:val="yScheduleHeading"/>
        <w:pageBreakBefore w:val="0"/>
      </w:pPr>
      <w:bookmarkStart w:id="163" w:name="_Toc200720754"/>
      <w:r>
        <w:rPr>
          <w:rStyle w:val="CharSchNo"/>
          <w:rFonts w:ascii="Times" w:hAnsi="Times"/>
        </w:rPr>
        <w:lastRenderedPageBreak/>
        <w:t>Appendix I</w:t>
      </w:r>
      <w:bookmarkEnd w:id="163"/>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lastRenderedPageBreak/>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Gazette 26 Feb 1991 p. 939; 8 Mar 1991 p. 1076; 18 Feb 1994 p. 662; 17 Nov 2000 p. 6319; 21 Jan 2005 p. 276; 28 Oct 2005 p. 4912</w:t>
      </w:r>
      <w:r>
        <w:noBreakHyphen/>
        <w:t>13.]</w:t>
      </w:r>
    </w:p>
    <w:p>
      <w:pPr>
        <w:pStyle w:val="yMiscellaneousHeading"/>
        <w:pageBreakBefore/>
        <w:spacing w:before="0"/>
      </w:pPr>
      <w:r>
        <w:rPr>
          <w:rStyle w:val="CharSClsNo"/>
          <w:b/>
          <w:bCs/>
        </w:rPr>
        <w:lastRenderedPageBreak/>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xml:space="preserve">* Before that impairment was suffered I had previously suffered a permanent impairment from a compensable personal injury by accident to that part or </w:t>
      </w:r>
      <w:r>
        <w:lastRenderedPageBreak/>
        <w:t>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Gazette 28 Oct 2005 p. 4913</w:t>
      </w:r>
      <w:r>
        <w:noBreakHyphen/>
        <w:t>14.]</w:t>
      </w:r>
    </w:p>
    <w:p>
      <w:pPr>
        <w:pStyle w:val="yMiscellaneousHeading"/>
        <w:keepLines/>
        <w:pageBreakBefore/>
        <w:spacing w:before="0"/>
      </w:pPr>
      <w:r>
        <w:rPr>
          <w:rStyle w:val="CharSClsNo"/>
          <w:b/>
          <w:bCs/>
        </w:rPr>
        <w:lastRenderedPageBreak/>
        <w:t>Form 2</w:t>
      </w:r>
    </w:p>
    <w:p>
      <w:pPr>
        <w:pStyle w:val="yShoulderClause"/>
      </w:pPr>
      <w:r>
        <w:t>[r. 5]</w:t>
      </w:r>
    </w:p>
    <w:p>
      <w:pPr>
        <w:pStyle w:val="yMiscellaneousHeading"/>
        <w:rPr>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lastRenderedPageBreak/>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Gazette 8 Mar 1991 p. 1076; 24 Dec 1993 p. 6845</w:t>
      </w:r>
      <w:r>
        <w:noBreakHyphen/>
        <w:t>6; 17 Nov 2000 p. 6320; 21 Jan 2005 p. 276; 18 Nov 2011 p. 4823.]</w:t>
      </w:r>
    </w:p>
    <w:p>
      <w:pPr>
        <w:pStyle w:val="yEdnotesection"/>
        <w:spacing w:before="80"/>
        <w:outlineLvl w:val="9"/>
        <w:rPr>
          <w:i w:val="0"/>
        </w:rPr>
      </w:pPr>
      <w:r>
        <w:tab/>
        <w:t>[Form 2A deleted: Gazette 15 Oct 1999 p. 4900.]</w:t>
      </w:r>
    </w:p>
    <w:p>
      <w:pPr>
        <w:pStyle w:val="yMiscellaneousHeading"/>
        <w:pageBreakBefore/>
        <w:spacing w:before="0"/>
      </w:pPr>
      <w:r>
        <w:rPr>
          <w:rStyle w:val="CharSClsNo"/>
          <w:b/>
          <w:bCs/>
        </w:rPr>
        <w:lastRenderedPageBreak/>
        <w:t>Form 2B</w:t>
      </w:r>
    </w:p>
    <w:p>
      <w:pPr>
        <w:pStyle w:val="yShoulderClause"/>
      </w:pPr>
      <w:r>
        <w:t>[r. 6AA]</w:t>
      </w:r>
    </w:p>
    <w:p>
      <w:pPr>
        <w:pStyle w:val="zyMiscellaneousHeading"/>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keepNext/>
      </w:pPr>
      <w:r>
        <w:lastRenderedPageBreak/>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lastRenderedPageBreak/>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lastRenderedPageBreak/>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lastRenderedPageBreak/>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lastRenderedPageBreak/>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WorkCover WA which is authorised to </w:t>
      </w:r>
      <w:r>
        <w:lastRenderedPageBreak/>
        <w:t xml:space="preserve">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Gazette 10 Sep 2010 p. 4352-7; amended: Gazette 18 Nov 2011 p. 4824; 25 Mar 2014 p. 822.]</w:t>
      </w:r>
    </w:p>
    <w:p>
      <w:pPr>
        <w:pStyle w:val="yMiscellaneousHeading"/>
        <w:pageBreakBefore/>
        <w:spacing w:before="0"/>
      </w:pPr>
      <w:r>
        <w:rPr>
          <w:rStyle w:val="CharSClsNo"/>
          <w:b/>
          <w:bCs/>
        </w:rPr>
        <w:lastRenderedPageBreak/>
        <w:t>Form 2C</w:t>
      </w:r>
    </w:p>
    <w:p>
      <w:pPr>
        <w:pStyle w:val="yShoulderClause"/>
      </w:pPr>
      <w:r>
        <w:t>[regs 4(1), 6AA]</w:t>
      </w:r>
    </w:p>
    <w:p>
      <w:pPr>
        <w:pStyle w:val="yMiscellaneousHeading"/>
        <w:rPr>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lastRenderedPageBreak/>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To be completed by WorkCover WA:</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Gazette 25 Aug 1995 p. 3885</w:t>
      </w:r>
      <w:r>
        <w:noBreakHyphen/>
        <w:t>7; amended: Gazette 17 Nov 2000 p. 6320; 21 Jan 2005 p. 276; 28 Oct 2005 p. 4915</w:t>
      </w:r>
      <w:r>
        <w:noBreakHyphen/>
        <w:t>16; 18 Nov 2011 p. 4824.]</w:t>
      </w:r>
    </w:p>
    <w:p>
      <w:pPr>
        <w:pStyle w:val="yMiscellaneousHeading"/>
        <w:pageBreakBefore/>
        <w:spacing w:before="0"/>
      </w:pPr>
      <w:r>
        <w:rPr>
          <w:rStyle w:val="CharSClsNo"/>
          <w:b/>
          <w:bCs/>
        </w:rPr>
        <w:lastRenderedPageBreak/>
        <w:t>Form 2CA</w:t>
      </w:r>
    </w:p>
    <w:p>
      <w:pPr>
        <w:pStyle w:val="yShoulderClause"/>
      </w:pPr>
      <w:r>
        <w:t>[regs 4(2), 6AA]</w:t>
      </w:r>
    </w:p>
    <w:p>
      <w:pPr>
        <w:pStyle w:val="yMiscellaneousHeading"/>
        <w:rPr>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w:t>
            </w:r>
            <w:r>
              <w:rPr>
                <w:sz w:val="20"/>
              </w:rPr>
              <w:lastRenderedPageBreak/>
              <w:t>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keepNext/>
        <w:tabs>
          <w:tab w:val="left" w:pos="2520"/>
          <w:tab w:val="left" w:pos="5040"/>
          <w:tab w:val="left" w:leader="dot" w:pos="7080"/>
        </w:tabs>
        <w:spacing w:before="60"/>
        <w:rPr>
          <w:b/>
          <w:bCs/>
          <w:sz w:val="20"/>
        </w:rPr>
      </w:pPr>
      <w:r>
        <w:rPr>
          <w:b/>
          <w:bCs/>
          <w:sz w:val="20"/>
        </w:rPr>
        <w:t>To be completed by WorkCover WA:</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Gazette 28 Oct 2005 p. 4916</w:t>
      </w:r>
      <w:r>
        <w:noBreakHyphen/>
        <w:t>19.]</w:t>
      </w:r>
    </w:p>
    <w:p>
      <w:pPr>
        <w:pStyle w:val="yEdnotesection"/>
      </w:pPr>
      <w:r>
        <w:t>[Form 2D deleted: Gazette 29 Jun 2018 p. 2446.]</w:t>
      </w:r>
    </w:p>
    <w:p>
      <w:pPr>
        <w:pStyle w:val="yMiscellaneousHeading"/>
        <w:pageBreakBefore/>
        <w:spacing w:before="0"/>
        <w:rPr>
          <w:b/>
          <w:szCs w:val="22"/>
        </w:rPr>
      </w:pPr>
      <w:r>
        <w:rPr>
          <w:rStyle w:val="CharSClsNo"/>
          <w:b/>
          <w:bCs/>
        </w:rPr>
        <w:lastRenderedPageBreak/>
        <w:t>Form 3</w:t>
      </w:r>
    </w:p>
    <w:p>
      <w:pPr>
        <w:pStyle w:val="yShoulderClause"/>
      </w:pPr>
      <w:r>
        <w:t>[r. 6A and 7(1)]</w:t>
      </w:r>
    </w:p>
    <w:p>
      <w:pPr>
        <w:pStyle w:val="yMiscellaneousHeading"/>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Borders>
              <w:top w:val="single" w:sz="4" w:space="0" w:color="auto"/>
            </w:tcBorders>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keepNext/>
            </w:pPr>
            <w:r>
              <w:rPr>
                <w:b/>
                <w:sz w:val="16"/>
                <w:szCs w:val="16"/>
              </w:rPr>
              <w:lastRenderedPageBreak/>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rPr>
          <w:trHeight w:val="203"/>
        </w:trP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Borders>
              <w:top w:val="nil"/>
              <w:bottom w:val="nil"/>
            </w:tcBorders>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bottom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bottom w:val="nil"/>
            </w:tcBorders>
          </w:tcPr>
          <w:p>
            <w:pPr>
              <w:pStyle w:val="yTableNAm"/>
            </w:pPr>
          </w:p>
        </w:tc>
      </w:tr>
      <w:tr>
        <w:tc>
          <w:tcPr>
            <w:tcW w:w="7393" w:type="dxa"/>
            <w:gridSpan w:val="77"/>
            <w:tcBorders>
              <w:top w:val="nil"/>
              <w:bottom w:val="nil"/>
            </w:tcBorders>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Borders>
              <w:bottom w:val="nil"/>
            </w:tcBorders>
          </w:tcPr>
          <w:p>
            <w:pPr>
              <w:pStyle w:val="yTableNAm"/>
            </w:pPr>
            <w:r>
              <w:rPr>
                <w:sz w:val="16"/>
                <w:szCs w:val="16"/>
              </w:rPr>
              <w:lastRenderedPageBreak/>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Borders>
              <w:bottom w:val="nil"/>
            </w:tcBorders>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bottom w:val="single" w:sz="4" w:space="0" w:color="auto"/>
            </w:tcBorders>
          </w:tcPr>
          <w:p>
            <w:pPr>
              <w:pStyle w:val="yTableNAm"/>
            </w:pPr>
            <w:r>
              <w:rPr>
                <w:sz w:val="16"/>
                <w:szCs w:val="16"/>
              </w:rPr>
              <w:tab/>
            </w:r>
            <w:r>
              <w:rPr>
                <w:i/>
                <w:sz w:val="16"/>
                <w:szCs w:val="16"/>
              </w:rPr>
              <w:t>(Practice stamp — optional)</w:t>
            </w:r>
          </w:p>
        </w:tc>
      </w:tr>
    </w:tbl>
    <w:p>
      <w:pPr>
        <w:pStyle w:val="yFootnotesection"/>
      </w:pPr>
      <w:r>
        <w:tab/>
        <w:t>[Form 3 inserted: Gazette 25 Mar 2014 p. 822-4.]</w:t>
      </w:r>
    </w:p>
    <w:p>
      <w:pPr>
        <w:pStyle w:val="yMiscellaneousHeading"/>
        <w:pageBreakBefore/>
        <w:spacing w:before="0"/>
      </w:pPr>
      <w:r>
        <w:rPr>
          <w:rStyle w:val="CharSClsNo"/>
          <w:b/>
          <w:bCs/>
        </w:rPr>
        <w:lastRenderedPageBreak/>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Gazette 14 Dec 1999 p. 6151; amended: Gazette 21 Jan 2005 p. 276; 28 Oct 2005 p. 4920.]</w:t>
      </w:r>
    </w:p>
    <w:p>
      <w:pPr>
        <w:pStyle w:val="yMiscellaneousHeading"/>
        <w:pageBreakBefore/>
        <w:spacing w:before="0"/>
      </w:pPr>
      <w:r>
        <w:rPr>
          <w:rStyle w:val="CharSClsNo"/>
          <w:b/>
          <w:bCs/>
        </w:rPr>
        <w:lastRenderedPageBreak/>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lastRenderedPageBreak/>
        <w:t>If a reason is that the injury was not suffered in the course of employment, state the grounds upon which this assertion is made:</w:t>
      </w:r>
    </w:p>
    <w:p>
      <w:pPr>
        <w:pStyle w:val="yMiscellaneousBody"/>
        <w:keepNext/>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Gazette 8 Mar 1991 p. 1074; amended: Gazette 5 Feb 1993 p. 1059; 18 Feb 1994 p. 662; 21 Jan 2005 p. 276; 28 Oct 2005 p. 4921-2; 18 Nov 2011 p. 4824.]</w:t>
      </w:r>
    </w:p>
    <w:p>
      <w:pPr>
        <w:pStyle w:val="yMiscellaneousHeading"/>
        <w:pageBreakBefore/>
        <w:spacing w:before="0"/>
      </w:pPr>
      <w:r>
        <w:rPr>
          <w:rStyle w:val="CharSClsNo"/>
          <w:b/>
          <w:bCs/>
        </w:rPr>
        <w:lastRenderedPageBreak/>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lastRenderedPageBreak/>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Gazette 8 Mar 1991 p. 1075; amended: Gazette 5 Feb 1993 p. 1059; 18 Feb 1994 p. 662; 21 Jan 2005 p. 276; 28 Oct 2005 p. 4922-3; 18 Nov 2011 p. 4824.]</w:t>
      </w:r>
    </w:p>
    <w:p>
      <w:pPr>
        <w:pStyle w:val="yMiscellaneousHeading"/>
        <w:pageBreakBefore/>
        <w:spacing w:before="0"/>
      </w:pPr>
      <w:r>
        <w:rPr>
          <w:rStyle w:val="CharSClsNo"/>
          <w:b/>
          <w:bCs/>
        </w:rPr>
        <w:lastRenderedPageBreak/>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lastRenderedPageBreak/>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Gazette 8 Mar 1991 p. 1075; amended: Gazette 5 Feb 1993 p. 1059; 18 Feb 1994 p. 662; 21 Jan 2005 p. 276; 28 Oct 2005 p. 4923-4; 18 Nov 2011 p. 4824.]</w:t>
      </w:r>
    </w:p>
    <w:p>
      <w:pPr>
        <w:pStyle w:val="yMiscellaneousHeading"/>
        <w:pageBreakBefore/>
        <w:spacing w:before="0"/>
      </w:pPr>
      <w:r>
        <w:rPr>
          <w:rStyle w:val="CharSClsNo"/>
          <w:b/>
          <w:bCs/>
        </w:rPr>
        <w:lastRenderedPageBreak/>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lastRenderedPageBreak/>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Gazette 8 Mar 1991 p. 1075</w:t>
      </w:r>
      <w:r>
        <w:noBreakHyphen/>
        <w:t>6; amended: Gazette 5 Feb 1993 p. 1060; 18 Feb 1994 p. 662; 21 Jan 2005 p. 276; 28 Oct 2005 p. 4925</w:t>
      </w:r>
      <w:r>
        <w:noBreakHyphen/>
        <w:t>6; 18 Nov 2011 p. 4824</w:t>
      </w:r>
      <w:r>
        <w:noBreakHyphen/>
        <w:t>5.]</w:t>
      </w:r>
    </w:p>
    <w:p>
      <w:pPr>
        <w:pStyle w:val="yMiscellaneousHeading"/>
        <w:pageBreakBefore/>
        <w:spacing w:before="0"/>
        <w:rPr>
          <w:b/>
          <w:szCs w:val="22"/>
        </w:rPr>
      </w:pPr>
      <w:r>
        <w:rPr>
          <w:rStyle w:val="CharSClsNo"/>
          <w:b/>
          <w:bCs/>
        </w:rPr>
        <w:lastRenderedPageBreak/>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bottom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bottom w:val="nil"/>
            </w:tcBorders>
          </w:tcPr>
          <w:p>
            <w:pPr>
              <w:pStyle w:val="yTableNAm"/>
            </w:pPr>
          </w:p>
        </w:tc>
      </w:tr>
      <w:tr>
        <w:tc>
          <w:tcPr>
            <w:tcW w:w="7303" w:type="dxa"/>
            <w:gridSpan w:val="42"/>
            <w:tcBorders>
              <w:top w:val="nil"/>
              <w:bottom w:val="nil"/>
            </w:tcBorders>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keepNext/>
            </w:pPr>
            <w:r>
              <w:rPr>
                <w:b/>
                <w:sz w:val="16"/>
                <w:szCs w:val="16"/>
              </w:rPr>
              <w:lastRenderedPageBreak/>
              <w:t>6. MEDICAL PRACTITIONER’S DETAILS</w:t>
            </w:r>
          </w:p>
        </w:tc>
      </w:tr>
      <w:tr>
        <w:tc>
          <w:tcPr>
            <w:tcW w:w="812" w:type="dxa"/>
            <w:gridSpan w:val="5"/>
          </w:tcPr>
          <w:p>
            <w:pPr>
              <w:pStyle w:val="yTableNAm"/>
              <w:keepNext/>
            </w:pPr>
            <w:r>
              <w:rPr>
                <w:sz w:val="16"/>
                <w:szCs w:val="16"/>
              </w:rPr>
              <w:t>Name</w:t>
            </w:r>
          </w:p>
        </w:tc>
        <w:tc>
          <w:tcPr>
            <w:tcW w:w="1936" w:type="dxa"/>
            <w:gridSpan w:val="9"/>
            <w:tcBorders>
              <w:top w:val="single" w:sz="4" w:space="0" w:color="auto"/>
              <w:bottom w:val="single" w:sz="4" w:space="0" w:color="auto"/>
            </w:tcBorders>
          </w:tcPr>
          <w:p>
            <w:pPr>
              <w:pStyle w:val="zyTableNAm"/>
              <w:keepNext/>
              <w:rPr>
                <w:sz w:val="16"/>
                <w:szCs w:val="16"/>
              </w:rPr>
            </w:pPr>
          </w:p>
        </w:tc>
        <w:tc>
          <w:tcPr>
            <w:tcW w:w="1666" w:type="dxa"/>
            <w:gridSpan w:val="10"/>
          </w:tcPr>
          <w:p>
            <w:pPr>
              <w:pStyle w:val="yTableNAm"/>
              <w:keepNext/>
            </w:pPr>
            <w:r>
              <w:rPr>
                <w:sz w:val="16"/>
                <w:szCs w:val="16"/>
              </w:rPr>
              <w:t>AHPRA no. MED</w:t>
            </w: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3"/>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gridSpan w:val="2"/>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tcBorders>
              <w:top w:val="single" w:sz="4" w:space="0" w:color="auto"/>
              <w:bottom w:val="single" w:sz="4" w:space="0" w:color="auto"/>
            </w:tcBorders>
          </w:tcPr>
          <w:p>
            <w:pPr>
              <w:pStyle w:val="zyTableNAm"/>
              <w:keepNext/>
              <w:rPr>
                <w:sz w:val="16"/>
                <w:szCs w:val="16"/>
              </w:rPr>
            </w:pPr>
          </w:p>
        </w:tc>
        <w:tc>
          <w:tcPr>
            <w:tcW w:w="286" w:type="dxa"/>
            <w:gridSpan w:val="2"/>
            <w:tcBorders>
              <w:top w:val="nil"/>
              <w:bottom w:val="nil"/>
            </w:tcBorders>
          </w:tcPr>
          <w:p>
            <w:pPr>
              <w:pStyle w:val="yTableNAm"/>
              <w:keepNext/>
            </w:pPr>
          </w:p>
        </w:tc>
      </w:tr>
      <w:tr>
        <w:tc>
          <w:tcPr>
            <w:tcW w:w="7303" w:type="dxa"/>
            <w:gridSpan w:val="42"/>
            <w:tcBorders>
              <w:top w:val="nil"/>
            </w:tcBorders>
          </w:tcPr>
          <w:p>
            <w:pPr>
              <w:pStyle w:val="yTableNAm"/>
              <w:keepNext/>
            </w:pPr>
          </w:p>
        </w:tc>
      </w:tr>
      <w:tr>
        <w:tc>
          <w:tcPr>
            <w:tcW w:w="804" w:type="dxa"/>
            <w:gridSpan w:val="4"/>
            <w:tcBorders>
              <w:bottom w:val="nil"/>
            </w:tcBorders>
          </w:tcPr>
          <w:p>
            <w:pPr>
              <w:pStyle w:val="yTableNAm"/>
              <w:keepNext/>
            </w:pPr>
            <w:r>
              <w:rPr>
                <w:sz w:val="16"/>
                <w:szCs w:val="16"/>
              </w:rPr>
              <w:t>Address</w:t>
            </w:r>
          </w:p>
        </w:tc>
        <w:tc>
          <w:tcPr>
            <w:tcW w:w="1958" w:type="dxa"/>
            <w:gridSpan w:val="11"/>
            <w:tcBorders>
              <w:top w:val="single" w:sz="4" w:space="0" w:color="auto"/>
              <w:bottom w:val="single" w:sz="4" w:space="0" w:color="auto"/>
            </w:tcBorders>
          </w:tcPr>
          <w:p>
            <w:pPr>
              <w:pStyle w:val="zyTableNAm"/>
              <w:keepNext/>
              <w:rPr>
                <w:sz w:val="16"/>
                <w:szCs w:val="16"/>
              </w:rPr>
            </w:pPr>
          </w:p>
        </w:tc>
        <w:tc>
          <w:tcPr>
            <w:tcW w:w="1285" w:type="dxa"/>
            <w:gridSpan w:val="7"/>
            <w:tcBorders>
              <w:bottom w:val="nil"/>
            </w:tcBorders>
          </w:tcPr>
          <w:p>
            <w:pPr>
              <w:pStyle w:val="yTableNAm"/>
              <w:tabs>
                <w:tab w:val="clear" w:pos="567"/>
                <w:tab w:val="left" w:pos="358"/>
              </w:tabs>
            </w:pPr>
            <w:r>
              <w:rPr>
                <w:sz w:val="16"/>
                <w:szCs w:val="16"/>
              </w:rPr>
              <w:tab/>
              <w:t>Email</w:t>
            </w:r>
          </w:p>
        </w:tc>
        <w:tc>
          <w:tcPr>
            <w:tcW w:w="2999" w:type="dxa"/>
            <w:gridSpan w:val="19"/>
            <w:tcBorders>
              <w:top w:val="single" w:sz="4" w:space="0" w:color="auto"/>
              <w:bottom w:val="single" w:sz="4" w:space="0" w:color="auto"/>
            </w:tcBorders>
          </w:tcPr>
          <w:p>
            <w:pPr>
              <w:pStyle w:val="zyTableNAm"/>
              <w:keepNext/>
              <w:rPr>
                <w:sz w:val="16"/>
                <w:szCs w:val="16"/>
              </w:rPr>
            </w:pPr>
          </w:p>
        </w:tc>
        <w:tc>
          <w:tcPr>
            <w:tcW w:w="257" w:type="dxa"/>
            <w:tcBorders>
              <w:top w:val="nil"/>
              <w:bottom w:val="nil"/>
            </w:tcBorders>
          </w:tcPr>
          <w:p>
            <w:pPr>
              <w:pStyle w:val="yTableNAm"/>
              <w:keepNext/>
            </w:pPr>
          </w:p>
        </w:tc>
      </w:tr>
      <w:tr>
        <w:tc>
          <w:tcPr>
            <w:tcW w:w="7303" w:type="dxa"/>
            <w:gridSpan w:val="42"/>
            <w:tcBorders>
              <w:top w:val="nil"/>
              <w:bottom w:val="nil"/>
            </w:tcBorders>
          </w:tcPr>
          <w:p>
            <w:pPr>
              <w:pStyle w:val="yTableNAm"/>
            </w:pPr>
          </w:p>
        </w:tc>
      </w:tr>
      <w:tr>
        <w:tc>
          <w:tcPr>
            <w:tcW w:w="792" w:type="dxa"/>
            <w:gridSpan w:val="3"/>
            <w:tcBorders>
              <w:top w:val="nil"/>
            </w:tcBorders>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Borders>
              <w:top w:val="nil"/>
            </w:tcBorders>
          </w:tcPr>
          <w:p>
            <w:pPr>
              <w:pStyle w:val="yTableNAm"/>
              <w:tabs>
                <w:tab w:val="clear" w:pos="567"/>
                <w:tab w:val="left" w:pos="358"/>
              </w:tabs>
            </w:pPr>
            <w:r>
              <w:rPr>
                <w:sz w:val="16"/>
                <w:szCs w:val="16"/>
              </w:rPr>
              <w:tab/>
              <w:t>Signature</w:t>
            </w:r>
          </w:p>
        </w:tc>
        <w:tc>
          <w:tcPr>
            <w:tcW w:w="2999" w:type="dxa"/>
            <w:gridSpan w:val="19"/>
            <w:vMerge w:val="restart"/>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tabs>
                <w:tab w:val="clear" w:pos="567"/>
                <w:tab w:val="left" w:pos="358"/>
              </w:tabs>
            </w:pPr>
            <w:r>
              <w:rPr>
                <w:sz w:val="16"/>
                <w:szCs w:val="16"/>
              </w:rPr>
              <w:tab/>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Gazette 25 Mar 2014 p. 824-5.]</w:t>
      </w:r>
    </w:p>
    <w:p>
      <w:pPr>
        <w:pStyle w:val="yMiscellaneousHeading"/>
        <w:pageBreakBefore/>
        <w:spacing w:before="0"/>
      </w:pPr>
      <w:r>
        <w:rPr>
          <w:rStyle w:val="CharSClsNo"/>
          <w:b/>
        </w:rPr>
        <w:lastRenderedPageBreak/>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bottom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bottom w:val="nil"/>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single" w:sz="4" w:space="0" w:color="auto"/>
              <w:bottom w:val="single" w:sz="4" w:space="0" w:color="auto"/>
              <w:right w:val="single" w:sz="12" w:space="0" w:color="auto"/>
            </w:tcBorders>
          </w:tcPr>
          <w:p>
            <w:pPr>
              <w:pStyle w:val="zyTableNAm"/>
              <w:rPr>
                <w:sz w:val="16"/>
                <w:szCs w:val="16"/>
              </w:rPr>
            </w:pPr>
          </w:p>
        </w:tc>
        <w:tc>
          <w:tcPr>
            <w:tcW w:w="284" w:type="dxa"/>
            <w:gridSpan w:val="5"/>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single" w:sz="4" w:space="0" w:color="auto"/>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7303" w:type="dxa"/>
            <w:gridSpan w:val="70"/>
            <w:tcBorders>
              <w:top w:val="nil"/>
              <w:bottom w:val="nil"/>
            </w:tcBorders>
          </w:tcPr>
          <w:p>
            <w:pPr>
              <w:pStyle w:val="yTableNAm"/>
              <w:keepNext/>
              <w:rPr>
                <w:sz w:val="16"/>
                <w:szCs w:val="16"/>
              </w:rPr>
            </w:pPr>
            <w:r>
              <w:rPr>
                <w:sz w:val="16"/>
                <w:szCs w:val="16"/>
              </w:rPr>
              <w:lastRenderedPageBreak/>
              <w:t>Worker has capacity to:</w:t>
            </w:r>
          </w:p>
          <w:p>
            <w:pPr>
              <w:pStyle w:val="yTableNAm"/>
              <w:keepNext/>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236" w:type="dxa"/>
            <w:tcBorders>
              <w:top w:val="nil"/>
            </w:tcBorders>
          </w:tcPr>
          <w:p>
            <w:pPr>
              <w:pStyle w:val="zyTableNAm"/>
              <w:keepNext/>
              <w:rPr>
                <w:sz w:val="16"/>
                <w:szCs w:val="16"/>
              </w:rPr>
            </w:pPr>
          </w:p>
        </w:tc>
        <w:tc>
          <w:tcPr>
            <w:tcW w:w="236" w:type="dxa"/>
            <w:gridSpan w:val="2"/>
            <w:tcBorders>
              <w:top w:val="single" w:sz="4" w:space="0" w:color="auto"/>
              <w:bottom w:val="single" w:sz="4" w:space="0" w:color="auto"/>
              <w:right w:val="single" w:sz="4" w:space="0" w:color="auto"/>
            </w:tcBorders>
          </w:tcPr>
          <w:p>
            <w:pPr>
              <w:pStyle w:val="zyTableNAm"/>
              <w:keepNext/>
              <w:rPr>
                <w:sz w:val="16"/>
                <w:szCs w:val="16"/>
              </w:rPr>
            </w:pPr>
          </w:p>
        </w:tc>
        <w:tc>
          <w:tcPr>
            <w:tcW w:w="6529" w:type="dxa"/>
            <w:gridSpan w:val="63"/>
            <w:tcBorders>
              <w:top w:val="nil"/>
              <w:left w:val="single" w:sz="4" w:space="0" w:color="auto"/>
              <w:bottom w:val="nil"/>
              <w:right w:val="nil"/>
            </w:tcBorders>
          </w:tcPr>
          <w:p>
            <w:pPr>
              <w:pStyle w:val="yTableNAm"/>
              <w:keepNext/>
            </w:pPr>
            <w:r>
              <w:rPr>
                <w:sz w:val="16"/>
                <w:szCs w:val="16"/>
              </w:rPr>
              <w:t>I would like more information about available duties</w:t>
            </w:r>
          </w:p>
        </w:tc>
        <w:tc>
          <w:tcPr>
            <w:tcW w:w="302" w:type="dxa"/>
            <w:gridSpan w:val="4"/>
            <w:tcBorders>
              <w:top w:val="nil"/>
              <w:left w:val="nil"/>
              <w:bottom w:val="nil"/>
            </w:tcBorders>
          </w:tcPr>
          <w:p>
            <w:pPr>
              <w:pStyle w:val="yTableNAm"/>
              <w:keepNext/>
            </w:pPr>
          </w:p>
        </w:tc>
      </w:tr>
      <w:tr>
        <w:tc>
          <w:tcPr>
            <w:tcW w:w="7303" w:type="dxa"/>
            <w:gridSpan w:val="70"/>
          </w:tcPr>
          <w:p>
            <w:pPr>
              <w:pStyle w:val="yTableNAm"/>
              <w:keepNext/>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Signature</w:t>
            </w:r>
          </w:p>
        </w:tc>
        <w:tc>
          <w:tcPr>
            <w:tcW w:w="2995" w:type="dxa"/>
            <w:gridSpan w:val="32"/>
            <w:vMerge w:val="restart"/>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tcBorders>
          </w:tcPr>
          <w:p>
            <w:pPr>
              <w:pStyle w:val="yTableNAm"/>
            </w:pPr>
          </w:p>
        </w:tc>
      </w:tr>
      <w:tr>
        <w:tc>
          <w:tcPr>
            <w:tcW w:w="813" w:type="dxa"/>
            <w:gridSpan w:val="5"/>
            <w:tcBorders>
              <w:bottom w:val="nil"/>
            </w:tcBorders>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Borders>
              <w:bottom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Gazette 25 Mar 2014 p. 826-8.]</w:t>
      </w:r>
    </w:p>
    <w:p>
      <w:pPr>
        <w:pStyle w:val="yMiscellaneousHeading"/>
        <w:pageBreakBefore/>
        <w:spacing w:before="0"/>
      </w:pPr>
      <w:r>
        <w:rPr>
          <w:rStyle w:val="CharSClsNo"/>
          <w:b/>
          <w:bCs/>
        </w:rPr>
        <w:lastRenderedPageBreak/>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Gazette 23 Apr 1982 p. 1384; amended: Gazette 8 Mar 1991 p. 1076; 29 Oct 1993 p. 5930; 18 Feb 1994 p. 663; 17 Nov 2000 p. 6320; 21 Jan 2005 p. 276 and 277; 28 Oct 2005 p. 4926; 25 Mar 2014 p. 828.]</w:t>
      </w:r>
    </w:p>
    <w:p>
      <w:pPr>
        <w:pStyle w:val="yMiscellaneousHeading"/>
        <w:pageBreakBefore/>
        <w:spacing w:before="0"/>
        <w:rPr>
          <w:rFonts w:eastAsia="Arial"/>
          <w:b/>
        </w:rPr>
      </w:pPr>
      <w:r>
        <w:rPr>
          <w:rStyle w:val="CharSClsNo"/>
          <w:b/>
          <w:bCs/>
        </w:rPr>
        <w:lastRenderedPageBreak/>
        <w:t>Form 6</w:t>
      </w:r>
    </w:p>
    <w:p>
      <w:pPr>
        <w:pStyle w:val="yShoulderClause"/>
        <w:keepNext/>
      </w:pPr>
      <w:r>
        <w:t>[r. 10(1)]</w:t>
      </w:r>
    </w:p>
    <w:p>
      <w:pPr>
        <w:pStyle w:val="yFootnoteheading"/>
        <w:keepNext/>
      </w:pPr>
      <w:r>
        <w:tab/>
        <w:t>[Heading inserted: Gazette 4 Oct 2016 p. 4243.]</w:t>
      </w:r>
    </w:p>
    <w:p>
      <w:pPr>
        <w:pStyle w:val="yMiscellaneousHeading"/>
        <w:rPr>
          <w:bCs/>
          <w:i/>
          <w:sz w:val="20"/>
        </w:rPr>
      </w:pPr>
      <w:r>
        <w:rPr>
          <w:bCs/>
          <w:i/>
          <w:sz w:val="20"/>
        </w:rPr>
        <w:t>Workers’ Compensation and Injury Management Act 1981</w:t>
      </w:r>
    </w:p>
    <w:p>
      <w:pPr>
        <w:pStyle w:val="yMiscellaneousHeading"/>
        <w:spacing w:before="0"/>
        <w:rPr>
          <w:bCs/>
          <w:sz w:val="20"/>
        </w:rPr>
      </w:pPr>
      <w:r>
        <w:rPr>
          <w:bCs/>
          <w:sz w:val="20"/>
        </w:rPr>
        <w:t>(Section 69)</w:t>
      </w:r>
    </w:p>
    <w:p>
      <w:pPr>
        <w:pStyle w:val="yMiscellaneousHeading"/>
        <w:rPr>
          <w:b/>
          <w:bCs/>
        </w:rPr>
      </w:pPr>
      <w:r>
        <w:rPr>
          <w:b/>
          <w:bCs/>
        </w:rPr>
        <w:t>DECLARATION OF WORKER NOT RESIDING IN W.A.</w:t>
      </w:r>
    </w:p>
    <w:p>
      <w:pPr>
        <w:pStyle w:val="yMiscellaneousHeading"/>
        <w:rPr>
          <w:bCs/>
          <w:sz w:val="18"/>
          <w:szCs w:val="18"/>
        </w:rPr>
      </w:pPr>
      <w:r>
        <w:rPr>
          <w:bCs/>
          <w:sz w:val="18"/>
          <w:szCs w:val="18"/>
        </w:rPr>
        <w:t xml:space="preserve">IF A WORKER RESIDES OUTSIDE THE STATE, PROOF OF THE </w:t>
      </w:r>
      <w:r>
        <w:rPr>
          <w:bCs/>
          <w:sz w:val="18"/>
          <w:szCs w:val="18"/>
        </w:rPr>
        <w:br/>
        <w:t xml:space="preserve">WORKER’S IDENTITY AND CONTINUING INCAPACITY IS </w:t>
      </w:r>
      <w:r>
        <w:rPr>
          <w:bCs/>
          <w:sz w:val="18"/>
          <w:szCs w:val="18"/>
        </w:rPr>
        <w:br/>
        <w:t>REQUIRED EVERY 3 MONTHS</w:t>
      </w:r>
    </w:p>
    <w:p>
      <w:pPr>
        <w:pStyle w:val="yMiscellaneousHeading"/>
        <w:rPr>
          <w:b/>
          <w:bCs/>
          <w:sz w:val="20"/>
        </w:rPr>
      </w:pPr>
      <w:r>
        <w:rPr>
          <w:b/>
          <w:bCs/>
          <w:sz w:val="20"/>
        </w:rPr>
        <w:t xml:space="preserve">PART 1 </w:t>
      </w:r>
      <w:r>
        <w:rPr>
          <w:b/>
          <w:bCs/>
          <w:sz w:val="20"/>
        </w:rPr>
        <w:noBreakHyphen/>
        <w:t xml:space="preserve"> WORKER’S DECLARATION</w:t>
      </w:r>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56"/>
        <w:gridCol w:w="86"/>
        <w:gridCol w:w="257"/>
        <w:gridCol w:w="27"/>
        <w:gridCol w:w="288"/>
        <w:gridCol w:w="205"/>
        <w:gridCol w:w="215"/>
        <w:gridCol w:w="284"/>
        <w:gridCol w:w="142"/>
        <w:gridCol w:w="708"/>
        <w:gridCol w:w="298"/>
      </w:tblGrid>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WORKER’S DETAILS</w:t>
            </w: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First name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tabs>
                <w:tab w:val="clear" w:pos="567"/>
              </w:tabs>
              <w:ind w:left="-113"/>
              <w:jc w:val="right"/>
              <w:rPr>
                <w:rFonts w:eastAsia="Arial"/>
                <w:sz w:val="18"/>
                <w:szCs w:val="18"/>
              </w:rPr>
            </w:pPr>
            <w:r>
              <w:rPr>
                <w:rFonts w:eastAsia="Arial"/>
                <w:sz w:val="18"/>
                <w:szCs w:val="18"/>
              </w:rPr>
              <w:t>Last name</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Borders>
              <w:bottom w:val="single" w:sz="4" w:space="0" w:color="auto"/>
            </w:tcBorders>
          </w:tcPr>
          <w:p>
            <w:pPr>
              <w:pStyle w:val="yTableNAm"/>
              <w:spacing w:before="0"/>
              <w:rPr>
                <w:rFonts w:eastAsia="Arial"/>
                <w:sz w:val="18"/>
                <w:szCs w:val="18"/>
              </w:rPr>
            </w:pPr>
          </w:p>
        </w:tc>
        <w:tc>
          <w:tcPr>
            <w:tcW w:w="987" w:type="dxa"/>
            <w:gridSpan w:val="6"/>
          </w:tcPr>
          <w:p>
            <w:pPr>
              <w:pStyle w:val="yTableNAm"/>
              <w:spacing w:before="0"/>
              <w:jc w:val="right"/>
              <w:rPr>
                <w:rFonts w:eastAsia="Arial"/>
                <w:sz w:val="18"/>
                <w:szCs w:val="18"/>
              </w:rPr>
            </w:pPr>
          </w:p>
        </w:tc>
        <w:tc>
          <w:tcPr>
            <w:tcW w:w="2424" w:type="dxa"/>
            <w:gridSpan w:val="9"/>
            <w:tcBorders>
              <w:bottom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birth</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r>
              <w:rPr>
                <w:rFonts w:eastAsia="Arial"/>
                <w:sz w:val="18"/>
                <w:szCs w:val="18"/>
              </w:rPr>
              <w:t xml:space="preserve">          /           /          </w:t>
            </w: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Claim no.</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Phone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Email</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Pr>
          <w:p>
            <w:pPr>
              <w:pStyle w:val="yTableNAm"/>
              <w:spacing w:before="0"/>
              <w:rPr>
                <w:rFonts w:eastAsia="Arial"/>
                <w:sz w:val="18"/>
                <w:szCs w:val="18"/>
              </w:rPr>
            </w:pPr>
          </w:p>
        </w:tc>
        <w:tc>
          <w:tcPr>
            <w:tcW w:w="1244" w:type="dxa"/>
            <w:gridSpan w:val="7"/>
          </w:tcPr>
          <w:p>
            <w:pPr>
              <w:pStyle w:val="yTableNAm"/>
              <w:spacing w:before="0"/>
              <w:rPr>
                <w:rFonts w:eastAsia="Arial"/>
                <w:sz w:val="18"/>
                <w:szCs w:val="18"/>
              </w:rPr>
            </w:pPr>
          </w:p>
        </w:tc>
        <w:tc>
          <w:tcPr>
            <w:tcW w:w="2167" w:type="dxa"/>
            <w:gridSpan w:val="8"/>
            <w:tcBorders>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injury</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64" w:type="dxa"/>
            <w:gridSpan w:val="10"/>
            <w:tcBorders>
              <w:left w:val="single" w:sz="4" w:space="0" w:color="auto"/>
            </w:tcBorders>
          </w:tcPr>
          <w:p>
            <w:pPr>
              <w:pStyle w:val="yTableNAm"/>
              <w:rPr>
                <w:rFonts w:eastAsia="Arial"/>
                <w:sz w:val="18"/>
                <w:szCs w:val="18"/>
              </w:rPr>
            </w:pPr>
          </w:p>
        </w:tc>
        <w:tc>
          <w:tcPr>
            <w:tcW w:w="1647" w:type="dxa"/>
            <w:gridSpan w:val="5"/>
            <w:tcBorders>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DETAILS OF EMPLOYER or EMPLOYER’S INSURER</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Name</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Email</w:t>
            </w:r>
          </w:p>
        </w:tc>
        <w:tc>
          <w:tcPr>
            <w:tcW w:w="5244"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Arial"/>
                <w:sz w:val="20"/>
              </w:rPr>
              <w:lastRenderedPageBreak/>
              <w:t>DECLARATION BY WORKER</w:t>
            </w:r>
          </w:p>
        </w:tc>
      </w:tr>
      <w:tr>
        <w:tc>
          <w:tcPr>
            <w:tcW w:w="7074" w:type="dxa"/>
            <w:gridSpan w:val="28"/>
            <w:tcBorders>
              <w:left w:val="single" w:sz="4" w:space="0" w:color="auto"/>
              <w:right w:val="single" w:sz="4" w:space="0" w:color="auto"/>
            </w:tcBorders>
          </w:tcPr>
          <w:p>
            <w:pPr>
              <w:pStyle w:val="yTableNAm"/>
              <w:keepNext/>
              <w:rPr>
                <w:rFonts w:eastAsia="Arial"/>
                <w:sz w:val="18"/>
                <w:szCs w:val="18"/>
              </w:rPr>
            </w:pPr>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p>
        </w:tc>
      </w:tr>
      <w:tr>
        <w:tc>
          <w:tcPr>
            <w:tcW w:w="1694" w:type="dxa"/>
            <w:gridSpan w:val="7"/>
            <w:tcBorders>
              <w:left w:val="single" w:sz="4" w:space="0" w:color="auto"/>
              <w:right w:val="single" w:sz="4" w:space="0" w:color="auto"/>
            </w:tcBorders>
          </w:tcPr>
          <w:p>
            <w:pPr>
              <w:pStyle w:val="yTableNAm"/>
              <w:ind w:right="-87"/>
              <w:rPr>
                <w:rFonts w:eastAsia="Arial"/>
                <w:sz w:val="18"/>
                <w:szCs w:val="18"/>
              </w:rPr>
            </w:pPr>
            <w:r>
              <w:rPr>
                <w:rFonts w:eastAsia="Tahoma"/>
                <w:color w:val="000000"/>
                <w:sz w:val="17"/>
              </w:rPr>
              <w:t xml:space="preserve">Worker </w:t>
            </w:r>
            <w:r>
              <w:rPr>
                <w:rFonts w:eastAsia="Tahoma"/>
                <w:i/>
                <w:color w:val="000000"/>
                <w:sz w:val="17"/>
              </w:rPr>
              <w:t>(print name)</w:t>
            </w:r>
          </w:p>
        </w:tc>
        <w:tc>
          <w:tcPr>
            <w:tcW w:w="5082" w:type="dxa"/>
            <w:gridSpan w:val="2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73" w:type="dxa"/>
            <w:gridSpan w:val="5"/>
            <w:tcBorders>
              <w:left w:val="single" w:sz="4" w:space="0" w:color="auto"/>
              <w:right w:val="single" w:sz="4" w:space="0" w:color="auto"/>
            </w:tcBorders>
          </w:tcPr>
          <w:p>
            <w:pPr>
              <w:pStyle w:val="yTableNAm"/>
              <w:rPr>
                <w:rFonts w:eastAsia="Arial"/>
                <w:sz w:val="18"/>
                <w:szCs w:val="18"/>
              </w:rPr>
            </w:pPr>
            <w:r>
              <w:rPr>
                <w:rFonts w:eastAsia="Tahoma"/>
                <w:color w:val="000000"/>
                <w:sz w:val="17"/>
              </w:rPr>
              <w:t>Worker’s signature</w:t>
            </w:r>
          </w:p>
        </w:tc>
        <w:tc>
          <w:tcPr>
            <w:tcW w:w="5103" w:type="dxa"/>
            <w:gridSpan w:val="2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80" w:type="dxa"/>
            <w:gridSpan w:val="6"/>
            <w:tcBorders>
              <w:left w:val="single" w:sz="4" w:space="0" w:color="auto"/>
              <w:right w:val="single" w:sz="4" w:space="0" w:color="auto"/>
            </w:tcBorders>
            <w:vAlign w:val="center"/>
          </w:tcPr>
          <w:p>
            <w:pPr>
              <w:pStyle w:val="yTableNAm"/>
              <w:tabs>
                <w:tab w:val="clear" w:pos="567"/>
              </w:tabs>
              <w:spacing w:before="60"/>
              <w:ind w:right="-143"/>
              <w:rPr>
                <w:rFonts w:eastAsia="Arial"/>
                <w:sz w:val="18"/>
                <w:szCs w:val="18"/>
              </w:rPr>
            </w:pPr>
            <w:r>
              <w:rPr>
                <w:rFonts w:eastAsia="Arial"/>
                <w:sz w:val="18"/>
                <w:szCs w:val="18"/>
              </w:rPr>
              <w:t>Date of declaration</w:t>
            </w:r>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c>
          <w:tcPr>
            <w:tcW w:w="1989" w:type="dxa"/>
            <w:gridSpan w:val="10"/>
            <w:tcBorders>
              <w:left w:val="single" w:sz="4" w:space="0" w:color="auto"/>
              <w:right w:val="single" w:sz="4" w:space="0" w:color="auto"/>
            </w:tcBorders>
            <w:vAlign w:val="center"/>
          </w:tcPr>
          <w:p>
            <w:pPr>
              <w:pStyle w:val="yTableNAm"/>
              <w:tabs>
                <w:tab w:val="clear" w:pos="567"/>
              </w:tabs>
              <w:spacing w:before="60"/>
              <w:ind w:right="-182"/>
              <w:rPr>
                <w:rFonts w:eastAsia="Arial"/>
                <w:sz w:val="18"/>
                <w:szCs w:val="18"/>
              </w:rPr>
            </w:pPr>
            <w:r>
              <w:rPr>
                <w:rFonts w:eastAsia="Arial"/>
                <w:sz w:val="18"/>
                <w:szCs w:val="18"/>
              </w:rPr>
              <w:t>Date sent to employer or employer’s insurer</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3233" w:type="dxa"/>
            <w:gridSpan w:val="12"/>
            <w:tcBorders>
              <w:left w:val="single" w:sz="4" w:space="0" w:color="auto"/>
            </w:tcBorders>
          </w:tcPr>
          <w:p>
            <w:pPr>
              <w:pStyle w:val="yTableNAm"/>
              <w:jc w:val="right"/>
              <w:rPr>
                <w:rFonts w:eastAsia="Arial"/>
                <w:sz w:val="18"/>
                <w:szCs w:val="18"/>
              </w:rPr>
            </w:pPr>
            <w:r>
              <w:rPr>
                <w:rFonts w:eastAsia="Arial"/>
                <w:sz w:val="18"/>
                <w:szCs w:val="18"/>
              </w:rPr>
              <w:t>Sent by:</w:t>
            </w:r>
          </w:p>
        </w:tc>
        <w:tc>
          <w:tcPr>
            <w:tcW w:w="1275" w:type="dxa"/>
            <w:gridSpan w:val="5"/>
          </w:tcPr>
          <w:p>
            <w:pPr>
              <w:pStyle w:val="yTableNAm"/>
              <w:jc w:val="right"/>
              <w:rPr>
                <w:rFonts w:eastAsia="Arial"/>
                <w:sz w:val="18"/>
                <w:szCs w:val="18"/>
              </w:rPr>
            </w:pPr>
            <w:r>
              <w:rPr>
                <w:rFonts w:eastAsia="Arial"/>
                <w:sz w:val="18"/>
                <w:szCs w:val="18"/>
              </w:rPr>
              <w:t xml:space="preserve">Email  </w:t>
            </w:r>
            <w:r>
              <w:rPr>
                <w:rFonts w:eastAsia="Arial"/>
                <w:sz w:val="18"/>
                <w:szCs w:val="18"/>
              </w:rPr>
              <w:sym w:font="Webdings" w:char="F063"/>
            </w:r>
          </w:p>
        </w:tc>
        <w:tc>
          <w:tcPr>
            <w:tcW w:w="1418" w:type="dxa"/>
            <w:gridSpan w:val="8"/>
          </w:tcPr>
          <w:p>
            <w:pPr>
              <w:pStyle w:val="yTableNAm"/>
              <w:jc w:val="right"/>
              <w:rPr>
                <w:rFonts w:eastAsia="Arial"/>
                <w:sz w:val="18"/>
                <w:szCs w:val="18"/>
              </w:rPr>
            </w:pPr>
            <w:r>
              <w:rPr>
                <w:rFonts w:eastAsia="Arial"/>
                <w:sz w:val="18"/>
                <w:szCs w:val="18"/>
              </w:rPr>
              <w:t xml:space="preserve">Post  </w:t>
            </w:r>
            <w:r>
              <w:rPr>
                <w:rFonts w:eastAsia="Arial"/>
                <w:sz w:val="18"/>
                <w:szCs w:val="18"/>
              </w:rPr>
              <w:sym w:font="Webdings" w:char="F063"/>
            </w:r>
          </w:p>
        </w:tc>
        <w:tc>
          <w:tcPr>
            <w:tcW w:w="1148" w:type="dxa"/>
            <w:gridSpan w:val="3"/>
            <w:tcBorders>
              <w:right w:val="single" w:sz="4" w:space="0" w:color="auto"/>
            </w:tcBorders>
          </w:tcPr>
          <w:p>
            <w:pPr>
              <w:pStyle w:val="yTableNAm"/>
              <w:jc w:val="right"/>
              <w:rPr>
                <w:rFonts w:eastAsia="Arial"/>
                <w:sz w:val="18"/>
                <w:szCs w:val="18"/>
              </w:rPr>
            </w:pPr>
            <w:r>
              <w:rPr>
                <w:rFonts w:eastAsia="Arial"/>
                <w:sz w:val="18"/>
                <w:szCs w:val="18"/>
              </w:rPr>
              <w:t xml:space="preserve">Fax  </w:t>
            </w:r>
            <w:r>
              <w:rPr>
                <w:rFonts w:eastAsia="Arial"/>
                <w:sz w:val="18"/>
                <w:szCs w:val="18"/>
              </w:rPr>
              <w:sym w:font="Webdings" w:char="F063"/>
            </w: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tcBorders>
          </w:tcPr>
          <w:p>
            <w:pPr>
              <w:pStyle w:val="yTableNAm"/>
              <w:keepNext/>
              <w:jc w:val="center"/>
              <w:rPr>
                <w:rFonts w:eastAsia="Tahoma"/>
                <w:b/>
                <w:color w:val="000000"/>
                <w:sz w:val="17"/>
              </w:rPr>
            </w:pPr>
            <w:r>
              <w:rPr>
                <w:rFonts w:eastAsia="Tahoma"/>
                <w:b/>
                <w:color w:val="000000"/>
                <w:sz w:val="17"/>
              </w:rPr>
              <w:t xml:space="preserve">PART 2 </w:t>
            </w:r>
            <w:r>
              <w:rPr>
                <w:rFonts w:eastAsia="Tahoma"/>
                <w:b/>
                <w:color w:val="000000"/>
                <w:sz w:val="17"/>
              </w:rPr>
              <w:noBreakHyphen/>
              <w:t xml:space="preserve"> MEDICAL PRACTITIONER’S DECLARATION</w:t>
            </w: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Tahoma"/>
                <w:color w:val="000000"/>
                <w:sz w:val="17"/>
              </w:rPr>
              <w:t>MEDICAL ASSESSMENT</w:t>
            </w:r>
          </w:p>
        </w:tc>
      </w:tr>
      <w:tr>
        <w:tc>
          <w:tcPr>
            <w:tcW w:w="7074" w:type="dxa"/>
            <w:gridSpan w:val="28"/>
            <w:tcBorders>
              <w:left w:val="single" w:sz="4" w:space="0" w:color="auto"/>
              <w:right w:val="single" w:sz="4" w:space="0" w:color="auto"/>
            </w:tcBorders>
          </w:tcPr>
          <w:p>
            <w:pPr>
              <w:pStyle w:val="yTableNAm"/>
              <w:keepNext/>
              <w:spacing w:before="0"/>
              <w:rPr>
                <w:rFonts w:eastAsia="Arial"/>
                <w:sz w:val="18"/>
                <w:szCs w:val="18"/>
              </w:rPr>
            </w:pPr>
          </w:p>
        </w:tc>
      </w:tr>
      <w:tr>
        <w:tc>
          <w:tcPr>
            <w:tcW w:w="1957" w:type="dxa"/>
            <w:gridSpan w:val="8"/>
            <w:tcBorders>
              <w:left w:val="single" w:sz="4" w:space="0" w:color="auto"/>
              <w:right w:val="single" w:sz="4" w:space="0" w:color="auto"/>
            </w:tcBorders>
            <w:vAlign w:val="center"/>
          </w:tcPr>
          <w:p>
            <w:pPr>
              <w:pStyle w:val="yTableNAm"/>
              <w:tabs>
                <w:tab w:val="clear" w:pos="567"/>
              </w:tabs>
              <w:spacing w:after="120"/>
              <w:ind w:right="-143"/>
              <w:rPr>
                <w:rFonts w:eastAsia="Arial"/>
                <w:sz w:val="18"/>
                <w:szCs w:val="18"/>
              </w:rPr>
            </w:pPr>
            <w:r>
              <w:rPr>
                <w:rFonts w:eastAsia="Arial"/>
                <w:sz w:val="18"/>
                <w:szCs w:val="18"/>
              </w:rPr>
              <w:t>Date of this assessment</w:t>
            </w:r>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c>
          <w:tcPr>
            <w:tcW w:w="1559" w:type="dxa"/>
            <w:gridSpan w:val="9"/>
            <w:tcBorders>
              <w:left w:val="single" w:sz="4" w:space="0" w:color="auto"/>
              <w:right w:val="single" w:sz="4" w:space="0" w:color="auto"/>
            </w:tcBorders>
            <w:vAlign w:val="center"/>
          </w:tcPr>
          <w:p>
            <w:pPr>
              <w:pStyle w:val="yTableNAm"/>
              <w:spacing w:after="120"/>
              <w:jc w:val="right"/>
              <w:rPr>
                <w:rFonts w:eastAsia="Arial"/>
                <w:sz w:val="18"/>
                <w:szCs w:val="18"/>
              </w:rPr>
            </w:pPr>
            <w:r>
              <w:rPr>
                <w:rFonts w:eastAsia="Arial"/>
                <w:sz w:val="18"/>
                <w:szCs w:val="18"/>
              </w:rPr>
              <w:t>Date of injury</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rPr>
                <w:rFonts w:eastAsia="Arial"/>
                <w:sz w:val="17"/>
                <w:szCs w:val="17"/>
              </w:rPr>
            </w:pPr>
            <w:r>
              <w:rPr>
                <w:rFonts w:eastAsia="Tahoma"/>
                <w:sz w:val="17"/>
                <w:szCs w:val="17"/>
              </w:rPr>
              <w:t>I declare that I have examined the person named in PART 1 of this declaration and I have confirmed that the person who I examined was that person through the sighting of an official document of the government of the country in which the person resides.</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34" w:type="dxa"/>
            <w:gridSpan w:val="21"/>
            <w:tcBorders>
              <w:top w:val="nil"/>
              <w:left w:val="single" w:sz="4" w:space="0" w:color="auto"/>
              <w:bottom w:val="nil"/>
              <w:right w:val="single" w:sz="4" w:space="0" w:color="auto"/>
            </w:tcBorders>
          </w:tcPr>
          <w:p>
            <w:pPr>
              <w:pStyle w:val="yTableNAm"/>
              <w:spacing w:before="0"/>
              <w:rPr>
                <w:rFonts w:eastAsia="Arial"/>
                <w:sz w:val="18"/>
                <w:szCs w:val="18"/>
              </w:rPr>
            </w:pPr>
            <w:r>
              <w:rPr>
                <w:rFonts w:eastAsia="Tahoma"/>
                <w:color w:val="000000"/>
                <w:sz w:val="17"/>
              </w:rPr>
              <w:t xml:space="preserve">The document I used to confirm the identification of the person was </w:t>
            </w:r>
            <w:r>
              <w:rPr>
                <w:rFonts w:eastAsia="Tahoma"/>
                <w:i/>
                <w:color w:val="000000"/>
                <w:sz w:val="17"/>
              </w:rPr>
              <w:t>(for example a passport)</w:t>
            </w:r>
          </w:p>
        </w:tc>
        <w:tc>
          <w:tcPr>
            <w:tcW w:w="1842" w:type="dxa"/>
            <w:gridSpan w:val="6"/>
            <w:tcBorders>
              <w:top w:val="single" w:sz="4" w:space="0" w:color="auto"/>
              <w:left w:val="single" w:sz="4" w:space="0" w:color="auto"/>
              <w:bottom w:val="single" w:sz="4" w:space="0" w:color="auto"/>
              <w:right w:val="single" w:sz="4" w:space="0" w:color="auto"/>
            </w:tcBorders>
          </w:tcPr>
          <w:p>
            <w:pPr>
              <w:pStyle w:val="yTableNAm"/>
              <w:spacing w:before="0"/>
              <w:rPr>
                <w:rFonts w:eastAsia="Arial"/>
                <w:sz w:val="18"/>
                <w:szCs w:val="18"/>
              </w:rPr>
            </w:pPr>
          </w:p>
        </w:tc>
        <w:tc>
          <w:tcPr>
            <w:tcW w:w="298" w:type="dxa"/>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MANAGEMENT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240" w:after="240"/>
              <w:rPr>
                <w:rFonts w:eastAsia="Arial"/>
                <w:sz w:val="18"/>
                <w:szCs w:val="18"/>
              </w:rPr>
            </w:pPr>
            <w:r>
              <w:rPr>
                <w:rFonts w:eastAsia="Tahoma"/>
                <w:color w:val="000000"/>
                <w:sz w:val="18"/>
                <w:szCs w:val="18"/>
              </w:rPr>
              <w:t>Clinical findings/ diagnosis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240" w:after="24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Medication</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Imaging</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 xml:space="preserve">Referral to specialist or hospital </w:t>
            </w:r>
            <w:r>
              <w:rPr>
                <w:rFonts w:eastAsia="Tahoma"/>
                <w:i/>
                <w:sz w:val="18"/>
                <w:szCs w:val="18"/>
              </w:rPr>
              <w:t>(name)</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lastRenderedPageBreak/>
              <w:t>Approved health treatments (</w:t>
            </w:r>
            <w:r>
              <w:rPr>
                <w:rFonts w:eastAsia="Tahoma"/>
                <w:i/>
                <w:sz w:val="18"/>
                <w:szCs w:val="18"/>
              </w:rPr>
              <w:t>specify type and number of sessions</w:t>
            </w:r>
            <w:r>
              <w:rPr>
                <w:rFonts w:eastAsia="Tahoma"/>
                <w:sz w:val="18"/>
                <w:szCs w:val="18"/>
              </w:rPr>
              <w:t>)</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WORK CAPACITY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0"/>
              <w:rPr>
                <w:rFonts w:eastAsia="Arial"/>
                <w:sz w:val="18"/>
                <w:szCs w:val="18"/>
              </w:rPr>
            </w:pPr>
            <w:r>
              <w:rPr>
                <w:rFonts w:eastAsia="Arial"/>
                <w:sz w:val="18"/>
                <w:szCs w:val="18"/>
              </w:rPr>
              <w:t>Worker’s usual duties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I find this worker to have: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full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236" w:type="dxa"/>
            <w:gridSpan w:val="2"/>
            <w:tcBorders>
              <w:top w:val="nil"/>
              <w:left w:val="single" w:sz="4" w:space="0" w:color="auto"/>
              <w:bottom w:val="nil"/>
              <w:right w:val="nil"/>
            </w:tcBorders>
            <w:vAlign w:val="center"/>
          </w:tcPr>
          <w:p>
            <w:pPr>
              <w:pStyle w:val="yTableNAm"/>
              <w:spacing w:before="60" w:after="60"/>
              <w:rPr>
                <w:rFonts w:eastAsia="Arial"/>
                <w:sz w:val="18"/>
                <w:szCs w:val="18"/>
              </w:rPr>
            </w:pPr>
          </w:p>
        </w:tc>
        <w:tc>
          <w:tcPr>
            <w:tcW w:w="2680" w:type="dxa"/>
            <w:gridSpan w:val="12"/>
            <w:tcBorders>
              <w:top w:val="nil"/>
              <w:left w:val="nil"/>
              <w:bottom w:val="nil"/>
              <w:right w:val="single" w:sz="4" w:space="0" w:color="auto"/>
            </w:tcBorders>
            <w:vAlign w:val="center"/>
          </w:tcPr>
          <w:p>
            <w:pPr>
              <w:pStyle w:val="yTableNAm"/>
              <w:tabs>
                <w:tab w:val="clear" w:pos="567"/>
              </w:tabs>
              <w:spacing w:before="60" w:after="60"/>
              <w:ind w:right="-99"/>
              <w:rPr>
                <w:rFonts w:eastAsia="Arial"/>
                <w:sz w:val="18"/>
                <w:szCs w:val="18"/>
              </w:rPr>
            </w:pPr>
            <w:r>
              <w:rPr>
                <w:rFonts w:eastAsia="Arial"/>
                <w:sz w:val="18"/>
                <w:szCs w:val="18"/>
              </w:rPr>
              <w:sym w:font="Webdings" w:char="F063"/>
            </w:r>
            <w:r>
              <w:rPr>
                <w:rFonts w:eastAsia="Arial"/>
                <w:sz w:val="18"/>
                <w:szCs w:val="18"/>
              </w:rPr>
              <w:t xml:space="preserve">  but requires further treatment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some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350"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418"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t>performing: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duties</w:t>
            </w:r>
          </w:p>
        </w:tc>
        <w:tc>
          <w:tcPr>
            <w:tcW w:w="2410" w:type="dxa"/>
            <w:gridSpan w:val="10"/>
            <w:tcBorders>
              <w:top w:val="nil"/>
              <w:left w:val="nil"/>
              <w:bottom w:val="nil"/>
              <w:right w:val="nil"/>
            </w:tcBorders>
          </w:tcPr>
          <w:p>
            <w:pPr>
              <w:pStyle w:val="yTableNAm"/>
              <w:tabs>
                <w:tab w:val="clear" w:pos="567"/>
              </w:tabs>
              <w:ind w:left="-82" w:right="-143"/>
              <w:jc w:val="center"/>
              <w:rPr>
                <w:rFonts w:eastAsia="Arial"/>
                <w:sz w:val="18"/>
                <w:szCs w:val="18"/>
              </w:rPr>
            </w:pPr>
            <w:r>
              <w:rPr>
                <w:rFonts w:eastAsia="Arial"/>
                <w:sz w:val="18"/>
                <w:szCs w:val="18"/>
              </w:rPr>
              <w:sym w:font="Webdings" w:char="F063"/>
            </w:r>
            <w:r>
              <w:rPr>
                <w:rFonts w:eastAsia="Arial"/>
                <w:sz w:val="18"/>
                <w:szCs w:val="18"/>
              </w:rPr>
              <w:t xml:space="preserve"> modified or alternative duties</w:t>
            </w:r>
          </w:p>
        </w:tc>
        <w:tc>
          <w:tcPr>
            <w:tcW w:w="2424" w:type="dxa"/>
            <w:gridSpan w:val="9"/>
            <w:tcBorders>
              <w:top w:val="nil"/>
              <w:left w:val="nil"/>
              <w:bottom w:val="nil"/>
              <w:right w:val="single" w:sz="4" w:space="0" w:color="auto"/>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workplace modifications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hours</w:t>
            </w:r>
          </w:p>
        </w:tc>
        <w:tc>
          <w:tcPr>
            <w:tcW w:w="1985" w:type="dxa"/>
            <w:gridSpan w:val="6"/>
            <w:tcBorders>
              <w:top w:val="nil"/>
              <w:left w:val="nil"/>
              <w:bottom w:val="nil"/>
              <w:right w:val="single" w:sz="4" w:space="0" w:color="auto"/>
            </w:tcBorders>
          </w:tcPr>
          <w:p>
            <w:pPr>
              <w:pStyle w:val="yTableNAm"/>
              <w:tabs>
                <w:tab w:val="clear" w:pos="567"/>
              </w:tabs>
              <w:ind w:left="-52" w:right="-159"/>
              <w:rPr>
                <w:rFonts w:eastAsia="Arial"/>
                <w:sz w:val="18"/>
                <w:szCs w:val="18"/>
              </w:rPr>
            </w:pPr>
            <w:r>
              <w:rPr>
                <w:rFonts w:eastAsia="Arial"/>
                <w:sz w:val="18"/>
                <w:szCs w:val="18"/>
              </w:rPr>
              <w:sym w:font="Webdings" w:char="F063"/>
            </w:r>
            <w:r>
              <w:rPr>
                <w:rFonts w:eastAsia="Arial"/>
                <w:sz w:val="18"/>
                <w:szCs w:val="18"/>
              </w:rPr>
              <w:t xml:space="preserve"> modified hours of</w:t>
            </w:r>
          </w:p>
        </w:tc>
        <w:tc>
          <w:tcPr>
            <w:tcW w:w="425" w:type="dxa"/>
            <w:gridSpan w:val="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tabs>
                <w:tab w:val="clear" w:pos="567"/>
              </w:tabs>
              <w:ind w:left="-20"/>
              <w:rPr>
                <w:rFonts w:eastAsia="Arial"/>
                <w:sz w:val="18"/>
                <w:szCs w:val="18"/>
              </w:rPr>
            </w:pPr>
            <w:r>
              <w:rPr>
                <w:rFonts w:eastAsia="Arial"/>
                <w:sz w:val="18"/>
                <w:szCs w:val="18"/>
              </w:rPr>
              <w:t>hours/day</w:t>
            </w:r>
          </w:p>
        </w:tc>
        <w:tc>
          <w:tcPr>
            <w:tcW w:w="426" w:type="dxa"/>
            <w:gridSpan w:val="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006" w:type="dxa"/>
            <w:gridSpan w:val="2"/>
            <w:tcBorders>
              <w:top w:val="nil"/>
              <w:left w:val="single" w:sz="4" w:space="0" w:color="auto"/>
              <w:bottom w:val="nil"/>
              <w:right w:val="single" w:sz="4" w:space="0" w:color="auto"/>
            </w:tcBorders>
          </w:tcPr>
          <w:p>
            <w:pPr>
              <w:pStyle w:val="yTableNAm"/>
              <w:tabs>
                <w:tab w:val="clear" w:pos="567"/>
              </w:tabs>
              <w:ind w:left="-59"/>
              <w:jc w:val="both"/>
              <w:rPr>
                <w:rFonts w:eastAsia="Arial"/>
                <w:sz w:val="18"/>
                <w:szCs w:val="18"/>
              </w:rPr>
            </w:pPr>
            <w:r>
              <w:rPr>
                <w:rFonts w:eastAsia="Arial"/>
                <w:sz w:val="18"/>
                <w:szCs w:val="18"/>
              </w:rPr>
              <w:t>days/week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8" w:type="dxa"/>
            <w:gridSpan w:val="11"/>
            <w:tcBorders>
              <w:top w:val="nil"/>
              <w:left w:val="single" w:sz="4" w:space="0" w:color="auto"/>
              <w:bottom w:val="nil"/>
              <w:right w:val="single" w:sz="4" w:space="0" w:color="auto"/>
            </w:tcBorders>
            <w:vAlign w:val="center"/>
          </w:tcPr>
          <w:p>
            <w:pPr>
              <w:pStyle w:val="yTableNAm"/>
              <w:spacing w:before="60" w:after="60"/>
              <w:ind w:right="-108"/>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339"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362" w:type="dxa"/>
            <w:gridSpan w:val="7"/>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nil"/>
            </w:tcBorders>
          </w:tcPr>
          <w:p>
            <w:pPr>
              <w:pStyle w:val="yTableNAm"/>
              <w:rPr>
                <w:rFonts w:eastAsia="Arial"/>
                <w:sz w:val="18"/>
                <w:szCs w:val="18"/>
              </w:rPr>
            </w:pPr>
          </w:p>
        </w:tc>
        <w:tc>
          <w:tcPr>
            <w:tcW w:w="6738" w:type="dxa"/>
            <w:gridSpan w:val="27"/>
            <w:tcBorders>
              <w:top w:val="nil"/>
              <w:left w:val="nil"/>
              <w:bottom w:val="single" w:sz="4" w:space="0" w:color="auto"/>
              <w:right w:val="single" w:sz="4" w:space="0" w:color="auto"/>
            </w:tcBorders>
          </w:tcPr>
          <w:p>
            <w:pPr>
              <w:pStyle w:val="yTableNAm"/>
              <w:tabs>
                <w:tab w:val="clear" w:pos="567"/>
              </w:tabs>
              <w:ind w:left="-108" w:right="-99"/>
              <w:rPr>
                <w:rFonts w:eastAsia="Arial"/>
                <w:i/>
                <w:sz w:val="15"/>
                <w:szCs w:val="15"/>
              </w:rPr>
            </w:pPr>
            <w:r>
              <w:rPr>
                <w:rFonts w:eastAsia="Arial"/>
                <w:i/>
                <w:sz w:val="15"/>
                <w:szCs w:val="15"/>
              </w:rPr>
              <w:t>Specify any work restrictions below. Where there is no capacity for work, please provide clinical reasoning.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single" w:sz="4" w:space="0" w:color="auto"/>
            </w:tcBorders>
          </w:tcPr>
          <w:p>
            <w:pPr>
              <w:pStyle w:val="yTableNAm"/>
              <w:spacing w:before="0"/>
              <w:rPr>
                <w:rFonts w:eastAsia="Arial"/>
                <w:sz w:val="18"/>
                <w:szCs w:val="18"/>
              </w:rPr>
            </w:pPr>
          </w:p>
        </w:tc>
        <w:tc>
          <w:tcPr>
            <w:tcW w:w="6738" w:type="dxa"/>
            <w:gridSpan w:val="27"/>
            <w:tcBorders>
              <w:top w:val="single" w:sz="4" w:space="0" w:color="auto"/>
              <w:left w:val="single" w:sz="4" w:space="0" w:color="auto"/>
              <w:bottom w:val="single" w:sz="4" w:space="0" w:color="auto"/>
              <w:right w:val="single" w:sz="4" w:space="0" w:color="auto"/>
            </w:tcBorders>
          </w:tcPr>
          <w:p>
            <w:pPr>
              <w:pStyle w:val="yTableNAm"/>
              <w:spacing w:before="360" w:after="3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PRACTITIONER’S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Name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tabs>
                <w:tab w:val="clear" w:pos="567"/>
              </w:tabs>
              <w:ind w:left="33" w:right="-108"/>
              <w:rPr>
                <w:rFonts w:eastAsia="Arial"/>
                <w:sz w:val="18"/>
                <w:szCs w:val="18"/>
              </w:rPr>
            </w:pPr>
            <w:r>
              <w:rPr>
                <w:rFonts w:eastAsia="Arial"/>
                <w:sz w:val="18"/>
                <w:szCs w:val="18"/>
              </w:rPr>
              <w:t>Medical registration number/country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Address</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Medical specialty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Phone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Signature</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bl>
    <w:p>
      <w:pPr>
        <w:pStyle w:val="yMiscellaneousBody"/>
      </w:pPr>
    </w:p>
    <w:tbl>
      <w:tblPr>
        <w:tblStyle w:val="TableGrid"/>
        <w:tblW w:w="0" w:type="auto"/>
        <w:tblInd w:w="136" w:type="dxa"/>
        <w:tblLayout w:type="fixed"/>
        <w:tblLook w:val="04A0" w:firstRow="1" w:lastRow="0" w:firstColumn="1" w:lastColumn="0" w:noHBand="0" w:noVBand="1"/>
      </w:tblPr>
      <w:tblGrid>
        <w:gridCol w:w="965"/>
        <w:gridCol w:w="2268"/>
        <w:gridCol w:w="1701"/>
        <w:gridCol w:w="1417"/>
        <w:gridCol w:w="723"/>
      </w:tblGrid>
      <w:tr>
        <w:trPr>
          <w:trHeight w:val="216"/>
        </w:trPr>
        <w:tc>
          <w:tcPr>
            <w:tcW w:w="965" w:type="dxa"/>
            <w:tcBorders>
              <w:top w:val="nil"/>
              <w:left w:val="single" w:sz="4" w:space="0" w:color="auto"/>
              <w:bottom w:val="nil"/>
              <w:right w:val="single" w:sz="4" w:space="0" w:color="auto"/>
            </w:tcBorders>
          </w:tcPr>
          <w:p>
            <w:pPr>
              <w:pStyle w:val="yTableNAm"/>
              <w:keepNext/>
              <w:keepLines/>
              <w:rPr>
                <w:rFonts w:eastAsia="Arial"/>
                <w:sz w:val="18"/>
                <w:szCs w:val="18"/>
              </w:rPr>
            </w:pPr>
            <w:r>
              <w:rPr>
                <w:rFonts w:eastAsia="Arial"/>
                <w:sz w:val="18"/>
                <w:szCs w:val="18"/>
              </w:rPr>
              <w:lastRenderedPageBreak/>
              <w:t>Email</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rPr>
                <w:rFonts w:eastAsia="Arial"/>
                <w:sz w:val="18"/>
                <w:szCs w:val="18"/>
              </w:rPr>
            </w:pPr>
          </w:p>
        </w:tc>
        <w:tc>
          <w:tcPr>
            <w:tcW w:w="1701" w:type="dxa"/>
            <w:tcBorders>
              <w:top w:val="nil"/>
              <w:left w:val="single" w:sz="4" w:space="0" w:color="auto"/>
              <w:bottom w:val="nil"/>
              <w:right w:val="single" w:sz="4" w:space="0" w:color="auto"/>
            </w:tcBorders>
          </w:tcPr>
          <w:p>
            <w:pPr>
              <w:pStyle w:val="yTableNAm"/>
              <w:keepNext/>
              <w:keepLines/>
              <w:jc w:val="right"/>
              <w:rPr>
                <w:rFonts w:eastAsia="Arial"/>
                <w:sz w:val="18"/>
                <w:szCs w:val="18"/>
              </w:rPr>
            </w:pPr>
            <w:r>
              <w:rPr>
                <w:rFonts w:eastAsia="Arial"/>
                <w:sz w:val="18"/>
                <w:szCs w:val="18"/>
              </w:rPr>
              <w:t>Date</w:t>
            </w:r>
          </w:p>
        </w:tc>
        <w:tc>
          <w:tcPr>
            <w:tcW w:w="141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s>
              <w:jc w:val="both"/>
              <w:rPr>
                <w:rFonts w:eastAsia="Arial"/>
                <w:sz w:val="18"/>
                <w:szCs w:val="18"/>
              </w:rPr>
            </w:pPr>
            <w:r>
              <w:rPr>
                <w:rFonts w:eastAsia="Arial"/>
                <w:sz w:val="18"/>
                <w:szCs w:val="18"/>
              </w:rPr>
              <w:t xml:space="preserve">       /        /       </w:t>
            </w:r>
          </w:p>
        </w:tc>
        <w:tc>
          <w:tcPr>
            <w:tcW w:w="723" w:type="dxa"/>
            <w:tcBorders>
              <w:top w:val="nil"/>
              <w:left w:val="single" w:sz="4" w:space="0" w:color="auto"/>
              <w:bottom w:val="nil"/>
              <w:right w:val="single" w:sz="4" w:space="0" w:color="auto"/>
            </w:tcBorders>
          </w:tcPr>
          <w:p>
            <w:pPr>
              <w:pStyle w:val="yTableNAm"/>
              <w:keepNext/>
              <w:keepLines/>
              <w:rPr>
                <w:rFonts w:eastAsia="Arial"/>
                <w:sz w:val="18"/>
                <w:szCs w:val="18"/>
              </w:rPr>
            </w:pPr>
          </w:p>
        </w:tc>
      </w:tr>
      <w:tr>
        <w:trPr>
          <w:trHeight w:val="216"/>
        </w:trPr>
        <w:tc>
          <w:tcPr>
            <w:tcW w:w="965" w:type="dxa"/>
            <w:tcBorders>
              <w:top w:val="nil"/>
              <w:left w:val="single" w:sz="4" w:space="0" w:color="auto"/>
              <w:bottom w:val="single" w:sz="4" w:space="0" w:color="auto"/>
              <w:right w:val="nil"/>
            </w:tcBorders>
          </w:tcPr>
          <w:p>
            <w:pPr>
              <w:pStyle w:val="yTableNAm"/>
              <w:keepNext/>
              <w:keepLines/>
              <w:spacing w:before="0"/>
              <w:jc w:val="center"/>
              <w:rPr>
                <w:rFonts w:eastAsia="Arial"/>
                <w:sz w:val="18"/>
                <w:szCs w:val="18"/>
              </w:rPr>
            </w:pPr>
          </w:p>
        </w:tc>
        <w:tc>
          <w:tcPr>
            <w:tcW w:w="2268" w:type="dxa"/>
            <w:tcBorders>
              <w:top w:val="single" w:sz="4" w:space="0" w:color="auto"/>
              <w:left w:val="nil"/>
              <w:bottom w:val="single" w:sz="4" w:space="0" w:color="auto"/>
              <w:right w:val="nil"/>
            </w:tcBorders>
          </w:tcPr>
          <w:p>
            <w:pPr>
              <w:pStyle w:val="yTableNAm"/>
              <w:keepNext/>
              <w:keepLines/>
              <w:spacing w:before="0"/>
              <w:jc w:val="center"/>
              <w:rPr>
                <w:rFonts w:eastAsia="Arial"/>
                <w:i/>
                <w:sz w:val="16"/>
                <w:szCs w:val="16"/>
              </w:rPr>
            </w:pPr>
            <w:r>
              <w:rPr>
                <w:rFonts w:eastAsia="Arial"/>
                <w:i/>
                <w:sz w:val="16"/>
                <w:szCs w:val="16"/>
              </w:rPr>
              <w:t xml:space="preserve">(Practice stamp </w:t>
            </w:r>
            <w:r>
              <w:rPr>
                <w:rFonts w:eastAsia="Arial"/>
                <w:i/>
                <w:sz w:val="16"/>
                <w:szCs w:val="16"/>
              </w:rPr>
              <w:noBreakHyphen/>
              <w:t xml:space="preserve"> optional)</w:t>
            </w:r>
          </w:p>
        </w:tc>
        <w:tc>
          <w:tcPr>
            <w:tcW w:w="1701" w:type="dxa"/>
            <w:tcBorders>
              <w:top w:val="nil"/>
              <w:left w:val="nil"/>
              <w:bottom w:val="single" w:sz="4" w:space="0" w:color="auto"/>
              <w:right w:val="nil"/>
            </w:tcBorders>
          </w:tcPr>
          <w:p>
            <w:pPr>
              <w:pStyle w:val="yTableNAm"/>
              <w:keepNext/>
              <w:keepLines/>
              <w:spacing w:before="0"/>
              <w:jc w:val="center"/>
              <w:rPr>
                <w:rFonts w:eastAsia="Arial"/>
                <w:sz w:val="18"/>
                <w:szCs w:val="18"/>
              </w:rPr>
            </w:pPr>
          </w:p>
        </w:tc>
        <w:tc>
          <w:tcPr>
            <w:tcW w:w="2140" w:type="dxa"/>
            <w:gridSpan w:val="2"/>
            <w:tcBorders>
              <w:top w:val="nil"/>
              <w:left w:val="nil"/>
              <w:bottom w:val="single" w:sz="4" w:space="0" w:color="auto"/>
              <w:right w:val="single" w:sz="4" w:space="0" w:color="auto"/>
            </w:tcBorders>
          </w:tcPr>
          <w:p>
            <w:pPr>
              <w:pStyle w:val="yTableNAm"/>
              <w:keepNext/>
              <w:keepLines/>
              <w:spacing w:before="0"/>
              <w:jc w:val="center"/>
              <w:rPr>
                <w:rFonts w:eastAsia="Arial"/>
                <w:sz w:val="18"/>
                <w:szCs w:val="18"/>
              </w:rPr>
            </w:pPr>
          </w:p>
        </w:tc>
      </w:tr>
    </w:tbl>
    <w:p>
      <w:pPr>
        <w:pStyle w:val="yFootnotesection"/>
      </w:pPr>
      <w:r>
        <w:tab/>
        <w:t>[Form 6 inserted: Gazette 4 Oct 2016 p. 4243-5.]</w:t>
      </w:r>
    </w:p>
    <w:p>
      <w:pPr>
        <w:pStyle w:val="yEdnotedivision"/>
      </w:pPr>
      <w:r>
        <w:t>[Form 7 deleted: Gazette 18 Nov 2011 p. 4825.]</w:t>
      </w:r>
    </w:p>
    <w:p>
      <w:pPr>
        <w:pStyle w:val="yEdnotedivision"/>
      </w:pPr>
      <w:r>
        <w:t>[Forms 8</w:t>
      </w:r>
      <w:r>
        <w:noBreakHyphen/>
        <w:t>11 deleted: Gazette 8 Mar 1991 p. 1076.]</w:t>
      </w:r>
    </w:p>
    <w:p>
      <w:pPr>
        <w:pStyle w:val="yEdnotedivision"/>
      </w:pPr>
      <w:r>
        <w:t>[Form 12 deleted: Gazette 18 Feb 1994 p. 663.]</w:t>
      </w:r>
    </w:p>
    <w:p>
      <w:pPr>
        <w:pStyle w:val="yEdnotedivision"/>
      </w:pPr>
      <w:r>
        <w:t>[Form 13 deleted</w:t>
      </w:r>
      <w:r>
        <w:rPr>
          <w:iCs/>
          <w:sz w:val="16"/>
        </w:rPr>
        <w:t xml:space="preserve">: </w:t>
      </w:r>
      <w:r>
        <w:t>Gazette 28 Oct 2005 p. 4928.]</w:t>
      </w:r>
    </w:p>
    <w:p>
      <w:pPr>
        <w:pStyle w:val="yMiscellaneousHeading"/>
        <w:pageBreakBefore/>
        <w:spacing w:before="0"/>
      </w:pPr>
      <w:r>
        <w:rPr>
          <w:rStyle w:val="CharSClsNo"/>
          <w:b/>
          <w:bCs/>
        </w:rPr>
        <w:lastRenderedPageBreak/>
        <w:t>Form 14</w:t>
      </w:r>
    </w:p>
    <w:p>
      <w:pPr>
        <w:pStyle w:val="yShoulderClause"/>
      </w:pPr>
      <w:r>
        <w:t>[r. 18(1)]</w:t>
      </w:r>
    </w:p>
    <w:p>
      <w:pPr>
        <w:pStyle w:val="yMiscellaneousHeading"/>
        <w:spacing w:before="120"/>
        <w:rPr>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Gazette 8 Mar 1991 p. 1076; 24 Dec 1993 p. 6850; 17 Nov 2000 p. 6320; 21 Jan 2005 p. 276; 28 Oct 2005 p. 4928; 29 Jun 2018 p. 2446.]</w:t>
      </w:r>
    </w:p>
    <w:p>
      <w:pPr>
        <w:pStyle w:val="yMiscellaneousHeading"/>
        <w:pageBreakBefore/>
        <w:spacing w:before="0"/>
      </w:pPr>
      <w:r>
        <w:rPr>
          <w:rStyle w:val="CharSClsNo"/>
          <w:b/>
          <w:bCs/>
        </w:rPr>
        <w:lastRenderedPageBreak/>
        <w:t>Form 15</w:t>
      </w:r>
    </w:p>
    <w:p>
      <w:pPr>
        <w:pStyle w:val="yShoulderClause"/>
      </w:pPr>
      <w:r>
        <w:t>[r. 18(2)]</w:t>
      </w:r>
    </w:p>
    <w:p>
      <w:pPr>
        <w:pStyle w:val="yMiscellaneousHeading"/>
        <w:rPr>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Gazette 8 Mar 1991 p. 1076; 24 Dec 1993 p. 6850; 17 Nov 2000 p. 6320; 30 Jun 2003 p. 2637</w:t>
      </w:r>
      <w:r>
        <w:noBreakHyphen/>
        <w:t>8; 21 Jan 2005 p. 276; 28 Oct 2005 p. 4928</w:t>
      </w:r>
      <w:r>
        <w:noBreakHyphen/>
        <w:t>9; 29 Jun 2018 p. 2446.]</w:t>
      </w:r>
    </w:p>
    <w:p>
      <w:pPr>
        <w:pStyle w:val="yMiscellaneousHeading"/>
        <w:pageBreakBefore/>
        <w:spacing w:before="0"/>
      </w:pPr>
      <w:r>
        <w:rPr>
          <w:rStyle w:val="CharSClsNo"/>
          <w:b/>
          <w:bCs/>
        </w:rPr>
        <w:lastRenderedPageBreak/>
        <w:t>Form 15A</w:t>
      </w:r>
    </w:p>
    <w:p>
      <w:pPr>
        <w:pStyle w:val="yShoulderClause"/>
      </w:pPr>
      <w:r>
        <w:t>[r. 12(4)]</w:t>
      </w:r>
    </w:p>
    <w:p>
      <w:pPr>
        <w:pStyle w:val="yMiscellaneousHeading"/>
        <w:rPr>
          <w:iCs/>
          <w:sz w:val="20"/>
        </w:rPr>
      </w:pPr>
      <w:r>
        <w:rPr>
          <w:i/>
          <w:iCs/>
          <w:sz w:val="20"/>
        </w:rPr>
        <w:t>Workers’ Compensation and Injury Management Act 1981</w:t>
      </w:r>
    </w:p>
    <w:p>
      <w:pPr>
        <w:pStyle w:val="yMiscellaneousHeading"/>
        <w:rPr>
          <w:b/>
          <w:bCs/>
        </w:rPr>
      </w:pPr>
      <w:r>
        <w:rPr>
          <w:b/>
          <w:bCs/>
        </w:rPr>
        <w:t xml:space="preserve">NOTICE OF MEMORANDUM </w:t>
      </w:r>
      <w:r>
        <w:rPr>
          <w:b/>
        </w:rPr>
        <w:t>OF AGREEMENT</w:t>
      </w:r>
      <w:r>
        <w:rPr>
          <w:b/>
          <w:bCs/>
        </w:rPr>
        <w:t xml:space="preserve">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of Agreement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Gazette 18 Feb 1994 p. 663; amended: Gazette 21 Jan 2005 p. 276; 28 Oct 2005 p. 4929; 18 Nov 2011 p. 4825; SL 2020/149 r. 9(1).]</w:t>
      </w:r>
    </w:p>
    <w:p>
      <w:pPr>
        <w:pStyle w:val="yMiscellaneousHeading"/>
        <w:pageBreakBefore/>
        <w:spacing w:before="0"/>
      </w:pPr>
      <w:r>
        <w:rPr>
          <w:rStyle w:val="CharSClsNo"/>
          <w:b/>
          <w:bCs/>
        </w:rPr>
        <w:lastRenderedPageBreak/>
        <w:t>Form 15B</w:t>
      </w:r>
    </w:p>
    <w:p>
      <w:pPr>
        <w:pStyle w:val="yShoulderClause"/>
        <w:rPr>
          <w:sz w:val="20"/>
        </w:rPr>
      </w:pPr>
      <w:r>
        <w:t>[r. 12(5)]</w:t>
      </w:r>
    </w:p>
    <w:p>
      <w:pPr>
        <w:pStyle w:val="yMiscellaneousHeading"/>
        <w:rPr>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Gazette 18 Feb 1994 p. 664; amended: Gazette 21 Jan 2005 p. 276; 28 Oct 2005 p. 4929; 18 Nov 2011 p. 4825.]</w:t>
      </w:r>
    </w:p>
    <w:p>
      <w:pPr>
        <w:pStyle w:val="yMiscellaneousHeading"/>
        <w:pageBreakBefore/>
      </w:pPr>
      <w:r>
        <w:rPr>
          <w:rStyle w:val="CharSClsNo"/>
          <w:b/>
          <w:bCs/>
        </w:rPr>
        <w:lastRenderedPageBreak/>
        <w:t>Form 15C</w:t>
      </w:r>
    </w:p>
    <w:p>
      <w:pPr>
        <w:pStyle w:val="yShoulderClause"/>
      </w:pPr>
      <w:r>
        <w:t>[r. 12(1a)]</w:t>
      </w:r>
    </w:p>
    <w:p>
      <w:pPr>
        <w:pStyle w:val="yMiscellaneousHeading"/>
        <w:rPr>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r>
        <w:rPr>
          <w:sz w:val="16"/>
        </w:rPr>
        <w:t>Perth, Western Australia</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lastRenderedPageBreak/>
        <w:t>2.</w:t>
      </w:r>
      <w:r>
        <w:rPr>
          <w:sz w:val="16"/>
        </w:rPr>
        <w:tab/>
        <w:t>When the injury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injury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injury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lastRenderedPageBreak/>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injury to the worker referred to in this Agreement.</w:t>
      </w:r>
    </w:p>
    <w:p>
      <w:pPr>
        <w:pStyle w:val="yMiscellaneousBody"/>
        <w:spacing w:before="120"/>
        <w:rPr>
          <w:sz w:val="16"/>
        </w:rPr>
      </w:pPr>
      <w:r>
        <w:rPr>
          <w:sz w:val="16"/>
        </w:rPr>
        <w:t>SIGNED by the worker:</w:t>
      </w:r>
    </w:p>
    <w:p>
      <w:pPr>
        <w:pStyle w:val="yMiscellaneousBody"/>
        <w:spacing w:before="0"/>
        <w:rPr>
          <w:sz w:val="16"/>
        </w:rPr>
      </w:pPr>
    </w:p>
    <w:p>
      <w:pPr>
        <w:pStyle w:val="yMiscellaneousBody"/>
        <w:spacing w:before="120"/>
        <w:rPr>
          <w:sz w:val="16"/>
        </w:rPr>
      </w:pPr>
      <w:r>
        <w:rPr>
          <w:sz w:val="16"/>
        </w:rPr>
        <w:t>SIGNED by or on behalf of the employer:</w:t>
      </w:r>
    </w:p>
    <w:p>
      <w:pPr>
        <w:pStyle w:val="yMiscellaneousBody"/>
        <w:spacing w:before="0"/>
        <w:rPr>
          <w:sz w:val="16"/>
        </w:rPr>
      </w:pP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Gazette 15 Oct 1999 p. 4907</w:t>
      </w:r>
      <w:r>
        <w:noBreakHyphen/>
        <w:t>10; amended: Gazette 17 Nov 2000 p. 6321; 21 Jan 2005 p. 276; 28 Oct 2005 p. 4929</w:t>
      </w:r>
      <w:r>
        <w:noBreakHyphen/>
        <w:t>31; 18 Nov 2011 p. 4825; SL 2020/149 r. 9(2).]</w:t>
      </w:r>
    </w:p>
    <w:p>
      <w:pPr>
        <w:pStyle w:val="yMiscellaneousHeading"/>
        <w:pageBreakBefore/>
      </w:pPr>
      <w:r>
        <w:rPr>
          <w:rStyle w:val="CharSClsNo"/>
          <w:b/>
          <w:bCs/>
        </w:rPr>
        <w:lastRenderedPageBreak/>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Gazette 15 Oct 1999 p. 4910; amended: Gazette 17 Nov 2000 p. 6321; 21 Jan 2005 p. 276; 28 Oct 2005 p. 4931</w:t>
      </w:r>
      <w:r>
        <w:noBreakHyphen/>
        <w:t>2.]</w:t>
      </w:r>
    </w:p>
    <w:p>
      <w:pPr>
        <w:pStyle w:val="yMiscellaneousHeading"/>
        <w:pageBreakBefore/>
      </w:pPr>
      <w:r>
        <w:rPr>
          <w:rStyle w:val="CharSClsNo"/>
          <w:b/>
          <w:bCs/>
        </w:rPr>
        <w:lastRenderedPageBreak/>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Gazette 15 Oct 1999 p. 4911; amended: Gazette 17 Nov 2000 p. 6321; 21 Jan 2005 p. 276; 28 Oct 2005 p. 4932.]</w:t>
      </w:r>
    </w:p>
    <w:p>
      <w:pPr>
        <w:pStyle w:val="yMiscellaneousHeading"/>
        <w:pageBreakBefore/>
      </w:pPr>
      <w:r>
        <w:rPr>
          <w:rStyle w:val="CharSClsNo"/>
          <w:b/>
          <w:bCs/>
        </w:rPr>
        <w:lastRenderedPageBreak/>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Gazette 15 Oct 1999 p. 4911</w:t>
      </w:r>
      <w:r>
        <w:noBreakHyphen/>
        <w:t>12; amended: Gazette 17 Nov 2000 p. 6321; 21 Jan 2005 p. 276; 28 Oct 2005 p. 4932; 18 Nov 2011 p. 4825.]</w:t>
      </w:r>
    </w:p>
    <w:p>
      <w:pPr>
        <w:pStyle w:val="yMiscellaneousHeading"/>
        <w:pageBreakBefore/>
      </w:pPr>
      <w:r>
        <w:rPr>
          <w:rStyle w:val="CharSClsNo"/>
          <w:b/>
          <w:bCs/>
        </w:rPr>
        <w:lastRenderedPageBreak/>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“WorkCover WA”,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Note that the date on which the dismissal is effective cannot be before a period of 28 days has passed after this notice is given to the worker and WorkCover WA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lastRenderedPageBreak/>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WorkCover WA</w:t>
            </w:r>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Gazette 28 Oct 2005 p. 4932</w:t>
      </w:r>
      <w:r>
        <w:noBreakHyphen/>
        <w:t>4.]</w:t>
      </w:r>
    </w:p>
    <w:p>
      <w:pPr>
        <w:pStyle w:val="yMiscellaneousHeading"/>
        <w:pageBreakBefore/>
      </w:pPr>
      <w:r>
        <w:rPr>
          <w:rStyle w:val="CharSClsNo"/>
          <w:b/>
          <w:bCs/>
        </w:rPr>
        <w:lastRenderedPageBreak/>
        <w:t>Form 16</w:t>
      </w:r>
    </w:p>
    <w:p>
      <w:pPr>
        <w:pStyle w:val="yShoulderClause"/>
      </w:pPr>
      <w:r>
        <w:t>[r. 15]</w:t>
      </w:r>
    </w:p>
    <w:p>
      <w:pPr>
        <w:pStyle w:val="yFootnoteheading"/>
        <w:spacing w:after="60"/>
      </w:pPr>
      <w:r>
        <w:tab/>
        <w:t>[Heading inserted: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Gazette 14 Dec 2012 p. 6211</w:t>
      </w:r>
      <w:r>
        <w:noBreakHyphen/>
        <w:t>12.]</w:t>
      </w:r>
    </w:p>
    <w:p>
      <w:pPr>
        <w:pStyle w:val="yMiscellaneousHeading"/>
        <w:pageBreakBefore/>
      </w:pPr>
      <w:r>
        <w:rPr>
          <w:rStyle w:val="CharSClsNo"/>
          <w:b/>
          <w:bCs/>
        </w:rPr>
        <w:lastRenderedPageBreak/>
        <w:t>Form 17</w:t>
      </w:r>
    </w:p>
    <w:p>
      <w:pPr>
        <w:pStyle w:val="yShoulderClause"/>
      </w:pPr>
      <w:r>
        <w:t>[r. 15]</w:t>
      </w:r>
    </w:p>
    <w:p>
      <w:pPr>
        <w:pStyle w:val="yFootnoteheading"/>
        <w:spacing w:after="60"/>
      </w:pPr>
      <w:r>
        <w:tab/>
        <w:t>[Heading inserted: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Gazette 14 Dec 2012 p. 6212.]</w:t>
      </w:r>
    </w:p>
    <w:p>
      <w:pPr>
        <w:pStyle w:val="yMiscellaneousHeading"/>
        <w:pageBreakBefore/>
      </w:pPr>
      <w:r>
        <w:rPr>
          <w:rStyle w:val="CharSClsNo"/>
          <w:b/>
          <w:bCs/>
        </w:rPr>
        <w:lastRenderedPageBreak/>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Gazette 26 Feb 1991 p. 940; amended: Gazette 8 Mar 1991 p. 1076; 21 Jan 2005 p. 276; 28 Oct 2005 p. 4934.]</w:t>
      </w:r>
    </w:p>
    <w:p>
      <w:pPr>
        <w:pStyle w:val="yMiscellaneousHeading"/>
        <w:pageBreakBefore/>
      </w:pPr>
      <w:r>
        <w:rPr>
          <w:rStyle w:val="CharSClsNo"/>
          <w:b/>
          <w:bCs/>
        </w:rPr>
        <w:lastRenderedPageBreak/>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Chief executive officer, WorkCover WA.</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lastRenderedPageBreak/>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204"/>
        <w:gridCol w:w="21"/>
      </w:tblGrid>
      <w:tr>
        <w:trPr>
          <w:gridAfter w:val="1"/>
          <w:wAfter w:w="21"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87" w:type="dxa"/>
            <w:gridSpan w:val="9"/>
          </w:tcPr>
          <w:p>
            <w:pPr>
              <w:pStyle w:val="yTableNAm"/>
              <w:keepNext/>
              <w:keepLines/>
              <w:spacing w:before="60" w:after="60"/>
              <w:jc w:val="center"/>
              <w:rPr>
                <w:sz w:val="14"/>
              </w:rPr>
            </w:pPr>
            <w:r>
              <w:rPr>
                <w:sz w:val="14"/>
              </w:rPr>
              <w:t>8000</w:t>
            </w:r>
          </w:p>
        </w:tc>
      </w:tr>
      <w:tr>
        <w:trPr>
          <w:gridAfter w:val="1"/>
          <w:wAfter w:w="21"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rPr>
          <w:gridAfter w:val="1"/>
          <w:wAfter w:w="21"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Gazette 3 Apr 1992 p. 1542</w:t>
      </w:r>
      <w:r>
        <w:noBreakHyphen/>
        <w:t>3; amended: Gazette 21 Jan 2005 p. 276 and 277.]</w:t>
      </w:r>
    </w:p>
    <w:p>
      <w:pPr>
        <w:pStyle w:val="yMiscellaneousHeading"/>
        <w:pageBreakBefore/>
      </w:pPr>
      <w:r>
        <w:rPr>
          <w:rStyle w:val="CharSClsNo"/>
          <w:b/>
          <w:bCs/>
        </w:rPr>
        <w:lastRenderedPageBreak/>
        <w:t>Form 19B</w:t>
      </w:r>
    </w:p>
    <w:p>
      <w:pPr>
        <w:pStyle w:val="yShoulderClause"/>
      </w:pPr>
      <w:r>
        <w:t>[r. 19F]</w:t>
      </w:r>
    </w:p>
    <w:p>
      <w:pPr>
        <w:pStyle w:val="yMiscellaneousHeading"/>
        <w:rPr>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Chief executive officer, WorkCover WA.</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lastRenderedPageBreak/>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Gazette 3 Apr 1992 p. 1544</w:t>
      </w:r>
      <w:r>
        <w:noBreakHyphen/>
        <w:t>5; amended: Gazette 21 Jan 2005 p. 276 and 277.]</w:t>
      </w:r>
    </w:p>
    <w:p>
      <w:pPr>
        <w:pStyle w:val="yEdnotesection"/>
        <w:spacing w:before="80"/>
        <w:outlineLvl w:val="9"/>
      </w:pPr>
      <w:r>
        <w:t>[Form 20 deleted: Gazette 28 Oct 2005 p. 4934.]</w:t>
      </w:r>
    </w:p>
    <w:p>
      <w:pPr>
        <w:pStyle w:val="yMiscellaneousHeading"/>
        <w:pageBreakBefore/>
      </w:pPr>
      <w:r>
        <w:rPr>
          <w:rStyle w:val="CharSClsNo"/>
          <w:b/>
          <w:bCs/>
        </w:rPr>
        <w:lastRenderedPageBreak/>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Chief executive officer, WorkCover WA</w:t>
      </w:r>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Gazette 26 Feb 1991 p. 946; amended: Gazette 8 Mar 1991 p. 1076; 21 Jan 2005 p. 276 and 277.]</w:t>
      </w:r>
    </w:p>
    <w:p>
      <w:pPr>
        <w:pStyle w:val="yMiscellaneousHeading"/>
        <w:pageBreakBefore/>
      </w:pPr>
      <w:r>
        <w:rPr>
          <w:rStyle w:val="CharSClsNo"/>
          <w:b/>
          <w:bCs/>
        </w:rPr>
        <w:lastRenderedPageBreak/>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t xml:space="preserve">WorkCover WA </w:t>
            </w:r>
          </w:p>
          <w:p>
            <w:pPr>
              <w:pStyle w:val="yTableNAm"/>
              <w:spacing w:before="0"/>
              <w:rPr>
                <w:sz w:val="16"/>
              </w:rPr>
            </w:pPr>
            <w:r>
              <w:rPr>
                <w:sz w:val="16"/>
              </w:rPr>
              <w:tab/>
              <w:t>Perth, Western Australia</w:t>
            </w:r>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Gazette 14 Dec 1999 p. 6153</w:t>
      </w:r>
      <w:r>
        <w:noBreakHyphen/>
        <w:t>4; amended: Gazette 17 Nov 2000 p. 6321; 21 Jan 2005 p. 276; 28 Oct 2005 p. 4934</w:t>
      </w:r>
      <w:r>
        <w:noBreakHyphen/>
        <w:t>5; 18 Nov 2011 p. 4825.]</w:t>
      </w:r>
    </w:p>
    <w:p>
      <w:pPr>
        <w:pStyle w:val="yMiscellaneousHeading"/>
        <w:pageBreakBefore/>
      </w:pPr>
      <w:r>
        <w:rPr>
          <w:rStyle w:val="CharSClsNo"/>
          <w:b/>
          <w:bCs/>
        </w:rPr>
        <w:lastRenderedPageBreak/>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t xml:space="preserve">WorkCover WA </w:t>
            </w:r>
          </w:p>
          <w:p>
            <w:pPr>
              <w:pStyle w:val="yTableNAm"/>
              <w:spacing w:before="0" w:after="100"/>
              <w:rPr>
                <w:b/>
                <w:bCs/>
                <w:sz w:val="16"/>
              </w:rPr>
            </w:pPr>
            <w:r>
              <w:rPr>
                <w:sz w:val="16"/>
              </w:rPr>
              <w:tab/>
              <w:t>Perth, Western Australia</w:t>
            </w:r>
          </w:p>
        </w:tc>
      </w:tr>
    </w:tbl>
    <w:p>
      <w:pPr>
        <w:pStyle w:val="yFootnotesection"/>
      </w:pPr>
      <w:r>
        <w:tab/>
        <w:t>[Form 22A inserted: Gazette 26 Oct 2004 p. 4902</w:t>
      </w:r>
      <w:r>
        <w:noBreakHyphen/>
        <w:t>5; amended: Gazette 21 Jan 2005 p. 276; 28 Oct 2005 p. 4935; 18 Nov 2011 p. 4825.]</w:t>
      </w:r>
    </w:p>
    <w:p>
      <w:pPr>
        <w:pStyle w:val="yMiscellaneousHeading"/>
        <w:pageBreakBefore/>
      </w:pPr>
      <w:r>
        <w:rPr>
          <w:rStyle w:val="CharSClsNo"/>
          <w:b/>
          <w:bCs/>
        </w:rPr>
        <w:lastRenderedPageBreak/>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lastRenderedPageBreak/>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lastRenderedPageBreak/>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 xml:space="preserve">WorkCover WA </w:t>
            </w:r>
          </w:p>
          <w:p>
            <w:pPr>
              <w:pStyle w:val="yTableNAm"/>
              <w:spacing w:before="60"/>
              <w:rPr>
                <w:b/>
                <w:bCs/>
                <w:sz w:val="16"/>
              </w:rPr>
            </w:pPr>
            <w:r>
              <w:rPr>
                <w:sz w:val="16"/>
              </w:rPr>
              <w:tab/>
              <w:t>Perth, Western Australia</w:t>
            </w:r>
          </w:p>
        </w:tc>
      </w:tr>
    </w:tbl>
    <w:p>
      <w:pPr>
        <w:pStyle w:val="yFootnotesection"/>
      </w:pPr>
      <w:r>
        <w:tab/>
        <w:t>[Form 22B inserted: Gazette 26 Oct 2004 p. 4905</w:t>
      </w:r>
      <w:r>
        <w:noBreakHyphen/>
        <w:t>8; amended: Gazette 21 Jan 2005 p. 276; 28 Oct 2005 p. 4936; 18 Nov 2011 p. 4825.]</w:t>
      </w:r>
    </w:p>
    <w:p>
      <w:pPr>
        <w:pStyle w:val="yMiscellaneousHeading"/>
        <w:pageBreakBefore/>
      </w:pPr>
      <w:r>
        <w:rPr>
          <w:rStyle w:val="CharSClsNo"/>
          <w:b/>
          <w:bCs/>
        </w:rPr>
        <w:lastRenderedPageBreak/>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lastRenderedPageBreak/>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Gazette 14 Dec 1999 p. 6154</w:t>
      </w:r>
      <w:r>
        <w:noBreakHyphen/>
        <w:t>5; amended: Gazette 17 Nov 2000 p. 6321; 21 Jan 2005 p. 276; 28 Oct 2005 p. 4936</w:t>
      </w:r>
      <w:r>
        <w:noBreakHyphen/>
        <w:t>7; 18 Nov 2011 p. 4825.]</w:t>
      </w:r>
    </w:p>
    <w:p>
      <w:pPr>
        <w:pStyle w:val="yMiscellaneousHeading"/>
        <w:pageBreakBefore/>
      </w:pPr>
      <w:r>
        <w:rPr>
          <w:rStyle w:val="CharSClsNo"/>
          <w:b/>
          <w:bCs/>
        </w:rPr>
        <w:lastRenderedPageBreak/>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6"/>
          <w:szCs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lastRenderedPageBreak/>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Gazette 26 Oct 2004 p. 4908</w:t>
      </w:r>
      <w:r>
        <w:noBreakHyphen/>
        <w:t>10; amended: Gazette 21 Jan 2005 p. 276; 28 Oct 2005 p. 4937</w:t>
      </w:r>
      <w:r>
        <w:noBreakHyphen/>
        <w:t>8; 9 Dec 2005 p. 5897; 18 Nov 2011 p. 4825.]</w:t>
      </w:r>
    </w:p>
    <w:p>
      <w:pPr>
        <w:pStyle w:val="yMiscellaneousHeading"/>
        <w:pageBreakBefore/>
      </w:pPr>
      <w:r>
        <w:rPr>
          <w:rStyle w:val="CharSClsNo"/>
          <w:b/>
          <w:bCs/>
        </w:rPr>
        <w:lastRenderedPageBreak/>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lastRenderedPageBreak/>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lastRenderedPageBreak/>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Gazette 26 Oct 2004 p. 4911</w:t>
      </w:r>
      <w:r>
        <w:noBreakHyphen/>
        <w:t>13; amended: Gazette 21 Jan 2005 p. 276; 28 Oct 2005 p. 4937</w:t>
      </w:r>
      <w:r>
        <w:noBreakHyphen/>
        <w:t>8; 9 Dec 2005 p. 5897; 18 Nov 2011 p. 4825.]</w:t>
      </w:r>
    </w:p>
    <w:p>
      <w:pPr>
        <w:pStyle w:val="yMiscellaneousHeading"/>
        <w:pageBreakBefore/>
      </w:pPr>
      <w:r>
        <w:rPr>
          <w:rStyle w:val="CharSClsNo"/>
          <w:b/>
        </w:rPr>
        <w:lastRenderedPageBreak/>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Gazette 14 Dec 1999 p. 6156</w:t>
      </w:r>
      <w:r>
        <w:noBreakHyphen/>
        <w:t>7; amended: Gazette 17 Nov 2000 p. 6321; 21 Jan 2005 p. 276; 28 Oct 2005 p. 4938.]</w:t>
      </w:r>
    </w:p>
    <w:p>
      <w:pPr>
        <w:pStyle w:val="yMiscellaneousHeading"/>
        <w:pageBreakBefore/>
      </w:pPr>
      <w:r>
        <w:rPr>
          <w:rStyle w:val="CharSClsNo"/>
          <w:b/>
        </w:rPr>
        <w:lastRenderedPageBreak/>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lastRenderedPageBreak/>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lastRenderedPageBreak/>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Gazette 14 Dec 1999 p. 6157</w:t>
      </w:r>
      <w:r>
        <w:noBreakHyphen/>
        <w:t>9; amended: Gazette 17 Nov 2000 p. 6317 and 6321; 21 Jan 2005 p. 276; 28 Oct 2005 p. 4938.]</w:t>
      </w:r>
    </w:p>
    <w:p>
      <w:pPr>
        <w:pStyle w:val="yMiscellaneousHeading"/>
        <w:pageBreakBefore/>
      </w:pPr>
      <w:r>
        <w:rPr>
          <w:rStyle w:val="CharSClsNo"/>
          <w:b/>
        </w:rPr>
        <w:lastRenderedPageBreak/>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MiscellaneousBody"/>
        <w:spacing w:before="0"/>
        <w:rPr>
          <w:sz w:val="6"/>
          <w:szCs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Gazette 14 Dec 1999 p. 6159</w:t>
      </w:r>
      <w:r>
        <w:noBreakHyphen/>
        <w:t>61; amended: Gazette 17 Nov 2000 p. 6321; 21 Jan 2005 p. 276; 28 Oct 2005 p. 4938</w:t>
      </w:r>
      <w:r>
        <w:noBreakHyphen/>
        <w:t>9; 18 Nov 2011 p. 4825.]</w:t>
      </w:r>
    </w:p>
    <w:p>
      <w:pPr>
        <w:pStyle w:val="yMiscellaneousHeading"/>
        <w:pageBreakBefore/>
      </w:pPr>
      <w:r>
        <w:rPr>
          <w:rStyle w:val="CharSClsNo"/>
          <w:b/>
        </w:rPr>
        <w:lastRenderedPageBreak/>
        <w:t>Form 27</w:t>
      </w:r>
    </w:p>
    <w:p>
      <w:pPr>
        <w:pStyle w:val="yShoulderClause"/>
        <w:rPr>
          <w:sz w:val="20"/>
        </w:rPr>
      </w:pPr>
      <w:r>
        <w:rPr>
          <w:sz w:val="20"/>
        </w:rPr>
        <w:t>[r. 19N(4)(a)]</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lastRenderedPageBreak/>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Gazette 14 Dec 1999 p. 6161</w:t>
      </w:r>
      <w:r>
        <w:noBreakHyphen/>
        <w:t>3; amended: Gazette 17 Nov 2000 p. 6321; 21 Jan 2005 p. 276; 28 Oct 2005 p. 4939; 18 Nov 2011 p. 4825.]</w:t>
      </w:r>
    </w:p>
    <w:p>
      <w:pPr>
        <w:pStyle w:val="yMiscellaneousHeading"/>
        <w:pageBreakBefore/>
      </w:pPr>
      <w:r>
        <w:rPr>
          <w:rStyle w:val="CharSClsNo"/>
          <w:b/>
        </w:rPr>
        <w:lastRenderedPageBreak/>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Gazette 17 Nov 2000 p. 6317</w:t>
      </w:r>
      <w:r>
        <w:noBreakHyphen/>
        <w:t>19; amended: Gazette 21 Jan 2005 p. 276; 28 Oct 2005 p. 4939; 18 Nov 2011 p. 4825.]</w:t>
      </w:r>
    </w:p>
    <w:p>
      <w:pPr>
        <w:pStyle w:val="yMiscellaneousHeading"/>
        <w:pageBreakBefore/>
      </w:pPr>
      <w:r>
        <w:rPr>
          <w:rStyle w:val="CharSClsNo"/>
          <w:b/>
          <w:bCs/>
        </w:rPr>
        <w:lastRenderedPageBreak/>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and (5), Schedule 8 clause 10)</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Gazette 28 Oct 2005 p. 4939</w:t>
      </w:r>
      <w:r>
        <w:noBreakHyphen/>
        <w:t>40; amended: Gazette 18 Nov 2011 p. 4825; 29 Jun 2018 p. 2446.]</w:t>
      </w:r>
    </w:p>
    <w:p>
      <w:pPr>
        <w:pStyle w:val="yMiscellaneousHeading"/>
        <w:pageBreakBefore/>
      </w:pPr>
      <w:r>
        <w:rPr>
          <w:rStyle w:val="CharSClsNo"/>
          <w:b/>
          <w:bCs/>
        </w:rPr>
        <w:lastRenderedPageBreak/>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and (5), Schedule 8 clause 10)</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Gazette 28 Oct 2005 p. 4941; amended: Gazette 29 Jun 2018 p. 2446.]</w:t>
      </w:r>
    </w:p>
    <w:p>
      <w:pPr>
        <w:pStyle w:val="yMiscellaneousHeading"/>
        <w:pageBreakBefore/>
      </w:pPr>
      <w:r>
        <w:rPr>
          <w:rStyle w:val="CharSClsNo"/>
          <w:b/>
          <w:bCs/>
        </w:rPr>
        <w:lastRenderedPageBreak/>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lastRenderedPageBreak/>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r>
              <w:rPr>
                <w:sz w:val="16"/>
              </w:rPr>
              <w:t>WorkCover WA</w:t>
            </w:r>
          </w:p>
          <w:p>
            <w:pPr>
              <w:pStyle w:val="yTableNAm"/>
              <w:spacing w:before="60"/>
              <w:ind w:left="359"/>
              <w:rPr>
                <w:sz w:val="16"/>
              </w:rPr>
            </w:pPr>
            <w:r>
              <w:rPr>
                <w:sz w:val="16"/>
              </w:rPr>
              <w:t>Perth, WA</w:t>
            </w:r>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lastRenderedPageBreak/>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Gazette 28 Oct 2005 p. 4942</w:t>
      </w:r>
      <w:r>
        <w:noBreakHyphen/>
        <w:t>4; amended: Gazette 18 Nov 2011 p. 4825.]</w:t>
      </w:r>
    </w:p>
    <w:p>
      <w:pPr>
        <w:pStyle w:val="yMiscellaneousHeading"/>
        <w:pageBreakBefore/>
      </w:pPr>
      <w:r>
        <w:rPr>
          <w:rStyle w:val="CharSClsNo"/>
          <w:b/>
          <w:bCs/>
        </w:rPr>
        <w:lastRenderedPageBreak/>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Gazette 28 Oct 2005 p. 4944</w:t>
      </w:r>
      <w:r>
        <w:noBreakHyphen/>
        <w:t>6.]</w:t>
      </w:r>
    </w:p>
    <w:p>
      <w:pPr>
        <w:pStyle w:val="yMiscellaneousHeading"/>
        <w:pageBreakBefore/>
      </w:pPr>
      <w:r>
        <w:rPr>
          <w:rStyle w:val="CharSClsNo"/>
          <w:b/>
          <w:bCs/>
        </w:rPr>
        <w:lastRenderedPageBreak/>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Gazette 28 Oct 2005 p. 4946</w:t>
      </w:r>
      <w:r>
        <w:noBreakHyphen/>
        <w:t>8.]</w:t>
      </w:r>
    </w:p>
    <w:p>
      <w:pPr>
        <w:pStyle w:val="yMiscellaneousHeading"/>
        <w:pageBreakBefore/>
      </w:pPr>
      <w:r>
        <w:rPr>
          <w:rStyle w:val="CharSClsNo"/>
          <w:b/>
          <w:bCs/>
        </w:rPr>
        <w:lastRenderedPageBreak/>
        <w:t>Form 34</w:t>
      </w:r>
    </w:p>
    <w:p>
      <w:pPr>
        <w:pStyle w:val="yShoulderClause"/>
        <w:rPr>
          <w:sz w:val="20"/>
        </w:rPr>
      </w:pPr>
      <w:r>
        <w:rPr>
          <w:sz w:val="20"/>
        </w:rPr>
        <w:t>[r. 22]</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pPr>
      <w:r>
        <w:rPr>
          <w:b/>
          <w:u w:val="single"/>
        </w:rPr>
        <w:t>WARNING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8"/>
      </w:tblGrid>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spacing w:before="60"/>
              <w:rPr>
                <w:sz w:val="16"/>
                <w:szCs w:val="16"/>
              </w:rPr>
            </w:pPr>
            <w:r>
              <w:rPr>
                <w:sz w:val="16"/>
                <w:szCs w:val="16"/>
              </w:rPr>
              <w:t>An election cannot be withdrawn after the Director registers it and a subsequent election cannot be made in respect of the same injury or injuries (see section 93L(6) of the Act).</w:t>
            </w:r>
          </w:p>
          <w:p>
            <w:pPr>
              <w:pStyle w:val="yTableNAm"/>
              <w:spacing w:before="60"/>
              <w:rPr>
                <w:sz w:val="16"/>
                <w:szCs w:val="16"/>
              </w:rPr>
            </w:pPr>
            <w:r>
              <w:rPr>
                <w:sz w:val="16"/>
                <w:szCs w:val="16"/>
              </w:rPr>
              <w:t xml:space="preserve">Registration of an election may affect your entitlement to statutory compensation under the </w:t>
            </w:r>
            <w:r>
              <w:rPr>
                <w:i/>
                <w:iCs/>
                <w:sz w:val="16"/>
                <w:szCs w:val="16"/>
              </w:rPr>
              <w:t>Workers’ Compensation and Injury Management Act 1981</w:t>
            </w:r>
            <w:r>
              <w:rPr>
                <w:sz w:val="16"/>
                <w:szCs w:val="16"/>
              </w:rPr>
              <w:t>.</w:t>
            </w:r>
          </w:p>
        </w:tc>
      </w:tr>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jc w:val="center"/>
              <w:rPr>
                <w:sz w:val="16"/>
                <w:szCs w:val="16"/>
              </w:rPr>
            </w:pPr>
            <w:r>
              <w:rPr>
                <w:b/>
                <w:bCs/>
                <w:sz w:val="16"/>
                <w:szCs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lastRenderedPageBreak/>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34 inserted: Gazette 28 Oct 2005 p. 4948</w:t>
      </w:r>
      <w:r>
        <w:noBreakHyphen/>
        <w:t>50; amended: SL 2020/188 r. 17(1).]</w:t>
      </w:r>
    </w:p>
    <w:p>
      <w:pPr>
        <w:pStyle w:val="yEdnotedivision"/>
      </w:pPr>
      <w:r>
        <w:t>[Forms 35 and 36 deleted: SL 2020/188 r. 17(2).]</w:t>
      </w:r>
    </w:p>
    <w:p>
      <w:pPr>
        <w:pStyle w:val="yMiscellaneousHeading"/>
        <w:pageBreakBefore/>
      </w:pPr>
      <w:r>
        <w:rPr>
          <w:rStyle w:val="CharSClsNo"/>
          <w:b/>
          <w:bCs/>
        </w:rPr>
        <w:lastRenderedPageBreak/>
        <w:t>Form 37</w:t>
      </w:r>
    </w:p>
    <w:p>
      <w:pPr>
        <w:pStyle w:val="yShoulderClause"/>
        <w:rPr>
          <w:sz w:val="20"/>
        </w:rPr>
      </w:pPr>
      <w:r>
        <w:rPr>
          <w:sz w:val="20"/>
        </w:rPr>
        <w:t>[r. 47(4)(a)]</w:t>
      </w:r>
    </w:p>
    <w:p>
      <w:pPr>
        <w:pStyle w:val="yMiscellaneousHeading"/>
        <w:spacing w:before="120"/>
        <w:rPr>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Gazette 28 Oct 2005 p. 4955</w:t>
      </w:r>
      <w:r>
        <w:noBreakHyphen/>
        <w:t>6.]</w:t>
      </w:r>
    </w:p>
    <w:p>
      <w:pPr>
        <w:pStyle w:val="yMiscellaneousHeading"/>
        <w:pageBreakBefore/>
      </w:pPr>
      <w:r>
        <w:rPr>
          <w:rStyle w:val="CharSClsNo"/>
          <w:b/>
          <w:bCs/>
        </w:rPr>
        <w:lastRenderedPageBreak/>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Gazette 28 Oct 2005 p. 4957</w:t>
      </w:r>
      <w:r>
        <w:noBreakHyphen/>
        <w:t>8.]</w:t>
      </w:r>
    </w:p>
    <w:p>
      <w:pPr>
        <w:pStyle w:val="yMiscellaneousHeading"/>
        <w:pageBreakBefore/>
      </w:pPr>
      <w:r>
        <w:rPr>
          <w:rStyle w:val="CharSClsNo"/>
          <w:b/>
          <w:bCs/>
        </w:rPr>
        <w:lastRenderedPageBreak/>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r>
              <w:rPr>
                <w:sz w:val="16"/>
              </w:rPr>
              <w:t>WorkCover WA</w:t>
            </w:r>
          </w:p>
          <w:p>
            <w:pPr>
              <w:pStyle w:val="yTableNAm"/>
              <w:spacing w:before="40"/>
              <w:rPr>
                <w:sz w:val="16"/>
              </w:rPr>
            </w:pPr>
            <w:r>
              <w:rPr>
                <w:sz w:val="16"/>
              </w:rPr>
              <w:t>Perth, WA</w:t>
            </w:r>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lastRenderedPageBreak/>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Gazette 28 Oct 2005 p. 4959</w:t>
      </w:r>
      <w:r>
        <w:noBreakHyphen/>
        <w:t>61; amended: Gazette 18 Nov 2011 p. 4825.]</w:t>
      </w:r>
    </w:p>
    <w:p>
      <w:pPr>
        <w:pStyle w:val="yMiscellaneousHeading"/>
        <w:pageBreakBefore/>
        <w:rPr>
          <w:b/>
        </w:rPr>
      </w:pPr>
      <w:r>
        <w:rPr>
          <w:rStyle w:val="CharSClsNo"/>
          <w:b/>
          <w:bCs/>
        </w:rPr>
        <w:lastRenderedPageBreak/>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lastRenderedPageBreak/>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Gazette 25 Feb 2014 p. 505</w:t>
      </w:r>
      <w:r>
        <w:noBreakHyphen/>
        <w:t>7.]</w:t>
      </w:r>
    </w:p>
    <w:p>
      <w:pPr>
        <w:pStyle w:val="yMiscellaneousHeading"/>
        <w:pageBreakBefore/>
        <w:rPr>
          <w:b/>
        </w:rPr>
      </w:pPr>
      <w:r>
        <w:rPr>
          <w:rStyle w:val="CharSClsNo"/>
          <w:b/>
          <w:bCs/>
        </w:rPr>
        <w:lastRenderedPageBreak/>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lastRenderedPageBreak/>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Gazette 25 Feb 2014 p. 507</w:t>
      </w:r>
      <w:r>
        <w:noBreakHyphen/>
        <w:t>8.]</w:t>
      </w:r>
    </w:p>
    <w:p>
      <w:pPr>
        <w:sectPr>
          <w:headerReference w:type="even" r:id="rId28"/>
          <w:headerReference w:type="default" r:id="rId29"/>
          <w:headerReference w:type="first" r:id="rId30"/>
          <w:pgSz w:w="11907" w:h="16840" w:code="9"/>
          <w:pgMar w:top="2376" w:right="2405" w:bottom="3542" w:left="2405" w:header="706" w:footer="3544" w:gutter="0"/>
          <w:cols w:space="720"/>
          <w:noEndnote/>
          <w:docGrid w:linePitch="326"/>
        </w:sectPr>
      </w:pPr>
    </w:p>
    <w:p>
      <w:pPr>
        <w:pStyle w:val="yScheduleHeading"/>
      </w:pPr>
      <w:bookmarkStart w:id="165" w:name="_Toc200720755"/>
      <w:r>
        <w:rPr>
          <w:rStyle w:val="CharSchNo"/>
        </w:rPr>
        <w:lastRenderedPageBreak/>
        <w:t>Appendix II</w:t>
      </w:r>
      <w:bookmarkEnd w:id="165"/>
    </w:p>
    <w:p>
      <w:pPr>
        <w:pStyle w:val="yShoulderClause"/>
        <w:rPr>
          <w:sz w:val="20"/>
        </w:rPr>
      </w:pPr>
      <w:r>
        <w:rPr>
          <w:sz w:val="20"/>
        </w:rPr>
        <w:t>[r. 9]</w:t>
      </w:r>
    </w:p>
    <w:p>
      <w:pPr>
        <w:pStyle w:val="yFootnotesection"/>
        <w:tabs>
          <w:tab w:val="clear" w:pos="893"/>
          <w:tab w:val="left" w:pos="426"/>
        </w:tabs>
        <w:ind w:left="426" w:hanging="426"/>
      </w:pPr>
      <w:r>
        <w:tab/>
        <w:t>[Heading deleted: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lastRenderedPageBreak/>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lastRenderedPageBreak/>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lastRenderedPageBreak/>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Gazette 17 Nov 2000 p. 6322; 21 Jan 2005 p. 277.]</w:t>
      </w:r>
    </w:p>
    <w:p>
      <w:pPr>
        <w:pStyle w:val="yScheduleHeading"/>
      </w:pPr>
      <w:bookmarkStart w:id="166" w:name="_Toc200720756"/>
      <w:r>
        <w:rPr>
          <w:rStyle w:val="CharSchNo"/>
        </w:rPr>
        <w:lastRenderedPageBreak/>
        <w:t>Appendix III</w:t>
      </w:r>
      <w:bookmarkEnd w:id="166"/>
    </w:p>
    <w:p>
      <w:pPr>
        <w:pStyle w:val="yShoulderClause"/>
        <w:rPr>
          <w:sz w:val="20"/>
        </w:rPr>
      </w:pPr>
      <w:r>
        <w:rPr>
          <w:sz w:val="20"/>
        </w:rPr>
        <w:t>[r. 19E]</w:t>
      </w:r>
    </w:p>
    <w:p>
      <w:pPr>
        <w:pStyle w:val="yFootnoteheading"/>
      </w:pPr>
      <w:r>
        <w:tab/>
        <w:t>[Heading inserted: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lastRenderedPageBreak/>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lastRenderedPageBreak/>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lastRenderedPageBreak/>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lastRenderedPageBreak/>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lastRenderedPageBreak/>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lastRenderedPageBreak/>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Gazette 26 Feb 1991 p. 947</w:t>
      </w:r>
      <w:r>
        <w:noBreakHyphen/>
        <w:t>56.]</w:t>
      </w:r>
    </w:p>
    <w:p>
      <w:pPr>
        <w:pStyle w:val="yScheduleHeading"/>
        <w:tabs>
          <w:tab w:val="left" w:pos="567"/>
          <w:tab w:val="left" w:leader="dot" w:pos="3328"/>
        </w:tabs>
        <w:spacing w:before="40" w:after="40"/>
        <w:outlineLvl w:val="9"/>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yScheduleHeading"/>
      </w:pPr>
      <w:bookmarkStart w:id="167" w:name="_Toc200720757"/>
      <w:r>
        <w:rPr>
          <w:rStyle w:val="CharSchNo"/>
        </w:rPr>
        <w:lastRenderedPageBreak/>
        <w:t>Appendix IV</w:t>
      </w:r>
      <w:r>
        <w:rPr>
          <w:rStyle w:val="CharSDivNo"/>
        </w:rPr>
        <w:t> </w:t>
      </w:r>
      <w:r>
        <w:t>—</w:t>
      </w:r>
      <w:r>
        <w:rPr>
          <w:rStyle w:val="CharSDivText"/>
        </w:rPr>
        <w:t> </w:t>
      </w:r>
      <w:r>
        <w:rPr>
          <w:rStyle w:val="CharSchText"/>
        </w:rPr>
        <w:t>Registered agents code of conduct</w:t>
      </w:r>
      <w:bookmarkEnd w:id="167"/>
    </w:p>
    <w:p>
      <w:pPr>
        <w:pStyle w:val="yShoulderClause"/>
      </w:pPr>
      <w:r>
        <w:t>[r. 26]</w:t>
      </w:r>
    </w:p>
    <w:p>
      <w:pPr>
        <w:pStyle w:val="yFootnoteheading"/>
      </w:pPr>
      <w:r>
        <w:tab/>
        <w:t>[Heading inserted: Gazette 28 Oct 2005 p. 4964.]</w:t>
      </w:r>
    </w:p>
    <w:p>
      <w:pPr>
        <w:pStyle w:val="yHeading5"/>
      </w:pPr>
      <w:bookmarkStart w:id="168" w:name="_Toc200720758"/>
      <w:r>
        <w:rPr>
          <w:rStyle w:val="CharSClsNo"/>
        </w:rPr>
        <w:t>1</w:t>
      </w:r>
      <w:r>
        <w:t>.</w:t>
      </w:r>
      <w:r>
        <w:rPr>
          <w:b w:val="0"/>
        </w:rPr>
        <w:tab/>
      </w:r>
      <w:r>
        <w:t>Duties of registered agent</w:t>
      </w:r>
      <w:bookmarkEnd w:id="168"/>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Gazette 28 Oct 2005 p. 4964.]</w:t>
      </w:r>
    </w:p>
    <w:p>
      <w:pPr>
        <w:pStyle w:val="yHeading5"/>
      </w:pPr>
      <w:bookmarkStart w:id="169" w:name="_Toc200720759"/>
      <w:r>
        <w:rPr>
          <w:rStyle w:val="CharSClsNo"/>
        </w:rPr>
        <w:t>2</w:t>
      </w:r>
      <w:r>
        <w:t>.</w:t>
      </w:r>
      <w:r>
        <w:rPr>
          <w:b w:val="0"/>
        </w:rPr>
        <w:tab/>
      </w:r>
      <w:r>
        <w:t>Integrity and diligence</w:t>
      </w:r>
      <w:bookmarkEnd w:id="169"/>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 xml:space="preserve">A registered agent must at all times use his or her best endeavours to complete work on behalf of a client as soon as is reasonably possible, </w:t>
      </w:r>
      <w:r>
        <w:lastRenderedPageBreak/>
        <w:t>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Gazette 28 Oct 2005 p. 4964</w:t>
      </w:r>
      <w:r>
        <w:noBreakHyphen/>
        <w:t>5.]</w:t>
      </w:r>
    </w:p>
    <w:p>
      <w:pPr>
        <w:pStyle w:val="yHeading5"/>
      </w:pPr>
      <w:bookmarkStart w:id="170" w:name="_Toc200720760"/>
      <w:r>
        <w:rPr>
          <w:rStyle w:val="CharSClsNo"/>
        </w:rPr>
        <w:t>3</w:t>
      </w:r>
      <w:r>
        <w:t>.</w:t>
      </w:r>
      <w:r>
        <w:rPr>
          <w:b w:val="0"/>
        </w:rPr>
        <w:tab/>
      </w:r>
      <w:r>
        <w:t>Confidentiality</w:t>
      </w:r>
      <w:bookmarkEnd w:id="170"/>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Gazette 28 Oct 2005 p. 4965</w:t>
      </w:r>
      <w:r>
        <w:noBreakHyphen/>
        <w:t>6.]</w:t>
      </w:r>
    </w:p>
    <w:p>
      <w:pPr>
        <w:pStyle w:val="yHeading5"/>
      </w:pPr>
      <w:bookmarkStart w:id="171" w:name="_Toc200720761"/>
      <w:r>
        <w:rPr>
          <w:rStyle w:val="CharSClsNo"/>
        </w:rPr>
        <w:lastRenderedPageBreak/>
        <w:t>4</w:t>
      </w:r>
      <w:r>
        <w:t>.</w:t>
      </w:r>
      <w:r>
        <w:rPr>
          <w:b w:val="0"/>
        </w:rPr>
        <w:tab/>
      </w:r>
      <w:r>
        <w:t>Conflict of interest</w:t>
      </w:r>
      <w:bookmarkEnd w:id="171"/>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Gazette 28 Oct 2005 p. 4966.]</w:t>
      </w:r>
    </w:p>
    <w:p>
      <w:pPr>
        <w:pStyle w:val="yHeading5"/>
      </w:pPr>
      <w:bookmarkStart w:id="172" w:name="_Toc200720762"/>
      <w:r>
        <w:rPr>
          <w:rStyle w:val="CharSClsNo"/>
        </w:rPr>
        <w:t>5</w:t>
      </w:r>
      <w:r>
        <w:t>.</w:t>
      </w:r>
      <w:r>
        <w:rPr>
          <w:b w:val="0"/>
        </w:rPr>
        <w:tab/>
      </w:r>
      <w:r>
        <w:t>Proceedings</w:t>
      </w:r>
      <w:bookmarkEnd w:id="172"/>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Director, the Registrar, an officer of the Conciliation Service or the Arbitration Service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lastRenderedPageBreak/>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Gazette 28 Oct 2005 p. 4966</w:t>
      </w:r>
      <w:r>
        <w:noBreakHyphen/>
        <w:t>7; amended: Gazette 18 Nov 2011 p. 4826.]</w:t>
      </w:r>
    </w:p>
    <w:p>
      <w:pPr>
        <w:pStyle w:val="yHeading5"/>
      </w:pPr>
      <w:bookmarkStart w:id="173" w:name="_Toc200720763"/>
      <w:r>
        <w:rPr>
          <w:rStyle w:val="CharSClsNo"/>
        </w:rPr>
        <w:t>6</w:t>
      </w:r>
      <w:r>
        <w:t>.</w:t>
      </w:r>
      <w:r>
        <w:rPr>
          <w:b w:val="0"/>
        </w:rPr>
        <w:tab/>
      </w:r>
      <w:r>
        <w:t>Advertising</w:t>
      </w:r>
      <w:bookmarkEnd w:id="173"/>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Gazette 28 Oct 2005 p. 4967.]</w:t>
      </w:r>
    </w:p>
    <w:p>
      <w:pPr>
        <w:pStyle w:val="yHeading5"/>
      </w:pPr>
      <w:bookmarkStart w:id="174" w:name="_Toc200720764"/>
      <w:r>
        <w:rPr>
          <w:rStyle w:val="CharSClsNo"/>
        </w:rPr>
        <w:t>7</w:t>
      </w:r>
      <w:r>
        <w:t>.</w:t>
      </w:r>
      <w:r>
        <w:rPr>
          <w:b w:val="0"/>
        </w:rPr>
        <w:tab/>
      </w:r>
      <w:r>
        <w:t>Withdrawal</w:t>
      </w:r>
      <w:bookmarkEnd w:id="174"/>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lastRenderedPageBreak/>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Gazette 28 Oct 2005 p. 4967</w:t>
      </w:r>
      <w:r>
        <w:noBreakHyphen/>
        <w:t>9.]</w:t>
      </w:r>
    </w:p>
    <w:p>
      <w:pPr>
        <w:pStyle w:val="yHeading5"/>
      </w:pPr>
      <w:bookmarkStart w:id="175" w:name="_Toc200720765"/>
      <w:r>
        <w:rPr>
          <w:rStyle w:val="CharSClsNo"/>
        </w:rPr>
        <w:lastRenderedPageBreak/>
        <w:t>8</w:t>
      </w:r>
      <w:r>
        <w:t>.</w:t>
      </w:r>
      <w:r>
        <w:rPr>
          <w:b w:val="0"/>
        </w:rPr>
        <w:tab/>
      </w:r>
      <w:r>
        <w:t>Fees</w:t>
      </w:r>
      <w:bookmarkEnd w:id="175"/>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Gazette 28 Oct 2005 p. 4969.]</w:t>
      </w:r>
    </w:p>
    <w:p>
      <w:pPr>
        <w:pStyle w:val="yHeading5"/>
      </w:pPr>
      <w:bookmarkStart w:id="176" w:name="_Toc200720766"/>
      <w:r>
        <w:rPr>
          <w:rStyle w:val="CharSClsNo"/>
        </w:rPr>
        <w:t>9</w:t>
      </w:r>
      <w:r>
        <w:t>.</w:t>
      </w:r>
      <w:r>
        <w:rPr>
          <w:b w:val="0"/>
        </w:rPr>
        <w:tab/>
      </w:r>
      <w:r>
        <w:t>Records</w:t>
      </w:r>
      <w:bookmarkEnd w:id="176"/>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Gazette 28 Oct 2005 p. 4969.]</w:t>
      </w:r>
    </w:p>
    <w:p>
      <w:pPr>
        <w:pStyle w:val="yHeading5"/>
      </w:pPr>
      <w:bookmarkStart w:id="177" w:name="_Toc200720767"/>
      <w:r>
        <w:rPr>
          <w:rStyle w:val="CharSClsNo"/>
        </w:rPr>
        <w:t>10</w:t>
      </w:r>
      <w:r>
        <w:t>.</w:t>
      </w:r>
      <w:r>
        <w:rPr>
          <w:b w:val="0"/>
        </w:rPr>
        <w:tab/>
      </w:r>
      <w:r>
        <w:t>Trust moneys</w:t>
      </w:r>
      <w:bookmarkEnd w:id="177"/>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Gazette 28 Oct 2005 p. 4970.]</w:t>
      </w:r>
    </w:p>
    <w:p>
      <w:pPr>
        <w:pStyle w:val="yHeading5"/>
      </w:pPr>
      <w:bookmarkStart w:id="178" w:name="_Toc200720768"/>
      <w:r>
        <w:rPr>
          <w:rStyle w:val="CharSClsNo"/>
        </w:rPr>
        <w:lastRenderedPageBreak/>
        <w:t>11</w:t>
      </w:r>
      <w:r>
        <w:t>.</w:t>
      </w:r>
      <w:r>
        <w:rPr>
          <w:b w:val="0"/>
        </w:rPr>
        <w:tab/>
      </w:r>
      <w:r>
        <w:t>Costs</w:t>
      </w:r>
      <w:bookmarkEnd w:id="178"/>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Gazette 28 Oct 2005 p. 4970.]</w:t>
      </w:r>
    </w:p>
    <w:p>
      <w:pPr>
        <w:pStyle w:val="yScheduleHeading"/>
        <w:outlineLvl w:val="9"/>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yScheduleHeading"/>
      </w:pPr>
      <w:bookmarkStart w:id="179" w:name="_Toc200720769"/>
      <w:r>
        <w:rPr>
          <w:rStyle w:val="CharSchNo"/>
        </w:rPr>
        <w:lastRenderedPageBreak/>
        <w:t>Appendix V</w:t>
      </w:r>
      <w:r>
        <w:t xml:space="preserve"> — </w:t>
      </w:r>
      <w:r>
        <w:rPr>
          <w:rStyle w:val="CharSchText"/>
        </w:rPr>
        <w:t>Prescribed offences and modified penalties</w:t>
      </w:r>
      <w:bookmarkEnd w:id="179"/>
    </w:p>
    <w:p>
      <w:pPr>
        <w:pStyle w:val="yShoulderClause"/>
      </w:pPr>
      <w:r>
        <w:t>[r. 50, 51]</w:t>
      </w:r>
    </w:p>
    <w:p>
      <w:pPr>
        <w:pStyle w:val="yFootnoteheading"/>
        <w:spacing w:after="120"/>
      </w:pPr>
      <w:r>
        <w:tab/>
        <w:t>[Heading inserted: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WorkCover WA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WorkCover WA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WorkCover WA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lastRenderedPageBreak/>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WorkCover WA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WorkCover WA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WorkCover WA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lastRenderedPageBreak/>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lastRenderedPageBreak/>
        <w:tab/>
        <w:t>[Appendix V inserted: Gazette 28 Oct 2005 p. 4970</w:t>
      </w:r>
      <w:r>
        <w:noBreakHyphen/>
        <w:t>2; amended: Gazette 18 Nov 2011 p. 4826; 25 Feb 2014 p. 508.]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pStyle w:val="nHeading2"/>
      </w:pPr>
      <w:bookmarkStart w:id="180" w:name="_Toc200720770"/>
      <w:r>
        <w:lastRenderedPageBreak/>
        <w:t>Notes</w:t>
      </w:r>
      <w:bookmarkEnd w:id="180"/>
    </w:p>
    <w:p>
      <w:pPr>
        <w:pStyle w:val="nStatement"/>
      </w:pPr>
      <w:r>
        <w:t xml:space="preserve">This is a compilation of the </w:t>
      </w:r>
      <w:r>
        <w:rPr>
          <w:i/>
          <w:noProof/>
        </w:rPr>
        <w:t>Workers’ Compensation and Injury Management Regulations 1982</w:t>
      </w:r>
      <w:r>
        <w:t xml:space="preserve"> and includes amendments made by other written laws. For provisions that have come into operation, and for information about any reprints, see the compilation table. </w:t>
      </w:r>
    </w:p>
    <w:p>
      <w:pPr>
        <w:pStyle w:val="nHeading3"/>
      </w:pPr>
      <w:bookmarkStart w:id="181" w:name="_Toc200720771"/>
      <w:r>
        <w:t>Compilation table</w:t>
      </w:r>
      <w:bookmarkEnd w:id="18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Workers’ Compensation and Assistance Regulations 1982</w:t>
            </w:r>
            <w:r>
              <w:rPr>
                <w:vertAlign w:val="superscript"/>
              </w:rPr>
              <w:t xml:space="preserve"> 4</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2016</w:t>
            </w:r>
          </w:p>
        </w:tc>
        <w:tc>
          <w:tcPr>
            <w:tcW w:w="1276" w:type="dxa"/>
          </w:tcPr>
          <w:p>
            <w:pPr>
              <w:pStyle w:val="nTable"/>
              <w:spacing w:after="40"/>
            </w:pPr>
            <w:r>
              <w:t>15 Apr 2016 p. 1184</w:t>
            </w:r>
            <w:r>
              <w:noBreakHyphen/>
              <w:t>5</w:t>
            </w:r>
          </w:p>
        </w:tc>
        <w:tc>
          <w:tcPr>
            <w:tcW w:w="2693" w:type="dxa"/>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Amendment Regulations (No. 2) 2016 </w:t>
            </w:r>
          </w:p>
        </w:tc>
        <w:tc>
          <w:tcPr>
            <w:tcW w:w="1276" w:type="dxa"/>
          </w:tcPr>
          <w:p>
            <w:pPr>
              <w:pStyle w:val="nTable"/>
              <w:spacing w:after="40"/>
            </w:pPr>
            <w:r>
              <w:t>4 Oct 2016 p. 4242-5</w:t>
            </w:r>
          </w:p>
        </w:tc>
        <w:tc>
          <w:tcPr>
            <w:tcW w:w="2693" w:type="dxa"/>
          </w:tcPr>
          <w:p>
            <w:pPr>
              <w:pStyle w:val="nTable"/>
              <w:spacing w:after="40"/>
              <w:rPr>
                <w:snapToGrid w:val="0"/>
                <w:spacing w:val="-2"/>
              </w:rPr>
            </w:pPr>
            <w:r>
              <w:rPr>
                <w:bCs/>
                <w:snapToGrid w:val="0"/>
                <w:spacing w:val="-2"/>
              </w:rPr>
              <w:t>r. 1 and 2: 4 Oct 2016 (see r. 2(a));</w:t>
            </w:r>
            <w:r>
              <w:rPr>
                <w:bCs/>
                <w:snapToGrid w:val="0"/>
                <w:spacing w:val="-2"/>
              </w:rPr>
              <w:br/>
              <w:t>Regulations other than r. 1 and 2: 17 Oct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8: The </w:t>
            </w:r>
            <w:r>
              <w:rPr>
                <w:b/>
                <w:bCs/>
                <w:i/>
                <w:noProof/>
                <w:snapToGrid w:val="0"/>
                <w:spacing w:val="-2"/>
              </w:rPr>
              <w:t>Workers’ Compensation and Injury Management Regulations 1982</w:t>
            </w:r>
            <w:r>
              <w:rPr>
                <w:b/>
                <w:bCs/>
                <w:snapToGrid w:val="0"/>
                <w:spacing w:val="-2"/>
              </w:rPr>
              <w:t xml:space="preserve"> as at</w:t>
            </w:r>
            <w:r>
              <w:rPr>
                <w:b/>
                <w:bCs/>
                <w:snapToGrid w:val="0"/>
                <w:spacing w:val="-2"/>
              </w:rPr>
              <w:br/>
              <w:t>19 May 2017</w:t>
            </w:r>
            <w:r>
              <w:rPr>
                <w:bCs/>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13"/>
              <w:rPr>
                <w:i/>
              </w:rPr>
            </w:pPr>
            <w:r>
              <w:rPr>
                <w:i/>
              </w:rPr>
              <w:lastRenderedPageBreak/>
              <w:t>Workers’ Compensation and Injury Management Amendment Regulations 2018</w:t>
            </w:r>
          </w:p>
        </w:tc>
        <w:tc>
          <w:tcPr>
            <w:tcW w:w="1276" w:type="dxa"/>
            <w:tcBorders>
              <w:top w:val="nil"/>
              <w:bottom w:val="nil"/>
            </w:tcBorders>
          </w:tcPr>
          <w:p>
            <w:pPr>
              <w:pStyle w:val="nTable"/>
              <w:spacing w:after="40"/>
            </w:pPr>
            <w:r>
              <w:t>29 Jun 2018 p. 2442</w:t>
            </w:r>
            <w:r>
              <w:noBreakHyphen/>
              <w:t>6</w:t>
            </w:r>
          </w:p>
        </w:tc>
        <w:tc>
          <w:tcPr>
            <w:tcW w:w="2693" w:type="dxa"/>
            <w:tcBorders>
              <w:top w:val="nil"/>
              <w:bottom w:val="nil"/>
            </w:tcBorders>
          </w:tcPr>
          <w:p>
            <w:pPr>
              <w:pStyle w:val="nTable"/>
              <w:spacing w:after="40"/>
              <w:rPr>
                <w:snapToGrid w:val="0"/>
                <w:spacing w:val="-2"/>
              </w:rPr>
            </w:pPr>
            <w:r>
              <w:rPr>
                <w:bCs/>
                <w:snapToGrid w:val="0"/>
                <w:spacing w:val="-2"/>
              </w:rPr>
              <w:t>r. 1 and 2: 29 Jun 2018 (see r. 2(a));</w:t>
            </w:r>
            <w:r>
              <w:rPr>
                <w:bCs/>
                <w:snapToGrid w:val="0"/>
                <w:spacing w:val="-2"/>
              </w:rPr>
              <w:br/>
              <w:t xml:space="preserve">Regulations other than r. 1 and 2: 1 Jul 2018 (see r. 2(b) and </w:t>
            </w:r>
            <w:r>
              <w:rPr>
                <w:bCs/>
                <w:i/>
                <w:snapToGrid w:val="0"/>
                <w:spacing w:val="-2"/>
              </w:rPr>
              <w:t xml:space="preserve">Gazette </w:t>
            </w:r>
            <w:r>
              <w:rPr>
                <w:bCs/>
                <w:snapToGrid w:val="0"/>
                <w:spacing w:val="-2"/>
              </w:rPr>
              <w:t>29 Jun 2018 p. 2433)</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2020</w:t>
            </w:r>
          </w:p>
        </w:tc>
        <w:tc>
          <w:tcPr>
            <w:tcW w:w="1276" w:type="dxa"/>
            <w:tcBorders>
              <w:top w:val="nil"/>
              <w:bottom w:val="nil"/>
            </w:tcBorders>
          </w:tcPr>
          <w:p>
            <w:pPr>
              <w:pStyle w:val="nTable"/>
              <w:spacing w:after="40"/>
            </w:pPr>
            <w:r>
              <w:t>SL 2020/149 1 Sep 2020</w:t>
            </w:r>
          </w:p>
        </w:tc>
        <w:tc>
          <w:tcPr>
            <w:tcW w:w="2693" w:type="dxa"/>
            <w:tcBorders>
              <w:top w:val="nil"/>
              <w:bottom w:val="nil"/>
            </w:tcBorders>
          </w:tcPr>
          <w:p>
            <w:pPr>
              <w:pStyle w:val="nTable"/>
              <w:spacing w:after="40"/>
              <w:rPr>
                <w:bCs/>
                <w:snapToGrid w:val="0"/>
                <w:spacing w:val="-2"/>
              </w:rPr>
            </w:pPr>
            <w:r>
              <w:rPr>
                <w:bCs/>
                <w:snapToGrid w:val="0"/>
                <w:spacing w:val="-2"/>
              </w:rPr>
              <w:t>r. 1 and 2: 1 Sep 2020 (see r. 2(a));</w:t>
            </w:r>
            <w:r>
              <w:rPr>
                <w:bCs/>
                <w:snapToGrid w:val="0"/>
                <w:spacing w:val="-2"/>
              </w:rPr>
              <w:br/>
              <w:t>Regulations other than r. 1 and 2: 2 Sep 2020 (see r. 2(b))</w:t>
            </w:r>
          </w:p>
        </w:tc>
      </w:tr>
      <w:tr>
        <w:trPr>
          <w:cantSplit/>
        </w:trPr>
        <w:tc>
          <w:tcPr>
            <w:tcW w:w="3119" w:type="dxa"/>
            <w:tcBorders>
              <w:top w:val="nil"/>
              <w:bottom w:val="nil"/>
            </w:tcBorders>
          </w:tcPr>
          <w:p>
            <w:pPr>
              <w:pStyle w:val="nTable"/>
              <w:spacing w:after="40"/>
              <w:ind w:right="113"/>
            </w:pPr>
            <w:r>
              <w:rPr>
                <w:i/>
              </w:rPr>
              <w:t>Workers’ Compensation and Injury Management Amendment Regulations (No. 2) 2020</w:t>
            </w:r>
          </w:p>
        </w:tc>
        <w:tc>
          <w:tcPr>
            <w:tcW w:w="1276" w:type="dxa"/>
            <w:tcBorders>
              <w:top w:val="nil"/>
              <w:bottom w:val="nil"/>
            </w:tcBorders>
          </w:tcPr>
          <w:p>
            <w:pPr>
              <w:pStyle w:val="nTable"/>
              <w:spacing w:after="40"/>
            </w:pPr>
            <w:r>
              <w:t>SL 2020/188 9 Oct 2020</w:t>
            </w:r>
          </w:p>
        </w:tc>
        <w:tc>
          <w:tcPr>
            <w:tcW w:w="2693" w:type="dxa"/>
            <w:tcBorders>
              <w:top w:val="nil"/>
              <w:bottom w:val="nil"/>
            </w:tcBorders>
          </w:tcPr>
          <w:p>
            <w:pPr>
              <w:pStyle w:val="nTable"/>
              <w:spacing w:after="40"/>
              <w:rPr>
                <w:bCs/>
                <w:snapToGrid w:val="0"/>
                <w:spacing w:val="-2"/>
              </w:rPr>
            </w:pPr>
            <w:r>
              <w:rPr>
                <w:bCs/>
                <w:snapToGrid w:val="0"/>
                <w:spacing w:val="-2"/>
              </w:rPr>
              <w:t>r. 1 and 2: 9 Oct 2020 (see r. 2(a));</w:t>
            </w:r>
            <w:r>
              <w:rPr>
                <w:bCs/>
                <w:snapToGrid w:val="0"/>
                <w:spacing w:val="-2"/>
              </w:rPr>
              <w:br/>
              <w:t>Regulations other than r. 1, 2 and 15: 12 Oct 2020 (see r. 2(c) and SL 2020/187 cl. 2);</w:t>
            </w:r>
            <w:r>
              <w:rPr>
                <w:bCs/>
                <w:snapToGrid w:val="0"/>
                <w:spacing w:val="-2"/>
              </w:rPr>
              <w:br/>
              <w:t>r. 15: 16 Nov 2020 (see r. 2(b))</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2021</w:t>
            </w:r>
          </w:p>
        </w:tc>
        <w:tc>
          <w:tcPr>
            <w:tcW w:w="1276" w:type="dxa"/>
            <w:tcBorders>
              <w:top w:val="nil"/>
              <w:bottom w:val="nil"/>
            </w:tcBorders>
          </w:tcPr>
          <w:p>
            <w:pPr>
              <w:pStyle w:val="nTable"/>
              <w:spacing w:after="40"/>
            </w:pPr>
            <w:r>
              <w:t>SL 2021/221 24 Dec 2021</w:t>
            </w:r>
          </w:p>
        </w:tc>
        <w:tc>
          <w:tcPr>
            <w:tcW w:w="2693" w:type="dxa"/>
            <w:tcBorders>
              <w:top w:val="nil"/>
              <w:bottom w:val="nil"/>
            </w:tcBorders>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Feb 2022 (see r. 2(b)(i))</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2023</w:t>
            </w:r>
          </w:p>
        </w:tc>
        <w:tc>
          <w:tcPr>
            <w:tcW w:w="1276" w:type="dxa"/>
            <w:tcBorders>
              <w:top w:val="nil"/>
              <w:bottom w:val="nil"/>
            </w:tcBorders>
          </w:tcPr>
          <w:p>
            <w:pPr>
              <w:pStyle w:val="nTable"/>
              <w:spacing w:after="40"/>
            </w:pPr>
            <w:r>
              <w:t>SL 2023/37 5 May 2023</w:t>
            </w:r>
          </w:p>
        </w:tc>
        <w:tc>
          <w:tcPr>
            <w:tcW w:w="2693" w:type="dxa"/>
            <w:tcBorders>
              <w:top w:val="nil"/>
              <w:bottom w:val="nil"/>
            </w:tcBorders>
          </w:tcPr>
          <w:p>
            <w:pPr>
              <w:pStyle w:val="nTable"/>
              <w:spacing w:after="40"/>
              <w:rPr>
                <w:bCs/>
                <w:snapToGrid w:val="0"/>
                <w:spacing w:val="-2"/>
              </w:rPr>
            </w:pPr>
            <w:r>
              <w:rPr>
                <w:bCs/>
                <w:snapToGrid w:val="0"/>
                <w:spacing w:val="-2"/>
              </w:rPr>
              <w:t>r. 1 and 2: 5 May 2023 (see r. 2(a));</w:t>
            </w:r>
            <w:r>
              <w:rPr>
                <w:bCs/>
                <w:snapToGrid w:val="0"/>
                <w:spacing w:val="-2"/>
              </w:rPr>
              <w:br/>
              <w:t>Regulations other than r. 1 and 2: 6 May 2023 (see r. 2(b))</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(No. 2) 2023</w:t>
            </w:r>
          </w:p>
        </w:tc>
        <w:tc>
          <w:tcPr>
            <w:tcW w:w="1276" w:type="dxa"/>
            <w:tcBorders>
              <w:top w:val="nil"/>
              <w:bottom w:val="nil"/>
            </w:tcBorders>
          </w:tcPr>
          <w:p>
            <w:pPr>
              <w:pStyle w:val="nTable"/>
              <w:spacing w:after="40"/>
            </w:pPr>
            <w:r>
              <w:t>SL 2023/113 26 Jul 2023</w:t>
            </w:r>
          </w:p>
        </w:tc>
        <w:tc>
          <w:tcPr>
            <w:tcW w:w="2693" w:type="dxa"/>
            <w:tcBorders>
              <w:top w:val="nil"/>
              <w:bottom w:val="nil"/>
            </w:tcBorders>
          </w:tcPr>
          <w:p>
            <w:pPr>
              <w:pStyle w:val="nTable"/>
              <w:spacing w:after="40"/>
              <w:rPr>
                <w:bCs/>
                <w:snapToGrid w:val="0"/>
                <w:spacing w:val="-2"/>
              </w:rPr>
            </w:pPr>
            <w:r>
              <w:rPr>
                <w:bCs/>
                <w:snapToGrid w:val="0"/>
                <w:spacing w:val="-2"/>
              </w:rPr>
              <w:t>r. 1 and 2: 26 Jul 2023 (see r. 2(a));</w:t>
            </w:r>
            <w:r>
              <w:rPr>
                <w:bCs/>
                <w:snapToGrid w:val="0"/>
                <w:spacing w:val="-2"/>
              </w:rPr>
              <w:br/>
              <w:t>Regulations other than r. 1 and 2: 27 Jul 2023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Workers’ Compensation and Injury Management Amendment Regulations (No. 3) 2023</w:t>
            </w:r>
          </w:p>
        </w:tc>
        <w:tc>
          <w:tcPr>
            <w:tcW w:w="1276" w:type="dxa"/>
            <w:tcBorders>
              <w:bottom w:val="single" w:sz="4" w:space="0" w:color="auto"/>
            </w:tcBorders>
          </w:tcPr>
          <w:p>
            <w:pPr>
              <w:pStyle w:val="nTable"/>
              <w:spacing w:after="40"/>
            </w:pPr>
            <w:r>
              <w:t>SL 2023/123</w:t>
            </w:r>
            <w:r>
              <w:br/>
              <w:t>9 Aug 2023</w:t>
            </w:r>
          </w:p>
        </w:tc>
        <w:tc>
          <w:tcPr>
            <w:tcW w:w="2693" w:type="dxa"/>
            <w:tcBorders>
              <w:bottom w:val="single" w:sz="4" w:space="0" w:color="auto"/>
            </w:tcBorders>
          </w:tcPr>
          <w:p>
            <w:pPr>
              <w:pStyle w:val="nTable"/>
              <w:spacing w:after="40"/>
              <w:rPr>
                <w:bCs/>
                <w:snapToGrid w:val="0"/>
                <w:spacing w:val="-2"/>
              </w:rPr>
            </w:pPr>
            <w:r>
              <w:rPr>
                <w:bCs/>
                <w:snapToGrid w:val="0"/>
                <w:spacing w:val="-2"/>
              </w:rPr>
              <w:t>r. 1 and 2: 9 Aug 2023 (see r. 2(a))</w:t>
            </w:r>
            <w:r>
              <w:rPr>
                <w:bCs/>
                <w:snapToGrid w:val="0"/>
                <w:spacing w:val="-2"/>
              </w:rPr>
              <w:br/>
              <w:t>Regulations other than r. 1 and 2: 10 Aug 2023 (see r. 2(b))</w:t>
            </w:r>
          </w:p>
        </w:tc>
      </w:tr>
    </w:tbl>
    <w:p>
      <w:pPr>
        <w:pStyle w:val="nHeading3"/>
      </w:pPr>
      <w:bookmarkStart w:id="182" w:name="_Toc200720772"/>
      <w:r>
        <w:t>Other notes</w:t>
      </w:r>
      <w:bookmarkEnd w:id="182"/>
    </w:p>
    <w:p>
      <w:pPr>
        <w:pStyle w:val="nNote"/>
        <w:spacing w:before="200"/>
      </w:pPr>
      <w:r>
        <w:rPr>
          <w:vertAlign w:val="superscript"/>
        </w:rPr>
        <w:t>1</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Note"/>
      </w:pPr>
      <w:r>
        <w:rPr>
          <w:vertAlign w:val="superscript"/>
        </w:rPr>
        <w:t>2</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Note"/>
      </w:pPr>
      <w:r>
        <w:rPr>
          <w:vertAlign w:val="superscript"/>
        </w:rPr>
        <w:lastRenderedPageBreak/>
        <w:t>3</w:t>
      </w:r>
      <w:r>
        <w:tab/>
        <w:t>The Standards Association of Australia has changed its corporate status and its name.  It is now Standards Australia International Limited (ACN 087 326 690).  It also trades as Standards Australia.</w:t>
      </w:r>
    </w:p>
    <w:p>
      <w:pPr>
        <w:pStyle w:val="nNote"/>
      </w:pPr>
      <w:r>
        <w:rPr>
          <w:vertAlign w:val="superscript"/>
        </w:rPr>
        <w:t>4</w:t>
      </w:r>
      <w:r>
        <w:tab/>
        <w:t xml:space="preserve">Now known as the </w:t>
      </w:r>
      <w:r>
        <w:rPr>
          <w:i/>
        </w:rPr>
        <w:t>Workers’ Compensation and Injury Management Regulations 1982</w:t>
      </w:r>
      <w:r>
        <w:t>; citation changed (see note under r. 1).</w:t>
      </w:r>
    </w:p>
    <w:p>
      <w:pPr>
        <w:sectPr>
          <w:headerReference w:type="even" r:id="rId38"/>
          <w:headerReference w:type="default" r:id="rId39"/>
          <w:pgSz w:w="11907" w:h="16840" w:code="9"/>
          <w:pgMar w:top="2376" w:right="2404" w:bottom="3544" w:left="2404" w:header="720" w:footer="3544" w:gutter="0"/>
          <w:cols w:space="720"/>
          <w:noEndnote/>
          <w:docGrid w:linePitch="326"/>
        </w:sectPr>
      </w:pPr>
    </w:p>
    <w:p>
      <w:pPr>
        <w:pStyle w:val="nHeading2"/>
        <w:rPr>
          <w:sz w:val="28"/>
        </w:rPr>
      </w:pPr>
      <w:bookmarkStart w:id="184" w:name="_Toc200720773"/>
      <w:r>
        <w:rPr>
          <w:sz w:val="28"/>
        </w:rPr>
        <w:lastRenderedPageBreak/>
        <w:t>Defined terms</w:t>
      </w:r>
      <w:bookmarkEnd w:id="1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 level</w:t>
      </w:r>
      <w:r>
        <w:tab/>
        <w:t>19I(2)</w:t>
      </w:r>
    </w:p>
    <w:p>
      <w:pPr>
        <w:pStyle w:val="DefinedTerms"/>
      </w:pPr>
      <w:r>
        <w:t>actual total cost</w:t>
      </w:r>
      <w:r>
        <w:tab/>
        <w:t>13(3)</w:t>
      </w:r>
    </w:p>
    <w:p>
      <w:pPr>
        <w:pStyle w:val="DefinedTerms"/>
      </w:pPr>
      <w:r>
        <w:t>acupuncturist</w:t>
      </w:r>
      <w:r>
        <w:tab/>
        <w:t>44C(1)</w:t>
      </w:r>
    </w:p>
    <w:p>
      <w:pPr>
        <w:pStyle w:val="DefinedTerms"/>
      </w:pPr>
      <w:r>
        <w:t>agent service</w:t>
      </w:r>
      <w:r>
        <w:tab/>
        <w:t>18B</w:t>
      </w:r>
    </w:p>
    <w:p>
      <w:pPr>
        <w:pStyle w:val="DefinedTerms"/>
      </w:pPr>
      <w:r>
        <w:t>agreement</w:t>
      </w:r>
      <w:r>
        <w:tab/>
        <w:t>54</w:t>
      </w:r>
    </w:p>
    <w:p>
      <w:pPr>
        <w:pStyle w:val="DefinedTerms"/>
      </w:pPr>
      <w:r>
        <w:t>ambulance emergency communications officer</w:t>
      </w:r>
      <w:r>
        <w:tab/>
        <w:t>68(1)</w:t>
      </w:r>
    </w:p>
    <w:p>
      <w:pPr>
        <w:pStyle w:val="DefinedTerms"/>
      </w:pPr>
      <w:r>
        <w:t>applicant</w:t>
      </w:r>
      <w:r>
        <w:tab/>
        <w:t>18B, 26</w:t>
      </w:r>
    </w:p>
    <w:p>
      <w:pPr>
        <w:pStyle w:val="DefinedTerms"/>
      </w:pPr>
      <w:r>
        <w:t>application</w:t>
      </w:r>
      <w:r>
        <w:tab/>
        <w:t>18B, 54</w:t>
      </w:r>
    </w:p>
    <w:p>
      <w:pPr>
        <w:pStyle w:val="DefinedTerms"/>
      </w:pPr>
      <w:r>
        <w:t>approved</w:t>
      </w:r>
      <w:r>
        <w:tab/>
        <w:t>19A</w:t>
      </w:r>
    </w:p>
    <w:p>
      <w:pPr>
        <w:pStyle w:val="DefinedTerms"/>
      </w:pPr>
      <w:r>
        <w:t>approved form</w:t>
      </w:r>
      <w:r>
        <w:tab/>
        <w:t>25(1)</w:t>
      </w:r>
    </w:p>
    <w:p>
      <w:pPr>
        <w:pStyle w:val="DefinedTerms"/>
      </w:pPr>
      <w:r>
        <w:t>approved medical practitioner</w:t>
      </w:r>
      <w:r>
        <w:tab/>
        <w:t>19A</w:t>
      </w:r>
    </w:p>
    <w:p>
      <w:pPr>
        <w:pStyle w:val="DefinedTerms"/>
      </w:pPr>
      <w:r>
        <w:t>approved person</w:t>
      </w:r>
      <w:r>
        <w:tab/>
        <w:t>19A</w:t>
      </w:r>
    </w:p>
    <w:p>
      <w:pPr>
        <w:pStyle w:val="DefinedTerms"/>
      </w:pPr>
      <w:r>
        <w:t>approved treatment</w:t>
      </w:r>
      <w:r>
        <w:tab/>
        <w:t>44C(2)</w:t>
      </w:r>
    </w:p>
    <w:p>
      <w:pPr>
        <w:pStyle w:val="DefinedTerms"/>
      </w:pPr>
      <w:r>
        <w:t>audiologist</w:t>
      </w:r>
      <w:r>
        <w:tab/>
        <w:t>19A</w:t>
      </w:r>
    </w:p>
    <w:p>
      <w:pPr>
        <w:pStyle w:val="DefinedTerms"/>
      </w:pPr>
      <w:r>
        <w:t>audiometric officer</w:t>
      </w:r>
      <w:r>
        <w:tab/>
        <w:t>19A</w:t>
      </w:r>
    </w:p>
    <w:p>
      <w:pPr>
        <w:pStyle w:val="DefinedTerms"/>
      </w:pPr>
      <w:r>
        <w:t>Australian Standard</w:t>
      </w:r>
      <w:r>
        <w:tab/>
        <w:t>19A</w:t>
      </w:r>
    </w:p>
    <w:p>
      <w:pPr>
        <w:pStyle w:val="DefinedTerms"/>
      </w:pPr>
      <w:r>
        <w:t>clause</w:t>
      </w:r>
      <w:r>
        <w:tab/>
        <w:t>19A</w:t>
      </w:r>
    </w:p>
    <w:p>
      <w:pPr>
        <w:pStyle w:val="DefinedTerms"/>
      </w:pPr>
      <w:r>
        <w:t>code of conduct</w:t>
      </w:r>
      <w:r>
        <w:tab/>
        <w:t>26</w:t>
      </w:r>
    </w:p>
    <w:p>
      <w:pPr>
        <w:pStyle w:val="DefinedTerms"/>
      </w:pPr>
      <w:r>
        <w:t xml:space="preserve">commencement day </w:t>
      </w:r>
      <w:r>
        <w:tab/>
        <w:t>18B</w:t>
      </w:r>
    </w:p>
    <w:p>
      <w:pPr>
        <w:pStyle w:val="DefinedTerms"/>
      </w:pPr>
      <w:r>
        <w:t>communications systems officer</w:t>
      </w:r>
      <w:r>
        <w:tab/>
        <w:t>68(1)</w:t>
      </w:r>
    </w:p>
    <w:p>
      <w:pPr>
        <w:pStyle w:val="DefinedTerms"/>
      </w:pPr>
      <w:r>
        <w:t>counselling psychologist</w:t>
      </w:r>
      <w:r>
        <w:tab/>
        <w:t>44A(1)</w:t>
      </w:r>
    </w:p>
    <w:p>
      <w:pPr>
        <w:pStyle w:val="DefinedTerms"/>
      </w:pPr>
      <w:r>
        <w:t>CPI</w:t>
      </w:r>
      <w:r>
        <w:tab/>
        <w:t>2AAA</w:t>
      </w:r>
    </w:p>
    <w:p>
      <w:pPr>
        <w:pStyle w:val="DefinedTerms"/>
      </w:pPr>
      <w:r>
        <w:t>criminal record check</w:t>
      </w:r>
      <w:r>
        <w:tab/>
        <w:t>28(6)</w:t>
      </w:r>
    </w:p>
    <w:p>
      <w:pPr>
        <w:pStyle w:val="DefinedTerms"/>
      </w:pPr>
      <w:r>
        <w:t>December WPI</w:t>
      </w:r>
      <w:r>
        <w:tab/>
        <w:t>2AAA</w:t>
      </w:r>
    </w:p>
    <w:p>
      <w:pPr>
        <w:pStyle w:val="DefinedTerms"/>
      </w:pPr>
      <w:r>
        <w:t>dispute resolution authority</w:t>
      </w:r>
      <w:r>
        <w:tab/>
        <w:t>18B</w:t>
      </w:r>
    </w:p>
    <w:p>
      <w:pPr>
        <w:pStyle w:val="DefinedTerms"/>
      </w:pPr>
      <w:r>
        <w:t>DSM-5</w:t>
      </w:r>
      <w:r>
        <w:tab/>
        <w:t>68(1)</w:t>
      </w:r>
    </w:p>
    <w:p>
      <w:pPr>
        <w:pStyle w:val="DefinedTerms"/>
      </w:pPr>
      <w:r>
        <w:t>EDS</w:t>
      </w:r>
      <w:r>
        <w:tab/>
        <w:t>54</w:t>
      </w:r>
    </w:p>
    <w:p>
      <w:pPr>
        <w:pStyle w:val="DefinedTerms"/>
      </w:pPr>
      <w:r>
        <w:t>EDS exempt</w:t>
      </w:r>
      <w:r>
        <w:tab/>
        <w:t>54</w:t>
      </w:r>
    </w:p>
    <w:p>
      <w:pPr>
        <w:pStyle w:val="DefinedTerms"/>
      </w:pPr>
      <w:r>
        <w:t>electronic notification</w:t>
      </w:r>
      <w:r>
        <w:tab/>
        <w:t>60(1)</w:t>
      </w:r>
    </w:p>
    <w:p>
      <w:pPr>
        <w:pStyle w:val="DefinedTerms"/>
      </w:pPr>
      <w:r>
        <w:t>employer</w:t>
      </w:r>
      <w:r>
        <w:tab/>
        <w:t>26</w:t>
      </w:r>
    </w:p>
    <w:p>
      <w:pPr>
        <w:pStyle w:val="DefinedTerms"/>
      </w:pPr>
      <w:r>
        <w:t>estimated total cost</w:t>
      </w:r>
      <w:r>
        <w:tab/>
        <w:t>13(3)</w:t>
      </w:r>
    </w:p>
    <w:p>
      <w:pPr>
        <w:pStyle w:val="DefinedTerms"/>
      </w:pPr>
      <w:r>
        <w:t>exercise physiologist</w:t>
      </w:r>
      <w:r>
        <w:tab/>
        <w:t>44B(1)</w:t>
      </w:r>
    </w:p>
    <w:p>
      <w:pPr>
        <w:pStyle w:val="DefinedTerms"/>
      </w:pPr>
      <w:r>
        <w:t>extension period</w:t>
      </w:r>
      <w:r>
        <w:tab/>
        <w:t>19N(1)</w:t>
      </w:r>
    </w:p>
    <w:p>
      <w:pPr>
        <w:pStyle w:val="DefinedTerms"/>
      </w:pPr>
      <w:r>
        <w:t>fit and proper person</w:t>
      </w:r>
      <w:r>
        <w:tab/>
        <w:t>26</w:t>
      </w:r>
    </w:p>
    <w:p>
      <w:pPr>
        <w:pStyle w:val="DefinedTerms"/>
      </w:pPr>
      <w:r>
        <w:t>former provisions</w:t>
      </w:r>
      <w:r>
        <w:tab/>
        <w:t>18B</w:t>
      </w:r>
    </w:p>
    <w:p>
      <w:pPr>
        <w:pStyle w:val="DefinedTerms"/>
      </w:pPr>
      <w:r>
        <w:t>health professional</w:t>
      </w:r>
      <w:r>
        <w:tab/>
        <w:t>67(1)</w:t>
      </w:r>
    </w:p>
    <w:p>
      <w:pPr>
        <w:pStyle w:val="DefinedTerms"/>
      </w:pPr>
      <w:r>
        <w:t>incident</w:t>
      </w:r>
      <w:r>
        <w:tab/>
        <w:t>68(1)</w:t>
      </w:r>
    </w:p>
    <w:p>
      <w:pPr>
        <w:pStyle w:val="DefinedTerms"/>
      </w:pPr>
      <w:r>
        <w:t>independent agent</w:t>
      </w:r>
      <w:r>
        <w:tab/>
        <w:t>26</w:t>
      </w:r>
    </w:p>
    <w:p>
      <w:pPr>
        <w:pStyle w:val="DefinedTerms"/>
      </w:pPr>
      <w:r>
        <w:t>Insurer/Self-Insurer Electronic Data Specification (Edition Q1)</w:t>
      </w:r>
      <w:r>
        <w:tab/>
        <w:t>13(3)</w:t>
      </w:r>
    </w:p>
    <w:p>
      <w:pPr>
        <w:pStyle w:val="DefinedTerms"/>
      </w:pPr>
      <w:r>
        <w:lastRenderedPageBreak/>
        <w:t>legal service</w:t>
      </w:r>
      <w:r>
        <w:tab/>
        <w:t>18B</w:t>
      </w:r>
    </w:p>
    <w:p>
      <w:pPr>
        <w:pStyle w:val="DefinedTerms"/>
      </w:pPr>
      <w:r>
        <w:t>lodge</w:t>
      </w:r>
      <w:r>
        <w:tab/>
        <w:t>12(1AA)</w:t>
      </w:r>
    </w:p>
    <w:p>
      <w:pPr>
        <w:pStyle w:val="DefinedTerms"/>
      </w:pPr>
      <w:r>
        <w:t>L peak</w:t>
      </w:r>
      <w:r>
        <w:tab/>
        <w:t>19I(2)</w:t>
      </w:r>
    </w:p>
    <w:p>
      <w:pPr>
        <w:pStyle w:val="DefinedTerms"/>
      </w:pPr>
      <w:r>
        <w:t>March CPI</w:t>
      </w:r>
      <w:r>
        <w:tab/>
        <w:t>2AAA</w:t>
      </w:r>
    </w:p>
    <w:p>
      <w:pPr>
        <w:pStyle w:val="DefinedTerms"/>
      </w:pPr>
      <w:r>
        <w:t>MBS item</w:t>
      </w:r>
      <w:r>
        <w:tab/>
        <w:t>17AB(3)</w:t>
      </w:r>
    </w:p>
    <w:p>
      <w:pPr>
        <w:pStyle w:val="DefinedTerms"/>
      </w:pPr>
      <w:r>
        <w:t>NATA</w:t>
      </w:r>
      <w:r>
        <w:tab/>
        <w:t>67(1)</w:t>
      </w:r>
    </w:p>
    <w:p>
      <w:pPr>
        <w:pStyle w:val="DefinedTerms"/>
      </w:pPr>
      <w:r>
        <w:t>notify</w:t>
      </w:r>
      <w:r>
        <w:tab/>
        <w:t>60(1)</w:t>
      </w:r>
    </w:p>
    <w:p>
      <w:pPr>
        <w:pStyle w:val="DefinedTerms"/>
      </w:pPr>
      <w:r>
        <w:t>paramedic</w:t>
      </w:r>
      <w:r>
        <w:tab/>
        <w:t>68(1)</w:t>
      </w:r>
    </w:p>
    <w:p>
      <w:pPr>
        <w:pStyle w:val="DefinedTerms"/>
      </w:pPr>
      <w:r>
        <w:t>Part 8 document</w:t>
      </w:r>
      <w:r>
        <w:tab/>
        <w:t>54</w:t>
      </w:r>
    </w:p>
    <w:p>
      <w:pPr>
        <w:pStyle w:val="DefinedTerms"/>
      </w:pPr>
      <w:r>
        <w:t>pending application</w:t>
      </w:r>
      <w:r>
        <w:tab/>
        <w:t>18LA(1)</w:t>
      </w:r>
    </w:p>
    <w:p>
      <w:pPr>
        <w:pStyle w:val="DefinedTerms"/>
      </w:pPr>
      <w:r>
        <w:t>prescribed details</w:t>
      </w:r>
      <w:r>
        <w:tab/>
        <w:t>18L</w:t>
      </w:r>
    </w:p>
    <w:p>
      <w:pPr>
        <w:pStyle w:val="DefinedTerms"/>
      </w:pPr>
      <w:r>
        <w:t>psychiatrist</w:t>
      </w:r>
      <w:r>
        <w:tab/>
        <w:t>68(1)</w:t>
      </w:r>
    </w:p>
    <w:p>
      <w:pPr>
        <w:pStyle w:val="DefinedTerms"/>
      </w:pPr>
      <w:r>
        <w:t>registered Australian body</w:t>
      </w:r>
      <w:r>
        <w:tab/>
        <w:t>3(2)</w:t>
      </w:r>
    </w:p>
    <w:p>
      <w:pPr>
        <w:pStyle w:val="DefinedTerms"/>
      </w:pPr>
      <w:r>
        <w:t>registration</w:t>
      </w:r>
      <w:r>
        <w:tab/>
        <w:t>26</w:t>
      </w:r>
    </w:p>
    <w:p>
      <w:pPr>
        <w:pStyle w:val="DefinedTerms"/>
      </w:pPr>
      <w:r>
        <w:t>relevant provisions of the Act</w:t>
      </w:r>
      <w:r>
        <w:tab/>
        <w:t>18L</w:t>
      </w:r>
    </w:p>
    <w:p>
      <w:pPr>
        <w:pStyle w:val="DefinedTerms"/>
      </w:pPr>
      <w:r>
        <w:t>relevant year</w:t>
      </w:r>
      <w:r>
        <w:tab/>
        <w:t>2A(1), 11A(1)</w:t>
      </w:r>
    </w:p>
    <w:p>
      <w:pPr>
        <w:pStyle w:val="DefinedTerms"/>
      </w:pPr>
      <w:r>
        <w:t>representative LAeq,8h</w:t>
      </w:r>
      <w:r>
        <w:tab/>
        <w:t>19I(2)</w:t>
      </w:r>
    </w:p>
    <w:p>
      <w:pPr>
        <w:pStyle w:val="DefinedTerms"/>
      </w:pPr>
      <w:r>
        <w:t>representatives</w:t>
      </w:r>
      <w:r>
        <w:tab/>
        <w:t>11(2)</w:t>
      </w:r>
    </w:p>
    <w:p>
      <w:pPr>
        <w:pStyle w:val="DefinedTerms"/>
      </w:pPr>
      <w:r>
        <w:t>taxing officer</w:t>
      </w:r>
      <w:r>
        <w:tab/>
        <w:t>18B</w:t>
      </w:r>
    </w:p>
    <w:p>
      <w:pPr>
        <w:pStyle w:val="DefinedTerms"/>
      </w:pPr>
      <w:r>
        <w:t>termination day</w:t>
      </w:r>
      <w:r>
        <w:tab/>
        <w:t>19N(1)</w:t>
      </w:r>
    </w:p>
    <w:p>
      <w:pPr>
        <w:pStyle w:val="DefinedTerms"/>
      </w:pPr>
      <w:r>
        <w:t>treating specialist</w:t>
      </w:r>
      <w:r>
        <w:tab/>
        <w:t>17AB(3)</w:t>
      </w:r>
    </w:p>
    <w:p>
      <w:pPr>
        <w:pStyle w:val="DefinedTerms"/>
      </w:pPr>
      <w:r>
        <w:t>working day</w:t>
      </w:r>
      <w:r>
        <w:tab/>
        <w:t>59(1)</w:t>
      </w:r>
    </w:p>
    <w:p>
      <w:pPr>
        <w:pStyle w:val="DefinedTerms"/>
      </w:pPr>
      <w:r>
        <w:t>WPI</w:t>
      </w:r>
      <w:r>
        <w:tab/>
        <w:t>2AAA</w:t>
      </w:r>
    </w:p>
    <w:p/>
    <w:p>
      <w:pPr>
        <w:sectPr>
          <w:headerReference w:type="even" r:id="rId40"/>
          <w:headerReference w:type="default" r:id="rId4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5AE76B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D5159CC" w14:textId="0269168F" w:rsidR="00D11CE4" w:rsidRDefault="00D11CE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4EE9F9B" w14:textId="77777777" w:rsidR="00D11CE4" w:rsidRDefault="00D11CE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16DD57F" w14:textId="6F35EAF8" w:rsidR="00D11CE4" w:rsidRDefault="00D11CE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DA46153" w14:textId="77777777" w:rsidR="00D11CE4" w:rsidRDefault="00D11CE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8">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08-j0-01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08-j0-01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08-j0-01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08-j0-01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08-j0-01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08-j0-01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64" w:name="Schedule"/>
    <w:bookmarkEnd w:id="1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3" w:name="Compilation"/>
    <w:bookmarkEnd w:id="18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5" w:name="DefinedTerms"/>
    <w:bookmarkEnd w:id="185"/>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6" w:name="Coversheet"/>
    <w:bookmarkEnd w:id="1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6"/>
  </w:num>
  <w:num w:numId="15">
    <w:abstractNumId w:val="12"/>
  </w:num>
  <w:num w:numId="16">
    <w:abstractNumId w:val="22"/>
  </w:num>
  <w:num w:numId="17">
    <w:abstractNumId w:val="13"/>
  </w:num>
  <w:num w:numId="18">
    <w:abstractNumId w:val="11"/>
  </w:num>
  <w:num w:numId="19">
    <w:abstractNumId w:val="18"/>
  </w:num>
  <w:num w:numId="20">
    <w:abstractNumId w:val="20"/>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112632"/>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 w:name="WAFER_20161128095503" w:val="RemoveTocBookmarks,RemoveUnusedBookmarks,RemoveLanguageTags,UsedStyles,ResetPageSize,RemoveCustomizations"/>
    <w:docVar w:name="WAFER_20161128095503_GUID" w:val="2db139b6-df7b-4341-9b2e-84d40d19a23a"/>
    <w:docVar w:name="WAFER_20180628151102" w:val="RemoveTocBookmarks,RemoveUnusedBookmarks,RemoveLanguageTags,UsedStyles,ResetPageSize"/>
    <w:docVar w:name="WAFER_20180628151102_GUID" w:val="df650785-8934-4e45-b59b-7377dfe3ae86"/>
    <w:docVar w:name="WAFER_20200831151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31151450_GUID" w:val="5713081e-28ea-4f8f-98d4-86ba6fe1a227"/>
    <w:docVar w:name="WAFER_20200831153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53450_GUID" w:val="06823d82-01ae-4ccb-94d2-d0ab62f98724"/>
    <w:docVar w:name="WAFER_20201006093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6093047_GUID" w:val="6a309d1c-4168-4ecd-93bd-2a0087fa985a"/>
    <w:docVar w:name="WAFER_202011110838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083805_GUID" w:val="8c6b11fa-e439-43e9-9084-7dfaa6bb3cd6"/>
    <w:docVar w:name="WAFER_20211221144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4226_GUID" w:val="48ed379d-2547-4829-b144-94aec9da292f"/>
    <w:docVar w:name="WAFER_20220124114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4413_GUID" w:val="62f29636-407a-4631-8f88-6f98ba8687ad"/>
    <w:docVar w:name="WAFER_20230502155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5427_GUID" w:val="c05d50e6-6bab-4733-b752-22fc7fcdbec6"/>
    <w:docVar w:name="WAFER_202307240954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095416_GUID" w:val="6d0d7948-d959-436c-a840-b94e2e61c1ad"/>
    <w:docVar w:name="WAFER_202307240954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5446_GUID" w:val="a3dcc1bb-b1c0-4d0a-b730-4202652fa67a"/>
    <w:docVar w:name="WAFER_202308041028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14_GUID" w:val="59d39a1f-ed44-4a0e-aa84-e4cd8c866985"/>
    <w:docVar w:name="WAFER_202312291126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12632_GUID" w:val="6618e83b-1209-4553-8229-22e8a12d55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5:docId w15:val="{72737ED8-50BC-42C1-BBFE-2220FA6E4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94032">
      <w:bodyDiv w:val="1"/>
      <w:marLeft w:val="0"/>
      <w:marRight w:val="0"/>
      <w:marTop w:val="0"/>
      <w:marBottom w:val="0"/>
      <w:divBdr>
        <w:top w:val="none" w:sz="0" w:space="0" w:color="auto"/>
        <w:left w:val="none" w:sz="0" w:space="0" w:color="auto"/>
        <w:bottom w:val="none" w:sz="0" w:space="0" w:color="auto"/>
        <w:right w:val="none" w:sz="0" w:space="0" w:color="auto"/>
      </w:divBdr>
    </w:div>
    <w:div w:id="543098091">
      <w:bodyDiv w:val="1"/>
      <w:marLeft w:val="0"/>
      <w:marRight w:val="0"/>
      <w:marTop w:val="0"/>
      <w:marBottom w:val="0"/>
      <w:divBdr>
        <w:top w:val="none" w:sz="0" w:space="0" w:color="auto"/>
        <w:left w:val="none" w:sz="0" w:space="0" w:color="auto"/>
        <w:bottom w:val="none" w:sz="0" w:space="0" w:color="auto"/>
        <w:right w:val="none" w:sz="0" w:space="0" w:color="auto"/>
      </w:divBdr>
    </w:div>
    <w:div w:id="689913334">
      <w:bodyDiv w:val="1"/>
      <w:marLeft w:val="0"/>
      <w:marRight w:val="0"/>
      <w:marTop w:val="0"/>
      <w:marBottom w:val="0"/>
      <w:divBdr>
        <w:top w:val="none" w:sz="0" w:space="0" w:color="auto"/>
        <w:left w:val="none" w:sz="0" w:space="0" w:color="auto"/>
        <w:bottom w:val="none" w:sz="0" w:space="0" w:color="auto"/>
        <w:right w:val="none" w:sz="0" w:space="0" w:color="auto"/>
      </w:divBdr>
    </w:div>
    <w:div w:id="720178807">
      <w:bodyDiv w:val="1"/>
      <w:marLeft w:val="0"/>
      <w:marRight w:val="0"/>
      <w:marTop w:val="0"/>
      <w:marBottom w:val="0"/>
      <w:divBdr>
        <w:top w:val="none" w:sz="0" w:space="0" w:color="auto"/>
        <w:left w:val="none" w:sz="0" w:space="0" w:color="auto"/>
        <w:bottom w:val="none" w:sz="0" w:space="0" w:color="auto"/>
        <w:right w:val="none" w:sz="0" w:space="0" w:color="auto"/>
      </w:divBdr>
    </w:div>
    <w:div w:id="134829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header" Target="header23.xml"/><Relationship Id="rId47"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7.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image" Target="media/image4.jpeg"/><Relationship Id="rId43" Type="http://schemas.openxmlformats.org/officeDocument/2006/relationships/header" Target="header24.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19.xml"/><Relationship Id="rId46" Type="http://schemas.openxmlformats.org/officeDocument/2006/relationships/header" Target="header25.xml"/><Relationship Id="rId20" Type="http://schemas.openxmlformats.org/officeDocument/2006/relationships/footer" Target="footer6.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0ACF1-7E28-42C0-AB5A-E53E5983A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55352</Words>
  <Characters>271783</Characters>
  <Application>Microsoft Office Word</Application>
  <DocSecurity>0</DocSecurity>
  <Lines>19413</Lines>
  <Paragraphs>11683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1982 - 08-j0-01</dc:title>
  <dc:subject/>
  <dc:creator/>
  <cp:keywords/>
  <dc:description/>
  <cp:lastModifiedBy>Master Repository Process</cp:lastModifiedBy>
  <cp:revision>4</cp:revision>
  <cp:lastPrinted>2021-12-22T01:50:00Z</cp:lastPrinted>
  <dcterms:created xsi:type="dcterms:W3CDTF">2025-06-13T07:22:00Z</dcterms:created>
  <dcterms:modified xsi:type="dcterms:W3CDTF">2025-06-13T07:24:00Z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edAsAt">
    <vt:filetime>2017-05-18T16:00:00Z</vt:filetime>
  </property>
  <property fmtid="{D5CDD505-2E9C-101B-9397-08002B2CF9AE}" pid="7" name="ReprintNo">
    <vt:lpwstr>8</vt:lpwstr>
  </property>
  <property fmtid="{D5CDD505-2E9C-101B-9397-08002B2CF9AE}" pid="8" name="AsAtDate">
    <vt:lpwstr>10 Aug 2023</vt:lpwstr>
  </property>
  <property fmtid="{D5CDD505-2E9C-101B-9397-08002B2CF9AE}" pid="9" name="Suffix">
    <vt:lpwstr>08-j0-01</vt:lpwstr>
  </property>
  <property fmtid="{D5CDD505-2E9C-101B-9397-08002B2CF9AE}" pid="10" name="Official">
    <vt:lpwstr/>
  </property>
  <property fmtid="{D5CDD505-2E9C-101B-9397-08002B2CF9AE}" pid="11" name="CommencementDate">
    <vt:lpwstr>20230810</vt:lpwstr>
  </property>
  <property fmtid="{D5CDD505-2E9C-101B-9397-08002B2CF9AE}" pid="12" name="CommencementAsAt">
    <vt:filetime>2023-08-09T16:00:00Z</vt:filetime>
  </property>
  <property fmtid="{D5CDD505-2E9C-101B-9397-08002B2CF9AE}" pid="13" name="CommencementYear">
    <vt:lpwstr>2023</vt:lpwstr>
  </property>
</Properties>
</file>