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(Mines)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(Mines)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_Toc200719509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_Toc200719510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_Toc200719511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_Toc200719512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_Toc200719513 \h </w:instrText>
      </w:r>
      <w:r>
        <w:fldChar w:fldCharType="separate"/>
      </w:r>
      <w:r>
        <w:t>2</w:t>
      </w:r>
      <w:r>
        <w:fldChar w:fldCharType="end"/>
      </w:r>
    </w:p>
    <w:p>
      <w:pPr>
        <w:pStyle w:val="TOC8"/>
        <w:rPr>
          <w:rFonts w:asciiTheme="minorHAnsi" w:eastAsiaTheme="minorEastAsia" w:hAnsiTheme="minorHAnsi" w:cstheme="minorBidi"/>
          <w:szCs w:val="22"/>
        </w:rPr>
      </w:pPr>
      <w:r>
        <w:t>5A.</w:t>
      </w:r>
      <w:r>
        <w:tab/>
        <w:t>Meaning of mine</w:t>
      </w:r>
      <w:r>
        <w:tab/>
      </w:r>
      <w:r>
        <w:fldChar w:fldCharType="begin"/>
      </w:r>
      <w:r>
        <w:instrText xml:space="preserve"> PAGEREF _Toc200719514 \h </w:instrText>
      </w:r>
      <w:r>
        <w:fldChar w:fldCharType="separate"/>
      </w:r>
      <w:r>
        <w:t>47</w:t>
      </w:r>
      <w:r>
        <w:fldChar w:fldCharType="end"/>
      </w:r>
    </w:p>
    <w:p>
      <w:pPr>
        <w:pStyle w:val="TOC8"/>
        <w:rPr>
          <w:rFonts w:asciiTheme="minorHAnsi" w:eastAsiaTheme="minorEastAsia" w:hAnsiTheme="minorHAnsi" w:cstheme="minorBidi"/>
          <w:szCs w:val="22"/>
        </w:rPr>
      </w:pPr>
      <w:r>
        <w:t>5B.</w:t>
      </w:r>
      <w:r>
        <w:tab/>
        <w:t>Meaning of mining operations</w:t>
      </w:r>
      <w:r>
        <w:tab/>
      </w:r>
      <w:r>
        <w:fldChar w:fldCharType="begin"/>
      </w:r>
      <w:r>
        <w:instrText xml:space="preserve"> PAGEREF _Toc200719515 \h </w:instrText>
      </w:r>
      <w:r>
        <w:fldChar w:fldCharType="separate"/>
      </w:r>
      <w:r>
        <w:t>48</w:t>
      </w:r>
      <w:r>
        <w:fldChar w:fldCharType="end"/>
      </w:r>
    </w:p>
    <w:p>
      <w:pPr>
        <w:pStyle w:val="TOC8"/>
        <w:rPr>
          <w:rFonts w:asciiTheme="minorHAnsi" w:eastAsiaTheme="minorEastAsia" w:hAnsiTheme="minorHAnsi" w:cstheme="minorBidi"/>
          <w:szCs w:val="22"/>
        </w:rPr>
      </w:pPr>
      <w:r>
        <w:t>5C.</w:t>
      </w:r>
      <w:r>
        <w:tab/>
        <w:t>Meaning of mine operator</w:t>
      </w:r>
      <w:r>
        <w:tab/>
      </w:r>
      <w:r>
        <w:fldChar w:fldCharType="begin"/>
      </w:r>
      <w:r>
        <w:instrText xml:space="preserve"> PAGEREF _Toc200719516 \h </w:instrText>
      </w:r>
      <w:r>
        <w:fldChar w:fldCharType="separate"/>
      </w:r>
      <w:r>
        <w:t>50</w:t>
      </w:r>
      <w:r>
        <w:fldChar w:fldCharType="end"/>
      </w:r>
    </w:p>
    <w:p>
      <w:pPr>
        <w:pStyle w:val="TOC8"/>
        <w:rPr>
          <w:rFonts w:asciiTheme="minorHAnsi" w:eastAsiaTheme="minorEastAsia" w:hAnsiTheme="minorHAnsi" w:cstheme="minorBidi"/>
          <w:szCs w:val="22"/>
        </w:rPr>
      </w:pPr>
      <w:r>
        <w:t>6.</w:t>
      </w:r>
      <w:r>
        <w:tab/>
        <w:t>Not used</w:t>
      </w:r>
      <w:r>
        <w:tab/>
      </w:r>
      <w:r>
        <w:fldChar w:fldCharType="begin"/>
      </w:r>
      <w:r>
        <w:instrText xml:space="preserve"> PAGEREF _Toc200719517 \h </w:instrText>
      </w:r>
      <w:r>
        <w:fldChar w:fldCharType="separate"/>
      </w:r>
      <w:r>
        <w:t>51</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_Toc200719518 \h </w:instrText>
      </w:r>
      <w:r>
        <w:fldChar w:fldCharType="separate"/>
      </w:r>
      <w:r>
        <w:t>51</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_Toc200719519 \h </w:instrText>
      </w:r>
      <w:r>
        <w:fldChar w:fldCharType="separate"/>
      </w:r>
      <w:r>
        <w:t>51</w:t>
      </w:r>
      <w:r>
        <w:fldChar w:fldCharType="end"/>
      </w:r>
    </w:p>
    <w:p>
      <w:pPr>
        <w:pStyle w:val="TOC8"/>
        <w:rPr>
          <w:rFonts w:asciiTheme="minorHAnsi" w:eastAsiaTheme="minorEastAsia" w:hAnsiTheme="minorHAnsi" w:cstheme="minorBidi"/>
          <w:szCs w:val="22"/>
        </w:rPr>
      </w:pPr>
      <w:r>
        <w:t>7A.</w:t>
      </w:r>
      <w:r>
        <w:tab/>
        <w:t>References to person conducting a business or undertaking include references to mine operators</w:t>
      </w:r>
      <w:r>
        <w:tab/>
      </w:r>
      <w:r>
        <w:fldChar w:fldCharType="begin"/>
      </w:r>
      <w:r>
        <w:instrText xml:space="preserve"> PAGEREF _Toc200719520 \h </w:instrText>
      </w:r>
      <w:r>
        <w:fldChar w:fldCharType="separate"/>
      </w:r>
      <w:r>
        <w:t>52</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_Toc200719521 \h </w:instrText>
      </w:r>
      <w:r>
        <w:fldChar w:fldCharType="separate"/>
      </w:r>
      <w:r>
        <w:t>52</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_Toc200719522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Regulations generally apply to mines</w:t>
      </w:r>
      <w:r>
        <w:tab/>
      </w:r>
      <w:r>
        <w:fldChar w:fldCharType="begin"/>
      </w:r>
      <w:r>
        <w:instrText xml:space="preserve"> PAGEREF _Toc200719524 \h </w:instrText>
      </w:r>
      <w:r>
        <w:fldChar w:fldCharType="separate"/>
      </w:r>
      <w:r>
        <w:t>53</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_Toc200719525 \h </w:instrText>
      </w:r>
      <w:r>
        <w:fldChar w:fldCharType="separate"/>
      </w:r>
      <w:r>
        <w:t>54</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_Toc200719526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_Toc200719528 \h </w:instrText>
      </w:r>
      <w:r>
        <w:fldChar w:fldCharType="separate"/>
      </w:r>
      <w:r>
        <w:t>54</w:t>
      </w:r>
      <w:r>
        <w:fldChar w:fldCharType="end"/>
      </w:r>
    </w:p>
    <w:p>
      <w:pPr>
        <w:pStyle w:val="TOC8"/>
        <w:rPr>
          <w:rFonts w:asciiTheme="minorHAnsi" w:eastAsiaTheme="minorEastAsia" w:hAnsiTheme="minorHAnsi" w:cstheme="minorBidi"/>
          <w:szCs w:val="22"/>
        </w:rPr>
      </w:pPr>
      <w:r>
        <w:lastRenderedPageBreak/>
        <w:t>14.</w:t>
      </w:r>
      <w:r>
        <w:tab/>
        <w:t>Inconsistencies between provisions</w:t>
      </w:r>
      <w:r>
        <w:tab/>
      </w:r>
      <w:r>
        <w:fldChar w:fldCharType="begin"/>
      </w:r>
      <w:r>
        <w:instrText xml:space="preserve"> PAGEREF _Toc200719529 \h </w:instrText>
      </w:r>
      <w:r>
        <w:fldChar w:fldCharType="separate"/>
      </w:r>
      <w:r>
        <w:t>55</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_Toc200719530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_Toc200719534 \h </w:instrText>
      </w:r>
      <w:r>
        <w:fldChar w:fldCharType="separate"/>
      </w:r>
      <w:r>
        <w:t>56</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_Toc200719535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_Toc200719537 \h </w:instrText>
      </w:r>
      <w:r>
        <w:fldChar w:fldCharType="separate"/>
      </w:r>
      <w:r>
        <w:t>57</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_Toc200719538 \h </w:instrText>
      </w:r>
      <w:r>
        <w:fldChar w:fldCharType="separate"/>
      </w:r>
      <w:r>
        <w:t>58</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_Toc200719539 \h </w:instrText>
      </w:r>
      <w:r>
        <w:fldChar w:fldCharType="separate"/>
      </w:r>
      <w:r>
        <w:t>58</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_Toc200719540 \h </w:instrText>
      </w:r>
      <w:r>
        <w:fldChar w:fldCharType="separate"/>
      </w:r>
      <w:r>
        <w:t>59</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_Toc200719541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_Toc200719543 \h </w:instrText>
      </w:r>
      <w:r>
        <w:fldChar w:fldCharType="separate"/>
      </w:r>
      <w:r>
        <w:t>61</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_Toc200719544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_Toc200719546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_Toc200719548 \h </w:instrText>
      </w:r>
      <w:r>
        <w:fldChar w:fldCharType="separate"/>
      </w:r>
      <w:r>
        <w:t>63</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_Toc200719549 \h </w:instrText>
      </w:r>
      <w:r>
        <w:fldChar w:fldCharType="separate"/>
      </w:r>
      <w:r>
        <w:t>63</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_Toc200719550 \h </w:instrText>
      </w:r>
      <w:r>
        <w:fldChar w:fldCharType="separate"/>
      </w:r>
      <w:r>
        <w:t>63</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_Toc200719551 \h </w:instrText>
      </w:r>
      <w:r>
        <w:fldChar w:fldCharType="separate"/>
      </w:r>
      <w:r>
        <w:t>63</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_Toc200719552 \h </w:instrText>
      </w:r>
      <w:r>
        <w:fldChar w:fldCharType="separate"/>
      </w:r>
      <w:r>
        <w:t>63</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_Toc200719553 \h </w:instrText>
      </w:r>
      <w:r>
        <w:fldChar w:fldCharType="separate"/>
      </w:r>
      <w:r>
        <w:t>63</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_Toc200719554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_Toc200719557 \h </w:instrText>
      </w:r>
      <w:r>
        <w:fldChar w:fldCharType="separate"/>
      </w:r>
      <w:r>
        <w:t>64</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_Toc200719558 \h </w:instrText>
      </w:r>
      <w:r>
        <w:fldChar w:fldCharType="separate"/>
      </w:r>
      <w:r>
        <w:t>64</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_Toc200719559 \h </w:instrText>
      </w:r>
      <w:r>
        <w:fldChar w:fldCharType="separate"/>
      </w:r>
      <w:r>
        <w:t>64</w:t>
      </w:r>
      <w:r>
        <w:fldChar w:fldCharType="end"/>
      </w:r>
    </w:p>
    <w:p>
      <w:pPr>
        <w:pStyle w:val="TOC8"/>
        <w:rPr>
          <w:rFonts w:asciiTheme="minorHAnsi" w:eastAsiaTheme="minorEastAsia" w:hAnsiTheme="minorHAnsi" w:cstheme="minorBidi"/>
          <w:szCs w:val="22"/>
        </w:rPr>
      </w:pPr>
      <w:r>
        <w:lastRenderedPageBreak/>
        <w:t>35.</w:t>
      </w:r>
      <w:r>
        <w:tab/>
        <w:t>Managing risks to health and safety</w:t>
      </w:r>
      <w:r>
        <w:tab/>
      </w:r>
      <w:r>
        <w:fldChar w:fldCharType="begin"/>
      </w:r>
      <w:r>
        <w:instrText xml:space="preserve"> PAGEREF _Toc200719560 \h </w:instrText>
      </w:r>
      <w:r>
        <w:fldChar w:fldCharType="separate"/>
      </w:r>
      <w:r>
        <w:t>64</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_Toc200719561 \h </w:instrText>
      </w:r>
      <w:r>
        <w:fldChar w:fldCharType="separate"/>
      </w:r>
      <w:r>
        <w:t>65</w:t>
      </w:r>
      <w:r>
        <w:fldChar w:fldCharType="end"/>
      </w:r>
    </w:p>
    <w:p>
      <w:pPr>
        <w:pStyle w:val="TOC8"/>
        <w:rPr>
          <w:rFonts w:asciiTheme="minorHAnsi" w:eastAsiaTheme="minorEastAsia" w:hAnsiTheme="minorHAnsi" w:cstheme="minorBidi"/>
          <w:szCs w:val="22"/>
        </w:rPr>
      </w:pPr>
      <w:r>
        <w:t>37.</w:t>
      </w:r>
      <w:r>
        <w:tab/>
        <w:t>Maintenance of control measures</w:t>
      </w:r>
      <w:r>
        <w:tab/>
      </w:r>
      <w:r>
        <w:fldChar w:fldCharType="begin"/>
      </w:r>
      <w:r>
        <w:instrText xml:space="preserve"> PAGEREF _Toc200719562 \h </w:instrText>
      </w:r>
      <w:r>
        <w:fldChar w:fldCharType="separate"/>
      </w:r>
      <w:r>
        <w:t>65</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_Toc200719563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_Toc200719566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_Toc200719568 \h </w:instrText>
      </w:r>
      <w:r>
        <w:fldChar w:fldCharType="separate"/>
      </w:r>
      <w:r>
        <w:t>68</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_Toc200719569 \h </w:instrText>
      </w:r>
      <w:r>
        <w:fldChar w:fldCharType="separate"/>
      </w:r>
      <w:r>
        <w:t>69</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_Toc200719570 \h </w:instrText>
      </w:r>
      <w:r>
        <w:fldChar w:fldCharType="separate"/>
      </w:r>
      <w:r>
        <w:t>70</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_Toc200719571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_Toc200719573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_Toc200719575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_Toc200719577 \h </w:instrText>
      </w:r>
      <w:r>
        <w:fldChar w:fldCharType="separate"/>
      </w:r>
      <w:r>
        <w:t>74</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_Toc200719578 \h </w:instrText>
      </w:r>
      <w:r>
        <w:fldChar w:fldCharType="separate"/>
      </w:r>
      <w:r>
        <w:t>76</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_Toc200719579 \h </w:instrText>
      </w:r>
      <w:r>
        <w:fldChar w:fldCharType="separate"/>
      </w:r>
      <w:r>
        <w:t>76</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_Toc200719580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_Toc200719582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_Toc200719584 \h </w:instrText>
      </w:r>
      <w:r>
        <w:fldChar w:fldCharType="separate"/>
      </w:r>
      <w:r>
        <w:t>78</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_Toc200719585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7A — Protection from tobacco smoke</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_Toc200719587 \h </w:instrText>
      </w:r>
      <w:r>
        <w:fldChar w:fldCharType="separate"/>
      </w:r>
      <w:r>
        <w:t>80</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_Toc200719588 \h </w:instrText>
      </w:r>
      <w:r>
        <w:fldChar w:fldCharType="separate"/>
      </w:r>
      <w:r>
        <w:t>81</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_Toc200719589 \h </w:instrText>
      </w:r>
      <w:r>
        <w:fldChar w:fldCharType="separate"/>
      </w:r>
      <w:r>
        <w:t>82</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_Toc200719590 \h </w:instrText>
      </w:r>
      <w:r>
        <w:fldChar w:fldCharType="separate"/>
      </w:r>
      <w:r>
        <w:t>83</w:t>
      </w:r>
      <w:r>
        <w:fldChar w:fldCharType="end"/>
      </w:r>
    </w:p>
    <w:p>
      <w:pPr>
        <w:pStyle w:val="TOC8"/>
        <w:rPr>
          <w:rFonts w:asciiTheme="minorHAnsi" w:eastAsiaTheme="minorEastAsia" w:hAnsiTheme="minorHAnsi" w:cstheme="minorBidi"/>
          <w:szCs w:val="22"/>
        </w:rPr>
      </w:pPr>
      <w:r>
        <w:lastRenderedPageBreak/>
        <w:t>50E.</w:t>
      </w:r>
      <w:r>
        <w:tab/>
        <w:t>Defence to r. 50D: smoking in private vehicle or residence</w:t>
      </w:r>
      <w:r>
        <w:tab/>
      </w:r>
      <w:r>
        <w:fldChar w:fldCharType="begin"/>
      </w:r>
      <w:r>
        <w:instrText xml:space="preserve"> PAGEREF _Toc200719591 \h </w:instrText>
      </w:r>
      <w:r>
        <w:fldChar w:fldCharType="separate"/>
      </w:r>
      <w:r>
        <w:t>83</w:t>
      </w:r>
      <w:r>
        <w:fldChar w:fldCharType="end"/>
      </w:r>
    </w:p>
    <w:p>
      <w:pPr>
        <w:pStyle w:val="TOC8"/>
        <w:rPr>
          <w:rFonts w:asciiTheme="minorHAnsi" w:eastAsiaTheme="minorEastAsia" w:hAnsiTheme="minorHAnsi" w:cstheme="minorBidi"/>
          <w:szCs w:val="22"/>
        </w:rPr>
      </w:pPr>
      <w:r>
        <w:t>50F.</w:t>
      </w:r>
      <w:r>
        <w:tab/>
        <w:t>Defence to r. 50D: smoking by actor in a performance</w:t>
      </w:r>
      <w:r>
        <w:tab/>
      </w:r>
      <w:r>
        <w:fldChar w:fldCharType="begin"/>
      </w:r>
      <w:r>
        <w:instrText xml:space="preserve"> PAGEREF _Toc200719592 \h </w:instrText>
      </w:r>
      <w:r>
        <w:fldChar w:fldCharType="separate"/>
      </w:r>
      <w:r>
        <w:t>84</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_Toc200719593 \h </w:instrText>
      </w:r>
      <w:r>
        <w:fldChar w:fldCharType="separate"/>
      </w:r>
      <w:r>
        <w:t>84</w:t>
      </w:r>
      <w:r>
        <w:fldChar w:fldCharType="end"/>
      </w:r>
    </w:p>
    <w:p>
      <w:pPr>
        <w:pStyle w:val="TOC8"/>
        <w:rPr>
          <w:rFonts w:asciiTheme="minorHAnsi" w:eastAsiaTheme="minorEastAsia" w:hAnsiTheme="minorHAnsi" w:cstheme="minorBidi"/>
          <w:szCs w:val="22"/>
        </w:rPr>
      </w:pPr>
      <w:r>
        <w:t>50H.</w:t>
      </w:r>
      <w:r>
        <w:tab/>
        <w:t>Inspectors may require certain persons to extinguish tobacco products</w:t>
      </w:r>
      <w:r>
        <w:tab/>
      </w:r>
      <w:r>
        <w:fldChar w:fldCharType="begin"/>
      </w:r>
      <w:r>
        <w:instrText xml:space="preserve"> PAGEREF _Toc200719594 \h </w:instrText>
      </w:r>
      <w:r>
        <w:fldChar w:fldCharType="separate"/>
      </w:r>
      <w:r>
        <w:t>84</w:t>
      </w:r>
      <w:r>
        <w:fldChar w:fldCharType="end"/>
      </w:r>
    </w:p>
    <w:p>
      <w:pPr>
        <w:pStyle w:val="TOC8"/>
        <w:rPr>
          <w:rFonts w:asciiTheme="minorHAnsi" w:eastAsiaTheme="minorEastAsia" w:hAnsiTheme="minorHAnsi" w:cstheme="minorBidi"/>
          <w:szCs w:val="22"/>
        </w:rPr>
      </w:pPr>
      <w:r>
        <w:t>50I.</w:t>
      </w:r>
      <w:r>
        <w:tab/>
        <w:t>Exposure to secondhand smoke</w:t>
      </w:r>
      <w:r>
        <w:tab/>
      </w:r>
      <w:r>
        <w:fldChar w:fldCharType="begin"/>
      </w:r>
      <w:r>
        <w:instrText xml:space="preserve"> PAGEREF _Toc200719595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_Toc200719597 \h </w:instrText>
      </w:r>
      <w:r>
        <w:fldChar w:fldCharType="separate"/>
      </w:r>
      <w:r>
        <w:t>85</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_Toc200719598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_Toc200719600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_Toc200719602 \h </w:instrText>
      </w:r>
      <w:r>
        <w:fldChar w:fldCharType="separate"/>
      </w:r>
      <w:r>
        <w:t>86</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_Toc200719603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_Toc200719605 \h </w:instrText>
      </w:r>
      <w:r>
        <w:fldChar w:fldCharType="separate"/>
      </w:r>
      <w:r>
        <w:t>88</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_Toc200719606 \h </w:instrText>
      </w:r>
      <w:r>
        <w:fldChar w:fldCharType="separate"/>
      </w:r>
      <w:r>
        <w:t>88</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_Toc200719607 \h </w:instrText>
      </w:r>
      <w:r>
        <w:fldChar w:fldCharType="separate"/>
      </w:r>
      <w:r>
        <w:t>88</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_Toc200719608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_Toc200719610 \h </w:instrText>
      </w:r>
      <w:r>
        <w:fldChar w:fldCharType="separate"/>
      </w:r>
      <w:r>
        <w:t>90</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_Toc200719611 \h </w:instrText>
      </w:r>
      <w:r>
        <w:fldChar w:fldCharType="separate"/>
      </w:r>
      <w:r>
        <w:t>90</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_Toc200719612 \h </w:instrText>
      </w:r>
      <w:r>
        <w:fldChar w:fldCharType="separate"/>
      </w:r>
      <w:r>
        <w:t>90</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_Toc200719613 \h </w:instrText>
      </w:r>
      <w:r>
        <w:fldChar w:fldCharType="separate"/>
      </w:r>
      <w:r>
        <w:t>91</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_Toc200719614 \h </w:instrText>
      </w:r>
      <w:r>
        <w:fldChar w:fldCharType="separate"/>
      </w:r>
      <w:r>
        <w:t>91</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_Toc200719615 \h </w:instrText>
      </w:r>
      <w:r>
        <w:fldChar w:fldCharType="separate"/>
      </w:r>
      <w:r>
        <w:t>92</w:t>
      </w:r>
      <w:r>
        <w:fldChar w:fldCharType="end"/>
      </w:r>
    </w:p>
    <w:p>
      <w:pPr>
        <w:pStyle w:val="TOC8"/>
        <w:rPr>
          <w:rFonts w:asciiTheme="minorHAnsi" w:eastAsiaTheme="minorEastAsia" w:hAnsiTheme="minorHAnsi" w:cstheme="minorBidi"/>
          <w:szCs w:val="22"/>
        </w:rPr>
      </w:pPr>
      <w:r>
        <w:t>55JA.</w:t>
      </w:r>
      <w:r>
        <w:tab/>
        <w:t>Person conducting business or undertaking must inform mine operator</w:t>
      </w:r>
      <w:r>
        <w:tab/>
      </w:r>
      <w:r>
        <w:fldChar w:fldCharType="begin"/>
      </w:r>
      <w:r>
        <w:instrText xml:space="preserve"> PAGEREF _Toc200719616 \h </w:instrText>
      </w:r>
      <w:r>
        <w:fldChar w:fldCharType="separate"/>
      </w:r>
      <w:r>
        <w:t>93</w:t>
      </w:r>
      <w:r>
        <w:fldChar w:fldCharType="end"/>
      </w:r>
    </w:p>
    <w:p>
      <w:pPr>
        <w:pStyle w:val="TOC8"/>
        <w:rPr>
          <w:rFonts w:asciiTheme="minorHAnsi" w:eastAsiaTheme="minorEastAsia" w:hAnsiTheme="minorHAnsi" w:cstheme="minorBidi"/>
          <w:szCs w:val="22"/>
        </w:rPr>
      </w:pPr>
      <w:r>
        <w:lastRenderedPageBreak/>
        <w:t>55K.</w:t>
      </w:r>
      <w:r>
        <w:tab/>
        <w:t>Person conducting business or undertaking must ensure confidentiality of medical examination results</w:t>
      </w:r>
      <w:r>
        <w:tab/>
      </w:r>
      <w:r>
        <w:fldChar w:fldCharType="begin"/>
      </w:r>
      <w:r>
        <w:instrText xml:space="preserve"> PAGEREF _Toc200719617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_Toc200719620 \h </w:instrText>
      </w:r>
      <w:r>
        <w:fldChar w:fldCharType="separate"/>
      </w:r>
      <w:r>
        <w:t>94</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_Toc200719621 \h </w:instrText>
      </w:r>
      <w:r>
        <w:fldChar w:fldCharType="separate"/>
      </w:r>
      <w:r>
        <w:t>94</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_Toc200719622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_Toc200719624 \h </w:instrText>
      </w:r>
      <w:r>
        <w:fldChar w:fldCharType="separate"/>
      </w:r>
      <w:r>
        <w:t>97</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_Toc200719625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_Toc200719628 \h </w:instrText>
      </w:r>
      <w:r>
        <w:fldChar w:fldCharType="separate"/>
      </w:r>
      <w:r>
        <w:t>100</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_Toc200719629 \h </w:instrText>
      </w:r>
      <w:r>
        <w:fldChar w:fldCharType="separate"/>
      </w:r>
      <w:r>
        <w:t>100</w:t>
      </w:r>
      <w:r>
        <w:fldChar w:fldCharType="end"/>
      </w:r>
    </w:p>
    <w:p>
      <w:pPr>
        <w:pStyle w:val="TOC8"/>
        <w:rPr>
          <w:rFonts w:asciiTheme="minorHAnsi" w:eastAsiaTheme="minorEastAsia" w:hAnsiTheme="minorHAnsi" w:cstheme="minorBidi"/>
          <w:szCs w:val="22"/>
        </w:rPr>
      </w:pPr>
      <w:r>
        <w:t>63A.</w:t>
      </w:r>
      <w:r>
        <w:tab/>
        <w:t>Application to mine emergency workers</w:t>
      </w:r>
      <w:r>
        <w:tab/>
      </w:r>
      <w:r>
        <w:fldChar w:fldCharType="begin"/>
      </w:r>
      <w:r>
        <w:instrText xml:space="preserve"> PAGEREF _Toc200719630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_Toc200719632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_Toc200719634 \h </w:instrText>
      </w:r>
      <w:r>
        <w:fldChar w:fldCharType="separate"/>
      </w:r>
      <w:r>
        <w:t>102</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_Toc200719635 \h </w:instrText>
      </w:r>
      <w:r>
        <w:fldChar w:fldCharType="separate"/>
      </w:r>
      <w:r>
        <w:t>102</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_Toc200719636 \h </w:instrText>
      </w:r>
      <w:r>
        <w:fldChar w:fldCharType="separate"/>
      </w:r>
      <w:r>
        <w:t>103</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_Toc200719637 \h </w:instrText>
      </w:r>
      <w:r>
        <w:fldChar w:fldCharType="separate"/>
      </w:r>
      <w:r>
        <w:t>105</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_Toc200719638 \h </w:instrText>
      </w:r>
      <w:r>
        <w:fldChar w:fldCharType="separate"/>
      </w:r>
      <w:r>
        <w:t>105</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_Toc200719639 \h </w:instrText>
      </w:r>
      <w:r>
        <w:fldChar w:fldCharType="separate"/>
      </w:r>
      <w:r>
        <w:t>106</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_Toc200719640 \h </w:instrText>
      </w:r>
      <w:r>
        <w:fldChar w:fldCharType="separate"/>
      </w:r>
      <w:r>
        <w:t>106</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_Toc200719641 \h </w:instrText>
      </w:r>
      <w:r>
        <w:fldChar w:fldCharType="separate"/>
      </w:r>
      <w:r>
        <w:t>107</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_Toc200719642 \h </w:instrText>
      </w:r>
      <w:r>
        <w:fldChar w:fldCharType="separate"/>
      </w:r>
      <w:r>
        <w:t>108</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_Toc200719643 \h </w:instrText>
      </w:r>
      <w:r>
        <w:fldChar w:fldCharType="separate"/>
      </w:r>
      <w:r>
        <w:t>109</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_Toc200719644 \h </w:instrText>
      </w:r>
      <w:r>
        <w:fldChar w:fldCharType="separate"/>
      </w:r>
      <w:r>
        <w:t>110</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_Toc200719645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77.</w:t>
      </w:r>
      <w:r>
        <w:tab/>
        <w:t>Confined space entry permit and risk assessment must be kept</w:t>
      </w:r>
      <w:r>
        <w:tab/>
      </w:r>
      <w:r>
        <w:fldChar w:fldCharType="begin"/>
      </w:r>
      <w:r>
        <w:instrText xml:space="preserve"> PAGEREF _Toc200719646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_Toc200719648 \h </w:instrText>
      </w:r>
      <w:r>
        <w:fldChar w:fldCharType="separate"/>
      </w:r>
      <w:r>
        <w:t>113</w:t>
      </w:r>
      <w:r>
        <w:fldChar w:fldCharType="end"/>
      </w:r>
    </w:p>
    <w:p>
      <w:pPr>
        <w:pStyle w:val="TOC8"/>
        <w:rPr>
          <w:rFonts w:asciiTheme="minorHAnsi" w:eastAsiaTheme="minorEastAsia" w:hAnsiTheme="minorHAnsi" w:cstheme="minorBidi"/>
          <w:szCs w:val="22"/>
        </w:rPr>
      </w:pPr>
      <w:r>
        <w:t>79.</w:t>
      </w:r>
      <w:r>
        <w:tab/>
        <w:t>Specific requirements to minimise risk of fall</w:t>
      </w:r>
      <w:r>
        <w:tab/>
      </w:r>
      <w:r>
        <w:fldChar w:fldCharType="begin"/>
      </w:r>
      <w:r>
        <w:instrText xml:space="preserve"> PAGEREF _Toc200719649 \h </w:instrText>
      </w:r>
      <w:r>
        <w:fldChar w:fldCharType="separate"/>
      </w:r>
      <w:r>
        <w:t>114</w:t>
      </w:r>
      <w:r>
        <w:fldChar w:fldCharType="end"/>
      </w:r>
    </w:p>
    <w:p>
      <w:pPr>
        <w:pStyle w:val="TOC8"/>
        <w:rPr>
          <w:rFonts w:asciiTheme="minorHAnsi" w:eastAsiaTheme="minorEastAsia" w:hAnsiTheme="minorHAnsi" w:cstheme="minorBidi"/>
          <w:szCs w:val="22"/>
        </w:rPr>
      </w:pPr>
      <w:r>
        <w:t>79A.</w:t>
      </w:r>
      <w:r>
        <w:tab/>
        <w:t>Duties of certain persons as to holes or openings in floors</w:t>
      </w:r>
      <w:r>
        <w:tab/>
      </w:r>
      <w:r>
        <w:fldChar w:fldCharType="begin"/>
      </w:r>
      <w:r>
        <w:instrText xml:space="preserve"> PAGEREF _Toc200719650 \h </w:instrText>
      </w:r>
      <w:r>
        <w:fldChar w:fldCharType="separate"/>
      </w:r>
      <w:r>
        <w:t>116</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_Toc200719651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_Toc200719655 \h </w:instrText>
      </w:r>
      <w:r>
        <w:fldChar w:fldCharType="separate"/>
      </w:r>
      <w:r>
        <w:t>119</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_Toc200719656 \h </w:instrText>
      </w:r>
      <w:r>
        <w:fldChar w:fldCharType="separate"/>
      </w:r>
      <w:r>
        <w:t>119</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_Toc200719657 \h </w:instrText>
      </w:r>
      <w:r>
        <w:fldChar w:fldCharType="separate"/>
      </w:r>
      <w:r>
        <w:t>121</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_Toc200719658 \h </w:instrText>
      </w:r>
      <w:r>
        <w:fldChar w:fldCharType="separate"/>
      </w:r>
      <w:r>
        <w:t>121</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_Toc200719659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Not used</w:t>
      </w:r>
      <w:r>
        <w:tab/>
      </w:r>
      <w:r>
        <w:fldChar w:fldCharType="begin"/>
      </w:r>
      <w:r>
        <w:instrText xml:space="preserve"> PAGEREF _Toc200719661 \h </w:instrText>
      </w:r>
      <w:r>
        <w:fldChar w:fldCharType="separate"/>
      </w:r>
      <w:r>
        <w:t>124</w:t>
      </w:r>
      <w:r>
        <w:fldChar w:fldCharType="end"/>
      </w:r>
    </w:p>
    <w:p>
      <w:pPr>
        <w:pStyle w:val="TOC8"/>
        <w:rPr>
          <w:rFonts w:asciiTheme="minorHAnsi" w:eastAsiaTheme="minorEastAsia" w:hAnsiTheme="minorHAnsi" w:cstheme="minorBidi"/>
          <w:szCs w:val="22"/>
        </w:rPr>
      </w:pPr>
      <w:r>
        <w:t>87.</w:t>
      </w:r>
      <w:r>
        <w:tab/>
        <w:t>Not used</w:t>
      </w:r>
      <w:r>
        <w:tab/>
      </w:r>
      <w:r>
        <w:fldChar w:fldCharType="begin"/>
      </w:r>
      <w:r>
        <w:instrText xml:space="preserve"> PAGEREF _Toc200719662 \h </w:instrText>
      </w:r>
      <w:r>
        <w:fldChar w:fldCharType="separate"/>
      </w:r>
      <w:r>
        <w:t>124</w:t>
      </w:r>
      <w:r>
        <w:fldChar w:fldCharType="end"/>
      </w:r>
    </w:p>
    <w:p>
      <w:pPr>
        <w:pStyle w:val="TOC8"/>
        <w:rPr>
          <w:rFonts w:asciiTheme="minorHAnsi" w:eastAsiaTheme="minorEastAsia" w:hAnsiTheme="minorHAnsi" w:cstheme="minorBidi"/>
          <w:szCs w:val="22"/>
        </w:rPr>
      </w:pPr>
      <w:r>
        <w:t>88.</w:t>
      </w:r>
      <w:r>
        <w:tab/>
        <w:t>Not used</w:t>
      </w:r>
      <w:r>
        <w:tab/>
      </w:r>
      <w:r>
        <w:fldChar w:fldCharType="begin"/>
      </w:r>
      <w:r>
        <w:instrText xml:space="preserve"> PAGEREF _Toc200719663 \h </w:instrText>
      </w:r>
      <w:r>
        <w:fldChar w:fldCharType="separate"/>
      </w:r>
      <w:r>
        <w:t>124</w:t>
      </w:r>
      <w:r>
        <w:fldChar w:fldCharType="end"/>
      </w:r>
    </w:p>
    <w:p>
      <w:pPr>
        <w:pStyle w:val="TOC8"/>
        <w:rPr>
          <w:rFonts w:asciiTheme="minorHAnsi" w:eastAsiaTheme="minorEastAsia" w:hAnsiTheme="minorHAnsi" w:cstheme="minorBidi"/>
          <w:szCs w:val="22"/>
        </w:rPr>
      </w:pPr>
      <w:r>
        <w:t>89.</w:t>
      </w:r>
      <w:r>
        <w:tab/>
        <w:t>Not used</w:t>
      </w:r>
      <w:r>
        <w:tab/>
      </w:r>
      <w:r>
        <w:fldChar w:fldCharType="begin"/>
      </w:r>
      <w:r>
        <w:instrText xml:space="preserve"> PAGEREF _Toc200719664 \h </w:instrText>
      </w:r>
      <w:r>
        <w:fldChar w:fldCharType="separate"/>
      </w:r>
      <w:r>
        <w:t>124</w:t>
      </w:r>
      <w:r>
        <w:fldChar w:fldCharType="end"/>
      </w:r>
    </w:p>
    <w:p>
      <w:pPr>
        <w:pStyle w:val="TOC8"/>
        <w:rPr>
          <w:rFonts w:asciiTheme="minorHAnsi" w:eastAsiaTheme="minorEastAsia" w:hAnsiTheme="minorHAnsi" w:cstheme="minorBidi"/>
          <w:szCs w:val="22"/>
        </w:rPr>
      </w:pPr>
      <w:r>
        <w:t>90.</w:t>
      </w:r>
      <w:r>
        <w:tab/>
        <w:t>Not used</w:t>
      </w:r>
      <w:r>
        <w:tab/>
      </w:r>
      <w:r>
        <w:fldChar w:fldCharType="begin"/>
      </w:r>
      <w:r>
        <w:instrText xml:space="preserve"> PAGEREF _Toc200719665 \h </w:instrText>
      </w:r>
      <w:r>
        <w:fldChar w:fldCharType="separate"/>
      </w:r>
      <w:r>
        <w:t>124</w:t>
      </w:r>
      <w:r>
        <w:fldChar w:fldCharType="end"/>
      </w:r>
    </w:p>
    <w:p>
      <w:pPr>
        <w:pStyle w:val="TOC8"/>
        <w:rPr>
          <w:rFonts w:asciiTheme="minorHAnsi" w:eastAsiaTheme="minorEastAsia" w:hAnsiTheme="minorHAnsi" w:cstheme="minorBidi"/>
          <w:szCs w:val="22"/>
        </w:rPr>
      </w:pPr>
      <w:r>
        <w:t>91.</w:t>
      </w:r>
      <w:r>
        <w:tab/>
        <w:t>Not used</w:t>
      </w:r>
      <w:r>
        <w:tab/>
      </w:r>
      <w:r>
        <w:fldChar w:fldCharType="begin"/>
      </w:r>
      <w:r>
        <w:instrText xml:space="preserve"> PAGEREF _Toc200719666 \h </w:instrText>
      </w:r>
      <w:r>
        <w:fldChar w:fldCharType="separate"/>
      </w:r>
      <w:r>
        <w:t>124</w:t>
      </w:r>
      <w:r>
        <w:fldChar w:fldCharType="end"/>
      </w:r>
    </w:p>
    <w:p>
      <w:pPr>
        <w:pStyle w:val="TOC8"/>
        <w:rPr>
          <w:rFonts w:asciiTheme="minorHAnsi" w:eastAsiaTheme="minorEastAsia" w:hAnsiTheme="minorHAnsi" w:cstheme="minorBidi"/>
          <w:szCs w:val="22"/>
        </w:rPr>
      </w:pPr>
      <w:r>
        <w:t>91A.</w:t>
      </w:r>
      <w:r>
        <w:tab/>
        <w:t>Not used</w:t>
      </w:r>
      <w:r>
        <w:tab/>
      </w:r>
      <w:r>
        <w:fldChar w:fldCharType="begin"/>
      </w:r>
      <w:r>
        <w:instrText xml:space="preserve"> PAGEREF _Toc200719667 \h </w:instrText>
      </w:r>
      <w:r>
        <w:fldChar w:fldCharType="separate"/>
      </w:r>
      <w:r>
        <w:t>124</w:t>
      </w:r>
      <w:r>
        <w:fldChar w:fldCharType="end"/>
      </w:r>
    </w:p>
    <w:p>
      <w:pPr>
        <w:pStyle w:val="TOC8"/>
        <w:rPr>
          <w:rFonts w:asciiTheme="minorHAnsi" w:eastAsiaTheme="minorEastAsia" w:hAnsiTheme="minorHAnsi" w:cstheme="minorBidi"/>
          <w:szCs w:val="22"/>
        </w:rPr>
      </w:pPr>
      <w:r>
        <w:t>92.</w:t>
      </w:r>
      <w:r>
        <w:tab/>
        <w:t>Not used</w:t>
      </w:r>
      <w:r>
        <w:tab/>
      </w:r>
      <w:r>
        <w:fldChar w:fldCharType="begin"/>
      </w:r>
      <w:r>
        <w:instrText xml:space="preserve"> PAGEREF _Toc200719668 \h </w:instrText>
      </w:r>
      <w:r>
        <w:fldChar w:fldCharType="separate"/>
      </w:r>
      <w:r>
        <w:t>124</w:t>
      </w:r>
      <w:r>
        <w:fldChar w:fldCharType="end"/>
      </w:r>
    </w:p>
    <w:p>
      <w:pPr>
        <w:pStyle w:val="TOC8"/>
        <w:rPr>
          <w:rFonts w:asciiTheme="minorHAnsi" w:eastAsiaTheme="minorEastAsia" w:hAnsiTheme="minorHAnsi" w:cstheme="minorBidi"/>
          <w:szCs w:val="22"/>
        </w:rPr>
      </w:pPr>
      <w:r>
        <w:t>93.</w:t>
      </w:r>
      <w:r>
        <w:tab/>
        <w:t>Not used</w:t>
      </w:r>
      <w:r>
        <w:tab/>
      </w:r>
      <w:r>
        <w:fldChar w:fldCharType="begin"/>
      </w:r>
      <w:r>
        <w:instrText xml:space="preserve"> PAGEREF _Toc200719669 \h </w:instrText>
      </w:r>
      <w:r>
        <w:fldChar w:fldCharType="separate"/>
      </w:r>
      <w:r>
        <w:t>124</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_Toc200719670 \h </w:instrText>
      </w:r>
      <w:r>
        <w:fldChar w:fldCharType="separate"/>
      </w:r>
      <w:r>
        <w:t>124</w:t>
      </w:r>
      <w:r>
        <w:fldChar w:fldCharType="end"/>
      </w:r>
    </w:p>
    <w:p>
      <w:pPr>
        <w:pStyle w:val="TOC8"/>
        <w:rPr>
          <w:rFonts w:asciiTheme="minorHAnsi" w:eastAsiaTheme="minorEastAsia" w:hAnsiTheme="minorHAnsi" w:cstheme="minorBidi"/>
          <w:szCs w:val="22"/>
        </w:rPr>
      </w:pPr>
      <w:r>
        <w:t>95.</w:t>
      </w:r>
      <w:r>
        <w:tab/>
        <w:t>Not used</w:t>
      </w:r>
      <w:r>
        <w:tab/>
      </w:r>
      <w:r>
        <w:fldChar w:fldCharType="begin"/>
      </w:r>
      <w:r>
        <w:instrText xml:space="preserve"> PAGEREF _Toc200719671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 used</w:t>
      </w:r>
    </w:p>
    <w:p>
      <w:pPr>
        <w:pStyle w:val="TOC8"/>
        <w:rPr>
          <w:rFonts w:asciiTheme="minorHAnsi" w:eastAsiaTheme="minorEastAsia" w:hAnsiTheme="minorHAnsi" w:cstheme="minorBidi"/>
          <w:szCs w:val="22"/>
        </w:rPr>
      </w:pPr>
      <w:r>
        <w:t>96.</w:t>
      </w:r>
      <w:r>
        <w:tab/>
        <w:t>Not used</w:t>
      </w:r>
      <w:r>
        <w:tab/>
      </w:r>
      <w:r>
        <w:fldChar w:fldCharType="begin"/>
      </w:r>
      <w:r>
        <w:instrText xml:space="preserve"> PAGEREF _Toc200719673 \h </w:instrText>
      </w:r>
      <w:r>
        <w:fldChar w:fldCharType="separate"/>
      </w:r>
      <w:r>
        <w:t>125</w:t>
      </w:r>
      <w:r>
        <w:fldChar w:fldCharType="end"/>
      </w:r>
    </w:p>
    <w:p>
      <w:pPr>
        <w:pStyle w:val="TOC8"/>
        <w:rPr>
          <w:rFonts w:asciiTheme="minorHAnsi" w:eastAsiaTheme="minorEastAsia" w:hAnsiTheme="minorHAnsi" w:cstheme="minorBidi"/>
          <w:szCs w:val="22"/>
        </w:rPr>
      </w:pPr>
      <w:r>
        <w:t>97.</w:t>
      </w:r>
      <w:r>
        <w:tab/>
        <w:t>Not used</w:t>
      </w:r>
      <w:r>
        <w:tab/>
      </w:r>
      <w:r>
        <w:fldChar w:fldCharType="begin"/>
      </w:r>
      <w:r>
        <w:instrText xml:space="preserve"> PAGEREF _Toc200719674 \h </w:instrText>
      </w:r>
      <w:r>
        <w:fldChar w:fldCharType="separate"/>
      </w:r>
      <w:r>
        <w:t>125</w:t>
      </w:r>
      <w:r>
        <w:fldChar w:fldCharType="end"/>
      </w:r>
    </w:p>
    <w:p>
      <w:pPr>
        <w:pStyle w:val="TOC8"/>
        <w:rPr>
          <w:rFonts w:asciiTheme="minorHAnsi" w:eastAsiaTheme="minorEastAsia" w:hAnsiTheme="minorHAnsi" w:cstheme="minorBidi"/>
          <w:szCs w:val="22"/>
        </w:rPr>
      </w:pPr>
      <w:r>
        <w:t>98.</w:t>
      </w:r>
      <w:r>
        <w:tab/>
        <w:t>Not used</w:t>
      </w:r>
      <w:r>
        <w:tab/>
      </w:r>
      <w:r>
        <w:fldChar w:fldCharType="begin"/>
      </w:r>
      <w:r>
        <w:instrText xml:space="preserve"> PAGEREF _Toc200719675 \h </w:instrText>
      </w:r>
      <w:r>
        <w:fldChar w:fldCharType="separate"/>
      </w:r>
      <w:r>
        <w:t>125</w:t>
      </w:r>
      <w:r>
        <w:fldChar w:fldCharType="end"/>
      </w:r>
    </w:p>
    <w:p>
      <w:pPr>
        <w:pStyle w:val="TOC8"/>
        <w:rPr>
          <w:rFonts w:asciiTheme="minorHAnsi" w:eastAsiaTheme="minorEastAsia" w:hAnsiTheme="minorHAnsi" w:cstheme="minorBidi"/>
          <w:szCs w:val="22"/>
        </w:rPr>
      </w:pPr>
      <w:r>
        <w:t>99.</w:t>
      </w:r>
      <w:r>
        <w:tab/>
        <w:t>Not used</w:t>
      </w:r>
      <w:r>
        <w:tab/>
      </w:r>
      <w:r>
        <w:fldChar w:fldCharType="begin"/>
      </w:r>
      <w:r>
        <w:instrText xml:space="preserve"> PAGEREF _Toc200719676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100.</w:t>
      </w:r>
      <w:r>
        <w:tab/>
        <w:t>Not used</w:t>
      </w:r>
      <w:r>
        <w:tab/>
      </w:r>
      <w:r>
        <w:fldChar w:fldCharType="begin"/>
      </w:r>
      <w:r>
        <w:instrText xml:space="preserve"> PAGEREF _Toc200719678 \h </w:instrText>
      </w:r>
      <w:r>
        <w:fldChar w:fldCharType="separate"/>
      </w:r>
      <w:r>
        <w:t>125</w:t>
      </w:r>
      <w:r>
        <w:fldChar w:fldCharType="end"/>
      </w:r>
    </w:p>
    <w:p>
      <w:pPr>
        <w:pStyle w:val="TOC8"/>
        <w:rPr>
          <w:rFonts w:asciiTheme="minorHAnsi" w:eastAsiaTheme="minorEastAsia" w:hAnsiTheme="minorHAnsi" w:cstheme="minorBidi"/>
          <w:szCs w:val="22"/>
        </w:rPr>
      </w:pPr>
      <w:r>
        <w:lastRenderedPageBreak/>
        <w:t>101.</w:t>
      </w:r>
      <w:r>
        <w:tab/>
        <w:t>Not used</w:t>
      </w:r>
      <w:r>
        <w:tab/>
      </w:r>
      <w:r>
        <w:fldChar w:fldCharType="begin"/>
      </w:r>
      <w:r>
        <w:instrText xml:space="preserve"> PAGEREF _Toc200719679 \h </w:instrText>
      </w:r>
      <w:r>
        <w:fldChar w:fldCharType="separate"/>
      </w:r>
      <w:r>
        <w:t>125</w:t>
      </w:r>
      <w:r>
        <w:fldChar w:fldCharType="end"/>
      </w:r>
    </w:p>
    <w:p>
      <w:pPr>
        <w:pStyle w:val="TOC8"/>
        <w:rPr>
          <w:rFonts w:asciiTheme="minorHAnsi" w:eastAsiaTheme="minorEastAsia" w:hAnsiTheme="minorHAnsi" w:cstheme="minorBidi"/>
          <w:szCs w:val="22"/>
        </w:rPr>
      </w:pPr>
      <w:r>
        <w:t>102.</w:t>
      </w:r>
      <w:r>
        <w:tab/>
        <w:t>Not used</w:t>
      </w:r>
      <w:r>
        <w:tab/>
      </w:r>
      <w:r>
        <w:fldChar w:fldCharType="begin"/>
      </w:r>
      <w:r>
        <w:instrText xml:space="preserve"> PAGEREF _Toc200719680 \h </w:instrText>
      </w:r>
      <w:r>
        <w:fldChar w:fldCharType="separate"/>
      </w:r>
      <w:r>
        <w:t>125</w:t>
      </w:r>
      <w:r>
        <w:fldChar w:fldCharType="end"/>
      </w:r>
    </w:p>
    <w:p>
      <w:pPr>
        <w:pStyle w:val="TOC8"/>
        <w:rPr>
          <w:rFonts w:asciiTheme="minorHAnsi" w:eastAsiaTheme="minorEastAsia" w:hAnsiTheme="minorHAnsi" w:cstheme="minorBidi"/>
          <w:szCs w:val="22"/>
        </w:rPr>
      </w:pPr>
      <w:r>
        <w:t>103.</w:t>
      </w:r>
      <w:r>
        <w:tab/>
        <w:t>Not used</w:t>
      </w:r>
      <w:r>
        <w:tab/>
      </w:r>
      <w:r>
        <w:fldChar w:fldCharType="begin"/>
      </w:r>
      <w:r>
        <w:instrText xml:space="preserve"> PAGEREF _Toc200719681 \h </w:instrText>
      </w:r>
      <w:r>
        <w:fldChar w:fldCharType="separate"/>
      </w:r>
      <w:r>
        <w:t>125</w:t>
      </w:r>
      <w:r>
        <w:fldChar w:fldCharType="end"/>
      </w:r>
    </w:p>
    <w:p>
      <w:pPr>
        <w:pStyle w:val="TOC8"/>
        <w:rPr>
          <w:rFonts w:asciiTheme="minorHAnsi" w:eastAsiaTheme="minorEastAsia" w:hAnsiTheme="minorHAnsi" w:cstheme="minorBidi"/>
          <w:szCs w:val="22"/>
        </w:rPr>
      </w:pPr>
      <w:r>
        <w:t>104.</w:t>
      </w:r>
      <w:r>
        <w:tab/>
        <w:t>Not used</w:t>
      </w:r>
      <w:r>
        <w:tab/>
      </w:r>
      <w:r>
        <w:fldChar w:fldCharType="begin"/>
      </w:r>
      <w:r>
        <w:instrText xml:space="preserve"> PAGEREF _Toc200719682 \h </w:instrText>
      </w:r>
      <w:r>
        <w:fldChar w:fldCharType="separate"/>
      </w:r>
      <w:r>
        <w:t>125</w:t>
      </w:r>
      <w:r>
        <w:fldChar w:fldCharType="end"/>
      </w:r>
    </w:p>
    <w:p>
      <w:pPr>
        <w:pStyle w:val="TOC8"/>
        <w:rPr>
          <w:rFonts w:asciiTheme="minorHAnsi" w:eastAsiaTheme="minorEastAsia" w:hAnsiTheme="minorHAnsi" w:cstheme="minorBidi"/>
          <w:szCs w:val="22"/>
        </w:rPr>
      </w:pPr>
      <w:r>
        <w:t>105.</w:t>
      </w:r>
      <w:r>
        <w:tab/>
        <w:t>Not used</w:t>
      </w:r>
      <w:r>
        <w:tab/>
      </w:r>
      <w:r>
        <w:fldChar w:fldCharType="begin"/>
      </w:r>
      <w:r>
        <w:instrText xml:space="preserve"> PAGEREF _Toc200719683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 used</w:t>
      </w:r>
    </w:p>
    <w:p>
      <w:pPr>
        <w:pStyle w:val="TOC8"/>
        <w:rPr>
          <w:rFonts w:asciiTheme="minorHAnsi" w:eastAsiaTheme="minorEastAsia" w:hAnsiTheme="minorHAnsi" w:cstheme="minorBidi"/>
          <w:szCs w:val="22"/>
        </w:rPr>
      </w:pPr>
      <w:r>
        <w:t>106.</w:t>
      </w:r>
      <w:r>
        <w:tab/>
        <w:t>Not used</w:t>
      </w:r>
      <w:r>
        <w:tab/>
      </w:r>
      <w:r>
        <w:fldChar w:fldCharType="begin"/>
      </w:r>
      <w:r>
        <w:instrText xml:space="preserve"> PAGEREF _Toc200719685 \h </w:instrText>
      </w:r>
      <w:r>
        <w:fldChar w:fldCharType="separate"/>
      </w:r>
      <w:r>
        <w:t>126</w:t>
      </w:r>
      <w:r>
        <w:fldChar w:fldCharType="end"/>
      </w:r>
    </w:p>
    <w:p>
      <w:pPr>
        <w:pStyle w:val="TOC8"/>
        <w:rPr>
          <w:rFonts w:asciiTheme="minorHAnsi" w:eastAsiaTheme="minorEastAsia" w:hAnsiTheme="minorHAnsi" w:cstheme="minorBidi"/>
          <w:szCs w:val="22"/>
        </w:rPr>
      </w:pPr>
      <w:r>
        <w:t>107.</w:t>
      </w:r>
      <w:r>
        <w:tab/>
        <w:t>Not used</w:t>
      </w:r>
      <w:r>
        <w:tab/>
      </w:r>
      <w:r>
        <w:fldChar w:fldCharType="begin"/>
      </w:r>
      <w:r>
        <w:instrText xml:space="preserve"> PAGEREF _Toc200719686 \h </w:instrText>
      </w:r>
      <w:r>
        <w:fldChar w:fldCharType="separate"/>
      </w:r>
      <w:r>
        <w:t>126</w:t>
      </w:r>
      <w:r>
        <w:fldChar w:fldCharType="end"/>
      </w:r>
    </w:p>
    <w:p>
      <w:pPr>
        <w:pStyle w:val="TOC8"/>
        <w:rPr>
          <w:rFonts w:asciiTheme="minorHAnsi" w:eastAsiaTheme="minorEastAsia" w:hAnsiTheme="minorHAnsi" w:cstheme="minorBidi"/>
          <w:szCs w:val="22"/>
        </w:rPr>
      </w:pPr>
      <w:r>
        <w:t>108.</w:t>
      </w:r>
      <w:r>
        <w:tab/>
        <w:t>Not used</w:t>
      </w:r>
      <w:r>
        <w:tab/>
      </w:r>
      <w:r>
        <w:fldChar w:fldCharType="begin"/>
      </w:r>
      <w:r>
        <w:instrText xml:space="preserve"> PAGEREF _Toc200719687 \h </w:instrText>
      </w:r>
      <w:r>
        <w:fldChar w:fldCharType="separate"/>
      </w:r>
      <w:r>
        <w:t>126</w:t>
      </w:r>
      <w:r>
        <w:fldChar w:fldCharType="end"/>
      </w:r>
    </w:p>
    <w:p>
      <w:pPr>
        <w:pStyle w:val="TOC8"/>
        <w:rPr>
          <w:rFonts w:asciiTheme="minorHAnsi" w:eastAsiaTheme="minorEastAsia" w:hAnsiTheme="minorHAnsi" w:cstheme="minorBidi"/>
          <w:szCs w:val="22"/>
        </w:rPr>
      </w:pPr>
      <w:r>
        <w:t>109.</w:t>
      </w:r>
      <w:r>
        <w:tab/>
        <w:t>Not used</w:t>
      </w:r>
      <w:r>
        <w:tab/>
      </w:r>
      <w:r>
        <w:fldChar w:fldCharType="begin"/>
      </w:r>
      <w:r>
        <w:instrText xml:space="preserve"> PAGEREF _Toc200719688 \h </w:instrText>
      </w:r>
      <w:r>
        <w:fldChar w:fldCharType="separate"/>
      </w:r>
      <w:r>
        <w:t>126</w:t>
      </w:r>
      <w:r>
        <w:fldChar w:fldCharType="end"/>
      </w:r>
    </w:p>
    <w:p>
      <w:pPr>
        <w:pStyle w:val="TOC8"/>
        <w:rPr>
          <w:rFonts w:asciiTheme="minorHAnsi" w:eastAsiaTheme="minorEastAsia" w:hAnsiTheme="minorHAnsi" w:cstheme="minorBidi"/>
          <w:szCs w:val="22"/>
        </w:rPr>
      </w:pPr>
      <w:r>
        <w:t>110.</w:t>
      </w:r>
      <w:r>
        <w:tab/>
        <w:t>Not used</w:t>
      </w:r>
      <w:r>
        <w:tab/>
      </w:r>
      <w:r>
        <w:fldChar w:fldCharType="begin"/>
      </w:r>
      <w:r>
        <w:instrText xml:space="preserve"> PAGEREF _Toc200719689 \h </w:instrText>
      </w:r>
      <w:r>
        <w:fldChar w:fldCharType="separate"/>
      </w:r>
      <w:r>
        <w:t>126</w:t>
      </w:r>
      <w:r>
        <w:fldChar w:fldCharType="end"/>
      </w:r>
    </w:p>
    <w:p>
      <w:pPr>
        <w:pStyle w:val="TOC8"/>
        <w:rPr>
          <w:rFonts w:asciiTheme="minorHAnsi" w:eastAsiaTheme="minorEastAsia" w:hAnsiTheme="minorHAnsi" w:cstheme="minorBidi"/>
          <w:szCs w:val="22"/>
        </w:rPr>
      </w:pPr>
      <w:r>
        <w:t>111.</w:t>
      </w:r>
      <w:r>
        <w:tab/>
        <w:t>Not used</w:t>
      </w:r>
      <w:r>
        <w:tab/>
      </w:r>
      <w:r>
        <w:fldChar w:fldCharType="begin"/>
      </w:r>
      <w:r>
        <w:instrText xml:space="preserve"> PAGEREF _Toc200719690 \h </w:instrText>
      </w:r>
      <w:r>
        <w:fldChar w:fldCharType="separate"/>
      </w:r>
      <w:r>
        <w:t>126</w:t>
      </w:r>
      <w:r>
        <w:fldChar w:fldCharType="end"/>
      </w:r>
    </w:p>
    <w:p>
      <w:pPr>
        <w:pStyle w:val="TOC8"/>
        <w:rPr>
          <w:rFonts w:asciiTheme="minorHAnsi" w:eastAsiaTheme="minorEastAsia" w:hAnsiTheme="minorHAnsi" w:cstheme="minorBidi"/>
          <w:szCs w:val="22"/>
        </w:rPr>
      </w:pPr>
      <w:r>
        <w:t>112.</w:t>
      </w:r>
      <w:r>
        <w:tab/>
        <w:t>Not used</w:t>
      </w:r>
      <w:r>
        <w:tab/>
      </w:r>
      <w:r>
        <w:fldChar w:fldCharType="begin"/>
      </w:r>
      <w:r>
        <w:instrText xml:space="preserve"> PAGEREF _Toc200719691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113.</w:t>
      </w:r>
      <w:r>
        <w:tab/>
        <w:t>Not used</w:t>
      </w:r>
      <w:r>
        <w:tab/>
      </w:r>
      <w:r>
        <w:fldChar w:fldCharType="begin"/>
      </w:r>
      <w:r>
        <w:instrText xml:space="preserve"> PAGEREF _Toc200719693 \h </w:instrText>
      </w:r>
      <w:r>
        <w:fldChar w:fldCharType="separate"/>
      </w:r>
      <w:r>
        <w:t>126</w:t>
      </w:r>
      <w:r>
        <w:fldChar w:fldCharType="end"/>
      </w:r>
    </w:p>
    <w:p>
      <w:pPr>
        <w:pStyle w:val="TOC8"/>
        <w:rPr>
          <w:rFonts w:asciiTheme="minorHAnsi" w:eastAsiaTheme="minorEastAsia" w:hAnsiTheme="minorHAnsi" w:cstheme="minorBidi"/>
          <w:szCs w:val="22"/>
        </w:rPr>
      </w:pPr>
      <w:r>
        <w:t>114.</w:t>
      </w:r>
      <w:r>
        <w:tab/>
        <w:t>Not used</w:t>
      </w:r>
      <w:r>
        <w:tab/>
      </w:r>
      <w:r>
        <w:fldChar w:fldCharType="begin"/>
      </w:r>
      <w:r>
        <w:instrText xml:space="preserve"> PAGEREF _Toc200719694 \h </w:instrText>
      </w:r>
      <w:r>
        <w:fldChar w:fldCharType="separate"/>
      </w:r>
      <w:r>
        <w:t>126</w:t>
      </w:r>
      <w:r>
        <w:fldChar w:fldCharType="end"/>
      </w:r>
    </w:p>
    <w:p>
      <w:pPr>
        <w:pStyle w:val="TOC8"/>
        <w:rPr>
          <w:rFonts w:asciiTheme="minorHAnsi" w:eastAsiaTheme="minorEastAsia" w:hAnsiTheme="minorHAnsi" w:cstheme="minorBidi"/>
          <w:szCs w:val="22"/>
        </w:rPr>
      </w:pPr>
      <w:r>
        <w:t>115.</w:t>
      </w:r>
      <w:r>
        <w:tab/>
        <w:t>Not used</w:t>
      </w:r>
      <w:r>
        <w:tab/>
      </w:r>
      <w:r>
        <w:fldChar w:fldCharType="begin"/>
      </w:r>
      <w:r>
        <w:instrText xml:space="preserve"> PAGEREF _Toc200719695 \h </w:instrText>
      </w:r>
      <w:r>
        <w:fldChar w:fldCharType="separate"/>
      </w:r>
      <w:r>
        <w:t>126</w:t>
      </w:r>
      <w:r>
        <w:fldChar w:fldCharType="end"/>
      </w:r>
    </w:p>
    <w:p>
      <w:pPr>
        <w:pStyle w:val="TOC8"/>
        <w:rPr>
          <w:rFonts w:asciiTheme="minorHAnsi" w:eastAsiaTheme="minorEastAsia" w:hAnsiTheme="minorHAnsi" w:cstheme="minorBidi"/>
          <w:szCs w:val="22"/>
        </w:rPr>
      </w:pPr>
      <w:r>
        <w:t>116.</w:t>
      </w:r>
      <w:r>
        <w:tab/>
        <w:t>Not used</w:t>
      </w:r>
      <w:r>
        <w:tab/>
      </w:r>
      <w:r>
        <w:fldChar w:fldCharType="begin"/>
      </w:r>
      <w:r>
        <w:instrText xml:space="preserve"> PAGEREF _Toc200719696 \h </w:instrText>
      </w:r>
      <w:r>
        <w:fldChar w:fldCharType="separate"/>
      </w:r>
      <w:r>
        <w:t>126</w:t>
      </w:r>
      <w:r>
        <w:fldChar w:fldCharType="end"/>
      </w:r>
    </w:p>
    <w:p>
      <w:pPr>
        <w:pStyle w:val="TOC8"/>
        <w:rPr>
          <w:rFonts w:asciiTheme="minorHAnsi" w:eastAsiaTheme="minorEastAsia" w:hAnsiTheme="minorHAnsi" w:cstheme="minorBidi"/>
          <w:szCs w:val="22"/>
        </w:rPr>
      </w:pPr>
      <w:r>
        <w:t>117.</w:t>
      </w:r>
      <w:r>
        <w:tab/>
        <w:t>Not used</w:t>
      </w:r>
      <w:r>
        <w:tab/>
      </w:r>
      <w:r>
        <w:fldChar w:fldCharType="begin"/>
      </w:r>
      <w:r>
        <w:instrText xml:space="preserve"> PAGEREF _Toc200719697 \h </w:instrText>
      </w:r>
      <w:r>
        <w:fldChar w:fldCharType="separate"/>
      </w:r>
      <w:r>
        <w:t>126</w:t>
      </w:r>
      <w:r>
        <w:fldChar w:fldCharType="end"/>
      </w:r>
    </w:p>
    <w:p>
      <w:pPr>
        <w:pStyle w:val="TOC8"/>
        <w:rPr>
          <w:rFonts w:asciiTheme="minorHAnsi" w:eastAsiaTheme="minorEastAsia" w:hAnsiTheme="minorHAnsi" w:cstheme="minorBidi"/>
          <w:szCs w:val="22"/>
        </w:rPr>
      </w:pPr>
      <w:r>
        <w:t>118.</w:t>
      </w:r>
      <w:r>
        <w:tab/>
        <w:t>Not used</w:t>
      </w:r>
      <w:r>
        <w:tab/>
      </w:r>
      <w:r>
        <w:fldChar w:fldCharType="begin"/>
      </w:r>
      <w:r>
        <w:instrText xml:space="preserve"> PAGEREF _Toc200719698 \h </w:instrText>
      </w:r>
      <w:r>
        <w:fldChar w:fldCharType="separate"/>
      </w:r>
      <w:r>
        <w:t>126</w:t>
      </w:r>
      <w:r>
        <w:fldChar w:fldCharType="end"/>
      </w:r>
    </w:p>
    <w:p>
      <w:pPr>
        <w:pStyle w:val="TOC8"/>
        <w:rPr>
          <w:rFonts w:asciiTheme="minorHAnsi" w:eastAsiaTheme="minorEastAsia" w:hAnsiTheme="minorHAnsi" w:cstheme="minorBidi"/>
          <w:szCs w:val="22"/>
        </w:rPr>
      </w:pPr>
      <w:r>
        <w:t>119.</w:t>
      </w:r>
      <w:r>
        <w:tab/>
        <w:t>Not used</w:t>
      </w:r>
      <w:r>
        <w:tab/>
      </w:r>
      <w:r>
        <w:fldChar w:fldCharType="begin"/>
      </w:r>
      <w:r>
        <w:instrText xml:space="preserve"> PAGEREF _Toc200719699 \h </w:instrText>
      </w:r>
      <w:r>
        <w:fldChar w:fldCharType="separate"/>
      </w:r>
      <w:r>
        <w:t>126</w:t>
      </w:r>
      <w:r>
        <w:fldChar w:fldCharType="end"/>
      </w:r>
    </w:p>
    <w:p>
      <w:pPr>
        <w:pStyle w:val="TOC8"/>
        <w:rPr>
          <w:rFonts w:asciiTheme="minorHAnsi" w:eastAsiaTheme="minorEastAsia" w:hAnsiTheme="minorHAnsi" w:cstheme="minorBidi"/>
          <w:szCs w:val="22"/>
        </w:rPr>
      </w:pPr>
      <w:r>
        <w:t>120.</w:t>
      </w:r>
      <w:r>
        <w:tab/>
        <w:t>Not used</w:t>
      </w:r>
      <w:r>
        <w:tab/>
      </w:r>
      <w:r>
        <w:fldChar w:fldCharType="begin"/>
      </w:r>
      <w:r>
        <w:instrText xml:space="preserve"> PAGEREF _Toc200719700 \h </w:instrText>
      </w:r>
      <w:r>
        <w:fldChar w:fldCharType="separate"/>
      </w:r>
      <w:r>
        <w:t>126</w:t>
      </w:r>
      <w:r>
        <w:fldChar w:fldCharType="end"/>
      </w:r>
    </w:p>
    <w:p>
      <w:pPr>
        <w:pStyle w:val="TOC8"/>
        <w:rPr>
          <w:rFonts w:asciiTheme="minorHAnsi" w:eastAsiaTheme="minorEastAsia" w:hAnsiTheme="minorHAnsi" w:cstheme="minorBidi"/>
          <w:szCs w:val="22"/>
        </w:rPr>
      </w:pPr>
      <w:r>
        <w:t>121.</w:t>
      </w:r>
      <w:r>
        <w:tab/>
        <w:t>Not used</w:t>
      </w:r>
      <w:r>
        <w:tab/>
      </w:r>
      <w:r>
        <w:fldChar w:fldCharType="begin"/>
      </w:r>
      <w:r>
        <w:instrText xml:space="preserve"> PAGEREF _Toc200719701 \h </w:instrText>
      </w:r>
      <w:r>
        <w:fldChar w:fldCharType="separate"/>
      </w:r>
      <w:r>
        <w:t>126</w:t>
      </w:r>
      <w:r>
        <w:fldChar w:fldCharType="end"/>
      </w:r>
    </w:p>
    <w:p>
      <w:pPr>
        <w:pStyle w:val="TOC8"/>
        <w:rPr>
          <w:rFonts w:asciiTheme="minorHAnsi" w:eastAsiaTheme="minorEastAsia" w:hAnsiTheme="minorHAnsi" w:cstheme="minorBidi"/>
          <w:szCs w:val="22"/>
        </w:rPr>
      </w:pPr>
      <w:r>
        <w:t>122.</w:t>
      </w:r>
      <w:r>
        <w:tab/>
        <w:t>Not used</w:t>
      </w:r>
      <w:r>
        <w:tab/>
      </w:r>
      <w:r>
        <w:fldChar w:fldCharType="begin"/>
      </w:r>
      <w:r>
        <w:instrText xml:space="preserve"> PAGEREF _Toc200719702 \h </w:instrText>
      </w:r>
      <w:r>
        <w:fldChar w:fldCharType="separate"/>
      </w:r>
      <w:r>
        <w:t>126</w:t>
      </w:r>
      <w:r>
        <w:fldChar w:fldCharType="end"/>
      </w:r>
    </w:p>
    <w:p>
      <w:pPr>
        <w:pStyle w:val="TOC8"/>
        <w:rPr>
          <w:rFonts w:asciiTheme="minorHAnsi" w:eastAsiaTheme="minorEastAsia" w:hAnsiTheme="minorHAnsi" w:cstheme="minorBidi"/>
          <w:szCs w:val="22"/>
        </w:rPr>
      </w:pPr>
      <w:r>
        <w:t>123.</w:t>
      </w:r>
      <w:r>
        <w:tab/>
        <w:t>Not used</w:t>
      </w:r>
      <w:r>
        <w:tab/>
      </w:r>
      <w:r>
        <w:fldChar w:fldCharType="begin"/>
      </w:r>
      <w:r>
        <w:instrText xml:space="preserve"> PAGEREF _Toc200719703 \h </w:instrText>
      </w:r>
      <w:r>
        <w:fldChar w:fldCharType="separate"/>
      </w:r>
      <w:r>
        <w:t>126</w:t>
      </w:r>
      <w:r>
        <w:fldChar w:fldCharType="end"/>
      </w:r>
    </w:p>
    <w:p>
      <w:pPr>
        <w:pStyle w:val="TOC8"/>
        <w:rPr>
          <w:rFonts w:asciiTheme="minorHAnsi" w:eastAsiaTheme="minorEastAsia" w:hAnsiTheme="minorHAnsi" w:cstheme="minorBidi"/>
          <w:szCs w:val="22"/>
        </w:rPr>
      </w:pPr>
      <w:r>
        <w:t>124.</w:t>
      </w:r>
      <w:r>
        <w:tab/>
        <w:t>Not used</w:t>
      </w:r>
      <w:r>
        <w:tab/>
      </w:r>
      <w:r>
        <w:fldChar w:fldCharType="begin"/>
      </w:r>
      <w:r>
        <w:instrText xml:space="preserve"> PAGEREF _Toc200719704 \h </w:instrText>
      </w:r>
      <w:r>
        <w:fldChar w:fldCharType="separate"/>
      </w:r>
      <w:r>
        <w:t>126</w:t>
      </w:r>
      <w:r>
        <w:fldChar w:fldCharType="end"/>
      </w:r>
    </w:p>
    <w:p>
      <w:pPr>
        <w:pStyle w:val="TOC8"/>
        <w:rPr>
          <w:rFonts w:asciiTheme="minorHAnsi" w:eastAsiaTheme="minorEastAsia" w:hAnsiTheme="minorHAnsi" w:cstheme="minorBidi"/>
          <w:szCs w:val="22"/>
        </w:rPr>
      </w:pPr>
      <w:r>
        <w:t>125.</w:t>
      </w:r>
      <w:r>
        <w:tab/>
        <w:t>Not used</w:t>
      </w:r>
      <w:r>
        <w:tab/>
      </w:r>
      <w:r>
        <w:fldChar w:fldCharType="begin"/>
      </w:r>
      <w:r>
        <w:instrText xml:space="preserve"> PAGEREF _Toc200719705 \h </w:instrText>
      </w:r>
      <w:r>
        <w:fldChar w:fldCharType="separate"/>
      </w:r>
      <w:r>
        <w:t>127</w:t>
      </w:r>
      <w:r>
        <w:fldChar w:fldCharType="end"/>
      </w:r>
    </w:p>
    <w:p>
      <w:pPr>
        <w:pStyle w:val="TOC8"/>
        <w:rPr>
          <w:rFonts w:asciiTheme="minorHAnsi" w:eastAsiaTheme="minorEastAsia" w:hAnsiTheme="minorHAnsi" w:cstheme="minorBidi"/>
          <w:szCs w:val="22"/>
        </w:rPr>
      </w:pPr>
      <w:r>
        <w:t>126.</w:t>
      </w:r>
      <w:r>
        <w:tab/>
        <w:t>Not used</w:t>
      </w:r>
      <w:r>
        <w:tab/>
      </w:r>
      <w:r>
        <w:fldChar w:fldCharType="begin"/>
      </w:r>
      <w:r>
        <w:instrText xml:space="preserve"> PAGEREF _Toc200719706 \h </w:instrText>
      </w:r>
      <w:r>
        <w:fldChar w:fldCharType="separate"/>
      </w:r>
      <w:r>
        <w:t>127</w:t>
      </w:r>
      <w:r>
        <w:fldChar w:fldCharType="end"/>
      </w:r>
    </w:p>
    <w:p>
      <w:pPr>
        <w:pStyle w:val="TOC8"/>
        <w:rPr>
          <w:rFonts w:asciiTheme="minorHAnsi" w:eastAsiaTheme="minorEastAsia" w:hAnsiTheme="minorHAnsi" w:cstheme="minorBidi"/>
          <w:szCs w:val="22"/>
        </w:rPr>
      </w:pPr>
      <w:r>
        <w:t>127.</w:t>
      </w:r>
      <w:r>
        <w:tab/>
        <w:t>Not used</w:t>
      </w:r>
      <w:r>
        <w:tab/>
      </w:r>
      <w:r>
        <w:fldChar w:fldCharType="begin"/>
      </w:r>
      <w:r>
        <w:instrText xml:space="preserve"> PAGEREF _Toc200719707 \h </w:instrText>
      </w:r>
      <w:r>
        <w:fldChar w:fldCharType="separate"/>
      </w:r>
      <w:r>
        <w:t>127</w:t>
      </w:r>
      <w:r>
        <w:fldChar w:fldCharType="end"/>
      </w:r>
    </w:p>
    <w:p>
      <w:pPr>
        <w:pStyle w:val="TOC8"/>
        <w:rPr>
          <w:rFonts w:asciiTheme="minorHAnsi" w:eastAsiaTheme="minorEastAsia" w:hAnsiTheme="minorHAnsi" w:cstheme="minorBidi"/>
          <w:szCs w:val="22"/>
        </w:rPr>
      </w:pPr>
      <w:r>
        <w:t>128.</w:t>
      </w:r>
      <w:r>
        <w:tab/>
        <w:t>Not used</w:t>
      </w:r>
      <w:r>
        <w:tab/>
      </w:r>
      <w:r>
        <w:fldChar w:fldCharType="begin"/>
      </w:r>
      <w:r>
        <w:instrText xml:space="preserve"> PAGEREF _Toc200719708 \h </w:instrText>
      </w:r>
      <w:r>
        <w:fldChar w:fldCharType="separate"/>
      </w:r>
      <w:r>
        <w:t>127</w:t>
      </w:r>
      <w:r>
        <w:fldChar w:fldCharType="end"/>
      </w:r>
    </w:p>
    <w:p>
      <w:pPr>
        <w:pStyle w:val="TOC8"/>
        <w:rPr>
          <w:rFonts w:asciiTheme="minorHAnsi" w:eastAsiaTheme="minorEastAsia" w:hAnsiTheme="minorHAnsi" w:cstheme="minorBidi"/>
          <w:szCs w:val="22"/>
        </w:rPr>
      </w:pPr>
      <w:r>
        <w:t>129.</w:t>
      </w:r>
      <w:r>
        <w:tab/>
        <w:t>Not used</w:t>
      </w:r>
      <w:r>
        <w:tab/>
      </w:r>
      <w:r>
        <w:fldChar w:fldCharType="begin"/>
      </w:r>
      <w:r>
        <w:instrText xml:space="preserve"> PAGEREF _Toc200719709 \h </w:instrText>
      </w:r>
      <w:r>
        <w:fldChar w:fldCharType="separate"/>
      </w:r>
      <w:r>
        <w:t>127</w:t>
      </w:r>
      <w:r>
        <w:fldChar w:fldCharType="end"/>
      </w:r>
    </w:p>
    <w:p>
      <w:pPr>
        <w:pStyle w:val="TOC8"/>
        <w:rPr>
          <w:rFonts w:asciiTheme="minorHAnsi" w:eastAsiaTheme="minorEastAsia" w:hAnsiTheme="minorHAnsi" w:cstheme="minorBidi"/>
          <w:szCs w:val="22"/>
        </w:rPr>
      </w:pPr>
      <w:r>
        <w:t>130.</w:t>
      </w:r>
      <w:r>
        <w:tab/>
        <w:t>Not used</w:t>
      </w:r>
      <w:r>
        <w:tab/>
      </w:r>
      <w:r>
        <w:fldChar w:fldCharType="begin"/>
      </w:r>
      <w:r>
        <w:instrText xml:space="preserve"> PAGEREF _Toc200719710 \h </w:instrText>
      </w:r>
      <w:r>
        <w:fldChar w:fldCharType="separate"/>
      </w:r>
      <w:r>
        <w:t>127</w:t>
      </w:r>
      <w:r>
        <w:fldChar w:fldCharType="end"/>
      </w:r>
    </w:p>
    <w:p>
      <w:pPr>
        <w:pStyle w:val="TOC8"/>
        <w:rPr>
          <w:rFonts w:asciiTheme="minorHAnsi" w:eastAsiaTheme="minorEastAsia" w:hAnsiTheme="minorHAnsi" w:cstheme="minorBidi"/>
          <w:szCs w:val="22"/>
        </w:rPr>
      </w:pPr>
      <w:r>
        <w:t>131.</w:t>
      </w:r>
      <w:r>
        <w:tab/>
        <w:t>Not used</w:t>
      </w:r>
      <w:r>
        <w:tab/>
      </w:r>
      <w:r>
        <w:fldChar w:fldCharType="begin"/>
      </w:r>
      <w:r>
        <w:instrText xml:space="preserve"> PAGEREF _Toc200719711 \h </w:instrText>
      </w:r>
      <w:r>
        <w:fldChar w:fldCharType="separate"/>
      </w:r>
      <w:r>
        <w:t>127</w:t>
      </w:r>
      <w:r>
        <w:fldChar w:fldCharType="end"/>
      </w:r>
    </w:p>
    <w:p>
      <w:pPr>
        <w:pStyle w:val="TOC8"/>
        <w:rPr>
          <w:rFonts w:asciiTheme="minorHAnsi" w:eastAsiaTheme="minorEastAsia" w:hAnsiTheme="minorHAnsi" w:cstheme="minorBidi"/>
          <w:szCs w:val="22"/>
        </w:rPr>
      </w:pPr>
      <w:r>
        <w:t>132.</w:t>
      </w:r>
      <w:r>
        <w:tab/>
        <w:t>Not used</w:t>
      </w:r>
      <w:r>
        <w:tab/>
      </w:r>
      <w:r>
        <w:fldChar w:fldCharType="begin"/>
      </w:r>
      <w:r>
        <w:instrText xml:space="preserve"> PAGEREF _Toc200719712 \h </w:instrText>
      </w:r>
      <w:r>
        <w:fldChar w:fldCharType="separate"/>
      </w:r>
      <w:r>
        <w:t>127</w:t>
      </w:r>
      <w:r>
        <w:fldChar w:fldCharType="end"/>
      </w:r>
    </w:p>
    <w:p>
      <w:pPr>
        <w:pStyle w:val="TOC8"/>
        <w:rPr>
          <w:rFonts w:asciiTheme="minorHAnsi" w:eastAsiaTheme="minorEastAsia" w:hAnsiTheme="minorHAnsi" w:cstheme="minorBidi"/>
          <w:szCs w:val="22"/>
        </w:rPr>
      </w:pPr>
      <w:r>
        <w:t>133.</w:t>
      </w:r>
      <w:r>
        <w:tab/>
        <w:t>Not used</w:t>
      </w:r>
      <w:r>
        <w:tab/>
      </w:r>
      <w:r>
        <w:fldChar w:fldCharType="begin"/>
      </w:r>
      <w:r>
        <w:instrText xml:space="preserve"> PAGEREF _Toc200719713 \h </w:instrText>
      </w:r>
      <w:r>
        <w:fldChar w:fldCharType="separate"/>
      </w:r>
      <w:r>
        <w:t>127</w:t>
      </w:r>
      <w:r>
        <w:fldChar w:fldCharType="end"/>
      </w:r>
    </w:p>
    <w:p>
      <w:pPr>
        <w:pStyle w:val="TOC8"/>
        <w:rPr>
          <w:rFonts w:asciiTheme="minorHAnsi" w:eastAsiaTheme="minorEastAsia" w:hAnsiTheme="minorHAnsi" w:cstheme="minorBidi"/>
          <w:szCs w:val="22"/>
        </w:rPr>
      </w:pPr>
      <w:r>
        <w:t>134.</w:t>
      </w:r>
      <w:r>
        <w:tab/>
        <w:t>Not used</w:t>
      </w:r>
      <w:r>
        <w:tab/>
      </w:r>
      <w:r>
        <w:fldChar w:fldCharType="begin"/>
      </w:r>
      <w:r>
        <w:instrText xml:space="preserve"> PAGEREF _Toc200719714 \h </w:instrText>
      </w:r>
      <w:r>
        <w:fldChar w:fldCharType="separate"/>
      </w:r>
      <w:r>
        <w:t>127</w:t>
      </w:r>
      <w:r>
        <w:fldChar w:fldCharType="end"/>
      </w:r>
    </w:p>
    <w:p>
      <w:pPr>
        <w:pStyle w:val="TOC8"/>
        <w:rPr>
          <w:rFonts w:asciiTheme="minorHAnsi" w:eastAsiaTheme="minorEastAsia" w:hAnsiTheme="minorHAnsi" w:cstheme="minorBidi"/>
          <w:szCs w:val="22"/>
        </w:rPr>
      </w:pPr>
      <w:r>
        <w:t>135.</w:t>
      </w:r>
      <w:r>
        <w:tab/>
        <w:t>Not used</w:t>
      </w:r>
      <w:r>
        <w:tab/>
      </w:r>
      <w:r>
        <w:fldChar w:fldCharType="begin"/>
      </w:r>
      <w:r>
        <w:instrText xml:space="preserve"> PAGEREF _Toc200719715 \h </w:instrText>
      </w:r>
      <w:r>
        <w:fldChar w:fldCharType="separate"/>
      </w:r>
      <w:r>
        <w:t>127</w:t>
      </w:r>
      <w:r>
        <w:fldChar w:fldCharType="end"/>
      </w:r>
    </w:p>
    <w:p>
      <w:pPr>
        <w:pStyle w:val="TOC8"/>
        <w:rPr>
          <w:rFonts w:asciiTheme="minorHAnsi" w:eastAsiaTheme="minorEastAsia" w:hAnsiTheme="minorHAnsi" w:cstheme="minorBidi"/>
          <w:szCs w:val="22"/>
        </w:rPr>
      </w:pPr>
      <w:r>
        <w:t>136.</w:t>
      </w:r>
      <w:r>
        <w:tab/>
        <w:t>Not used</w:t>
      </w:r>
      <w:r>
        <w:tab/>
      </w:r>
      <w:r>
        <w:fldChar w:fldCharType="begin"/>
      </w:r>
      <w:r>
        <w:instrText xml:space="preserve"> PAGEREF _Toc200719716 \h </w:instrText>
      </w:r>
      <w:r>
        <w:fldChar w:fldCharType="separate"/>
      </w:r>
      <w:r>
        <w:t>127</w:t>
      </w:r>
      <w:r>
        <w:fldChar w:fldCharType="end"/>
      </w:r>
    </w:p>
    <w:p>
      <w:pPr>
        <w:pStyle w:val="TOC8"/>
        <w:rPr>
          <w:rFonts w:asciiTheme="minorHAnsi" w:eastAsiaTheme="minorEastAsia" w:hAnsiTheme="minorHAnsi" w:cstheme="minorBidi"/>
          <w:szCs w:val="22"/>
        </w:rPr>
      </w:pPr>
      <w:r>
        <w:t>137.</w:t>
      </w:r>
      <w:r>
        <w:tab/>
        <w:t>Not used</w:t>
      </w:r>
      <w:r>
        <w:tab/>
      </w:r>
      <w:r>
        <w:fldChar w:fldCharType="begin"/>
      </w:r>
      <w:r>
        <w:instrText xml:space="preserve"> PAGEREF _Toc200719717 \h </w:instrText>
      </w:r>
      <w:r>
        <w:fldChar w:fldCharType="separate"/>
      </w:r>
      <w:r>
        <w:t>127</w:t>
      </w:r>
      <w:r>
        <w:fldChar w:fldCharType="end"/>
      </w:r>
    </w:p>
    <w:p>
      <w:pPr>
        <w:pStyle w:val="TOC8"/>
        <w:rPr>
          <w:rFonts w:asciiTheme="minorHAnsi" w:eastAsiaTheme="minorEastAsia" w:hAnsiTheme="minorHAnsi" w:cstheme="minorBidi"/>
          <w:szCs w:val="22"/>
        </w:rPr>
      </w:pPr>
      <w:r>
        <w:t>138.</w:t>
      </w:r>
      <w:r>
        <w:tab/>
        <w:t>Not used</w:t>
      </w:r>
      <w:r>
        <w:tab/>
      </w:r>
      <w:r>
        <w:fldChar w:fldCharType="begin"/>
      </w:r>
      <w:r>
        <w:instrText xml:space="preserve"> PAGEREF _Toc200719718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139.</w:t>
      </w:r>
      <w:r>
        <w:tab/>
        <w:t>Not used</w:t>
      </w:r>
      <w:r>
        <w:tab/>
      </w:r>
      <w:r>
        <w:fldChar w:fldCharType="begin"/>
      </w:r>
      <w:r>
        <w:instrText xml:space="preserve"> PAGEREF _Toc200719719 \h </w:instrText>
      </w:r>
      <w:r>
        <w:fldChar w:fldCharType="separate"/>
      </w:r>
      <w:r>
        <w:t>127</w:t>
      </w:r>
      <w:r>
        <w:fldChar w:fldCharType="end"/>
      </w:r>
    </w:p>
    <w:p>
      <w:pPr>
        <w:pStyle w:val="TOC8"/>
        <w:rPr>
          <w:rFonts w:asciiTheme="minorHAnsi" w:eastAsiaTheme="minorEastAsia" w:hAnsiTheme="minorHAnsi" w:cstheme="minorBidi"/>
          <w:szCs w:val="22"/>
        </w:rPr>
      </w:pPr>
      <w:r>
        <w:t>140.</w:t>
      </w:r>
      <w:r>
        <w:tab/>
        <w:t>Not used</w:t>
      </w:r>
      <w:r>
        <w:tab/>
      </w:r>
      <w:r>
        <w:fldChar w:fldCharType="begin"/>
      </w:r>
      <w:r>
        <w:instrText xml:space="preserve"> PAGEREF _Toc200719720 \h </w:instrText>
      </w:r>
      <w:r>
        <w:fldChar w:fldCharType="separate"/>
      </w:r>
      <w:r>
        <w:t>127</w:t>
      </w:r>
      <w:r>
        <w:fldChar w:fldCharType="end"/>
      </w:r>
    </w:p>
    <w:p>
      <w:pPr>
        <w:pStyle w:val="TOC8"/>
        <w:rPr>
          <w:rFonts w:asciiTheme="minorHAnsi" w:eastAsiaTheme="minorEastAsia" w:hAnsiTheme="minorHAnsi" w:cstheme="minorBidi"/>
          <w:szCs w:val="22"/>
        </w:rPr>
      </w:pPr>
      <w:r>
        <w:t>141.</w:t>
      </w:r>
      <w:r>
        <w:tab/>
        <w:t>Not used</w:t>
      </w:r>
      <w:r>
        <w:tab/>
      </w:r>
      <w:r>
        <w:fldChar w:fldCharType="begin"/>
      </w:r>
      <w:r>
        <w:instrText xml:space="preserve"> PAGEREF _Toc200719721 \h </w:instrText>
      </w:r>
      <w:r>
        <w:fldChar w:fldCharType="separate"/>
      </w:r>
      <w:r>
        <w:t>127</w:t>
      </w:r>
      <w:r>
        <w:fldChar w:fldCharType="end"/>
      </w:r>
    </w:p>
    <w:p>
      <w:pPr>
        <w:pStyle w:val="TOC8"/>
        <w:rPr>
          <w:rFonts w:asciiTheme="minorHAnsi" w:eastAsiaTheme="minorEastAsia" w:hAnsiTheme="minorHAnsi" w:cstheme="minorBidi"/>
          <w:szCs w:val="22"/>
        </w:rPr>
      </w:pPr>
      <w:r>
        <w:t>141A.</w:t>
      </w:r>
      <w:r>
        <w:tab/>
        <w:t>Not used</w:t>
      </w:r>
      <w:r>
        <w:tab/>
      </w:r>
      <w:r>
        <w:fldChar w:fldCharType="begin"/>
      </w:r>
      <w:r>
        <w:instrText xml:space="preserve"> PAGEREF _Toc200719722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_Toc200719725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_Toc200719727 \h </w:instrText>
      </w:r>
      <w:r>
        <w:fldChar w:fldCharType="separate"/>
      </w:r>
      <w:r>
        <w:t>128</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_Toc200719728 \h </w:instrText>
      </w:r>
      <w:r>
        <w:fldChar w:fldCharType="separate"/>
      </w:r>
      <w:r>
        <w:t>128</w:t>
      </w:r>
      <w:r>
        <w:fldChar w:fldCharType="end"/>
      </w:r>
    </w:p>
    <w:p>
      <w:pPr>
        <w:pStyle w:val="TOC8"/>
        <w:rPr>
          <w:rFonts w:asciiTheme="minorHAnsi" w:eastAsiaTheme="minorEastAsia" w:hAnsiTheme="minorHAnsi" w:cstheme="minorBidi"/>
          <w:szCs w:val="22"/>
        </w:rPr>
      </w:pPr>
      <w:r>
        <w:t>142C.</w:t>
      </w:r>
      <w:r>
        <w:tab/>
        <w:t>Requirement to hold demolition licence to carry out Class 2 demolition work</w:t>
      </w:r>
      <w:r>
        <w:tab/>
      </w:r>
      <w:r>
        <w:fldChar w:fldCharType="begin"/>
      </w:r>
      <w:r>
        <w:instrText xml:space="preserve"> PAGEREF _Toc200719729 \h </w:instrText>
      </w:r>
      <w:r>
        <w:fldChar w:fldCharType="separate"/>
      </w:r>
      <w:r>
        <w:t>130</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_Toc200719730 \h </w:instrText>
      </w:r>
      <w:r>
        <w:fldChar w:fldCharType="separate"/>
      </w:r>
      <w:r>
        <w:t>130</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_Toc200719731 \h </w:instrText>
      </w:r>
      <w:r>
        <w:fldChar w:fldCharType="separate"/>
      </w:r>
      <w:r>
        <w:t>131</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_Toc200719732 \h </w:instrText>
      </w:r>
      <w:r>
        <w:fldChar w:fldCharType="separate"/>
      </w:r>
      <w:r>
        <w:t>131</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_Toc200719733 \h </w:instrText>
      </w:r>
      <w:r>
        <w:fldChar w:fldCharType="separate"/>
      </w:r>
      <w:r>
        <w:t>132</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_Toc200719734 \h </w:instrText>
      </w:r>
      <w:r>
        <w:fldChar w:fldCharType="separate"/>
      </w:r>
      <w:r>
        <w:t>133</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_Toc200719735 \h </w:instrText>
      </w:r>
      <w:r>
        <w:fldChar w:fldCharType="separate"/>
      </w:r>
      <w:r>
        <w:t>134</w:t>
      </w:r>
      <w:r>
        <w:fldChar w:fldCharType="end"/>
      </w:r>
    </w:p>
    <w:p>
      <w:pPr>
        <w:pStyle w:val="TOC8"/>
        <w:rPr>
          <w:rFonts w:asciiTheme="minorHAnsi" w:eastAsiaTheme="minorEastAsia" w:hAnsiTheme="minorHAnsi" w:cstheme="minorBidi"/>
          <w:szCs w:val="22"/>
        </w:rPr>
      </w:pPr>
      <w:r>
        <w:t>142J.</w:t>
      </w:r>
      <w:r>
        <w:tab/>
        <w:t>Demolition work other than Class 1 or 2 demolition work to be in accordance with standard</w:t>
      </w:r>
      <w:r>
        <w:tab/>
      </w:r>
      <w:r>
        <w:fldChar w:fldCharType="begin"/>
      </w:r>
      <w:r>
        <w:instrText xml:space="preserve"> PAGEREF _Toc200719736 \h </w:instrText>
      </w:r>
      <w:r>
        <w:fldChar w:fldCharType="separate"/>
      </w:r>
      <w:r>
        <w:t>134</w:t>
      </w:r>
      <w:r>
        <w:fldChar w:fldCharType="end"/>
      </w:r>
    </w:p>
    <w:p>
      <w:pPr>
        <w:pStyle w:val="TOC8"/>
        <w:rPr>
          <w:rFonts w:asciiTheme="minorHAnsi" w:eastAsiaTheme="minorEastAsia" w:hAnsiTheme="minorHAnsi" w:cstheme="minorBidi"/>
          <w:szCs w:val="22"/>
        </w:rPr>
      </w:pPr>
      <w:r>
        <w:t>142K.</w:t>
      </w:r>
      <w:r>
        <w:tab/>
        <w:t>Class 1 or 2 demolition work to be in accordance with standard or approval</w:t>
      </w:r>
      <w:r>
        <w:tab/>
      </w:r>
      <w:r>
        <w:fldChar w:fldCharType="begin"/>
      </w:r>
      <w:r>
        <w:instrText xml:space="preserve"> PAGEREF _Toc200719737 \h </w:instrText>
      </w:r>
      <w:r>
        <w:fldChar w:fldCharType="separate"/>
      </w:r>
      <w:r>
        <w:t>135</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_Toc200719738 \h </w:instrText>
      </w:r>
      <w:r>
        <w:fldChar w:fldCharType="separate"/>
      </w:r>
      <w:r>
        <w:t>135</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_Toc200719739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_Toc200719742 \h </w:instrText>
      </w:r>
      <w:r>
        <w:fldChar w:fldCharType="separate"/>
      </w:r>
      <w:r>
        <w:t>138</w:t>
      </w:r>
      <w:r>
        <w:fldChar w:fldCharType="end"/>
      </w:r>
    </w:p>
    <w:p>
      <w:pPr>
        <w:pStyle w:val="TOC8"/>
        <w:rPr>
          <w:rFonts w:asciiTheme="minorHAnsi" w:eastAsiaTheme="minorEastAsia" w:hAnsiTheme="minorHAnsi" w:cstheme="minorBidi"/>
          <w:szCs w:val="22"/>
        </w:rPr>
      </w:pPr>
      <w:r>
        <w:t>142O.</w:t>
      </w:r>
      <w:r>
        <w:tab/>
        <w:t>Not used</w:t>
      </w:r>
      <w:r>
        <w:tab/>
      </w:r>
      <w:r>
        <w:fldChar w:fldCharType="begin"/>
      </w:r>
      <w:r>
        <w:instrText xml:space="preserve"> PAGEREF _Toc200719743 \h </w:instrText>
      </w:r>
      <w:r>
        <w:fldChar w:fldCharType="separate"/>
      </w:r>
      <w:r>
        <w:t>138</w:t>
      </w:r>
      <w:r>
        <w:fldChar w:fldCharType="end"/>
      </w:r>
    </w:p>
    <w:p>
      <w:pPr>
        <w:pStyle w:val="TOC8"/>
        <w:rPr>
          <w:rFonts w:asciiTheme="minorHAnsi" w:eastAsiaTheme="minorEastAsia" w:hAnsiTheme="minorHAnsi" w:cstheme="minorBidi"/>
          <w:szCs w:val="22"/>
        </w:rPr>
      </w:pPr>
      <w:r>
        <w:t>142P.</w:t>
      </w:r>
      <w:r>
        <w:tab/>
        <w:t>Not used</w:t>
      </w:r>
      <w:r>
        <w:tab/>
      </w:r>
      <w:r>
        <w:fldChar w:fldCharType="begin"/>
      </w:r>
      <w:r>
        <w:instrText xml:space="preserve"> PAGEREF _Toc200719744 \h </w:instrText>
      </w:r>
      <w:r>
        <w:fldChar w:fldCharType="separate"/>
      </w:r>
      <w:r>
        <w:t>138</w:t>
      </w:r>
      <w:r>
        <w:fldChar w:fldCharType="end"/>
      </w:r>
    </w:p>
    <w:p>
      <w:pPr>
        <w:pStyle w:val="TOC8"/>
        <w:rPr>
          <w:rFonts w:asciiTheme="minorHAnsi" w:eastAsiaTheme="minorEastAsia" w:hAnsiTheme="minorHAnsi" w:cstheme="minorBidi"/>
          <w:szCs w:val="22"/>
        </w:rPr>
      </w:pPr>
      <w:r>
        <w:t>142Q.</w:t>
      </w:r>
      <w:r>
        <w:tab/>
        <w:t>Not used</w:t>
      </w:r>
      <w:r>
        <w:tab/>
      </w:r>
      <w:r>
        <w:fldChar w:fldCharType="begin"/>
      </w:r>
      <w:r>
        <w:instrText xml:space="preserve"> PAGEREF _Toc200719745 \h </w:instrText>
      </w:r>
      <w:r>
        <w:fldChar w:fldCharType="separate"/>
      </w:r>
      <w:r>
        <w:t>138</w:t>
      </w:r>
      <w:r>
        <w:fldChar w:fldCharType="end"/>
      </w:r>
    </w:p>
    <w:p>
      <w:pPr>
        <w:pStyle w:val="TOC8"/>
        <w:rPr>
          <w:rFonts w:asciiTheme="minorHAnsi" w:eastAsiaTheme="minorEastAsia" w:hAnsiTheme="minorHAnsi" w:cstheme="minorBidi"/>
          <w:szCs w:val="22"/>
        </w:rPr>
      </w:pPr>
      <w:r>
        <w:t>142R.</w:t>
      </w:r>
      <w:r>
        <w:tab/>
        <w:t>Not used</w:t>
      </w:r>
      <w:r>
        <w:tab/>
      </w:r>
      <w:r>
        <w:fldChar w:fldCharType="begin"/>
      </w:r>
      <w:r>
        <w:instrText xml:space="preserve"> PAGEREF _Toc200719746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142S.</w:t>
      </w:r>
      <w:r>
        <w:tab/>
        <w:t>Not used</w:t>
      </w:r>
      <w:r>
        <w:tab/>
      </w:r>
      <w:r>
        <w:fldChar w:fldCharType="begin"/>
      </w:r>
      <w:r>
        <w:instrText xml:space="preserve"> PAGEREF _Toc200719747 \h </w:instrText>
      </w:r>
      <w:r>
        <w:fldChar w:fldCharType="separate"/>
      </w:r>
      <w:r>
        <w:t>138</w:t>
      </w:r>
      <w:r>
        <w:fldChar w:fldCharType="end"/>
      </w:r>
    </w:p>
    <w:p>
      <w:pPr>
        <w:pStyle w:val="TOC8"/>
        <w:rPr>
          <w:rFonts w:asciiTheme="minorHAnsi" w:eastAsiaTheme="minorEastAsia" w:hAnsiTheme="minorHAnsi" w:cstheme="minorBidi"/>
          <w:szCs w:val="22"/>
        </w:rPr>
      </w:pPr>
      <w:r>
        <w:t>142T.</w:t>
      </w:r>
      <w:r>
        <w:tab/>
        <w:t>Not used</w:t>
      </w:r>
      <w:r>
        <w:tab/>
      </w:r>
      <w:r>
        <w:fldChar w:fldCharType="begin"/>
      </w:r>
      <w:r>
        <w:instrText xml:space="preserve"> PAGEREF _Toc200719748 \h </w:instrText>
      </w:r>
      <w:r>
        <w:fldChar w:fldCharType="separate"/>
      </w:r>
      <w:r>
        <w:t>138</w:t>
      </w:r>
      <w:r>
        <w:fldChar w:fldCharType="end"/>
      </w:r>
    </w:p>
    <w:p>
      <w:pPr>
        <w:pStyle w:val="TOC8"/>
        <w:rPr>
          <w:rFonts w:asciiTheme="minorHAnsi" w:eastAsiaTheme="minorEastAsia" w:hAnsiTheme="minorHAnsi" w:cstheme="minorBidi"/>
          <w:szCs w:val="22"/>
        </w:rPr>
      </w:pPr>
      <w:r>
        <w:t>142U.</w:t>
      </w:r>
      <w:r>
        <w:tab/>
        <w:t>Not used</w:t>
      </w:r>
      <w:r>
        <w:tab/>
      </w:r>
      <w:r>
        <w:fldChar w:fldCharType="begin"/>
      </w:r>
      <w:r>
        <w:instrText xml:space="preserve"> PAGEREF _Toc200719749 \h </w:instrText>
      </w:r>
      <w:r>
        <w:fldChar w:fldCharType="separate"/>
      </w:r>
      <w:r>
        <w:t>138</w:t>
      </w:r>
      <w:r>
        <w:fldChar w:fldCharType="end"/>
      </w:r>
    </w:p>
    <w:p>
      <w:pPr>
        <w:pStyle w:val="TOC8"/>
        <w:rPr>
          <w:rFonts w:asciiTheme="minorHAnsi" w:eastAsiaTheme="minorEastAsia" w:hAnsiTheme="minorHAnsi" w:cstheme="minorBidi"/>
          <w:szCs w:val="22"/>
        </w:rPr>
      </w:pPr>
      <w:r>
        <w:t>142V.</w:t>
      </w:r>
      <w:r>
        <w:tab/>
        <w:t>Not used</w:t>
      </w:r>
      <w:r>
        <w:tab/>
      </w:r>
      <w:r>
        <w:fldChar w:fldCharType="begin"/>
      </w:r>
      <w:r>
        <w:instrText xml:space="preserve"> PAGEREF _Toc200719750 \h </w:instrText>
      </w:r>
      <w:r>
        <w:fldChar w:fldCharType="separate"/>
      </w:r>
      <w:r>
        <w:t>138</w:t>
      </w:r>
      <w:r>
        <w:fldChar w:fldCharType="end"/>
      </w:r>
    </w:p>
    <w:p>
      <w:pPr>
        <w:pStyle w:val="TOC8"/>
        <w:rPr>
          <w:rFonts w:asciiTheme="minorHAnsi" w:eastAsiaTheme="minorEastAsia" w:hAnsiTheme="minorHAnsi" w:cstheme="minorBidi"/>
          <w:szCs w:val="22"/>
        </w:rPr>
      </w:pPr>
      <w:r>
        <w:t>142W.</w:t>
      </w:r>
      <w:r>
        <w:tab/>
        <w:t>Not used</w:t>
      </w:r>
      <w:r>
        <w:tab/>
      </w:r>
      <w:r>
        <w:fldChar w:fldCharType="begin"/>
      </w:r>
      <w:r>
        <w:instrText xml:space="preserve"> PAGEREF _Toc200719751 \h </w:instrText>
      </w:r>
      <w:r>
        <w:fldChar w:fldCharType="separate"/>
      </w:r>
      <w:r>
        <w:t>138</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_Toc200719752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143.</w:t>
      </w:r>
      <w:r>
        <w:tab/>
        <w:t>Not used</w:t>
      </w:r>
      <w:r>
        <w:tab/>
      </w:r>
      <w:r>
        <w:fldChar w:fldCharType="begin"/>
      </w:r>
      <w:r>
        <w:instrText xml:space="preserve"> PAGEREF _Toc200719754 \h </w:instrText>
      </w:r>
      <w:r>
        <w:fldChar w:fldCharType="separate"/>
      </w:r>
      <w:r>
        <w:t>139</w:t>
      </w:r>
      <w:r>
        <w:fldChar w:fldCharType="end"/>
      </w:r>
    </w:p>
    <w:p>
      <w:pPr>
        <w:pStyle w:val="TOC8"/>
        <w:rPr>
          <w:rFonts w:asciiTheme="minorHAnsi" w:eastAsiaTheme="minorEastAsia" w:hAnsiTheme="minorHAnsi" w:cstheme="minorBidi"/>
          <w:szCs w:val="22"/>
        </w:rPr>
      </w:pPr>
      <w:r>
        <w:t>143A.</w:t>
      </w:r>
      <w:r>
        <w:tab/>
        <w:t>Not used</w:t>
      </w:r>
      <w:r>
        <w:tab/>
      </w:r>
      <w:r>
        <w:fldChar w:fldCharType="begin"/>
      </w:r>
      <w:r>
        <w:instrText xml:space="preserve"> PAGEREF _Toc200719755 \h </w:instrText>
      </w:r>
      <w:r>
        <w:fldChar w:fldCharType="separate"/>
      </w:r>
      <w:r>
        <w:t>139</w:t>
      </w:r>
      <w:r>
        <w:fldChar w:fldCharType="end"/>
      </w:r>
    </w:p>
    <w:p>
      <w:pPr>
        <w:pStyle w:val="TOC8"/>
        <w:rPr>
          <w:rFonts w:asciiTheme="minorHAnsi" w:eastAsiaTheme="minorEastAsia" w:hAnsiTheme="minorHAnsi" w:cstheme="minorBidi"/>
          <w:szCs w:val="22"/>
        </w:rPr>
      </w:pPr>
      <w:r>
        <w:t>143B.</w:t>
      </w:r>
      <w:r>
        <w:tab/>
        <w:t>Not used</w:t>
      </w:r>
      <w:r>
        <w:tab/>
      </w:r>
      <w:r>
        <w:fldChar w:fldCharType="begin"/>
      </w:r>
      <w:r>
        <w:instrText xml:space="preserve"> PAGEREF _Toc200719756 \h </w:instrText>
      </w:r>
      <w:r>
        <w:fldChar w:fldCharType="separate"/>
      </w:r>
      <w:r>
        <w:t>139</w:t>
      </w:r>
      <w:r>
        <w:fldChar w:fldCharType="end"/>
      </w:r>
    </w:p>
    <w:p>
      <w:pPr>
        <w:pStyle w:val="TOC8"/>
        <w:rPr>
          <w:rFonts w:asciiTheme="minorHAnsi" w:eastAsiaTheme="minorEastAsia" w:hAnsiTheme="minorHAnsi" w:cstheme="minorBidi"/>
          <w:szCs w:val="22"/>
        </w:rPr>
      </w:pPr>
      <w:r>
        <w:t>143C.</w:t>
      </w:r>
      <w:r>
        <w:tab/>
        <w:t>Not used</w:t>
      </w:r>
      <w:r>
        <w:tab/>
      </w:r>
      <w:r>
        <w:fldChar w:fldCharType="begin"/>
      </w:r>
      <w:r>
        <w:instrText xml:space="preserve"> PAGEREF _Toc200719757 \h </w:instrText>
      </w:r>
      <w:r>
        <w:fldChar w:fldCharType="separate"/>
      </w:r>
      <w:r>
        <w:t>139</w:t>
      </w:r>
      <w:r>
        <w:fldChar w:fldCharType="end"/>
      </w:r>
    </w:p>
    <w:p>
      <w:pPr>
        <w:pStyle w:val="TOC8"/>
        <w:rPr>
          <w:rFonts w:asciiTheme="minorHAnsi" w:eastAsiaTheme="minorEastAsia" w:hAnsiTheme="minorHAnsi" w:cstheme="minorBidi"/>
          <w:szCs w:val="22"/>
        </w:rPr>
      </w:pPr>
      <w:r>
        <w:t>143D.</w:t>
      </w:r>
      <w:r>
        <w:tab/>
        <w:t>Not used</w:t>
      </w:r>
      <w:r>
        <w:tab/>
      </w:r>
      <w:r>
        <w:fldChar w:fldCharType="begin"/>
      </w:r>
      <w:r>
        <w:instrText xml:space="preserve"> PAGEREF _Toc200719758 \h </w:instrText>
      </w:r>
      <w:r>
        <w:fldChar w:fldCharType="separate"/>
      </w:r>
      <w:r>
        <w:t>139</w:t>
      </w:r>
      <w:r>
        <w:fldChar w:fldCharType="end"/>
      </w:r>
    </w:p>
    <w:p>
      <w:pPr>
        <w:pStyle w:val="TOC8"/>
        <w:rPr>
          <w:rFonts w:asciiTheme="minorHAnsi" w:eastAsiaTheme="minorEastAsia" w:hAnsiTheme="minorHAnsi" w:cstheme="minorBidi"/>
          <w:szCs w:val="22"/>
        </w:rPr>
      </w:pPr>
      <w:r>
        <w:t>143E.</w:t>
      </w:r>
      <w:r>
        <w:tab/>
        <w:t>Not used</w:t>
      </w:r>
      <w:r>
        <w:tab/>
      </w:r>
      <w:r>
        <w:fldChar w:fldCharType="begin"/>
      </w:r>
      <w:r>
        <w:instrText xml:space="preserve"> PAGEREF _Toc200719759 \h </w:instrText>
      </w:r>
      <w:r>
        <w:fldChar w:fldCharType="separate"/>
      </w:r>
      <w:r>
        <w:t>139</w:t>
      </w:r>
      <w:r>
        <w:fldChar w:fldCharType="end"/>
      </w:r>
    </w:p>
    <w:p>
      <w:pPr>
        <w:pStyle w:val="TOC8"/>
        <w:rPr>
          <w:rFonts w:asciiTheme="minorHAnsi" w:eastAsiaTheme="minorEastAsia" w:hAnsiTheme="minorHAnsi" w:cstheme="minorBidi"/>
          <w:szCs w:val="22"/>
        </w:rPr>
      </w:pPr>
      <w:r>
        <w:t>143F.</w:t>
      </w:r>
      <w:r>
        <w:tab/>
        <w:t>Not used</w:t>
      </w:r>
      <w:r>
        <w:tab/>
      </w:r>
      <w:r>
        <w:fldChar w:fldCharType="begin"/>
      </w:r>
      <w:r>
        <w:instrText xml:space="preserve"> PAGEREF _Toc200719760 \h </w:instrText>
      </w:r>
      <w:r>
        <w:fldChar w:fldCharType="separate"/>
      </w:r>
      <w:r>
        <w:t>139</w:t>
      </w:r>
      <w:r>
        <w:fldChar w:fldCharType="end"/>
      </w:r>
    </w:p>
    <w:p>
      <w:pPr>
        <w:pStyle w:val="TOC8"/>
        <w:rPr>
          <w:rFonts w:asciiTheme="minorHAnsi" w:eastAsiaTheme="minorEastAsia" w:hAnsiTheme="minorHAnsi" w:cstheme="minorBidi"/>
          <w:szCs w:val="22"/>
        </w:rPr>
      </w:pPr>
      <w:r>
        <w:t>143G.</w:t>
      </w:r>
      <w:r>
        <w:tab/>
        <w:t>Not used</w:t>
      </w:r>
      <w:r>
        <w:tab/>
      </w:r>
      <w:r>
        <w:fldChar w:fldCharType="begin"/>
      </w:r>
      <w:r>
        <w:instrText xml:space="preserve"> PAGEREF _Toc200719761 \h </w:instrText>
      </w:r>
      <w:r>
        <w:fldChar w:fldCharType="separate"/>
      </w:r>
      <w:r>
        <w:t>139</w:t>
      </w:r>
      <w:r>
        <w:fldChar w:fldCharType="end"/>
      </w:r>
    </w:p>
    <w:p>
      <w:pPr>
        <w:pStyle w:val="TOC8"/>
        <w:rPr>
          <w:rFonts w:asciiTheme="minorHAnsi" w:eastAsiaTheme="minorEastAsia" w:hAnsiTheme="minorHAnsi" w:cstheme="minorBidi"/>
          <w:szCs w:val="22"/>
        </w:rPr>
      </w:pPr>
      <w:r>
        <w:t>143H.</w:t>
      </w:r>
      <w:r>
        <w:tab/>
        <w:t>Not used</w:t>
      </w:r>
      <w:r>
        <w:tab/>
      </w:r>
      <w:r>
        <w:fldChar w:fldCharType="begin"/>
      </w:r>
      <w:r>
        <w:instrText xml:space="preserve"> PAGEREF _Toc200719762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143I.</w:t>
      </w:r>
      <w:r>
        <w:tab/>
        <w:t>Not used</w:t>
      </w:r>
      <w:r>
        <w:tab/>
      </w:r>
      <w:r>
        <w:fldChar w:fldCharType="begin"/>
      </w:r>
      <w:r>
        <w:instrText xml:space="preserve"> PAGEREF _Toc200719764 \h </w:instrText>
      </w:r>
      <w:r>
        <w:fldChar w:fldCharType="separate"/>
      </w:r>
      <w:r>
        <w:t>140</w:t>
      </w:r>
      <w:r>
        <w:fldChar w:fldCharType="end"/>
      </w:r>
    </w:p>
    <w:p>
      <w:pPr>
        <w:pStyle w:val="TOC8"/>
        <w:rPr>
          <w:rFonts w:asciiTheme="minorHAnsi" w:eastAsiaTheme="minorEastAsia" w:hAnsiTheme="minorHAnsi" w:cstheme="minorBidi"/>
          <w:szCs w:val="22"/>
        </w:rPr>
      </w:pPr>
      <w:r>
        <w:t>143J.</w:t>
      </w:r>
      <w:r>
        <w:tab/>
        <w:t>Not used</w:t>
      </w:r>
      <w:r>
        <w:tab/>
      </w:r>
      <w:r>
        <w:fldChar w:fldCharType="begin"/>
      </w:r>
      <w:r>
        <w:instrText xml:space="preserve"> PAGEREF _Toc200719765 \h </w:instrText>
      </w:r>
      <w:r>
        <w:fldChar w:fldCharType="separate"/>
      </w:r>
      <w:r>
        <w:t>140</w:t>
      </w:r>
      <w:r>
        <w:fldChar w:fldCharType="end"/>
      </w:r>
    </w:p>
    <w:p>
      <w:pPr>
        <w:pStyle w:val="TOC8"/>
        <w:rPr>
          <w:rFonts w:asciiTheme="minorHAnsi" w:eastAsiaTheme="minorEastAsia" w:hAnsiTheme="minorHAnsi" w:cstheme="minorBidi"/>
          <w:szCs w:val="22"/>
        </w:rPr>
      </w:pPr>
      <w:r>
        <w:t>143K.</w:t>
      </w:r>
      <w:r>
        <w:tab/>
        <w:t>Not used</w:t>
      </w:r>
      <w:r>
        <w:tab/>
      </w:r>
      <w:r>
        <w:fldChar w:fldCharType="begin"/>
      </w:r>
      <w:r>
        <w:instrText xml:space="preserve"> PAGEREF _Toc200719766 \h </w:instrText>
      </w:r>
      <w:r>
        <w:fldChar w:fldCharType="separate"/>
      </w:r>
      <w:r>
        <w:t>140</w:t>
      </w:r>
      <w:r>
        <w:fldChar w:fldCharType="end"/>
      </w:r>
    </w:p>
    <w:p>
      <w:pPr>
        <w:pStyle w:val="TOC8"/>
        <w:rPr>
          <w:rFonts w:asciiTheme="minorHAnsi" w:eastAsiaTheme="minorEastAsia" w:hAnsiTheme="minorHAnsi" w:cstheme="minorBidi"/>
          <w:szCs w:val="22"/>
        </w:rPr>
      </w:pPr>
      <w:r>
        <w:t>143L.</w:t>
      </w:r>
      <w:r>
        <w:tab/>
        <w:t>Not used</w:t>
      </w:r>
      <w:r>
        <w:tab/>
      </w:r>
      <w:r>
        <w:fldChar w:fldCharType="begin"/>
      </w:r>
      <w:r>
        <w:instrText xml:space="preserve"> PAGEREF _Toc200719767 \h </w:instrText>
      </w:r>
      <w:r>
        <w:fldChar w:fldCharType="separate"/>
      </w:r>
      <w:r>
        <w:t>140</w:t>
      </w:r>
      <w:r>
        <w:fldChar w:fldCharType="end"/>
      </w:r>
    </w:p>
    <w:p>
      <w:pPr>
        <w:pStyle w:val="TOC8"/>
        <w:rPr>
          <w:rFonts w:asciiTheme="minorHAnsi" w:eastAsiaTheme="minorEastAsia" w:hAnsiTheme="minorHAnsi" w:cstheme="minorBidi"/>
          <w:szCs w:val="22"/>
        </w:rPr>
      </w:pPr>
      <w:r>
        <w:t>143M.</w:t>
      </w:r>
      <w:r>
        <w:tab/>
        <w:t>Not used</w:t>
      </w:r>
      <w:r>
        <w:tab/>
      </w:r>
      <w:r>
        <w:fldChar w:fldCharType="begin"/>
      </w:r>
      <w:r>
        <w:instrText xml:space="preserve"> PAGEREF _Toc200719768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143N.</w:t>
      </w:r>
      <w:r>
        <w:tab/>
        <w:t>Not used</w:t>
      </w:r>
      <w:r>
        <w:tab/>
      </w:r>
      <w:r>
        <w:fldChar w:fldCharType="begin"/>
      </w:r>
      <w:r>
        <w:instrText xml:space="preserve"> PAGEREF _Toc200719770 \h </w:instrText>
      </w:r>
      <w:r>
        <w:fldChar w:fldCharType="separate"/>
      </w:r>
      <w:r>
        <w:t>140</w:t>
      </w:r>
      <w:r>
        <w:fldChar w:fldCharType="end"/>
      </w:r>
    </w:p>
    <w:p>
      <w:pPr>
        <w:pStyle w:val="TOC8"/>
        <w:rPr>
          <w:rFonts w:asciiTheme="minorHAnsi" w:eastAsiaTheme="minorEastAsia" w:hAnsiTheme="minorHAnsi" w:cstheme="minorBidi"/>
          <w:szCs w:val="22"/>
        </w:rPr>
      </w:pPr>
      <w:r>
        <w:t>143O.</w:t>
      </w:r>
      <w:r>
        <w:tab/>
        <w:t>Not used</w:t>
      </w:r>
      <w:r>
        <w:tab/>
      </w:r>
      <w:r>
        <w:fldChar w:fldCharType="begin"/>
      </w:r>
      <w:r>
        <w:instrText xml:space="preserve"> PAGEREF _Toc200719771 \h </w:instrText>
      </w:r>
      <w:r>
        <w:fldChar w:fldCharType="separate"/>
      </w:r>
      <w:r>
        <w:t>140</w:t>
      </w:r>
      <w:r>
        <w:fldChar w:fldCharType="end"/>
      </w:r>
    </w:p>
    <w:p>
      <w:pPr>
        <w:pStyle w:val="TOC8"/>
        <w:rPr>
          <w:rFonts w:asciiTheme="minorHAnsi" w:eastAsiaTheme="minorEastAsia" w:hAnsiTheme="minorHAnsi" w:cstheme="minorBidi"/>
          <w:szCs w:val="22"/>
        </w:rPr>
      </w:pPr>
      <w:r>
        <w:t>143P.</w:t>
      </w:r>
      <w:r>
        <w:tab/>
        <w:t>Not used</w:t>
      </w:r>
      <w:r>
        <w:tab/>
      </w:r>
      <w:r>
        <w:fldChar w:fldCharType="begin"/>
      </w:r>
      <w:r>
        <w:instrText xml:space="preserve"> PAGEREF _Toc200719772 \h </w:instrText>
      </w:r>
      <w:r>
        <w:fldChar w:fldCharType="separate"/>
      </w:r>
      <w:r>
        <w:t>140</w:t>
      </w:r>
      <w:r>
        <w:fldChar w:fldCharType="end"/>
      </w:r>
    </w:p>
    <w:p>
      <w:pPr>
        <w:pStyle w:val="TOC8"/>
        <w:rPr>
          <w:rFonts w:asciiTheme="minorHAnsi" w:eastAsiaTheme="minorEastAsia" w:hAnsiTheme="minorHAnsi" w:cstheme="minorBidi"/>
          <w:szCs w:val="22"/>
        </w:rPr>
      </w:pPr>
      <w:r>
        <w:t>143Q.</w:t>
      </w:r>
      <w:r>
        <w:tab/>
        <w:t>Not used</w:t>
      </w:r>
      <w:r>
        <w:tab/>
      </w:r>
      <w:r>
        <w:fldChar w:fldCharType="begin"/>
      </w:r>
      <w:r>
        <w:instrText xml:space="preserve"> PAGEREF _Toc200719773 \h </w:instrText>
      </w:r>
      <w:r>
        <w:fldChar w:fldCharType="separate"/>
      </w:r>
      <w:r>
        <w:t>140</w:t>
      </w:r>
      <w:r>
        <w:fldChar w:fldCharType="end"/>
      </w:r>
    </w:p>
    <w:p>
      <w:pPr>
        <w:pStyle w:val="TOC8"/>
        <w:rPr>
          <w:rFonts w:asciiTheme="minorHAnsi" w:eastAsiaTheme="minorEastAsia" w:hAnsiTheme="minorHAnsi" w:cstheme="minorBidi"/>
          <w:szCs w:val="22"/>
        </w:rPr>
      </w:pPr>
      <w:r>
        <w:t>143R.</w:t>
      </w:r>
      <w:r>
        <w:tab/>
        <w:t>Not used</w:t>
      </w:r>
      <w:r>
        <w:tab/>
      </w:r>
      <w:r>
        <w:fldChar w:fldCharType="begin"/>
      </w:r>
      <w:r>
        <w:instrText xml:space="preserve"> PAGEREF _Toc200719774 \h </w:instrText>
      </w:r>
      <w:r>
        <w:fldChar w:fldCharType="separate"/>
      </w:r>
      <w:r>
        <w:t>140</w:t>
      </w:r>
      <w:r>
        <w:fldChar w:fldCharType="end"/>
      </w:r>
    </w:p>
    <w:p>
      <w:pPr>
        <w:pStyle w:val="TOC8"/>
        <w:rPr>
          <w:rFonts w:asciiTheme="minorHAnsi" w:eastAsiaTheme="minorEastAsia" w:hAnsiTheme="minorHAnsi" w:cstheme="minorBidi"/>
          <w:szCs w:val="22"/>
        </w:rPr>
      </w:pPr>
      <w:r>
        <w:t>143S.</w:t>
      </w:r>
      <w:r>
        <w:tab/>
        <w:t>Not used</w:t>
      </w:r>
      <w:r>
        <w:tab/>
      </w:r>
      <w:r>
        <w:fldChar w:fldCharType="begin"/>
      </w:r>
      <w:r>
        <w:instrText xml:space="preserve"> PAGEREF _Toc200719775 \h </w:instrText>
      </w:r>
      <w:r>
        <w:fldChar w:fldCharType="separate"/>
      </w:r>
      <w:r>
        <w:t>140</w:t>
      </w:r>
      <w:r>
        <w:fldChar w:fldCharType="end"/>
      </w:r>
    </w:p>
    <w:p>
      <w:pPr>
        <w:pStyle w:val="TOC8"/>
        <w:rPr>
          <w:rFonts w:asciiTheme="minorHAnsi" w:eastAsiaTheme="minorEastAsia" w:hAnsiTheme="minorHAnsi" w:cstheme="minorBidi"/>
          <w:szCs w:val="22"/>
        </w:rPr>
      </w:pPr>
      <w:r>
        <w:t>143T.</w:t>
      </w:r>
      <w:r>
        <w:tab/>
        <w:t>Not used</w:t>
      </w:r>
      <w:r>
        <w:tab/>
      </w:r>
      <w:r>
        <w:fldChar w:fldCharType="begin"/>
      </w:r>
      <w:r>
        <w:instrText xml:space="preserve"> PAGEREF _Toc200719776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_Toc200719779 \h </w:instrText>
      </w:r>
      <w:r>
        <w:fldChar w:fldCharType="separate"/>
      </w:r>
      <w:r>
        <w:t>141</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_Toc200719780 \h </w:instrText>
      </w:r>
      <w:r>
        <w:fldChar w:fldCharType="separate"/>
      </w:r>
      <w:r>
        <w:t>141</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_Toc200719781 \h </w:instrText>
      </w:r>
      <w:r>
        <w:fldChar w:fldCharType="separate"/>
      </w:r>
      <w:r>
        <w:t>141</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_Toc200719782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_Toc200719784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_Toc200719786 \h </w:instrText>
      </w:r>
      <w:r>
        <w:fldChar w:fldCharType="separate"/>
      </w:r>
      <w:r>
        <w:t>142</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_Toc200719787 \h </w:instrText>
      </w:r>
      <w:r>
        <w:fldChar w:fldCharType="separate"/>
      </w:r>
      <w:r>
        <w:t>142</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_Toc200719788 \h </w:instrText>
      </w:r>
      <w:r>
        <w:fldChar w:fldCharType="separate"/>
      </w:r>
      <w:r>
        <w:t>143</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_Toc200719789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_Toc200719791 \h </w:instrText>
      </w:r>
      <w:r>
        <w:fldChar w:fldCharType="separate"/>
      </w:r>
      <w:r>
        <w:t>145</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_Toc200719792 \h </w:instrText>
      </w:r>
      <w:r>
        <w:fldChar w:fldCharType="separate"/>
      </w:r>
      <w:r>
        <w:t>146</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_Toc200719793 \h </w:instrText>
      </w:r>
      <w:r>
        <w:fldChar w:fldCharType="separate"/>
      </w:r>
      <w:r>
        <w:t>148</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_Toc200719794 \h </w:instrText>
      </w:r>
      <w:r>
        <w:fldChar w:fldCharType="separate"/>
      </w:r>
      <w:r>
        <w:t>148</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_Toc200719795 \h </w:instrText>
      </w:r>
      <w:r>
        <w:fldChar w:fldCharType="separate"/>
      </w:r>
      <w:r>
        <w:t>148</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_Toc200719796 \h </w:instrText>
      </w:r>
      <w:r>
        <w:fldChar w:fldCharType="separate"/>
      </w:r>
      <w:r>
        <w:t>148</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_Toc200719797 \h </w:instrText>
      </w:r>
      <w:r>
        <w:fldChar w:fldCharType="separate"/>
      </w:r>
      <w:r>
        <w:t>148</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_Toc200719798 \h </w:instrText>
      </w:r>
      <w:r>
        <w:fldChar w:fldCharType="separate"/>
      </w:r>
      <w:r>
        <w:t>148</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_Toc200719799 \h </w:instrText>
      </w:r>
      <w:r>
        <w:fldChar w:fldCharType="separate"/>
      </w:r>
      <w:r>
        <w:t>148</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_Toc200719800 \h </w:instrText>
      </w:r>
      <w:r>
        <w:fldChar w:fldCharType="separate"/>
      </w:r>
      <w:r>
        <w:t>148</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_Toc200719801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_Toc200719803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_Toc200719805 \h </w:instrText>
      </w:r>
      <w:r>
        <w:fldChar w:fldCharType="separate"/>
      </w:r>
      <w:r>
        <w:t>149</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_Toc200719806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_Toc200719808 \h </w:instrText>
      </w:r>
      <w:r>
        <w:fldChar w:fldCharType="separate"/>
      </w:r>
      <w:r>
        <w:t>151</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_Toc200719809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_Toc200719812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_Toc200719814 \h </w:instrText>
      </w:r>
      <w:r>
        <w:fldChar w:fldCharType="separate"/>
      </w:r>
      <w:r>
        <w:t>154</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_Toc200719815 \h </w:instrText>
      </w:r>
      <w:r>
        <w:fldChar w:fldCharType="separate"/>
      </w:r>
      <w:r>
        <w:t>154</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_Toc200719816 \h </w:instrText>
      </w:r>
      <w:r>
        <w:fldChar w:fldCharType="separate"/>
      </w:r>
      <w:r>
        <w:t>155</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_Toc200719817 \h </w:instrText>
      </w:r>
      <w:r>
        <w:fldChar w:fldCharType="separate"/>
      </w:r>
      <w:r>
        <w:t>155</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_Toc200719818 \h </w:instrText>
      </w:r>
      <w:r>
        <w:fldChar w:fldCharType="separate"/>
      </w:r>
      <w:r>
        <w:t>156</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_Toc200719819 \h </w:instrText>
      </w:r>
      <w:r>
        <w:fldChar w:fldCharType="separate"/>
      </w:r>
      <w:r>
        <w:t>157</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_Toc200719820 \h </w:instrText>
      </w:r>
      <w:r>
        <w:fldChar w:fldCharType="separate"/>
      </w:r>
      <w:r>
        <w:t>157</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_Toc200719821 \h </w:instrText>
      </w:r>
      <w:r>
        <w:fldChar w:fldCharType="separate"/>
      </w:r>
      <w:r>
        <w:t>158</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_Toc200719822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_Toc200719824 \h </w:instrText>
      </w:r>
      <w:r>
        <w:fldChar w:fldCharType="separate"/>
      </w:r>
      <w:r>
        <w:t>159</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_Toc200719825 \h </w:instrText>
      </w:r>
      <w:r>
        <w:fldChar w:fldCharType="separate"/>
      </w:r>
      <w:r>
        <w:t>160</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_Toc200719826 \h </w:instrText>
      </w:r>
      <w:r>
        <w:fldChar w:fldCharType="separate"/>
      </w:r>
      <w:r>
        <w:t>160</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_Toc200719827 \h </w:instrText>
      </w:r>
      <w:r>
        <w:fldChar w:fldCharType="separate"/>
      </w:r>
      <w:r>
        <w:t>161</w:t>
      </w:r>
      <w:r>
        <w:fldChar w:fldCharType="end"/>
      </w:r>
    </w:p>
    <w:p>
      <w:pPr>
        <w:pStyle w:val="TOC8"/>
        <w:rPr>
          <w:rFonts w:asciiTheme="minorHAnsi" w:eastAsiaTheme="minorEastAsia" w:hAnsiTheme="minorHAnsi" w:cstheme="minorBidi"/>
          <w:szCs w:val="22"/>
        </w:rPr>
      </w:pPr>
      <w:r>
        <w:t>180.</w:t>
      </w:r>
      <w:r>
        <w:tab/>
        <w:t>Additional control: dive safety log to be kept</w:t>
      </w:r>
      <w:r>
        <w:tab/>
      </w:r>
      <w:r>
        <w:fldChar w:fldCharType="begin"/>
      </w:r>
      <w:r>
        <w:instrText xml:space="preserve"> PAGEREF _Toc200719828 \h </w:instrText>
      </w:r>
      <w:r>
        <w:fldChar w:fldCharType="separate"/>
      </w:r>
      <w:r>
        <w:t>162</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_Toc200719829 \h </w:instrText>
      </w:r>
      <w:r>
        <w:fldChar w:fldCharType="separate"/>
      </w:r>
      <w:r>
        <w:t>163</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_Toc200719830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_Toc200719832 \h </w:instrText>
      </w:r>
      <w:r>
        <w:fldChar w:fldCharType="separate"/>
      </w:r>
      <w:r>
        <w:t>165</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_Toc200719833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Part 4.9 — Use of power tools on engineered stone products</w:t>
      </w:r>
    </w:p>
    <w:p>
      <w:pPr>
        <w:pStyle w:val="TOC8"/>
        <w:rPr>
          <w:rFonts w:asciiTheme="minorHAnsi" w:eastAsiaTheme="minorEastAsia" w:hAnsiTheme="minorHAnsi" w:cstheme="minorBidi"/>
          <w:szCs w:val="22"/>
        </w:rPr>
      </w:pPr>
      <w:r>
        <w:t>184A.</w:t>
      </w:r>
      <w:r>
        <w:tab/>
        <w:t>Use of power tools on engineered stone products</w:t>
      </w:r>
      <w:r>
        <w:tab/>
      </w:r>
      <w:r>
        <w:fldChar w:fldCharType="begin"/>
      </w:r>
      <w:r>
        <w:instrText xml:space="preserve"> PAGEREF _Toc200719835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Part 4.10 — Not used</w:t>
      </w:r>
    </w:p>
    <w:p>
      <w:pPr>
        <w:pStyle w:val="TOC8"/>
        <w:rPr>
          <w:rFonts w:asciiTheme="minorHAnsi" w:eastAsiaTheme="minorEastAsia" w:hAnsiTheme="minorHAnsi" w:cstheme="minorBidi"/>
          <w:szCs w:val="22"/>
        </w:rPr>
      </w:pPr>
      <w:r>
        <w:t>184B.</w:t>
      </w:r>
      <w:r>
        <w:tab/>
        <w:t>Not used</w:t>
      </w:r>
      <w:r>
        <w:tab/>
      </w:r>
      <w:r>
        <w:fldChar w:fldCharType="begin"/>
      </w:r>
      <w:r>
        <w:instrText xml:space="preserve"> PAGEREF _Toc200719837 \h </w:instrText>
      </w:r>
      <w:r>
        <w:fldChar w:fldCharType="separate"/>
      </w:r>
      <w:r>
        <w:t>167</w:t>
      </w:r>
      <w:r>
        <w:fldChar w:fldCharType="end"/>
      </w:r>
    </w:p>
    <w:p>
      <w:pPr>
        <w:pStyle w:val="TOC8"/>
        <w:rPr>
          <w:rFonts w:asciiTheme="minorHAnsi" w:eastAsiaTheme="minorEastAsia" w:hAnsiTheme="minorHAnsi" w:cstheme="minorBidi"/>
          <w:szCs w:val="22"/>
        </w:rPr>
      </w:pPr>
      <w:r>
        <w:t>184C.</w:t>
      </w:r>
      <w:r>
        <w:tab/>
        <w:t>Not used</w:t>
      </w:r>
      <w:r>
        <w:tab/>
      </w:r>
      <w:r>
        <w:fldChar w:fldCharType="begin"/>
      </w:r>
      <w:r>
        <w:instrText xml:space="preserve"> PAGEREF _Toc200719838 \h </w:instrText>
      </w:r>
      <w:r>
        <w:fldChar w:fldCharType="separate"/>
      </w:r>
      <w:r>
        <w:t>167</w:t>
      </w:r>
      <w:r>
        <w:fldChar w:fldCharType="end"/>
      </w:r>
    </w:p>
    <w:p>
      <w:pPr>
        <w:pStyle w:val="TOC8"/>
        <w:rPr>
          <w:rFonts w:asciiTheme="minorHAnsi" w:eastAsiaTheme="minorEastAsia" w:hAnsiTheme="minorHAnsi" w:cstheme="minorBidi"/>
          <w:szCs w:val="22"/>
        </w:rPr>
      </w:pPr>
      <w:r>
        <w:t>184D.</w:t>
      </w:r>
      <w:r>
        <w:tab/>
        <w:t>Not used</w:t>
      </w:r>
      <w:r>
        <w:tab/>
      </w:r>
      <w:r>
        <w:fldChar w:fldCharType="begin"/>
      </w:r>
      <w:r>
        <w:instrText xml:space="preserve"> PAGEREF _Toc200719839 \h </w:instrText>
      </w:r>
      <w:r>
        <w:fldChar w:fldCharType="separate"/>
      </w:r>
      <w:r>
        <w:t>167</w:t>
      </w:r>
      <w:r>
        <w:fldChar w:fldCharType="end"/>
      </w:r>
    </w:p>
    <w:p>
      <w:pPr>
        <w:pStyle w:val="TOC8"/>
        <w:rPr>
          <w:rFonts w:asciiTheme="minorHAnsi" w:eastAsiaTheme="minorEastAsia" w:hAnsiTheme="minorHAnsi" w:cstheme="minorBidi"/>
          <w:szCs w:val="22"/>
        </w:rPr>
      </w:pPr>
      <w:r>
        <w:t>184E.</w:t>
      </w:r>
      <w:r>
        <w:tab/>
        <w:t>Not used</w:t>
      </w:r>
      <w:r>
        <w:tab/>
      </w:r>
      <w:r>
        <w:fldChar w:fldCharType="begin"/>
      </w:r>
      <w:r>
        <w:instrText xml:space="preserve"> PAGEREF _Toc200719840 \h </w:instrText>
      </w:r>
      <w:r>
        <w:fldChar w:fldCharType="separate"/>
      </w:r>
      <w:r>
        <w:t>168</w:t>
      </w:r>
      <w:r>
        <w:fldChar w:fldCharType="end"/>
      </w:r>
    </w:p>
    <w:p>
      <w:pPr>
        <w:pStyle w:val="TOC8"/>
        <w:rPr>
          <w:rFonts w:asciiTheme="minorHAnsi" w:eastAsiaTheme="minorEastAsia" w:hAnsiTheme="minorHAnsi" w:cstheme="minorBidi"/>
          <w:szCs w:val="22"/>
        </w:rPr>
      </w:pPr>
      <w:r>
        <w:t>184F.</w:t>
      </w:r>
      <w:r>
        <w:tab/>
        <w:t>Not used</w:t>
      </w:r>
      <w:r>
        <w:tab/>
      </w:r>
      <w:r>
        <w:fldChar w:fldCharType="begin"/>
      </w:r>
      <w:r>
        <w:instrText xml:space="preserve"> PAGEREF _Toc200719841 \h </w:instrText>
      </w:r>
      <w:r>
        <w:fldChar w:fldCharType="separate"/>
      </w:r>
      <w:r>
        <w:t>168</w:t>
      </w:r>
      <w:r>
        <w:fldChar w:fldCharType="end"/>
      </w:r>
    </w:p>
    <w:p>
      <w:pPr>
        <w:pStyle w:val="TOC8"/>
        <w:rPr>
          <w:rFonts w:asciiTheme="minorHAnsi" w:eastAsiaTheme="minorEastAsia" w:hAnsiTheme="minorHAnsi" w:cstheme="minorBidi"/>
          <w:szCs w:val="22"/>
        </w:rPr>
      </w:pPr>
      <w:r>
        <w:lastRenderedPageBreak/>
        <w:t>184G.</w:t>
      </w:r>
      <w:r>
        <w:tab/>
        <w:t>Not used</w:t>
      </w:r>
      <w:r>
        <w:tab/>
      </w:r>
      <w:r>
        <w:fldChar w:fldCharType="begin"/>
      </w:r>
      <w:r>
        <w:instrText xml:space="preserve"> PAGEREF _Toc200719842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_Toc200719846 \h </w:instrText>
      </w:r>
      <w:r>
        <w:fldChar w:fldCharType="separate"/>
      </w:r>
      <w:r>
        <w:t>169</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_Toc200719847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_Toc200719849 \h </w:instrText>
      </w:r>
      <w:r>
        <w:fldChar w:fldCharType="separate"/>
      </w:r>
      <w:r>
        <w:t>169</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_Toc200719850 \h </w:instrText>
      </w:r>
      <w:r>
        <w:fldChar w:fldCharType="separate"/>
      </w:r>
      <w:r>
        <w:t>170</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_Toc200719851 \h </w:instrText>
      </w:r>
      <w:r>
        <w:fldChar w:fldCharType="separate"/>
      </w:r>
      <w:r>
        <w:t>171</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_Toc200719852 \h </w:instrText>
      </w:r>
      <w:r>
        <w:fldChar w:fldCharType="separate"/>
      </w:r>
      <w:r>
        <w:t>173</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_Toc200719853 \h </w:instrText>
      </w:r>
      <w:r>
        <w:fldChar w:fldCharType="separate"/>
      </w:r>
      <w:r>
        <w:t>174</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_Toc200719854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_Toc200719856 \h </w:instrText>
      </w:r>
      <w:r>
        <w:fldChar w:fldCharType="separate"/>
      </w:r>
      <w:r>
        <w:t>175</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_Toc200719857 \h </w:instrText>
      </w:r>
      <w:r>
        <w:fldChar w:fldCharType="separate"/>
      </w:r>
      <w:r>
        <w:t>177</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_Toc200719858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_Toc200719860 \h </w:instrText>
      </w:r>
      <w:r>
        <w:fldChar w:fldCharType="separate"/>
      </w:r>
      <w:r>
        <w:t>178</w:t>
      </w:r>
      <w:r>
        <w:fldChar w:fldCharType="end"/>
      </w:r>
    </w:p>
    <w:p>
      <w:pPr>
        <w:pStyle w:val="TOC8"/>
        <w:rPr>
          <w:rFonts w:asciiTheme="minorHAnsi" w:eastAsiaTheme="minorEastAsia" w:hAnsiTheme="minorHAnsi" w:cstheme="minorBidi"/>
          <w:szCs w:val="22"/>
        </w:rPr>
      </w:pPr>
      <w:r>
        <w:t>197.</w:t>
      </w:r>
      <w:r>
        <w:tab/>
        <w:t>Control of risk</w:t>
      </w:r>
      <w:r>
        <w:tab/>
      </w:r>
      <w:r>
        <w:fldChar w:fldCharType="begin"/>
      </w:r>
      <w:r>
        <w:instrText xml:space="preserve"> PAGEREF _Toc200719861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_Toc200719863 \h </w:instrText>
      </w:r>
      <w:r>
        <w:fldChar w:fldCharType="separate"/>
      </w:r>
      <w:r>
        <w:t>180</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_Toc200719864 \h </w:instrText>
      </w:r>
      <w:r>
        <w:fldChar w:fldCharType="separate"/>
      </w:r>
      <w:r>
        <w:t>180</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_Toc200719865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_Toc200719867 \h </w:instrText>
      </w:r>
      <w:r>
        <w:fldChar w:fldCharType="separate"/>
      </w:r>
      <w:r>
        <w:t>181</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_Toc200719868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_Toc200719871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_Toc200719873 \h </w:instrText>
      </w:r>
      <w:r>
        <w:fldChar w:fldCharType="separate"/>
      </w:r>
      <w:r>
        <w:t>183</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_Toc200719874 \h </w:instrText>
      </w:r>
      <w:r>
        <w:fldChar w:fldCharType="separate"/>
      </w:r>
      <w:r>
        <w:t>184</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_Toc200719875 \h </w:instrText>
      </w:r>
      <w:r>
        <w:fldChar w:fldCharType="separate"/>
      </w:r>
      <w:r>
        <w:t>185</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_Toc200719876 \h </w:instrText>
      </w:r>
      <w:r>
        <w:fldChar w:fldCharType="separate"/>
      </w:r>
      <w:r>
        <w:t>186</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_Toc200719877 \h </w:instrText>
      </w:r>
      <w:r>
        <w:fldChar w:fldCharType="separate"/>
      </w:r>
      <w:r>
        <w:t>186</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_Toc200719878 \h </w:instrText>
      </w:r>
      <w:r>
        <w:fldChar w:fldCharType="separate"/>
      </w:r>
      <w:r>
        <w:t>188</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_Toc200719879 \h </w:instrText>
      </w:r>
      <w:r>
        <w:fldChar w:fldCharType="separate"/>
      </w:r>
      <w:r>
        <w:t>188</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_Toc200719880 \h </w:instrText>
      </w:r>
      <w:r>
        <w:fldChar w:fldCharType="separate"/>
      </w:r>
      <w:r>
        <w:t>190</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_Toc200719881 \h </w:instrText>
      </w:r>
      <w:r>
        <w:fldChar w:fldCharType="separate"/>
      </w:r>
      <w:r>
        <w:t>190</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_Toc200719882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_Toc200719884 \h </w:instrText>
      </w:r>
      <w:r>
        <w:fldChar w:fldCharType="separate"/>
      </w:r>
      <w:r>
        <w:t>192</w:t>
      </w:r>
      <w:r>
        <w:fldChar w:fldCharType="end"/>
      </w:r>
    </w:p>
    <w:p>
      <w:pPr>
        <w:pStyle w:val="TOC8"/>
        <w:rPr>
          <w:rFonts w:asciiTheme="minorHAnsi" w:eastAsiaTheme="minorEastAsia" w:hAnsiTheme="minorHAnsi" w:cstheme="minorBidi"/>
          <w:szCs w:val="22"/>
        </w:rPr>
      </w:pPr>
      <w:r>
        <w:t>215.</w:t>
      </w:r>
      <w:r>
        <w:tab/>
        <w:t>Powered mobile plant: specific control measures</w:t>
      </w:r>
      <w:r>
        <w:tab/>
      </w:r>
      <w:r>
        <w:fldChar w:fldCharType="begin"/>
      </w:r>
      <w:r>
        <w:instrText xml:space="preserve"> PAGEREF _Toc200719885 \h </w:instrText>
      </w:r>
      <w:r>
        <w:fldChar w:fldCharType="separate"/>
      </w:r>
      <w:r>
        <w:t>192</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_Toc200719886 \h </w:instrText>
      </w:r>
      <w:r>
        <w:fldChar w:fldCharType="separate"/>
      </w:r>
      <w:r>
        <w:t>193</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_Toc200719887 \h </w:instrText>
      </w:r>
      <w:r>
        <w:fldChar w:fldCharType="separate"/>
      </w:r>
      <w:r>
        <w:t>194</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_Toc200719888 \h </w:instrText>
      </w:r>
      <w:r>
        <w:fldChar w:fldCharType="separate"/>
      </w:r>
      <w:r>
        <w:t>194</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_Toc200719889 \h </w:instrText>
      </w:r>
      <w:r>
        <w:fldChar w:fldCharType="separate"/>
      </w:r>
      <w:r>
        <w:t>195</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_Toc200719890 \h </w:instrText>
      </w:r>
      <w:r>
        <w:fldChar w:fldCharType="separate"/>
      </w:r>
      <w:r>
        <w:t>197</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_Toc200719891 \h </w:instrText>
      </w:r>
      <w:r>
        <w:fldChar w:fldCharType="separate"/>
      </w:r>
      <w:r>
        <w:t>198</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_Toc200719892 \h </w:instrText>
      </w:r>
      <w:r>
        <w:fldChar w:fldCharType="separate"/>
      </w:r>
      <w:r>
        <w:t>199</w:t>
      </w:r>
      <w:r>
        <w:fldChar w:fldCharType="end"/>
      </w:r>
    </w:p>
    <w:p>
      <w:pPr>
        <w:pStyle w:val="TOC8"/>
        <w:rPr>
          <w:rFonts w:asciiTheme="minorHAnsi" w:eastAsiaTheme="minorEastAsia" w:hAnsiTheme="minorHAnsi" w:cstheme="minorBidi"/>
          <w:szCs w:val="22"/>
        </w:rPr>
      </w:pPr>
      <w:r>
        <w:lastRenderedPageBreak/>
        <w:t>223.</w:t>
      </w:r>
      <w:r>
        <w:tab/>
        <w:t>Lasers</w:t>
      </w:r>
      <w:r>
        <w:tab/>
      </w:r>
      <w:r>
        <w:fldChar w:fldCharType="begin"/>
      </w:r>
      <w:r>
        <w:instrText xml:space="preserve"> PAGEREF _Toc200719893 \h </w:instrText>
      </w:r>
      <w:r>
        <w:fldChar w:fldCharType="separate"/>
      </w:r>
      <w:r>
        <w:t>200</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_Toc200719894 \h </w:instrText>
      </w:r>
      <w:r>
        <w:fldChar w:fldCharType="separate"/>
      </w:r>
      <w:r>
        <w:t>201</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_Toc200719895 \h </w:instrText>
      </w:r>
      <w:r>
        <w:fldChar w:fldCharType="separate"/>
      </w:r>
      <w:r>
        <w:t>202</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_Toc200719896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_Toc200719899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_Toc200719901 \h </w:instrText>
      </w:r>
      <w:r>
        <w:fldChar w:fldCharType="separate"/>
      </w:r>
      <w:r>
        <w:t>206</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_Toc200719902 \h </w:instrText>
      </w:r>
      <w:r>
        <w:fldChar w:fldCharType="separate"/>
      </w:r>
      <w:r>
        <w:t>206</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_Toc200719903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_Toc200719905 \h </w:instrText>
      </w:r>
      <w:r>
        <w:fldChar w:fldCharType="separate"/>
      </w:r>
      <w:r>
        <w:t>208</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_Toc200719906 \h </w:instrText>
      </w:r>
      <w:r>
        <w:fldChar w:fldCharType="separate"/>
      </w:r>
      <w:r>
        <w:t>208</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_Toc200719907 \h </w:instrText>
      </w:r>
      <w:r>
        <w:fldChar w:fldCharType="separate"/>
      </w:r>
      <w:r>
        <w:t>208</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_Toc200719908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_Toc200719911 \h </w:instrText>
      </w:r>
      <w:r>
        <w:fldChar w:fldCharType="separate"/>
      </w:r>
      <w:r>
        <w:t>209</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_Toc200719912 \h </w:instrText>
      </w:r>
      <w:r>
        <w:fldChar w:fldCharType="separate"/>
      </w:r>
      <w:r>
        <w:t>211</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_Toc200719913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238.</w:t>
      </w:r>
      <w:r>
        <w:tab/>
        <w:t>Not used</w:t>
      </w:r>
      <w:r>
        <w:tab/>
      </w:r>
      <w:r>
        <w:fldChar w:fldCharType="begin"/>
      </w:r>
      <w:r>
        <w:instrText xml:space="preserve"> PAGEREF _Toc200719915 \h </w:instrText>
      </w:r>
      <w:r>
        <w:fldChar w:fldCharType="separate"/>
      </w:r>
      <w:r>
        <w:t>213</w:t>
      </w:r>
      <w:r>
        <w:fldChar w:fldCharType="end"/>
      </w:r>
    </w:p>
    <w:p>
      <w:pPr>
        <w:pStyle w:val="TOC8"/>
        <w:rPr>
          <w:rFonts w:asciiTheme="minorHAnsi" w:eastAsiaTheme="minorEastAsia" w:hAnsiTheme="minorHAnsi" w:cstheme="minorBidi"/>
          <w:szCs w:val="22"/>
        </w:rPr>
      </w:pPr>
      <w:r>
        <w:t>239.</w:t>
      </w:r>
      <w:r>
        <w:tab/>
        <w:t>Not used</w:t>
      </w:r>
      <w:r>
        <w:tab/>
      </w:r>
      <w:r>
        <w:fldChar w:fldCharType="begin"/>
      </w:r>
      <w:r>
        <w:instrText xml:space="preserve"> PAGEREF _Toc200719916 \h </w:instrText>
      </w:r>
      <w:r>
        <w:fldChar w:fldCharType="separate"/>
      </w:r>
      <w:r>
        <w:t>213</w:t>
      </w:r>
      <w:r>
        <w:fldChar w:fldCharType="end"/>
      </w:r>
    </w:p>
    <w:p>
      <w:pPr>
        <w:pStyle w:val="TOC8"/>
        <w:rPr>
          <w:rFonts w:asciiTheme="minorHAnsi" w:eastAsiaTheme="minorEastAsia" w:hAnsiTheme="minorHAnsi" w:cstheme="minorBidi"/>
          <w:szCs w:val="22"/>
        </w:rPr>
      </w:pPr>
      <w:r>
        <w:t>240.</w:t>
      </w:r>
      <w:r>
        <w:tab/>
        <w:t>Not used</w:t>
      </w:r>
      <w:r>
        <w:tab/>
      </w:r>
      <w:r>
        <w:fldChar w:fldCharType="begin"/>
      </w:r>
      <w:r>
        <w:instrText xml:space="preserve"> PAGEREF _Toc200719917 \h </w:instrText>
      </w:r>
      <w:r>
        <w:fldChar w:fldCharType="separate"/>
      </w:r>
      <w:r>
        <w:t>213</w:t>
      </w:r>
      <w:r>
        <w:fldChar w:fldCharType="end"/>
      </w:r>
    </w:p>
    <w:p>
      <w:pPr>
        <w:pStyle w:val="TOC8"/>
        <w:rPr>
          <w:rFonts w:asciiTheme="minorHAnsi" w:eastAsiaTheme="minorEastAsia" w:hAnsiTheme="minorHAnsi" w:cstheme="minorBidi"/>
          <w:szCs w:val="22"/>
        </w:rPr>
      </w:pPr>
      <w:r>
        <w:t>241.</w:t>
      </w:r>
      <w:r>
        <w:tab/>
        <w:t>Not used</w:t>
      </w:r>
      <w:r>
        <w:tab/>
      </w:r>
      <w:r>
        <w:fldChar w:fldCharType="begin"/>
      </w:r>
      <w:r>
        <w:instrText xml:space="preserve"> PAGEREF _Toc200719918 \h </w:instrText>
      </w:r>
      <w:r>
        <w:fldChar w:fldCharType="separate"/>
      </w:r>
      <w:r>
        <w:t>213</w:t>
      </w:r>
      <w:r>
        <w:fldChar w:fldCharType="end"/>
      </w:r>
    </w:p>
    <w:p>
      <w:pPr>
        <w:pStyle w:val="TOC8"/>
        <w:rPr>
          <w:rFonts w:asciiTheme="minorHAnsi" w:eastAsiaTheme="minorEastAsia" w:hAnsiTheme="minorHAnsi" w:cstheme="minorBidi"/>
          <w:szCs w:val="22"/>
        </w:rPr>
      </w:pPr>
      <w:r>
        <w:lastRenderedPageBreak/>
        <w:t>242.</w:t>
      </w:r>
      <w:r>
        <w:tab/>
        <w:t>Not used</w:t>
      </w:r>
      <w:r>
        <w:tab/>
      </w:r>
      <w:r>
        <w:fldChar w:fldCharType="begin"/>
      </w:r>
      <w:r>
        <w:instrText xml:space="preserve"> PAGEREF _Toc200719919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 xml:space="preserve">Plant design to be registered under </w:t>
      </w:r>
      <w:r>
        <w:rPr>
          <w:i/>
        </w:rPr>
        <w:t>Work Health and Safety (General) Regulations 2022</w:t>
      </w:r>
      <w:r>
        <w:t xml:space="preserve"> Part 5.3</w:t>
      </w:r>
      <w:r>
        <w:tab/>
      </w:r>
      <w:r>
        <w:fldChar w:fldCharType="begin"/>
      </w:r>
      <w:r>
        <w:instrText xml:space="preserve"> PAGEREF _Toc200719922 \h </w:instrText>
      </w:r>
      <w:r>
        <w:fldChar w:fldCharType="separate"/>
      </w:r>
      <w:r>
        <w:t>213</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_Toc200719923 \h </w:instrText>
      </w:r>
      <w:r>
        <w:fldChar w:fldCharType="separate"/>
      </w:r>
      <w:r>
        <w:t>214</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_Toc200719924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_Toc200719926 \h </w:instrText>
      </w:r>
      <w:r>
        <w:fldChar w:fldCharType="separate"/>
      </w:r>
      <w:r>
        <w:t>215</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_Toc200719927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_Toc200719929 \h </w:instrText>
      </w:r>
      <w:r>
        <w:fldChar w:fldCharType="separate"/>
      </w:r>
      <w:r>
        <w:t>215</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_Toc200719930 \h </w:instrText>
      </w:r>
      <w:r>
        <w:fldChar w:fldCharType="separate"/>
      </w:r>
      <w:r>
        <w:t>215</w:t>
      </w:r>
      <w:r>
        <w:fldChar w:fldCharType="end"/>
      </w:r>
    </w:p>
    <w:p>
      <w:pPr>
        <w:pStyle w:val="TOC8"/>
        <w:rPr>
          <w:rFonts w:asciiTheme="minorHAnsi" w:eastAsiaTheme="minorEastAsia" w:hAnsiTheme="minorHAnsi" w:cstheme="minorBidi"/>
          <w:szCs w:val="22"/>
        </w:rPr>
      </w:pPr>
      <w:r>
        <w:t>250.</w:t>
      </w:r>
      <w:r>
        <w:tab/>
        <w:t>Not used</w:t>
      </w:r>
      <w:r>
        <w:tab/>
      </w:r>
      <w:r>
        <w:fldChar w:fldCharType="begin"/>
      </w:r>
      <w:r>
        <w:instrText xml:space="preserve"> PAGEREF _Toc200719931 \h </w:instrText>
      </w:r>
      <w:r>
        <w:fldChar w:fldCharType="separate"/>
      </w:r>
      <w:r>
        <w:t>215</w:t>
      </w:r>
      <w:r>
        <w:fldChar w:fldCharType="end"/>
      </w:r>
    </w:p>
    <w:p>
      <w:pPr>
        <w:pStyle w:val="TOC8"/>
        <w:rPr>
          <w:rFonts w:asciiTheme="minorHAnsi" w:eastAsiaTheme="minorEastAsia" w:hAnsiTheme="minorHAnsi" w:cstheme="minorBidi"/>
          <w:szCs w:val="22"/>
        </w:rPr>
      </w:pPr>
      <w:r>
        <w:t>251.</w:t>
      </w:r>
      <w:r>
        <w:tab/>
        <w:t>Not used</w:t>
      </w:r>
      <w:r>
        <w:tab/>
      </w:r>
      <w:r>
        <w:fldChar w:fldCharType="begin"/>
      </w:r>
      <w:r>
        <w:instrText xml:space="preserve"> PAGEREF _Toc200719932 \h </w:instrText>
      </w:r>
      <w:r>
        <w:fldChar w:fldCharType="separate"/>
      </w:r>
      <w:r>
        <w:t>216</w:t>
      </w:r>
      <w:r>
        <w:fldChar w:fldCharType="end"/>
      </w:r>
    </w:p>
    <w:p>
      <w:pPr>
        <w:pStyle w:val="TOC8"/>
        <w:rPr>
          <w:rFonts w:asciiTheme="minorHAnsi" w:eastAsiaTheme="minorEastAsia" w:hAnsiTheme="minorHAnsi" w:cstheme="minorBidi"/>
          <w:szCs w:val="22"/>
        </w:rPr>
      </w:pPr>
      <w:r>
        <w:t>252.</w:t>
      </w:r>
      <w:r>
        <w:tab/>
        <w:t>Not used</w:t>
      </w:r>
      <w:r>
        <w:tab/>
      </w:r>
      <w:r>
        <w:fldChar w:fldCharType="begin"/>
      </w:r>
      <w:r>
        <w:instrText xml:space="preserve"> PAGEREF _Toc200719933 \h </w:instrText>
      </w:r>
      <w:r>
        <w:fldChar w:fldCharType="separate"/>
      </w:r>
      <w:r>
        <w:t>216</w:t>
      </w:r>
      <w:r>
        <w:fldChar w:fldCharType="end"/>
      </w:r>
    </w:p>
    <w:p>
      <w:pPr>
        <w:pStyle w:val="TOC8"/>
        <w:rPr>
          <w:rFonts w:asciiTheme="minorHAnsi" w:eastAsiaTheme="minorEastAsia" w:hAnsiTheme="minorHAnsi" w:cstheme="minorBidi"/>
          <w:szCs w:val="22"/>
        </w:rPr>
      </w:pPr>
      <w:r>
        <w:t>253.</w:t>
      </w:r>
      <w:r>
        <w:tab/>
        <w:t>Not used</w:t>
      </w:r>
      <w:r>
        <w:tab/>
      </w:r>
      <w:r>
        <w:fldChar w:fldCharType="begin"/>
      </w:r>
      <w:r>
        <w:instrText xml:space="preserve"> PAGEREF _Toc200719934 \h </w:instrText>
      </w:r>
      <w:r>
        <w:fldChar w:fldCharType="separate"/>
      </w:r>
      <w:r>
        <w:t>216</w:t>
      </w:r>
      <w:r>
        <w:fldChar w:fldCharType="end"/>
      </w:r>
    </w:p>
    <w:p>
      <w:pPr>
        <w:pStyle w:val="TOC8"/>
        <w:rPr>
          <w:rFonts w:asciiTheme="minorHAnsi" w:eastAsiaTheme="minorEastAsia" w:hAnsiTheme="minorHAnsi" w:cstheme="minorBidi"/>
          <w:szCs w:val="22"/>
        </w:rPr>
      </w:pPr>
      <w:r>
        <w:t>254.</w:t>
      </w:r>
      <w:r>
        <w:tab/>
        <w:t>Not used</w:t>
      </w:r>
      <w:r>
        <w:tab/>
      </w:r>
      <w:r>
        <w:fldChar w:fldCharType="begin"/>
      </w:r>
      <w:r>
        <w:instrText xml:space="preserve"> PAGEREF _Toc200719935 \h </w:instrText>
      </w:r>
      <w:r>
        <w:fldChar w:fldCharType="separate"/>
      </w:r>
      <w:r>
        <w:t>216</w:t>
      </w:r>
      <w:r>
        <w:fldChar w:fldCharType="end"/>
      </w:r>
    </w:p>
    <w:p>
      <w:pPr>
        <w:pStyle w:val="TOC8"/>
        <w:rPr>
          <w:rFonts w:asciiTheme="minorHAnsi" w:eastAsiaTheme="minorEastAsia" w:hAnsiTheme="minorHAnsi" w:cstheme="minorBidi"/>
          <w:szCs w:val="22"/>
        </w:rPr>
      </w:pPr>
      <w:r>
        <w:t>255.</w:t>
      </w:r>
      <w:r>
        <w:tab/>
        <w:t>Not used</w:t>
      </w:r>
      <w:r>
        <w:tab/>
      </w:r>
      <w:r>
        <w:fldChar w:fldCharType="begin"/>
      </w:r>
      <w:r>
        <w:instrText xml:space="preserve"> PAGEREF _Toc200719936 \h </w:instrText>
      </w:r>
      <w:r>
        <w:fldChar w:fldCharType="separate"/>
      </w:r>
      <w:r>
        <w:t>216</w:t>
      </w:r>
      <w:r>
        <w:fldChar w:fldCharType="end"/>
      </w:r>
    </w:p>
    <w:p>
      <w:pPr>
        <w:pStyle w:val="TOC8"/>
        <w:rPr>
          <w:rFonts w:asciiTheme="minorHAnsi" w:eastAsiaTheme="minorEastAsia" w:hAnsiTheme="minorHAnsi" w:cstheme="minorBidi"/>
          <w:szCs w:val="22"/>
        </w:rPr>
      </w:pPr>
      <w:r>
        <w:t>256.</w:t>
      </w:r>
      <w:r>
        <w:tab/>
        <w:t>Not used</w:t>
      </w:r>
      <w:r>
        <w:tab/>
      </w:r>
      <w:r>
        <w:fldChar w:fldCharType="begin"/>
      </w:r>
      <w:r>
        <w:instrText xml:space="preserve"> PAGEREF _Toc200719937 \h </w:instrText>
      </w:r>
      <w:r>
        <w:fldChar w:fldCharType="separate"/>
      </w:r>
      <w:r>
        <w:t>216</w:t>
      </w:r>
      <w:r>
        <w:fldChar w:fldCharType="end"/>
      </w:r>
    </w:p>
    <w:p>
      <w:pPr>
        <w:pStyle w:val="TOC8"/>
        <w:rPr>
          <w:rFonts w:asciiTheme="minorHAnsi" w:eastAsiaTheme="minorEastAsia" w:hAnsiTheme="minorHAnsi" w:cstheme="minorBidi"/>
          <w:szCs w:val="22"/>
        </w:rPr>
      </w:pPr>
      <w:r>
        <w:t>257.</w:t>
      </w:r>
      <w:r>
        <w:tab/>
        <w:t>Not used</w:t>
      </w:r>
      <w:r>
        <w:tab/>
      </w:r>
      <w:r>
        <w:fldChar w:fldCharType="begin"/>
      </w:r>
      <w:r>
        <w:instrText xml:space="preserve"> PAGEREF _Toc200719938 \h </w:instrText>
      </w:r>
      <w:r>
        <w:fldChar w:fldCharType="separate"/>
      </w:r>
      <w:r>
        <w:t>216</w:t>
      </w:r>
      <w:r>
        <w:fldChar w:fldCharType="end"/>
      </w:r>
    </w:p>
    <w:p>
      <w:pPr>
        <w:pStyle w:val="TOC8"/>
        <w:rPr>
          <w:rFonts w:asciiTheme="minorHAnsi" w:eastAsiaTheme="minorEastAsia" w:hAnsiTheme="minorHAnsi" w:cstheme="minorBidi"/>
          <w:szCs w:val="22"/>
        </w:rPr>
      </w:pPr>
      <w:r>
        <w:t>258.</w:t>
      </w:r>
      <w:r>
        <w:tab/>
        <w:t>Not used</w:t>
      </w:r>
      <w:r>
        <w:tab/>
      </w:r>
      <w:r>
        <w:fldChar w:fldCharType="begin"/>
      </w:r>
      <w:r>
        <w:instrText xml:space="preserve"> PAGEREF _Toc200719939 \h </w:instrText>
      </w:r>
      <w:r>
        <w:fldChar w:fldCharType="separate"/>
      </w:r>
      <w:r>
        <w:t>216</w:t>
      </w:r>
      <w:r>
        <w:fldChar w:fldCharType="end"/>
      </w:r>
    </w:p>
    <w:p>
      <w:pPr>
        <w:pStyle w:val="TOC8"/>
        <w:rPr>
          <w:rFonts w:asciiTheme="minorHAnsi" w:eastAsiaTheme="minorEastAsia" w:hAnsiTheme="minorHAnsi" w:cstheme="minorBidi"/>
          <w:szCs w:val="22"/>
        </w:rPr>
      </w:pPr>
      <w:r>
        <w:t>259.</w:t>
      </w:r>
      <w:r>
        <w:tab/>
        <w:t>Not used</w:t>
      </w:r>
      <w:r>
        <w:tab/>
      </w:r>
      <w:r>
        <w:fldChar w:fldCharType="begin"/>
      </w:r>
      <w:r>
        <w:instrText xml:space="preserve"> PAGEREF _Toc200719940 \h </w:instrText>
      </w:r>
      <w:r>
        <w:fldChar w:fldCharType="separate"/>
      </w:r>
      <w:r>
        <w:t>216</w:t>
      </w:r>
      <w:r>
        <w:fldChar w:fldCharType="end"/>
      </w:r>
    </w:p>
    <w:p>
      <w:pPr>
        <w:pStyle w:val="TOC8"/>
        <w:rPr>
          <w:rFonts w:asciiTheme="minorHAnsi" w:eastAsiaTheme="minorEastAsia" w:hAnsiTheme="minorHAnsi" w:cstheme="minorBidi"/>
          <w:szCs w:val="22"/>
        </w:rPr>
      </w:pPr>
      <w:r>
        <w:t>260.</w:t>
      </w:r>
      <w:r>
        <w:tab/>
        <w:t>Not used</w:t>
      </w:r>
      <w:r>
        <w:tab/>
      </w:r>
      <w:r>
        <w:fldChar w:fldCharType="begin"/>
      </w:r>
      <w:r>
        <w:instrText xml:space="preserve"> PAGEREF _Toc200719941 \h </w:instrText>
      </w:r>
      <w:r>
        <w:fldChar w:fldCharType="separate"/>
      </w:r>
      <w:r>
        <w:t>216</w:t>
      </w:r>
      <w:r>
        <w:fldChar w:fldCharType="end"/>
      </w:r>
    </w:p>
    <w:p>
      <w:pPr>
        <w:pStyle w:val="TOC8"/>
        <w:rPr>
          <w:rFonts w:asciiTheme="minorHAnsi" w:eastAsiaTheme="minorEastAsia" w:hAnsiTheme="minorHAnsi" w:cstheme="minorBidi"/>
          <w:szCs w:val="22"/>
        </w:rPr>
      </w:pPr>
      <w:r>
        <w:t>261.</w:t>
      </w:r>
      <w:r>
        <w:tab/>
        <w:t>Not used</w:t>
      </w:r>
      <w:r>
        <w:tab/>
      </w:r>
      <w:r>
        <w:fldChar w:fldCharType="begin"/>
      </w:r>
      <w:r>
        <w:instrText xml:space="preserve"> PAGEREF _Toc200719942 \h </w:instrText>
      </w:r>
      <w:r>
        <w:fldChar w:fldCharType="separate"/>
      </w:r>
      <w:r>
        <w:t>216</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_Toc200719943 \h </w:instrText>
      </w:r>
      <w:r>
        <w:fldChar w:fldCharType="separate"/>
      </w:r>
      <w:r>
        <w:t>216</w:t>
      </w:r>
      <w:r>
        <w:fldChar w:fldCharType="end"/>
      </w:r>
    </w:p>
    <w:p>
      <w:pPr>
        <w:pStyle w:val="TOC8"/>
        <w:rPr>
          <w:rFonts w:asciiTheme="minorHAnsi" w:eastAsiaTheme="minorEastAsia" w:hAnsiTheme="minorHAnsi" w:cstheme="minorBidi"/>
          <w:szCs w:val="22"/>
        </w:rPr>
      </w:pPr>
      <w:r>
        <w:t>263.</w:t>
      </w:r>
      <w:r>
        <w:tab/>
        <w:t>Not used</w:t>
      </w:r>
      <w:r>
        <w:tab/>
      </w:r>
      <w:r>
        <w:fldChar w:fldCharType="begin"/>
      </w:r>
      <w:r>
        <w:instrText xml:space="preserve"> PAGEREF _Toc200719944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_Toc200719946 \h </w:instrText>
      </w:r>
      <w:r>
        <w:fldChar w:fldCharType="separate"/>
      </w:r>
      <w:r>
        <w:t>217</w:t>
      </w:r>
      <w:r>
        <w:fldChar w:fldCharType="end"/>
      </w:r>
    </w:p>
    <w:p>
      <w:pPr>
        <w:pStyle w:val="TOC8"/>
        <w:rPr>
          <w:rFonts w:asciiTheme="minorHAnsi" w:eastAsiaTheme="minorEastAsia" w:hAnsiTheme="minorHAnsi" w:cstheme="minorBidi"/>
          <w:szCs w:val="22"/>
        </w:rPr>
      </w:pPr>
      <w:r>
        <w:t>265.</w:t>
      </w:r>
      <w:r>
        <w:tab/>
        <w:t>Not used</w:t>
      </w:r>
      <w:r>
        <w:tab/>
      </w:r>
      <w:r>
        <w:fldChar w:fldCharType="begin"/>
      </w:r>
      <w:r>
        <w:instrText xml:space="preserve"> PAGEREF _Toc200719947 \h </w:instrText>
      </w:r>
      <w:r>
        <w:fldChar w:fldCharType="separate"/>
      </w:r>
      <w:r>
        <w:t>217</w:t>
      </w:r>
      <w:r>
        <w:fldChar w:fldCharType="end"/>
      </w:r>
    </w:p>
    <w:p>
      <w:pPr>
        <w:pStyle w:val="TOC8"/>
        <w:rPr>
          <w:rFonts w:asciiTheme="minorHAnsi" w:eastAsiaTheme="minorEastAsia" w:hAnsiTheme="minorHAnsi" w:cstheme="minorBidi"/>
          <w:szCs w:val="22"/>
        </w:rPr>
      </w:pPr>
      <w:r>
        <w:t>266.</w:t>
      </w:r>
      <w:r>
        <w:tab/>
        <w:t>Not used</w:t>
      </w:r>
      <w:r>
        <w:tab/>
      </w:r>
      <w:r>
        <w:fldChar w:fldCharType="begin"/>
      </w:r>
      <w:r>
        <w:instrText xml:space="preserve"> PAGEREF _Toc200719948 \h </w:instrText>
      </w:r>
      <w:r>
        <w:fldChar w:fldCharType="separate"/>
      </w:r>
      <w:r>
        <w:t>217</w:t>
      </w:r>
      <w:r>
        <w:fldChar w:fldCharType="end"/>
      </w:r>
    </w:p>
    <w:p>
      <w:pPr>
        <w:pStyle w:val="TOC8"/>
        <w:rPr>
          <w:rFonts w:asciiTheme="minorHAnsi" w:eastAsiaTheme="minorEastAsia" w:hAnsiTheme="minorHAnsi" w:cstheme="minorBidi"/>
          <w:szCs w:val="22"/>
        </w:rPr>
      </w:pPr>
      <w:r>
        <w:t>267.</w:t>
      </w:r>
      <w:r>
        <w:tab/>
        <w:t>Not used</w:t>
      </w:r>
      <w:r>
        <w:tab/>
      </w:r>
      <w:r>
        <w:fldChar w:fldCharType="begin"/>
      </w:r>
      <w:r>
        <w:instrText xml:space="preserve"> PAGEREF _Toc200719949 \h </w:instrText>
      </w:r>
      <w:r>
        <w:fldChar w:fldCharType="separate"/>
      </w:r>
      <w:r>
        <w:t>217</w:t>
      </w:r>
      <w:r>
        <w:fldChar w:fldCharType="end"/>
      </w:r>
    </w:p>
    <w:p>
      <w:pPr>
        <w:pStyle w:val="TOC8"/>
        <w:rPr>
          <w:rFonts w:asciiTheme="minorHAnsi" w:eastAsiaTheme="minorEastAsia" w:hAnsiTheme="minorHAnsi" w:cstheme="minorBidi"/>
          <w:szCs w:val="22"/>
        </w:rPr>
      </w:pPr>
      <w:r>
        <w:t>268.</w:t>
      </w:r>
      <w:r>
        <w:tab/>
        <w:t>Not used</w:t>
      </w:r>
      <w:r>
        <w:tab/>
      </w:r>
      <w:r>
        <w:fldChar w:fldCharType="begin"/>
      </w:r>
      <w:r>
        <w:instrText xml:space="preserve"> PAGEREF _Toc200719950 \h </w:instrText>
      </w:r>
      <w:r>
        <w:fldChar w:fldCharType="separate"/>
      </w:r>
      <w:r>
        <w:t>217</w:t>
      </w:r>
      <w:r>
        <w:fldChar w:fldCharType="end"/>
      </w:r>
    </w:p>
    <w:p>
      <w:pPr>
        <w:pStyle w:val="TOC8"/>
        <w:rPr>
          <w:rFonts w:asciiTheme="minorHAnsi" w:eastAsiaTheme="minorEastAsia" w:hAnsiTheme="minorHAnsi" w:cstheme="minorBidi"/>
          <w:szCs w:val="22"/>
        </w:rPr>
      </w:pPr>
      <w:r>
        <w:t>269.</w:t>
      </w:r>
      <w:r>
        <w:tab/>
        <w:t>Not used</w:t>
      </w:r>
      <w:r>
        <w:tab/>
      </w:r>
      <w:r>
        <w:fldChar w:fldCharType="begin"/>
      </w:r>
      <w:r>
        <w:instrText xml:space="preserve"> PAGEREF _Toc200719951 \h </w:instrText>
      </w:r>
      <w:r>
        <w:fldChar w:fldCharType="separate"/>
      </w:r>
      <w:r>
        <w:t>217</w:t>
      </w:r>
      <w:r>
        <w:fldChar w:fldCharType="end"/>
      </w:r>
    </w:p>
    <w:p>
      <w:pPr>
        <w:pStyle w:val="TOC8"/>
        <w:rPr>
          <w:rFonts w:asciiTheme="minorHAnsi" w:eastAsiaTheme="minorEastAsia" w:hAnsiTheme="minorHAnsi" w:cstheme="minorBidi"/>
          <w:szCs w:val="22"/>
        </w:rPr>
      </w:pPr>
      <w:r>
        <w:t>270.</w:t>
      </w:r>
      <w:r>
        <w:tab/>
        <w:t>Not used</w:t>
      </w:r>
      <w:r>
        <w:tab/>
      </w:r>
      <w:r>
        <w:fldChar w:fldCharType="begin"/>
      </w:r>
      <w:r>
        <w:instrText xml:space="preserve"> PAGEREF _Toc200719952 \h </w:instrText>
      </w:r>
      <w:r>
        <w:fldChar w:fldCharType="separate"/>
      </w:r>
      <w:r>
        <w:t>217</w:t>
      </w:r>
      <w:r>
        <w:fldChar w:fldCharType="end"/>
      </w:r>
    </w:p>
    <w:p>
      <w:pPr>
        <w:pStyle w:val="TOC8"/>
        <w:rPr>
          <w:rFonts w:asciiTheme="minorHAnsi" w:eastAsiaTheme="minorEastAsia" w:hAnsiTheme="minorHAnsi" w:cstheme="minorBidi"/>
          <w:szCs w:val="22"/>
        </w:rPr>
      </w:pPr>
      <w:r>
        <w:lastRenderedPageBreak/>
        <w:t>271.</w:t>
      </w:r>
      <w:r>
        <w:tab/>
        <w:t>Not used</w:t>
      </w:r>
      <w:r>
        <w:tab/>
      </w:r>
      <w:r>
        <w:fldChar w:fldCharType="begin"/>
      </w:r>
      <w:r>
        <w:instrText xml:space="preserve"> PAGEREF _Toc200719953 \h </w:instrText>
      </w:r>
      <w:r>
        <w:fldChar w:fldCharType="separate"/>
      </w:r>
      <w:r>
        <w:t>217</w:t>
      </w:r>
      <w:r>
        <w:fldChar w:fldCharType="end"/>
      </w:r>
    </w:p>
    <w:p>
      <w:pPr>
        <w:pStyle w:val="TOC8"/>
        <w:rPr>
          <w:rFonts w:asciiTheme="minorHAnsi" w:eastAsiaTheme="minorEastAsia" w:hAnsiTheme="minorHAnsi" w:cstheme="minorBidi"/>
          <w:szCs w:val="22"/>
        </w:rPr>
      </w:pPr>
      <w:r>
        <w:t>272.</w:t>
      </w:r>
      <w:r>
        <w:tab/>
        <w:t>Not used</w:t>
      </w:r>
      <w:r>
        <w:tab/>
      </w:r>
      <w:r>
        <w:fldChar w:fldCharType="begin"/>
      </w:r>
      <w:r>
        <w:instrText xml:space="preserve"> PAGEREF _Toc200719954 \h </w:instrText>
      </w:r>
      <w:r>
        <w:fldChar w:fldCharType="separate"/>
      </w:r>
      <w:r>
        <w:t>217</w:t>
      </w:r>
      <w:r>
        <w:fldChar w:fldCharType="end"/>
      </w:r>
    </w:p>
    <w:p>
      <w:pPr>
        <w:pStyle w:val="TOC8"/>
        <w:rPr>
          <w:rFonts w:asciiTheme="minorHAnsi" w:eastAsiaTheme="minorEastAsia" w:hAnsiTheme="minorHAnsi" w:cstheme="minorBidi"/>
          <w:szCs w:val="22"/>
        </w:rPr>
      </w:pPr>
      <w:r>
        <w:t>273.</w:t>
      </w:r>
      <w:r>
        <w:tab/>
        <w:t>Not used</w:t>
      </w:r>
      <w:r>
        <w:tab/>
      </w:r>
      <w:r>
        <w:fldChar w:fldCharType="begin"/>
      </w:r>
      <w:r>
        <w:instrText xml:space="preserve"> PAGEREF _Toc200719955 \h </w:instrText>
      </w:r>
      <w:r>
        <w:fldChar w:fldCharType="separate"/>
      </w:r>
      <w:r>
        <w:t>217</w:t>
      </w:r>
      <w:r>
        <w:fldChar w:fldCharType="end"/>
      </w:r>
    </w:p>
    <w:p>
      <w:pPr>
        <w:pStyle w:val="TOC8"/>
        <w:rPr>
          <w:rFonts w:asciiTheme="minorHAnsi" w:eastAsiaTheme="minorEastAsia" w:hAnsiTheme="minorHAnsi" w:cstheme="minorBidi"/>
          <w:szCs w:val="22"/>
        </w:rPr>
      </w:pPr>
      <w:r>
        <w:t>274.</w:t>
      </w:r>
      <w:r>
        <w:tab/>
        <w:t>Not used</w:t>
      </w:r>
      <w:r>
        <w:tab/>
      </w:r>
      <w:r>
        <w:fldChar w:fldCharType="begin"/>
      </w:r>
      <w:r>
        <w:instrText xml:space="preserve"> PAGEREF _Toc200719956 \h </w:instrText>
      </w:r>
      <w:r>
        <w:fldChar w:fldCharType="separate"/>
      </w:r>
      <w:r>
        <w:t>217</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_Toc200719957 \h </w:instrText>
      </w:r>
      <w:r>
        <w:fldChar w:fldCharType="separate"/>
      </w:r>
      <w:r>
        <w:t>217</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_Toc200719958 \h </w:instrText>
      </w:r>
      <w:r>
        <w:fldChar w:fldCharType="separate"/>
      </w:r>
      <w:r>
        <w:t>218</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_Toc200719959 \h </w:instrText>
      </w:r>
      <w:r>
        <w:fldChar w:fldCharType="separate"/>
      </w:r>
      <w:r>
        <w:t>218</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_Toc200719960 \h </w:instrText>
      </w:r>
      <w:r>
        <w:fldChar w:fldCharType="separate"/>
      </w:r>
      <w:r>
        <w:t>218</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_Toc200719961 \h </w:instrText>
      </w:r>
      <w:r>
        <w:fldChar w:fldCharType="separate"/>
      </w:r>
      <w:r>
        <w:t>218</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_Toc200719962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5 — Not used</w:t>
      </w:r>
    </w:p>
    <w:p>
      <w:pPr>
        <w:pStyle w:val="TOC8"/>
        <w:rPr>
          <w:rFonts w:asciiTheme="minorHAnsi" w:eastAsiaTheme="minorEastAsia" w:hAnsiTheme="minorHAnsi" w:cstheme="minorBidi"/>
          <w:szCs w:val="22"/>
        </w:rPr>
      </w:pPr>
      <w:r>
        <w:t>281.</w:t>
      </w:r>
      <w:r>
        <w:tab/>
        <w:t>Not used</w:t>
      </w:r>
      <w:r>
        <w:tab/>
      </w:r>
      <w:r>
        <w:fldChar w:fldCharType="begin"/>
      </w:r>
      <w:r>
        <w:instrText xml:space="preserve"> PAGEREF _Toc200719964 \h </w:instrText>
      </w:r>
      <w:r>
        <w:fldChar w:fldCharType="separate"/>
      </w:r>
      <w:r>
        <w:t>218</w:t>
      </w:r>
      <w:r>
        <w:fldChar w:fldCharType="end"/>
      </w:r>
    </w:p>
    <w:p>
      <w:pPr>
        <w:pStyle w:val="TOC8"/>
        <w:rPr>
          <w:rFonts w:asciiTheme="minorHAnsi" w:eastAsiaTheme="minorEastAsia" w:hAnsiTheme="minorHAnsi" w:cstheme="minorBidi"/>
          <w:szCs w:val="22"/>
        </w:rPr>
      </w:pPr>
      <w:r>
        <w:t>282.</w:t>
      </w:r>
      <w:r>
        <w:tab/>
        <w:t>Not used</w:t>
      </w:r>
      <w:r>
        <w:tab/>
      </w:r>
      <w:r>
        <w:fldChar w:fldCharType="begin"/>
      </w:r>
      <w:r>
        <w:instrText xml:space="preserve"> PAGEREF _Toc200719965 \h </w:instrText>
      </w:r>
      <w:r>
        <w:fldChar w:fldCharType="separate"/>
      </w:r>
      <w:r>
        <w:t>218</w:t>
      </w:r>
      <w:r>
        <w:fldChar w:fldCharType="end"/>
      </w:r>
    </w:p>
    <w:p>
      <w:pPr>
        <w:pStyle w:val="TOC8"/>
        <w:rPr>
          <w:rFonts w:asciiTheme="minorHAnsi" w:eastAsiaTheme="minorEastAsia" w:hAnsiTheme="minorHAnsi" w:cstheme="minorBidi"/>
          <w:szCs w:val="22"/>
        </w:rPr>
      </w:pPr>
      <w:r>
        <w:t>283.</w:t>
      </w:r>
      <w:r>
        <w:tab/>
        <w:t>Not used</w:t>
      </w:r>
      <w:r>
        <w:tab/>
      </w:r>
      <w:r>
        <w:fldChar w:fldCharType="begin"/>
      </w:r>
      <w:r>
        <w:instrText xml:space="preserve"> PAGEREF _Toc200719966 \h </w:instrText>
      </w:r>
      <w:r>
        <w:fldChar w:fldCharType="separate"/>
      </w:r>
      <w:r>
        <w:t>218</w:t>
      </w:r>
      <w:r>
        <w:fldChar w:fldCharType="end"/>
      </w:r>
    </w:p>
    <w:p>
      <w:pPr>
        <w:pStyle w:val="TOC8"/>
        <w:rPr>
          <w:rFonts w:asciiTheme="minorHAnsi" w:eastAsiaTheme="minorEastAsia" w:hAnsiTheme="minorHAnsi" w:cstheme="minorBidi"/>
          <w:szCs w:val="22"/>
        </w:rPr>
      </w:pPr>
      <w:r>
        <w:t>284.</w:t>
      </w:r>
      <w:r>
        <w:tab/>
        <w:t>Not used</w:t>
      </w:r>
      <w:r>
        <w:tab/>
      </w:r>
      <w:r>
        <w:fldChar w:fldCharType="begin"/>
      </w:r>
      <w:r>
        <w:instrText xml:space="preserve"> PAGEREF _Toc200719967 \h </w:instrText>
      </w:r>
      <w:r>
        <w:fldChar w:fldCharType="separate"/>
      </w:r>
      <w:r>
        <w:t>218</w:t>
      </w:r>
      <w:r>
        <w:fldChar w:fldCharType="end"/>
      </w:r>
    </w:p>
    <w:p>
      <w:pPr>
        <w:pStyle w:val="TOC8"/>
        <w:rPr>
          <w:rFonts w:asciiTheme="minorHAnsi" w:eastAsiaTheme="minorEastAsia" w:hAnsiTheme="minorHAnsi" w:cstheme="minorBidi"/>
          <w:szCs w:val="22"/>
        </w:rPr>
      </w:pPr>
      <w:r>
        <w:t>285.</w:t>
      </w:r>
      <w:r>
        <w:tab/>
        <w:t>Not used</w:t>
      </w:r>
      <w:r>
        <w:tab/>
      </w:r>
      <w:r>
        <w:fldChar w:fldCharType="begin"/>
      </w:r>
      <w:r>
        <w:instrText xml:space="preserve"> PAGEREF _Toc200719968 \h </w:instrText>
      </w:r>
      <w:r>
        <w:fldChar w:fldCharType="separate"/>
      </w:r>
      <w:r>
        <w:t>218</w:t>
      </w:r>
      <w:r>
        <w:fldChar w:fldCharType="end"/>
      </w:r>
    </w:p>
    <w:p>
      <w:pPr>
        <w:pStyle w:val="TOC8"/>
        <w:rPr>
          <w:rFonts w:asciiTheme="minorHAnsi" w:eastAsiaTheme="minorEastAsia" w:hAnsiTheme="minorHAnsi" w:cstheme="minorBidi"/>
          <w:szCs w:val="22"/>
        </w:rPr>
      </w:pPr>
      <w:r>
        <w:t>286.</w:t>
      </w:r>
      <w:r>
        <w:tab/>
        <w:t>Not used</w:t>
      </w:r>
      <w:r>
        <w:tab/>
      </w:r>
      <w:r>
        <w:fldChar w:fldCharType="begin"/>
      </w:r>
      <w:r>
        <w:instrText xml:space="preserve"> PAGEREF _Toc200719969 \h </w:instrText>
      </w:r>
      <w:r>
        <w:fldChar w:fldCharType="separate"/>
      </w:r>
      <w:r>
        <w:t>219</w:t>
      </w:r>
      <w:r>
        <w:fldChar w:fldCharType="end"/>
      </w:r>
    </w:p>
    <w:p>
      <w:pPr>
        <w:pStyle w:val="TOC8"/>
        <w:rPr>
          <w:rFonts w:asciiTheme="minorHAnsi" w:eastAsiaTheme="minorEastAsia" w:hAnsiTheme="minorHAnsi" w:cstheme="minorBidi"/>
          <w:szCs w:val="22"/>
        </w:rPr>
      </w:pPr>
      <w:r>
        <w:t>287.</w:t>
      </w:r>
      <w:r>
        <w:tab/>
        <w:t>Not used</w:t>
      </w:r>
      <w:r>
        <w:tab/>
      </w:r>
      <w:r>
        <w:fldChar w:fldCharType="begin"/>
      </w:r>
      <w:r>
        <w:instrText xml:space="preserve"> PAGEREF _Toc200719970 \h </w:instrText>
      </w:r>
      <w:r>
        <w:fldChar w:fldCharType="separate"/>
      </w:r>
      <w:r>
        <w:t>219</w:t>
      </w:r>
      <w:r>
        <w:fldChar w:fldCharType="end"/>
      </w:r>
    </w:p>
    <w:p>
      <w:pPr>
        <w:pStyle w:val="TOC8"/>
        <w:rPr>
          <w:rFonts w:asciiTheme="minorHAnsi" w:eastAsiaTheme="minorEastAsia" w:hAnsiTheme="minorHAnsi" w:cstheme="minorBidi"/>
          <w:szCs w:val="22"/>
        </w:rPr>
      </w:pPr>
      <w:r>
        <w:t>288.</w:t>
      </w:r>
      <w:r>
        <w:tab/>
        <w:t>Not used</w:t>
      </w:r>
      <w:r>
        <w:tab/>
      </w:r>
      <w:r>
        <w:fldChar w:fldCharType="begin"/>
      </w:r>
      <w:r>
        <w:instrText xml:space="preserve"> PAGEREF _Toc200719971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6 — Not used</w:t>
      </w:r>
    </w:p>
    <w:p>
      <w:pPr>
        <w:pStyle w:val="TOC8"/>
        <w:rPr>
          <w:rFonts w:asciiTheme="minorHAnsi" w:eastAsiaTheme="minorEastAsia" w:hAnsiTheme="minorHAnsi" w:cstheme="minorBidi"/>
          <w:szCs w:val="22"/>
        </w:rPr>
      </w:pPr>
      <w:r>
        <w:t>288A.</w:t>
      </w:r>
      <w:r>
        <w:tab/>
        <w:t>Not used</w:t>
      </w:r>
      <w:r>
        <w:tab/>
      </w:r>
      <w:r>
        <w:fldChar w:fldCharType="begin"/>
      </w:r>
      <w:r>
        <w:instrText xml:space="preserve"> PAGEREF _Toc200719973 \h </w:instrText>
      </w:r>
      <w:r>
        <w:fldChar w:fldCharType="separate"/>
      </w:r>
      <w:r>
        <w:t>219</w:t>
      </w:r>
      <w:r>
        <w:fldChar w:fldCharType="end"/>
      </w:r>
    </w:p>
    <w:p>
      <w:pPr>
        <w:pStyle w:val="TOC8"/>
        <w:rPr>
          <w:rFonts w:asciiTheme="minorHAnsi" w:eastAsiaTheme="minorEastAsia" w:hAnsiTheme="minorHAnsi" w:cstheme="minorBidi"/>
          <w:szCs w:val="22"/>
        </w:rPr>
      </w:pPr>
      <w:r>
        <w:t>288B.</w:t>
      </w:r>
      <w:r>
        <w:tab/>
        <w:t>Not used</w:t>
      </w:r>
      <w:r>
        <w:tab/>
      </w:r>
      <w:r>
        <w:fldChar w:fldCharType="begin"/>
      </w:r>
      <w:r>
        <w:instrText xml:space="preserve"> PAGEREF _Toc200719974 \h </w:instrText>
      </w:r>
      <w:r>
        <w:fldChar w:fldCharType="separate"/>
      </w:r>
      <w:r>
        <w:t>219</w:t>
      </w:r>
      <w:r>
        <w:fldChar w:fldCharType="end"/>
      </w:r>
    </w:p>
    <w:p>
      <w:pPr>
        <w:pStyle w:val="TOC8"/>
        <w:rPr>
          <w:rFonts w:asciiTheme="minorHAnsi" w:eastAsiaTheme="minorEastAsia" w:hAnsiTheme="minorHAnsi" w:cstheme="minorBidi"/>
          <w:szCs w:val="22"/>
        </w:rPr>
      </w:pPr>
      <w:r>
        <w:t>288C.</w:t>
      </w:r>
      <w:r>
        <w:tab/>
        <w:t>Not used</w:t>
      </w:r>
      <w:r>
        <w:tab/>
      </w:r>
      <w:r>
        <w:fldChar w:fldCharType="begin"/>
      </w:r>
      <w:r>
        <w:instrText xml:space="preserve"> PAGEREF _Toc200719975 \h </w:instrText>
      </w:r>
      <w:r>
        <w:fldChar w:fldCharType="separate"/>
      </w:r>
      <w:r>
        <w:t>219</w:t>
      </w:r>
      <w:r>
        <w:fldChar w:fldCharType="end"/>
      </w:r>
    </w:p>
    <w:p>
      <w:pPr>
        <w:pStyle w:val="TOC8"/>
        <w:rPr>
          <w:rFonts w:asciiTheme="minorHAnsi" w:eastAsiaTheme="minorEastAsia" w:hAnsiTheme="minorHAnsi" w:cstheme="minorBidi"/>
          <w:szCs w:val="22"/>
        </w:rPr>
      </w:pPr>
      <w:r>
        <w:t>288D.</w:t>
      </w:r>
      <w:r>
        <w:tab/>
        <w:t>Not used</w:t>
      </w:r>
      <w:r>
        <w:tab/>
      </w:r>
      <w:r>
        <w:fldChar w:fldCharType="begin"/>
      </w:r>
      <w:r>
        <w:instrText xml:space="preserve"> PAGEREF _Toc200719976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_Toc200719979 \h </w:instrText>
      </w:r>
      <w:r>
        <w:fldChar w:fldCharType="separate"/>
      </w:r>
      <w:r>
        <w:t>220</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_Toc200719980 \h </w:instrText>
      </w:r>
      <w:r>
        <w:fldChar w:fldCharType="separate"/>
      </w:r>
      <w:r>
        <w:t>221</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_Toc200719981 \h </w:instrText>
      </w:r>
      <w:r>
        <w:fldChar w:fldCharType="separate"/>
      </w:r>
      <w:r>
        <w:t>222</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_Toc200719982 \h </w:instrText>
      </w:r>
      <w:r>
        <w:fldChar w:fldCharType="separate"/>
      </w:r>
      <w:r>
        <w:t>223</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_Toc200719983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_Toc200719985 \h </w:instrText>
      </w:r>
      <w:r>
        <w:fldChar w:fldCharType="separate"/>
      </w:r>
      <w:r>
        <w:t>224</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_Toc200719986 \h </w:instrText>
      </w:r>
      <w:r>
        <w:fldChar w:fldCharType="separate"/>
      </w:r>
      <w:r>
        <w:t>225</w:t>
      </w:r>
      <w:r>
        <w:fldChar w:fldCharType="end"/>
      </w:r>
    </w:p>
    <w:p>
      <w:pPr>
        <w:pStyle w:val="TOC8"/>
        <w:rPr>
          <w:rFonts w:asciiTheme="minorHAnsi" w:eastAsiaTheme="minorEastAsia" w:hAnsiTheme="minorHAnsi" w:cstheme="minorBidi"/>
          <w:szCs w:val="22"/>
        </w:rPr>
      </w:pPr>
      <w:r>
        <w:lastRenderedPageBreak/>
        <w:t>296.</w:t>
      </w:r>
      <w:r>
        <w:tab/>
        <w:t>Person who commissions project must give information to principal contractor</w:t>
      </w:r>
      <w:r>
        <w:tab/>
      </w:r>
      <w:r>
        <w:fldChar w:fldCharType="begin"/>
      </w:r>
      <w:r>
        <w:instrText xml:space="preserve"> PAGEREF _Toc200719987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_Toc200719990 \h </w:instrText>
      </w:r>
      <w:r>
        <w:fldChar w:fldCharType="separate"/>
      </w:r>
      <w:r>
        <w:t>226</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_Toc200719991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_Toc200719993 \h </w:instrText>
      </w:r>
      <w:r>
        <w:fldChar w:fldCharType="separate"/>
      </w:r>
      <w:r>
        <w:t>227</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_Toc200719994 \h </w:instrText>
      </w:r>
      <w:r>
        <w:fldChar w:fldCharType="separate"/>
      </w:r>
      <w:r>
        <w:t>228</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_Toc200719995 \h </w:instrText>
      </w:r>
      <w:r>
        <w:fldChar w:fldCharType="separate"/>
      </w:r>
      <w:r>
        <w:t>229</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_Toc200719996 \h </w:instrText>
      </w:r>
      <w:r>
        <w:fldChar w:fldCharType="separate"/>
      </w:r>
      <w:r>
        <w:t>229</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_Toc200719997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_Toc200719999 \h </w:instrText>
      </w:r>
      <w:r>
        <w:fldChar w:fldCharType="separate"/>
      </w:r>
      <w:r>
        <w:t>230</w:t>
      </w:r>
      <w:r>
        <w:fldChar w:fldCharType="end"/>
      </w:r>
    </w:p>
    <w:p>
      <w:pPr>
        <w:pStyle w:val="TOC8"/>
        <w:rPr>
          <w:rFonts w:asciiTheme="minorHAnsi" w:eastAsiaTheme="minorEastAsia" w:hAnsiTheme="minorHAnsi" w:cstheme="minorBidi"/>
          <w:szCs w:val="22"/>
        </w:rPr>
      </w:pPr>
      <w:r>
        <w:t>305.</w:t>
      </w:r>
      <w:r>
        <w:tab/>
        <w:t>Management of risks to health and safety associated with excavation work</w:t>
      </w:r>
      <w:r>
        <w:tab/>
      </w:r>
      <w:r>
        <w:fldChar w:fldCharType="begin"/>
      </w:r>
      <w:r>
        <w:instrText xml:space="preserve"> PAGEREF _Toc200720000 \h </w:instrText>
      </w:r>
      <w:r>
        <w:fldChar w:fldCharType="separate"/>
      </w:r>
      <w:r>
        <w:t>232</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_Toc200720001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_Toc200720003 \h </w:instrText>
      </w:r>
      <w:r>
        <w:fldChar w:fldCharType="separate"/>
      </w:r>
      <w:r>
        <w:t>235</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_Toc200720004 \h </w:instrText>
      </w:r>
      <w:r>
        <w:fldChar w:fldCharType="separate"/>
      </w:r>
      <w:r>
        <w:t>235</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_Toc200720005 \h </w:instrText>
      </w:r>
      <w:r>
        <w:fldChar w:fldCharType="separate"/>
      </w:r>
      <w:r>
        <w:t>236</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_Toc200720006 \h </w:instrText>
      </w:r>
      <w:r>
        <w:fldChar w:fldCharType="separate"/>
      </w:r>
      <w:r>
        <w:t>238</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_Toc200720007 \h </w:instrText>
      </w:r>
      <w:r>
        <w:fldChar w:fldCharType="separate"/>
      </w:r>
      <w:r>
        <w:t>239</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_Toc200720008 \h </w:instrText>
      </w:r>
      <w:r>
        <w:fldChar w:fldCharType="separate"/>
      </w:r>
      <w:r>
        <w:t>239</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_Toc200720009 \h </w:instrText>
      </w:r>
      <w:r>
        <w:fldChar w:fldCharType="separate"/>
      </w:r>
      <w:r>
        <w:t>240</w:t>
      </w:r>
      <w:r>
        <w:fldChar w:fldCharType="end"/>
      </w:r>
    </w:p>
    <w:p>
      <w:pPr>
        <w:pStyle w:val="TOC8"/>
        <w:rPr>
          <w:rFonts w:asciiTheme="minorHAnsi" w:eastAsiaTheme="minorEastAsia" w:hAnsiTheme="minorHAnsi" w:cstheme="minorBidi"/>
          <w:szCs w:val="22"/>
        </w:rPr>
      </w:pPr>
      <w:r>
        <w:lastRenderedPageBreak/>
        <w:t>306H.</w:t>
      </w:r>
      <w:r>
        <w:tab/>
        <w:t>Documents required at construction site where tilt</w:t>
      </w:r>
      <w:r>
        <w:noBreakHyphen/>
        <w:t>up work done</w:t>
      </w:r>
      <w:r>
        <w:tab/>
      </w:r>
      <w:r>
        <w:fldChar w:fldCharType="begin"/>
      </w:r>
      <w:r>
        <w:instrText xml:space="preserve"> PAGEREF _Toc200720010 \h </w:instrText>
      </w:r>
      <w:r>
        <w:fldChar w:fldCharType="separate"/>
      </w:r>
      <w:r>
        <w:t>240</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_Toc200720011 \h </w:instrText>
      </w:r>
      <w:r>
        <w:fldChar w:fldCharType="separate"/>
      </w:r>
      <w:r>
        <w:t>241</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_Toc200720012 \h </w:instrText>
      </w:r>
      <w:r>
        <w:fldChar w:fldCharType="separate"/>
      </w:r>
      <w:r>
        <w:t>242</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_Toc200720013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_Toc200720015 \h </w:instrText>
      </w:r>
      <w:r>
        <w:fldChar w:fldCharType="separate"/>
      </w:r>
      <w:r>
        <w:t>243</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_Toc200720016 \h </w:instrText>
      </w:r>
      <w:r>
        <w:fldChar w:fldCharType="separate"/>
      </w:r>
      <w:r>
        <w:t>243</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_Toc200720017 \h </w:instrText>
      </w:r>
      <w:r>
        <w:fldChar w:fldCharType="separate"/>
      </w:r>
      <w:r>
        <w:t>243</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_Toc200720018 \h </w:instrText>
      </w:r>
      <w:r>
        <w:fldChar w:fldCharType="separate"/>
      </w:r>
      <w:r>
        <w:t>244</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_Toc200720019 \h </w:instrText>
      </w:r>
      <w:r>
        <w:fldChar w:fldCharType="separate"/>
      </w:r>
      <w:r>
        <w:t>245</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_Toc200720020 \h </w:instrText>
      </w:r>
      <w:r>
        <w:fldChar w:fldCharType="separate"/>
      </w:r>
      <w:r>
        <w:t>245</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_Toc200720021 \h </w:instrText>
      </w:r>
      <w:r>
        <w:fldChar w:fldCharType="separate"/>
      </w:r>
      <w:r>
        <w:t>246</w:t>
      </w:r>
      <w:r>
        <w:fldChar w:fldCharType="end"/>
      </w:r>
    </w:p>
    <w:p>
      <w:pPr>
        <w:pStyle w:val="TOC8"/>
        <w:rPr>
          <w:rFonts w:asciiTheme="minorHAnsi" w:eastAsiaTheme="minorEastAsia" w:hAnsiTheme="minorHAnsi" w:cstheme="minorBidi"/>
          <w:szCs w:val="22"/>
        </w:rPr>
      </w:pPr>
      <w:r>
        <w:t>314.</w:t>
      </w:r>
      <w:r>
        <w:tab/>
        <w:t>Further health and safety duties: specific regulations</w:t>
      </w:r>
      <w:r>
        <w:tab/>
      </w:r>
      <w:r>
        <w:fldChar w:fldCharType="begin"/>
      </w:r>
      <w:r>
        <w:instrText xml:space="preserve"> PAGEREF _Toc200720022 \h </w:instrText>
      </w:r>
      <w:r>
        <w:fldChar w:fldCharType="separate"/>
      </w:r>
      <w:r>
        <w:t>247</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_Toc200720023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_Toc200720025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_Toc200720028 \h </w:instrText>
      </w:r>
      <w:r>
        <w:fldChar w:fldCharType="separate"/>
      </w:r>
      <w:r>
        <w:t>249</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_Toc200720029 \h </w:instrText>
      </w:r>
      <w:r>
        <w:fldChar w:fldCharType="separate"/>
      </w:r>
      <w:r>
        <w:t>249</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_Toc200720030 \h </w:instrText>
      </w:r>
      <w:r>
        <w:fldChar w:fldCharType="separate"/>
      </w:r>
      <w:r>
        <w:t>250</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318A.</w:t>
      </w:r>
      <w:r>
        <w:tab/>
        <w:t>Not used</w:t>
      </w:r>
      <w:r>
        <w:tab/>
      </w:r>
      <w:r>
        <w:fldChar w:fldCharType="begin"/>
      </w:r>
      <w:r>
        <w:instrText xml:space="preserve"> PAGEREF _Toc200720032 \h </w:instrText>
      </w:r>
      <w:r>
        <w:fldChar w:fldCharType="separate"/>
      </w:r>
      <w:r>
        <w:t>250</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_Toc200720033 \h </w:instrText>
      </w:r>
      <w:r>
        <w:fldChar w:fldCharType="separate"/>
      </w:r>
      <w:r>
        <w:t>250</w:t>
      </w:r>
      <w:r>
        <w:fldChar w:fldCharType="end"/>
      </w:r>
    </w:p>
    <w:p>
      <w:pPr>
        <w:pStyle w:val="TOC8"/>
        <w:rPr>
          <w:rFonts w:asciiTheme="minorHAnsi" w:eastAsiaTheme="minorEastAsia" w:hAnsiTheme="minorHAnsi" w:cstheme="minorBidi"/>
          <w:szCs w:val="22"/>
        </w:rPr>
      </w:pPr>
      <w:r>
        <w:t>320.</w:t>
      </w:r>
      <w:r>
        <w:tab/>
        <w:t>Not used</w:t>
      </w:r>
      <w:r>
        <w:tab/>
      </w:r>
      <w:r>
        <w:fldChar w:fldCharType="begin"/>
      </w:r>
      <w:r>
        <w:instrText xml:space="preserve"> PAGEREF _Toc200720034 \h </w:instrText>
      </w:r>
      <w:r>
        <w:fldChar w:fldCharType="separate"/>
      </w:r>
      <w:r>
        <w:t>250</w:t>
      </w:r>
      <w:r>
        <w:fldChar w:fldCharType="end"/>
      </w:r>
    </w:p>
    <w:p>
      <w:pPr>
        <w:pStyle w:val="TOC8"/>
        <w:rPr>
          <w:rFonts w:asciiTheme="minorHAnsi" w:eastAsiaTheme="minorEastAsia" w:hAnsiTheme="minorHAnsi" w:cstheme="minorBidi"/>
          <w:szCs w:val="22"/>
        </w:rPr>
      </w:pPr>
      <w:r>
        <w:lastRenderedPageBreak/>
        <w:t>321.</w:t>
      </w:r>
      <w:r>
        <w:tab/>
        <w:t>Not used</w:t>
      </w:r>
      <w:r>
        <w:tab/>
      </w:r>
      <w:r>
        <w:fldChar w:fldCharType="begin"/>
      </w:r>
      <w:r>
        <w:instrText xml:space="preserve"> PAGEREF _Toc200720035 \h </w:instrText>
      </w:r>
      <w:r>
        <w:fldChar w:fldCharType="separate"/>
      </w:r>
      <w:r>
        <w:t>250</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_Toc200720036 \h </w:instrText>
      </w:r>
      <w:r>
        <w:fldChar w:fldCharType="separate"/>
      </w:r>
      <w:r>
        <w:t>250</w:t>
      </w:r>
      <w:r>
        <w:fldChar w:fldCharType="end"/>
      </w:r>
    </w:p>
    <w:p>
      <w:pPr>
        <w:pStyle w:val="TOC8"/>
        <w:rPr>
          <w:rFonts w:asciiTheme="minorHAnsi" w:eastAsiaTheme="minorEastAsia" w:hAnsiTheme="minorHAnsi" w:cstheme="minorBidi"/>
          <w:szCs w:val="22"/>
        </w:rPr>
      </w:pPr>
      <w:r>
        <w:t>323.</w:t>
      </w:r>
      <w:r>
        <w:tab/>
        <w:t>Not used</w:t>
      </w:r>
      <w:r>
        <w:tab/>
      </w:r>
      <w:r>
        <w:fldChar w:fldCharType="begin"/>
      </w:r>
      <w:r>
        <w:instrText xml:space="preserve"> PAGEREF _Toc200720037 \h </w:instrText>
      </w:r>
      <w:r>
        <w:fldChar w:fldCharType="separate"/>
      </w:r>
      <w:r>
        <w:t>250</w:t>
      </w:r>
      <w:r>
        <w:fldChar w:fldCharType="end"/>
      </w:r>
    </w:p>
    <w:p>
      <w:pPr>
        <w:pStyle w:val="TOC8"/>
        <w:rPr>
          <w:rFonts w:asciiTheme="minorHAnsi" w:eastAsiaTheme="minorEastAsia" w:hAnsiTheme="minorHAnsi" w:cstheme="minorBidi"/>
          <w:szCs w:val="22"/>
        </w:rPr>
      </w:pPr>
      <w:r>
        <w:t>324.</w:t>
      </w:r>
      <w:r>
        <w:tab/>
        <w:t>Not used</w:t>
      </w:r>
      <w:r>
        <w:tab/>
      </w:r>
      <w:r>
        <w:fldChar w:fldCharType="begin"/>
      </w:r>
      <w:r>
        <w:instrText xml:space="preserve"> PAGEREF _Toc200720038 \h </w:instrText>
      </w:r>
      <w:r>
        <w:fldChar w:fldCharType="separate"/>
      </w:r>
      <w:r>
        <w:t>250</w:t>
      </w:r>
      <w:r>
        <w:fldChar w:fldCharType="end"/>
      </w:r>
    </w:p>
    <w:p>
      <w:pPr>
        <w:pStyle w:val="TOC8"/>
        <w:rPr>
          <w:rFonts w:asciiTheme="minorHAnsi" w:eastAsiaTheme="minorEastAsia" w:hAnsiTheme="minorHAnsi" w:cstheme="minorBidi"/>
          <w:szCs w:val="22"/>
        </w:rPr>
      </w:pPr>
      <w:r>
        <w:t>325.</w:t>
      </w:r>
      <w:r>
        <w:tab/>
        <w:t>Not used</w:t>
      </w:r>
      <w:r>
        <w:tab/>
      </w:r>
      <w:r>
        <w:fldChar w:fldCharType="begin"/>
      </w:r>
      <w:r>
        <w:instrText xml:space="preserve"> PAGEREF _Toc200720039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_Toc200720041 \h </w:instrText>
      </w:r>
      <w:r>
        <w:fldChar w:fldCharType="separate"/>
      </w:r>
      <w:r>
        <w:t>251</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_Toc200720042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_Toc200720046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_Toc200720049 \h </w:instrText>
      </w:r>
      <w:r>
        <w:fldChar w:fldCharType="separate"/>
      </w:r>
      <w:r>
        <w:t>255</w:t>
      </w:r>
      <w:r>
        <w:fldChar w:fldCharType="end"/>
      </w:r>
    </w:p>
    <w:p>
      <w:pPr>
        <w:pStyle w:val="TOC8"/>
        <w:rPr>
          <w:rFonts w:asciiTheme="minorHAnsi" w:eastAsiaTheme="minorEastAsia" w:hAnsiTheme="minorHAnsi" w:cstheme="minorBidi"/>
          <w:szCs w:val="22"/>
        </w:rPr>
      </w:pPr>
      <w:r>
        <w:t>330.</w:t>
      </w:r>
      <w:r>
        <w:tab/>
        <w:t>Manufacturer or importer to prepare and provide safety data sheets</w:t>
      </w:r>
      <w:r>
        <w:tab/>
      </w:r>
      <w:r>
        <w:fldChar w:fldCharType="begin"/>
      </w:r>
      <w:r>
        <w:instrText xml:space="preserve"> PAGEREF _Toc200720050 \h </w:instrText>
      </w:r>
      <w:r>
        <w:fldChar w:fldCharType="separate"/>
      </w:r>
      <w:r>
        <w:t>255</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_Toc200720051 \h </w:instrText>
      </w:r>
      <w:r>
        <w:fldChar w:fldCharType="separate"/>
      </w:r>
      <w:r>
        <w:t>257</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_Toc200720052 \h </w:instrText>
      </w:r>
      <w:r>
        <w:fldChar w:fldCharType="separate"/>
      </w:r>
      <w:r>
        <w:t>257</w:t>
      </w:r>
      <w:r>
        <w:fldChar w:fldCharType="end"/>
      </w:r>
    </w:p>
    <w:p>
      <w:pPr>
        <w:pStyle w:val="TOC8"/>
        <w:rPr>
          <w:rFonts w:asciiTheme="minorHAnsi" w:eastAsiaTheme="minorEastAsia" w:hAnsiTheme="minorHAnsi" w:cstheme="minorBidi"/>
          <w:szCs w:val="22"/>
        </w:rPr>
      </w:pPr>
      <w:r>
        <w:t>333.</w:t>
      </w:r>
      <w:r>
        <w:tab/>
        <w:t>Emergency disclosure of chemical identities to emergency workers</w:t>
      </w:r>
      <w:r>
        <w:tab/>
      </w:r>
      <w:r>
        <w:fldChar w:fldCharType="begin"/>
      </w:r>
      <w:r>
        <w:instrText xml:space="preserve"> PAGEREF _Toc200720053 \h </w:instrText>
      </w:r>
      <w:r>
        <w:fldChar w:fldCharType="separate"/>
      </w:r>
      <w:r>
        <w:t>258</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_Toc200720054 \h </w:instrText>
      </w:r>
      <w:r>
        <w:fldChar w:fldCharType="separate"/>
      </w:r>
      <w:r>
        <w:t>258</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_Toc200720055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_Toc200720057 \h </w:instrText>
      </w:r>
      <w:r>
        <w:fldChar w:fldCharType="separate"/>
      </w:r>
      <w:r>
        <w:t>260</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_Toc200720058 \h </w:instrText>
      </w:r>
      <w:r>
        <w:fldChar w:fldCharType="separate"/>
      </w:r>
      <w:r>
        <w:t>261</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_Toc200720059 \h </w:instrText>
      </w:r>
      <w:r>
        <w:fldChar w:fldCharType="separate"/>
      </w:r>
      <w:r>
        <w:t>261</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_Toc200720060 \h </w:instrText>
      </w:r>
      <w:r>
        <w:fldChar w:fldCharType="separate"/>
      </w:r>
      <w:r>
        <w:t>262</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_Toc200720061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_Toc200720063 \h </w:instrText>
      </w:r>
      <w:r>
        <w:fldChar w:fldCharType="separate"/>
      </w:r>
      <w:r>
        <w:t>264</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_Toc200720064 \h </w:instrText>
      </w:r>
      <w:r>
        <w:fldChar w:fldCharType="separate"/>
      </w:r>
      <w:r>
        <w:t>265</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_Toc200720065 \h </w:instrText>
      </w:r>
      <w:r>
        <w:fldChar w:fldCharType="separate"/>
      </w:r>
      <w:r>
        <w:t>267</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_Toc200720066 \h </w:instrText>
      </w:r>
      <w:r>
        <w:fldChar w:fldCharType="separate"/>
      </w:r>
      <w:r>
        <w:t>267</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_Toc200720067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_Toc200720070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_Toc200720072 \h </w:instrText>
      </w:r>
      <w:r>
        <w:fldChar w:fldCharType="separate"/>
      </w:r>
      <w:r>
        <w:t>272</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_Toc200720073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_Toc200720075 \h </w:instrText>
      </w:r>
      <w:r>
        <w:fldChar w:fldCharType="separate"/>
      </w:r>
      <w:r>
        <w:t>272</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_Toc200720076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_Toc200720079 \h </w:instrText>
      </w:r>
      <w:r>
        <w:fldChar w:fldCharType="separate"/>
      </w:r>
      <w:r>
        <w:t>272</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_Toc200720080 \h </w:instrText>
      </w:r>
      <w:r>
        <w:fldChar w:fldCharType="separate"/>
      </w:r>
      <w:r>
        <w:t>273</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_Toc200720081 \h </w:instrText>
      </w:r>
      <w:r>
        <w:fldChar w:fldCharType="separate"/>
      </w:r>
      <w:r>
        <w:t>274</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_Toc200720082 \h </w:instrText>
      </w:r>
      <w:r>
        <w:fldChar w:fldCharType="separate"/>
      </w:r>
      <w:r>
        <w:t>275</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_Toc200720083 \h </w:instrText>
      </w:r>
      <w:r>
        <w:fldChar w:fldCharType="separate"/>
      </w:r>
      <w:r>
        <w:t>276</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_Toc200720084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_Toc200720086 \h </w:instrText>
      </w:r>
      <w:r>
        <w:fldChar w:fldCharType="separate"/>
      </w:r>
      <w:r>
        <w:t>277</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_Toc200720087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_Toc200720089 \h </w:instrText>
      </w:r>
      <w:r>
        <w:fldChar w:fldCharType="separate"/>
      </w:r>
      <w:r>
        <w:t>279</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_Toc200720090 \h </w:instrText>
      </w:r>
      <w:r>
        <w:fldChar w:fldCharType="separate"/>
      </w:r>
      <w:r>
        <w:t>280</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_Toc200720091 \h </w:instrText>
      </w:r>
      <w:r>
        <w:fldChar w:fldCharType="separate"/>
      </w:r>
      <w:r>
        <w:t>280</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_Toc200720092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_Toc200720094 \h </w:instrText>
      </w:r>
      <w:r>
        <w:fldChar w:fldCharType="separate"/>
      </w:r>
      <w:r>
        <w:t>281</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_Toc200720095 \h </w:instrText>
      </w:r>
      <w:r>
        <w:fldChar w:fldCharType="separate"/>
      </w:r>
      <w:r>
        <w:t>281</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_Toc200720096 \h </w:instrText>
      </w:r>
      <w:r>
        <w:fldChar w:fldCharType="separate"/>
      </w:r>
      <w:r>
        <w:t>281</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_Toc200720097 \h </w:instrText>
      </w:r>
      <w:r>
        <w:fldChar w:fldCharType="separate"/>
      </w:r>
      <w:r>
        <w:t>281</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_Toc200720098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_Toc200720100 \h </w:instrText>
      </w:r>
      <w:r>
        <w:fldChar w:fldCharType="separate"/>
      </w:r>
      <w:r>
        <w:t>281</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_Toc200720101 \h </w:instrText>
      </w:r>
      <w:r>
        <w:fldChar w:fldCharType="separate"/>
      </w:r>
      <w:r>
        <w:t>282</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_Toc200720102 \h </w:instrText>
      </w:r>
      <w:r>
        <w:fldChar w:fldCharType="separate"/>
      </w:r>
      <w:r>
        <w:t>283</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_Toc200720103 \h </w:instrText>
      </w:r>
      <w:r>
        <w:fldChar w:fldCharType="separate"/>
      </w:r>
      <w:r>
        <w:t>283</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_Toc200720104 \h </w:instrText>
      </w:r>
      <w:r>
        <w:fldChar w:fldCharType="separate"/>
      </w:r>
      <w:r>
        <w:t>284</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_Toc200720105 \h </w:instrText>
      </w:r>
      <w:r>
        <w:fldChar w:fldCharType="separate"/>
      </w:r>
      <w:r>
        <w:t>284</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_Toc200720106 \h </w:instrText>
      </w:r>
      <w:r>
        <w:fldChar w:fldCharType="separate"/>
      </w:r>
      <w:r>
        <w:t>285</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_Toc200720107 \h </w:instrText>
      </w:r>
      <w:r>
        <w:fldChar w:fldCharType="separate"/>
      </w:r>
      <w:r>
        <w:t>286</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_Toc200720108 \h </w:instrText>
      </w:r>
      <w:r>
        <w:fldChar w:fldCharType="separate"/>
      </w:r>
      <w:r>
        <w:t>286</w:t>
      </w:r>
      <w:r>
        <w:fldChar w:fldCharType="end"/>
      </w:r>
    </w:p>
    <w:p>
      <w:pPr>
        <w:pStyle w:val="TOC8"/>
        <w:rPr>
          <w:rFonts w:asciiTheme="minorHAnsi" w:eastAsiaTheme="minorEastAsia" w:hAnsiTheme="minorHAnsi" w:cstheme="minorBidi"/>
          <w:szCs w:val="22"/>
        </w:rPr>
      </w:pPr>
      <w:r>
        <w:t>377.</w:t>
      </w:r>
      <w:r>
        <w:tab/>
        <w:t>Duty to give health monitoring report to relevant persons conducting businesses or undertakings</w:t>
      </w:r>
      <w:r>
        <w:tab/>
      </w:r>
      <w:r>
        <w:fldChar w:fldCharType="begin"/>
      </w:r>
      <w:r>
        <w:instrText xml:space="preserve"> PAGEREF _Toc200720109 \h </w:instrText>
      </w:r>
      <w:r>
        <w:fldChar w:fldCharType="separate"/>
      </w:r>
      <w:r>
        <w:t>286</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_Toc200720110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_Toc200720112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_Toc200720114 \h </w:instrText>
      </w:r>
      <w:r>
        <w:fldChar w:fldCharType="separate"/>
      </w:r>
      <w:r>
        <w:t>288</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_Toc200720115 \h </w:instrText>
      </w:r>
      <w:r>
        <w:fldChar w:fldCharType="separate"/>
      </w:r>
      <w:r>
        <w:t>288</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_Toc200720116 \h </w:instrText>
      </w:r>
      <w:r>
        <w:fldChar w:fldCharType="separate"/>
      </w:r>
      <w:r>
        <w:t>289</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_Toc200720117 \h </w:instrText>
      </w:r>
      <w:r>
        <w:fldChar w:fldCharType="separate"/>
      </w:r>
      <w:r>
        <w:t>289</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_Toc200720118 \h </w:instrText>
      </w:r>
      <w:r>
        <w:fldChar w:fldCharType="separate"/>
      </w:r>
      <w:r>
        <w:t>290</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_Toc200720119 \h </w:instrText>
      </w:r>
      <w:r>
        <w:fldChar w:fldCharType="separate"/>
      </w:r>
      <w:r>
        <w:t>291</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_Toc200720120 \h </w:instrText>
      </w:r>
      <w:r>
        <w:fldChar w:fldCharType="separate"/>
      </w:r>
      <w:r>
        <w:t>292</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_Toc200720121 \h </w:instrText>
      </w:r>
      <w:r>
        <w:fldChar w:fldCharType="separate"/>
      </w:r>
      <w:r>
        <w:t>292</w:t>
      </w:r>
      <w:r>
        <w:fldChar w:fldCharType="end"/>
      </w:r>
    </w:p>
    <w:p>
      <w:pPr>
        <w:pStyle w:val="TOC8"/>
        <w:rPr>
          <w:rFonts w:asciiTheme="minorHAnsi" w:eastAsiaTheme="minorEastAsia" w:hAnsiTheme="minorHAnsi" w:cstheme="minorBidi"/>
          <w:szCs w:val="22"/>
        </w:rPr>
      </w:pPr>
      <w:r>
        <w:lastRenderedPageBreak/>
        <w:t>388.</w:t>
      </w:r>
      <w:r>
        <w:tab/>
        <w:t>Records to be kept</w:t>
      </w:r>
      <w:r>
        <w:tab/>
      </w:r>
      <w:r>
        <w:fldChar w:fldCharType="begin"/>
      </w:r>
      <w:r>
        <w:instrText xml:space="preserve"> PAGEREF _Toc200720122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_Toc200720124 \h </w:instrText>
      </w:r>
      <w:r>
        <w:fldChar w:fldCharType="separate"/>
      </w:r>
      <w:r>
        <w:t>293</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_Toc200720125 \h </w:instrText>
      </w:r>
      <w:r>
        <w:fldChar w:fldCharType="separate"/>
      </w:r>
      <w:r>
        <w:t>294</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_Toc200720126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_Toc200720129 \h </w:instrText>
      </w:r>
      <w:r>
        <w:fldChar w:fldCharType="separate"/>
      </w:r>
      <w:r>
        <w:t>294</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_Toc200720130 \h </w:instrText>
      </w:r>
      <w:r>
        <w:fldChar w:fldCharType="separate"/>
      </w:r>
      <w:r>
        <w:t>296</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_Toc200720131 \h </w:instrText>
      </w:r>
      <w:r>
        <w:fldChar w:fldCharType="separate"/>
      </w:r>
      <w:r>
        <w:t>297</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_Toc200720132 \h </w:instrText>
      </w:r>
      <w:r>
        <w:fldChar w:fldCharType="separate"/>
      </w:r>
      <w:r>
        <w:t>297</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_Toc200720134 \h </w:instrText>
      </w:r>
      <w:r>
        <w:fldChar w:fldCharType="separate"/>
      </w:r>
      <w:r>
        <w:t>298</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_Toc200720135 \h </w:instrText>
      </w:r>
      <w:r>
        <w:fldChar w:fldCharType="separate"/>
      </w:r>
      <w:r>
        <w:t>298</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_Toc200720136 \h </w:instrText>
      </w:r>
      <w:r>
        <w:fldChar w:fldCharType="separate"/>
      </w:r>
      <w:r>
        <w:t>299</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_Toc200720137 \h </w:instrText>
      </w:r>
      <w:r>
        <w:fldChar w:fldCharType="separate"/>
      </w:r>
      <w:r>
        <w:t>299</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_Toc200720138 \h </w:instrText>
      </w:r>
      <w:r>
        <w:fldChar w:fldCharType="separate"/>
      </w:r>
      <w:r>
        <w:t>300</w:t>
      </w:r>
      <w:r>
        <w:fldChar w:fldCharType="end"/>
      </w:r>
    </w:p>
    <w:p>
      <w:pPr>
        <w:pStyle w:val="TOC8"/>
        <w:rPr>
          <w:rFonts w:asciiTheme="minorHAnsi" w:eastAsiaTheme="minorEastAsia" w:hAnsiTheme="minorHAnsi" w:cstheme="minorBidi"/>
          <w:szCs w:val="22"/>
        </w:rPr>
      </w:pPr>
      <w:r>
        <w:t>401.</w:t>
      </w:r>
      <w:r>
        <w:tab/>
        <w:t>Review of control measures</w:t>
      </w:r>
      <w:r>
        <w:tab/>
      </w:r>
      <w:r>
        <w:fldChar w:fldCharType="begin"/>
      </w:r>
      <w:r>
        <w:instrText xml:space="preserve"> PAGEREF _Toc200720139 \h </w:instrText>
      </w:r>
      <w:r>
        <w:fldChar w:fldCharType="separate"/>
      </w:r>
      <w:r>
        <w:t>301</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_Toc200720141 \h </w:instrText>
      </w:r>
      <w:r>
        <w:fldChar w:fldCharType="separate"/>
      </w:r>
      <w:r>
        <w:t>303</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_Toc200720142 \h </w:instrText>
      </w:r>
      <w:r>
        <w:fldChar w:fldCharType="separate"/>
      </w:r>
      <w:r>
        <w:t>304</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_Toc200720143 \h </w:instrText>
      </w:r>
      <w:r>
        <w:fldChar w:fldCharType="separate"/>
      </w:r>
      <w:r>
        <w:t>305</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_Toc200720145 \h </w:instrText>
      </w:r>
      <w:r>
        <w:fldChar w:fldCharType="separate"/>
      </w:r>
      <w:r>
        <w:t>306</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_Toc200720146 \h </w:instrText>
      </w:r>
      <w:r>
        <w:fldChar w:fldCharType="separate"/>
      </w:r>
      <w:r>
        <w:t>307</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_Toc200720147 \h </w:instrText>
      </w:r>
      <w:r>
        <w:fldChar w:fldCharType="separate"/>
      </w:r>
      <w:r>
        <w:t>307</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_Toc200720148 \h </w:instrText>
      </w:r>
      <w:r>
        <w:fldChar w:fldCharType="separate"/>
      </w:r>
      <w:r>
        <w:t>309</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_Toc200720149 \h </w:instrText>
      </w:r>
      <w:r>
        <w:fldChar w:fldCharType="separate"/>
      </w:r>
      <w:r>
        <w:t>310</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_Toc200720150 \h </w:instrText>
      </w:r>
      <w:r>
        <w:fldChar w:fldCharType="separate"/>
      </w:r>
      <w:r>
        <w:t>310</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_Toc200720151 \h </w:instrText>
      </w:r>
      <w:r>
        <w:fldChar w:fldCharType="separate"/>
      </w:r>
      <w:r>
        <w:t>311</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_Toc200720152 \h </w:instrText>
      </w:r>
      <w:r>
        <w:fldChar w:fldCharType="separate"/>
      </w:r>
      <w:r>
        <w:t>312</w:t>
      </w:r>
      <w:r>
        <w:fldChar w:fldCharType="end"/>
      </w:r>
    </w:p>
    <w:p>
      <w:pPr>
        <w:pStyle w:val="TOC8"/>
        <w:rPr>
          <w:rFonts w:asciiTheme="minorHAnsi" w:eastAsiaTheme="minorEastAsia" w:hAnsiTheme="minorHAnsi" w:cstheme="minorBidi"/>
          <w:szCs w:val="22"/>
        </w:rPr>
      </w:pPr>
      <w:r>
        <w:lastRenderedPageBreak/>
        <w:t>413.</w:t>
      </w:r>
      <w:r>
        <w:tab/>
        <w:t>Duty to give health monitoring report to regulator</w:t>
      </w:r>
      <w:r>
        <w:tab/>
      </w:r>
      <w:r>
        <w:fldChar w:fldCharType="begin"/>
      </w:r>
      <w:r>
        <w:instrText xml:space="preserve"> PAGEREF _Toc200720153 \h </w:instrText>
      </w:r>
      <w:r>
        <w:fldChar w:fldCharType="separate"/>
      </w:r>
      <w:r>
        <w:t>312</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_Toc200720154 \h </w:instrText>
      </w:r>
      <w:r>
        <w:fldChar w:fldCharType="separate"/>
      </w:r>
      <w:r>
        <w:t>313</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_Toc200720155 \h </w:instrText>
      </w:r>
      <w:r>
        <w:fldChar w:fldCharType="separate"/>
      </w:r>
      <w:r>
        <w:t>313</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_Toc200720156 \h </w:instrText>
      </w:r>
      <w:r>
        <w:fldChar w:fldCharType="separate"/>
      </w:r>
      <w:r>
        <w:t>314</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_Toc200720157 \h </w:instrText>
      </w:r>
      <w:r>
        <w:fldChar w:fldCharType="separate"/>
      </w:r>
      <w:r>
        <w:t>315</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_Toc200720158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_Toc200720161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_Toc200720163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_Toc200720165 \h </w:instrText>
      </w:r>
      <w:r>
        <w:fldChar w:fldCharType="separate"/>
      </w:r>
      <w:r>
        <w:t>320</w:t>
      </w:r>
      <w:r>
        <w:fldChar w:fldCharType="end"/>
      </w:r>
    </w:p>
    <w:p>
      <w:pPr>
        <w:pStyle w:val="TOC8"/>
        <w:rPr>
          <w:rFonts w:asciiTheme="minorHAnsi" w:eastAsiaTheme="minorEastAsia" w:hAnsiTheme="minorHAnsi" w:cstheme="minorBidi"/>
          <w:szCs w:val="22"/>
        </w:rPr>
      </w:pPr>
      <w:r>
        <w:t>421A.</w:t>
      </w:r>
      <w:r>
        <w:tab/>
        <w:t>Regulator may direct tests for, or removal of, asbestos at workplace</w:t>
      </w:r>
      <w:r>
        <w:tab/>
      </w:r>
      <w:r>
        <w:fldChar w:fldCharType="begin"/>
      </w:r>
      <w:r>
        <w:instrText xml:space="preserve"> PAGEREF _Toc200720166 \h </w:instrText>
      </w:r>
      <w:r>
        <w:fldChar w:fldCharType="separate"/>
      </w:r>
      <w:r>
        <w:t>320</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_Toc200720167 \h </w:instrText>
      </w:r>
      <w:r>
        <w:fldChar w:fldCharType="separate"/>
      </w:r>
      <w:r>
        <w:t>321</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_Toc200720168 \h </w:instrText>
      </w:r>
      <w:r>
        <w:fldChar w:fldCharType="separate"/>
      </w:r>
      <w:r>
        <w:t>322</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_Toc200720169 \h </w:instrText>
      </w:r>
      <w:r>
        <w:fldChar w:fldCharType="separate"/>
      </w:r>
      <w:r>
        <w:t>322</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_Toc200720170 \h </w:instrText>
      </w:r>
      <w:r>
        <w:fldChar w:fldCharType="separate"/>
      </w:r>
      <w:r>
        <w:t>323</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_Toc200720171 \h </w:instrText>
      </w:r>
      <w:r>
        <w:fldChar w:fldCharType="separate"/>
      </w:r>
      <w:r>
        <w:t>324</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_Toc200720172 \h </w:instrText>
      </w:r>
      <w:r>
        <w:fldChar w:fldCharType="separate"/>
      </w:r>
      <w:r>
        <w:t>324</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_Toc200720173 \h </w:instrText>
      </w:r>
      <w:r>
        <w:fldChar w:fldCharType="separate"/>
      </w:r>
      <w:r>
        <w:t>325</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_Toc200720174 \h </w:instrText>
      </w:r>
      <w:r>
        <w:fldChar w:fldCharType="separate"/>
      </w:r>
      <w:r>
        <w:t>325</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_Toc200720175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_Toc200720177 \h </w:instrText>
      </w:r>
      <w:r>
        <w:fldChar w:fldCharType="separate"/>
      </w:r>
      <w:r>
        <w:t>328</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_Toc200720178 \h </w:instrText>
      </w:r>
      <w:r>
        <w:fldChar w:fldCharType="separate"/>
      </w:r>
      <w:r>
        <w:t>328</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_Toc200720179 \h </w:instrText>
      </w:r>
      <w:r>
        <w:fldChar w:fldCharType="separate"/>
      </w:r>
      <w:r>
        <w:t>330</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_Toc200720180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_Toc200720183 \h </w:instrText>
      </w:r>
      <w:r>
        <w:fldChar w:fldCharType="separate"/>
      </w:r>
      <w:r>
        <w:t>331</w:t>
      </w:r>
      <w:r>
        <w:fldChar w:fldCharType="end"/>
      </w:r>
    </w:p>
    <w:p>
      <w:pPr>
        <w:pStyle w:val="TOC8"/>
        <w:rPr>
          <w:rFonts w:asciiTheme="minorHAnsi" w:eastAsiaTheme="minorEastAsia" w:hAnsiTheme="minorHAnsi" w:cstheme="minorBidi"/>
          <w:szCs w:val="22"/>
        </w:rPr>
      </w:pPr>
      <w:r>
        <w:lastRenderedPageBreak/>
        <w:t>436.</w:t>
      </w:r>
      <w:r>
        <w:tab/>
        <w:t>Duty to ensure that appropriate health monitoring is provided</w:t>
      </w:r>
      <w:r>
        <w:tab/>
      </w:r>
      <w:r>
        <w:fldChar w:fldCharType="begin"/>
      </w:r>
      <w:r>
        <w:instrText xml:space="preserve"> PAGEREF _Toc200720184 \h </w:instrText>
      </w:r>
      <w:r>
        <w:fldChar w:fldCharType="separate"/>
      </w:r>
      <w:r>
        <w:t>332</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_Toc200720185 \h </w:instrText>
      </w:r>
      <w:r>
        <w:fldChar w:fldCharType="separate"/>
      </w:r>
      <w:r>
        <w:t>332</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_Toc200720186 \h </w:instrText>
      </w:r>
      <w:r>
        <w:fldChar w:fldCharType="separate"/>
      </w:r>
      <w:r>
        <w:t>333</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_Toc200720187 \h </w:instrText>
      </w:r>
      <w:r>
        <w:fldChar w:fldCharType="separate"/>
      </w:r>
      <w:r>
        <w:t>333</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_Toc200720188 \h </w:instrText>
      </w:r>
      <w:r>
        <w:fldChar w:fldCharType="separate"/>
      </w:r>
      <w:r>
        <w:t>334</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_Toc200720189 \h </w:instrText>
      </w:r>
      <w:r>
        <w:fldChar w:fldCharType="separate"/>
      </w:r>
      <w:r>
        <w:t>335</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_Toc200720190 \h </w:instrText>
      </w:r>
      <w:r>
        <w:fldChar w:fldCharType="separate"/>
      </w:r>
      <w:r>
        <w:t>335</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_Toc200720191 \h </w:instrText>
      </w:r>
      <w:r>
        <w:fldChar w:fldCharType="separate"/>
      </w:r>
      <w:r>
        <w:t>336</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_Toc200720192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_Toc200720194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_Toc200720196 \h </w:instrText>
      </w:r>
      <w:r>
        <w:fldChar w:fldCharType="separate"/>
      </w:r>
      <w:r>
        <w:t>338</w:t>
      </w:r>
      <w:r>
        <w:fldChar w:fldCharType="end"/>
      </w:r>
    </w:p>
    <w:p>
      <w:pPr>
        <w:pStyle w:val="TOC4"/>
        <w:tabs>
          <w:tab w:val="right" w:leader="dot" w:pos="7077"/>
        </w:tabs>
        <w:rPr>
          <w:rFonts w:asciiTheme="minorHAnsi" w:eastAsiaTheme="minorEastAsia" w:hAnsiTheme="minorHAnsi" w:cstheme="minorBidi"/>
          <w:b w:val="0"/>
          <w:szCs w:val="22"/>
        </w:rPr>
      </w:pPr>
      <w:r>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_Toc200720198 \h </w:instrText>
      </w:r>
      <w:r>
        <w:fldChar w:fldCharType="separate"/>
      </w:r>
      <w:r>
        <w:t>339</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_Toc200720199 \h </w:instrText>
      </w:r>
      <w:r>
        <w:fldChar w:fldCharType="separate"/>
      </w:r>
      <w:r>
        <w:t>339</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_Toc200720200 \h </w:instrText>
      </w:r>
      <w:r>
        <w:fldChar w:fldCharType="separate"/>
      </w:r>
      <w:r>
        <w:t>340</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_Toc200720201 \h </w:instrText>
      </w:r>
      <w:r>
        <w:fldChar w:fldCharType="separate"/>
      </w:r>
      <w:r>
        <w:t>340</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_Toc200720202 \h </w:instrText>
      </w:r>
      <w:r>
        <w:fldChar w:fldCharType="separate"/>
      </w:r>
      <w:r>
        <w:t>340</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_Toc200720203 \h </w:instrText>
      </w:r>
      <w:r>
        <w:fldChar w:fldCharType="separate"/>
      </w:r>
      <w:r>
        <w:t>342</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_Toc200720204 \h </w:instrText>
      </w:r>
      <w:r>
        <w:fldChar w:fldCharType="separate"/>
      </w:r>
      <w:r>
        <w:t>342</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_Toc200720205 \h </w:instrText>
      </w:r>
      <w:r>
        <w:fldChar w:fldCharType="separate"/>
      </w:r>
      <w:r>
        <w:t>343</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_Toc200720206 \h </w:instrText>
      </w:r>
      <w:r>
        <w:fldChar w:fldCharType="separate"/>
      </w:r>
      <w:r>
        <w:t>344</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_Toc200720207 \h </w:instrText>
      </w:r>
      <w:r>
        <w:fldChar w:fldCharType="separate"/>
      </w:r>
      <w:r>
        <w:t>345</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_Toc200720208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457A.</w:t>
      </w:r>
      <w:r>
        <w:tab/>
        <w:t>Application of Part</w:t>
      </w:r>
      <w:r>
        <w:tab/>
      </w:r>
      <w:r>
        <w:fldChar w:fldCharType="begin"/>
      </w:r>
      <w:r>
        <w:instrText xml:space="preserve"> PAGEREF _Toc200720210 \h </w:instrText>
      </w:r>
      <w:r>
        <w:fldChar w:fldCharType="separate"/>
      </w:r>
      <w:r>
        <w:t>346</w:t>
      </w:r>
      <w:r>
        <w:fldChar w:fldCharType="end"/>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_Toc200720211 \h </w:instrText>
      </w:r>
      <w:r>
        <w:fldChar w:fldCharType="separate"/>
      </w:r>
      <w:r>
        <w:t>346</w:t>
      </w:r>
      <w:r>
        <w:fldChar w:fldCharType="end"/>
      </w:r>
    </w:p>
    <w:p>
      <w:pPr>
        <w:pStyle w:val="TOC8"/>
        <w:rPr>
          <w:rFonts w:asciiTheme="minorHAnsi" w:eastAsiaTheme="minorEastAsia" w:hAnsiTheme="minorHAnsi" w:cstheme="minorBidi"/>
          <w:szCs w:val="22"/>
        </w:rPr>
      </w:pPr>
      <w:r>
        <w:lastRenderedPageBreak/>
        <w:t>459.</w:t>
      </w:r>
      <w:r>
        <w:tab/>
        <w:t>Asbestos removal supervisor must be present or readily available</w:t>
      </w:r>
      <w:r>
        <w:tab/>
      </w:r>
      <w:r>
        <w:fldChar w:fldCharType="begin"/>
      </w:r>
      <w:r>
        <w:instrText xml:space="preserve"> PAGEREF _Toc200720212 \h </w:instrText>
      </w:r>
      <w:r>
        <w:fldChar w:fldCharType="separate"/>
      </w:r>
      <w:r>
        <w:t>347</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_Toc200720213 \h </w:instrText>
      </w:r>
      <w:r>
        <w:fldChar w:fldCharType="separate"/>
      </w:r>
      <w:r>
        <w:t>347</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_Toc200720214 \h </w:instrText>
      </w:r>
      <w:r>
        <w:fldChar w:fldCharType="separate"/>
      </w:r>
      <w:r>
        <w:t>348</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_Toc200720215 \h </w:instrText>
      </w:r>
      <w:r>
        <w:fldChar w:fldCharType="separate"/>
      </w:r>
      <w:r>
        <w:t>349</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_Toc200720216 \h </w:instrText>
      </w:r>
      <w:r>
        <w:fldChar w:fldCharType="separate"/>
      </w:r>
      <w:r>
        <w:t>349</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_Toc200720217 \h </w:instrText>
      </w:r>
      <w:r>
        <w:fldChar w:fldCharType="separate"/>
      </w:r>
      <w:r>
        <w:t>350</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_Toc200720218 \h </w:instrText>
      </w:r>
      <w:r>
        <w:fldChar w:fldCharType="separate"/>
      </w:r>
      <w:r>
        <w:t>350</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_Toc200720219 \h </w:instrText>
      </w:r>
      <w:r>
        <w:fldChar w:fldCharType="separate"/>
      </w:r>
      <w:r>
        <w:t>351</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_Toc200720220 \h </w:instrText>
      </w:r>
      <w:r>
        <w:fldChar w:fldCharType="separate"/>
      </w:r>
      <w:r>
        <w:t>353</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_Toc200720221 \h </w:instrText>
      </w:r>
      <w:r>
        <w:fldChar w:fldCharType="separate"/>
      </w:r>
      <w:r>
        <w:t>354</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_Toc200720222 \h </w:instrText>
      </w:r>
      <w:r>
        <w:fldChar w:fldCharType="separate"/>
      </w:r>
      <w:r>
        <w:t>355</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_Toc200720223 \h </w:instrText>
      </w:r>
      <w:r>
        <w:fldChar w:fldCharType="separate"/>
      </w:r>
      <w:r>
        <w:t>356</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_Toc200720224 \h </w:instrText>
      </w:r>
      <w:r>
        <w:fldChar w:fldCharType="separate"/>
      </w:r>
      <w:r>
        <w:t>357</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_Toc200720225 \h </w:instrText>
      </w:r>
      <w:r>
        <w:fldChar w:fldCharType="separate"/>
      </w:r>
      <w:r>
        <w:t>358</w:t>
      </w:r>
      <w:r>
        <w:fldChar w:fldCharType="end"/>
      </w:r>
    </w:p>
    <w:p>
      <w:pPr>
        <w:pStyle w:val="TOC8"/>
        <w:rPr>
          <w:rFonts w:asciiTheme="minorHAnsi" w:eastAsiaTheme="minorEastAsia" w:hAnsiTheme="minorHAnsi" w:cstheme="minorBidi"/>
          <w:szCs w:val="22"/>
        </w:rPr>
      </w:pPr>
      <w:r>
        <w:t>473.</w:t>
      </w:r>
      <w:r>
        <w:tab/>
        <w:t>Clearance inspection</w:t>
      </w:r>
      <w:r>
        <w:tab/>
      </w:r>
      <w:r>
        <w:fldChar w:fldCharType="begin"/>
      </w:r>
      <w:r>
        <w:instrText xml:space="preserve"> PAGEREF _Toc200720226 \h </w:instrText>
      </w:r>
      <w:r>
        <w:fldChar w:fldCharType="separate"/>
      </w:r>
      <w:r>
        <w:t>359</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_Toc200720227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_Toc200720229 \h </w:instrText>
      </w:r>
      <w:r>
        <w:fldChar w:fldCharType="separate"/>
      </w:r>
      <w:r>
        <w:t>361</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_Toc200720230 \h </w:instrText>
      </w:r>
      <w:r>
        <w:fldChar w:fldCharType="separate"/>
      </w:r>
      <w:r>
        <w:t>363</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_Toc200720231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_Toc200720233 \h </w:instrText>
      </w:r>
      <w:r>
        <w:fldChar w:fldCharType="separate"/>
      </w:r>
      <w:r>
        <w:t>366</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_Toc200720234 \h </w:instrText>
      </w:r>
      <w:r>
        <w:fldChar w:fldCharType="separate"/>
      </w:r>
      <w:r>
        <w:t>367</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_Toc200720235 \h </w:instrText>
      </w:r>
      <w:r>
        <w:fldChar w:fldCharType="separate"/>
      </w:r>
      <w:r>
        <w:t>367</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_Toc200720236 \h </w:instrText>
      </w:r>
      <w:r>
        <w:fldChar w:fldCharType="separate"/>
      </w:r>
      <w:r>
        <w:t>368</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_Toc200720237 \h </w:instrText>
      </w:r>
      <w:r>
        <w:fldChar w:fldCharType="separate"/>
      </w:r>
      <w:r>
        <w:t>368</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_Toc200720238 \h </w:instrText>
      </w:r>
      <w:r>
        <w:fldChar w:fldCharType="separate"/>
      </w:r>
      <w:r>
        <w:t>369</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_Toc200720239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1A — Application</w:t>
      </w:r>
    </w:p>
    <w:p>
      <w:pPr>
        <w:pStyle w:val="TOC8"/>
        <w:rPr>
          <w:rFonts w:asciiTheme="minorHAnsi" w:eastAsiaTheme="minorEastAsia" w:hAnsiTheme="minorHAnsi" w:cstheme="minorBidi"/>
          <w:szCs w:val="22"/>
        </w:rPr>
      </w:pPr>
      <w:r>
        <w:t>484A.</w:t>
      </w:r>
      <w:r>
        <w:tab/>
        <w:t>Application of Part</w:t>
      </w:r>
      <w:r>
        <w:tab/>
      </w:r>
      <w:r>
        <w:fldChar w:fldCharType="begin"/>
      </w:r>
      <w:r>
        <w:instrText xml:space="preserve"> PAGEREF _Toc200720242 \h </w:instrText>
      </w:r>
      <w:r>
        <w:fldChar w:fldCharType="separate"/>
      </w:r>
      <w:r>
        <w:t>371</w:t>
      </w:r>
      <w:r>
        <w:fldChar w:fldCharType="end"/>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_Toc200720244 \h </w:instrText>
      </w:r>
      <w:r>
        <w:fldChar w:fldCharType="separate"/>
      </w:r>
      <w:r>
        <w:t>372</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_Toc200720245 \h </w:instrText>
      </w:r>
      <w:r>
        <w:fldChar w:fldCharType="separate"/>
      </w:r>
      <w:r>
        <w:t>372</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_Toc200720246 \h </w:instrText>
      </w:r>
      <w:r>
        <w:fldChar w:fldCharType="separate"/>
      </w:r>
      <w:r>
        <w:t>372</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_Toc200720247 \h </w:instrText>
      </w:r>
      <w:r>
        <w:fldChar w:fldCharType="separate"/>
      </w:r>
      <w:r>
        <w:t>373</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_Toc200720249 \h </w:instrText>
      </w:r>
      <w:r>
        <w:fldChar w:fldCharType="separate"/>
      </w:r>
      <w:r>
        <w:t>374</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_Toc200720250 \h </w:instrText>
      </w:r>
      <w:r>
        <w:fldChar w:fldCharType="separate"/>
      </w:r>
      <w:r>
        <w:t>374</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_Toc200720252 \h </w:instrText>
      </w:r>
      <w:r>
        <w:fldChar w:fldCharType="separate"/>
      </w:r>
      <w:r>
        <w:t>374</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_Toc200720253 \h </w:instrText>
      </w:r>
      <w:r>
        <w:fldChar w:fldCharType="separate"/>
      </w:r>
      <w:r>
        <w:t>375</w:t>
      </w:r>
      <w:r>
        <w:fldChar w:fldCharType="end"/>
      </w:r>
    </w:p>
    <w:p>
      <w:pPr>
        <w:pStyle w:val="TOC8"/>
        <w:rPr>
          <w:rFonts w:asciiTheme="minorHAnsi" w:eastAsiaTheme="minorEastAsia" w:hAnsiTheme="minorHAnsi" w:cstheme="minorBidi"/>
          <w:szCs w:val="22"/>
        </w:rPr>
      </w:pPr>
      <w:r>
        <w:t>493.</w:t>
      </w:r>
      <w:r>
        <w:tab/>
        <w:t>Not used</w:t>
      </w:r>
      <w:r>
        <w:tab/>
      </w:r>
      <w:r>
        <w:fldChar w:fldCharType="begin"/>
      </w:r>
      <w:r>
        <w:instrText xml:space="preserve"> PAGEREF _Toc200720254 \h </w:instrText>
      </w:r>
      <w:r>
        <w:fldChar w:fldCharType="separate"/>
      </w:r>
      <w:r>
        <w:t>375</w:t>
      </w:r>
      <w:r>
        <w:fldChar w:fldCharType="end"/>
      </w:r>
    </w:p>
    <w:p>
      <w:pPr>
        <w:pStyle w:val="TOC8"/>
        <w:rPr>
          <w:rFonts w:asciiTheme="minorHAnsi" w:eastAsiaTheme="minorEastAsia" w:hAnsiTheme="minorHAnsi" w:cstheme="minorBidi"/>
          <w:szCs w:val="22"/>
        </w:rPr>
      </w:pPr>
      <w:r>
        <w:t>494.</w:t>
      </w:r>
      <w:r>
        <w:tab/>
        <w:t>Not used</w:t>
      </w:r>
      <w:r>
        <w:tab/>
      </w:r>
      <w:r>
        <w:fldChar w:fldCharType="begin"/>
      </w:r>
      <w:r>
        <w:instrText xml:space="preserve"> PAGEREF _Toc200720255 \h </w:instrText>
      </w:r>
      <w:r>
        <w:fldChar w:fldCharType="separate"/>
      </w:r>
      <w:r>
        <w:t>375</w:t>
      </w:r>
      <w:r>
        <w:fldChar w:fldCharType="end"/>
      </w:r>
    </w:p>
    <w:p>
      <w:pPr>
        <w:pStyle w:val="TOC8"/>
        <w:rPr>
          <w:rFonts w:asciiTheme="minorHAnsi" w:eastAsiaTheme="minorEastAsia" w:hAnsiTheme="minorHAnsi" w:cstheme="minorBidi"/>
          <w:szCs w:val="22"/>
        </w:rPr>
      </w:pPr>
      <w:r>
        <w:t>495.</w:t>
      </w:r>
      <w:r>
        <w:tab/>
        <w:t>Not used</w:t>
      </w:r>
      <w:r>
        <w:tab/>
      </w:r>
      <w:r>
        <w:fldChar w:fldCharType="begin"/>
      </w:r>
      <w:r>
        <w:instrText xml:space="preserve"> PAGEREF _Toc200720256 \h </w:instrText>
      </w:r>
      <w:r>
        <w:fldChar w:fldCharType="separate"/>
      </w:r>
      <w:r>
        <w:t>375</w:t>
      </w:r>
      <w:r>
        <w:fldChar w:fldCharType="end"/>
      </w:r>
    </w:p>
    <w:p>
      <w:pPr>
        <w:pStyle w:val="TOC8"/>
        <w:rPr>
          <w:rFonts w:asciiTheme="minorHAnsi" w:eastAsiaTheme="minorEastAsia" w:hAnsiTheme="minorHAnsi" w:cstheme="minorBidi"/>
          <w:szCs w:val="22"/>
        </w:rPr>
      </w:pPr>
      <w:r>
        <w:t>496.</w:t>
      </w:r>
      <w:r>
        <w:tab/>
        <w:t>Not used</w:t>
      </w:r>
      <w:r>
        <w:tab/>
      </w:r>
      <w:r>
        <w:fldChar w:fldCharType="begin"/>
      </w:r>
      <w:r>
        <w:instrText xml:space="preserve"> PAGEREF _Toc200720257 \h </w:instrText>
      </w:r>
      <w:r>
        <w:fldChar w:fldCharType="separate"/>
      </w:r>
      <w:r>
        <w:t>375</w:t>
      </w:r>
      <w:r>
        <w:fldChar w:fldCharType="end"/>
      </w:r>
    </w:p>
    <w:p>
      <w:pPr>
        <w:pStyle w:val="TOC8"/>
        <w:rPr>
          <w:rFonts w:asciiTheme="minorHAnsi" w:eastAsiaTheme="minorEastAsia" w:hAnsiTheme="minorHAnsi" w:cstheme="minorBidi"/>
          <w:szCs w:val="22"/>
        </w:rPr>
      </w:pPr>
      <w:r>
        <w:t>497.</w:t>
      </w:r>
      <w:r>
        <w:tab/>
        <w:t>Not used</w:t>
      </w:r>
      <w:r>
        <w:tab/>
      </w:r>
      <w:r>
        <w:fldChar w:fldCharType="begin"/>
      </w:r>
      <w:r>
        <w:instrText xml:space="preserve"> PAGEREF _Toc200720258 \h </w:instrText>
      </w:r>
      <w:r>
        <w:fldChar w:fldCharType="separate"/>
      </w:r>
      <w:r>
        <w:t>375</w:t>
      </w:r>
      <w:r>
        <w:fldChar w:fldCharType="end"/>
      </w:r>
    </w:p>
    <w:p>
      <w:pPr>
        <w:pStyle w:val="TOC8"/>
        <w:rPr>
          <w:rFonts w:asciiTheme="minorHAnsi" w:eastAsiaTheme="minorEastAsia" w:hAnsiTheme="minorHAnsi" w:cstheme="minorBidi"/>
          <w:szCs w:val="22"/>
        </w:rPr>
      </w:pPr>
      <w:r>
        <w:t>498.</w:t>
      </w:r>
      <w:r>
        <w:tab/>
        <w:t>Not used</w:t>
      </w:r>
      <w:r>
        <w:tab/>
      </w:r>
      <w:r>
        <w:fldChar w:fldCharType="begin"/>
      </w:r>
      <w:r>
        <w:instrText xml:space="preserve"> PAGEREF _Toc200720259 \h </w:instrText>
      </w:r>
      <w:r>
        <w:fldChar w:fldCharType="separate"/>
      </w:r>
      <w:r>
        <w:t>375</w:t>
      </w:r>
      <w:r>
        <w:fldChar w:fldCharType="end"/>
      </w:r>
    </w:p>
    <w:p>
      <w:pPr>
        <w:pStyle w:val="TOC8"/>
        <w:rPr>
          <w:rFonts w:asciiTheme="minorHAnsi" w:eastAsiaTheme="minorEastAsia" w:hAnsiTheme="minorHAnsi" w:cstheme="minorBidi"/>
          <w:szCs w:val="22"/>
        </w:rPr>
      </w:pPr>
      <w:r>
        <w:t>499.</w:t>
      </w:r>
      <w:r>
        <w:tab/>
        <w:t>Not used</w:t>
      </w:r>
      <w:r>
        <w:tab/>
      </w:r>
      <w:r>
        <w:fldChar w:fldCharType="begin"/>
      </w:r>
      <w:r>
        <w:instrText xml:space="preserve"> PAGEREF _Toc200720260 \h </w:instrText>
      </w:r>
      <w:r>
        <w:fldChar w:fldCharType="separate"/>
      </w:r>
      <w:r>
        <w:t>375</w:t>
      </w:r>
      <w:r>
        <w:fldChar w:fldCharType="end"/>
      </w:r>
    </w:p>
    <w:p>
      <w:pPr>
        <w:pStyle w:val="TOC8"/>
        <w:rPr>
          <w:rFonts w:asciiTheme="minorHAnsi" w:eastAsiaTheme="minorEastAsia" w:hAnsiTheme="minorHAnsi" w:cstheme="minorBidi"/>
          <w:szCs w:val="22"/>
        </w:rPr>
      </w:pPr>
      <w:r>
        <w:t>500.</w:t>
      </w:r>
      <w:r>
        <w:tab/>
        <w:t>Not used</w:t>
      </w:r>
      <w:r>
        <w:tab/>
      </w:r>
      <w:r>
        <w:fldChar w:fldCharType="begin"/>
      </w:r>
      <w:r>
        <w:instrText xml:space="preserve"> PAGEREF _Toc200720261 \h </w:instrText>
      </w:r>
      <w:r>
        <w:fldChar w:fldCharType="separate"/>
      </w:r>
      <w:r>
        <w:t>375</w:t>
      </w:r>
      <w:r>
        <w:fldChar w:fldCharType="end"/>
      </w:r>
    </w:p>
    <w:p>
      <w:pPr>
        <w:pStyle w:val="TOC8"/>
        <w:rPr>
          <w:rFonts w:asciiTheme="minorHAnsi" w:eastAsiaTheme="minorEastAsia" w:hAnsiTheme="minorHAnsi" w:cstheme="minorBidi"/>
          <w:szCs w:val="22"/>
        </w:rPr>
      </w:pPr>
      <w:r>
        <w:t>501.</w:t>
      </w:r>
      <w:r>
        <w:tab/>
        <w:t>Not used</w:t>
      </w:r>
      <w:r>
        <w:tab/>
      </w:r>
      <w:r>
        <w:fldChar w:fldCharType="begin"/>
      </w:r>
      <w:r>
        <w:instrText xml:space="preserve"> PAGEREF _Toc200720262 \h </w:instrText>
      </w:r>
      <w:r>
        <w:fldChar w:fldCharType="separate"/>
      </w:r>
      <w:r>
        <w:t>375</w:t>
      </w:r>
      <w:r>
        <w:fldChar w:fldCharType="end"/>
      </w:r>
    </w:p>
    <w:p>
      <w:pPr>
        <w:pStyle w:val="TOC8"/>
        <w:rPr>
          <w:rFonts w:asciiTheme="minorHAnsi" w:eastAsiaTheme="minorEastAsia" w:hAnsiTheme="minorHAnsi" w:cstheme="minorBidi"/>
          <w:szCs w:val="22"/>
        </w:rPr>
      </w:pPr>
      <w:r>
        <w:t>502.</w:t>
      </w:r>
      <w:r>
        <w:tab/>
        <w:t>Not used</w:t>
      </w:r>
      <w:r>
        <w:tab/>
      </w:r>
      <w:r>
        <w:fldChar w:fldCharType="begin"/>
      </w:r>
      <w:r>
        <w:instrText xml:space="preserve"> PAGEREF _Toc200720263 \h </w:instrText>
      </w:r>
      <w:r>
        <w:fldChar w:fldCharType="separate"/>
      </w:r>
      <w:r>
        <w:t>375</w:t>
      </w:r>
      <w:r>
        <w:fldChar w:fldCharType="end"/>
      </w:r>
    </w:p>
    <w:p>
      <w:pPr>
        <w:pStyle w:val="TOC8"/>
        <w:rPr>
          <w:rFonts w:asciiTheme="minorHAnsi" w:eastAsiaTheme="minorEastAsia" w:hAnsiTheme="minorHAnsi" w:cstheme="minorBidi"/>
          <w:szCs w:val="22"/>
        </w:rPr>
      </w:pPr>
      <w:r>
        <w:t>503.</w:t>
      </w:r>
      <w:r>
        <w:tab/>
        <w:t>Not used</w:t>
      </w:r>
      <w:r>
        <w:tab/>
      </w:r>
      <w:r>
        <w:fldChar w:fldCharType="begin"/>
      </w:r>
      <w:r>
        <w:instrText xml:space="preserve"> PAGEREF _Toc200720264 \h </w:instrText>
      </w:r>
      <w:r>
        <w:fldChar w:fldCharType="separate"/>
      </w:r>
      <w:r>
        <w:t>375</w:t>
      </w:r>
      <w:r>
        <w:fldChar w:fldCharType="end"/>
      </w:r>
    </w:p>
    <w:p>
      <w:pPr>
        <w:pStyle w:val="TOC8"/>
        <w:rPr>
          <w:rFonts w:asciiTheme="minorHAnsi" w:eastAsiaTheme="minorEastAsia" w:hAnsiTheme="minorHAnsi" w:cstheme="minorBidi"/>
          <w:szCs w:val="22"/>
        </w:rPr>
      </w:pPr>
      <w:r>
        <w:t>504.</w:t>
      </w:r>
      <w:r>
        <w:tab/>
        <w:t>Not used</w:t>
      </w:r>
      <w:r>
        <w:tab/>
      </w:r>
      <w:r>
        <w:fldChar w:fldCharType="begin"/>
      </w:r>
      <w:r>
        <w:instrText xml:space="preserve"> PAGEREF _Toc200720265 \h </w:instrText>
      </w:r>
      <w:r>
        <w:fldChar w:fldCharType="separate"/>
      </w:r>
      <w:r>
        <w:t>375</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_Toc200720266 \h </w:instrText>
      </w:r>
      <w:r>
        <w:fldChar w:fldCharType="separate"/>
      </w:r>
      <w:r>
        <w:t>376</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506.</w:t>
      </w:r>
      <w:r>
        <w:tab/>
        <w:t>Not used</w:t>
      </w:r>
      <w:r>
        <w:tab/>
      </w:r>
      <w:r>
        <w:fldChar w:fldCharType="begin"/>
      </w:r>
      <w:r>
        <w:instrText xml:space="preserve"> PAGEREF _Toc200720268 \h </w:instrText>
      </w:r>
      <w:r>
        <w:fldChar w:fldCharType="separate"/>
      </w:r>
      <w:r>
        <w:t>376</w:t>
      </w:r>
      <w:r>
        <w:fldChar w:fldCharType="end"/>
      </w:r>
    </w:p>
    <w:p>
      <w:pPr>
        <w:pStyle w:val="TOC8"/>
        <w:rPr>
          <w:rFonts w:asciiTheme="minorHAnsi" w:eastAsiaTheme="minorEastAsia" w:hAnsiTheme="minorHAnsi" w:cstheme="minorBidi"/>
          <w:szCs w:val="22"/>
        </w:rPr>
      </w:pPr>
      <w:r>
        <w:t>507.</w:t>
      </w:r>
      <w:r>
        <w:tab/>
        <w:t>Not used</w:t>
      </w:r>
      <w:r>
        <w:tab/>
      </w:r>
      <w:r>
        <w:fldChar w:fldCharType="begin"/>
      </w:r>
      <w:r>
        <w:instrText xml:space="preserve"> PAGEREF _Toc200720269 \h </w:instrText>
      </w:r>
      <w:r>
        <w:fldChar w:fldCharType="separate"/>
      </w:r>
      <w:r>
        <w:t>376</w:t>
      </w:r>
      <w:r>
        <w:fldChar w:fldCharType="end"/>
      </w:r>
    </w:p>
    <w:p>
      <w:pPr>
        <w:pStyle w:val="TOC8"/>
        <w:rPr>
          <w:rFonts w:asciiTheme="minorHAnsi" w:eastAsiaTheme="minorEastAsia" w:hAnsiTheme="minorHAnsi" w:cstheme="minorBidi"/>
          <w:szCs w:val="22"/>
        </w:rPr>
      </w:pPr>
      <w:r>
        <w:lastRenderedPageBreak/>
        <w:t>508.</w:t>
      </w:r>
      <w:r>
        <w:tab/>
        <w:t>Not used</w:t>
      </w:r>
      <w:r>
        <w:tab/>
      </w:r>
      <w:r>
        <w:fldChar w:fldCharType="begin"/>
      </w:r>
      <w:r>
        <w:instrText xml:space="preserve"> PAGEREF _Toc200720270 \h </w:instrText>
      </w:r>
      <w:r>
        <w:fldChar w:fldCharType="separate"/>
      </w:r>
      <w:r>
        <w:t>376</w:t>
      </w:r>
      <w:r>
        <w:fldChar w:fldCharType="end"/>
      </w:r>
    </w:p>
    <w:p>
      <w:pPr>
        <w:pStyle w:val="TOC8"/>
        <w:rPr>
          <w:rFonts w:asciiTheme="minorHAnsi" w:eastAsiaTheme="minorEastAsia" w:hAnsiTheme="minorHAnsi" w:cstheme="minorBidi"/>
          <w:szCs w:val="22"/>
        </w:rPr>
      </w:pPr>
      <w:r>
        <w:t>509.</w:t>
      </w:r>
      <w:r>
        <w:tab/>
        <w:t>Not used</w:t>
      </w:r>
      <w:r>
        <w:tab/>
      </w:r>
      <w:r>
        <w:fldChar w:fldCharType="begin"/>
      </w:r>
      <w:r>
        <w:instrText xml:space="preserve"> PAGEREF _Toc200720271 \h </w:instrText>
      </w:r>
      <w:r>
        <w:fldChar w:fldCharType="separate"/>
      </w:r>
      <w:r>
        <w:t>376</w:t>
      </w:r>
      <w:r>
        <w:fldChar w:fldCharType="end"/>
      </w:r>
    </w:p>
    <w:p>
      <w:pPr>
        <w:pStyle w:val="TOC8"/>
        <w:rPr>
          <w:rFonts w:asciiTheme="minorHAnsi" w:eastAsiaTheme="minorEastAsia" w:hAnsiTheme="minorHAnsi" w:cstheme="minorBidi"/>
          <w:szCs w:val="22"/>
        </w:rPr>
      </w:pPr>
      <w:r>
        <w:t>510.</w:t>
      </w:r>
      <w:r>
        <w:tab/>
        <w:t>Not used</w:t>
      </w:r>
      <w:r>
        <w:tab/>
      </w:r>
      <w:r>
        <w:fldChar w:fldCharType="begin"/>
      </w:r>
      <w:r>
        <w:instrText xml:space="preserve"> PAGEREF _Toc200720272 \h </w:instrText>
      </w:r>
      <w:r>
        <w:fldChar w:fldCharType="separate"/>
      </w:r>
      <w:r>
        <w:t>376</w:t>
      </w:r>
      <w:r>
        <w:fldChar w:fldCharType="end"/>
      </w:r>
    </w:p>
    <w:p>
      <w:pPr>
        <w:pStyle w:val="TOC8"/>
        <w:rPr>
          <w:rFonts w:asciiTheme="minorHAnsi" w:eastAsiaTheme="minorEastAsia" w:hAnsiTheme="minorHAnsi" w:cstheme="minorBidi"/>
          <w:szCs w:val="22"/>
        </w:rPr>
      </w:pPr>
      <w:r>
        <w:t>511.</w:t>
      </w:r>
      <w:r>
        <w:tab/>
        <w:t>Not used</w:t>
      </w:r>
      <w:r>
        <w:tab/>
      </w:r>
      <w:r>
        <w:fldChar w:fldCharType="begin"/>
      </w:r>
      <w:r>
        <w:instrText xml:space="preserve"> PAGEREF _Toc200720273 \h </w:instrText>
      </w:r>
      <w:r>
        <w:fldChar w:fldCharType="separate"/>
      </w:r>
      <w:r>
        <w:t>376</w:t>
      </w:r>
      <w:r>
        <w:fldChar w:fldCharType="end"/>
      </w:r>
    </w:p>
    <w:p>
      <w:pPr>
        <w:pStyle w:val="TOC8"/>
        <w:rPr>
          <w:rFonts w:asciiTheme="minorHAnsi" w:eastAsiaTheme="minorEastAsia" w:hAnsiTheme="minorHAnsi" w:cstheme="minorBidi"/>
          <w:szCs w:val="22"/>
        </w:rPr>
      </w:pPr>
      <w:r>
        <w:t>512.</w:t>
      </w:r>
      <w:r>
        <w:tab/>
        <w:t>Not used</w:t>
      </w:r>
      <w:r>
        <w:tab/>
      </w:r>
      <w:r>
        <w:fldChar w:fldCharType="begin"/>
      </w:r>
      <w:r>
        <w:instrText xml:space="preserve"> PAGEREF _Toc200720274 \h </w:instrText>
      </w:r>
      <w:r>
        <w:fldChar w:fldCharType="separate"/>
      </w:r>
      <w:r>
        <w:t>376</w:t>
      </w:r>
      <w:r>
        <w:fldChar w:fldCharType="end"/>
      </w:r>
    </w:p>
    <w:p>
      <w:pPr>
        <w:pStyle w:val="TOC8"/>
        <w:rPr>
          <w:rFonts w:asciiTheme="minorHAnsi" w:eastAsiaTheme="minorEastAsia" w:hAnsiTheme="minorHAnsi" w:cstheme="minorBidi"/>
          <w:szCs w:val="22"/>
        </w:rPr>
      </w:pPr>
      <w:r>
        <w:t>513.</w:t>
      </w:r>
      <w:r>
        <w:tab/>
        <w:t>Not used</w:t>
      </w:r>
      <w:r>
        <w:tab/>
      </w:r>
      <w:r>
        <w:fldChar w:fldCharType="begin"/>
      </w:r>
      <w:r>
        <w:instrText xml:space="preserve"> PAGEREF _Toc200720275 \h </w:instrText>
      </w:r>
      <w:r>
        <w:fldChar w:fldCharType="separate"/>
      </w:r>
      <w:r>
        <w:t>376</w:t>
      </w:r>
      <w:r>
        <w:fldChar w:fldCharType="end"/>
      </w:r>
    </w:p>
    <w:p>
      <w:pPr>
        <w:pStyle w:val="TOC8"/>
        <w:rPr>
          <w:rFonts w:asciiTheme="minorHAnsi" w:eastAsiaTheme="minorEastAsia" w:hAnsiTheme="minorHAnsi" w:cstheme="minorBidi"/>
          <w:szCs w:val="22"/>
        </w:rPr>
      </w:pPr>
      <w:r>
        <w:t>514.</w:t>
      </w:r>
      <w:r>
        <w:tab/>
        <w:t>Not used</w:t>
      </w:r>
      <w:r>
        <w:tab/>
      </w:r>
      <w:r>
        <w:fldChar w:fldCharType="begin"/>
      </w:r>
      <w:r>
        <w:instrText xml:space="preserve"> PAGEREF _Toc200720276 \h </w:instrText>
      </w:r>
      <w:r>
        <w:fldChar w:fldCharType="separate"/>
      </w:r>
      <w:r>
        <w:t>377</w:t>
      </w:r>
      <w:r>
        <w:fldChar w:fldCharType="end"/>
      </w:r>
    </w:p>
    <w:p>
      <w:pPr>
        <w:pStyle w:val="TOC6"/>
        <w:tabs>
          <w:tab w:val="right" w:leader="dot" w:pos="7077"/>
        </w:tabs>
        <w:rPr>
          <w:rFonts w:asciiTheme="minorHAnsi" w:eastAsiaTheme="minorEastAsia" w:hAnsiTheme="minorHAnsi" w:cstheme="minorBidi"/>
          <w:b w:val="0"/>
          <w:sz w:val="22"/>
          <w:szCs w:val="22"/>
        </w:rPr>
      </w:pPr>
      <w:r>
        <w:t>Division 5 — Not used</w:t>
      </w:r>
    </w:p>
    <w:p>
      <w:pPr>
        <w:pStyle w:val="TOC8"/>
        <w:rPr>
          <w:rFonts w:asciiTheme="minorHAnsi" w:eastAsiaTheme="minorEastAsia" w:hAnsiTheme="minorHAnsi" w:cstheme="minorBidi"/>
          <w:szCs w:val="22"/>
        </w:rPr>
      </w:pPr>
      <w:r>
        <w:t>515.</w:t>
      </w:r>
      <w:r>
        <w:tab/>
        <w:t>Not used</w:t>
      </w:r>
      <w:r>
        <w:tab/>
      </w:r>
      <w:r>
        <w:fldChar w:fldCharType="begin"/>
      </w:r>
      <w:r>
        <w:instrText xml:space="preserve"> PAGEREF _Toc200720278 \h </w:instrText>
      </w:r>
      <w:r>
        <w:fldChar w:fldCharType="separate"/>
      </w:r>
      <w:r>
        <w:t>377</w:t>
      </w:r>
      <w:r>
        <w:fldChar w:fldCharType="end"/>
      </w:r>
    </w:p>
    <w:p>
      <w:pPr>
        <w:pStyle w:val="TOC8"/>
        <w:rPr>
          <w:rFonts w:asciiTheme="minorHAnsi" w:eastAsiaTheme="minorEastAsia" w:hAnsiTheme="minorHAnsi" w:cstheme="minorBidi"/>
          <w:szCs w:val="22"/>
        </w:rPr>
      </w:pPr>
      <w:r>
        <w:t>516.</w:t>
      </w:r>
      <w:r>
        <w:tab/>
        <w:t>Not used</w:t>
      </w:r>
      <w:r>
        <w:tab/>
      </w:r>
      <w:r>
        <w:fldChar w:fldCharType="begin"/>
      </w:r>
      <w:r>
        <w:instrText xml:space="preserve"> PAGEREF _Toc200720279 \h </w:instrText>
      </w:r>
      <w:r>
        <w:fldChar w:fldCharType="separate"/>
      </w:r>
      <w:r>
        <w:t>377</w:t>
      </w:r>
      <w:r>
        <w:fldChar w:fldCharType="end"/>
      </w:r>
    </w:p>
    <w:p>
      <w:pPr>
        <w:pStyle w:val="TOC8"/>
        <w:rPr>
          <w:rFonts w:asciiTheme="minorHAnsi" w:eastAsiaTheme="minorEastAsia" w:hAnsiTheme="minorHAnsi" w:cstheme="minorBidi"/>
          <w:szCs w:val="22"/>
        </w:rPr>
      </w:pPr>
      <w:r>
        <w:t>517.</w:t>
      </w:r>
      <w:r>
        <w:tab/>
        <w:t>Not used</w:t>
      </w:r>
      <w:r>
        <w:tab/>
      </w:r>
      <w:r>
        <w:fldChar w:fldCharType="begin"/>
      </w:r>
      <w:r>
        <w:instrText xml:space="preserve"> PAGEREF _Toc200720280 \h </w:instrText>
      </w:r>
      <w:r>
        <w:fldChar w:fldCharType="separate"/>
      </w:r>
      <w:r>
        <w:t>377</w:t>
      </w:r>
      <w:r>
        <w:fldChar w:fldCharType="end"/>
      </w:r>
    </w:p>
    <w:p>
      <w:pPr>
        <w:pStyle w:val="TOC8"/>
        <w:rPr>
          <w:rFonts w:asciiTheme="minorHAnsi" w:eastAsiaTheme="minorEastAsia" w:hAnsiTheme="minorHAnsi" w:cstheme="minorBidi"/>
          <w:szCs w:val="22"/>
        </w:rPr>
      </w:pPr>
      <w:r>
        <w:t>518.</w:t>
      </w:r>
      <w:r>
        <w:tab/>
        <w:t>Not used</w:t>
      </w:r>
      <w:r>
        <w:tab/>
      </w:r>
      <w:r>
        <w:fldChar w:fldCharType="begin"/>
      </w:r>
      <w:r>
        <w:instrText xml:space="preserve"> PAGEREF _Toc200720281 \h </w:instrText>
      </w:r>
      <w:r>
        <w:fldChar w:fldCharType="separate"/>
      </w:r>
      <w:r>
        <w:t>377</w:t>
      </w:r>
      <w:r>
        <w:fldChar w:fldCharType="end"/>
      </w:r>
    </w:p>
    <w:p>
      <w:pPr>
        <w:pStyle w:val="TOC8"/>
        <w:rPr>
          <w:rFonts w:asciiTheme="minorHAnsi" w:eastAsiaTheme="minorEastAsia" w:hAnsiTheme="minorHAnsi" w:cstheme="minorBidi"/>
          <w:szCs w:val="22"/>
        </w:rPr>
      </w:pPr>
      <w:r>
        <w:t>519.</w:t>
      </w:r>
      <w:r>
        <w:tab/>
        <w:t>Not used</w:t>
      </w:r>
      <w:r>
        <w:tab/>
      </w:r>
      <w:r>
        <w:fldChar w:fldCharType="begin"/>
      </w:r>
      <w:r>
        <w:instrText xml:space="preserve"> PAGEREF _Toc200720282 \h </w:instrText>
      </w:r>
      <w:r>
        <w:fldChar w:fldCharType="separate"/>
      </w:r>
      <w:r>
        <w:t>377</w:t>
      </w:r>
      <w:r>
        <w:fldChar w:fldCharType="end"/>
      </w:r>
    </w:p>
    <w:p>
      <w:pPr>
        <w:pStyle w:val="TOC6"/>
        <w:tabs>
          <w:tab w:val="right" w:leader="dot" w:pos="7077"/>
        </w:tabs>
        <w:rPr>
          <w:rFonts w:asciiTheme="minorHAnsi" w:eastAsiaTheme="minorEastAsia" w:hAnsiTheme="minorHAnsi" w:cstheme="minorBidi"/>
          <w:b w:val="0"/>
          <w:sz w:val="22"/>
          <w:szCs w:val="22"/>
        </w:rPr>
      </w:pPr>
      <w:r>
        <w:t>Division 6 — Not used</w:t>
      </w:r>
    </w:p>
    <w:p>
      <w:pPr>
        <w:pStyle w:val="TOC8"/>
        <w:rPr>
          <w:rFonts w:asciiTheme="minorHAnsi" w:eastAsiaTheme="minorEastAsia" w:hAnsiTheme="minorHAnsi" w:cstheme="minorBidi"/>
          <w:szCs w:val="22"/>
        </w:rPr>
      </w:pPr>
      <w:r>
        <w:t>520.</w:t>
      </w:r>
      <w:r>
        <w:tab/>
        <w:t>Not used</w:t>
      </w:r>
      <w:r>
        <w:tab/>
      </w:r>
      <w:r>
        <w:fldChar w:fldCharType="begin"/>
      </w:r>
      <w:r>
        <w:instrText xml:space="preserve"> PAGEREF _Toc200720284 \h </w:instrText>
      </w:r>
      <w:r>
        <w:fldChar w:fldCharType="separate"/>
      </w:r>
      <w:r>
        <w:t>377</w:t>
      </w:r>
      <w:r>
        <w:fldChar w:fldCharType="end"/>
      </w:r>
    </w:p>
    <w:p>
      <w:pPr>
        <w:pStyle w:val="TOC8"/>
        <w:rPr>
          <w:rFonts w:asciiTheme="minorHAnsi" w:eastAsiaTheme="minorEastAsia" w:hAnsiTheme="minorHAnsi" w:cstheme="minorBidi"/>
          <w:szCs w:val="22"/>
        </w:rPr>
      </w:pPr>
      <w:r>
        <w:t>521.</w:t>
      </w:r>
      <w:r>
        <w:tab/>
        <w:t>Not used</w:t>
      </w:r>
      <w:r>
        <w:tab/>
      </w:r>
      <w:r>
        <w:fldChar w:fldCharType="begin"/>
      </w:r>
      <w:r>
        <w:instrText xml:space="preserve"> PAGEREF _Toc200720285 \h </w:instrText>
      </w:r>
      <w:r>
        <w:fldChar w:fldCharType="separate"/>
      </w:r>
      <w:r>
        <w:t>377</w:t>
      </w:r>
      <w:r>
        <w:fldChar w:fldCharType="end"/>
      </w:r>
    </w:p>
    <w:p>
      <w:pPr>
        <w:pStyle w:val="TOC8"/>
        <w:rPr>
          <w:rFonts w:asciiTheme="minorHAnsi" w:eastAsiaTheme="minorEastAsia" w:hAnsiTheme="minorHAnsi" w:cstheme="minorBidi"/>
          <w:szCs w:val="22"/>
        </w:rPr>
      </w:pPr>
      <w:r>
        <w:t>522.</w:t>
      </w:r>
      <w:r>
        <w:tab/>
        <w:t>Not used</w:t>
      </w:r>
      <w:r>
        <w:tab/>
      </w:r>
      <w:r>
        <w:fldChar w:fldCharType="begin"/>
      </w:r>
      <w:r>
        <w:instrText xml:space="preserve"> PAGEREF _Toc200720286 \h </w:instrText>
      </w:r>
      <w:r>
        <w:fldChar w:fldCharType="separate"/>
      </w:r>
      <w:r>
        <w:t>377</w:t>
      </w:r>
      <w:r>
        <w:fldChar w:fldCharType="end"/>
      </w:r>
    </w:p>
    <w:p>
      <w:pPr>
        <w:pStyle w:val="TOC8"/>
        <w:rPr>
          <w:rFonts w:asciiTheme="minorHAnsi" w:eastAsiaTheme="minorEastAsia" w:hAnsiTheme="minorHAnsi" w:cstheme="minorBidi"/>
          <w:szCs w:val="22"/>
        </w:rPr>
      </w:pPr>
      <w:r>
        <w:t>523.</w:t>
      </w:r>
      <w:r>
        <w:tab/>
        <w:t>Not used</w:t>
      </w:r>
      <w:r>
        <w:tab/>
      </w:r>
      <w:r>
        <w:fldChar w:fldCharType="begin"/>
      </w:r>
      <w:r>
        <w:instrText xml:space="preserve"> PAGEREF _Toc200720287 \h </w:instrText>
      </w:r>
      <w:r>
        <w:fldChar w:fldCharType="separate"/>
      </w:r>
      <w:r>
        <w:t>377</w:t>
      </w:r>
      <w:r>
        <w:fldChar w:fldCharType="end"/>
      </w:r>
    </w:p>
    <w:p>
      <w:pPr>
        <w:pStyle w:val="TOC8"/>
        <w:rPr>
          <w:rFonts w:asciiTheme="minorHAnsi" w:eastAsiaTheme="minorEastAsia" w:hAnsiTheme="minorHAnsi" w:cstheme="minorBidi"/>
          <w:szCs w:val="22"/>
        </w:rPr>
      </w:pPr>
      <w:r>
        <w:t>524.</w:t>
      </w:r>
      <w:r>
        <w:tab/>
        <w:t>Not used</w:t>
      </w:r>
      <w:r>
        <w:tab/>
      </w:r>
      <w:r>
        <w:fldChar w:fldCharType="begin"/>
      </w:r>
      <w:r>
        <w:instrText xml:space="preserve"> PAGEREF _Toc200720288 \h </w:instrText>
      </w:r>
      <w:r>
        <w:fldChar w:fldCharType="separate"/>
      </w:r>
      <w:r>
        <w:t>377</w:t>
      </w:r>
      <w:r>
        <w:fldChar w:fldCharType="end"/>
      </w:r>
    </w:p>
    <w:p>
      <w:pPr>
        <w:pStyle w:val="TOC8"/>
        <w:rPr>
          <w:rFonts w:asciiTheme="minorHAnsi" w:eastAsiaTheme="minorEastAsia" w:hAnsiTheme="minorHAnsi" w:cstheme="minorBidi"/>
          <w:szCs w:val="22"/>
        </w:rPr>
      </w:pPr>
      <w:r>
        <w:t>525.</w:t>
      </w:r>
      <w:r>
        <w:tab/>
        <w:t>Not used</w:t>
      </w:r>
      <w:r>
        <w:tab/>
      </w:r>
      <w:r>
        <w:fldChar w:fldCharType="begin"/>
      </w:r>
      <w:r>
        <w:instrText xml:space="preserve"> PAGEREF _Toc200720289 \h </w:instrText>
      </w:r>
      <w:r>
        <w:fldChar w:fldCharType="separate"/>
      </w:r>
      <w:r>
        <w:t>377</w:t>
      </w:r>
      <w:r>
        <w:fldChar w:fldCharType="end"/>
      </w:r>
    </w:p>
    <w:p>
      <w:pPr>
        <w:pStyle w:val="TOC8"/>
        <w:rPr>
          <w:rFonts w:asciiTheme="minorHAnsi" w:eastAsiaTheme="minorEastAsia" w:hAnsiTheme="minorHAnsi" w:cstheme="minorBidi"/>
          <w:szCs w:val="22"/>
        </w:rPr>
      </w:pPr>
      <w:r>
        <w:t>526.</w:t>
      </w:r>
      <w:r>
        <w:tab/>
        <w:t>Not used</w:t>
      </w:r>
      <w:r>
        <w:tab/>
      </w:r>
      <w:r>
        <w:fldChar w:fldCharType="begin"/>
      </w:r>
      <w:r>
        <w:instrText xml:space="preserve"> PAGEREF _Toc200720290 \h </w:instrText>
      </w:r>
      <w:r>
        <w:fldChar w:fldCharType="separate"/>
      </w:r>
      <w:r>
        <w:t>377</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Not used</w:t>
      </w:r>
      <w:r>
        <w:tab/>
      </w:r>
      <w:r>
        <w:fldChar w:fldCharType="begin"/>
      </w:r>
      <w:r>
        <w:instrText xml:space="preserve"> PAGEREF _Toc200720292 \h </w:instrText>
      </w:r>
      <w:r>
        <w:fldChar w:fldCharType="separate"/>
      </w:r>
      <w:r>
        <w:t>377</w:t>
      </w:r>
      <w:r>
        <w:fldChar w:fldCharType="end"/>
      </w:r>
    </w:p>
    <w:p>
      <w:pPr>
        <w:pStyle w:val="TOC8"/>
        <w:rPr>
          <w:rFonts w:asciiTheme="minorHAnsi" w:eastAsiaTheme="minorEastAsia" w:hAnsiTheme="minorHAnsi" w:cstheme="minorBidi"/>
          <w:szCs w:val="22"/>
        </w:rPr>
      </w:pPr>
      <w:r>
        <w:t>528.</w:t>
      </w:r>
      <w:r>
        <w:tab/>
        <w:t>Not used</w:t>
      </w:r>
      <w:r>
        <w:tab/>
      </w:r>
      <w:r>
        <w:fldChar w:fldCharType="begin"/>
      </w:r>
      <w:r>
        <w:instrText xml:space="preserve"> PAGEREF _Toc200720293 \h </w:instrText>
      </w:r>
      <w:r>
        <w:fldChar w:fldCharType="separate"/>
      </w:r>
      <w:r>
        <w:t>377</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_Toc200720294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_Toc200720296 \h </w:instrText>
      </w:r>
      <w:r>
        <w:fldChar w:fldCharType="separate"/>
      </w:r>
      <w:r>
        <w:t>379</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_Toc200720297 \h </w:instrText>
      </w:r>
      <w:r>
        <w:fldChar w:fldCharType="separate"/>
      </w:r>
      <w:r>
        <w:t>379</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_Toc200720298 \h </w:instrText>
      </w:r>
      <w:r>
        <w:fldChar w:fldCharType="separate"/>
      </w:r>
      <w:r>
        <w:t>379</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_Toc200720299 \h </w:instrText>
      </w:r>
      <w:r>
        <w:fldChar w:fldCharType="separate"/>
      </w:r>
      <w:r>
        <w:t>379</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_Toc200720300 \h </w:instrText>
      </w:r>
      <w:r>
        <w:fldChar w:fldCharType="separate"/>
      </w:r>
      <w:r>
        <w:t>379</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_Toc200720301 \h </w:instrText>
      </w:r>
      <w:r>
        <w:fldChar w:fldCharType="separate"/>
      </w:r>
      <w:r>
        <w:t>379</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_Toc200720302 \h </w:instrText>
      </w:r>
      <w:r>
        <w:fldChar w:fldCharType="separate"/>
      </w:r>
      <w:r>
        <w:t>379</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_Toc200720303 \h </w:instrText>
      </w:r>
      <w:r>
        <w:fldChar w:fldCharType="separate"/>
      </w:r>
      <w:r>
        <w:t>379</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_Toc200720304 \h </w:instrText>
      </w:r>
      <w:r>
        <w:fldChar w:fldCharType="separate"/>
      </w:r>
      <w:r>
        <w:t>379</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_Toc200720305 \h </w:instrText>
      </w:r>
      <w:r>
        <w:fldChar w:fldCharType="separate"/>
      </w:r>
      <w:r>
        <w:t>379</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_Toc200720306 \h </w:instrText>
      </w:r>
      <w:r>
        <w:fldChar w:fldCharType="separate"/>
      </w:r>
      <w:r>
        <w:t>379</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_Toc200720307 \h </w:instrText>
      </w:r>
      <w:r>
        <w:fldChar w:fldCharType="separate"/>
      </w:r>
      <w:r>
        <w:t>379</w:t>
      </w:r>
      <w:r>
        <w:fldChar w:fldCharType="end"/>
      </w:r>
    </w:p>
    <w:p>
      <w:pPr>
        <w:pStyle w:val="TOC8"/>
        <w:rPr>
          <w:rFonts w:asciiTheme="minorHAnsi" w:eastAsiaTheme="minorEastAsia" w:hAnsiTheme="minorHAnsi" w:cstheme="minorBidi"/>
          <w:szCs w:val="22"/>
        </w:rPr>
      </w:pPr>
      <w:r>
        <w:lastRenderedPageBreak/>
        <w:t>542.</w:t>
      </w:r>
      <w:r>
        <w:tab/>
        <w:t>Not used</w:t>
      </w:r>
      <w:r>
        <w:tab/>
      </w:r>
      <w:r>
        <w:fldChar w:fldCharType="begin"/>
      </w:r>
      <w:r>
        <w:instrText xml:space="preserve"> PAGEREF _Toc200720308 \h </w:instrText>
      </w:r>
      <w:r>
        <w:fldChar w:fldCharType="separate"/>
      </w:r>
      <w:r>
        <w:t>379</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_Toc200720309 \h </w:instrText>
      </w:r>
      <w:r>
        <w:fldChar w:fldCharType="separate"/>
      </w:r>
      <w:r>
        <w:t>379</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_Toc200720310 \h </w:instrText>
      </w:r>
      <w:r>
        <w:fldChar w:fldCharType="separate"/>
      </w:r>
      <w:r>
        <w:t>379</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_Toc200720311 \h </w:instrText>
      </w:r>
      <w:r>
        <w:fldChar w:fldCharType="separate"/>
      </w:r>
      <w:r>
        <w:t>379</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_Toc200720312 \h </w:instrText>
      </w:r>
      <w:r>
        <w:fldChar w:fldCharType="separate"/>
      </w:r>
      <w:r>
        <w:t>379</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_Toc200720313 \h </w:instrText>
      </w:r>
      <w:r>
        <w:fldChar w:fldCharType="separate"/>
      </w:r>
      <w:r>
        <w:t>380</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_Toc200720314 \h </w:instrText>
      </w:r>
      <w:r>
        <w:fldChar w:fldCharType="separate"/>
      </w:r>
      <w:r>
        <w:t>380</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_Toc200720315 \h </w:instrText>
      </w:r>
      <w:r>
        <w:fldChar w:fldCharType="separate"/>
      </w:r>
      <w:r>
        <w:t>380</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_Toc200720316 \h </w:instrText>
      </w:r>
      <w:r>
        <w:fldChar w:fldCharType="separate"/>
      </w:r>
      <w:r>
        <w:t>380</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_Toc200720317 \h </w:instrText>
      </w:r>
      <w:r>
        <w:fldChar w:fldCharType="separate"/>
      </w:r>
      <w:r>
        <w:t>380</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_Toc200720318 \h </w:instrText>
      </w:r>
      <w:r>
        <w:fldChar w:fldCharType="separate"/>
      </w:r>
      <w:r>
        <w:t>380</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_Toc200720319 \h </w:instrText>
      </w:r>
      <w:r>
        <w:fldChar w:fldCharType="separate"/>
      </w:r>
      <w:r>
        <w:t>380</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_Toc200720320 \h </w:instrText>
      </w:r>
      <w:r>
        <w:fldChar w:fldCharType="separate"/>
      </w:r>
      <w:r>
        <w:t>380</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_Toc200720321 \h </w:instrText>
      </w:r>
      <w:r>
        <w:fldChar w:fldCharType="separate"/>
      </w:r>
      <w:r>
        <w:t>380</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_Toc200720322 \h </w:instrText>
      </w:r>
      <w:r>
        <w:fldChar w:fldCharType="separate"/>
      </w:r>
      <w:r>
        <w:t>380</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_Toc200720323 \h </w:instrText>
      </w:r>
      <w:r>
        <w:fldChar w:fldCharType="separate"/>
      </w:r>
      <w:r>
        <w:t>380</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_Toc200720324 \h </w:instrText>
      </w:r>
      <w:r>
        <w:fldChar w:fldCharType="separate"/>
      </w:r>
      <w:r>
        <w:t>380</w:t>
      </w:r>
      <w:r>
        <w:fldChar w:fldCharType="end"/>
      </w:r>
    </w:p>
    <w:p>
      <w:pPr>
        <w:pStyle w:val="TOC8"/>
        <w:rPr>
          <w:rFonts w:asciiTheme="minorHAnsi" w:eastAsiaTheme="minorEastAsia" w:hAnsiTheme="minorHAnsi" w:cstheme="minorBidi"/>
          <w:szCs w:val="22"/>
        </w:rPr>
      </w:pPr>
      <w:r>
        <w:t>559.</w:t>
      </w:r>
      <w:r>
        <w:tab/>
        <w:t>Not used</w:t>
      </w:r>
      <w:r>
        <w:tab/>
      </w:r>
      <w:r>
        <w:fldChar w:fldCharType="begin"/>
      </w:r>
      <w:r>
        <w:instrText xml:space="preserve"> PAGEREF _Toc200720325 \h </w:instrText>
      </w:r>
      <w:r>
        <w:fldChar w:fldCharType="separate"/>
      </w:r>
      <w:r>
        <w:t>380</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_Toc200720326 \h </w:instrText>
      </w:r>
      <w:r>
        <w:fldChar w:fldCharType="separate"/>
      </w:r>
      <w:r>
        <w:t>380</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_Toc200720327 \h </w:instrText>
      </w:r>
      <w:r>
        <w:fldChar w:fldCharType="separate"/>
      </w:r>
      <w:r>
        <w:t>380</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_Toc200720328 \h </w:instrText>
      </w:r>
      <w:r>
        <w:fldChar w:fldCharType="separate"/>
      </w:r>
      <w:r>
        <w:t>380</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_Toc200720329 \h </w:instrText>
      </w:r>
      <w:r>
        <w:fldChar w:fldCharType="separate"/>
      </w:r>
      <w:r>
        <w:t>380</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_Toc200720330 \h </w:instrText>
      </w:r>
      <w:r>
        <w:fldChar w:fldCharType="separate"/>
      </w:r>
      <w:r>
        <w:t>380</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_Toc200720331 \h </w:instrText>
      </w:r>
      <w:r>
        <w:fldChar w:fldCharType="separate"/>
      </w:r>
      <w:r>
        <w:t>380</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_Toc200720332 \h </w:instrText>
      </w:r>
      <w:r>
        <w:fldChar w:fldCharType="separate"/>
      </w:r>
      <w:r>
        <w:t>380</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_Toc200720333 \h </w:instrText>
      </w:r>
      <w:r>
        <w:fldChar w:fldCharType="separate"/>
      </w:r>
      <w:r>
        <w:t>380</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_Toc200720334 \h </w:instrText>
      </w:r>
      <w:r>
        <w:fldChar w:fldCharType="separate"/>
      </w:r>
      <w:r>
        <w:t>381</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_Toc200720335 \h </w:instrText>
      </w:r>
      <w:r>
        <w:fldChar w:fldCharType="separate"/>
      </w:r>
      <w:r>
        <w:t>381</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_Toc200720336 \h </w:instrText>
      </w:r>
      <w:r>
        <w:fldChar w:fldCharType="separate"/>
      </w:r>
      <w:r>
        <w:t>381</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_Toc200720337 \h </w:instrText>
      </w:r>
      <w:r>
        <w:fldChar w:fldCharType="separate"/>
      </w:r>
      <w:r>
        <w:t>381</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_Toc200720338 \h </w:instrText>
      </w:r>
      <w:r>
        <w:fldChar w:fldCharType="separate"/>
      </w:r>
      <w:r>
        <w:t>381</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_Toc200720339 \h </w:instrText>
      </w:r>
      <w:r>
        <w:fldChar w:fldCharType="separate"/>
      </w:r>
      <w:r>
        <w:t>381</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_Toc200720340 \h </w:instrText>
      </w:r>
      <w:r>
        <w:fldChar w:fldCharType="separate"/>
      </w:r>
      <w:r>
        <w:t>381</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_Toc200720341 \h </w:instrText>
      </w:r>
      <w:r>
        <w:fldChar w:fldCharType="separate"/>
      </w:r>
      <w:r>
        <w:t>381</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_Toc200720342 \h </w:instrText>
      </w:r>
      <w:r>
        <w:fldChar w:fldCharType="separate"/>
      </w:r>
      <w:r>
        <w:t>381</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_Toc200720343 \h </w:instrText>
      </w:r>
      <w:r>
        <w:fldChar w:fldCharType="separate"/>
      </w:r>
      <w:r>
        <w:t>381</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_Toc200720344 \h </w:instrText>
      </w:r>
      <w:r>
        <w:fldChar w:fldCharType="separate"/>
      </w:r>
      <w:r>
        <w:t>381</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_Toc200720345 \h </w:instrText>
      </w:r>
      <w:r>
        <w:fldChar w:fldCharType="separate"/>
      </w:r>
      <w:r>
        <w:t>381</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_Toc200720346 \h </w:instrText>
      </w:r>
      <w:r>
        <w:fldChar w:fldCharType="separate"/>
      </w:r>
      <w:r>
        <w:t>381</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_Toc200720347 \h </w:instrText>
      </w:r>
      <w:r>
        <w:fldChar w:fldCharType="separate"/>
      </w:r>
      <w:r>
        <w:t>381</w:t>
      </w:r>
      <w:r>
        <w:fldChar w:fldCharType="end"/>
      </w:r>
    </w:p>
    <w:p>
      <w:pPr>
        <w:pStyle w:val="TOC8"/>
        <w:rPr>
          <w:rFonts w:asciiTheme="minorHAnsi" w:eastAsiaTheme="minorEastAsia" w:hAnsiTheme="minorHAnsi" w:cstheme="minorBidi"/>
          <w:szCs w:val="22"/>
        </w:rPr>
      </w:pPr>
      <w:r>
        <w:lastRenderedPageBreak/>
        <w:t>582.</w:t>
      </w:r>
      <w:r>
        <w:tab/>
        <w:t>Not used</w:t>
      </w:r>
      <w:r>
        <w:tab/>
      </w:r>
      <w:r>
        <w:fldChar w:fldCharType="begin"/>
      </w:r>
      <w:r>
        <w:instrText xml:space="preserve"> PAGEREF _Toc200720348 \h </w:instrText>
      </w:r>
      <w:r>
        <w:fldChar w:fldCharType="separate"/>
      </w:r>
      <w:r>
        <w:t>381</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_Toc200720349 \h </w:instrText>
      </w:r>
      <w:r>
        <w:fldChar w:fldCharType="separate"/>
      </w:r>
      <w:r>
        <w:t>381</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_Toc200720350 \h </w:instrText>
      </w:r>
      <w:r>
        <w:fldChar w:fldCharType="separate"/>
      </w:r>
      <w:r>
        <w:t>381</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_Toc200720351 \h </w:instrText>
      </w:r>
      <w:r>
        <w:fldChar w:fldCharType="separate"/>
      </w:r>
      <w:r>
        <w:t>381</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_Toc200720352 \h </w:instrText>
      </w:r>
      <w:r>
        <w:fldChar w:fldCharType="separate"/>
      </w:r>
      <w:r>
        <w:t>381</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_Toc200720353 \h </w:instrText>
      </w:r>
      <w:r>
        <w:fldChar w:fldCharType="separate"/>
      </w:r>
      <w:r>
        <w:t>381</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_Toc200720354 \h </w:instrText>
      </w:r>
      <w:r>
        <w:fldChar w:fldCharType="separate"/>
      </w:r>
      <w:r>
        <w:t>381</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_Toc200720355 \h </w:instrText>
      </w:r>
      <w:r>
        <w:fldChar w:fldCharType="separate"/>
      </w:r>
      <w:r>
        <w:t>382</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_Toc200720356 \h </w:instrText>
      </w:r>
      <w:r>
        <w:fldChar w:fldCharType="separate"/>
      </w:r>
      <w:r>
        <w:t>382</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_Toc200720357 \h </w:instrText>
      </w:r>
      <w:r>
        <w:fldChar w:fldCharType="separate"/>
      </w:r>
      <w:r>
        <w:t>382</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_Toc200720358 \h </w:instrText>
      </w:r>
      <w:r>
        <w:fldChar w:fldCharType="separate"/>
      </w:r>
      <w:r>
        <w:t>382</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_Toc200720359 \h </w:instrText>
      </w:r>
      <w:r>
        <w:fldChar w:fldCharType="separate"/>
      </w:r>
      <w:r>
        <w:t>382</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_Toc200720360 \h </w:instrText>
      </w:r>
      <w:r>
        <w:fldChar w:fldCharType="separate"/>
      </w:r>
      <w:r>
        <w:t>382</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_Toc200720361 \h </w:instrText>
      </w:r>
      <w:r>
        <w:fldChar w:fldCharType="separate"/>
      </w:r>
      <w:r>
        <w:t>382</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_Toc200720362 \h </w:instrText>
      </w:r>
      <w:r>
        <w:fldChar w:fldCharType="separate"/>
      </w:r>
      <w:r>
        <w:t>382</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_Toc200720363 \h </w:instrText>
      </w:r>
      <w:r>
        <w:fldChar w:fldCharType="separate"/>
      </w:r>
      <w:r>
        <w:t>382</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_Toc200720364 \h </w:instrText>
      </w:r>
      <w:r>
        <w:fldChar w:fldCharType="separate"/>
      </w:r>
      <w:r>
        <w:t>382</w:t>
      </w:r>
      <w:r>
        <w:fldChar w:fldCharType="end"/>
      </w:r>
    </w:p>
    <w:p>
      <w:pPr>
        <w:pStyle w:val="TOC8"/>
        <w:rPr>
          <w:rFonts w:asciiTheme="minorHAnsi" w:eastAsiaTheme="minorEastAsia" w:hAnsiTheme="minorHAnsi" w:cstheme="minorBidi"/>
          <w:szCs w:val="22"/>
        </w:rPr>
      </w:pPr>
      <w:r>
        <w:t>599.</w:t>
      </w:r>
      <w:r>
        <w:tab/>
        <w:t>Not used</w:t>
      </w:r>
      <w:r>
        <w:tab/>
      </w:r>
      <w:r>
        <w:fldChar w:fldCharType="begin"/>
      </w:r>
      <w:r>
        <w:instrText xml:space="preserve"> PAGEREF _Toc200720365 \h </w:instrText>
      </w:r>
      <w:r>
        <w:fldChar w:fldCharType="separate"/>
      </w:r>
      <w:r>
        <w:t>382</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_Toc200720366 \h </w:instrText>
      </w:r>
      <w:r>
        <w:fldChar w:fldCharType="separate"/>
      </w:r>
      <w:r>
        <w:t>382</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_Toc200720367 \h </w:instrText>
      </w:r>
      <w:r>
        <w:fldChar w:fldCharType="separate"/>
      </w:r>
      <w:r>
        <w:t>382</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_Toc200720368 \h </w:instrText>
      </w:r>
      <w:r>
        <w:fldChar w:fldCharType="separate"/>
      </w:r>
      <w:r>
        <w:t>382</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_Toc200720369 \h </w:instrText>
      </w:r>
      <w:r>
        <w:fldChar w:fldCharType="separate"/>
      </w:r>
      <w:r>
        <w:t>382</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_Toc200720370 \h </w:instrText>
      </w:r>
      <w:r>
        <w:fldChar w:fldCharType="separate"/>
      </w:r>
      <w:r>
        <w:t>382</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_Toc200720371 \h </w:instrText>
      </w:r>
      <w:r>
        <w:fldChar w:fldCharType="separate"/>
      </w:r>
      <w:r>
        <w:t>382</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_Toc200720372 \h </w:instrText>
      </w:r>
      <w:r>
        <w:fldChar w:fldCharType="separate"/>
      </w:r>
      <w:r>
        <w:t>382</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_Toc200720373 \h </w:instrText>
      </w:r>
      <w:r>
        <w:fldChar w:fldCharType="separate"/>
      </w:r>
      <w:r>
        <w:t>382</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_Toc200720374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Chapter 10 — Mines</w:t>
      </w:r>
    </w:p>
    <w:p>
      <w:pPr>
        <w:pStyle w:val="TOC4"/>
        <w:tabs>
          <w:tab w:val="right" w:leader="dot" w:pos="7077"/>
        </w:tabs>
        <w:rPr>
          <w:rFonts w:asciiTheme="minorHAnsi" w:eastAsiaTheme="minorEastAsia" w:hAnsiTheme="minorHAnsi" w:cstheme="minorBidi"/>
          <w:b w:val="0"/>
          <w:szCs w:val="22"/>
        </w:rPr>
      </w:pPr>
      <w:r>
        <w:t>Part 10.1 — Preliminary</w:t>
      </w:r>
    </w:p>
    <w:p>
      <w:pPr>
        <w:pStyle w:val="TOC8"/>
        <w:rPr>
          <w:rFonts w:asciiTheme="minorHAnsi" w:eastAsiaTheme="minorEastAsia" w:hAnsiTheme="minorHAnsi" w:cstheme="minorBidi"/>
          <w:szCs w:val="22"/>
        </w:rPr>
      </w:pPr>
      <w:r>
        <w:t>608A.</w:t>
      </w:r>
      <w:r>
        <w:tab/>
        <w:t>Terms used</w:t>
      </w:r>
      <w:r>
        <w:tab/>
      </w:r>
      <w:r>
        <w:fldChar w:fldCharType="begin"/>
      </w:r>
      <w:r>
        <w:instrText xml:space="preserve"> PAGEREF _Toc200720377 \h </w:instrText>
      </w:r>
      <w:r>
        <w:fldChar w:fldCharType="separate"/>
      </w:r>
      <w:r>
        <w:t>383</w:t>
      </w:r>
      <w:r>
        <w:fldChar w:fldCharType="end"/>
      </w:r>
    </w:p>
    <w:p>
      <w:pPr>
        <w:pStyle w:val="TOC8"/>
        <w:rPr>
          <w:rFonts w:asciiTheme="minorHAnsi" w:eastAsiaTheme="minorEastAsia" w:hAnsiTheme="minorHAnsi" w:cstheme="minorBidi"/>
          <w:szCs w:val="22"/>
        </w:rPr>
      </w:pPr>
      <w:r>
        <w:t>608B.</w:t>
      </w:r>
      <w:r>
        <w:tab/>
        <w:t>Regulator may determine who is not contractor for Chapter</w:t>
      </w:r>
      <w:r>
        <w:tab/>
      </w:r>
      <w:r>
        <w:fldChar w:fldCharType="begin"/>
      </w:r>
      <w:r>
        <w:instrText xml:space="preserve"> PAGEREF _Toc200720378 \h </w:instrText>
      </w:r>
      <w:r>
        <w:fldChar w:fldCharType="separate"/>
      </w:r>
      <w:r>
        <w:t>384</w:t>
      </w:r>
      <w:r>
        <w:fldChar w:fldCharType="end"/>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_Toc200720379 \h </w:instrText>
      </w:r>
      <w:r>
        <w:fldChar w:fldCharType="separate"/>
      </w:r>
      <w:r>
        <w:t>384</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_Toc200720380 \h </w:instrText>
      </w:r>
      <w:r>
        <w:fldChar w:fldCharType="separate"/>
      </w:r>
      <w:r>
        <w:t>384</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_Toc200720381 \h </w:instrText>
      </w:r>
      <w:r>
        <w:fldChar w:fldCharType="separate"/>
      </w:r>
      <w:r>
        <w:t>384</w:t>
      </w:r>
      <w:r>
        <w:fldChar w:fldCharType="end"/>
      </w:r>
    </w:p>
    <w:p>
      <w:pPr>
        <w:pStyle w:val="TOC8"/>
        <w:rPr>
          <w:rFonts w:asciiTheme="minorHAnsi" w:eastAsiaTheme="minorEastAsia" w:hAnsiTheme="minorHAnsi" w:cstheme="minorBidi"/>
          <w:szCs w:val="22"/>
        </w:rPr>
      </w:pPr>
      <w:r>
        <w:t>612.</w:t>
      </w:r>
      <w:r>
        <w:tab/>
        <w:t>Meaning of principal mining hazard</w:t>
      </w:r>
      <w:r>
        <w:tab/>
      </w:r>
      <w:r>
        <w:fldChar w:fldCharType="begin"/>
      </w:r>
      <w:r>
        <w:instrText xml:space="preserve"> PAGEREF _Toc200720382 \h </w:instrText>
      </w:r>
      <w:r>
        <w:fldChar w:fldCharType="separate"/>
      </w:r>
      <w:r>
        <w:t>384</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_Toc200720383 \h </w:instrText>
      </w:r>
      <w:r>
        <w:fldChar w:fldCharType="separate"/>
      </w:r>
      <w:r>
        <w:t>385</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_Toc200720384 \h </w:instrText>
      </w:r>
      <w:r>
        <w:fldChar w:fldCharType="separate"/>
      </w:r>
      <w:r>
        <w:t>385</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_Toc200720385 \h </w:instrText>
      </w:r>
      <w:r>
        <w:fldChar w:fldCharType="separate"/>
      </w:r>
      <w:r>
        <w:t>385</w:t>
      </w:r>
      <w:r>
        <w:fldChar w:fldCharType="end"/>
      </w:r>
    </w:p>
    <w:p>
      <w:pPr>
        <w:pStyle w:val="TOC8"/>
        <w:rPr>
          <w:rFonts w:asciiTheme="minorHAnsi" w:eastAsiaTheme="minorEastAsia" w:hAnsiTheme="minorHAnsi" w:cstheme="minorBidi"/>
          <w:szCs w:val="22"/>
        </w:rPr>
      </w:pPr>
      <w:r>
        <w:lastRenderedPageBreak/>
        <w:t>616.</w:t>
      </w:r>
      <w:r>
        <w:tab/>
        <w:t>Not used</w:t>
      </w:r>
      <w:r>
        <w:tab/>
      </w:r>
      <w:r>
        <w:fldChar w:fldCharType="begin"/>
      </w:r>
      <w:r>
        <w:instrText xml:space="preserve"> PAGEREF _Toc200720386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Part 10.2 — Managing risks</w:t>
      </w:r>
    </w:p>
    <w:p>
      <w:pPr>
        <w:pStyle w:val="TOC6"/>
        <w:tabs>
          <w:tab w:val="right" w:leader="dot" w:pos="7077"/>
        </w:tabs>
        <w:rPr>
          <w:rFonts w:asciiTheme="minorHAnsi" w:eastAsiaTheme="minorEastAsia" w:hAnsiTheme="minorHAnsi" w:cstheme="minorBidi"/>
          <w:b w:val="0"/>
          <w:sz w:val="22"/>
          <w:szCs w:val="22"/>
        </w:rPr>
      </w:pPr>
      <w:r>
        <w:t>Division 1 — General requirements</w:t>
      </w:r>
    </w:p>
    <w:p>
      <w:pPr>
        <w:pStyle w:val="TOC6"/>
        <w:tabs>
          <w:tab w:val="right" w:leader="dot" w:pos="7077"/>
        </w:tabs>
        <w:rPr>
          <w:rFonts w:asciiTheme="minorHAnsi" w:eastAsiaTheme="minorEastAsia" w:hAnsiTheme="minorHAnsi" w:cstheme="minorBidi"/>
          <w:b w:val="0"/>
          <w:sz w:val="22"/>
          <w:szCs w:val="22"/>
        </w:rPr>
      </w:pPr>
      <w:r>
        <w:t>Subdivision 1 — Control of risk</w:t>
      </w:r>
    </w:p>
    <w:p>
      <w:pPr>
        <w:pStyle w:val="TOC8"/>
        <w:rPr>
          <w:rFonts w:asciiTheme="minorHAnsi" w:eastAsiaTheme="minorEastAsia" w:hAnsiTheme="minorHAnsi" w:cstheme="minorBidi"/>
          <w:szCs w:val="22"/>
        </w:rPr>
      </w:pPr>
      <w:r>
        <w:t>617.</w:t>
      </w:r>
      <w:r>
        <w:tab/>
        <w:t>Managing risks to health and safety</w:t>
      </w:r>
      <w:r>
        <w:tab/>
      </w:r>
      <w:r>
        <w:fldChar w:fldCharType="begin"/>
      </w:r>
      <w:r>
        <w:instrText xml:space="preserve"> PAGEREF _Toc200720390 \h </w:instrText>
      </w:r>
      <w:r>
        <w:fldChar w:fldCharType="separate"/>
      </w:r>
      <w:r>
        <w:t>385</w:t>
      </w:r>
      <w:r>
        <w:fldChar w:fldCharType="end"/>
      </w:r>
    </w:p>
    <w:p>
      <w:pPr>
        <w:pStyle w:val="TOC8"/>
        <w:rPr>
          <w:rFonts w:asciiTheme="minorHAnsi" w:eastAsiaTheme="minorEastAsia" w:hAnsiTheme="minorHAnsi" w:cstheme="minorBidi"/>
          <w:szCs w:val="22"/>
        </w:rPr>
      </w:pPr>
      <w:r>
        <w:t>618.</w:t>
      </w:r>
      <w:r>
        <w:tab/>
        <w:t>Review of control measures</w:t>
      </w:r>
      <w:r>
        <w:tab/>
      </w:r>
      <w:r>
        <w:fldChar w:fldCharType="begin"/>
      </w:r>
      <w:r>
        <w:instrText xml:space="preserve"> PAGEREF _Toc200720391 \h </w:instrText>
      </w:r>
      <w:r>
        <w:fldChar w:fldCharType="separate"/>
      </w:r>
      <w:r>
        <w:t>386</w:t>
      </w:r>
      <w:r>
        <w:fldChar w:fldCharType="end"/>
      </w:r>
    </w:p>
    <w:p>
      <w:pPr>
        <w:pStyle w:val="TOC8"/>
        <w:rPr>
          <w:rFonts w:asciiTheme="minorHAnsi" w:eastAsiaTheme="minorEastAsia" w:hAnsiTheme="minorHAnsi" w:cstheme="minorBidi"/>
          <w:szCs w:val="22"/>
        </w:rPr>
      </w:pPr>
      <w:r>
        <w:t>619.</w:t>
      </w:r>
      <w:r>
        <w:tab/>
        <w:t>Record of certain reviews of control measures: mine operator</w:t>
      </w:r>
      <w:r>
        <w:tab/>
      </w:r>
      <w:r>
        <w:fldChar w:fldCharType="begin"/>
      </w:r>
      <w:r>
        <w:instrText xml:space="preserve"> PAGEREF _Toc200720392 \h </w:instrText>
      </w:r>
      <w:r>
        <w:fldChar w:fldCharType="separate"/>
      </w:r>
      <w:r>
        <w:t>388</w:t>
      </w:r>
      <w:r>
        <w:fldChar w:fldCharType="end"/>
      </w:r>
    </w:p>
    <w:p>
      <w:pPr>
        <w:pStyle w:val="TOC8"/>
        <w:rPr>
          <w:rFonts w:asciiTheme="minorHAnsi" w:eastAsiaTheme="minorEastAsia" w:hAnsiTheme="minorHAnsi" w:cstheme="minorBidi"/>
          <w:szCs w:val="22"/>
        </w:rPr>
      </w:pPr>
      <w:r>
        <w:t>620.</w:t>
      </w:r>
      <w:r>
        <w:tab/>
        <w:t>Record of certain reviews of control measures: other persons conducting business or undertaking</w:t>
      </w:r>
      <w:r>
        <w:tab/>
      </w:r>
      <w:r>
        <w:fldChar w:fldCharType="begin"/>
      </w:r>
      <w:r>
        <w:instrText xml:space="preserve"> PAGEREF _Toc200720393 \h </w:instrText>
      </w:r>
      <w:r>
        <w:fldChar w:fldCharType="separate"/>
      </w:r>
      <w:r>
        <w:t>389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Mine safety management system</w:t>
      </w:r>
    </w:p>
    <w:p>
      <w:pPr>
        <w:pStyle w:val="TOC8"/>
        <w:rPr>
          <w:rFonts w:asciiTheme="minorHAnsi" w:eastAsiaTheme="minorEastAsia" w:hAnsiTheme="minorHAnsi" w:cstheme="minorBidi"/>
          <w:szCs w:val="22"/>
        </w:rPr>
      </w:pPr>
      <w:r>
        <w:t>621.</w:t>
      </w:r>
      <w:r>
        <w:tab/>
        <w:t>Duty to establish and implement mine safety management system</w:t>
      </w:r>
      <w:r>
        <w:tab/>
      </w:r>
      <w:r>
        <w:fldChar w:fldCharType="begin"/>
      </w:r>
      <w:r>
        <w:instrText xml:space="preserve"> PAGEREF _Toc200720395 \h </w:instrText>
      </w:r>
      <w:r>
        <w:fldChar w:fldCharType="separate"/>
      </w:r>
      <w:r>
        <w:t>389</w:t>
      </w:r>
      <w:r>
        <w:fldChar w:fldCharType="end"/>
      </w:r>
    </w:p>
    <w:p>
      <w:pPr>
        <w:pStyle w:val="TOC8"/>
        <w:rPr>
          <w:rFonts w:asciiTheme="minorHAnsi" w:eastAsiaTheme="minorEastAsia" w:hAnsiTheme="minorHAnsi" w:cstheme="minorBidi"/>
          <w:szCs w:val="22"/>
        </w:rPr>
      </w:pPr>
      <w:r>
        <w:t>621A.</w:t>
      </w:r>
      <w:r>
        <w:tab/>
        <w:t>General requirements for mine safety management system</w:t>
      </w:r>
      <w:r>
        <w:tab/>
      </w:r>
      <w:r>
        <w:fldChar w:fldCharType="begin"/>
      </w:r>
      <w:r>
        <w:instrText xml:space="preserve"> PAGEREF _Toc200720396 \h </w:instrText>
      </w:r>
      <w:r>
        <w:fldChar w:fldCharType="separate"/>
      </w:r>
      <w:r>
        <w:t>390</w:t>
      </w:r>
      <w:r>
        <w:fldChar w:fldCharType="end"/>
      </w:r>
    </w:p>
    <w:p>
      <w:pPr>
        <w:pStyle w:val="TOC8"/>
        <w:rPr>
          <w:rFonts w:asciiTheme="minorHAnsi" w:eastAsiaTheme="minorEastAsia" w:hAnsiTheme="minorHAnsi" w:cstheme="minorBidi"/>
          <w:szCs w:val="22"/>
        </w:rPr>
      </w:pPr>
      <w:r>
        <w:t>622.</w:t>
      </w:r>
      <w:r>
        <w:tab/>
        <w:t>Content of mine safety management system</w:t>
      </w:r>
      <w:r>
        <w:tab/>
      </w:r>
      <w:r>
        <w:fldChar w:fldCharType="begin"/>
      </w:r>
      <w:r>
        <w:instrText xml:space="preserve"> PAGEREF _Toc200720397 \h </w:instrText>
      </w:r>
      <w:r>
        <w:fldChar w:fldCharType="separate"/>
      </w:r>
      <w:r>
        <w:t>391</w:t>
      </w:r>
      <w:r>
        <w:fldChar w:fldCharType="end"/>
      </w:r>
    </w:p>
    <w:p>
      <w:pPr>
        <w:pStyle w:val="TOC8"/>
        <w:rPr>
          <w:rFonts w:asciiTheme="minorHAnsi" w:eastAsiaTheme="minorEastAsia" w:hAnsiTheme="minorHAnsi" w:cstheme="minorBidi"/>
          <w:szCs w:val="22"/>
        </w:rPr>
      </w:pPr>
      <w:r>
        <w:t>623.</w:t>
      </w:r>
      <w:r>
        <w:tab/>
        <w:t>Performance standards and audit</w:t>
      </w:r>
      <w:r>
        <w:tab/>
      </w:r>
      <w:r>
        <w:fldChar w:fldCharType="begin"/>
      </w:r>
      <w:r>
        <w:instrText xml:space="preserve"> PAGEREF _Toc200720398 \h </w:instrText>
      </w:r>
      <w:r>
        <w:fldChar w:fldCharType="separate"/>
      </w:r>
      <w:r>
        <w:t>395</w:t>
      </w:r>
      <w:r>
        <w:fldChar w:fldCharType="end"/>
      </w:r>
    </w:p>
    <w:p>
      <w:pPr>
        <w:pStyle w:val="TOC8"/>
        <w:rPr>
          <w:rFonts w:asciiTheme="minorHAnsi" w:eastAsiaTheme="minorEastAsia" w:hAnsiTheme="minorHAnsi" w:cstheme="minorBidi"/>
          <w:szCs w:val="22"/>
        </w:rPr>
      </w:pPr>
      <w:r>
        <w:t>624.</w:t>
      </w:r>
      <w:r>
        <w:tab/>
        <w:t>Maintenance</w:t>
      </w:r>
      <w:r>
        <w:tab/>
      </w:r>
      <w:r>
        <w:fldChar w:fldCharType="begin"/>
      </w:r>
      <w:r>
        <w:instrText xml:space="preserve"> PAGEREF _Toc200720399 \h </w:instrText>
      </w:r>
      <w:r>
        <w:fldChar w:fldCharType="separate"/>
      </w:r>
      <w:r>
        <w:t>396</w:t>
      </w:r>
      <w:r>
        <w:fldChar w:fldCharType="end"/>
      </w:r>
    </w:p>
    <w:p>
      <w:pPr>
        <w:pStyle w:val="TOC8"/>
        <w:rPr>
          <w:rFonts w:asciiTheme="minorHAnsi" w:eastAsiaTheme="minorEastAsia" w:hAnsiTheme="minorHAnsi" w:cstheme="minorBidi"/>
          <w:szCs w:val="22"/>
        </w:rPr>
      </w:pPr>
      <w:r>
        <w:t>625.</w:t>
      </w:r>
      <w:r>
        <w:tab/>
        <w:t>Review</w:t>
      </w:r>
      <w:r>
        <w:tab/>
      </w:r>
      <w:r>
        <w:fldChar w:fldCharType="begin"/>
      </w:r>
      <w:r>
        <w:instrText xml:space="preserve"> PAGEREF _Toc200720400 \h </w:instrText>
      </w:r>
      <w:r>
        <w:fldChar w:fldCharType="separate"/>
      </w:r>
      <w:r>
        <w:t>396</w:t>
      </w:r>
      <w:r>
        <w:fldChar w:fldCharType="end"/>
      </w:r>
    </w:p>
    <w:p>
      <w:pPr>
        <w:pStyle w:val="TOC8"/>
        <w:rPr>
          <w:rFonts w:asciiTheme="minorHAnsi" w:eastAsiaTheme="minorEastAsia" w:hAnsiTheme="minorHAnsi" w:cstheme="minorBidi"/>
          <w:szCs w:val="22"/>
        </w:rPr>
      </w:pPr>
      <w:r>
        <w:t>625A.</w:t>
      </w:r>
      <w:r>
        <w:tab/>
        <w:t>Consultation requirement for mine safety management system</w:t>
      </w:r>
      <w:r>
        <w:tab/>
      </w:r>
      <w:r>
        <w:fldChar w:fldCharType="begin"/>
      </w:r>
      <w:r>
        <w:instrText xml:space="preserve"> PAGEREF _Toc200720401 \h </w:instrText>
      </w:r>
      <w:r>
        <w:fldChar w:fldCharType="separate"/>
      </w:r>
      <w:r>
        <w:t>398</w:t>
      </w:r>
      <w:r>
        <w:fldChar w:fldCharType="end"/>
      </w:r>
    </w:p>
    <w:p>
      <w:pPr>
        <w:pStyle w:val="TOC6"/>
        <w:tabs>
          <w:tab w:val="right" w:leader="dot" w:pos="7077"/>
        </w:tabs>
        <w:rPr>
          <w:rFonts w:asciiTheme="minorHAnsi" w:eastAsiaTheme="minorEastAsia" w:hAnsiTheme="minorHAnsi" w:cstheme="minorBidi"/>
          <w:b w:val="0"/>
          <w:sz w:val="22"/>
          <w:szCs w:val="22"/>
        </w:rPr>
      </w:pPr>
      <w:r>
        <w:t>Subdivision 2A — Contractors</w:t>
      </w:r>
    </w:p>
    <w:p>
      <w:pPr>
        <w:pStyle w:val="TOC8"/>
        <w:rPr>
          <w:rFonts w:asciiTheme="minorHAnsi" w:eastAsiaTheme="minorEastAsia" w:hAnsiTheme="minorHAnsi" w:cstheme="minorBidi"/>
          <w:szCs w:val="22"/>
        </w:rPr>
      </w:pPr>
      <w:r>
        <w:t>625B.</w:t>
      </w:r>
      <w:r>
        <w:tab/>
        <w:t>Duty of mine operator to provide information to contractor</w:t>
      </w:r>
      <w:r>
        <w:tab/>
      </w:r>
      <w:r>
        <w:fldChar w:fldCharType="begin"/>
      </w:r>
      <w:r>
        <w:instrText xml:space="preserve"> PAGEREF _Toc200720403 \h </w:instrText>
      </w:r>
      <w:r>
        <w:fldChar w:fldCharType="separate"/>
      </w:r>
      <w:r>
        <w:t>398</w:t>
      </w:r>
      <w:r>
        <w:fldChar w:fldCharType="end"/>
      </w:r>
    </w:p>
    <w:p>
      <w:pPr>
        <w:pStyle w:val="TOC8"/>
        <w:rPr>
          <w:rFonts w:asciiTheme="minorHAnsi" w:eastAsiaTheme="minorEastAsia" w:hAnsiTheme="minorHAnsi" w:cstheme="minorBidi"/>
          <w:szCs w:val="22"/>
        </w:rPr>
      </w:pPr>
      <w:r>
        <w:t>625C.</w:t>
      </w:r>
      <w:r>
        <w:tab/>
        <w:t>Duty of contractor to provide information to mine operator</w:t>
      </w:r>
      <w:r>
        <w:tab/>
      </w:r>
      <w:r>
        <w:fldChar w:fldCharType="begin"/>
      </w:r>
      <w:r>
        <w:instrText xml:space="preserve"> PAGEREF _Toc200720404 \h </w:instrText>
      </w:r>
      <w:r>
        <w:fldChar w:fldCharType="separate"/>
      </w:r>
      <w:r>
        <w:t>399</w:t>
      </w:r>
      <w:r>
        <w:fldChar w:fldCharType="end"/>
      </w:r>
    </w:p>
    <w:p>
      <w:pPr>
        <w:pStyle w:val="TOC8"/>
        <w:rPr>
          <w:rFonts w:asciiTheme="minorHAnsi" w:eastAsiaTheme="minorEastAsia" w:hAnsiTheme="minorHAnsi" w:cstheme="minorBidi"/>
          <w:szCs w:val="22"/>
        </w:rPr>
      </w:pPr>
      <w:r>
        <w:t>625D.</w:t>
      </w:r>
      <w:r>
        <w:tab/>
        <w:t>Contractor to be covered by health and safety plan or mine safety management system</w:t>
      </w:r>
      <w:r>
        <w:tab/>
      </w:r>
      <w:r>
        <w:fldChar w:fldCharType="begin"/>
      </w:r>
      <w:r>
        <w:instrText xml:space="preserve"> PAGEREF _Toc200720405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Information to other mine operators</w:t>
      </w:r>
    </w:p>
    <w:p>
      <w:pPr>
        <w:pStyle w:val="TOC8"/>
        <w:rPr>
          <w:rFonts w:asciiTheme="minorHAnsi" w:eastAsiaTheme="minorEastAsia" w:hAnsiTheme="minorHAnsi" w:cstheme="minorBidi"/>
          <w:szCs w:val="22"/>
        </w:rPr>
      </w:pPr>
      <w:r>
        <w:t>626.</w:t>
      </w:r>
      <w:r>
        <w:tab/>
        <w:t>Duty to provide information to other mine operators</w:t>
      </w:r>
      <w:r>
        <w:tab/>
      </w:r>
      <w:r>
        <w:fldChar w:fldCharType="begin"/>
      </w:r>
      <w:r>
        <w:instrText xml:space="preserve"> PAGEREF _Toc200720407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Division 2 — Principal mining hazard management plans</w:t>
      </w:r>
    </w:p>
    <w:p>
      <w:pPr>
        <w:pStyle w:val="TOC8"/>
        <w:rPr>
          <w:rFonts w:asciiTheme="minorHAnsi" w:eastAsiaTheme="minorEastAsia" w:hAnsiTheme="minorHAnsi" w:cstheme="minorBidi"/>
          <w:szCs w:val="22"/>
        </w:rPr>
      </w:pPr>
      <w:r>
        <w:t>627.</w:t>
      </w:r>
      <w:r>
        <w:tab/>
        <w:t>Identification of principal mining hazards and conduct of risk assessments</w:t>
      </w:r>
      <w:r>
        <w:tab/>
      </w:r>
      <w:r>
        <w:fldChar w:fldCharType="begin"/>
      </w:r>
      <w:r>
        <w:instrText xml:space="preserve"> PAGEREF _Toc200720409 \h </w:instrText>
      </w:r>
      <w:r>
        <w:fldChar w:fldCharType="separate"/>
      </w:r>
      <w:r>
        <w:t>403</w:t>
      </w:r>
      <w:r>
        <w:fldChar w:fldCharType="end"/>
      </w:r>
    </w:p>
    <w:p>
      <w:pPr>
        <w:pStyle w:val="TOC8"/>
        <w:rPr>
          <w:rFonts w:asciiTheme="minorHAnsi" w:eastAsiaTheme="minorEastAsia" w:hAnsiTheme="minorHAnsi" w:cstheme="minorBidi"/>
          <w:szCs w:val="22"/>
        </w:rPr>
      </w:pPr>
      <w:r>
        <w:t>628.</w:t>
      </w:r>
      <w:r>
        <w:tab/>
        <w:t>Preparation of principal mining hazard management plan</w:t>
      </w:r>
      <w:r>
        <w:tab/>
      </w:r>
      <w:r>
        <w:fldChar w:fldCharType="begin"/>
      </w:r>
      <w:r>
        <w:instrText xml:space="preserve"> PAGEREF _Toc200720410 \h </w:instrText>
      </w:r>
      <w:r>
        <w:fldChar w:fldCharType="separate"/>
      </w:r>
      <w:r>
        <w:t>403</w:t>
      </w:r>
      <w:r>
        <w:fldChar w:fldCharType="end"/>
      </w:r>
    </w:p>
    <w:p>
      <w:pPr>
        <w:pStyle w:val="TOC8"/>
        <w:rPr>
          <w:rFonts w:asciiTheme="minorHAnsi" w:eastAsiaTheme="minorEastAsia" w:hAnsiTheme="minorHAnsi" w:cstheme="minorBidi"/>
          <w:szCs w:val="22"/>
        </w:rPr>
      </w:pPr>
      <w:r>
        <w:lastRenderedPageBreak/>
        <w:t>629.</w:t>
      </w:r>
      <w:r>
        <w:tab/>
        <w:t>Review</w:t>
      </w:r>
      <w:r>
        <w:tab/>
      </w:r>
      <w:r>
        <w:fldChar w:fldCharType="begin"/>
      </w:r>
      <w:r>
        <w:instrText xml:space="preserve"> PAGEREF _Toc200720411 \h </w:instrText>
      </w:r>
      <w:r>
        <w:fldChar w:fldCharType="separate"/>
      </w:r>
      <w:r>
        <w:t>405</w:t>
      </w:r>
      <w:r>
        <w:fldChar w:fldCharType="end"/>
      </w:r>
    </w:p>
    <w:p>
      <w:pPr>
        <w:pStyle w:val="TOC6"/>
        <w:tabs>
          <w:tab w:val="right" w:leader="dot" w:pos="7077"/>
        </w:tabs>
        <w:rPr>
          <w:rFonts w:asciiTheme="minorHAnsi" w:eastAsiaTheme="minorEastAsia" w:hAnsiTheme="minorHAnsi" w:cstheme="minorBidi"/>
          <w:b w:val="0"/>
          <w:sz w:val="22"/>
          <w:szCs w:val="22"/>
        </w:rPr>
      </w:pPr>
      <w:r>
        <w:t>Division 3 — Specific control measures — all mines</w:t>
      </w:r>
    </w:p>
    <w:p>
      <w:pPr>
        <w:pStyle w:val="TOC6"/>
        <w:tabs>
          <w:tab w:val="right" w:leader="dot" w:pos="7077"/>
        </w:tabs>
        <w:rPr>
          <w:rFonts w:asciiTheme="minorHAnsi" w:eastAsiaTheme="minorEastAsia" w:hAnsiTheme="minorHAnsi" w:cstheme="minorBidi"/>
          <w:b w:val="0"/>
          <w:sz w:val="22"/>
          <w:szCs w:val="22"/>
        </w:rPr>
      </w:pPr>
      <w:r>
        <w:t>Subdivision 1 — Operational controls</w:t>
      </w:r>
    </w:p>
    <w:p>
      <w:pPr>
        <w:pStyle w:val="TOC8"/>
        <w:rPr>
          <w:rFonts w:asciiTheme="minorHAnsi" w:eastAsiaTheme="minorEastAsia" w:hAnsiTheme="minorHAnsi" w:cstheme="minorBidi"/>
          <w:szCs w:val="22"/>
        </w:rPr>
      </w:pPr>
      <w:r>
        <w:t>630.</w:t>
      </w:r>
      <w:r>
        <w:tab/>
        <w:t>Communication on change of supervisors</w:t>
      </w:r>
      <w:r>
        <w:tab/>
      </w:r>
      <w:r>
        <w:fldChar w:fldCharType="begin"/>
      </w:r>
      <w:r>
        <w:instrText xml:space="preserve"> PAGEREF _Toc200720414 \h </w:instrText>
      </w:r>
      <w:r>
        <w:fldChar w:fldCharType="separate"/>
      </w:r>
      <w:r>
        <w:t>406</w:t>
      </w:r>
      <w:r>
        <w:fldChar w:fldCharType="end"/>
      </w:r>
    </w:p>
    <w:p>
      <w:pPr>
        <w:pStyle w:val="TOC8"/>
        <w:rPr>
          <w:rFonts w:asciiTheme="minorHAnsi" w:eastAsiaTheme="minorEastAsia" w:hAnsiTheme="minorHAnsi" w:cstheme="minorBidi"/>
          <w:szCs w:val="22"/>
        </w:rPr>
      </w:pPr>
      <w:r>
        <w:t>631.</w:t>
      </w:r>
      <w:r>
        <w:tab/>
        <w:t>Movement of mobile plant</w:t>
      </w:r>
      <w:r>
        <w:tab/>
      </w:r>
      <w:r>
        <w:fldChar w:fldCharType="begin"/>
      </w:r>
      <w:r>
        <w:instrText xml:space="preserve"> PAGEREF _Toc200720415 \h </w:instrText>
      </w:r>
      <w:r>
        <w:fldChar w:fldCharType="separate"/>
      </w:r>
      <w:r>
        <w:t>407</w:t>
      </w:r>
      <w:r>
        <w:fldChar w:fldCharType="end"/>
      </w:r>
    </w:p>
    <w:p>
      <w:pPr>
        <w:pStyle w:val="TOC8"/>
        <w:rPr>
          <w:rFonts w:asciiTheme="minorHAnsi" w:eastAsiaTheme="minorEastAsia" w:hAnsiTheme="minorHAnsi" w:cstheme="minorBidi"/>
          <w:szCs w:val="22"/>
        </w:rPr>
      </w:pPr>
      <w:r>
        <w:t>631A.</w:t>
      </w:r>
      <w:r>
        <w:tab/>
        <w:t>Inrush hazards</w:t>
      </w:r>
      <w:r>
        <w:tab/>
      </w:r>
      <w:r>
        <w:fldChar w:fldCharType="begin"/>
      </w:r>
      <w:r>
        <w:instrText xml:space="preserve"> PAGEREF _Toc200720416 \h </w:instrText>
      </w:r>
      <w:r>
        <w:fldChar w:fldCharType="separate"/>
      </w:r>
      <w:r>
        <w:t>408</w:t>
      </w:r>
      <w:r>
        <w:fldChar w:fldCharType="end"/>
      </w:r>
    </w:p>
    <w:p>
      <w:pPr>
        <w:pStyle w:val="TOC8"/>
        <w:rPr>
          <w:rFonts w:asciiTheme="minorHAnsi" w:eastAsiaTheme="minorEastAsia" w:hAnsiTheme="minorHAnsi" w:cstheme="minorBidi"/>
          <w:szCs w:val="22"/>
        </w:rPr>
      </w:pPr>
      <w:r>
        <w:t>631B.</w:t>
      </w:r>
      <w:r>
        <w:tab/>
        <w:t>Geotechnical structures</w:t>
      </w:r>
      <w:r>
        <w:tab/>
      </w:r>
      <w:r>
        <w:fldChar w:fldCharType="begin"/>
      </w:r>
      <w:r>
        <w:instrText xml:space="preserve"> PAGEREF _Toc200720417 \h </w:instrText>
      </w:r>
      <w:r>
        <w:fldChar w:fldCharType="separate"/>
      </w:r>
      <w:r>
        <w:t>408</w:t>
      </w:r>
      <w:r>
        <w:fldChar w:fldCharType="end"/>
      </w:r>
    </w:p>
    <w:p>
      <w:pPr>
        <w:pStyle w:val="TOC8"/>
        <w:rPr>
          <w:rFonts w:asciiTheme="minorHAnsi" w:eastAsiaTheme="minorEastAsia" w:hAnsiTheme="minorHAnsi" w:cstheme="minorBidi"/>
          <w:szCs w:val="22"/>
        </w:rPr>
      </w:pPr>
      <w:r>
        <w:t>631C.</w:t>
      </w:r>
      <w:r>
        <w:tab/>
        <w:t>Quarry operations</w:t>
      </w:r>
      <w:r>
        <w:tab/>
      </w:r>
      <w:r>
        <w:fldChar w:fldCharType="begin"/>
      </w:r>
      <w:r>
        <w:instrText xml:space="preserve"> PAGEREF _Toc200720418 \h </w:instrText>
      </w:r>
      <w:r>
        <w:fldChar w:fldCharType="separate"/>
      </w:r>
      <w:r>
        <w:t>409</w:t>
      </w:r>
      <w:r>
        <w:fldChar w:fldCharType="end"/>
      </w:r>
    </w:p>
    <w:p>
      <w:pPr>
        <w:pStyle w:val="TOC8"/>
        <w:rPr>
          <w:rFonts w:asciiTheme="minorHAnsi" w:eastAsiaTheme="minorEastAsia" w:hAnsiTheme="minorHAnsi" w:cstheme="minorBidi"/>
          <w:szCs w:val="22"/>
        </w:rPr>
      </w:pPr>
      <w:r>
        <w:t>631D.</w:t>
      </w:r>
      <w:r>
        <w:tab/>
        <w:t>Managing risks to health and safety in relation to explosives</w:t>
      </w:r>
      <w:r>
        <w:tab/>
      </w:r>
      <w:r>
        <w:fldChar w:fldCharType="begin"/>
      </w:r>
      <w:r>
        <w:instrText xml:space="preserve"> PAGEREF _Toc200720419 \h </w:instrText>
      </w:r>
      <w:r>
        <w:fldChar w:fldCharType="separate"/>
      </w:r>
      <w:r>
        <w:t>410</w:t>
      </w:r>
      <w:r>
        <w:fldChar w:fldCharType="end"/>
      </w:r>
    </w:p>
    <w:p>
      <w:pPr>
        <w:pStyle w:val="TOC8"/>
        <w:rPr>
          <w:rFonts w:asciiTheme="minorHAnsi" w:eastAsiaTheme="minorEastAsia" w:hAnsiTheme="minorHAnsi" w:cstheme="minorBidi"/>
          <w:szCs w:val="22"/>
        </w:rPr>
      </w:pPr>
      <w:r>
        <w:t>631E.</w:t>
      </w:r>
      <w:r>
        <w:tab/>
        <w:t>Externally</w:t>
      </w:r>
      <w:r>
        <w:noBreakHyphen/>
        <w:t>controlled plant</w:t>
      </w:r>
      <w:r>
        <w:tab/>
      </w:r>
      <w:r>
        <w:fldChar w:fldCharType="begin"/>
      </w:r>
      <w:r>
        <w:instrText xml:space="preserve"> PAGEREF _Toc200720420 \h </w:instrText>
      </w:r>
      <w:r>
        <w:fldChar w:fldCharType="separate"/>
      </w:r>
      <w:r>
        <w:t>411</w:t>
      </w:r>
      <w:r>
        <w:fldChar w:fldCharType="end"/>
      </w:r>
    </w:p>
    <w:p>
      <w:pPr>
        <w:pStyle w:val="TOC8"/>
        <w:rPr>
          <w:rFonts w:asciiTheme="minorHAnsi" w:eastAsiaTheme="minorEastAsia" w:hAnsiTheme="minorHAnsi" w:cstheme="minorBidi"/>
          <w:szCs w:val="22"/>
        </w:rPr>
      </w:pPr>
      <w:r>
        <w:t>632.</w:t>
      </w:r>
      <w:r>
        <w:tab/>
        <w:t>Prohibited uses</w:t>
      </w:r>
      <w:r>
        <w:tab/>
      </w:r>
      <w:r>
        <w:fldChar w:fldCharType="begin"/>
      </w:r>
      <w:r>
        <w:instrText xml:space="preserve"> PAGEREF _Toc200720421 \h </w:instrText>
      </w:r>
      <w:r>
        <w:fldChar w:fldCharType="separate"/>
      </w:r>
      <w:r>
        <w:t>412</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_Toc200720422 \h </w:instrText>
      </w:r>
      <w:r>
        <w:fldChar w:fldCharType="separate"/>
      </w:r>
      <w:r>
        <w:t>413</w:t>
      </w:r>
      <w:r>
        <w:fldChar w:fldCharType="end"/>
      </w:r>
    </w:p>
    <w:p>
      <w:pPr>
        <w:pStyle w:val="TOC8"/>
        <w:rPr>
          <w:rFonts w:asciiTheme="minorHAnsi" w:eastAsiaTheme="minorEastAsia" w:hAnsiTheme="minorHAnsi" w:cstheme="minorBidi"/>
          <w:szCs w:val="22"/>
        </w:rPr>
      </w:pPr>
      <w:r>
        <w:t>634.</w:t>
      </w:r>
      <w:r>
        <w:tab/>
        <w:t>Minimum age to work at mine</w:t>
      </w:r>
      <w:r>
        <w:tab/>
      </w:r>
      <w:r>
        <w:fldChar w:fldCharType="begin"/>
      </w:r>
      <w:r>
        <w:instrText xml:space="preserve"> PAGEREF _Toc200720423 \h </w:instrText>
      </w:r>
      <w:r>
        <w:fldChar w:fldCharType="separate"/>
      </w:r>
      <w:r>
        <w:t>413</w:t>
      </w:r>
      <w:r>
        <w:fldChar w:fldCharType="end"/>
      </w:r>
    </w:p>
    <w:p>
      <w:pPr>
        <w:pStyle w:val="TOC8"/>
        <w:rPr>
          <w:rFonts w:asciiTheme="minorHAnsi" w:eastAsiaTheme="minorEastAsia" w:hAnsiTheme="minorHAnsi" w:cstheme="minorBidi"/>
          <w:szCs w:val="22"/>
        </w:rPr>
      </w:pPr>
      <w:r>
        <w:t>634A.</w:t>
      </w:r>
      <w:r>
        <w:tab/>
        <w:t>Inspections</w:t>
      </w:r>
      <w:r>
        <w:tab/>
      </w:r>
      <w:r>
        <w:fldChar w:fldCharType="begin"/>
      </w:r>
      <w:r>
        <w:instrText xml:space="preserve"> PAGEREF _Toc200720424 \h </w:instrText>
      </w:r>
      <w:r>
        <w:fldChar w:fldCharType="separate"/>
      </w:r>
      <w:r>
        <w:t>413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Air quality and monitoring</w:t>
      </w:r>
    </w:p>
    <w:p>
      <w:pPr>
        <w:pStyle w:val="TOC8"/>
        <w:rPr>
          <w:rFonts w:asciiTheme="minorHAnsi" w:eastAsiaTheme="minorEastAsia" w:hAnsiTheme="minorHAnsi" w:cstheme="minorBidi"/>
          <w:szCs w:val="22"/>
        </w:rPr>
      </w:pPr>
      <w:r>
        <w:t>635.</w:t>
      </w:r>
      <w:r>
        <w:tab/>
        <w:t>Temperature and moisture content of air</w:t>
      </w:r>
      <w:r>
        <w:tab/>
      </w:r>
      <w:r>
        <w:fldChar w:fldCharType="begin"/>
      </w:r>
      <w:r>
        <w:instrText xml:space="preserve"> PAGEREF _Toc200720426 \h </w:instrText>
      </w:r>
      <w:r>
        <w:fldChar w:fldCharType="separate"/>
      </w:r>
      <w:r>
        <w:t>415</w:t>
      </w:r>
      <w:r>
        <w:fldChar w:fldCharType="end"/>
      </w:r>
    </w:p>
    <w:p>
      <w:pPr>
        <w:pStyle w:val="TOC8"/>
        <w:rPr>
          <w:rFonts w:asciiTheme="minorHAnsi" w:eastAsiaTheme="minorEastAsia" w:hAnsiTheme="minorHAnsi" w:cstheme="minorBidi"/>
          <w:szCs w:val="22"/>
        </w:rPr>
      </w:pPr>
      <w:r>
        <w:t>635A.</w:t>
      </w:r>
      <w:r>
        <w:tab/>
        <w:t>Airborne contaminants</w:t>
      </w:r>
      <w:r>
        <w:tab/>
      </w:r>
      <w:r>
        <w:fldChar w:fldCharType="begin"/>
      </w:r>
      <w:r>
        <w:instrText xml:space="preserve"> PAGEREF _Toc200720427 \h </w:instrText>
      </w:r>
      <w:r>
        <w:fldChar w:fldCharType="separate"/>
      </w:r>
      <w:r>
        <w:t>415</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_Toc200720428 \h </w:instrText>
      </w:r>
      <w:r>
        <w:fldChar w:fldCharType="separate"/>
      </w:r>
      <w:r>
        <w:t>416</w:t>
      </w:r>
      <w:r>
        <w:fldChar w:fldCharType="end"/>
      </w:r>
    </w:p>
    <w:p>
      <w:pPr>
        <w:pStyle w:val="TOC8"/>
        <w:rPr>
          <w:rFonts w:asciiTheme="minorHAnsi" w:eastAsiaTheme="minorEastAsia" w:hAnsiTheme="minorHAnsi" w:cstheme="minorBidi"/>
          <w:szCs w:val="22"/>
        </w:rPr>
      </w:pPr>
      <w:r>
        <w:t>637.</w:t>
      </w:r>
      <w:r>
        <w:tab/>
        <w:t>Monitoring airborne contaminant levels</w:t>
      </w:r>
      <w:r>
        <w:tab/>
      </w:r>
      <w:r>
        <w:fldChar w:fldCharType="begin"/>
      </w:r>
      <w:r>
        <w:instrText xml:space="preserve"> PAGEREF _Toc200720429 \h </w:instrText>
      </w:r>
      <w:r>
        <w:fldChar w:fldCharType="separate"/>
      </w:r>
      <w:r>
        <w:t>416</w:t>
      </w:r>
      <w:r>
        <w:fldChar w:fldCharType="end"/>
      </w:r>
    </w:p>
    <w:p>
      <w:pPr>
        <w:pStyle w:val="TOC8"/>
        <w:rPr>
          <w:rFonts w:asciiTheme="minorHAnsi" w:eastAsiaTheme="minorEastAsia" w:hAnsiTheme="minorHAnsi" w:cstheme="minorBidi"/>
          <w:szCs w:val="22"/>
        </w:rPr>
      </w:pPr>
      <w:r>
        <w:t>637A.</w:t>
      </w:r>
      <w:r>
        <w:tab/>
        <w:t>Requirements if airborne exposure standard for mixture or substance exceeded</w:t>
      </w:r>
      <w:r>
        <w:tab/>
      </w:r>
      <w:r>
        <w:fldChar w:fldCharType="begin"/>
      </w:r>
      <w:r>
        <w:instrText xml:space="preserve"> PAGEREF _Toc200720430 \h </w:instrText>
      </w:r>
      <w:r>
        <w:fldChar w:fldCharType="separate"/>
      </w:r>
      <w:r>
        <w:t>417</w:t>
      </w:r>
      <w:r>
        <w:fldChar w:fldCharType="end"/>
      </w:r>
    </w:p>
    <w:p>
      <w:pPr>
        <w:pStyle w:val="TOC8"/>
        <w:rPr>
          <w:rFonts w:asciiTheme="minorHAnsi" w:eastAsiaTheme="minorEastAsia" w:hAnsiTheme="minorHAnsi" w:cstheme="minorBidi"/>
          <w:szCs w:val="22"/>
        </w:rPr>
      </w:pPr>
      <w:r>
        <w:t>638.</w:t>
      </w:r>
      <w:r>
        <w:tab/>
        <w:t>Use of devices for air monitoring</w:t>
      </w:r>
      <w:r>
        <w:tab/>
      </w:r>
      <w:r>
        <w:fldChar w:fldCharType="begin"/>
      </w:r>
      <w:r>
        <w:instrText xml:space="preserve"> PAGEREF _Toc200720431 \h </w:instrText>
      </w:r>
      <w:r>
        <w:fldChar w:fldCharType="separate"/>
      </w:r>
      <w:r>
        <w:t>418</w:t>
      </w:r>
      <w:r>
        <w:fldChar w:fldCharType="end"/>
      </w:r>
    </w:p>
    <w:p>
      <w:pPr>
        <w:pStyle w:val="TOC8"/>
        <w:rPr>
          <w:rFonts w:asciiTheme="minorHAnsi" w:eastAsiaTheme="minorEastAsia" w:hAnsiTheme="minorHAnsi" w:cstheme="minorBidi"/>
          <w:szCs w:val="22"/>
        </w:rPr>
      </w:pPr>
      <w:r>
        <w:t>639.</w:t>
      </w:r>
      <w:r>
        <w:tab/>
        <w:t>Signage relating to air monitoring</w:t>
      </w:r>
      <w:r>
        <w:tab/>
      </w:r>
      <w:r>
        <w:fldChar w:fldCharType="begin"/>
      </w:r>
      <w:r>
        <w:instrText xml:space="preserve"> PAGEREF _Toc200720432 \h </w:instrText>
      </w:r>
      <w:r>
        <w:fldChar w:fldCharType="separate"/>
      </w:r>
      <w:r>
        <w:t>418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Fitness for work</w:t>
      </w:r>
    </w:p>
    <w:p>
      <w:pPr>
        <w:pStyle w:val="TOC8"/>
        <w:rPr>
          <w:rFonts w:asciiTheme="minorHAnsi" w:eastAsiaTheme="minorEastAsia" w:hAnsiTheme="minorHAnsi" w:cstheme="minorBidi"/>
          <w:szCs w:val="22"/>
        </w:rPr>
      </w:pPr>
      <w:r>
        <w:t>640.</w:t>
      </w:r>
      <w:r>
        <w:tab/>
        <w:t>Fatigue</w:t>
      </w:r>
      <w:r>
        <w:tab/>
      </w:r>
      <w:r>
        <w:fldChar w:fldCharType="begin"/>
      </w:r>
      <w:r>
        <w:instrText xml:space="preserve"> PAGEREF _Toc200720434 \h </w:instrText>
      </w:r>
      <w:r>
        <w:fldChar w:fldCharType="separate"/>
      </w:r>
      <w:r>
        <w:t>419</w:t>
      </w:r>
      <w:r>
        <w:fldChar w:fldCharType="end"/>
      </w:r>
    </w:p>
    <w:p>
      <w:pPr>
        <w:pStyle w:val="TOC8"/>
        <w:rPr>
          <w:rFonts w:asciiTheme="minorHAnsi" w:eastAsiaTheme="minorEastAsia" w:hAnsiTheme="minorHAnsi" w:cstheme="minorBidi"/>
          <w:szCs w:val="22"/>
        </w:rPr>
      </w:pPr>
      <w:r>
        <w:t>641.</w:t>
      </w:r>
      <w:r>
        <w:tab/>
        <w:t>Alcohol and drugs</w:t>
      </w:r>
      <w:r>
        <w:tab/>
      </w:r>
      <w:r>
        <w:fldChar w:fldCharType="begin"/>
      </w:r>
      <w:r>
        <w:instrText xml:space="preserve"> PAGEREF _Toc200720435 \h </w:instrText>
      </w:r>
      <w:r>
        <w:fldChar w:fldCharType="separate"/>
      </w:r>
      <w:r>
        <w:t>419</w:t>
      </w:r>
      <w:r>
        <w:fldChar w:fldCharType="end"/>
      </w:r>
    </w:p>
    <w:p>
      <w:pPr>
        <w:pStyle w:val="TOC6"/>
        <w:tabs>
          <w:tab w:val="right" w:leader="dot" w:pos="7077"/>
        </w:tabs>
        <w:rPr>
          <w:rFonts w:asciiTheme="minorHAnsi" w:eastAsiaTheme="minorEastAsia" w:hAnsiTheme="minorHAnsi" w:cstheme="minorBidi"/>
          <w:b w:val="0"/>
          <w:sz w:val="22"/>
          <w:szCs w:val="22"/>
        </w:rPr>
      </w:pPr>
      <w:r>
        <w:t>Subdivision 3A — Electricity in mines</w:t>
      </w:r>
    </w:p>
    <w:p>
      <w:pPr>
        <w:pStyle w:val="TOC8"/>
        <w:rPr>
          <w:rFonts w:asciiTheme="minorHAnsi" w:eastAsiaTheme="minorEastAsia" w:hAnsiTheme="minorHAnsi" w:cstheme="minorBidi"/>
          <w:szCs w:val="22"/>
        </w:rPr>
      </w:pPr>
      <w:r>
        <w:t>641A.</w:t>
      </w:r>
      <w:r>
        <w:tab/>
        <w:t>Managing risks due to electricity</w:t>
      </w:r>
      <w:r>
        <w:tab/>
      </w:r>
      <w:r>
        <w:fldChar w:fldCharType="begin"/>
      </w:r>
      <w:r>
        <w:instrText xml:space="preserve"> PAGEREF _Toc200720437 \h </w:instrText>
      </w:r>
      <w:r>
        <w:fldChar w:fldCharType="separate"/>
      </w:r>
      <w:r>
        <w:t>419</w:t>
      </w:r>
      <w:r>
        <w:fldChar w:fldCharType="end"/>
      </w:r>
    </w:p>
    <w:p>
      <w:pPr>
        <w:pStyle w:val="TOC8"/>
        <w:rPr>
          <w:rFonts w:asciiTheme="minorHAnsi" w:eastAsiaTheme="minorEastAsia" w:hAnsiTheme="minorHAnsi" w:cstheme="minorBidi"/>
          <w:szCs w:val="22"/>
        </w:rPr>
      </w:pPr>
      <w:r>
        <w:t>641B.</w:t>
      </w:r>
      <w:r>
        <w:tab/>
        <w:t>Records to be kept relating to electricity at mine</w:t>
      </w:r>
      <w:r>
        <w:tab/>
      </w:r>
      <w:r>
        <w:fldChar w:fldCharType="begin"/>
      </w:r>
      <w:r>
        <w:instrText xml:space="preserve"> PAGEREF _Toc200720438 \h </w:instrText>
      </w:r>
      <w:r>
        <w:fldChar w:fldCharType="separate"/>
      </w:r>
      <w:r>
        <w:t>420</w:t>
      </w:r>
      <w:r>
        <w:fldChar w:fldCharType="end"/>
      </w:r>
    </w:p>
    <w:p>
      <w:pPr>
        <w:pStyle w:val="TOC8"/>
        <w:rPr>
          <w:rFonts w:asciiTheme="minorHAnsi" w:eastAsiaTheme="minorEastAsia" w:hAnsiTheme="minorHAnsi" w:cstheme="minorBidi"/>
          <w:szCs w:val="22"/>
        </w:rPr>
      </w:pPr>
      <w:r>
        <w:t>641C.</w:t>
      </w:r>
      <w:r>
        <w:tab/>
        <w:t>Electrical log books</w:t>
      </w:r>
      <w:r>
        <w:tab/>
      </w:r>
      <w:r>
        <w:fldChar w:fldCharType="begin"/>
      </w:r>
      <w:r>
        <w:instrText xml:space="preserve"> PAGEREF _Toc200720439 \h </w:instrText>
      </w:r>
      <w:r>
        <w:fldChar w:fldCharType="separate"/>
      </w:r>
      <w:r>
        <w:t>421</w:t>
      </w:r>
      <w:r>
        <w:fldChar w:fldCharType="end"/>
      </w:r>
    </w:p>
    <w:p>
      <w:pPr>
        <w:pStyle w:val="TOC8"/>
        <w:rPr>
          <w:rFonts w:asciiTheme="minorHAnsi" w:eastAsiaTheme="minorEastAsia" w:hAnsiTheme="minorHAnsi" w:cstheme="minorBidi"/>
          <w:szCs w:val="22"/>
        </w:rPr>
      </w:pPr>
      <w:r>
        <w:t>641D.</w:t>
      </w:r>
      <w:r>
        <w:tab/>
        <w:t>Earthing systems</w:t>
      </w:r>
      <w:r>
        <w:tab/>
      </w:r>
      <w:r>
        <w:fldChar w:fldCharType="begin"/>
      </w:r>
      <w:r>
        <w:instrText xml:space="preserve"> PAGEREF _Toc200720440 \h </w:instrText>
      </w:r>
      <w:r>
        <w:fldChar w:fldCharType="separate"/>
      </w:r>
      <w:r>
        <w:t>421</w:t>
      </w:r>
      <w:r>
        <w:fldChar w:fldCharType="end"/>
      </w:r>
    </w:p>
    <w:p>
      <w:pPr>
        <w:pStyle w:val="TOC8"/>
        <w:rPr>
          <w:rFonts w:asciiTheme="minorHAnsi" w:eastAsiaTheme="minorEastAsia" w:hAnsiTheme="minorHAnsi" w:cstheme="minorBidi"/>
          <w:szCs w:val="22"/>
        </w:rPr>
      </w:pPr>
      <w:r>
        <w:t>641E.</w:t>
      </w:r>
      <w:r>
        <w:tab/>
        <w:t>Trailing cables and reeling cables</w:t>
      </w:r>
      <w:r>
        <w:tab/>
      </w:r>
      <w:r>
        <w:fldChar w:fldCharType="begin"/>
      </w:r>
      <w:r>
        <w:instrText xml:space="preserve"> PAGEREF _Toc200720441 \h </w:instrText>
      </w:r>
      <w:r>
        <w:fldChar w:fldCharType="separate"/>
      </w:r>
      <w:r>
        <w:t>422</w:t>
      </w:r>
      <w:r>
        <w:fldChar w:fldCharType="end"/>
      </w:r>
    </w:p>
    <w:p>
      <w:pPr>
        <w:pStyle w:val="TOC8"/>
        <w:rPr>
          <w:rFonts w:asciiTheme="minorHAnsi" w:eastAsiaTheme="minorEastAsia" w:hAnsiTheme="minorHAnsi" w:cstheme="minorBidi"/>
          <w:szCs w:val="22"/>
        </w:rPr>
      </w:pPr>
      <w:r>
        <w:t>641F.</w:t>
      </w:r>
      <w:r>
        <w:tab/>
        <w:t>Earth continuity protection and monitoring</w:t>
      </w:r>
      <w:r>
        <w:tab/>
      </w:r>
      <w:r>
        <w:fldChar w:fldCharType="begin"/>
      </w:r>
      <w:r>
        <w:instrText xml:space="preserve"> PAGEREF _Toc200720442 \h </w:instrText>
      </w:r>
      <w:r>
        <w:fldChar w:fldCharType="separate"/>
      </w:r>
      <w:r>
        <w:t>423</w:t>
      </w:r>
      <w:r>
        <w:fldChar w:fldCharType="end"/>
      </w:r>
    </w:p>
    <w:p>
      <w:pPr>
        <w:pStyle w:val="TOC8"/>
        <w:rPr>
          <w:rFonts w:asciiTheme="minorHAnsi" w:eastAsiaTheme="minorEastAsia" w:hAnsiTheme="minorHAnsi" w:cstheme="minorBidi"/>
          <w:szCs w:val="22"/>
        </w:rPr>
      </w:pPr>
      <w:r>
        <w:t>641G.</w:t>
      </w:r>
      <w:r>
        <w:tab/>
        <w:t>Electrical work to be carried out by licensed persons</w:t>
      </w:r>
      <w:r>
        <w:tab/>
      </w:r>
      <w:r>
        <w:fldChar w:fldCharType="begin"/>
      </w:r>
      <w:r>
        <w:instrText xml:space="preserve"> PAGEREF _Toc200720443 \h </w:instrText>
      </w:r>
      <w:r>
        <w:fldChar w:fldCharType="separate"/>
      </w:r>
      <w:r>
        <w:t>423</w:t>
      </w:r>
      <w:r>
        <w:fldChar w:fldCharType="end"/>
      </w:r>
    </w:p>
    <w:p>
      <w:pPr>
        <w:pStyle w:val="TOC8"/>
        <w:rPr>
          <w:rFonts w:asciiTheme="minorHAnsi" w:eastAsiaTheme="minorEastAsia" w:hAnsiTheme="minorHAnsi" w:cstheme="minorBidi"/>
          <w:szCs w:val="22"/>
        </w:rPr>
      </w:pPr>
      <w:r>
        <w:t>641H.</w:t>
      </w:r>
      <w:r>
        <w:tab/>
        <w:t>Working in close proximity to uninsulated high voltage conductors or components</w:t>
      </w:r>
      <w:r>
        <w:tab/>
      </w:r>
      <w:r>
        <w:fldChar w:fldCharType="begin"/>
      </w:r>
      <w:r>
        <w:instrText xml:space="preserve"> PAGEREF _Toc200720444 \h </w:instrText>
      </w:r>
      <w:r>
        <w:fldChar w:fldCharType="separate"/>
      </w:r>
      <w:r>
        <w:t>424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3B — Radiation in mines</w:t>
      </w:r>
    </w:p>
    <w:p>
      <w:pPr>
        <w:pStyle w:val="TOC8"/>
        <w:rPr>
          <w:rFonts w:asciiTheme="minorHAnsi" w:eastAsiaTheme="minorEastAsia" w:hAnsiTheme="minorHAnsi" w:cstheme="minorBidi"/>
          <w:szCs w:val="22"/>
        </w:rPr>
      </w:pPr>
      <w:r>
        <w:t>641I.</w:t>
      </w:r>
      <w:r>
        <w:tab/>
        <w:t>Terms used</w:t>
      </w:r>
      <w:r>
        <w:tab/>
      </w:r>
      <w:r>
        <w:fldChar w:fldCharType="begin"/>
      </w:r>
      <w:r>
        <w:instrText xml:space="preserve"> PAGEREF _Toc200720446 \h </w:instrText>
      </w:r>
      <w:r>
        <w:fldChar w:fldCharType="separate"/>
      </w:r>
      <w:r>
        <w:t>424</w:t>
      </w:r>
      <w:r>
        <w:fldChar w:fldCharType="end"/>
      </w:r>
    </w:p>
    <w:p>
      <w:pPr>
        <w:pStyle w:val="TOC8"/>
        <w:rPr>
          <w:rFonts w:asciiTheme="minorHAnsi" w:eastAsiaTheme="minorEastAsia" w:hAnsiTheme="minorHAnsi" w:cstheme="minorBidi"/>
          <w:szCs w:val="22"/>
        </w:rPr>
      </w:pPr>
      <w:r>
        <w:t>641J.</w:t>
      </w:r>
      <w:r>
        <w:tab/>
        <w:t xml:space="preserve">Subdivision prevails over </w:t>
      </w:r>
      <w:r>
        <w:rPr>
          <w:i/>
        </w:rPr>
        <w:t>Radiation Safety (General) Regulations 1983</w:t>
      </w:r>
      <w:r>
        <w:tab/>
      </w:r>
      <w:r>
        <w:fldChar w:fldCharType="begin"/>
      </w:r>
      <w:r>
        <w:instrText xml:space="preserve"> PAGEREF _Toc200720447 \h </w:instrText>
      </w:r>
      <w:r>
        <w:fldChar w:fldCharType="separate"/>
      </w:r>
      <w:r>
        <w:t>425</w:t>
      </w:r>
      <w:r>
        <w:fldChar w:fldCharType="end"/>
      </w:r>
    </w:p>
    <w:p>
      <w:pPr>
        <w:pStyle w:val="TOC8"/>
        <w:rPr>
          <w:rFonts w:asciiTheme="minorHAnsi" w:eastAsiaTheme="minorEastAsia" w:hAnsiTheme="minorHAnsi" w:cstheme="minorBidi"/>
          <w:szCs w:val="22"/>
        </w:rPr>
      </w:pPr>
      <w:r>
        <w:t>641K.</w:t>
      </w:r>
      <w:r>
        <w:tab/>
        <w:t>Meaning of radioactive material</w:t>
      </w:r>
      <w:r>
        <w:tab/>
      </w:r>
      <w:r>
        <w:fldChar w:fldCharType="begin"/>
      </w:r>
      <w:r>
        <w:instrText xml:space="preserve"> PAGEREF _Toc200720448 \h </w:instrText>
      </w:r>
      <w:r>
        <w:fldChar w:fldCharType="separate"/>
      </w:r>
      <w:r>
        <w:t>425</w:t>
      </w:r>
      <w:r>
        <w:fldChar w:fldCharType="end"/>
      </w:r>
    </w:p>
    <w:p>
      <w:pPr>
        <w:pStyle w:val="TOC8"/>
        <w:rPr>
          <w:rFonts w:asciiTheme="minorHAnsi" w:eastAsiaTheme="minorEastAsia" w:hAnsiTheme="minorHAnsi" w:cstheme="minorBidi"/>
          <w:szCs w:val="22"/>
        </w:rPr>
      </w:pPr>
      <w:r>
        <w:t>641L.</w:t>
      </w:r>
      <w:r>
        <w:tab/>
        <w:t>Application of Subdivision</w:t>
      </w:r>
      <w:r>
        <w:tab/>
      </w:r>
      <w:r>
        <w:fldChar w:fldCharType="begin"/>
      </w:r>
      <w:r>
        <w:instrText xml:space="preserve"> PAGEREF _Toc200720449 \h </w:instrText>
      </w:r>
      <w:r>
        <w:fldChar w:fldCharType="separate"/>
      </w:r>
      <w:r>
        <w:t>426</w:t>
      </w:r>
      <w:r>
        <w:fldChar w:fldCharType="end"/>
      </w:r>
    </w:p>
    <w:p>
      <w:pPr>
        <w:pStyle w:val="TOC8"/>
        <w:rPr>
          <w:rFonts w:asciiTheme="minorHAnsi" w:eastAsiaTheme="minorEastAsia" w:hAnsiTheme="minorHAnsi" w:cstheme="minorBidi"/>
          <w:szCs w:val="22"/>
        </w:rPr>
      </w:pPr>
      <w:r>
        <w:t>641M.</w:t>
      </w:r>
      <w:r>
        <w:tab/>
        <w:t>Pre</w:t>
      </w:r>
      <w:r>
        <w:noBreakHyphen/>
        <w:t>operational monitoring program</w:t>
      </w:r>
      <w:r>
        <w:tab/>
      </w:r>
      <w:r>
        <w:fldChar w:fldCharType="begin"/>
      </w:r>
      <w:r>
        <w:instrText xml:space="preserve"> PAGEREF _Toc200720450 \h </w:instrText>
      </w:r>
      <w:r>
        <w:fldChar w:fldCharType="separate"/>
      </w:r>
      <w:r>
        <w:t>426</w:t>
      </w:r>
      <w:r>
        <w:fldChar w:fldCharType="end"/>
      </w:r>
    </w:p>
    <w:p>
      <w:pPr>
        <w:pStyle w:val="TOC8"/>
        <w:rPr>
          <w:rFonts w:asciiTheme="minorHAnsi" w:eastAsiaTheme="minorEastAsia" w:hAnsiTheme="minorHAnsi" w:cstheme="minorBidi"/>
          <w:szCs w:val="22"/>
        </w:rPr>
      </w:pPr>
      <w:r>
        <w:t>641N.</w:t>
      </w:r>
      <w:r>
        <w:tab/>
        <w:t>Radiation management plan</w:t>
      </w:r>
      <w:r>
        <w:tab/>
      </w:r>
      <w:r>
        <w:fldChar w:fldCharType="begin"/>
      </w:r>
      <w:r>
        <w:instrText xml:space="preserve"> PAGEREF _Toc200720451 \h </w:instrText>
      </w:r>
      <w:r>
        <w:fldChar w:fldCharType="separate"/>
      </w:r>
      <w:r>
        <w:t>427</w:t>
      </w:r>
      <w:r>
        <w:fldChar w:fldCharType="end"/>
      </w:r>
    </w:p>
    <w:p>
      <w:pPr>
        <w:pStyle w:val="TOC8"/>
        <w:rPr>
          <w:rFonts w:asciiTheme="minorHAnsi" w:eastAsiaTheme="minorEastAsia" w:hAnsiTheme="minorHAnsi" w:cstheme="minorBidi"/>
          <w:szCs w:val="22"/>
        </w:rPr>
      </w:pPr>
      <w:r>
        <w:t>641O.</w:t>
      </w:r>
      <w:r>
        <w:tab/>
        <w:t>Radioactive waste management plan</w:t>
      </w:r>
      <w:r>
        <w:tab/>
      </w:r>
      <w:r>
        <w:fldChar w:fldCharType="begin"/>
      </w:r>
      <w:r>
        <w:instrText xml:space="preserve"> PAGEREF _Toc200720452 \h </w:instrText>
      </w:r>
      <w:r>
        <w:fldChar w:fldCharType="separate"/>
      </w:r>
      <w:r>
        <w:t>428</w:t>
      </w:r>
      <w:r>
        <w:fldChar w:fldCharType="end"/>
      </w:r>
    </w:p>
    <w:p>
      <w:pPr>
        <w:pStyle w:val="TOC8"/>
        <w:rPr>
          <w:rFonts w:asciiTheme="minorHAnsi" w:eastAsiaTheme="minorEastAsia" w:hAnsiTheme="minorHAnsi" w:cstheme="minorBidi"/>
          <w:szCs w:val="22"/>
        </w:rPr>
      </w:pPr>
      <w:r>
        <w:t>641P.</w:t>
      </w:r>
      <w:r>
        <w:tab/>
        <w:t>Dose limits</w:t>
      </w:r>
      <w:r>
        <w:tab/>
      </w:r>
      <w:r>
        <w:fldChar w:fldCharType="begin"/>
      </w:r>
      <w:r>
        <w:instrText xml:space="preserve"> PAGEREF _Toc200720453 \h </w:instrText>
      </w:r>
      <w:r>
        <w:fldChar w:fldCharType="separate"/>
      </w:r>
      <w:r>
        <w:t>429</w:t>
      </w:r>
      <w:r>
        <w:fldChar w:fldCharType="end"/>
      </w:r>
    </w:p>
    <w:p>
      <w:pPr>
        <w:pStyle w:val="TOC8"/>
        <w:rPr>
          <w:rFonts w:asciiTheme="minorHAnsi" w:eastAsiaTheme="minorEastAsia" w:hAnsiTheme="minorHAnsi" w:cstheme="minorBidi"/>
          <w:szCs w:val="22"/>
        </w:rPr>
      </w:pPr>
      <w:r>
        <w:t>641Q.</w:t>
      </w:r>
      <w:r>
        <w:tab/>
        <w:t>Assessment of doses</w:t>
      </w:r>
      <w:r>
        <w:tab/>
      </w:r>
      <w:r>
        <w:fldChar w:fldCharType="begin"/>
      </w:r>
      <w:r>
        <w:instrText xml:space="preserve"> PAGEREF _Toc200720454 \h </w:instrText>
      </w:r>
      <w:r>
        <w:fldChar w:fldCharType="separate"/>
      </w:r>
      <w:r>
        <w:t>430</w:t>
      </w:r>
      <w:r>
        <w:fldChar w:fldCharType="end"/>
      </w:r>
    </w:p>
    <w:p>
      <w:pPr>
        <w:pStyle w:val="TOC8"/>
        <w:rPr>
          <w:rFonts w:asciiTheme="minorHAnsi" w:eastAsiaTheme="minorEastAsia" w:hAnsiTheme="minorHAnsi" w:cstheme="minorBidi"/>
          <w:szCs w:val="22"/>
        </w:rPr>
      </w:pPr>
      <w:r>
        <w:t>641R.</w:t>
      </w:r>
      <w:r>
        <w:tab/>
        <w:t>Controlled areas and supervised areas</w:t>
      </w:r>
      <w:r>
        <w:tab/>
      </w:r>
      <w:r>
        <w:fldChar w:fldCharType="begin"/>
      </w:r>
      <w:r>
        <w:instrText xml:space="preserve"> PAGEREF _Toc200720455 \h </w:instrText>
      </w:r>
      <w:r>
        <w:fldChar w:fldCharType="separate"/>
      </w:r>
      <w:r>
        <w:t>431</w:t>
      </w:r>
      <w:r>
        <w:fldChar w:fldCharType="end"/>
      </w:r>
    </w:p>
    <w:p>
      <w:pPr>
        <w:pStyle w:val="TOC8"/>
        <w:rPr>
          <w:rFonts w:asciiTheme="minorHAnsi" w:eastAsiaTheme="minorEastAsia" w:hAnsiTheme="minorHAnsi" w:cstheme="minorBidi"/>
          <w:szCs w:val="22"/>
        </w:rPr>
      </w:pPr>
      <w:r>
        <w:t>641S.</w:t>
      </w:r>
      <w:r>
        <w:tab/>
        <w:t>Designated workers</w:t>
      </w:r>
      <w:r>
        <w:tab/>
      </w:r>
      <w:r>
        <w:fldChar w:fldCharType="begin"/>
      </w:r>
      <w:r>
        <w:instrText xml:space="preserve"> PAGEREF _Toc200720456 \h </w:instrText>
      </w:r>
      <w:r>
        <w:fldChar w:fldCharType="separate"/>
      </w:r>
      <w:r>
        <w:t>432</w:t>
      </w:r>
      <w:r>
        <w:fldChar w:fldCharType="end"/>
      </w:r>
    </w:p>
    <w:p>
      <w:pPr>
        <w:pStyle w:val="TOC8"/>
        <w:rPr>
          <w:rFonts w:asciiTheme="minorHAnsi" w:eastAsiaTheme="minorEastAsia" w:hAnsiTheme="minorHAnsi" w:cstheme="minorBidi"/>
          <w:szCs w:val="22"/>
        </w:rPr>
      </w:pPr>
      <w:r>
        <w:t>641T.</w:t>
      </w:r>
      <w:r>
        <w:tab/>
        <w:t>Pregnant designated workers</w:t>
      </w:r>
      <w:r>
        <w:tab/>
      </w:r>
      <w:r>
        <w:fldChar w:fldCharType="begin"/>
      </w:r>
      <w:r>
        <w:instrText xml:space="preserve"> PAGEREF _Toc200720457 \h </w:instrText>
      </w:r>
      <w:r>
        <w:fldChar w:fldCharType="separate"/>
      </w:r>
      <w:r>
        <w:t>433</w:t>
      </w:r>
      <w:r>
        <w:fldChar w:fldCharType="end"/>
      </w:r>
    </w:p>
    <w:p>
      <w:pPr>
        <w:pStyle w:val="TOC8"/>
        <w:rPr>
          <w:rFonts w:asciiTheme="minorHAnsi" w:eastAsiaTheme="minorEastAsia" w:hAnsiTheme="minorHAnsi" w:cstheme="minorBidi"/>
          <w:szCs w:val="22"/>
        </w:rPr>
      </w:pPr>
      <w:r>
        <w:t>641U.</w:t>
      </w:r>
      <w:r>
        <w:tab/>
      </w:r>
      <w:r>
        <w:rPr>
          <w:snapToGrid w:val="0"/>
        </w:rPr>
        <w:t>Notifying results of dose assessment of designated workers</w:t>
      </w:r>
      <w:r>
        <w:tab/>
      </w:r>
      <w:r>
        <w:fldChar w:fldCharType="begin"/>
      </w:r>
      <w:r>
        <w:instrText xml:space="preserve"> PAGEREF _Toc200720458 \h </w:instrText>
      </w:r>
      <w:r>
        <w:fldChar w:fldCharType="separate"/>
      </w:r>
      <w:r>
        <w:t>433</w:t>
      </w:r>
      <w:r>
        <w:fldChar w:fldCharType="end"/>
      </w:r>
    </w:p>
    <w:p>
      <w:pPr>
        <w:pStyle w:val="TOC8"/>
        <w:rPr>
          <w:rFonts w:asciiTheme="minorHAnsi" w:eastAsiaTheme="minorEastAsia" w:hAnsiTheme="minorHAnsi" w:cstheme="minorBidi"/>
          <w:szCs w:val="22"/>
        </w:rPr>
      </w:pPr>
      <w:r>
        <w:t>641V.</w:t>
      </w:r>
      <w:r>
        <w:tab/>
        <w:t>Approval to remove or dispose of radioactive material</w:t>
      </w:r>
      <w:r>
        <w:tab/>
      </w:r>
      <w:r>
        <w:fldChar w:fldCharType="begin"/>
      </w:r>
      <w:r>
        <w:instrText xml:space="preserve"> PAGEREF _Toc200720459 \h </w:instrText>
      </w:r>
      <w:r>
        <w:fldChar w:fldCharType="separate"/>
      </w:r>
      <w:r>
        <w:t>434</w:t>
      </w:r>
      <w:r>
        <w:fldChar w:fldCharType="end"/>
      </w:r>
    </w:p>
    <w:p>
      <w:pPr>
        <w:pStyle w:val="TOC8"/>
        <w:rPr>
          <w:rFonts w:asciiTheme="minorHAnsi" w:eastAsiaTheme="minorEastAsia" w:hAnsiTheme="minorHAnsi" w:cstheme="minorBidi"/>
          <w:szCs w:val="22"/>
        </w:rPr>
      </w:pPr>
      <w:r>
        <w:t>641W.</w:t>
      </w:r>
      <w:r>
        <w:tab/>
        <w:t>Approval to use or treat imported radioactive minerals</w:t>
      </w:r>
      <w:r>
        <w:tab/>
      </w:r>
      <w:r>
        <w:fldChar w:fldCharType="begin"/>
      </w:r>
      <w:r>
        <w:instrText xml:space="preserve"> PAGEREF _Toc200720460 \h </w:instrText>
      </w:r>
      <w:r>
        <w:fldChar w:fldCharType="separate"/>
      </w:r>
      <w:r>
        <w:t>434</w:t>
      </w:r>
      <w:r>
        <w:fldChar w:fldCharType="end"/>
      </w:r>
    </w:p>
    <w:p>
      <w:pPr>
        <w:pStyle w:val="TOC8"/>
        <w:rPr>
          <w:rFonts w:asciiTheme="minorHAnsi" w:eastAsiaTheme="minorEastAsia" w:hAnsiTheme="minorHAnsi" w:cstheme="minorBidi"/>
          <w:szCs w:val="22"/>
        </w:rPr>
      </w:pPr>
      <w:r>
        <w:t>641X.</w:t>
      </w:r>
      <w:r>
        <w:tab/>
        <w:t>Discharges</w:t>
      </w:r>
      <w:r>
        <w:tab/>
      </w:r>
      <w:r>
        <w:fldChar w:fldCharType="begin"/>
      </w:r>
      <w:r>
        <w:instrText xml:space="preserve"> PAGEREF _Toc200720461 \h </w:instrText>
      </w:r>
      <w:r>
        <w:fldChar w:fldCharType="separate"/>
      </w:r>
      <w:r>
        <w:t>435</w:t>
      </w:r>
      <w:r>
        <w:fldChar w:fldCharType="end"/>
      </w:r>
    </w:p>
    <w:p>
      <w:pPr>
        <w:pStyle w:val="TOC8"/>
        <w:rPr>
          <w:rFonts w:asciiTheme="minorHAnsi" w:eastAsiaTheme="minorEastAsia" w:hAnsiTheme="minorHAnsi" w:cstheme="minorBidi"/>
          <w:szCs w:val="22"/>
        </w:rPr>
      </w:pPr>
      <w:r>
        <w:t>641Y.</w:t>
      </w:r>
      <w:r>
        <w:tab/>
        <w:t>Notifications, reports and records</w:t>
      </w:r>
      <w:r>
        <w:tab/>
      </w:r>
      <w:r>
        <w:fldChar w:fldCharType="begin"/>
      </w:r>
      <w:r>
        <w:instrText xml:space="preserve"> PAGEREF _Toc200720462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Division 4 — Specific control measures — underground mines</w:t>
      </w:r>
    </w:p>
    <w:p>
      <w:pPr>
        <w:pStyle w:val="TOC6"/>
        <w:tabs>
          <w:tab w:val="right" w:leader="dot" w:pos="7077"/>
        </w:tabs>
        <w:rPr>
          <w:rFonts w:asciiTheme="minorHAnsi" w:eastAsiaTheme="minorEastAsia" w:hAnsiTheme="minorHAnsi" w:cstheme="minorBidi"/>
          <w:b w:val="0"/>
          <w:sz w:val="22"/>
          <w:szCs w:val="22"/>
        </w:rPr>
      </w:pPr>
      <w:r>
        <w:t>Subdivision 1 — All underground mines — operational controls</w:t>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_Toc200720465 \h </w:instrText>
      </w:r>
      <w:r>
        <w:fldChar w:fldCharType="separate"/>
      </w:r>
      <w:r>
        <w:t>437</w:t>
      </w:r>
      <w:r>
        <w:fldChar w:fldCharType="end"/>
      </w:r>
    </w:p>
    <w:p>
      <w:pPr>
        <w:pStyle w:val="TOC8"/>
        <w:rPr>
          <w:rFonts w:asciiTheme="minorHAnsi" w:eastAsiaTheme="minorEastAsia" w:hAnsiTheme="minorHAnsi" w:cstheme="minorBidi"/>
          <w:szCs w:val="22"/>
        </w:rPr>
      </w:pPr>
      <w:r>
        <w:t>642A.</w:t>
      </w:r>
      <w:r>
        <w:tab/>
        <w:t>Managing risks in underground operations</w:t>
      </w:r>
      <w:r>
        <w:tab/>
      </w:r>
      <w:r>
        <w:fldChar w:fldCharType="begin"/>
      </w:r>
      <w:r>
        <w:instrText xml:space="preserve"> PAGEREF _Toc200720466 \h </w:instrText>
      </w:r>
      <w:r>
        <w:fldChar w:fldCharType="separate"/>
      </w:r>
      <w:r>
        <w:t>437</w:t>
      </w:r>
      <w:r>
        <w:fldChar w:fldCharType="end"/>
      </w:r>
    </w:p>
    <w:p>
      <w:pPr>
        <w:pStyle w:val="TOC8"/>
        <w:rPr>
          <w:rFonts w:asciiTheme="minorHAnsi" w:eastAsiaTheme="minorEastAsia" w:hAnsiTheme="minorHAnsi" w:cstheme="minorBidi"/>
          <w:szCs w:val="22"/>
        </w:rPr>
      </w:pPr>
      <w:r>
        <w:t>643.</w:t>
      </w:r>
      <w:r>
        <w:tab/>
        <w:t>Connecting workings</w:t>
      </w:r>
      <w:r>
        <w:tab/>
      </w:r>
      <w:r>
        <w:fldChar w:fldCharType="begin"/>
      </w:r>
      <w:r>
        <w:instrText xml:space="preserve"> PAGEREF _Toc200720467 \h </w:instrText>
      </w:r>
      <w:r>
        <w:fldChar w:fldCharType="separate"/>
      </w:r>
      <w:r>
        <w:t>438</w:t>
      </w:r>
      <w:r>
        <w:fldChar w:fldCharType="end"/>
      </w:r>
    </w:p>
    <w:p>
      <w:pPr>
        <w:pStyle w:val="TOC8"/>
        <w:rPr>
          <w:rFonts w:asciiTheme="minorHAnsi" w:eastAsiaTheme="minorEastAsia" w:hAnsiTheme="minorHAnsi" w:cstheme="minorBidi"/>
          <w:szCs w:val="22"/>
        </w:rPr>
      </w:pPr>
      <w:r>
        <w:t>643A.</w:t>
      </w:r>
      <w:r>
        <w:tab/>
        <w:t>Underground fires</w:t>
      </w:r>
      <w:r>
        <w:tab/>
      </w:r>
      <w:r>
        <w:fldChar w:fldCharType="begin"/>
      </w:r>
      <w:r>
        <w:instrText xml:space="preserve"> PAGEREF _Toc200720468 \h </w:instrText>
      </w:r>
      <w:r>
        <w:fldChar w:fldCharType="separate"/>
      </w:r>
      <w:r>
        <w:t>439</w:t>
      </w:r>
      <w:r>
        <w:fldChar w:fldCharType="end"/>
      </w:r>
    </w:p>
    <w:p>
      <w:pPr>
        <w:pStyle w:val="TOC8"/>
        <w:rPr>
          <w:rFonts w:asciiTheme="minorHAnsi" w:eastAsiaTheme="minorEastAsia" w:hAnsiTheme="minorHAnsi" w:cstheme="minorBidi"/>
          <w:szCs w:val="22"/>
        </w:rPr>
      </w:pPr>
      <w:r>
        <w:t>644.</w:t>
      </w:r>
      <w:r>
        <w:tab/>
        <w:t>Winding systems</w:t>
      </w:r>
      <w:r>
        <w:tab/>
      </w:r>
      <w:r>
        <w:fldChar w:fldCharType="begin"/>
      </w:r>
      <w:r>
        <w:instrText xml:space="preserve"> PAGEREF _Toc200720469 \h </w:instrText>
      </w:r>
      <w:r>
        <w:fldChar w:fldCharType="separate"/>
      </w:r>
      <w:r>
        <w:t>439</w:t>
      </w:r>
      <w:r>
        <w:fldChar w:fldCharType="end"/>
      </w:r>
    </w:p>
    <w:p>
      <w:pPr>
        <w:pStyle w:val="TOC8"/>
        <w:rPr>
          <w:rFonts w:asciiTheme="minorHAnsi" w:eastAsiaTheme="minorEastAsia" w:hAnsiTheme="minorHAnsi" w:cstheme="minorBidi"/>
          <w:szCs w:val="22"/>
        </w:rPr>
      </w:pPr>
      <w:r>
        <w:t>644A.</w:t>
      </w:r>
      <w:r>
        <w:tab/>
        <w:t>Ropes</w:t>
      </w:r>
      <w:r>
        <w:tab/>
      </w:r>
      <w:r>
        <w:fldChar w:fldCharType="begin"/>
      </w:r>
      <w:r>
        <w:instrText xml:space="preserve"> PAGEREF _Toc200720470 \h </w:instrText>
      </w:r>
      <w:r>
        <w:fldChar w:fldCharType="separate"/>
      </w:r>
      <w:r>
        <w:t>441</w:t>
      </w:r>
      <w:r>
        <w:fldChar w:fldCharType="end"/>
      </w:r>
    </w:p>
    <w:p>
      <w:pPr>
        <w:pStyle w:val="TOC8"/>
        <w:rPr>
          <w:rFonts w:asciiTheme="minorHAnsi" w:eastAsiaTheme="minorEastAsia" w:hAnsiTheme="minorHAnsi" w:cstheme="minorBidi"/>
          <w:szCs w:val="22"/>
        </w:rPr>
      </w:pPr>
      <w:r>
        <w:t>645.</w:t>
      </w:r>
      <w:r>
        <w:tab/>
        <w:t>Operation of mine shaft conveyances</w:t>
      </w:r>
      <w:r>
        <w:tab/>
      </w:r>
      <w:r>
        <w:fldChar w:fldCharType="begin"/>
      </w:r>
      <w:r>
        <w:instrText xml:space="preserve"> PAGEREF _Toc200720471 \h </w:instrText>
      </w:r>
      <w:r>
        <w:fldChar w:fldCharType="separate"/>
      </w:r>
      <w:r>
        <w:t>442</w:t>
      </w:r>
      <w:r>
        <w:fldChar w:fldCharType="end"/>
      </w:r>
    </w:p>
    <w:p>
      <w:pPr>
        <w:pStyle w:val="TOC8"/>
        <w:rPr>
          <w:rFonts w:asciiTheme="minorHAnsi" w:eastAsiaTheme="minorEastAsia" w:hAnsiTheme="minorHAnsi" w:cstheme="minorBidi"/>
          <w:szCs w:val="22"/>
        </w:rPr>
      </w:pPr>
      <w:r>
        <w:t>646.</w:t>
      </w:r>
      <w:r>
        <w:tab/>
        <w:t>Gas or dust explosion</w:t>
      </w:r>
      <w:r>
        <w:tab/>
      </w:r>
      <w:r>
        <w:fldChar w:fldCharType="begin"/>
      </w:r>
      <w:r>
        <w:instrText xml:space="preserve"> PAGEREF _Toc200720472 \h </w:instrText>
      </w:r>
      <w:r>
        <w:fldChar w:fldCharType="separate"/>
      </w:r>
      <w:r>
        <w:t>443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 underground mines — air quality and ventilation</w:t>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_Toc200720474 \h </w:instrText>
      </w:r>
      <w:r>
        <w:fldChar w:fldCharType="separate"/>
      </w:r>
      <w:r>
        <w:t>444</w:t>
      </w:r>
      <w:r>
        <w:fldChar w:fldCharType="end"/>
      </w:r>
    </w:p>
    <w:p>
      <w:pPr>
        <w:pStyle w:val="TOC8"/>
        <w:rPr>
          <w:rFonts w:asciiTheme="minorHAnsi" w:eastAsiaTheme="minorEastAsia" w:hAnsiTheme="minorHAnsi" w:cstheme="minorBidi"/>
          <w:szCs w:val="22"/>
        </w:rPr>
      </w:pPr>
      <w:r>
        <w:t>648.</w:t>
      </w:r>
      <w:r>
        <w:tab/>
        <w:t>Air quality — minimum standards for ventilated air</w:t>
      </w:r>
      <w:r>
        <w:tab/>
      </w:r>
      <w:r>
        <w:fldChar w:fldCharType="begin"/>
      </w:r>
      <w:r>
        <w:instrText xml:space="preserve"> PAGEREF _Toc200720475 \h </w:instrText>
      </w:r>
      <w:r>
        <w:fldChar w:fldCharType="separate"/>
      </w:r>
      <w:r>
        <w:t>444</w:t>
      </w:r>
      <w:r>
        <w:fldChar w:fldCharType="end"/>
      </w:r>
    </w:p>
    <w:p>
      <w:pPr>
        <w:pStyle w:val="TOC8"/>
        <w:rPr>
          <w:rFonts w:asciiTheme="minorHAnsi" w:eastAsiaTheme="minorEastAsia" w:hAnsiTheme="minorHAnsi" w:cstheme="minorBidi"/>
          <w:szCs w:val="22"/>
        </w:rPr>
      </w:pPr>
      <w:r>
        <w:t>649.</w:t>
      </w:r>
      <w:r>
        <w:tab/>
        <w:t>Air quality — monitoring</w:t>
      </w:r>
      <w:r>
        <w:tab/>
      </w:r>
      <w:r>
        <w:fldChar w:fldCharType="begin"/>
      </w:r>
      <w:r>
        <w:instrText xml:space="preserve"> PAGEREF _Toc200720476 \h </w:instrText>
      </w:r>
      <w:r>
        <w:fldChar w:fldCharType="separate"/>
      </w:r>
      <w:r>
        <w:t>445</w:t>
      </w:r>
      <w:r>
        <w:fldChar w:fldCharType="end"/>
      </w:r>
    </w:p>
    <w:p>
      <w:pPr>
        <w:pStyle w:val="TOC8"/>
        <w:rPr>
          <w:rFonts w:asciiTheme="minorHAnsi" w:eastAsiaTheme="minorEastAsia" w:hAnsiTheme="minorHAnsi" w:cstheme="minorBidi"/>
          <w:szCs w:val="22"/>
        </w:rPr>
      </w:pPr>
      <w:r>
        <w:lastRenderedPageBreak/>
        <w:t>650.</w:t>
      </w:r>
      <w:r>
        <w:tab/>
        <w:t>Requirements if air quality requirements or exposure standards not complied with</w:t>
      </w:r>
      <w:r>
        <w:tab/>
      </w:r>
      <w:r>
        <w:fldChar w:fldCharType="begin"/>
      </w:r>
      <w:r>
        <w:instrText xml:space="preserve"> PAGEREF _Toc200720477 \h </w:instrText>
      </w:r>
      <w:r>
        <w:fldChar w:fldCharType="separate"/>
      </w:r>
      <w:r>
        <w:t>445</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_Toc200720478 \h </w:instrText>
      </w:r>
      <w:r>
        <w:fldChar w:fldCharType="separate"/>
      </w:r>
      <w:r>
        <w:t>446</w:t>
      </w:r>
      <w:r>
        <w:fldChar w:fldCharType="end"/>
      </w:r>
    </w:p>
    <w:p>
      <w:pPr>
        <w:pStyle w:val="TOC8"/>
        <w:rPr>
          <w:rFonts w:asciiTheme="minorHAnsi" w:eastAsiaTheme="minorEastAsia" w:hAnsiTheme="minorHAnsi" w:cstheme="minorBidi"/>
          <w:szCs w:val="22"/>
        </w:rPr>
      </w:pPr>
      <w:r>
        <w:t>652.</w:t>
      </w:r>
      <w:r>
        <w:tab/>
        <w:t>Ventilation system — further requirements</w:t>
      </w:r>
      <w:r>
        <w:tab/>
      </w:r>
      <w:r>
        <w:fldChar w:fldCharType="begin"/>
      </w:r>
      <w:r>
        <w:instrText xml:space="preserve"> PAGEREF _Toc200720479 \h </w:instrText>
      </w:r>
      <w:r>
        <w:fldChar w:fldCharType="separate"/>
      </w:r>
      <w:r>
        <w:t>447</w:t>
      </w:r>
      <w:r>
        <w:fldChar w:fldCharType="end"/>
      </w:r>
    </w:p>
    <w:p>
      <w:pPr>
        <w:pStyle w:val="TOC8"/>
        <w:rPr>
          <w:rFonts w:asciiTheme="minorHAnsi" w:eastAsiaTheme="minorEastAsia" w:hAnsiTheme="minorHAnsi" w:cstheme="minorBidi"/>
          <w:szCs w:val="22"/>
        </w:rPr>
      </w:pPr>
      <w:r>
        <w:t>653.</w:t>
      </w:r>
      <w:r>
        <w:tab/>
        <w:t>Monitoring and testing of ventilation system</w:t>
      </w:r>
      <w:r>
        <w:tab/>
      </w:r>
      <w:r>
        <w:fldChar w:fldCharType="begin"/>
      </w:r>
      <w:r>
        <w:instrText xml:space="preserve"> PAGEREF _Toc200720480 \h </w:instrText>
      </w:r>
      <w:r>
        <w:fldChar w:fldCharType="separate"/>
      </w:r>
      <w:r>
        <w:t>448</w:t>
      </w:r>
      <w:r>
        <w:fldChar w:fldCharType="end"/>
      </w:r>
    </w:p>
    <w:p>
      <w:pPr>
        <w:pStyle w:val="TOC8"/>
        <w:rPr>
          <w:rFonts w:asciiTheme="minorHAnsi" w:eastAsiaTheme="minorEastAsia" w:hAnsiTheme="minorHAnsi" w:cstheme="minorBidi"/>
          <w:szCs w:val="22"/>
        </w:rPr>
      </w:pPr>
      <w:r>
        <w:t>654.</w:t>
      </w:r>
      <w:r>
        <w:tab/>
        <w:t>Duty to prepare and implement underground ventilation control plan</w:t>
      </w:r>
      <w:r>
        <w:tab/>
      </w:r>
      <w:r>
        <w:fldChar w:fldCharType="begin"/>
      </w:r>
      <w:r>
        <w:instrText xml:space="preserve"> PAGEREF _Toc200720481 \h </w:instrText>
      </w:r>
      <w:r>
        <w:fldChar w:fldCharType="separate"/>
      </w:r>
      <w:r>
        <w:t>448</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_Toc200720482 \h </w:instrText>
      </w:r>
      <w:r>
        <w:fldChar w:fldCharType="separate"/>
      </w:r>
      <w:r>
        <w:t>450</w:t>
      </w:r>
      <w:r>
        <w:fldChar w:fldCharType="end"/>
      </w:r>
    </w:p>
    <w:p>
      <w:pPr>
        <w:pStyle w:val="TOC8"/>
        <w:rPr>
          <w:rFonts w:asciiTheme="minorHAnsi" w:eastAsiaTheme="minorEastAsia" w:hAnsiTheme="minorHAnsi" w:cstheme="minorBidi"/>
          <w:szCs w:val="22"/>
        </w:rPr>
      </w:pPr>
      <w:r>
        <w:t>656.</w:t>
      </w:r>
      <w:r>
        <w:tab/>
        <w:t>Ventilation plan</w:t>
      </w:r>
      <w:r>
        <w:tab/>
      </w:r>
      <w:r>
        <w:fldChar w:fldCharType="begin"/>
      </w:r>
      <w:r>
        <w:instrText xml:space="preserve"> PAGEREF _Toc200720483 \h </w:instrText>
      </w:r>
      <w:r>
        <w:fldChar w:fldCharType="separate"/>
      </w:r>
      <w:r>
        <w:t>450</w:t>
      </w:r>
      <w:r>
        <w:fldChar w:fldCharType="end"/>
      </w:r>
    </w:p>
    <w:p>
      <w:pPr>
        <w:pStyle w:val="TOC8"/>
        <w:rPr>
          <w:rFonts w:asciiTheme="minorHAnsi" w:eastAsiaTheme="minorEastAsia" w:hAnsiTheme="minorHAnsi" w:cstheme="minorBidi"/>
          <w:szCs w:val="22"/>
        </w:rPr>
      </w:pPr>
      <w:r>
        <w:t>656A.</w:t>
      </w:r>
      <w:r>
        <w:tab/>
        <w:t>Diesel units</w:t>
      </w:r>
      <w:r>
        <w:tab/>
      </w:r>
      <w:r>
        <w:fldChar w:fldCharType="begin"/>
      </w:r>
      <w:r>
        <w:instrText xml:space="preserve"> PAGEREF _Toc200720484 \h </w:instrText>
      </w:r>
      <w:r>
        <w:fldChar w:fldCharType="separate"/>
      </w:r>
      <w:r>
        <w:t>451</w:t>
      </w:r>
      <w:r>
        <w:fldChar w:fldCharType="end"/>
      </w:r>
    </w:p>
    <w:p>
      <w:pPr>
        <w:pStyle w:val="TOC8"/>
        <w:rPr>
          <w:rFonts w:asciiTheme="minorHAnsi" w:eastAsiaTheme="minorEastAsia" w:hAnsiTheme="minorHAnsi" w:cstheme="minorBidi"/>
          <w:szCs w:val="22"/>
        </w:rPr>
      </w:pPr>
      <w:r>
        <w:t>656B.</w:t>
      </w:r>
      <w:r>
        <w:tab/>
        <w:t>Exposure standard for diesel particulates</w:t>
      </w:r>
      <w:r>
        <w:tab/>
      </w:r>
      <w:r>
        <w:fldChar w:fldCharType="begin"/>
      </w:r>
      <w:r>
        <w:instrText xml:space="preserve"> PAGEREF _Toc200720485 \h </w:instrText>
      </w:r>
      <w:r>
        <w:fldChar w:fldCharType="separate"/>
      </w:r>
      <w:r>
        <w:t>452</w:t>
      </w:r>
      <w:r>
        <w:fldChar w:fldCharType="end"/>
      </w:r>
    </w:p>
    <w:p>
      <w:pPr>
        <w:pStyle w:val="TOC8"/>
        <w:rPr>
          <w:rFonts w:asciiTheme="minorHAnsi" w:eastAsiaTheme="minorEastAsia" w:hAnsiTheme="minorHAnsi" w:cstheme="minorBidi"/>
          <w:szCs w:val="22"/>
        </w:rPr>
      </w:pPr>
      <w:r>
        <w:t>656C.</w:t>
      </w:r>
      <w:r>
        <w:tab/>
        <w:t>Additional ventilation requirements for diesel units</w:t>
      </w:r>
      <w:r>
        <w:tab/>
      </w:r>
      <w:r>
        <w:fldChar w:fldCharType="begin"/>
      </w:r>
      <w:r>
        <w:instrText xml:space="preserve"> PAGEREF _Toc200720486 \h </w:instrText>
      </w:r>
      <w:r>
        <w:fldChar w:fldCharType="separate"/>
      </w:r>
      <w:r>
        <w:t>452</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Underground coal mines</w:t>
      </w:r>
    </w:p>
    <w:p>
      <w:pPr>
        <w:pStyle w:val="TOC8"/>
        <w:rPr>
          <w:rFonts w:asciiTheme="minorHAnsi" w:eastAsiaTheme="minorEastAsia" w:hAnsiTheme="minorHAnsi" w:cstheme="minorBidi"/>
          <w:szCs w:val="22"/>
        </w:rPr>
      </w:pPr>
      <w:r>
        <w:t>657.</w:t>
      </w:r>
      <w:r>
        <w:tab/>
        <w:t>Coal dust explosion</w:t>
      </w:r>
      <w:r>
        <w:tab/>
      </w:r>
      <w:r>
        <w:fldChar w:fldCharType="begin"/>
      </w:r>
      <w:r>
        <w:instrText xml:space="preserve"> PAGEREF _Toc200720488 \h </w:instrText>
      </w:r>
      <w:r>
        <w:fldChar w:fldCharType="separate"/>
      </w:r>
      <w:r>
        <w:t>453</w:t>
      </w:r>
      <w:r>
        <w:fldChar w:fldCharType="end"/>
      </w:r>
    </w:p>
    <w:p>
      <w:pPr>
        <w:pStyle w:val="TOC8"/>
        <w:rPr>
          <w:rFonts w:asciiTheme="minorHAnsi" w:eastAsiaTheme="minorEastAsia" w:hAnsiTheme="minorHAnsi" w:cstheme="minorBidi"/>
          <w:szCs w:val="22"/>
        </w:rPr>
      </w:pPr>
      <w:r>
        <w:t>658.</w:t>
      </w:r>
      <w:r>
        <w:tab/>
        <w:t>Spontaneous combustion</w:t>
      </w:r>
      <w:r>
        <w:tab/>
      </w:r>
      <w:r>
        <w:fldChar w:fldCharType="begin"/>
      </w:r>
      <w:r>
        <w:instrText xml:space="preserve"> PAGEREF _Toc200720489 \h </w:instrText>
      </w:r>
      <w:r>
        <w:fldChar w:fldCharType="separate"/>
      </w:r>
      <w:r>
        <w:t>455</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_Toc200720490 \h </w:instrText>
      </w:r>
      <w:r>
        <w:fldChar w:fldCharType="separate"/>
      </w:r>
      <w:r>
        <w:t>455</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_Toc200720491 \h </w:instrText>
      </w:r>
      <w:r>
        <w:fldChar w:fldCharType="separate"/>
      </w:r>
      <w:r>
        <w:t>455</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_Toc200720492 \h </w:instrText>
      </w:r>
      <w:r>
        <w:fldChar w:fldCharType="separate"/>
      </w:r>
      <w:r>
        <w:t>455</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_Toc200720493 \h </w:instrText>
      </w:r>
      <w:r>
        <w:fldChar w:fldCharType="separate"/>
      </w:r>
      <w:r>
        <w:t>455</w:t>
      </w:r>
      <w:r>
        <w:fldChar w:fldCharType="end"/>
      </w:r>
    </w:p>
    <w:p>
      <w:pPr>
        <w:pStyle w:val="TOC8"/>
        <w:rPr>
          <w:rFonts w:asciiTheme="minorHAnsi" w:eastAsiaTheme="minorEastAsia" w:hAnsiTheme="minorHAnsi" w:cstheme="minorBidi"/>
          <w:szCs w:val="22"/>
        </w:rPr>
      </w:pPr>
      <w:r>
        <w:t>663.</w:t>
      </w:r>
      <w:r>
        <w:tab/>
        <w:t>Additional requirements relating to methane</w:t>
      </w:r>
      <w:r>
        <w:tab/>
      </w:r>
      <w:r>
        <w:fldChar w:fldCharType="begin"/>
      </w:r>
      <w:r>
        <w:instrText xml:space="preserve"> PAGEREF _Toc200720494 \h </w:instrText>
      </w:r>
      <w:r>
        <w:fldChar w:fldCharType="separate"/>
      </w:r>
      <w:r>
        <w:t>455</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Emergency management</w:t>
      </w:r>
    </w:p>
    <w:p>
      <w:pPr>
        <w:pStyle w:val="TOC6"/>
        <w:tabs>
          <w:tab w:val="right" w:leader="dot" w:pos="7077"/>
        </w:tabs>
        <w:rPr>
          <w:rFonts w:asciiTheme="minorHAnsi" w:eastAsiaTheme="minorEastAsia" w:hAnsiTheme="minorHAnsi" w:cstheme="minorBidi"/>
          <w:b w:val="0"/>
          <w:sz w:val="22"/>
          <w:szCs w:val="22"/>
        </w:rPr>
      </w:pPr>
      <w:r>
        <w:t>Subdivision 1 — Emergency plan — all mines</w:t>
      </w:r>
    </w:p>
    <w:p>
      <w:pPr>
        <w:pStyle w:val="TOC8"/>
        <w:rPr>
          <w:rFonts w:asciiTheme="minorHAnsi" w:eastAsiaTheme="minorEastAsia" w:hAnsiTheme="minorHAnsi" w:cstheme="minorBidi"/>
          <w:szCs w:val="22"/>
        </w:rPr>
      </w:pPr>
      <w:r>
        <w:t>664.</w:t>
      </w:r>
      <w:r>
        <w:tab/>
        <w:t>Duty to prepare emergency plan</w:t>
      </w:r>
      <w:r>
        <w:tab/>
      </w:r>
      <w:r>
        <w:fldChar w:fldCharType="begin"/>
      </w:r>
      <w:r>
        <w:instrText xml:space="preserve"> PAGEREF _Toc200720497 \h </w:instrText>
      </w:r>
      <w:r>
        <w:fldChar w:fldCharType="separate"/>
      </w:r>
      <w:r>
        <w:t>457</w:t>
      </w:r>
      <w:r>
        <w:fldChar w:fldCharType="end"/>
      </w:r>
    </w:p>
    <w:p>
      <w:pPr>
        <w:pStyle w:val="TOC8"/>
        <w:rPr>
          <w:rFonts w:asciiTheme="minorHAnsi" w:eastAsiaTheme="minorEastAsia" w:hAnsiTheme="minorHAnsi" w:cstheme="minorBidi"/>
          <w:szCs w:val="22"/>
        </w:rPr>
      </w:pPr>
      <w:r>
        <w:t>665.</w:t>
      </w:r>
      <w:r>
        <w:tab/>
        <w:t>Consultation in preparation of emergency plan</w:t>
      </w:r>
      <w:r>
        <w:tab/>
      </w:r>
      <w:r>
        <w:fldChar w:fldCharType="begin"/>
      </w:r>
      <w:r>
        <w:instrText xml:space="preserve"> PAGEREF _Toc200720498 \h </w:instrText>
      </w:r>
      <w:r>
        <w:fldChar w:fldCharType="separate"/>
      </w:r>
      <w:r>
        <w:t>458</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_Toc200720499 \h </w:instrText>
      </w:r>
      <w:r>
        <w:fldChar w:fldCharType="separate"/>
      </w:r>
      <w:r>
        <w:t>459</w:t>
      </w:r>
      <w:r>
        <w:fldChar w:fldCharType="end"/>
      </w:r>
    </w:p>
    <w:p>
      <w:pPr>
        <w:pStyle w:val="TOC8"/>
        <w:rPr>
          <w:rFonts w:asciiTheme="minorHAnsi" w:eastAsiaTheme="minorEastAsia" w:hAnsiTheme="minorHAnsi" w:cstheme="minorBidi"/>
          <w:szCs w:val="22"/>
        </w:rPr>
      </w:pPr>
      <w:r>
        <w:t>667.</w:t>
      </w:r>
      <w:r>
        <w:tab/>
        <w:t>Copies of emergency plan to be kept and provided</w:t>
      </w:r>
      <w:r>
        <w:tab/>
      </w:r>
      <w:r>
        <w:fldChar w:fldCharType="begin"/>
      </w:r>
      <w:r>
        <w:instrText xml:space="preserve"> PAGEREF _Toc200720500 \h </w:instrText>
      </w:r>
      <w:r>
        <w:fldChar w:fldCharType="separate"/>
      </w:r>
      <w:r>
        <w:t>459</w:t>
      </w:r>
      <w:r>
        <w:fldChar w:fldCharType="end"/>
      </w:r>
    </w:p>
    <w:p>
      <w:pPr>
        <w:pStyle w:val="TOC8"/>
        <w:rPr>
          <w:rFonts w:asciiTheme="minorHAnsi" w:eastAsiaTheme="minorEastAsia" w:hAnsiTheme="minorHAnsi" w:cstheme="minorBidi"/>
          <w:szCs w:val="22"/>
        </w:rPr>
      </w:pPr>
      <w:r>
        <w:t>668.</w:t>
      </w:r>
      <w:r>
        <w:tab/>
        <w:t>Resources for emergency plan</w:t>
      </w:r>
      <w:r>
        <w:tab/>
      </w:r>
      <w:r>
        <w:fldChar w:fldCharType="begin"/>
      </w:r>
      <w:r>
        <w:instrText xml:space="preserve"> PAGEREF _Toc200720501 \h </w:instrText>
      </w:r>
      <w:r>
        <w:fldChar w:fldCharType="separate"/>
      </w:r>
      <w:r>
        <w:t>460</w:t>
      </w:r>
      <w:r>
        <w:fldChar w:fldCharType="end"/>
      </w:r>
    </w:p>
    <w:p>
      <w:pPr>
        <w:pStyle w:val="TOC8"/>
        <w:rPr>
          <w:rFonts w:asciiTheme="minorHAnsi" w:eastAsiaTheme="minorEastAsia" w:hAnsiTheme="minorHAnsi" w:cstheme="minorBidi"/>
          <w:szCs w:val="22"/>
        </w:rPr>
      </w:pPr>
      <w:r>
        <w:t>669.</w:t>
      </w:r>
      <w:r>
        <w:tab/>
        <w:t>Testing of emergency plan</w:t>
      </w:r>
      <w:r>
        <w:tab/>
      </w:r>
      <w:r>
        <w:fldChar w:fldCharType="begin"/>
      </w:r>
      <w:r>
        <w:instrText xml:space="preserve"> PAGEREF _Toc200720502 \h </w:instrText>
      </w:r>
      <w:r>
        <w:fldChar w:fldCharType="separate"/>
      </w:r>
      <w:r>
        <w:t>460</w:t>
      </w:r>
      <w:r>
        <w:fldChar w:fldCharType="end"/>
      </w:r>
    </w:p>
    <w:p>
      <w:pPr>
        <w:pStyle w:val="TOC8"/>
        <w:rPr>
          <w:rFonts w:asciiTheme="minorHAnsi" w:eastAsiaTheme="minorEastAsia" w:hAnsiTheme="minorHAnsi" w:cstheme="minorBidi"/>
          <w:szCs w:val="22"/>
        </w:rPr>
      </w:pPr>
      <w:r>
        <w:t>670.</w:t>
      </w:r>
      <w:r>
        <w:tab/>
        <w:t>Review of emergency plan</w:t>
      </w:r>
      <w:r>
        <w:tab/>
      </w:r>
      <w:r>
        <w:fldChar w:fldCharType="begin"/>
      </w:r>
      <w:r>
        <w:instrText xml:space="preserve"> PAGEREF _Toc200720503 \h </w:instrText>
      </w:r>
      <w:r>
        <w:fldChar w:fldCharType="separate"/>
      </w:r>
      <w:r>
        <w:t>461</w:t>
      </w:r>
      <w:r>
        <w:fldChar w:fldCharType="end"/>
      </w:r>
    </w:p>
    <w:p>
      <w:pPr>
        <w:pStyle w:val="TOC8"/>
        <w:rPr>
          <w:rFonts w:asciiTheme="minorHAnsi" w:eastAsiaTheme="minorEastAsia" w:hAnsiTheme="minorHAnsi" w:cstheme="minorBidi"/>
          <w:szCs w:val="22"/>
        </w:rPr>
      </w:pPr>
      <w:r>
        <w:t>670A.</w:t>
      </w:r>
      <w:r>
        <w:tab/>
        <w:t>Training of workers</w:t>
      </w:r>
      <w:r>
        <w:tab/>
      </w:r>
      <w:r>
        <w:fldChar w:fldCharType="begin"/>
      </w:r>
      <w:r>
        <w:instrText xml:space="preserve"> PAGEREF _Toc200720504 \h </w:instrText>
      </w:r>
      <w:r>
        <w:fldChar w:fldCharType="separate"/>
      </w:r>
      <w:r>
        <w:t>461</w:t>
      </w:r>
      <w:r>
        <w:fldChar w:fldCharType="end"/>
      </w:r>
    </w:p>
    <w:p>
      <w:pPr>
        <w:pStyle w:val="TOC6"/>
        <w:tabs>
          <w:tab w:val="right" w:leader="dot" w:pos="7077"/>
        </w:tabs>
        <w:rPr>
          <w:rFonts w:asciiTheme="minorHAnsi" w:eastAsiaTheme="minorEastAsia" w:hAnsiTheme="minorHAnsi" w:cstheme="minorBidi"/>
          <w:b w:val="0"/>
          <w:sz w:val="22"/>
          <w:szCs w:val="22"/>
        </w:rPr>
      </w:pPr>
      <w:r>
        <w:t>Subdivision 1A — Mine emergency workers — all mines</w:t>
      </w:r>
    </w:p>
    <w:p>
      <w:pPr>
        <w:pStyle w:val="TOC8"/>
        <w:rPr>
          <w:rFonts w:asciiTheme="minorHAnsi" w:eastAsiaTheme="minorEastAsia" w:hAnsiTheme="minorHAnsi" w:cstheme="minorBidi"/>
          <w:szCs w:val="22"/>
        </w:rPr>
      </w:pPr>
      <w:r>
        <w:t>670B.</w:t>
      </w:r>
      <w:r>
        <w:tab/>
        <w:t>Mine emergency workers</w:t>
      </w:r>
      <w:r>
        <w:tab/>
      </w:r>
      <w:r>
        <w:fldChar w:fldCharType="begin"/>
      </w:r>
      <w:r>
        <w:instrText xml:space="preserve"> PAGEREF _Toc200720506 \h </w:instrText>
      </w:r>
      <w:r>
        <w:fldChar w:fldCharType="separate"/>
      </w:r>
      <w:r>
        <w:t>461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Underground mines</w:t>
      </w:r>
    </w:p>
    <w:p>
      <w:pPr>
        <w:pStyle w:val="TOC8"/>
        <w:rPr>
          <w:rFonts w:asciiTheme="minorHAnsi" w:eastAsiaTheme="minorEastAsia" w:hAnsiTheme="minorHAnsi" w:cstheme="minorBidi"/>
          <w:szCs w:val="22"/>
        </w:rPr>
      </w:pPr>
      <w:r>
        <w:t>671.</w:t>
      </w:r>
      <w:r>
        <w:tab/>
        <w:t>Emergency exits</w:t>
      </w:r>
      <w:r>
        <w:tab/>
      </w:r>
      <w:r>
        <w:fldChar w:fldCharType="begin"/>
      </w:r>
      <w:r>
        <w:instrText xml:space="preserve"> PAGEREF _Toc200720508 \h </w:instrText>
      </w:r>
      <w:r>
        <w:fldChar w:fldCharType="separate"/>
      </w:r>
      <w:r>
        <w:t>462</w:t>
      </w:r>
      <w:r>
        <w:fldChar w:fldCharType="end"/>
      </w:r>
    </w:p>
    <w:p>
      <w:pPr>
        <w:pStyle w:val="TOC8"/>
        <w:rPr>
          <w:rFonts w:asciiTheme="minorHAnsi" w:eastAsiaTheme="minorEastAsia" w:hAnsiTheme="minorHAnsi" w:cstheme="minorBidi"/>
          <w:szCs w:val="22"/>
        </w:rPr>
      </w:pPr>
      <w:r>
        <w:t>672.</w:t>
      </w:r>
      <w:r>
        <w:tab/>
        <w:t>Communication, safe escape and refuge</w:t>
      </w:r>
      <w:r>
        <w:tab/>
      </w:r>
      <w:r>
        <w:fldChar w:fldCharType="begin"/>
      </w:r>
      <w:r>
        <w:instrText xml:space="preserve"> PAGEREF _Toc200720509 \h </w:instrText>
      </w:r>
      <w:r>
        <w:fldChar w:fldCharType="separate"/>
      </w:r>
      <w:r>
        <w:t>463</w:t>
      </w:r>
      <w:r>
        <w:fldChar w:fldCharType="end"/>
      </w:r>
    </w:p>
    <w:p>
      <w:pPr>
        <w:pStyle w:val="TOC8"/>
        <w:rPr>
          <w:rFonts w:asciiTheme="minorHAnsi" w:eastAsiaTheme="minorEastAsia" w:hAnsiTheme="minorHAnsi" w:cstheme="minorBidi"/>
          <w:szCs w:val="22"/>
        </w:rPr>
      </w:pPr>
      <w:r>
        <w:t>673.</w:t>
      </w:r>
      <w:r>
        <w:tab/>
        <w:t>Signage for refuges</w:t>
      </w:r>
      <w:r>
        <w:tab/>
      </w:r>
      <w:r>
        <w:fldChar w:fldCharType="begin"/>
      </w:r>
      <w:r>
        <w:instrText xml:space="preserve"> PAGEREF _Toc200720510 \h </w:instrText>
      </w:r>
      <w:r>
        <w:fldChar w:fldCharType="separate"/>
      </w:r>
      <w:r>
        <w:t>464</w:t>
      </w:r>
      <w:r>
        <w:fldChar w:fldCharType="end"/>
      </w:r>
    </w:p>
    <w:p>
      <w:pPr>
        <w:pStyle w:val="TOC8"/>
        <w:rPr>
          <w:rFonts w:asciiTheme="minorHAnsi" w:eastAsiaTheme="minorEastAsia" w:hAnsiTheme="minorHAnsi" w:cstheme="minorBidi"/>
          <w:szCs w:val="22"/>
        </w:rPr>
      </w:pPr>
      <w:r>
        <w:t>674.</w:t>
      </w:r>
      <w:r>
        <w:tab/>
        <w:t>Self</w:t>
      </w:r>
      <w:r>
        <w:noBreakHyphen/>
        <w:t>rescuers</w:t>
      </w:r>
      <w:r>
        <w:tab/>
      </w:r>
      <w:r>
        <w:fldChar w:fldCharType="begin"/>
      </w:r>
      <w:r>
        <w:instrText xml:space="preserve"> PAGEREF _Toc200720511 \h </w:instrText>
      </w:r>
      <w:r>
        <w:fldChar w:fldCharType="separate"/>
      </w:r>
      <w:r>
        <w:t>464</w:t>
      </w:r>
      <w:r>
        <w:fldChar w:fldCharType="end"/>
      </w:r>
    </w:p>
    <w:p>
      <w:pPr>
        <w:pStyle w:val="TOC8"/>
        <w:rPr>
          <w:rFonts w:asciiTheme="minorHAnsi" w:eastAsiaTheme="minorEastAsia" w:hAnsiTheme="minorHAnsi" w:cstheme="minorBidi"/>
          <w:szCs w:val="22"/>
        </w:rPr>
      </w:pPr>
      <w:r>
        <w:t>674A.</w:t>
      </w:r>
      <w:r>
        <w:tab/>
        <w:t>First aid and rescue equipment</w:t>
      </w:r>
      <w:r>
        <w:tab/>
      </w:r>
      <w:r>
        <w:fldChar w:fldCharType="begin"/>
      </w:r>
      <w:r>
        <w:instrText xml:space="preserve"> PAGEREF _Toc200720512 \h </w:instrText>
      </w:r>
      <w:r>
        <w:fldChar w:fldCharType="separate"/>
      </w:r>
      <w:r>
        <w:t>465</w:t>
      </w:r>
      <w:r>
        <w:fldChar w:fldCharType="end"/>
      </w:r>
    </w:p>
    <w:p>
      <w:pPr>
        <w:pStyle w:val="TOC8"/>
        <w:rPr>
          <w:rFonts w:asciiTheme="minorHAnsi" w:eastAsiaTheme="minorEastAsia" w:hAnsiTheme="minorHAnsi" w:cstheme="minorBidi"/>
          <w:szCs w:val="22"/>
        </w:rPr>
      </w:pPr>
      <w:r>
        <w:lastRenderedPageBreak/>
        <w:t>675.</w:t>
      </w:r>
      <w:r>
        <w:tab/>
        <w:t>Personal protective equipment for emergencies</w:t>
      </w:r>
      <w:r>
        <w:tab/>
      </w:r>
      <w:r>
        <w:fldChar w:fldCharType="begin"/>
      </w:r>
      <w:r>
        <w:instrText xml:space="preserve"> PAGEREF _Toc200720513 \h </w:instrText>
      </w:r>
      <w:r>
        <w:fldChar w:fldCharType="separate"/>
      </w:r>
      <w:r>
        <w:t>465</w:t>
      </w:r>
      <w:r>
        <w:fldChar w:fldCharType="end"/>
      </w:r>
    </w:p>
    <w:p>
      <w:pPr>
        <w:pStyle w:val="TOC8"/>
        <w:rPr>
          <w:rFonts w:asciiTheme="minorHAnsi" w:eastAsiaTheme="minorEastAsia" w:hAnsiTheme="minorHAnsi" w:cstheme="minorBidi"/>
          <w:szCs w:val="22"/>
        </w:rPr>
      </w:pPr>
      <w:r>
        <w:t>675AA.</w:t>
      </w:r>
      <w:r>
        <w:tab/>
        <w:t>Competent persons at surface</w:t>
      </w:r>
      <w:r>
        <w:tab/>
      </w:r>
      <w:r>
        <w:fldChar w:fldCharType="begin"/>
      </w:r>
      <w:r>
        <w:instrText xml:space="preserve"> PAGEREF _Toc200720514 \h </w:instrText>
      </w:r>
      <w:r>
        <w:fldChar w:fldCharType="separate"/>
      </w:r>
      <w:r>
        <w:t>466</w:t>
      </w:r>
      <w:r>
        <w:fldChar w:fldCharType="end"/>
      </w:r>
    </w:p>
    <w:p>
      <w:pPr>
        <w:pStyle w:val="TOC6"/>
        <w:tabs>
          <w:tab w:val="right" w:leader="dot" w:pos="7077"/>
        </w:tabs>
        <w:rPr>
          <w:rFonts w:asciiTheme="minorHAnsi" w:eastAsiaTheme="minorEastAsia" w:hAnsiTheme="minorHAnsi" w:cstheme="minorBidi"/>
          <w:b w:val="0"/>
          <w:sz w:val="22"/>
          <w:szCs w:val="22"/>
        </w:rPr>
      </w:pPr>
      <w:r>
        <w:t>Division 6 — Information, training and instruction</w:t>
      </w:r>
    </w:p>
    <w:p>
      <w:pPr>
        <w:pStyle w:val="TOC8"/>
        <w:rPr>
          <w:rFonts w:asciiTheme="minorHAnsi" w:eastAsiaTheme="minorEastAsia" w:hAnsiTheme="minorHAnsi" w:cstheme="minorBidi"/>
          <w:szCs w:val="22"/>
        </w:rPr>
      </w:pPr>
      <w:r>
        <w:t>675A.</w:t>
      </w:r>
      <w:r>
        <w:tab/>
        <w:t>Duty to inform workers about mine safety management system</w:t>
      </w:r>
      <w:r>
        <w:tab/>
      </w:r>
      <w:r>
        <w:fldChar w:fldCharType="begin"/>
      </w:r>
      <w:r>
        <w:instrText xml:space="preserve"> PAGEREF _Toc200720516 \h </w:instrText>
      </w:r>
      <w:r>
        <w:fldChar w:fldCharType="separate"/>
      </w:r>
      <w:r>
        <w:t>466</w:t>
      </w:r>
      <w:r>
        <w:fldChar w:fldCharType="end"/>
      </w:r>
    </w:p>
    <w:p>
      <w:pPr>
        <w:pStyle w:val="TOC8"/>
        <w:rPr>
          <w:rFonts w:asciiTheme="minorHAnsi" w:eastAsiaTheme="minorEastAsia" w:hAnsiTheme="minorHAnsi" w:cstheme="minorBidi"/>
          <w:szCs w:val="22"/>
        </w:rPr>
      </w:pPr>
      <w:r>
        <w:t>675B.</w:t>
      </w:r>
      <w:r>
        <w:tab/>
        <w:t>Duty to provide information, training and instruction</w:t>
      </w:r>
      <w:r>
        <w:tab/>
      </w:r>
      <w:r>
        <w:fldChar w:fldCharType="begin"/>
      </w:r>
      <w:r>
        <w:instrText xml:space="preserve"> PAGEREF _Toc200720517 \h </w:instrText>
      </w:r>
      <w:r>
        <w:fldChar w:fldCharType="separate"/>
      </w:r>
      <w:r>
        <w:t>467</w:t>
      </w:r>
      <w:r>
        <w:fldChar w:fldCharType="end"/>
      </w:r>
    </w:p>
    <w:p>
      <w:pPr>
        <w:pStyle w:val="TOC8"/>
        <w:rPr>
          <w:rFonts w:asciiTheme="minorHAnsi" w:eastAsiaTheme="minorEastAsia" w:hAnsiTheme="minorHAnsi" w:cstheme="minorBidi"/>
          <w:szCs w:val="22"/>
        </w:rPr>
      </w:pPr>
      <w:r>
        <w:t>675BA.</w:t>
      </w:r>
      <w:r>
        <w:tab/>
        <w:t>Site induction for new workers</w:t>
      </w:r>
      <w:r>
        <w:tab/>
      </w:r>
      <w:r>
        <w:fldChar w:fldCharType="begin"/>
      </w:r>
      <w:r>
        <w:instrText xml:space="preserve"> PAGEREF _Toc200720518 \h </w:instrText>
      </w:r>
      <w:r>
        <w:fldChar w:fldCharType="separate"/>
      </w:r>
      <w:r>
        <w:t>468</w:t>
      </w:r>
      <w:r>
        <w:fldChar w:fldCharType="end"/>
      </w:r>
    </w:p>
    <w:p>
      <w:pPr>
        <w:pStyle w:val="TOC8"/>
        <w:rPr>
          <w:rFonts w:asciiTheme="minorHAnsi" w:eastAsiaTheme="minorEastAsia" w:hAnsiTheme="minorHAnsi" w:cstheme="minorBidi"/>
          <w:szCs w:val="22"/>
        </w:rPr>
      </w:pPr>
      <w:r>
        <w:t>675BB.</w:t>
      </w:r>
      <w:r>
        <w:tab/>
        <w:t>Duty of persons conducting businesses or undertaking to ensure competency of workers</w:t>
      </w:r>
      <w:r>
        <w:tab/>
      </w:r>
      <w:r>
        <w:fldChar w:fldCharType="begin"/>
      </w:r>
      <w:r>
        <w:instrText xml:space="preserve"> PAGEREF _Toc200720519 \h </w:instrText>
      </w:r>
      <w:r>
        <w:fldChar w:fldCharType="separate"/>
      </w:r>
      <w:r>
        <w:t>468</w:t>
      </w:r>
      <w:r>
        <w:fldChar w:fldCharType="end"/>
      </w:r>
    </w:p>
    <w:p>
      <w:pPr>
        <w:pStyle w:val="TOC8"/>
        <w:rPr>
          <w:rFonts w:asciiTheme="minorHAnsi" w:eastAsiaTheme="minorEastAsia" w:hAnsiTheme="minorHAnsi" w:cstheme="minorBidi"/>
          <w:szCs w:val="22"/>
        </w:rPr>
      </w:pPr>
      <w:r>
        <w:t>675C.</w:t>
      </w:r>
      <w:r>
        <w:tab/>
        <w:t>Information for visitors</w:t>
      </w:r>
      <w:r>
        <w:tab/>
      </w:r>
      <w:r>
        <w:fldChar w:fldCharType="begin"/>
      </w:r>
      <w:r>
        <w:instrText xml:space="preserve"> PAGEREF _Toc200720520 \h </w:instrText>
      </w:r>
      <w:r>
        <w:fldChar w:fldCharType="separate"/>
      </w:r>
      <w:r>
        <w:t>469</w:t>
      </w:r>
      <w:r>
        <w:fldChar w:fldCharType="end"/>
      </w:r>
    </w:p>
    <w:p>
      <w:pPr>
        <w:pStyle w:val="TOC8"/>
        <w:rPr>
          <w:rFonts w:asciiTheme="minorHAnsi" w:eastAsiaTheme="minorEastAsia" w:hAnsiTheme="minorHAnsi" w:cstheme="minorBidi"/>
          <w:szCs w:val="22"/>
        </w:rPr>
      </w:pPr>
      <w:r>
        <w:t>675D.</w:t>
      </w:r>
      <w:r>
        <w:tab/>
        <w:t>Review of information, training and instruction</w:t>
      </w:r>
      <w:r>
        <w:tab/>
      </w:r>
      <w:r>
        <w:fldChar w:fldCharType="begin"/>
      </w:r>
      <w:r>
        <w:instrText xml:space="preserve"> PAGEREF _Toc200720521 \h </w:instrText>
      </w:r>
      <w:r>
        <w:fldChar w:fldCharType="separate"/>
      </w:r>
      <w:r>
        <w:t>469</w:t>
      </w:r>
      <w:r>
        <w:fldChar w:fldCharType="end"/>
      </w:r>
    </w:p>
    <w:p>
      <w:pPr>
        <w:pStyle w:val="TOC8"/>
        <w:rPr>
          <w:rFonts w:asciiTheme="minorHAnsi" w:eastAsiaTheme="minorEastAsia" w:hAnsiTheme="minorHAnsi" w:cstheme="minorBidi"/>
          <w:szCs w:val="22"/>
        </w:rPr>
      </w:pPr>
      <w:r>
        <w:t>675E.</w:t>
      </w:r>
      <w:r>
        <w:tab/>
        <w:t>Records of training</w:t>
      </w:r>
      <w:r>
        <w:tab/>
      </w:r>
      <w:r>
        <w:fldChar w:fldCharType="begin"/>
      </w:r>
      <w:r>
        <w:instrText xml:space="preserve"> PAGEREF _Toc200720522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Part 10.3 — Health management and monitoring</w:t>
      </w:r>
    </w:p>
    <w:p>
      <w:pPr>
        <w:pStyle w:val="TOC6"/>
        <w:tabs>
          <w:tab w:val="right" w:leader="dot" w:pos="7077"/>
        </w:tabs>
        <w:rPr>
          <w:rFonts w:asciiTheme="minorHAnsi" w:eastAsiaTheme="minorEastAsia" w:hAnsiTheme="minorHAnsi" w:cstheme="minorBidi"/>
          <w:b w:val="0"/>
          <w:sz w:val="22"/>
          <w:szCs w:val="22"/>
        </w:rPr>
      </w:pPr>
      <w:r>
        <w:t>Division 1 — Health management</w:t>
      </w:r>
    </w:p>
    <w:p>
      <w:pPr>
        <w:pStyle w:val="TOC8"/>
        <w:rPr>
          <w:rFonts w:asciiTheme="minorHAnsi" w:eastAsiaTheme="minorEastAsia" w:hAnsiTheme="minorHAnsi" w:cstheme="minorBidi"/>
          <w:szCs w:val="22"/>
        </w:rPr>
      </w:pPr>
      <w:r>
        <w:t>675EA.</w:t>
      </w:r>
      <w:r>
        <w:tab/>
        <w:t>Duty to prepare and implement health management plan</w:t>
      </w:r>
      <w:r>
        <w:tab/>
      </w:r>
      <w:r>
        <w:fldChar w:fldCharType="begin"/>
      </w:r>
      <w:r>
        <w:instrText xml:space="preserve"> PAGEREF _Toc200720525 \h </w:instrText>
      </w:r>
      <w:r>
        <w:fldChar w:fldCharType="separate"/>
      </w:r>
      <w:r>
        <w:t>470</w:t>
      </w:r>
      <w:r>
        <w:fldChar w:fldCharType="end"/>
      </w:r>
    </w:p>
    <w:p>
      <w:pPr>
        <w:pStyle w:val="TOC8"/>
        <w:rPr>
          <w:rFonts w:asciiTheme="minorHAnsi" w:eastAsiaTheme="minorEastAsia" w:hAnsiTheme="minorHAnsi" w:cstheme="minorBidi"/>
          <w:szCs w:val="22"/>
        </w:rPr>
      </w:pPr>
      <w:r>
        <w:t>675EB.</w:t>
      </w:r>
      <w:r>
        <w:tab/>
        <w:t>Duty to provide information on health management plan</w:t>
      </w:r>
      <w:r>
        <w:tab/>
      </w:r>
      <w:r>
        <w:fldChar w:fldCharType="begin"/>
      </w:r>
      <w:r>
        <w:instrText xml:space="preserve"> PAGEREF _Toc200720526 \h </w:instrText>
      </w:r>
      <w:r>
        <w:fldChar w:fldCharType="separate"/>
      </w:r>
      <w:r>
        <w:t>471</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monitoring</w:t>
      </w:r>
    </w:p>
    <w:p>
      <w:pPr>
        <w:pStyle w:val="TOC8"/>
        <w:rPr>
          <w:rFonts w:asciiTheme="minorHAnsi" w:eastAsiaTheme="minorEastAsia" w:hAnsiTheme="minorHAnsi" w:cstheme="minorBidi"/>
          <w:szCs w:val="22"/>
        </w:rPr>
      </w:pPr>
      <w:r>
        <w:t>675F.</w:t>
      </w:r>
      <w:r>
        <w:tab/>
        <w:t>Health monitoring of workers</w:t>
      </w:r>
      <w:r>
        <w:tab/>
      </w:r>
      <w:r>
        <w:fldChar w:fldCharType="begin"/>
      </w:r>
      <w:r>
        <w:instrText xml:space="preserve"> PAGEREF _Toc200720528 \h </w:instrText>
      </w:r>
      <w:r>
        <w:fldChar w:fldCharType="separate"/>
      </w:r>
      <w:r>
        <w:t>472</w:t>
      </w:r>
      <w:r>
        <w:fldChar w:fldCharType="end"/>
      </w:r>
    </w:p>
    <w:p>
      <w:pPr>
        <w:pStyle w:val="TOC8"/>
        <w:rPr>
          <w:rFonts w:asciiTheme="minorHAnsi" w:eastAsiaTheme="minorEastAsia" w:hAnsiTheme="minorHAnsi" w:cstheme="minorBidi"/>
          <w:szCs w:val="22"/>
        </w:rPr>
      </w:pPr>
      <w:r>
        <w:t>675G.</w:t>
      </w:r>
      <w:r>
        <w:tab/>
        <w:t>Duty to inform of health monitoring</w:t>
      </w:r>
      <w:r>
        <w:tab/>
      </w:r>
      <w:r>
        <w:fldChar w:fldCharType="begin"/>
      </w:r>
      <w:r>
        <w:instrText xml:space="preserve"> PAGEREF _Toc200720529 \h </w:instrText>
      </w:r>
      <w:r>
        <w:fldChar w:fldCharType="separate"/>
      </w:r>
      <w:r>
        <w:t>473</w:t>
      </w:r>
      <w:r>
        <w:fldChar w:fldCharType="end"/>
      </w:r>
    </w:p>
    <w:p>
      <w:pPr>
        <w:pStyle w:val="TOC8"/>
        <w:rPr>
          <w:rFonts w:asciiTheme="minorHAnsi" w:eastAsiaTheme="minorEastAsia" w:hAnsiTheme="minorHAnsi" w:cstheme="minorBidi"/>
          <w:szCs w:val="22"/>
        </w:rPr>
      </w:pPr>
      <w:r>
        <w:t>675H.</w:t>
      </w:r>
      <w:r>
        <w:tab/>
        <w:t>Duty to ensure health monitoring is carried out or supervised by registered medical practitioner with experience</w:t>
      </w:r>
      <w:r>
        <w:tab/>
      </w:r>
      <w:r>
        <w:fldChar w:fldCharType="begin"/>
      </w:r>
      <w:r>
        <w:instrText xml:space="preserve"> PAGEREF _Toc200720530 \h </w:instrText>
      </w:r>
      <w:r>
        <w:fldChar w:fldCharType="separate"/>
      </w:r>
      <w:r>
        <w:t>473</w:t>
      </w:r>
      <w:r>
        <w:fldChar w:fldCharType="end"/>
      </w:r>
    </w:p>
    <w:p>
      <w:pPr>
        <w:pStyle w:val="TOC8"/>
        <w:rPr>
          <w:rFonts w:asciiTheme="minorHAnsi" w:eastAsiaTheme="minorEastAsia" w:hAnsiTheme="minorHAnsi" w:cstheme="minorBidi"/>
          <w:szCs w:val="22"/>
        </w:rPr>
      </w:pPr>
      <w:r>
        <w:t>675I.</w:t>
      </w:r>
      <w:r>
        <w:tab/>
        <w:t>Duty to pay costs of health monitoring</w:t>
      </w:r>
      <w:r>
        <w:tab/>
      </w:r>
      <w:r>
        <w:fldChar w:fldCharType="begin"/>
      </w:r>
      <w:r>
        <w:instrText xml:space="preserve"> PAGEREF _Toc200720531 \h </w:instrText>
      </w:r>
      <w:r>
        <w:fldChar w:fldCharType="separate"/>
      </w:r>
      <w:r>
        <w:t>474</w:t>
      </w:r>
      <w:r>
        <w:fldChar w:fldCharType="end"/>
      </w:r>
    </w:p>
    <w:p>
      <w:pPr>
        <w:pStyle w:val="TOC8"/>
        <w:rPr>
          <w:rFonts w:asciiTheme="minorHAnsi" w:eastAsiaTheme="minorEastAsia" w:hAnsiTheme="minorHAnsi" w:cstheme="minorBidi"/>
          <w:szCs w:val="22"/>
        </w:rPr>
      </w:pPr>
      <w:r>
        <w:t>675J.</w:t>
      </w:r>
      <w:r>
        <w:tab/>
        <w:t>Duty to provide registered medical practitioner with information</w:t>
      </w:r>
      <w:r>
        <w:tab/>
      </w:r>
      <w:r>
        <w:fldChar w:fldCharType="begin"/>
      </w:r>
      <w:r>
        <w:instrText xml:space="preserve"> PAGEREF _Toc200720532 \h </w:instrText>
      </w:r>
      <w:r>
        <w:fldChar w:fldCharType="separate"/>
      </w:r>
      <w:r>
        <w:t>474</w:t>
      </w:r>
      <w:r>
        <w:fldChar w:fldCharType="end"/>
      </w:r>
    </w:p>
    <w:p>
      <w:pPr>
        <w:pStyle w:val="TOC8"/>
        <w:rPr>
          <w:rFonts w:asciiTheme="minorHAnsi" w:eastAsiaTheme="minorEastAsia" w:hAnsiTheme="minorHAnsi" w:cstheme="minorBidi"/>
          <w:szCs w:val="22"/>
        </w:rPr>
      </w:pPr>
      <w:r>
        <w:t>675K.</w:t>
      </w:r>
      <w:r>
        <w:tab/>
        <w:t>Health monitoring report</w:t>
      </w:r>
      <w:r>
        <w:tab/>
      </w:r>
      <w:r>
        <w:fldChar w:fldCharType="begin"/>
      </w:r>
      <w:r>
        <w:instrText xml:space="preserve"> PAGEREF _Toc200720533 \h </w:instrText>
      </w:r>
      <w:r>
        <w:fldChar w:fldCharType="separate"/>
      </w:r>
      <w:r>
        <w:t>475</w:t>
      </w:r>
      <w:r>
        <w:fldChar w:fldCharType="end"/>
      </w:r>
    </w:p>
    <w:p>
      <w:pPr>
        <w:pStyle w:val="TOC8"/>
        <w:rPr>
          <w:rFonts w:asciiTheme="minorHAnsi" w:eastAsiaTheme="minorEastAsia" w:hAnsiTheme="minorHAnsi" w:cstheme="minorBidi"/>
          <w:szCs w:val="22"/>
        </w:rPr>
      </w:pPr>
      <w:r>
        <w:t>675L.</w:t>
      </w:r>
      <w:r>
        <w:tab/>
        <w:t>Person conducting business or undertaking to obtain health monitoring report</w:t>
      </w:r>
      <w:r>
        <w:tab/>
      </w:r>
      <w:r>
        <w:fldChar w:fldCharType="begin"/>
      </w:r>
      <w:r>
        <w:instrText xml:space="preserve"> PAGEREF _Toc200720534 \h </w:instrText>
      </w:r>
      <w:r>
        <w:fldChar w:fldCharType="separate"/>
      </w:r>
      <w:r>
        <w:t>475</w:t>
      </w:r>
      <w:r>
        <w:fldChar w:fldCharType="end"/>
      </w:r>
    </w:p>
    <w:p>
      <w:pPr>
        <w:pStyle w:val="TOC8"/>
        <w:rPr>
          <w:rFonts w:asciiTheme="minorHAnsi" w:eastAsiaTheme="minorEastAsia" w:hAnsiTheme="minorHAnsi" w:cstheme="minorBidi"/>
          <w:szCs w:val="22"/>
        </w:rPr>
      </w:pPr>
      <w:r>
        <w:t>675M.</w:t>
      </w:r>
      <w:r>
        <w:tab/>
        <w:t>Person conducting business or undertaking to give health monitoring report to mine operator</w:t>
      </w:r>
      <w:r>
        <w:tab/>
      </w:r>
      <w:r>
        <w:fldChar w:fldCharType="begin"/>
      </w:r>
      <w:r>
        <w:instrText xml:space="preserve"> PAGEREF _Toc200720535 \h </w:instrText>
      </w:r>
      <w:r>
        <w:fldChar w:fldCharType="separate"/>
      </w:r>
      <w:r>
        <w:t>476</w:t>
      </w:r>
      <w:r>
        <w:fldChar w:fldCharType="end"/>
      </w:r>
    </w:p>
    <w:p>
      <w:pPr>
        <w:pStyle w:val="TOC8"/>
        <w:rPr>
          <w:rFonts w:asciiTheme="minorHAnsi" w:eastAsiaTheme="minorEastAsia" w:hAnsiTheme="minorHAnsi" w:cstheme="minorBidi"/>
          <w:szCs w:val="22"/>
        </w:rPr>
      </w:pPr>
      <w:r>
        <w:t>675N.</w:t>
      </w:r>
      <w:r>
        <w:tab/>
        <w:t>Duty to give health monitoring report to worker</w:t>
      </w:r>
      <w:r>
        <w:tab/>
      </w:r>
      <w:r>
        <w:fldChar w:fldCharType="begin"/>
      </w:r>
      <w:r>
        <w:instrText xml:space="preserve"> PAGEREF _Toc200720536 \h </w:instrText>
      </w:r>
      <w:r>
        <w:fldChar w:fldCharType="separate"/>
      </w:r>
      <w:r>
        <w:t>476</w:t>
      </w:r>
      <w:r>
        <w:fldChar w:fldCharType="end"/>
      </w:r>
    </w:p>
    <w:p>
      <w:pPr>
        <w:pStyle w:val="TOC8"/>
        <w:rPr>
          <w:rFonts w:asciiTheme="minorHAnsi" w:eastAsiaTheme="minorEastAsia" w:hAnsiTheme="minorHAnsi" w:cstheme="minorBidi"/>
          <w:szCs w:val="22"/>
        </w:rPr>
      </w:pPr>
      <w:r>
        <w:t>675O.</w:t>
      </w:r>
      <w:r>
        <w:tab/>
        <w:t>Duty to give health monitoring report to regulator</w:t>
      </w:r>
      <w:r>
        <w:tab/>
      </w:r>
      <w:r>
        <w:fldChar w:fldCharType="begin"/>
      </w:r>
      <w:r>
        <w:instrText xml:space="preserve"> PAGEREF _Toc200720537 \h </w:instrText>
      </w:r>
      <w:r>
        <w:fldChar w:fldCharType="separate"/>
      </w:r>
      <w:r>
        <w:t>476</w:t>
      </w:r>
      <w:r>
        <w:fldChar w:fldCharType="end"/>
      </w:r>
    </w:p>
    <w:p>
      <w:pPr>
        <w:pStyle w:val="TOC8"/>
        <w:rPr>
          <w:rFonts w:asciiTheme="minorHAnsi" w:eastAsiaTheme="minorEastAsia" w:hAnsiTheme="minorHAnsi" w:cstheme="minorBidi"/>
          <w:szCs w:val="22"/>
        </w:rPr>
      </w:pPr>
      <w:r>
        <w:t>675P.</w:t>
      </w:r>
      <w:r>
        <w:tab/>
        <w:t>Health monitoring reports kept as records</w:t>
      </w:r>
      <w:r>
        <w:tab/>
      </w:r>
      <w:r>
        <w:fldChar w:fldCharType="begin"/>
      </w:r>
      <w:r>
        <w:instrText xml:space="preserve"> PAGEREF _Toc200720538 \h </w:instrText>
      </w:r>
      <w:r>
        <w:fldChar w:fldCharType="separate"/>
      </w:r>
      <w:r>
        <w:t>477</w:t>
      </w:r>
      <w:r>
        <w:fldChar w:fldCharType="end"/>
      </w:r>
    </w:p>
    <w:p>
      <w:pPr>
        <w:pStyle w:val="TOC4"/>
        <w:tabs>
          <w:tab w:val="right" w:leader="dot" w:pos="7077"/>
        </w:tabs>
        <w:rPr>
          <w:rFonts w:asciiTheme="minorHAnsi" w:eastAsiaTheme="minorEastAsia" w:hAnsiTheme="minorHAnsi" w:cstheme="minorBidi"/>
          <w:b w:val="0"/>
          <w:szCs w:val="22"/>
        </w:rPr>
      </w:pPr>
      <w:r>
        <w:t>Part 10.4 — Not used</w:t>
      </w:r>
    </w:p>
    <w:p>
      <w:pPr>
        <w:pStyle w:val="TOC8"/>
        <w:rPr>
          <w:rFonts w:asciiTheme="minorHAnsi" w:eastAsiaTheme="minorEastAsia" w:hAnsiTheme="minorHAnsi" w:cstheme="minorBidi"/>
          <w:szCs w:val="22"/>
        </w:rPr>
      </w:pPr>
      <w:r>
        <w:t>675Q.</w:t>
      </w:r>
      <w:r>
        <w:tab/>
        <w:t>Not used</w:t>
      </w:r>
      <w:r>
        <w:tab/>
      </w:r>
      <w:r>
        <w:fldChar w:fldCharType="begin"/>
      </w:r>
      <w:r>
        <w:instrText xml:space="preserve"> PAGEREF _Toc200720540 \h </w:instrText>
      </w:r>
      <w:r>
        <w:fldChar w:fldCharType="separate"/>
      </w:r>
      <w:r>
        <w:t>477</w:t>
      </w:r>
      <w:r>
        <w:fldChar w:fldCharType="end"/>
      </w:r>
    </w:p>
    <w:p>
      <w:pPr>
        <w:pStyle w:val="TOC8"/>
        <w:rPr>
          <w:rFonts w:asciiTheme="minorHAnsi" w:eastAsiaTheme="minorEastAsia" w:hAnsiTheme="minorHAnsi" w:cstheme="minorBidi"/>
          <w:szCs w:val="22"/>
        </w:rPr>
      </w:pPr>
      <w:r>
        <w:lastRenderedPageBreak/>
        <w:t>675R.</w:t>
      </w:r>
      <w:r>
        <w:tab/>
        <w:t>Not used</w:t>
      </w:r>
      <w:r>
        <w:tab/>
      </w:r>
      <w:r>
        <w:fldChar w:fldCharType="begin"/>
      </w:r>
      <w:r>
        <w:instrText xml:space="preserve"> PAGEREF _Toc200720541 \h </w:instrText>
      </w:r>
      <w:r>
        <w:fldChar w:fldCharType="separate"/>
      </w:r>
      <w:r>
        <w:t>477</w:t>
      </w:r>
      <w:r>
        <w:fldChar w:fldCharType="end"/>
      </w:r>
    </w:p>
    <w:p>
      <w:pPr>
        <w:pStyle w:val="TOC4"/>
        <w:tabs>
          <w:tab w:val="right" w:leader="dot" w:pos="7077"/>
        </w:tabs>
        <w:rPr>
          <w:rFonts w:asciiTheme="minorHAnsi" w:eastAsiaTheme="minorEastAsia" w:hAnsiTheme="minorHAnsi" w:cstheme="minorBidi"/>
          <w:b w:val="0"/>
          <w:szCs w:val="22"/>
        </w:rPr>
      </w:pPr>
      <w:r>
        <w:t>Part 10.5 — Mine survey plans</w:t>
      </w:r>
    </w:p>
    <w:p>
      <w:pPr>
        <w:pStyle w:val="TOC8"/>
        <w:rPr>
          <w:rFonts w:asciiTheme="minorHAnsi" w:eastAsiaTheme="minorEastAsia" w:hAnsiTheme="minorHAnsi" w:cstheme="minorBidi"/>
          <w:szCs w:val="22"/>
        </w:rPr>
      </w:pPr>
      <w:r>
        <w:t>675RA.</w:t>
      </w:r>
      <w:r>
        <w:tab/>
        <w:t>Meaning of mine survey plan</w:t>
      </w:r>
      <w:r>
        <w:tab/>
      </w:r>
      <w:r>
        <w:fldChar w:fldCharType="begin"/>
      </w:r>
      <w:r>
        <w:instrText xml:space="preserve"> PAGEREF _Toc200720543 \h </w:instrText>
      </w:r>
      <w:r>
        <w:fldChar w:fldCharType="separate"/>
      </w:r>
      <w:r>
        <w:t>478</w:t>
      </w:r>
      <w:r>
        <w:fldChar w:fldCharType="end"/>
      </w:r>
    </w:p>
    <w:p>
      <w:pPr>
        <w:pStyle w:val="TOC8"/>
        <w:rPr>
          <w:rFonts w:asciiTheme="minorHAnsi" w:eastAsiaTheme="minorEastAsia" w:hAnsiTheme="minorHAnsi" w:cstheme="minorBidi"/>
          <w:szCs w:val="22"/>
        </w:rPr>
      </w:pPr>
      <w:r>
        <w:t>675S.</w:t>
      </w:r>
      <w:r>
        <w:tab/>
        <w:t>Duty to prepare and maintain mine survey plan</w:t>
      </w:r>
      <w:r>
        <w:tab/>
      </w:r>
      <w:r>
        <w:fldChar w:fldCharType="begin"/>
      </w:r>
      <w:r>
        <w:instrText xml:space="preserve"> PAGEREF _Toc200720544 \h </w:instrText>
      </w:r>
      <w:r>
        <w:fldChar w:fldCharType="separate"/>
      </w:r>
      <w:r>
        <w:t>478</w:t>
      </w:r>
      <w:r>
        <w:fldChar w:fldCharType="end"/>
      </w:r>
    </w:p>
    <w:p>
      <w:pPr>
        <w:pStyle w:val="TOC8"/>
        <w:rPr>
          <w:rFonts w:asciiTheme="minorHAnsi" w:eastAsiaTheme="minorEastAsia" w:hAnsiTheme="minorHAnsi" w:cstheme="minorBidi"/>
          <w:szCs w:val="22"/>
        </w:rPr>
      </w:pPr>
      <w:r>
        <w:t>675T.</w:t>
      </w:r>
      <w:r>
        <w:tab/>
        <w:t>Not used</w:t>
      </w:r>
      <w:r>
        <w:tab/>
      </w:r>
      <w:r>
        <w:fldChar w:fldCharType="begin"/>
      </w:r>
      <w:r>
        <w:instrText xml:space="preserve"> PAGEREF _Toc200720545 \h </w:instrText>
      </w:r>
      <w:r>
        <w:fldChar w:fldCharType="separate"/>
      </w:r>
      <w:r>
        <w:t>479</w:t>
      </w:r>
      <w:r>
        <w:fldChar w:fldCharType="end"/>
      </w:r>
    </w:p>
    <w:p>
      <w:pPr>
        <w:pStyle w:val="TOC8"/>
        <w:rPr>
          <w:rFonts w:asciiTheme="minorHAnsi" w:eastAsiaTheme="minorEastAsia" w:hAnsiTheme="minorHAnsi" w:cstheme="minorBidi"/>
          <w:szCs w:val="22"/>
        </w:rPr>
      </w:pPr>
      <w:r>
        <w:t>675TA.</w:t>
      </w:r>
      <w:r>
        <w:tab/>
        <w:t>Minimum requirements for mine survey plans where underground or quarry operations carried out</w:t>
      </w:r>
      <w:r>
        <w:tab/>
      </w:r>
      <w:r>
        <w:fldChar w:fldCharType="begin"/>
      </w:r>
      <w:r>
        <w:instrText xml:space="preserve"> PAGEREF _Toc200720546 \h </w:instrText>
      </w:r>
      <w:r>
        <w:fldChar w:fldCharType="separate"/>
      </w:r>
      <w:r>
        <w:t>479</w:t>
      </w:r>
      <w:r>
        <w:fldChar w:fldCharType="end"/>
      </w:r>
    </w:p>
    <w:p>
      <w:pPr>
        <w:pStyle w:val="TOC8"/>
        <w:rPr>
          <w:rFonts w:asciiTheme="minorHAnsi" w:eastAsiaTheme="minorEastAsia" w:hAnsiTheme="minorHAnsi" w:cstheme="minorBidi"/>
          <w:szCs w:val="22"/>
        </w:rPr>
      </w:pPr>
      <w:r>
        <w:t>675U.</w:t>
      </w:r>
      <w:r>
        <w:tab/>
        <w:t>Mine survey plans to be available</w:t>
      </w:r>
      <w:r>
        <w:tab/>
      </w:r>
      <w:r>
        <w:fldChar w:fldCharType="begin"/>
      </w:r>
      <w:r>
        <w:instrText xml:space="preserve"> PAGEREF _Toc200720547 \h </w:instrText>
      </w:r>
      <w:r>
        <w:fldChar w:fldCharType="separate"/>
      </w:r>
      <w:r>
        <w:t>481</w:t>
      </w:r>
      <w:r>
        <w:fldChar w:fldCharType="end"/>
      </w:r>
    </w:p>
    <w:p>
      <w:pPr>
        <w:pStyle w:val="TOC8"/>
        <w:rPr>
          <w:rFonts w:asciiTheme="minorHAnsi" w:eastAsiaTheme="minorEastAsia" w:hAnsiTheme="minorHAnsi" w:cstheme="minorBidi"/>
          <w:szCs w:val="22"/>
        </w:rPr>
      </w:pPr>
      <w:r>
        <w:t>675UA.</w:t>
      </w:r>
      <w:r>
        <w:tab/>
        <w:t>Fatal accident site survey plan</w:t>
      </w:r>
      <w:r>
        <w:tab/>
      </w:r>
      <w:r>
        <w:fldChar w:fldCharType="begin"/>
      </w:r>
      <w:r>
        <w:instrText xml:space="preserve"> PAGEREF _Toc200720548 \h </w:instrText>
      </w:r>
      <w:r>
        <w:fldChar w:fldCharType="separate"/>
      </w:r>
      <w:r>
        <w:t>481</w:t>
      </w:r>
      <w:r>
        <w:fldChar w:fldCharType="end"/>
      </w:r>
    </w:p>
    <w:p>
      <w:pPr>
        <w:pStyle w:val="TOC8"/>
        <w:rPr>
          <w:rFonts w:asciiTheme="minorHAnsi" w:eastAsiaTheme="minorEastAsia" w:hAnsiTheme="minorHAnsi" w:cstheme="minorBidi"/>
          <w:szCs w:val="22"/>
        </w:rPr>
      </w:pPr>
      <w:r>
        <w:t>675UB.</w:t>
      </w:r>
      <w:r>
        <w:tab/>
        <w:t>Duty to provide mine survey plan when mine closed or suspended</w:t>
      </w:r>
      <w:r>
        <w:tab/>
      </w:r>
      <w:r>
        <w:fldChar w:fldCharType="begin"/>
      </w:r>
      <w:r>
        <w:instrText xml:space="preserve"> PAGEREF _Toc200720549 \h </w:instrText>
      </w:r>
      <w:r>
        <w:fldChar w:fldCharType="separate"/>
      </w:r>
      <w:r>
        <w:t>482</w:t>
      </w:r>
      <w:r>
        <w:fldChar w:fldCharType="end"/>
      </w:r>
    </w:p>
    <w:p>
      <w:pPr>
        <w:pStyle w:val="TOC4"/>
        <w:tabs>
          <w:tab w:val="right" w:leader="dot" w:pos="7077"/>
        </w:tabs>
        <w:rPr>
          <w:rFonts w:asciiTheme="minorHAnsi" w:eastAsiaTheme="minorEastAsia" w:hAnsiTheme="minorHAnsi" w:cstheme="minorBidi"/>
          <w:b w:val="0"/>
          <w:szCs w:val="22"/>
        </w:rPr>
      </w:pPr>
      <w:r>
        <w:t>Part 10.6 — Provision of information to regulator</w:t>
      </w:r>
    </w:p>
    <w:p>
      <w:pPr>
        <w:pStyle w:val="TOC8"/>
        <w:rPr>
          <w:rFonts w:asciiTheme="minorHAnsi" w:eastAsiaTheme="minorEastAsia" w:hAnsiTheme="minorHAnsi" w:cstheme="minorBidi"/>
          <w:szCs w:val="22"/>
        </w:rPr>
      </w:pPr>
      <w:r>
        <w:t>675UC.</w:t>
      </w:r>
      <w:r>
        <w:tab/>
        <w:t>Information about commencement of non</w:t>
      </w:r>
      <w:r>
        <w:noBreakHyphen/>
        <w:t>exploration mining operations</w:t>
      </w:r>
      <w:r>
        <w:tab/>
      </w:r>
      <w:r>
        <w:fldChar w:fldCharType="begin"/>
      </w:r>
      <w:r>
        <w:instrText xml:space="preserve"> PAGEREF _Toc200720551 \h </w:instrText>
      </w:r>
      <w:r>
        <w:fldChar w:fldCharType="separate"/>
      </w:r>
      <w:r>
        <w:t>483</w:t>
      </w:r>
      <w:r>
        <w:fldChar w:fldCharType="end"/>
      </w:r>
    </w:p>
    <w:p>
      <w:pPr>
        <w:pStyle w:val="TOC8"/>
        <w:rPr>
          <w:rFonts w:asciiTheme="minorHAnsi" w:eastAsiaTheme="minorEastAsia" w:hAnsiTheme="minorHAnsi" w:cstheme="minorBidi"/>
          <w:szCs w:val="22"/>
        </w:rPr>
      </w:pPr>
      <w:r>
        <w:t>675UD.</w:t>
      </w:r>
      <w:r>
        <w:tab/>
        <w:t>Information about commencement of additional mining operations</w:t>
      </w:r>
      <w:r>
        <w:tab/>
      </w:r>
      <w:r>
        <w:fldChar w:fldCharType="begin"/>
      </w:r>
      <w:r>
        <w:instrText xml:space="preserve"> PAGEREF _Toc200720552 \h </w:instrText>
      </w:r>
      <w:r>
        <w:fldChar w:fldCharType="separate"/>
      </w:r>
      <w:r>
        <w:t>485</w:t>
      </w:r>
      <w:r>
        <w:fldChar w:fldCharType="end"/>
      </w:r>
    </w:p>
    <w:p>
      <w:pPr>
        <w:pStyle w:val="TOC8"/>
        <w:rPr>
          <w:rFonts w:asciiTheme="minorHAnsi" w:eastAsiaTheme="minorEastAsia" w:hAnsiTheme="minorHAnsi" w:cstheme="minorBidi"/>
          <w:szCs w:val="22"/>
        </w:rPr>
      </w:pPr>
      <w:r>
        <w:t>675UE.</w:t>
      </w:r>
      <w:r>
        <w:tab/>
        <w:t>Request for further information about commencement of mining operations</w:t>
      </w:r>
      <w:r>
        <w:tab/>
      </w:r>
      <w:r>
        <w:fldChar w:fldCharType="begin"/>
      </w:r>
      <w:r>
        <w:instrText xml:space="preserve"> PAGEREF _Toc200720553 \h </w:instrText>
      </w:r>
      <w:r>
        <w:fldChar w:fldCharType="separate"/>
      </w:r>
      <w:r>
        <w:t>487</w:t>
      </w:r>
      <w:r>
        <w:fldChar w:fldCharType="end"/>
      </w:r>
    </w:p>
    <w:p>
      <w:pPr>
        <w:pStyle w:val="TOC8"/>
        <w:rPr>
          <w:rFonts w:asciiTheme="minorHAnsi" w:eastAsiaTheme="minorEastAsia" w:hAnsiTheme="minorHAnsi" w:cstheme="minorBidi"/>
          <w:szCs w:val="22"/>
        </w:rPr>
      </w:pPr>
      <w:r>
        <w:t>675UF.</w:t>
      </w:r>
      <w:r>
        <w:tab/>
        <w:t>Information about suspension and lifting of suspension</w:t>
      </w:r>
      <w:r>
        <w:tab/>
      </w:r>
      <w:r>
        <w:fldChar w:fldCharType="begin"/>
      </w:r>
      <w:r>
        <w:instrText xml:space="preserve"> PAGEREF _Toc200720554 \h </w:instrText>
      </w:r>
      <w:r>
        <w:fldChar w:fldCharType="separate"/>
      </w:r>
      <w:r>
        <w:t>488</w:t>
      </w:r>
      <w:r>
        <w:fldChar w:fldCharType="end"/>
      </w:r>
    </w:p>
    <w:p>
      <w:pPr>
        <w:pStyle w:val="TOC8"/>
        <w:rPr>
          <w:rFonts w:asciiTheme="minorHAnsi" w:eastAsiaTheme="minorEastAsia" w:hAnsiTheme="minorHAnsi" w:cstheme="minorBidi"/>
          <w:szCs w:val="22"/>
        </w:rPr>
      </w:pPr>
      <w:r>
        <w:t>675UG.</w:t>
      </w:r>
      <w:r>
        <w:tab/>
        <w:t>Duty of mine operator to ensure mine is safe and secure during suspension</w:t>
      </w:r>
      <w:r>
        <w:tab/>
      </w:r>
      <w:r>
        <w:fldChar w:fldCharType="begin"/>
      </w:r>
      <w:r>
        <w:instrText xml:space="preserve"> PAGEREF _Toc200720555 \h </w:instrText>
      </w:r>
      <w:r>
        <w:fldChar w:fldCharType="separate"/>
      </w:r>
      <w:r>
        <w:t>490</w:t>
      </w:r>
      <w:r>
        <w:fldChar w:fldCharType="end"/>
      </w:r>
    </w:p>
    <w:p>
      <w:pPr>
        <w:pStyle w:val="TOC8"/>
        <w:rPr>
          <w:rFonts w:asciiTheme="minorHAnsi" w:eastAsiaTheme="minorEastAsia" w:hAnsiTheme="minorHAnsi" w:cstheme="minorBidi"/>
          <w:szCs w:val="22"/>
        </w:rPr>
      </w:pPr>
      <w:r>
        <w:t>675UH.</w:t>
      </w:r>
      <w:r>
        <w:tab/>
        <w:t>Information about care and maintenance</w:t>
      </w:r>
      <w:r>
        <w:tab/>
      </w:r>
      <w:r>
        <w:fldChar w:fldCharType="begin"/>
      </w:r>
      <w:r>
        <w:instrText xml:space="preserve"> PAGEREF _Toc200720556 \h </w:instrText>
      </w:r>
      <w:r>
        <w:fldChar w:fldCharType="separate"/>
      </w:r>
      <w:r>
        <w:t>490</w:t>
      </w:r>
      <w:r>
        <w:fldChar w:fldCharType="end"/>
      </w:r>
    </w:p>
    <w:p>
      <w:pPr>
        <w:pStyle w:val="TOC8"/>
        <w:rPr>
          <w:rFonts w:asciiTheme="minorHAnsi" w:eastAsiaTheme="minorEastAsia" w:hAnsiTheme="minorHAnsi" w:cstheme="minorBidi"/>
          <w:szCs w:val="22"/>
        </w:rPr>
      </w:pPr>
      <w:r>
        <w:t>675UI.</w:t>
      </w:r>
      <w:r>
        <w:tab/>
        <w:t>Information about closure of mine</w:t>
      </w:r>
      <w:r>
        <w:tab/>
      </w:r>
      <w:r>
        <w:fldChar w:fldCharType="begin"/>
      </w:r>
      <w:r>
        <w:instrText xml:space="preserve"> PAGEREF _Toc200720557 \h </w:instrText>
      </w:r>
      <w:r>
        <w:fldChar w:fldCharType="separate"/>
      </w:r>
      <w:r>
        <w:t>492</w:t>
      </w:r>
      <w:r>
        <w:fldChar w:fldCharType="end"/>
      </w:r>
    </w:p>
    <w:p>
      <w:pPr>
        <w:pStyle w:val="TOC8"/>
        <w:rPr>
          <w:rFonts w:asciiTheme="minorHAnsi" w:eastAsiaTheme="minorEastAsia" w:hAnsiTheme="minorHAnsi" w:cstheme="minorBidi"/>
          <w:szCs w:val="22"/>
        </w:rPr>
      </w:pPr>
      <w:r>
        <w:t>675UJ.</w:t>
      </w:r>
      <w:r>
        <w:tab/>
        <w:t>Information about commencement of exploration operations</w:t>
      </w:r>
      <w:r>
        <w:tab/>
      </w:r>
      <w:r>
        <w:fldChar w:fldCharType="begin"/>
      </w:r>
      <w:r>
        <w:instrText xml:space="preserve"> PAGEREF _Toc200720558 \h </w:instrText>
      </w:r>
      <w:r>
        <w:fldChar w:fldCharType="separate"/>
      </w:r>
      <w:r>
        <w:t>494</w:t>
      </w:r>
      <w:r>
        <w:fldChar w:fldCharType="end"/>
      </w:r>
    </w:p>
    <w:p>
      <w:pPr>
        <w:pStyle w:val="TOC8"/>
        <w:rPr>
          <w:rFonts w:asciiTheme="minorHAnsi" w:eastAsiaTheme="minorEastAsia" w:hAnsiTheme="minorHAnsi" w:cstheme="minorBidi"/>
          <w:szCs w:val="22"/>
        </w:rPr>
      </w:pPr>
      <w:r>
        <w:t>675UK.</w:t>
      </w:r>
      <w:r>
        <w:tab/>
        <w:t>Information about high risk mining activities</w:t>
      </w:r>
      <w:r>
        <w:tab/>
      </w:r>
      <w:r>
        <w:fldChar w:fldCharType="begin"/>
      </w:r>
      <w:r>
        <w:instrText xml:space="preserve"> PAGEREF _Toc200720559 \h </w:instrText>
      </w:r>
      <w:r>
        <w:fldChar w:fldCharType="separate"/>
      </w:r>
      <w:r>
        <w:t>495</w:t>
      </w:r>
      <w:r>
        <w:fldChar w:fldCharType="end"/>
      </w:r>
    </w:p>
    <w:p>
      <w:pPr>
        <w:pStyle w:val="TOC8"/>
        <w:rPr>
          <w:rFonts w:asciiTheme="minorHAnsi" w:eastAsiaTheme="minorEastAsia" w:hAnsiTheme="minorHAnsi" w:cstheme="minorBidi"/>
          <w:szCs w:val="22"/>
        </w:rPr>
      </w:pPr>
      <w:r>
        <w:t>675UL.</w:t>
      </w:r>
      <w:r>
        <w:tab/>
        <w:t>Acknowledging notice about high risk mining activities</w:t>
      </w:r>
      <w:r>
        <w:tab/>
      </w:r>
      <w:r>
        <w:fldChar w:fldCharType="begin"/>
      </w:r>
      <w:r>
        <w:instrText xml:space="preserve"> PAGEREF _Toc200720560 \h </w:instrText>
      </w:r>
      <w:r>
        <w:fldChar w:fldCharType="separate"/>
      </w:r>
      <w:r>
        <w:t>497</w:t>
      </w:r>
      <w:r>
        <w:fldChar w:fldCharType="end"/>
      </w:r>
    </w:p>
    <w:p>
      <w:pPr>
        <w:pStyle w:val="TOC8"/>
        <w:rPr>
          <w:rFonts w:asciiTheme="minorHAnsi" w:eastAsiaTheme="minorEastAsia" w:hAnsiTheme="minorHAnsi" w:cstheme="minorBidi"/>
          <w:szCs w:val="22"/>
        </w:rPr>
      </w:pPr>
      <w:r>
        <w:t>675V.</w:t>
      </w:r>
      <w:r>
        <w:tab/>
        <w:t>Duty to notify regulator of reportable incidents</w:t>
      </w:r>
      <w:r>
        <w:tab/>
      </w:r>
      <w:r>
        <w:fldChar w:fldCharType="begin"/>
      </w:r>
      <w:r>
        <w:instrText xml:space="preserve"> PAGEREF _Toc200720561 \h </w:instrText>
      </w:r>
      <w:r>
        <w:fldChar w:fldCharType="separate"/>
      </w:r>
      <w:r>
        <w:t>498</w:t>
      </w:r>
      <w:r>
        <w:fldChar w:fldCharType="end"/>
      </w:r>
    </w:p>
    <w:p>
      <w:pPr>
        <w:pStyle w:val="TOC8"/>
        <w:rPr>
          <w:rFonts w:asciiTheme="minorHAnsi" w:eastAsiaTheme="minorEastAsia" w:hAnsiTheme="minorHAnsi" w:cstheme="minorBidi"/>
          <w:szCs w:val="22"/>
        </w:rPr>
      </w:pPr>
      <w:r>
        <w:t>675W.</w:t>
      </w:r>
      <w:r>
        <w:tab/>
        <w:t>Quarterly reports</w:t>
      </w:r>
      <w:r>
        <w:tab/>
      </w:r>
      <w:r>
        <w:fldChar w:fldCharType="begin"/>
      </w:r>
      <w:r>
        <w:instrText xml:space="preserve"> PAGEREF _Toc200720562 \h </w:instrText>
      </w:r>
      <w:r>
        <w:fldChar w:fldCharType="separate"/>
      </w:r>
      <w:r>
        <w:t>499</w:t>
      </w:r>
      <w:r>
        <w:fldChar w:fldCharType="end"/>
      </w:r>
    </w:p>
    <w:p>
      <w:pPr>
        <w:pStyle w:val="TOC8"/>
        <w:rPr>
          <w:rFonts w:asciiTheme="minorHAnsi" w:eastAsiaTheme="minorEastAsia" w:hAnsiTheme="minorHAnsi" w:cstheme="minorBidi"/>
          <w:szCs w:val="22"/>
        </w:rPr>
      </w:pPr>
      <w:r>
        <w:t>675X.</w:t>
      </w:r>
      <w:r>
        <w:tab/>
        <w:t>Duty to notify mine operator of incidents</w:t>
      </w:r>
      <w:r>
        <w:tab/>
      </w:r>
      <w:r>
        <w:fldChar w:fldCharType="begin"/>
      </w:r>
      <w:r>
        <w:instrText xml:space="preserve"> PAGEREF _Toc200720563 \h </w:instrText>
      </w:r>
      <w:r>
        <w:fldChar w:fldCharType="separate"/>
      </w:r>
      <w:r>
        <w:t>499</w:t>
      </w:r>
      <w:r>
        <w:fldChar w:fldCharType="end"/>
      </w:r>
    </w:p>
    <w:p>
      <w:pPr>
        <w:pStyle w:val="TOC4"/>
        <w:tabs>
          <w:tab w:val="right" w:leader="dot" w:pos="7077"/>
        </w:tabs>
        <w:rPr>
          <w:rFonts w:asciiTheme="minorHAnsi" w:eastAsiaTheme="minorEastAsia" w:hAnsiTheme="minorHAnsi" w:cstheme="minorBidi"/>
          <w:b w:val="0"/>
          <w:szCs w:val="22"/>
        </w:rPr>
      </w:pPr>
      <w:r>
        <w:t>Part 10.7 — Mine record</w:t>
      </w:r>
    </w:p>
    <w:p>
      <w:pPr>
        <w:pStyle w:val="TOC8"/>
        <w:rPr>
          <w:rFonts w:asciiTheme="minorHAnsi" w:eastAsiaTheme="minorEastAsia" w:hAnsiTheme="minorHAnsi" w:cstheme="minorBidi"/>
          <w:szCs w:val="22"/>
        </w:rPr>
      </w:pPr>
      <w:r>
        <w:t>675Y.</w:t>
      </w:r>
      <w:r>
        <w:tab/>
      </w:r>
      <w:r>
        <w:rPr>
          <w:spacing w:val="-2"/>
        </w:rPr>
        <w:t>Mine record</w:t>
      </w:r>
      <w:r>
        <w:tab/>
      </w:r>
      <w:r>
        <w:fldChar w:fldCharType="begin"/>
      </w:r>
      <w:r>
        <w:instrText xml:space="preserve"> PAGEREF _Toc200720565 \h </w:instrText>
      </w:r>
      <w:r>
        <w:fldChar w:fldCharType="separate"/>
      </w:r>
      <w:r>
        <w:t>500</w:t>
      </w:r>
      <w:r>
        <w:fldChar w:fldCharType="end"/>
      </w:r>
    </w:p>
    <w:p>
      <w:pPr>
        <w:pStyle w:val="TOC8"/>
        <w:rPr>
          <w:rFonts w:asciiTheme="minorHAnsi" w:eastAsiaTheme="minorEastAsia" w:hAnsiTheme="minorHAnsi" w:cstheme="minorBidi"/>
          <w:szCs w:val="22"/>
        </w:rPr>
      </w:pPr>
      <w:r>
        <w:t>675Z.</w:t>
      </w:r>
      <w:r>
        <w:tab/>
      </w:r>
      <w:r>
        <w:rPr>
          <w:spacing w:val="-2"/>
        </w:rPr>
        <w:t>Mine record must be kept and available</w:t>
      </w:r>
      <w:r>
        <w:tab/>
      </w:r>
      <w:r>
        <w:fldChar w:fldCharType="begin"/>
      </w:r>
      <w:r>
        <w:instrText xml:space="preserve"> PAGEREF _Toc200720566 \h </w:instrText>
      </w:r>
      <w:r>
        <w:fldChar w:fldCharType="separate"/>
      </w:r>
      <w:r>
        <w:t>501</w:t>
      </w:r>
      <w:r>
        <w:fldChar w:fldCharType="end"/>
      </w:r>
    </w:p>
    <w:p>
      <w:pPr>
        <w:pStyle w:val="TOC8"/>
        <w:rPr>
          <w:rFonts w:asciiTheme="minorHAnsi" w:eastAsiaTheme="minorEastAsia" w:hAnsiTheme="minorHAnsi" w:cstheme="minorBidi"/>
          <w:szCs w:val="22"/>
        </w:rPr>
      </w:pPr>
      <w:r>
        <w:t>675ZA.</w:t>
      </w:r>
      <w:r>
        <w:tab/>
        <w:t>Mine record to contain inspection records</w:t>
      </w:r>
      <w:r>
        <w:tab/>
      </w:r>
      <w:r>
        <w:fldChar w:fldCharType="begin"/>
      </w:r>
      <w:r>
        <w:instrText xml:space="preserve"> PAGEREF _Toc200720567 \h </w:instrText>
      </w:r>
      <w:r>
        <w:fldChar w:fldCharType="separate"/>
      </w:r>
      <w:r>
        <w:t>503</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10.7A — Positions in relation to mines</w:t>
      </w:r>
    </w:p>
    <w:p>
      <w:pPr>
        <w:pStyle w:val="TOC6"/>
        <w:tabs>
          <w:tab w:val="right" w:leader="dot" w:pos="7077"/>
        </w:tabs>
        <w:rPr>
          <w:rFonts w:asciiTheme="minorHAnsi" w:eastAsiaTheme="minorEastAsia" w:hAnsiTheme="minorHAnsi" w:cstheme="minorBidi"/>
          <w:b w:val="0"/>
          <w:sz w:val="22"/>
          <w:szCs w:val="22"/>
        </w:rPr>
      </w:pPr>
      <w:r>
        <w:t>Division 1 — Duties to have persons carry out functions of statutory positions</w:t>
      </w:r>
    </w:p>
    <w:p>
      <w:pPr>
        <w:pStyle w:val="TOC8"/>
        <w:rPr>
          <w:rFonts w:asciiTheme="minorHAnsi" w:eastAsiaTheme="minorEastAsia" w:hAnsiTheme="minorHAnsi" w:cstheme="minorBidi"/>
          <w:szCs w:val="22"/>
        </w:rPr>
      </w:pPr>
      <w:r>
        <w:t>675ZB.</w:t>
      </w:r>
      <w:r>
        <w:tab/>
        <w:t>Duties of mine operators in relation to statutory positions at mines</w:t>
      </w:r>
      <w:r>
        <w:tab/>
      </w:r>
      <w:r>
        <w:fldChar w:fldCharType="begin"/>
      </w:r>
      <w:r>
        <w:instrText xml:space="preserve"> PAGEREF _Toc200720570 \h </w:instrText>
      </w:r>
      <w:r>
        <w:fldChar w:fldCharType="separate"/>
      </w:r>
      <w:r>
        <w:t>504</w:t>
      </w:r>
      <w:r>
        <w:fldChar w:fldCharType="end"/>
      </w:r>
    </w:p>
    <w:p>
      <w:pPr>
        <w:pStyle w:val="TOC8"/>
        <w:rPr>
          <w:rFonts w:asciiTheme="minorHAnsi" w:eastAsiaTheme="minorEastAsia" w:hAnsiTheme="minorHAnsi" w:cstheme="minorBidi"/>
          <w:szCs w:val="22"/>
        </w:rPr>
      </w:pPr>
      <w:r>
        <w:t>675ZC.</w:t>
      </w:r>
      <w:r>
        <w:tab/>
        <w:t>Sufficient persons must be appointed for statutory positions</w:t>
      </w:r>
      <w:r>
        <w:tab/>
      </w:r>
      <w:r>
        <w:fldChar w:fldCharType="begin"/>
      </w:r>
      <w:r>
        <w:instrText xml:space="preserve"> PAGEREF _Toc200720571 \h </w:instrText>
      </w:r>
      <w:r>
        <w:fldChar w:fldCharType="separate"/>
      </w:r>
      <w:r>
        <w:t>505</w:t>
      </w:r>
      <w:r>
        <w:fldChar w:fldCharType="end"/>
      </w:r>
    </w:p>
    <w:p>
      <w:pPr>
        <w:pStyle w:val="TOC6"/>
        <w:tabs>
          <w:tab w:val="right" w:leader="dot" w:pos="7077"/>
        </w:tabs>
        <w:rPr>
          <w:rFonts w:asciiTheme="minorHAnsi" w:eastAsiaTheme="minorEastAsia" w:hAnsiTheme="minorHAnsi" w:cstheme="minorBidi"/>
          <w:b w:val="0"/>
          <w:sz w:val="22"/>
          <w:szCs w:val="22"/>
        </w:rPr>
      </w:pPr>
      <w:r>
        <w:t>Division 2 — Mine operator</w:t>
      </w:r>
    </w:p>
    <w:p>
      <w:pPr>
        <w:pStyle w:val="TOC8"/>
        <w:rPr>
          <w:rFonts w:asciiTheme="minorHAnsi" w:eastAsiaTheme="minorEastAsia" w:hAnsiTheme="minorHAnsi" w:cstheme="minorBidi"/>
          <w:szCs w:val="22"/>
        </w:rPr>
      </w:pPr>
      <w:r>
        <w:t>675ZD.</w:t>
      </w:r>
      <w:r>
        <w:tab/>
        <w:t>Information about mine operator</w:t>
      </w:r>
      <w:r>
        <w:tab/>
      </w:r>
      <w:r>
        <w:fldChar w:fldCharType="begin"/>
      </w:r>
      <w:r>
        <w:instrText xml:space="preserve"> PAGEREF _Toc200720573 \h </w:instrText>
      </w:r>
      <w:r>
        <w:fldChar w:fldCharType="separate"/>
      </w:r>
      <w:r>
        <w:t>506</w:t>
      </w:r>
      <w:r>
        <w:fldChar w:fldCharType="end"/>
      </w:r>
    </w:p>
    <w:p>
      <w:pPr>
        <w:pStyle w:val="TOC8"/>
        <w:rPr>
          <w:rFonts w:asciiTheme="minorHAnsi" w:eastAsiaTheme="minorEastAsia" w:hAnsiTheme="minorHAnsi" w:cstheme="minorBidi"/>
          <w:szCs w:val="22"/>
        </w:rPr>
      </w:pPr>
      <w:r>
        <w:t>675ZE.</w:t>
      </w:r>
      <w:r>
        <w:tab/>
        <w:t>Duties of mine operator</w:t>
      </w:r>
      <w:r>
        <w:tab/>
      </w:r>
      <w:r>
        <w:fldChar w:fldCharType="begin"/>
      </w:r>
      <w:r>
        <w:instrText xml:space="preserve"> PAGEREF _Toc200720574 \h </w:instrText>
      </w:r>
      <w:r>
        <w:fldChar w:fldCharType="separate"/>
      </w:r>
      <w:r>
        <w:t>508</w:t>
      </w:r>
      <w:r>
        <w:fldChar w:fldCharType="end"/>
      </w:r>
    </w:p>
    <w:p>
      <w:pPr>
        <w:pStyle w:val="TOC8"/>
        <w:rPr>
          <w:rFonts w:asciiTheme="minorHAnsi" w:eastAsiaTheme="minorEastAsia" w:hAnsiTheme="minorHAnsi" w:cstheme="minorBidi"/>
          <w:szCs w:val="22"/>
        </w:rPr>
      </w:pPr>
      <w:r>
        <w:t>675ZF.</w:t>
      </w:r>
      <w:r>
        <w:tab/>
        <w:t>Duties of mine operator of exploration mine without workers</w:t>
      </w:r>
      <w:r>
        <w:tab/>
      </w:r>
      <w:r>
        <w:fldChar w:fldCharType="begin"/>
      </w:r>
      <w:r>
        <w:instrText xml:space="preserve"> PAGEREF _Toc200720575 \h </w:instrText>
      </w:r>
      <w:r>
        <w:fldChar w:fldCharType="separate"/>
      </w:r>
      <w:r>
        <w:t>509</w:t>
      </w:r>
      <w:r>
        <w:fldChar w:fldCharType="end"/>
      </w:r>
    </w:p>
    <w:p>
      <w:pPr>
        <w:pStyle w:val="TOC8"/>
        <w:rPr>
          <w:rFonts w:asciiTheme="minorHAnsi" w:eastAsiaTheme="minorEastAsia" w:hAnsiTheme="minorHAnsi" w:cstheme="minorBidi"/>
          <w:szCs w:val="22"/>
        </w:rPr>
      </w:pPr>
      <w:r>
        <w:t>675ZG.</w:t>
      </w:r>
      <w:r>
        <w:tab/>
        <w:t>Duties of mine operator of mine where non</w:t>
      </w:r>
      <w:r>
        <w:noBreakHyphen/>
        <w:t>exploration operations are carried out without workers</w:t>
      </w:r>
      <w:r>
        <w:tab/>
      </w:r>
      <w:r>
        <w:fldChar w:fldCharType="begin"/>
      </w:r>
      <w:r>
        <w:instrText xml:space="preserve"> PAGEREF _Toc200720576 \h </w:instrText>
      </w:r>
      <w:r>
        <w:fldChar w:fldCharType="separate"/>
      </w:r>
      <w:r>
        <w:t>509</w:t>
      </w:r>
      <w:r>
        <w:fldChar w:fldCharType="end"/>
      </w:r>
    </w:p>
    <w:p>
      <w:pPr>
        <w:pStyle w:val="TOC6"/>
        <w:tabs>
          <w:tab w:val="right" w:leader="dot" w:pos="7077"/>
        </w:tabs>
        <w:rPr>
          <w:rFonts w:asciiTheme="minorHAnsi" w:eastAsiaTheme="minorEastAsia" w:hAnsiTheme="minorHAnsi" w:cstheme="minorBidi"/>
          <w:b w:val="0"/>
          <w:sz w:val="22"/>
          <w:szCs w:val="22"/>
        </w:rPr>
      </w:pPr>
      <w:r>
        <w:t>Division 3 — Site senior executive</w:t>
      </w:r>
    </w:p>
    <w:p>
      <w:pPr>
        <w:pStyle w:val="TOC8"/>
        <w:rPr>
          <w:rFonts w:asciiTheme="minorHAnsi" w:eastAsiaTheme="minorEastAsia" w:hAnsiTheme="minorHAnsi" w:cstheme="minorBidi"/>
          <w:szCs w:val="22"/>
        </w:rPr>
      </w:pPr>
      <w:r>
        <w:t>675ZH.</w:t>
      </w:r>
      <w:r>
        <w:tab/>
        <w:t>Mine to have site senior executive</w:t>
      </w:r>
      <w:r>
        <w:tab/>
      </w:r>
      <w:r>
        <w:fldChar w:fldCharType="begin"/>
      </w:r>
      <w:r>
        <w:instrText xml:space="preserve"> PAGEREF _Toc200720578 \h </w:instrText>
      </w:r>
      <w:r>
        <w:fldChar w:fldCharType="separate"/>
      </w:r>
      <w:r>
        <w:t>510</w:t>
      </w:r>
      <w:r>
        <w:fldChar w:fldCharType="end"/>
      </w:r>
    </w:p>
    <w:p>
      <w:pPr>
        <w:pStyle w:val="TOC8"/>
        <w:rPr>
          <w:rFonts w:asciiTheme="minorHAnsi" w:eastAsiaTheme="minorEastAsia" w:hAnsiTheme="minorHAnsi" w:cstheme="minorBidi"/>
          <w:szCs w:val="22"/>
        </w:rPr>
      </w:pPr>
      <w:r>
        <w:t>675ZI.</w:t>
      </w:r>
      <w:r>
        <w:tab/>
        <w:t>Appointment of site senior executive</w:t>
      </w:r>
      <w:r>
        <w:tab/>
      </w:r>
      <w:r>
        <w:fldChar w:fldCharType="begin"/>
      </w:r>
      <w:r>
        <w:instrText xml:space="preserve"> PAGEREF _Toc200720579 \h </w:instrText>
      </w:r>
      <w:r>
        <w:fldChar w:fldCharType="separate"/>
      </w:r>
      <w:r>
        <w:t>511</w:t>
      </w:r>
      <w:r>
        <w:fldChar w:fldCharType="end"/>
      </w:r>
    </w:p>
    <w:p>
      <w:pPr>
        <w:pStyle w:val="TOC8"/>
        <w:rPr>
          <w:rFonts w:asciiTheme="minorHAnsi" w:eastAsiaTheme="minorEastAsia" w:hAnsiTheme="minorHAnsi" w:cstheme="minorBidi"/>
          <w:szCs w:val="22"/>
        </w:rPr>
      </w:pPr>
      <w:r>
        <w:t>675ZJ.</w:t>
      </w:r>
      <w:r>
        <w:tab/>
        <w:t>Functions of site senior executive</w:t>
      </w:r>
      <w:r>
        <w:tab/>
      </w:r>
      <w:r>
        <w:fldChar w:fldCharType="begin"/>
      </w:r>
      <w:r>
        <w:instrText xml:space="preserve"> PAGEREF _Toc200720580 \h </w:instrText>
      </w:r>
      <w:r>
        <w:fldChar w:fldCharType="separate"/>
      </w:r>
      <w:r>
        <w:t>512</w:t>
      </w:r>
      <w:r>
        <w:fldChar w:fldCharType="end"/>
      </w:r>
    </w:p>
    <w:p>
      <w:pPr>
        <w:pStyle w:val="TOC8"/>
        <w:rPr>
          <w:rFonts w:asciiTheme="minorHAnsi" w:eastAsiaTheme="minorEastAsia" w:hAnsiTheme="minorHAnsi" w:cstheme="minorBidi"/>
          <w:szCs w:val="22"/>
        </w:rPr>
      </w:pPr>
      <w:r>
        <w:t>675ZK.</w:t>
      </w:r>
      <w:r>
        <w:tab/>
        <w:t>Information about site senior executive</w:t>
      </w:r>
      <w:r>
        <w:tab/>
      </w:r>
      <w:r>
        <w:fldChar w:fldCharType="begin"/>
      </w:r>
      <w:r>
        <w:instrText xml:space="preserve"> PAGEREF _Toc200720581 \h </w:instrText>
      </w:r>
      <w:r>
        <w:fldChar w:fldCharType="separate"/>
      </w:r>
      <w:r>
        <w:t>512</w:t>
      </w:r>
      <w:r>
        <w:fldChar w:fldCharType="end"/>
      </w:r>
    </w:p>
    <w:p>
      <w:pPr>
        <w:pStyle w:val="TOC6"/>
        <w:tabs>
          <w:tab w:val="right" w:leader="dot" w:pos="7077"/>
        </w:tabs>
        <w:rPr>
          <w:rFonts w:asciiTheme="minorHAnsi" w:eastAsiaTheme="minorEastAsia" w:hAnsiTheme="minorHAnsi" w:cstheme="minorBidi"/>
          <w:b w:val="0"/>
          <w:sz w:val="22"/>
          <w:szCs w:val="22"/>
        </w:rPr>
      </w:pPr>
      <w:r>
        <w:t>Division 4 — Exploration manager</w:t>
      </w:r>
    </w:p>
    <w:p>
      <w:pPr>
        <w:pStyle w:val="TOC8"/>
        <w:rPr>
          <w:rFonts w:asciiTheme="minorHAnsi" w:eastAsiaTheme="minorEastAsia" w:hAnsiTheme="minorHAnsi" w:cstheme="minorBidi"/>
          <w:szCs w:val="22"/>
        </w:rPr>
      </w:pPr>
      <w:r>
        <w:t>675ZL.</w:t>
      </w:r>
      <w:r>
        <w:tab/>
        <w:t>Exploration mine to have exploration manager</w:t>
      </w:r>
      <w:r>
        <w:tab/>
      </w:r>
      <w:r>
        <w:fldChar w:fldCharType="begin"/>
      </w:r>
      <w:r>
        <w:instrText xml:space="preserve"> PAGEREF _Toc200720583 \h </w:instrText>
      </w:r>
      <w:r>
        <w:fldChar w:fldCharType="separate"/>
      </w:r>
      <w:r>
        <w:t>514</w:t>
      </w:r>
      <w:r>
        <w:fldChar w:fldCharType="end"/>
      </w:r>
    </w:p>
    <w:p>
      <w:pPr>
        <w:pStyle w:val="TOC8"/>
        <w:rPr>
          <w:rFonts w:asciiTheme="minorHAnsi" w:eastAsiaTheme="minorEastAsia" w:hAnsiTheme="minorHAnsi" w:cstheme="minorBidi"/>
          <w:szCs w:val="22"/>
        </w:rPr>
      </w:pPr>
      <w:r>
        <w:t>675ZM.</w:t>
      </w:r>
      <w:r>
        <w:tab/>
        <w:t>Appointment of exploration manager</w:t>
      </w:r>
      <w:r>
        <w:tab/>
      </w:r>
      <w:r>
        <w:fldChar w:fldCharType="begin"/>
      </w:r>
      <w:r>
        <w:instrText xml:space="preserve"> PAGEREF _Toc200720584 \h </w:instrText>
      </w:r>
      <w:r>
        <w:fldChar w:fldCharType="separate"/>
      </w:r>
      <w:r>
        <w:t>515</w:t>
      </w:r>
      <w:r>
        <w:fldChar w:fldCharType="end"/>
      </w:r>
    </w:p>
    <w:p>
      <w:pPr>
        <w:pStyle w:val="TOC8"/>
        <w:rPr>
          <w:rFonts w:asciiTheme="minorHAnsi" w:eastAsiaTheme="minorEastAsia" w:hAnsiTheme="minorHAnsi" w:cstheme="minorBidi"/>
          <w:szCs w:val="22"/>
        </w:rPr>
      </w:pPr>
      <w:r>
        <w:t>675ZN.</w:t>
      </w:r>
      <w:r>
        <w:tab/>
        <w:t>Functions of exploration manager</w:t>
      </w:r>
      <w:r>
        <w:tab/>
      </w:r>
      <w:r>
        <w:fldChar w:fldCharType="begin"/>
      </w:r>
      <w:r>
        <w:instrText xml:space="preserve"> PAGEREF _Toc200720585 \h </w:instrText>
      </w:r>
      <w:r>
        <w:fldChar w:fldCharType="separate"/>
      </w:r>
      <w:r>
        <w:t>516</w:t>
      </w:r>
      <w:r>
        <w:fldChar w:fldCharType="end"/>
      </w:r>
    </w:p>
    <w:p>
      <w:pPr>
        <w:pStyle w:val="TOC8"/>
        <w:rPr>
          <w:rFonts w:asciiTheme="minorHAnsi" w:eastAsiaTheme="minorEastAsia" w:hAnsiTheme="minorHAnsi" w:cstheme="minorBidi"/>
          <w:szCs w:val="22"/>
        </w:rPr>
      </w:pPr>
      <w:r>
        <w:t>675ZO.</w:t>
      </w:r>
      <w:r>
        <w:tab/>
        <w:t>Information about exploration manager</w:t>
      </w:r>
      <w:r>
        <w:tab/>
      </w:r>
      <w:r>
        <w:fldChar w:fldCharType="begin"/>
      </w:r>
      <w:r>
        <w:instrText xml:space="preserve"> PAGEREF _Toc200720586 \h </w:instrText>
      </w:r>
      <w:r>
        <w:fldChar w:fldCharType="separate"/>
      </w:r>
      <w:r>
        <w:t>516</w:t>
      </w:r>
      <w:r>
        <w:fldChar w:fldCharType="end"/>
      </w:r>
    </w:p>
    <w:p>
      <w:pPr>
        <w:pStyle w:val="TOC6"/>
        <w:tabs>
          <w:tab w:val="right" w:leader="dot" w:pos="7077"/>
        </w:tabs>
        <w:rPr>
          <w:rFonts w:asciiTheme="minorHAnsi" w:eastAsiaTheme="minorEastAsia" w:hAnsiTheme="minorHAnsi" w:cstheme="minorBidi"/>
          <w:b w:val="0"/>
          <w:sz w:val="22"/>
          <w:szCs w:val="22"/>
        </w:rPr>
      </w:pPr>
      <w:r>
        <w:t>Division 5 — Schedule 26 positions</w:t>
      </w:r>
    </w:p>
    <w:p>
      <w:pPr>
        <w:pStyle w:val="TOC8"/>
        <w:rPr>
          <w:rFonts w:asciiTheme="minorHAnsi" w:eastAsiaTheme="minorEastAsia" w:hAnsiTheme="minorHAnsi" w:cstheme="minorBidi"/>
          <w:szCs w:val="22"/>
        </w:rPr>
      </w:pPr>
      <w:r>
        <w:t>675ZP.</w:t>
      </w:r>
      <w:r>
        <w:tab/>
        <w:t>Schedule 26 positions, functions and eligibility requirements</w:t>
      </w:r>
      <w:r>
        <w:tab/>
      </w:r>
      <w:r>
        <w:fldChar w:fldCharType="begin"/>
      </w:r>
      <w:r>
        <w:instrText xml:space="preserve"> PAGEREF _Toc200720588 \h </w:instrText>
      </w:r>
      <w:r>
        <w:fldChar w:fldCharType="separate"/>
      </w:r>
      <w:r>
        <w:t>518</w:t>
      </w:r>
      <w:r>
        <w:fldChar w:fldCharType="end"/>
      </w:r>
    </w:p>
    <w:p>
      <w:pPr>
        <w:pStyle w:val="TOC8"/>
        <w:rPr>
          <w:rFonts w:asciiTheme="minorHAnsi" w:eastAsiaTheme="minorEastAsia" w:hAnsiTheme="minorHAnsi" w:cstheme="minorBidi"/>
          <w:szCs w:val="22"/>
        </w:rPr>
      </w:pPr>
      <w:r>
        <w:t>675ZQ.</w:t>
      </w:r>
      <w:r>
        <w:tab/>
        <w:t>Appointment of persons to Schedule 26 positions</w:t>
      </w:r>
      <w:r>
        <w:tab/>
      </w:r>
      <w:r>
        <w:fldChar w:fldCharType="begin"/>
      </w:r>
      <w:r>
        <w:instrText xml:space="preserve"> PAGEREF _Toc200720589 \h </w:instrText>
      </w:r>
      <w:r>
        <w:fldChar w:fldCharType="separate"/>
      </w:r>
      <w:r>
        <w:t>518</w:t>
      </w:r>
      <w:r>
        <w:fldChar w:fldCharType="end"/>
      </w:r>
    </w:p>
    <w:p>
      <w:pPr>
        <w:pStyle w:val="TOC6"/>
        <w:tabs>
          <w:tab w:val="right" w:leader="dot" w:pos="7077"/>
        </w:tabs>
        <w:rPr>
          <w:rFonts w:asciiTheme="minorHAnsi" w:eastAsiaTheme="minorEastAsia" w:hAnsiTheme="minorHAnsi" w:cstheme="minorBidi"/>
          <w:b w:val="0"/>
          <w:sz w:val="22"/>
          <w:szCs w:val="22"/>
        </w:rPr>
      </w:pPr>
      <w:r>
        <w:t>Division 6 — General provisions about statutory positions</w:t>
      </w:r>
    </w:p>
    <w:p>
      <w:pPr>
        <w:pStyle w:val="TOC8"/>
        <w:rPr>
          <w:rFonts w:asciiTheme="minorHAnsi" w:eastAsiaTheme="minorEastAsia" w:hAnsiTheme="minorHAnsi" w:cstheme="minorBidi"/>
          <w:szCs w:val="22"/>
        </w:rPr>
      </w:pPr>
      <w:r>
        <w:t>675ZR.</w:t>
      </w:r>
      <w:r>
        <w:tab/>
        <w:t>Appointment of alternates for key statutory positions</w:t>
      </w:r>
      <w:r>
        <w:tab/>
      </w:r>
      <w:r>
        <w:fldChar w:fldCharType="begin"/>
      </w:r>
      <w:r>
        <w:instrText xml:space="preserve"> PAGEREF _Toc200720591 \h </w:instrText>
      </w:r>
      <w:r>
        <w:fldChar w:fldCharType="separate"/>
      </w:r>
      <w:r>
        <w:t>519</w:t>
      </w:r>
      <w:r>
        <w:fldChar w:fldCharType="end"/>
      </w:r>
    </w:p>
    <w:p>
      <w:pPr>
        <w:pStyle w:val="TOC8"/>
        <w:rPr>
          <w:rFonts w:asciiTheme="minorHAnsi" w:eastAsiaTheme="minorEastAsia" w:hAnsiTheme="minorHAnsi" w:cstheme="minorBidi"/>
          <w:szCs w:val="22"/>
        </w:rPr>
      </w:pPr>
      <w:r>
        <w:t>675ZS.</w:t>
      </w:r>
      <w:r>
        <w:tab/>
        <w:t>Eligibility of persons in key statutory positions to be appointed to particular positions at other mines</w:t>
      </w:r>
      <w:r>
        <w:tab/>
      </w:r>
      <w:r>
        <w:fldChar w:fldCharType="begin"/>
      </w:r>
      <w:r>
        <w:instrText xml:space="preserve"> PAGEREF _Toc200720592 \h </w:instrText>
      </w:r>
      <w:r>
        <w:fldChar w:fldCharType="separate"/>
      </w:r>
      <w:r>
        <w:t>520</w:t>
      </w:r>
      <w:r>
        <w:fldChar w:fldCharType="end"/>
      </w:r>
    </w:p>
    <w:p>
      <w:pPr>
        <w:pStyle w:val="TOC8"/>
        <w:rPr>
          <w:rFonts w:asciiTheme="minorHAnsi" w:eastAsiaTheme="minorEastAsia" w:hAnsiTheme="minorHAnsi" w:cstheme="minorBidi"/>
          <w:szCs w:val="22"/>
        </w:rPr>
      </w:pPr>
      <w:r>
        <w:t>675ZT.</w:t>
      </w:r>
      <w:r>
        <w:tab/>
        <w:t>Exemption from requirement to make certain appointments for mine engaged in exploration operations only</w:t>
      </w:r>
      <w:r>
        <w:tab/>
      </w:r>
      <w:r>
        <w:fldChar w:fldCharType="begin"/>
      </w:r>
      <w:r>
        <w:instrText xml:space="preserve"> PAGEREF _Toc200720593 \h </w:instrText>
      </w:r>
      <w:r>
        <w:fldChar w:fldCharType="separate"/>
      </w:r>
      <w:r>
        <w:t>520</w:t>
      </w:r>
      <w:r>
        <w:fldChar w:fldCharType="end"/>
      </w:r>
    </w:p>
    <w:p>
      <w:pPr>
        <w:pStyle w:val="TOC8"/>
        <w:rPr>
          <w:rFonts w:asciiTheme="minorHAnsi" w:eastAsiaTheme="minorEastAsia" w:hAnsiTheme="minorHAnsi" w:cstheme="minorBidi"/>
          <w:szCs w:val="22"/>
        </w:rPr>
      </w:pPr>
      <w:r>
        <w:lastRenderedPageBreak/>
        <w:t>675ZU.</w:t>
      </w:r>
      <w:r>
        <w:tab/>
        <w:t>Only 1 person appointed to key statutory positions for a mine</w:t>
      </w:r>
      <w:r>
        <w:tab/>
      </w:r>
      <w:r>
        <w:fldChar w:fldCharType="begin"/>
      </w:r>
      <w:r>
        <w:instrText xml:space="preserve"> PAGEREF _Toc200720594 \h </w:instrText>
      </w:r>
      <w:r>
        <w:fldChar w:fldCharType="separate"/>
      </w:r>
      <w:r>
        <w:t>521</w:t>
      </w:r>
      <w:r>
        <w:fldChar w:fldCharType="end"/>
      </w:r>
    </w:p>
    <w:p>
      <w:pPr>
        <w:pStyle w:val="TOC8"/>
        <w:rPr>
          <w:rFonts w:asciiTheme="minorHAnsi" w:eastAsiaTheme="minorEastAsia" w:hAnsiTheme="minorHAnsi" w:cstheme="minorBidi"/>
          <w:szCs w:val="22"/>
        </w:rPr>
      </w:pPr>
      <w:r>
        <w:t>675ZV.</w:t>
      </w:r>
      <w:r>
        <w:tab/>
        <w:t>Accepting appointments under Part</w:t>
      </w:r>
      <w:r>
        <w:tab/>
      </w:r>
      <w:r>
        <w:fldChar w:fldCharType="begin"/>
      </w:r>
      <w:r>
        <w:instrText xml:space="preserve"> PAGEREF _Toc200720595 \h </w:instrText>
      </w:r>
      <w:r>
        <w:fldChar w:fldCharType="separate"/>
      </w:r>
      <w:r>
        <w:t>521</w:t>
      </w:r>
      <w:r>
        <w:fldChar w:fldCharType="end"/>
      </w:r>
    </w:p>
    <w:p>
      <w:pPr>
        <w:pStyle w:val="TOC8"/>
        <w:rPr>
          <w:rFonts w:asciiTheme="minorHAnsi" w:eastAsiaTheme="minorEastAsia" w:hAnsiTheme="minorHAnsi" w:cstheme="minorBidi"/>
          <w:szCs w:val="22"/>
        </w:rPr>
      </w:pPr>
      <w:r>
        <w:t>675ZW.</w:t>
      </w:r>
      <w:r>
        <w:tab/>
        <w:t>Recording appointment of persons to statutory positions</w:t>
      </w:r>
      <w:r>
        <w:tab/>
      </w:r>
      <w:r>
        <w:fldChar w:fldCharType="begin"/>
      </w:r>
      <w:r>
        <w:instrText xml:space="preserve"> PAGEREF _Toc200720596 \h </w:instrText>
      </w:r>
      <w:r>
        <w:fldChar w:fldCharType="separate"/>
      </w:r>
      <w:r>
        <w:t>521</w:t>
      </w:r>
      <w:r>
        <w:fldChar w:fldCharType="end"/>
      </w:r>
    </w:p>
    <w:p>
      <w:pPr>
        <w:pStyle w:val="TOC8"/>
        <w:rPr>
          <w:rFonts w:asciiTheme="minorHAnsi" w:eastAsiaTheme="minorEastAsia" w:hAnsiTheme="minorHAnsi" w:cstheme="minorBidi"/>
          <w:szCs w:val="22"/>
        </w:rPr>
      </w:pPr>
      <w:r>
        <w:t>675ZX.</w:t>
      </w:r>
      <w:r>
        <w:tab/>
        <w:t>Giving false or misleading information or document about eligibility for statutory position</w:t>
      </w:r>
      <w:r>
        <w:tab/>
      </w:r>
      <w:r>
        <w:fldChar w:fldCharType="begin"/>
      </w:r>
      <w:r>
        <w:instrText xml:space="preserve"> PAGEREF _Toc200720597 \h </w:instrText>
      </w:r>
      <w:r>
        <w:fldChar w:fldCharType="separate"/>
      </w:r>
      <w:r>
        <w:t>522</w:t>
      </w:r>
      <w:r>
        <w:fldChar w:fldCharType="end"/>
      </w:r>
    </w:p>
    <w:p>
      <w:pPr>
        <w:pStyle w:val="TOC8"/>
        <w:rPr>
          <w:rFonts w:asciiTheme="minorHAnsi" w:eastAsiaTheme="minorEastAsia" w:hAnsiTheme="minorHAnsi" w:cstheme="minorBidi"/>
          <w:szCs w:val="22"/>
        </w:rPr>
      </w:pPr>
      <w:r>
        <w:t>675ZY.</w:t>
      </w:r>
      <w:r>
        <w:tab/>
        <w:t>Statutory position</w:t>
      </w:r>
      <w:r>
        <w:noBreakHyphen/>
        <w:t>holder to carry out functions</w:t>
      </w:r>
      <w:r>
        <w:tab/>
      </w:r>
      <w:r>
        <w:fldChar w:fldCharType="begin"/>
      </w:r>
      <w:r>
        <w:instrText xml:space="preserve"> PAGEREF _Toc200720598 \h </w:instrText>
      </w:r>
      <w:r>
        <w:fldChar w:fldCharType="separate"/>
      </w:r>
      <w:r>
        <w:t>523</w:t>
      </w:r>
      <w:r>
        <w:fldChar w:fldCharType="end"/>
      </w:r>
    </w:p>
    <w:p>
      <w:pPr>
        <w:pStyle w:val="TOC4"/>
        <w:tabs>
          <w:tab w:val="right" w:leader="dot" w:pos="7077"/>
        </w:tabs>
        <w:rPr>
          <w:rFonts w:asciiTheme="minorHAnsi" w:eastAsiaTheme="minorEastAsia" w:hAnsiTheme="minorHAnsi" w:cstheme="minorBidi"/>
          <w:b w:val="0"/>
          <w:szCs w:val="22"/>
        </w:rPr>
      </w:pPr>
      <w:r>
        <w:t>Part 10.7B — Statutory certificates</w:t>
      </w:r>
    </w:p>
    <w:p>
      <w:pPr>
        <w:pStyle w:val="TOC8"/>
        <w:rPr>
          <w:rFonts w:asciiTheme="minorHAnsi" w:eastAsiaTheme="minorEastAsia" w:hAnsiTheme="minorHAnsi" w:cstheme="minorBidi"/>
          <w:szCs w:val="22"/>
        </w:rPr>
      </w:pPr>
      <w:r>
        <w:t>675ZZ.</w:t>
      </w:r>
      <w:r>
        <w:tab/>
        <w:t>Meaning of applicant</w:t>
      </w:r>
      <w:r>
        <w:tab/>
      </w:r>
      <w:r>
        <w:fldChar w:fldCharType="begin"/>
      </w:r>
      <w:r>
        <w:instrText xml:space="preserve"> PAGEREF _Toc200720600 \h </w:instrText>
      </w:r>
      <w:r>
        <w:fldChar w:fldCharType="separate"/>
      </w:r>
      <w:r>
        <w:t>523</w:t>
      </w:r>
      <w:r>
        <w:fldChar w:fldCharType="end"/>
      </w:r>
    </w:p>
    <w:p>
      <w:pPr>
        <w:pStyle w:val="TOC8"/>
        <w:rPr>
          <w:rFonts w:asciiTheme="minorHAnsi" w:eastAsiaTheme="minorEastAsia" w:hAnsiTheme="minorHAnsi" w:cstheme="minorBidi"/>
          <w:szCs w:val="22"/>
        </w:rPr>
      </w:pPr>
      <w:r>
        <w:t>675ZZA.</w:t>
      </w:r>
      <w:r>
        <w:tab/>
        <w:t>Schedule 27 sets out statutory certificates</w:t>
      </w:r>
      <w:r>
        <w:tab/>
      </w:r>
      <w:r>
        <w:fldChar w:fldCharType="begin"/>
      </w:r>
      <w:r>
        <w:instrText xml:space="preserve"> PAGEREF _Toc200720601 \h </w:instrText>
      </w:r>
      <w:r>
        <w:fldChar w:fldCharType="separate"/>
      </w:r>
      <w:r>
        <w:t>523</w:t>
      </w:r>
      <w:r>
        <w:fldChar w:fldCharType="end"/>
      </w:r>
    </w:p>
    <w:p>
      <w:pPr>
        <w:pStyle w:val="TOC8"/>
        <w:rPr>
          <w:rFonts w:asciiTheme="minorHAnsi" w:eastAsiaTheme="minorEastAsia" w:hAnsiTheme="minorHAnsi" w:cstheme="minorBidi"/>
          <w:szCs w:val="22"/>
        </w:rPr>
      </w:pPr>
      <w:r>
        <w:t>675ZZB.</w:t>
      </w:r>
      <w:r>
        <w:tab/>
        <w:t>Applications for statutory certificates</w:t>
      </w:r>
      <w:r>
        <w:tab/>
      </w:r>
      <w:r>
        <w:fldChar w:fldCharType="begin"/>
      </w:r>
      <w:r>
        <w:instrText xml:space="preserve"> PAGEREF _Toc200720602 \h </w:instrText>
      </w:r>
      <w:r>
        <w:fldChar w:fldCharType="separate"/>
      </w:r>
      <w:r>
        <w:t>523</w:t>
      </w:r>
      <w:r>
        <w:fldChar w:fldCharType="end"/>
      </w:r>
    </w:p>
    <w:p>
      <w:pPr>
        <w:pStyle w:val="TOC8"/>
        <w:rPr>
          <w:rFonts w:asciiTheme="minorHAnsi" w:eastAsiaTheme="minorEastAsia" w:hAnsiTheme="minorHAnsi" w:cstheme="minorBidi"/>
          <w:szCs w:val="22"/>
        </w:rPr>
      </w:pPr>
      <w:r>
        <w:t>675ZZC.</w:t>
      </w:r>
      <w:r>
        <w:tab/>
        <w:t>Grant of statutory certificate</w:t>
      </w:r>
      <w:r>
        <w:tab/>
      </w:r>
      <w:r>
        <w:fldChar w:fldCharType="begin"/>
      </w:r>
      <w:r>
        <w:instrText xml:space="preserve"> PAGEREF _Toc200720603 \h </w:instrText>
      </w:r>
      <w:r>
        <w:fldChar w:fldCharType="separate"/>
      </w:r>
      <w:r>
        <w:t>524</w:t>
      </w:r>
      <w:r>
        <w:fldChar w:fldCharType="end"/>
      </w:r>
    </w:p>
    <w:p>
      <w:pPr>
        <w:pStyle w:val="TOC8"/>
        <w:rPr>
          <w:rFonts w:asciiTheme="minorHAnsi" w:eastAsiaTheme="minorEastAsia" w:hAnsiTheme="minorHAnsi" w:cstheme="minorBidi"/>
          <w:szCs w:val="22"/>
        </w:rPr>
      </w:pPr>
      <w:r>
        <w:t>675ZZD.</w:t>
      </w:r>
      <w:r>
        <w:tab/>
        <w:t>Replacement statutory certificate</w:t>
      </w:r>
      <w:r>
        <w:tab/>
      </w:r>
      <w:r>
        <w:fldChar w:fldCharType="begin"/>
      </w:r>
      <w:r>
        <w:instrText xml:space="preserve"> PAGEREF _Toc200720604 \h </w:instrText>
      </w:r>
      <w:r>
        <w:fldChar w:fldCharType="separate"/>
      </w:r>
      <w:r>
        <w:t>525</w:t>
      </w:r>
      <w:r>
        <w:fldChar w:fldCharType="end"/>
      </w:r>
    </w:p>
    <w:p>
      <w:pPr>
        <w:pStyle w:val="TOC8"/>
        <w:rPr>
          <w:rFonts w:asciiTheme="minorHAnsi" w:eastAsiaTheme="minorEastAsia" w:hAnsiTheme="minorHAnsi" w:cstheme="minorBidi"/>
          <w:szCs w:val="22"/>
        </w:rPr>
      </w:pPr>
      <w:r>
        <w:t>675ZZE.</w:t>
      </w:r>
      <w:r>
        <w:tab/>
        <w:t>Suspending or cancelling statutory certificates</w:t>
      </w:r>
      <w:r>
        <w:tab/>
      </w:r>
      <w:r>
        <w:fldChar w:fldCharType="begin"/>
      </w:r>
      <w:r>
        <w:instrText xml:space="preserve"> PAGEREF _Toc200720605 \h </w:instrText>
      </w:r>
      <w:r>
        <w:fldChar w:fldCharType="separate"/>
      </w:r>
      <w:r>
        <w:t>525</w:t>
      </w:r>
      <w:r>
        <w:fldChar w:fldCharType="end"/>
      </w:r>
    </w:p>
    <w:p>
      <w:pPr>
        <w:pStyle w:val="TOC8"/>
        <w:rPr>
          <w:rFonts w:asciiTheme="minorHAnsi" w:eastAsiaTheme="minorEastAsia" w:hAnsiTheme="minorHAnsi" w:cstheme="minorBidi"/>
          <w:szCs w:val="22"/>
        </w:rPr>
      </w:pPr>
      <w:r>
        <w:t>675ZZF.</w:t>
      </w:r>
      <w:r>
        <w:tab/>
        <w:t>Register of statutory certificates</w:t>
      </w:r>
      <w:r>
        <w:tab/>
      </w:r>
      <w:r>
        <w:fldChar w:fldCharType="begin"/>
      </w:r>
      <w:r>
        <w:instrText xml:space="preserve"> PAGEREF _Toc200720606 \h </w:instrText>
      </w:r>
      <w:r>
        <w:fldChar w:fldCharType="separate"/>
      </w:r>
      <w:r>
        <w:t>527</w:t>
      </w:r>
      <w:r>
        <w:fldChar w:fldCharType="end"/>
      </w:r>
    </w:p>
    <w:p>
      <w:pPr>
        <w:pStyle w:val="TOC4"/>
        <w:tabs>
          <w:tab w:val="right" w:leader="dot" w:pos="7077"/>
        </w:tabs>
        <w:rPr>
          <w:rFonts w:asciiTheme="minorHAnsi" w:eastAsiaTheme="minorEastAsia" w:hAnsiTheme="minorHAnsi" w:cstheme="minorBidi"/>
          <w:b w:val="0"/>
          <w:szCs w:val="22"/>
        </w:rPr>
      </w:pPr>
      <w:r>
        <w:t>Part 10.7C — Assessments and courses for statutory positions and certificates</w:t>
      </w:r>
    </w:p>
    <w:p>
      <w:pPr>
        <w:pStyle w:val="TOC8"/>
        <w:rPr>
          <w:rFonts w:asciiTheme="minorHAnsi" w:eastAsiaTheme="minorEastAsia" w:hAnsiTheme="minorHAnsi" w:cstheme="minorBidi"/>
          <w:szCs w:val="22"/>
        </w:rPr>
      </w:pPr>
      <w:r>
        <w:t>675ZZG.</w:t>
      </w:r>
      <w:r>
        <w:tab/>
        <w:t>Regulator to make determination about mining safety legislation for examinations</w:t>
      </w:r>
      <w:r>
        <w:tab/>
      </w:r>
      <w:r>
        <w:fldChar w:fldCharType="begin"/>
      </w:r>
      <w:r>
        <w:instrText xml:space="preserve"> PAGEREF _Toc200720608 \h </w:instrText>
      </w:r>
      <w:r>
        <w:fldChar w:fldCharType="separate"/>
      </w:r>
      <w:r>
        <w:t>527</w:t>
      </w:r>
      <w:r>
        <w:fldChar w:fldCharType="end"/>
      </w:r>
    </w:p>
    <w:p>
      <w:pPr>
        <w:pStyle w:val="TOC8"/>
        <w:rPr>
          <w:rFonts w:asciiTheme="minorHAnsi" w:eastAsiaTheme="minorEastAsia" w:hAnsiTheme="minorHAnsi" w:cstheme="minorBidi"/>
          <w:szCs w:val="22"/>
        </w:rPr>
      </w:pPr>
      <w:r>
        <w:t>675ZZH.</w:t>
      </w:r>
      <w:r>
        <w:tab/>
        <w:t>Applicable legislation examinations</w:t>
      </w:r>
      <w:r>
        <w:tab/>
      </w:r>
      <w:r>
        <w:fldChar w:fldCharType="begin"/>
      </w:r>
      <w:r>
        <w:instrText xml:space="preserve"> PAGEREF _Toc200720609 \h </w:instrText>
      </w:r>
      <w:r>
        <w:fldChar w:fldCharType="separate"/>
      </w:r>
      <w:r>
        <w:t>528</w:t>
      </w:r>
      <w:r>
        <w:fldChar w:fldCharType="end"/>
      </w:r>
    </w:p>
    <w:p>
      <w:pPr>
        <w:pStyle w:val="TOC8"/>
        <w:rPr>
          <w:rFonts w:asciiTheme="minorHAnsi" w:eastAsiaTheme="minorEastAsia" w:hAnsiTheme="minorHAnsi" w:cstheme="minorBidi"/>
          <w:szCs w:val="22"/>
        </w:rPr>
      </w:pPr>
      <w:r>
        <w:t>675ZZI.</w:t>
      </w:r>
      <w:r>
        <w:tab/>
        <w:t>Register of persons who pass applicable legislation examinations</w:t>
      </w:r>
      <w:r>
        <w:tab/>
      </w:r>
      <w:r>
        <w:fldChar w:fldCharType="begin"/>
      </w:r>
      <w:r>
        <w:instrText xml:space="preserve"> PAGEREF _Toc200720610 \h </w:instrText>
      </w:r>
      <w:r>
        <w:fldChar w:fldCharType="separate"/>
      </w:r>
      <w:r>
        <w:t>529</w:t>
      </w:r>
      <w:r>
        <w:fldChar w:fldCharType="end"/>
      </w:r>
    </w:p>
    <w:p>
      <w:pPr>
        <w:pStyle w:val="TOC8"/>
        <w:rPr>
          <w:rFonts w:asciiTheme="minorHAnsi" w:eastAsiaTheme="minorEastAsia" w:hAnsiTheme="minorHAnsi" w:cstheme="minorBidi"/>
          <w:szCs w:val="22"/>
        </w:rPr>
      </w:pPr>
      <w:r>
        <w:t>675ZZJ.</w:t>
      </w:r>
      <w:r>
        <w:tab/>
        <w:t>Approving WHS risk management units for statutory positions and certificates</w:t>
      </w:r>
      <w:r>
        <w:tab/>
      </w:r>
      <w:r>
        <w:fldChar w:fldCharType="begin"/>
      </w:r>
      <w:r>
        <w:instrText xml:space="preserve"> PAGEREF _Toc200720611 \h </w:instrText>
      </w:r>
      <w:r>
        <w:fldChar w:fldCharType="separate"/>
      </w:r>
      <w:r>
        <w:t>529</w:t>
      </w:r>
      <w:r>
        <w:fldChar w:fldCharType="end"/>
      </w:r>
    </w:p>
    <w:p>
      <w:pPr>
        <w:pStyle w:val="TOC8"/>
        <w:rPr>
          <w:rFonts w:asciiTheme="minorHAnsi" w:eastAsiaTheme="minorEastAsia" w:hAnsiTheme="minorHAnsi" w:cstheme="minorBidi"/>
          <w:szCs w:val="22"/>
        </w:rPr>
      </w:pPr>
      <w:r>
        <w:t>675ZZK.</w:t>
      </w:r>
      <w:r>
        <w:tab/>
        <w:t>Regulator may approve courses for particular statutory positions</w:t>
      </w:r>
      <w:r>
        <w:tab/>
      </w:r>
      <w:r>
        <w:fldChar w:fldCharType="begin"/>
      </w:r>
      <w:r>
        <w:instrText xml:space="preserve"> PAGEREF _Toc200720612 \h </w:instrText>
      </w:r>
      <w:r>
        <w:fldChar w:fldCharType="separate"/>
      </w:r>
      <w:r>
        <w:t>530</w:t>
      </w:r>
      <w:r>
        <w:fldChar w:fldCharType="end"/>
      </w:r>
    </w:p>
    <w:p>
      <w:pPr>
        <w:pStyle w:val="TOC8"/>
        <w:rPr>
          <w:rFonts w:asciiTheme="minorHAnsi" w:eastAsiaTheme="minorEastAsia" w:hAnsiTheme="minorHAnsi" w:cstheme="minorBidi"/>
          <w:szCs w:val="22"/>
        </w:rPr>
      </w:pPr>
      <w:r>
        <w:t>675ZZL.</w:t>
      </w:r>
      <w:r>
        <w:tab/>
        <w:t>Referral of application for statutory certificate to relevant competence committee</w:t>
      </w:r>
      <w:r>
        <w:tab/>
      </w:r>
      <w:r>
        <w:fldChar w:fldCharType="begin"/>
      </w:r>
      <w:r>
        <w:instrText xml:space="preserve"> PAGEREF _Toc200720613 \h </w:instrText>
      </w:r>
      <w:r>
        <w:fldChar w:fldCharType="separate"/>
      </w:r>
      <w:r>
        <w:t>530</w:t>
      </w:r>
      <w:r>
        <w:fldChar w:fldCharType="end"/>
      </w:r>
    </w:p>
    <w:p>
      <w:pPr>
        <w:pStyle w:val="TOC8"/>
        <w:rPr>
          <w:rFonts w:asciiTheme="minorHAnsi" w:eastAsiaTheme="minorEastAsia" w:hAnsiTheme="minorHAnsi" w:cstheme="minorBidi"/>
          <w:szCs w:val="22"/>
        </w:rPr>
      </w:pPr>
      <w:r>
        <w:t>675ZZM.</w:t>
      </w:r>
      <w:r>
        <w:tab/>
        <w:t>Relevant competence committee to make determination about mining practice examinations</w:t>
      </w:r>
      <w:r>
        <w:tab/>
      </w:r>
      <w:r>
        <w:fldChar w:fldCharType="begin"/>
      </w:r>
      <w:r>
        <w:instrText xml:space="preserve"> PAGEREF _Toc200720614 \h </w:instrText>
      </w:r>
      <w:r>
        <w:fldChar w:fldCharType="separate"/>
      </w:r>
      <w:r>
        <w:t>531</w:t>
      </w:r>
      <w:r>
        <w:fldChar w:fldCharType="end"/>
      </w:r>
    </w:p>
    <w:p>
      <w:pPr>
        <w:pStyle w:val="TOC8"/>
        <w:rPr>
          <w:rFonts w:asciiTheme="minorHAnsi" w:eastAsiaTheme="minorEastAsia" w:hAnsiTheme="minorHAnsi" w:cstheme="minorBidi"/>
          <w:szCs w:val="22"/>
        </w:rPr>
      </w:pPr>
      <w:r>
        <w:t>675ZZN.</w:t>
      </w:r>
      <w:r>
        <w:tab/>
        <w:t>Mining practice examinations</w:t>
      </w:r>
      <w:r>
        <w:tab/>
      </w:r>
      <w:r>
        <w:fldChar w:fldCharType="begin"/>
      </w:r>
      <w:r>
        <w:instrText xml:space="preserve"> PAGEREF _Toc200720615 \h </w:instrText>
      </w:r>
      <w:r>
        <w:fldChar w:fldCharType="separate"/>
      </w:r>
      <w:r>
        <w:t>532</w:t>
      </w:r>
      <w:r>
        <w:fldChar w:fldCharType="end"/>
      </w:r>
    </w:p>
    <w:p>
      <w:pPr>
        <w:pStyle w:val="TOC2"/>
        <w:tabs>
          <w:tab w:val="right" w:leader="dot" w:pos="7077"/>
        </w:tabs>
        <w:rPr>
          <w:rFonts w:asciiTheme="minorHAnsi" w:eastAsiaTheme="minorEastAsia" w:hAnsiTheme="minorHAnsi" w:cstheme="minorBidi"/>
          <w:b w:val="0"/>
          <w:sz w:val="22"/>
          <w:szCs w:val="22"/>
        </w:rPr>
      </w:pPr>
      <w:r>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_Toc200720619 \h </w:instrText>
      </w:r>
      <w:r>
        <w:fldChar w:fldCharType="separate"/>
      </w:r>
      <w:r>
        <w:t>533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_Toc200720621 \h </w:instrText>
      </w:r>
      <w:r>
        <w:fldChar w:fldCharType="separate"/>
      </w:r>
      <w:r>
        <w:t>542</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_Toc200720622 \h </w:instrText>
      </w:r>
      <w:r>
        <w:fldChar w:fldCharType="separate"/>
      </w:r>
      <w:r>
        <w:t>542</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_Toc200720623 \h </w:instrText>
      </w:r>
      <w:r>
        <w:fldChar w:fldCharType="separate"/>
      </w:r>
      <w:r>
        <w:t>543</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_Toc200720624 \h </w:instrText>
      </w:r>
      <w:r>
        <w:fldChar w:fldCharType="separate"/>
      </w:r>
      <w:r>
        <w:t>543</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_Toc200720625 \h </w:instrText>
      </w:r>
      <w:r>
        <w:fldChar w:fldCharType="separate"/>
      </w:r>
      <w:r>
        <w:t>544</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_Toc200720626 \h </w:instrText>
      </w:r>
      <w:r>
        <w:fldChar w:fldCharType="separate"/>
      </w:r>
      <w:r>
        <w:t>544</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_Toc200720628 \h </w:instrText>
      </w:r>
      <w:r>
        <w:fldChar w:fldCharType="separate"/>
      </w:r>
      <w:r>
        <w:t>544</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_Toc200720631 \h </w:instrText>
      </w:r>
      <w:r>
        <w:fldChar w:fldCharType="separate"/>
      </w:r>
      <w:r>
        <w:t>545</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_Toc200720632 \h </w:instrText>
      </w:r>
      <w:r>
        <w:fldChar w:fldCharType="separate"/>
      </w:r>
      <w:r>
        <w:t>545</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_Toc200720634 \h </w:instrText>
      </w:r>
      <w:r>
        <w:fldChar w:fldCharType="separate"/>
      </w:r>
      <w:r>
        <w:t>546</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_Toc200720635 \h </w:instrText>
      </w:r>
      <w:r>
        <w:fldChar w:fldCharType="separate"/>
      </w:r>
      <w:r>
        <w:t>546</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_Toc200720637 \h </w:instrText>
      </w:r>
      <w:r>
        <w:fldChar w:fldCharType="separate"/>
      </w:r>
      <w:r>
        <w:t>547</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_Toc200720638 \h </w:instrText>
      </w:r>
      <w:r>
        <w:fldChar w:fldCharType="separate"/>
      </w:r>
      <w:r>
        <w:t>547</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_Toc200720640 \h </w:instrText>
      </w:r>
      <w:r>
        <w:fldChar w:fldCharType="separate"/>
      </w:r>
      <w:r>
        <w:t>547</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_Toc200720641 \h </w:instrText>
      </w:r>
      <w:r>
        <w:fldChar w:fldCharType="separate"/>
      </w:r>
      <w:r>
        <w:t>547</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_Toc200720642 \h </w:instrText>
      </w:r>
      <w:r>
        <w:fldChar w:fldCharType="separate"/>
      </w:r>
      <w:r>
        <w:t>548</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_Toc200720643 \h </w:instrText>
      </w:r>
      <w:r>
        <w:fldChar w:fldCharType="separate"/>
      </w:r>
      <w:r>
        <w:t>548</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_Toc200720644 \h </w:instrText>
      </w:r>
      <w:r>
        <w:fldChar w:fldCharType="separate"/>
      </w:r>
      <w:r>
        <w:t>548</w:t>
      </w:r>
      <w:r>
        <w:fldChar w:fldCharType="end"/>
      </w:r>
    </w:p>
    <w:p>
      <w:pPr>
        <w:pStyle w:val="TOC8"/>
        <w:rPr>
          <w:rFonts w:asciiTheme="minorHAnsi" w:eastAsiaTheme="minorEastAsia" w:hAnsiTheme="minorHAnsi" w:cstheme="minorBidi"/>
          <w:szCs w:val="22"/>
        </w:rPr>
      </w:pPr>
      <w:r>
        <w:t>695.</w:t>
      </w:r>
      <w:r>
        <w:tab/>
        <w:t>Publication of notice of exemption</w:t>
      </w:r>
      <w:r>
        <w:tab/>
      </w:r>
      <w:r>
        <w:fldChar w:fldCharType="begin"/>
      </w:r>
      <w:r>
        <w:instrText xml:space="preserve"> PAGEREF _Toc200720645 \h </w:instrText>
      </w:r>
      <w:r>
        <w:fldChar w:fldCharType="separate"/>
      </w:r>
      <w:r>
        <w:t>549</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_Toc200720646 \h </w:instrText>
      </w:r>
      <w:r>
        <w:fldChar w:fldCharType="separate"/>
      </w:r>
      <w:r>
        <w:t>549</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_Toc200720647 \h </w:instrText>
      </w:r>
      <w:r>
        <w:fldChar w:fldCharType="separate"/>
      </w:r>
      <w:r>
        <w:t>549</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_Toc200720648 \h </w:instrText>
      </w:r>
      <w:r>
        <w:fldChar w:fldCharType="separate"/>
      </w:r>
      <w:r>
        <w:t>549</w:t>
      </w:r>
      <w:r>
        <w:fldChar w:fldCharType="end"/>
      </w:r>
    </w:p>
    <w:p>
      <w:pPr>
        <w:pStyle w:val="TOC4"/>
        <w:tabs>
          <w:tab w:val="right" w:leader="dot" w:pos="7077"/>
        </w:tabs>
        <w:rPr>
          <w:rFonts w:asciiTheme="minorHAnsi" w:eastAsiaTheme="minorEastAsia" w:hAnsiTheme="minorHAnsi" w:cstheme="minorBidi"/>
          <w:b w:val="0"/>
          <w:szCs w:val="22"/>
        </w:rPr>
      </w:pPr>
      <w:r>
        <w:t>Part 11.2A — Competence Advisory Committees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698A.</w:t>
      </w:r>
      <w:r>
        <w:tab/>
        <w:t>Terms used</w:t>
      </w:r>
      <w:r>
        <w:tab/>
      </w:r>
      <w:r>
        <w:fldChar w:fldCharType="begin"/>
      </w:r>
      <w:r>
        <w:instrText xml:space="preserve"> PAGEREF _Toc200720651 \h </w:instrText>
      </w:r>
      <w:r>
        <w:fldChar w:fldCharType="separate"/>
      </w:r>
      <w:r>
        <w:t>550</w:t>
      </w:r>
      <w:r>
        <w:fldChar w:fldCharType="end"/>
      </w:r>
    </w:p>
    <w:p>
      <w:pPr>
        <w:pStyle w:val="TOC6"/>
        <w:tabs>
          <w:tab w:val="right" w:leader="dot" w:pos="7077"/>
        </w:tabs>
        <w:rPr>
          <w:rFonts w:asciiTheme="minorHAnsi" w:eastAsiaTheme="minorEastAsia" w:hAnsiTheme="minorHAnsi" w:cstheme="minorBidi"/>
          <w:b w:val="0"/>
          <w:sz w:val="22"/>
          <w:szCs w:val="22"/>
        </w:rPr>
      </w:pPr>
      <w:r>
        <w:t>Division 2 — Establishment and functions</w:t>
      </w:r>
    </w:p>
    <w:p>
      <w:pPr>
        <w:pStyle w:val="TOC8"/>
        <w:rPr>
          <w:rFonts w:asciiTheme="minorHAnsi" w:eastAsiaTheme="minorEastAsia" w:hAnsiTheme="minorHAnsi" w:cstheme="minorBidi"/>
          <w:szCs w:val="22"/>
        </w:rPr>
      </w:pPr>
      <w:r>
        <w:t>698B.</w:t>
      </w:r>
      <w:r>
        <w:tab/>
        <w:t>Establishment</w:t>
      </w:r>
      <w:r>
        <w:tab/>
      </w:r>
      <w:r>
        <w:fldChar w:fldCharType="begin"/>
      </w:r>
      <w:r>
        <w:instrText xml:space="preserve"> PAGEREF _Toc200720653 \h </w:instrText>
      </w:r>
      <w:r>
        <w:fldChar w:fldCharType="separate"/>
      </w:r>
      <w:r>
        <w:t>551</w:t>
      </w:r>
      <w:r>
        <w:fldChar w:fldCharType="end"/>
      </w:r>
    </w:p>
    <w:p>
      <w:pPr>
        <w:pStyle w:val="TOC8"/>
        <w:rPr>
          <w:rFonts w:asciiTheme="minorHAnsi" w:eastAsiaTheme="minorEastAsia" w:hAnsiTheme="minorHAnsi" w:cstheme="minorBidi"/>
          <w:szCs w:val="22"/>
        </w:rPr>
      </w:pPr>
      <w:r>
        <w:t>698C.</w:t>
      </w:r>
      <w:r>
        <w:tab/>
        <w:t>Functions</w:t>
      </w:r>
      <w:r>
        <w:tab/>
      </w:r>
      <w:r>
        <w:fldChar w:fldCharType="begin"/>
      </w:r>
      <w:r>
        <w:instrText xml:space="preserve"> PAGEREF _Toc200720654 \h </w:instrText>
      </w:r>
      <w:r>
        <w:fldChar w:fldCharType="separate"/>
      </w:r>
      <w:r>
        <w:t>551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Membership</w:t>
      </w:r>
    </w:p>
    <w:p>
      <w:pPr>
        <w:pStyle w:val="TOC8"/>
        <w:rPr>
          <w:rFonts w:asciiTheme="minorHAnsi" w:eastAsiaTheme="minorEastAsia" w:hAnsiTheme="minorHAnsi" w:cstheme="minorBidi"/>
          <w:szCs w:val="22"/>
        </w:rPr>
      </w:pPr>
      <w:r>
        <w:t>698D.</w:t>
      </w:r>
      <w:r>
        <w:tab/>
        <w:t>Membership of Mining Competence Advisory Committee</w:t>
      </w:r>
      <w:r>
        <w:tab/>
      </w:r>
      <w:r>
        <w:fldChar w:fldCharType="begin"/>
      </w:r>
      <w:r>
        <w:instrText xml:space="preserve"> PAGEREF _Toc200720656 \h </w:instrText>
      </w:r>
      <w:r>
        <w:fldChar w:fldCharType="separate"/>
      </w:r>
      <w:r>
        <w:t>551</w:t>
      </w:r>
      <w:r>
        <w:fldChar w:fldCharType="end"/>
      </w:r>
    </w:p>
    <w:p>
      <w:pPr>
        <w:pStyle w:val="TOC8"/>
        <w:rPr>
          <w:rFonts w:asciiTheme="minorHAnsi" w:eastAsiaTheme="minorEastAsia" w:hAnsiTheme="minorHAnsi" w:cstheme="minorBidi"/>
          <w:szCs w:val="22"/>
        </w:rPr>
      </w:pPr>
      <w:r>
        <w:t>698E.</w:t>
      </w:r>
      <w:r>
        <w:tab/>
        <w:t>Membership of Surveyors Competence Advisory Committee</w:t>
      </w:r>
      <w:r>
        <w:tab/>
      </w:r>
      <w:r>
        <w:fldChar w:fldCharType="begin"/>
      </w:r>
      <w:r>
        <w:instrText xml:space="preserve"> PAGEREF _Toc200720657 \h </w:instrText>
      </w:r>
      <w:r>
        <w:fldChar w:fldCharType="separate"/>
      </w:r>
      <w:r>
        <w:t>552</w:t>
      </w:r>
      <w:r>
        <w:fldChar w:fldCharType="end"/>
      </w:r>
    </w:p>
    <w:p>
      <w:pPr>
        <w:pStyle w:val="TOC8"/>
        <w:rPr>
          <w:rFonts w:asciiTheme="minorHAnsi" w:eastAsiaTheme="minorEastAsia" w:hAnsiTheme="minorHAnsi" w:cstheme="minorBidi"/>
          <w:szCs w:val="22"/>
        </w:rPr>
      </w:pPr>
      <w:r>
        <w:t>698F.</w:t>
      </w:r>
      <w:r>
        <w:tab/>
        <w:t>Term of appointment</w:t>
      </w:r>
      <w:r>
        <w:tab/>
      </w:r>
      <w:r>
        <w:fldChar w:fldCharType="begin"/>
      </w:r>
      <w:r>
        <w:instrText xml:space="preserve"> PAGEREF _Toc200720658 \h </w:instrText>
      </w:r>
      <w:r>
        <w:fldChar w:fldCharType="separate"/>
      </w:r>
      <w:r>
        <w:t>553</w:t>
      </w:r>
      <w:r>
        <w:fldChar w:fldCharType="end"/>
      </w:r>
    </w:p>
    <w:p>
      <w:pPr>
        <w:pStyle w:val="TOC8"/>
        <w:rPr>
          <w:rFonts w:asciiTheme="minorHAnsi" w:eastAsiaTheme="minorEastAsia" w:hAnsiTheme="minorHAnsi" w:cstheme="minorBidi"/>
          <w:szCs w:val="22"/>
        </w:rPr>
      </w:pPr>
      <w:r>
        <w:t>698G.</w:t>
      </w:r>
      <w:r>
        <w:tab/>
        <w:t>Nominations</w:t>
      </w:r>
      <w:r>
        <w:tab/>
      </w:r>
      <w:r>
        <w:fldChar w:fldCharType="begin"/>
      </w:r>
      <w:r>
        <w:instrText xml:space="preserve"> PAGEREF _Toc200720659 \h </w:instrText>
      </w:r>
      <w:r>
        <w:fldChar w:fldCharType="separate"/>
      </w:r>
      <w:r>
        <w:t>553</w:t>
      </w:r>
      <w:r>
        <w:fldChar w:fldCharType="end"/>
      </w:r>
    </w:p>
    <w:p>
      <w:pPr>
        <w:pStyle w:val="TOC8"/>
        <w:rPr>
          <w:rFonts w:asciiTheme="minorHAnsi" w:eastAsiaTheme="minorEastAsia" w:hAnsiTheme="minorHAnsi" w:cstheme="minorBidi"/>
          <w:szCs w:val="22"/>
        </w:rPr>
      </w:pPr>
      <w:r>
        <w:t>698H.</w:t>
      </w:r>
      <w:r>
        <w:tab/>
        <w:t>Vacation of office</w:t>
      </w:r>
      <w:r>
        <w:tab/>
      </w:r>
      <w:r>
        <w:fldChar w:fldCharType="begin"/>
      </w:r>
      <w:r>
        <w:instrText xml:space="preserve"> PAGEREF _Toc200720660 \h </w:instrText>
      </w:r>
      <w:r>
        <w:fldChar w:fldCharType="separate"/>
      </w:r>
      <w:r>
        <w:t>554</w:t>
      </w:r>
      <w:r>
        <w:fldChar w:fldCharType="end"/>
      </w:r>
    </w:p>
    <w:p>
      <w:pPr>
        <w:pStyle w:val="TOC8"/>
        <w:rPr>
          <w:rFonts w:asciiTheme="minorHAnsi" w:eastAsiaTheme="minorEastAsia" w:hAnsiTheme="minorHAnsi" w:cstheme="minorBidi"/>
          <w:szCs w:val="22"/>
        </w:rPr>
      </w:pPr>
      <w:r>
        <w:t>698I.</w:t>
      </w:r>
      <w:r>
        <w:tab/>
        <w:t>Deputies</w:t>
      </w:r>
      <w:r>
        <w:tab/>
      </w:r>
      <w:r>
        <w:fldChar w:fldCharType="begin"/>
      </w:r>
      <w:r>
        <w:instrText xml:space="preserve"> PAGEREF _Toc200720661 \h </w:instrText>
      </w:r>
      <w:r>
        <w:fldChar w:fldCharType="separate"/>
      </w:r>
      <w:r>
        <w:t>554</w:t>
      </w:r>
      <w:r>
        <w:fldChar w:fldCharType="end"/>
      </w:r>
    </w:p>
    <w:p>
      <w:pPr>
        <w:pStyle w:val="TOC6"/>
        <w:tabs>
          <w:tab w:val="right" w:leader="dot" w:pos="7077"/>
        </w:tabs>
        <w:rPr>
          <w:rFonts w:asciiTheme="minorHAnsi" w:eastAsiaTheme="minorEastAsia" w:hAnsiTheme="minorHAnsi" w:cstheme="minorBidi"/>
          <w:b w:val="0"/>
          <w:sz w:val="22"/>
          <w:szCs w:val="22"/>
        </w:rPr>
      </w:pPr>
      <w:r>
        <w:t>Division 4 — Practice and procedure</w:t>
      </w:r>
    </w:p>
    <w:p>
      <w:pPr>
        <w:pStyle w:val="TOC8"/>
        <w:rPr>
          <w:rFonts w:asciiTheme="minorHAnsi" w:eastAsiaTheme="minorEastAsia" w:hAnsiTheme="minorHAnsi" w:cstheme="minorBidi"/>
          <w:szCs w:val="22"/>
        </w:rPr>
      </w:pPr>
      <w:r>
        <w:t>698J.</w:t>
      </w:r>
      <w:r>
        <w:tab/>
        <w:t>Quorum</w:t>
      </w:r>
      <w:r>
        <w:tab/>
      </w:r>
      <w:r>
        <w:fldChar w:fldCharType="begin"/>
      </w:r>
      <w:r>
        <w:instrText xml:space="preserve"> PAGEREF _Toc200720663 \h </w:instrText>
      </w:r>
      <w:r>
        <w:fldChar w:fldCharType="separate"/>
      </w:r>
      <w:r>
        <w:t>554</w:t>
      </w:r>
      <w:r>
        <w:fldChar w:fldCharType="end"/>
      </w:r>
    </w:p>
    <w:p>
      <w:pPr>
        <w:pStyle w:val="TOC8"/>
        <w:rPr>
          <w:rFonts w:asciiTheme="minorHAnsi" w:eastAsiaTheme="minorEastAsia" w:hAnsiTheme="minorHAnsi" w:cstheme="minorBidi"/>
          <w:szCs w:val="22"/>
        </w:rPr>
      </w:pPr>
      <w:r>
        <w:t>698K.</w:t>
      </w:r>
      <w:r>
        <w:tab/>
        <w:t>Meetings</w:t>
      </w:r>
      <w:r>
        <w:tab/>
      </w:r>
      <w:r>
        <w:fldChar w:fldCharType="begin"/>
      </w:r>
      <w:r>
        <w:instrText xml:space="preserve"> PAGEREF _Toc200720664 \h </w:instrText>
      </w:r>
      <w:r>
        <w:fldChar w:fldCharType="separate"/>
      </w:r>
      <w:r>
        <w:t>555</w:t>
      </w:r>
      <w:r>
        <w:fldChar w:fldCharType="end"/>
      </w:r>
    </w:p>
    <w:p>
      <w:pPr>
        <w:pStyle w:val="TOC8"/>
        <w:rPr>
          <w:rFonts w:asciiTheme="minorHAnsi" w:eastAsiaTheme="minorEastAsia" w:hAnsiTheme="minorHAnsi" w:cstheme="minorBidi"/>
          <w:szCs w:val="22"/>
        </w:rPr>
      </w:pPr>
      <w:r>
        <w:t>698L.</w:t>
      </w:r>
      <w:r>
        <w:tab/>
        <w:t>Voting</w:t>
      </w:r>
      <w:r>
        <w:tab/>
      </w:r>
      <w:r>
        <w:fldChar w:fldCharType="begin"/>
      </w:r>
      <w:r>
        <w:instrText xml:space="preserve"> PAGEREF _Toc200720665 \h </w:instrText>
      </w:r>
      <w:r>
        <w:fldChar w:fldCharType="separate"/>
      </w:r>
      <w:r>
        <w:t>555</w:t>
      </w:r>
      <w:r>
        <w:fldChar w:fldCharType="end"/>
      </w:r>
    </w:p>
    <w:p>
      <w:pPr>
        <w:pStyle w:val="TOC8"/>
        <w:rPr>
          <w:rFonts w:asciiTheme="minorHAnsi" w:eastAsiaTheme="minorEastAsia" w:hAnsiTheme="minorHAnsi" w:cstheme="minorBidi"/>
          <w:szCs w:val="22"/>
        </w:rPr>
      </w:pPr>
      <w:r>
        <w:t>698M.</w:t>
      </w:r>
      <w:r>
        <w:tab/>
        <w:t>Procedures</w:t>
      </w:r>
      <w:r>
        <w:tab/>
      </w:r>
      <w:r>
        <w:fldChar w:fldCharType="begin"/>
      </w:r>
      <w:r>
        <w:instrText xml:space="preserve"> PAGEREF _Toc200720666 \h </w:instrText>
      </w:r>
      <w:r>
        <w:fldChar w:fldCharType="separate"/>
      </w:r>
      <w:r>
        <w:t>555</w:t>
      </w:r>
      <w:r>
        <w:fldChar w:fldCharType="end"/>
      </w:r>
    </w:p>
    <w:p>
      <w:pPr>
        <w:pStyle w:val="TOC4"/>
        <w:tabs>
          <w:tab w:val="right" w:leader="dot" w:pos="7077"/>
        </w:tabs>
        <w:rPr>
          <w:rFonts w:asciiTheme="minorHAnsi" w:eastAsiaTheme="minorEastAsia" w:hAnsiTheme="minorHAnsi" w:cstheme="minorBidi"/>
          <w:b w:val="0"/>
          <w:szCs w:val="22"/>
        </w:rPr>
      </w:pPr>
      <w:r>
        <w:t>Part 11.2B — Mining and Petroleum Advisory Committee</w:t>
      </w:r>
    </w:p>
    <w:p>
      <w:pPr>
        <w:pStyle w:val="TOC8"/>
        <w:rPr>
          <w:rFonts w:asciiTheme="minorHAnsi" w:eastAsiaTheme="minorEastAsia" w:hAnsiTheme="minorHAnsi" w:cstheme="minorBidi"/>
          <w:szCs w:val="22"/>
        </w:rPr>
      </w:pPr>
      <w:r>
        <w:t>698N.</w:t>
      </w:r>
      <w:r>
        <w:tab/>
        <w:t>Prescribed bodies (Act, Sch. 1 cl. 23)</w:t>
      </w:r>
      <w:r>
        <w:tab/>
      </w:r>
      <w:r>
        <w:fldChar w:fldCharType="begin"/>
      </w:r>
      <w:r>
        <w:instrText xml:space="preserve"> PAGEREF _Toc200720668 \h </w:instrText>
      </w:r>
      <w:r>
        <w:fldChar w:fldCharType="separate"/>
      </w:r>
      <w:r>
        <w:t>555</w:t>
      </w:r>
      <w:r>
        <w:fldChar w:fldCharType="end"/>
      </w:r>
    </w:p>
    <w:p>
      <w:pPr>
        <w:pStyle w:val="TOC8"/>
        <w:rPr>
          <w:rFonts w:asciiTheme="minorHAnsi" w:eastAsiaTheme="minorEastAsia" w:hAnsiTheme="minorHAnsi" w:cstheme="minorBidi"/>
          <w:szCs w:val="22"/>
        </w:rPr>
      </w:pPr>
      <w:r>
        <w:t>698O.</w:t>
      </w:r>
      <w:r>
        <w:tab/>
        <w:t>Functions of Mining and Petroleum Advisory Committee relating to mining industry (Act, Sch. 1 cl. 24)</w:t>
      </w:r>
      <w:r>
        <w:tab/>
      </w:r>
      <w:r>
        <w:fldChar w:fldCharType="begin"/>
      </w:r>
      <w:r>
        <w:instrText xml:space="preserve"> PAGEREF _Toc200720669 \h </w:instrText>
      </w:r>
      <w:r>
        <w:fldChar w:fldCharType="separate"/>
      </w:r>
      <w:r>
        <w:t>556</w:t>
      </w:r>
      <w:r>
        <w:fldChar w:fldCharType="end"/>
      </w:r>
    </w:p>
    <w:p>
      <w:pPr>
        <w:pStyle w:val="TOC4"/>
        <w:tabs>
          <w:tab w:val="right" w:leader="dot" w:pos="7077"/>
        </w:tabs>
        <w:rPr>
          <w:rFonts w:asciiTheme="minorHAnsi" w:eastAsiaTheme="minorEastAsia" w:hAnsiTheme="minorHAnsi" w:cstheme="minorBidi"/>
          <w:b w:val="0"/>
          <w:szCs w:val="22"/>
        </w:rPr>
      </w:pPr>
      <w:r>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_Toc200720671 \h </w:instrText>
      </w:r>
      <w:r>
        <w:fldChar w:fldCharType="separate"/>
      </w:r>
      <w:r>
        <w:t>557</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_Toc200720672 \h </w:instrText>
      </w:r>
      <w:r>
        <w:fldChar w:fldCharType="separate"/>
      </w:r>
      <w:r>
        <w:t>558</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_Toc200720673 \h </w:instrText>
      </w:r>
      <w:r>
        <w:fldChar w:fldCharType="separate"/>
      </w:r>
      <w:r>
        <w:t>558</w:t>
      </w:r>
      <w:r>
        <w:fldChar w:fldCharType="end"/>
      </w:r>
    </w:p>
    <w:p>
      <w:pPr>
        <w:pStyle w:val="TOC8"/>
        <w:rPr>
          <w:rFonts w:asciiTheme="minorHAnsi" w:eastAsiaTheme="minorEastAsia" w:hAnsiTheme="minorHAnsi" w:cstheme="minorBidi"/>
          <w:szCs w:val="22"/>
        </w:rPr>
      </w:pPr>
      <w:r>
        <w:t>702.</w:t>
      </w:r>
      <w:r>
        <w:tab/>
        <w:t>Not used</w:t>
      </w:r>
      <w:r>
        <w:tab/>
      </w:r>
      <w:r>
        <w:fldChar w:fldCharType="begin"/>
      </w:r>
      <w:r>
        <w:instrText xml:space="preserve"> PAGEREF _Toc200720674 \h </w:instrText>
      </w:r>
      <w:r>
        <w:fldChar w:fldCharType="separate"/>
      </w:r>
      <w:r>
        <w:t>558</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_Toc200720675 \h </w:instrText>
      </w:r>
      <w:r>
        <w:fldChar w:fldCharType="separate"/>
      </w:r>
      <w:r>
        <w:t>559</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_Toc200720676 \h </w:instrText>
      </w:r>
      <w:r>
        <w:fldChar w:fldCharType="separate"/>
      </w:r>
      <w:r>
        <w:t>559</w:t>
      </w:r>
      <w:r>
        <w:fldChar w:fldCharType="end"/>
      </w:r>
    </w:p>
    <w:p>
      <w:pPr>
        <w:pStyle w:val="TOC4"/>
        <w:tabs>
          <w:tab w:val="right" w:leader="dot" w:pos="7077"/>
        </w:tabs>
        <w:rPr>
          <w:rFonts w:asciiTheme="minorHAnsi" w:eastAsiaTheme="minorEastAsia" w:hAnsiTheme="minorHAnsi" w:cstheme="minorBidi"/>
          <w:b w:val="0"/>
          <w:szCs w:val="22"/>
        </w:rPr>
      </w:pPr>
      <w:r>
        <w:t xml:space="preserve">Part 11.4 — Transitional and savings provisions for </w:t>
      </w:r>
      <w:r>
        <w:rPr>
          <w:i/>
        </w:rPr>
        <w:t>Work Health and Safety (Mines) Regulations 2022</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_Toc200720678 \h </w:instrText>
      </w:r>
      <w:r>
        <w:fldChar w:fldCharType="separate"/>
      </w:r>
      <w:r>
        <w:t>560</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_Toc200720679 \h </w:instrText>
      </w:r>
      <w:r>
        <w:fldChar w:fldCharType="separate"/>
      </w:r>
      <w:r>
        <w:t>560</w:t>
      </w:r>
      <w:r>
        <w:fldChar w:fldCharType="end"/>
      </w:r>
    </w:p>
    <w:p>
      <w:pPr>
        <w:pStyle w:val="TOC8"/>
        <w:rPr>
          <w:rFonts w:asciiTheme="minorHAnsi" w:eastAsiaTheme="minorEastAsia" w:hAnsiTheme="minorHAnsi" w:cstheme="minorBidi"/>
          <w:szCs w:val="22"/>
        </w:rPr>
      </w:pPr>
      <w:r>
        <w:t>707.</w:t>
      </w:r>
      <w:r>
        <w:tab/>
        <w:t>Continuation of Board of Examiners in relation to applications for certificates of competency</w:t>
      </w:r>
      <w:r>
        <w:tab/>
      </w:r>
      <w:r>
        <w:fldChar w:fldCharType="begin"/>
      </w:r>
      <w:r>
        <w:instrText xml:space="preserve"> PAGEREF _Toc200720680 \h </w:instrText>
      </w:r>
      <w:r>
        <w:fldChar w:fldCharType="separate"/>
      </w:r>
      <w:r>
        <w:t>561</w:t>
      </w:r>
      <w:r>
        <w:fldChar w:fldCharType="end"/>
      </w:r>
    </w:p>
    <w:p>
      <w:pPr>
        <w:pStyle w:val="TOC8"/>
        <w:rPr>
          <w:rFonts w:asciiTheme="minorHAnsi" w:eastAsiaTheme="minorEastAsia" w:hAnsiTheme="minorHAnsi" w:cstheme="minorBidi"/>
          <w:szCs w:val="22"/>
        </w:rPr>
      </w:pPr>
      <w:r>
        <w:t>708.</w:t>
      </w:r>
      <w:r>
        <w:tab/>
        <w:t>References to convictions or findings of guilt</w:t>
      </w:r>
      <w:r>
        <w:tab/>
      </w:r>
      <w:r>
        <w:fldChar w:fldCharType="begin"/>
      </w:r>
      <w:r>
        <w:instrText xml:space="preserve"> PAGEREF _Toc200720681 \h </w:instrText>
      </w:r>
      <w:r>
        <w:fldChar w:fldCharType="separate"/>
      </w:r>
      <w:r>
        <w:t>562</w:t>
      </w:r>
      <w:r>
        <w:fldChar w:fldCharType="end"/>
      </w:r>
    </w:p>
    <w:p>
      <w:pPr>
        <w:pStyle w:val="TOC8"/>
        <w:rPr>
          <w:rFonts w:asciiTheme="minorHAnsi" w:eastAsiaTheme="minorEastAsia" w:hAnsiTheme="minorHAnsi" w:cstheme="minorBidi"/>
          <w:szCs w:val="22"/>
        </w:rPr>
      </w:pPr>
      <w:r>
        <w:t>709.</w:t>
      </w:r>
      <w:r>
        <w:tab/>
        <w:t>Emergency plans</w:t>
      </w:r>
      <w:r>
        <w:tab/>
      </w:r>
      <w:r>
        <w:fldChar w:fldCharType="begin"/>
      </w:r>
      <w:r>
        <w:instrText xml:space="preserve"> PAGEREF _Toc200720682 \h </w:instrText>
      </w:r>
      <w:r>
        <w:fldChar w:fldCharType="separate"/>
      </w:r>
      <w:r>
        <w:t>562</w:t>
      </w:r>
      <w:r>
        <w:fldChar w:fldCharType="end"/>
      </w:r>
    </w:p>
    <w:p>
      <w:pPr>
        <w:pStyle w:val="TOC8"/>
        <w:rPr>
          <w:rFonts w:asciiTheme="minorHAnsi" w:eastAsiaTheme="minorEastAsia" w:hAnsiTheme="minorHAnsi" w:cstheme="minorBidi"/>
          <w:szCs w:val="22"/>
        </w:rPr>
      </w:pPr>
      <w:r>
        <w:t>710.</w:t>
      </w:r>
      <w:r>
        <w:tab/>
        <w:t>Tobacco smoke underground in underground non</w:t>
      </w:r>
      <w:r>
        <w:noBreakHyphen/>
        <w:t>coal mines</w:t>
      </w:r>
      <w:r>
        <w:tab/>
      </w:r>
      <w:r>
        <w:fldChar w:fldCharType="begin"/>
      </w:r>
      <w:r>
        <w:instrText xml:space="preserve"> PAGEREF _Toc200720683 \h </w:instrText>
      </w:r>
      <w:r>
        <w:fldChar w:fldCharType="separate"/>
      </w:r>
      <w:r>
        <w:t>562</w:t>
      </w:r>
      <w:r>
        <w:fldChar w:fldCharType="end"/>
      </w:r>
    </w:p>
    <w:p>
      <w:pPr>
        <w:pStyle w:val="TOC8"/>
        <w:rPr>
          <w:rFonts w:asciiTheme="minorHAnsi" w:eastAsiaTheme="minorEastAsia" w:hAnsiTheme="minorHAnsi" w:cstheme="minorBidi"/>
          <w:szCs w:val="22"/>
        </w:rPr>
      </w:pPr>
      <w:r>
        <w:lastRenderedPageBreak/>
        <w:t>711.</w:t>
      </w:r>
      <w:r>
        <w:tab/>
        <w:t>Materials hoists</w:t>
      </w:r>
      <w:r>
        <w:tab/>
      </w:r>
      <w:r>
        <w:fldChar w:fldCharType="begin"/>
      </w:r>
      <w:r>
        <w:instrText xml:space="preserve"> PAGEREF _Toc200720684 \h </w:instrText>
      </w:r>
      <w:r>
        <w:fldChar w:fldCharType="separate"/>
      </w:r>
      <w:r>
        <w:t>563</w:t>
      </w:r>
      <w:r>
        <w:fldChar w:fldCharType="end"/>
      </w:r>
    </w:p>
    <w:p>
      <w:pPr>
        <w:pStyle w:val="TOC8"/>
        <w:rPr>
          <w:rFonts w:asciiTheme="minorHAnsi" w:eastAsiaTheme="minorEastAsia" w:hAnsiTheme="minorHAnsi" w:cstheme="minorBidi"/>
          <w:szCs w:val="22"/>
        </w:rPr>
      </w:pPr>
      <w:r>
        <w:t>712.</w:t>
      </w:r>
      <w:r>
        <w:tab/>
        <w:t>Concrete placing booms</w:t>
      </w:r>
      <w:r>
        <w:tab/>
      </w:r>
      <w:r>
        <w:fldChar w:fldCharType="begin"/>
      </w:r>
      <w:r>
        <w:instrText xml:space="preserve"> PAGEREF _Toc200720685 \h </w:instrText>
      </w:r>
      <w:r>
        <w:fldChar w:fldCharType="separate"/>
      </w:r>
      <w:r>
        <w:t>563</w:t>
      </w:r>
      <w:r>
        <w:fldChar w:fldCharType="end"/>
      </w:r>
    </w:p>
    <w:p>
      <w:pPr>
        <w:pStyle w:val="TOC8"/>
        <w:rPr>
          <w:rFonts w:asciiTheme="minorHAnsi" w:eastAsiaTheme="minorEastAsia" w:hAnsiTheme="minorHAnsi" w:cstheme="minorBidi"/>
          <w:szCs w:val="22"/>
        </w:rPr>
      </w:pPr>
      <w:r>
        <w:t>713.</w:t>
      </w:r>
      <w:r>
        <w:tab/>
        <w:t>Reach stackers</w:t>
      </w:r>
      <w:r>
        <w:tab/>
      </w:r>
      <w:r>
        <w:fldChar w:fldCharType="begin"/>
      </w:r>
      <w:r>
        <w:instrText xml:space="preserve"> PAGEREF _Toc200720686 \h </w:instrText>
      </w:r>
      <w:r>
        <w:fldChar w:fldCharType="separate"/>
      </w:r>
      <w:r>
        <w:t>563</w:t>
      </w:r>
      <w:r>
        <w:fldChar w:fldCharType="end"/>
      </w:r>
    </w:p>
    <w:p>
      <w:pPr>
        <w:pStyle w:val="TOC8"/>
        <w:rPr>
          <w:rFonts w:asciiTheme="minorHAnsi" w:eastAsiaTheme="minorEastAsia" w:hAnsiTheme="minorHAnsi" w:cstheme="minorBidi"/>
          <w:szCs w:val="22"/>
        </w:rPr>
      </w:pPr>
      <w:r>
        <w:t>714.</w:t>
      </w:r>
      <w:r>
        <w:tab/>
        <w:t>Demolition</w:t>
      </w:r>
      <w:r>
        <w:tab/>
      </w:r>
      <w:r>
        <w:fldChar w:fldCharType="begin"/>
      </w:r>
      <w:r>
        <w:instrText xml:space="preserve"> PAGEREF _Toc200720687 \h </w:instrText>
      </w:r>
      <w:r>
        <w:fldChar w:fldCharType="separate"/>
      </w:r>
      <w:r>
        <w:t>563</w:t>
      </w:r>
      <w:r>
        <w:fldChar w:fldCharType="end"/>
      </w:r>
    </w:p>
    <w:p>
      <w:pPr>
        <w:pStyle w:val="TOC8"/>
        <w:rPr>
          <w:rFonts w:asciiTheme="minorHAnsi" w:eastAsiaTheme="minorEastAsia" w:hAnsiTheme="minorHAnsi" w:cstheme="minorBidi"/>
          <w:szCs w:val="22"/>
        </w:rPr>
      </w:pPr>
      <w:r>
        <w:t>715.</w:t>
      </w:r>
      <w:r>
        <w:tab/>
        <w:t>Residual current devices</w:t>
      </w:r>
      <w:r>
        <w:tab/>
      </w:r>
      <w:r>
        <w:fldChar w:fldCharType="begin"/>
      </w:r>
      <w:r>
        <w:instrText xml:space="preserve"> PAGEREF _Toc200720688 \h </w:instrText>
      </w:r>
      <w:r>
        <w:fldChar w:fldCharType="separate"/>
      </w:r>
      <w:r>
        <w:t>563</w:t>
      </w:r>
      <w:r>
        <w:fldChar w:fldCharType="end"/>
      </w:r>
    </w:p>
    <w:p>
      <w:pPr>
        <w:pStyle w:val="TOC8"/>
        <w:rPr>
          <w:rFonts w:asciiTheme="minorHAnsi" w:eastAsiaTheme="minorEastAsia" w:hAnsiTheme="minorHAnsi" w:cstheme="minorBidi"/>
          <w:szCs w:val="22"/>
        </w:rPr>
      </w:pPr>
      <w:r>
        <w:t>716.</w:t>
      </w:r>
      <w:r>
        <w:tab/>
        <w:t>Plant registered under MSIR</w:t>
      </w:r>
      <w:r>
        <w:tab/>
      </w:r>
      <w:r>
        <w:fldChar w:fldCharType="begin"/>
      </w:r>
      <w:r>
        <w:instrText xml:space="preserve"> PAGEREF _Toc200720689 \h </w:instrText>
      </w:r>
      <w:r>
        <w:fldChar w:fldCharType="separate"/>
      </w:r>
      <w:r>
        <w:t>564</w:t>
      </w:r>
      <w:r>
        <w:fldChar w:fldCharType="end"/>
      </w:r>
    </w:p>
    <w:p>
      <w:pPr>
        <w:pStyle w:val="TOC8"/>
        <w:rPr>
          <w:rFonts w:asciiTheme="minorHAnsi" w:eastAsiaTheme="minorEastAsia" w:hAnsiTheme="minorHAnsi" w:cstheme="minorBidi"/>
          <w:szCs w:val="22"/>
        </w:rPr>
      </w:pPr>
      <w:r>
        <w:t>717.</w:t>
      </w:r>
      <w:r>
        <w:tab/>
        <w:t>Plant designs and items of plant not registered under MSIR</w:t>
      </w:r>
      <w:r>
        <w:tab/>
      </w:r>
      <w:r>
        <w:fldChar w:fldCharType="begin"/>
      </w:r>
      <w:r>
        <w:instrText xml:space="preserve"> PAGEREF _Toc200720690 \h </w:instrText>
      </w:r>
      <w:r>
        <w:fldChar w:fldCharType="separate"/>
      </w:r>
      <w:r>
        <w:t>564</w:t>
      </w:r>
      <w:r>
        <w:fldChar w:fldCharType="end"/>
      </w:r>
    </w:p>
    <w:p>
      <w:pPr>
        <w:pStyle w:val="TOC8"/>
        <w:rPr>
          <w:rFonts w:asciiTheme="minorHAnsi" w:eastAsiaTheme="minorEastAsia" w:hAnsiTheme="minorHAnsi" w:cstheme="minorBidi"/>
          <w:szCs w:val="22"/>
        </w:rPr>
      </w:pPr>
      <w:r>
        <w:t>718.</w:t>
      </w:r>
      <w:r>
        <w:tab/>
        <w:t>Continuation of exemptions from requirements to register plant</w:t>
      </w:r>
      <w:r>
        <w:tab/>
      </w:r>
      <w:r>
        <w:fldChar w:fldCharType="begin"/>
      </w:r>
      <w:r>
        <w:instrText xml:space="preserve"> PAGEREF _Toc200720691 \h </w:instrText>
      </w:r>
      <w:r>
        <w:fldChar w:fldCharType="separate"/>
      </w:r>
      <w:r>
        <w:t>565</w:t>
      </w:r>
      <w:r>
        <w:fldChar w:fldCharType="end"/>
      </w:r>
    </w:p>
    <w:p>
      <w:pPr>
        <w:pStyle w:val="TOC8"/>
        <w:rPr>
          <w:rFonts w:asciiTheme="minorHAnsi" w:eastAsiaTheme="minorEastAsia" w:hAnsiTheme="minorHAnsi" w:cstheme="minorBidi"/>
          <w:szCs w:val="22"/>
        </w:rPr>
      </w:pPr>
      <w:r>
        <w:t>719.</w:t>
      </w:r>
      <w:r>
        <w:tab/>
        <w:t>Safe work method statements for high risk construction work</w:t>
      </w:r>
      <w:r>
        <w:tab/>
      </w:r>
      <w:r>
        <w:fldChar w:fldCharType="begin"/>
      </w:r>
      <w:r>
        <w:instrText xml:space="preserve"> PAGEREF _Toc200720692 \h </w:instrText>
      </w:r>
      <w:r>
        <w:fldChar w:fldCharType="separate"/>
      </w:r>
      <w:r>
        <w:t>570</w:t>
      </w:r>
      <w:r>
        <w:fldChar w:fldCharType="end"/>
      </w:r>
    </w:p>
    <w:p>
      <w:pPr>
        <w:pStyle w:val="TOC8"/>
        <w:rPr>
          <w:rFonts w:asciiTheme="minorHAnsi" w:eastAsiaTheme="minorEastAsia" w:hAnsiTheme="minorHAnsi" w:cstheme="minorBidi"/>
          <w:szCs w:val="22"/>
        </w:rPr>
      </w:pPr>
      <w:r>
        <w:t>720.</w:t>
      </w:r>
      <w:r>
        <w:tab/>
        <w:t>Tilt up concrete and precast concrete elements</w:t>
      </w:r>
      <w:r>
        <w:tab/>
      </w:r>
      <w:r>
        <w:fldChar w:fldCharType="begin"/>
      </w:r>
      <w:r>
        <w:instrText xml:space="preserve"> PAGEREF _Toc200720693 \h </w:instrText>
      </w:r>
      <w:r>
        <w:fldChar w:fldCharType="separate"/>
      </w:r>
      <w:r>
        <w:t>570</w:t>
      </w:r>
      <w:r>
        <w:fldChar w:fldCharType="end"/>
      </w:r>
    </w:p>
    <w:p>
      <w:pPr>
        <w:pStyle w:val="TOC8"/>
        <w:rPr>
          <w:rFonts w:asciiTheme="minorHAnsi" w:eastAsiaTheme="minorEastAsia" w:hAnsiTheme="minorHAnsi" w:cstheme="minorBidi"/>
          <w:szCs w:val="22"/>
        </w:rPr>
      </w:pPr>
      <w:r>
        <w:t>721.</w:t>
      </w:r>
      <w:r>
        <w:tab/>
        <w:t>Additional duties of principal contractors</w:t>
      </w:r>
      <w:r>
        <w:tab/>
      </w:r>
      <w:r>
        <w:fldChar w:fldCharType="begin"/>
      </w:r>
      <w:r>
        <w:instrText xml:space="preserve"> PAGEREF _Toc200720694 \h </w:instrText>
      </w:r>
      <w:r>
        <w:fldChar w:fldCharType="separate"/>
      </w:r>
      <w:r>
        <w:t>570</w:t>
      </w:r>
      <w:r>
        <w:fldChar w:fldCharType="end"/>
      </w:r>
    </w:p>
    <w:p>
      <w:pPr>
        <w:pStyle w:val="TOC8"/>
        <w:rPr>
          <w:rFonts w:asciiTheme="minorHAnsi" w:eastAsiaTheme="minorEastAsia" w:hAnsiTheme="minorHAnsi" w:cstheme="minorBidi"/>
          <w:szCs w:val="22"/>
        </w:rPr>
      </w:pPr>
      <w:r>
        <w:t>722.</w:t>
      </w:r>
      <w:r>
        <w:tab/>
        <w:t>General construction induction training</w:t>
      </w:r>
      <w:r>
        <w:tab/>
      </w:r>
      <w:r>
        <w:fldChar w:fldCharType="begin"/>
      </w:r>
      <w:r>
        <w:instrText xml:space="preserve"> PAGEREF _Toc200720695 \h </w:instrText>
      </w:r>
      <w:r>
        <w:fldChar w:fldCharType="separate"/>
      </w:r>
      <w:r>
        <w:t>570</w:t>
      </w:r>
      <w:r>
        <w:fldChar w:fldCharType="end"/>
      </w:r>
    </w:p>
    <w:p>
      <w:pPr>
        <w:pStyle w:val="TOC8"/>
        <w:rPr>
          <w:rFonts w:asciiTheme="minorHAnsi" w:eastAsiaTheme="minorEastAsia" w:hAnsiTheme="minorHAnsi" w:cstheme="minorBidi"/>
          <w:szCs w:val="22"/>
        </w:rPr>
      </w:pPr>
      <w:r>
        <w:t>723.</w:t>
      </w:r>
      <w:r>
        <w:tab/>
        <w:t>Asbestos register</w:t>
      </w:r>
      <w:r>
        <w:tab/>
      </w:r>
      <w:r>
        <w:fldChar w:fldCharType="begin"/>
      </w:r>
      <w:r>
        <w:instrText xml:space="preserve"> PAGEREF _Toc200720696 \h </w:instrText>
      </w:r>
      <w:r>
        <w:fldChar w:fldCharType="separate"/>
      </w:r>
      <w:r>
        <w:t>570</w:t>
      </w:r>
      <w:r>
        <w:fldChar w:fldCharType="end"/>
      </w:r>
    </w:p>
    <w:p>
      <w:pPr>
        <w:pStyle w:val="TOC8"/>
        <w:rPr>
          <w:rFonts w:asciiTheme="minorHAnsi" w:eastAsiaTheme="minorEastAsia" w:hAnsiTheme="minorHAnsi" w:cstheme="minorBidi"/>
          <w:szCs w:val="22"/>
        </w:rPr>
      </w:pPr>
      <w:r>
        <w:t>724.</w:t>
      </w:r>
      <w:r>
        <w:tab/>
        <w:t>Undertaking asbestos removal work without licence</w:t>
      </w:r>
      <w:r>
        <w:tab/>
      </w:r>
      <w:r>
        <w:fldChar w:fldCharType="begin"/>
      </w:r>
      <w:r>
        <w:instrText xml:space="preserve"> PAGEREF _Toc200720697 \h </w:instrText>
      </w:r>
      <w:r>
        <w:fldChar w:fldCharType="separate"/>
      </w:r>
      <w:r>
        <w:t>570</w:t>
      </w:r>
      <w:r>
        <w:fldChar w:fldCharType="end"/>
      </w:r>
    </w:p>
    <w:p>
      <w:pPr>
        <w:pStyle w:val="TOC8"/>
        <w:rPr>
          <w:rFonts w:asciiTheme="minorHAnsi" w:eastAsiaTheme="minorEastAsia" w:hAnsiTheme="minorHAnsi" w:cstheme="minorBidi"/>
          <w:szCs w:val="22"/>
        </w:rPr>
      </w:pPr>
      <w:r>
        <w:t>725.</w:t>
      </w:r>
      <w:r>
        <w:tab/>
        <w:t>Licensed asbestos assessors</w:t>
      </w:r>
      <w:r>
        <w:tab/>
      </w:r>
      <w:r>
        <w:fldChar w:fldCharType="begin"/>
      </w:r>
      <w:r>
        <w:instrText xml:space="preserve"> PAGEREF _Toc200720698 \h </w:instrText>
      </w:r>
      <w:r>
        <w:fldChar w:fldCharType="separate"/>
      </w:r>
      <w:r>
        <w:t>571</w:t>
      </w:r>
      <w:r>
        <w:fldChar w:fldCharType="end"/>
      </w:r>
    </w:p>
    <w:p>
      <w:pPr>
        <w:pStyle w:val="TOC8"/>
        <w:rPr>
          <w:rFonts w:asciiTheme="minorHAnsi" w:eastAsiaTheme="minorEastAsia" w:hAnsiTheme="minorHAnsi" w:cstheme="minorBidi"/>
          <w:szCs w:val="22"/>
        </w:rPr>
      </w:pPr>
      <w:r>
        <w:t>726.</w:t>
      </w:r>
      <w:r>
        <w:tab/>
        <w:t>Information about commencing or recommencing mining operations given before commencement day</w:t>
      </w:r>
      <w:r>
        <w:tab/>
      </w:r>
      <w:r>
        <w:fldChar w:fldCharType="begin"/>
      </w:r>
      <w:r>
        <w:instrText xml:space="preserve"> PAGEREF _Toc200720699 \h </w:instrText>
      </w:r>
      <w:r>
        <w:fldChar w:fldCharType="separate"/>
      </w:r>
      <w:r>
        <w:t>571</w:t>
      </w:r>
      <w:r>
        <w:fldChar w:fldCharType="end"/>
      </w:r>
    </w:p>
    <w:p>
      <w:pPr>
        <w:pStyle w:val="TOC8"/>
        <w:rPr>
          <w:rFonts w:asciiTheme="minorHAnsi" w:eastAsiaTheme="minorEastAsia" w:hAnsiTheme="minorHAnsi" w:cstheme="minorBidi"/>
          <w:szCs w:val="22"/>
        </w:rPr>
      </w:pPr>
      <w:r>
        <w:t>727.</w:t>
      </w:r>
      <w:r>
        <w:tab/>
        <w:t>Information about suspending mining operations given before commencement day</w:t>
      </w:r>
      <w:r>
        <w:tab/>
      </w:r>
      <w:r>
        <w:fldChar w:fldCharType="begin"/>
      </w:r>
      <w:r>
        <w:instrText xml:space="preserve"> PAGEREF _Toc200720700 \h </w:instrText>
      </w:r>
      <w:r>
        <w:fldChar w:fldCharType="separate"/>
      </w:r>
      <w:r>
        <w:t>571</w:t>
      </w:r>
      <w:r>
        <w:fldChar w:fldCharType="end"/>
      </w:r>
    </w:p>
    <w:p>
      <w:pPr>
        <w:pStyle w:val="TOC8"/>
        <w:rPr>
          <w:rFonts w:asciiTheme="minorHAnsi" w:eastAsiaTheme="minorEastAsia" w:hAnsiTheme="minorHAnsi" w:cstheme="minorBidi"/>
          <w:szCs w:val="22"/>
        </w:rPr>
      </w:pPr>
      <w:r>
        <w:t>728.</w:t>
      </w:r>
      <w:r>
        <w:tab/>
        <w:t>Information about abandoning mining operations given before commencement day</w:t>
      </w:r>
      <w:r>
        <w:tab/>
      </w:r>
      <w:r>
        <w:fldChar w:fldCharType="begin"/>
      </w:r>
      <w:r>
        <w:instrText xml:space="preserve"> PAGEREF _Toc200720701 \h </w:instrText>
      </w:r>
      <w:r>
        <w:fldChar w:fldCharType="separate"/>
      </w:r>
      <w:r>
        <w:t>572</w:t>
      </w:r>
      <w:r>
        <w:fldChar w:fldCharType="end"/>
      </w:r>
    </w:p>
    <w:p>
      <w:pPr>
        <w:pStyle w:val="TOC8"/>
        <w:rPr>
          <w:rFonts w:asciiTheme="minorHAnsi" w:eastAsiaTheme="minorEastAsia" w:hAnsiTheme="minorHAnsi" w:cstheme="minorBidi"/>
          <w:szCs w:val="22"/>
        </w:rPr>
      </w:pPr>
      <w:r>
        <w:t>729.</w:t>
      </w:r>
      <w:r>
        <w:tab/>
        <w:t>Exploration operations</w:t>
      </w:r>
      <w:r>
        <w:tab/>
      </w:r>
      <w:r>
        <w:fldChar w:fldCharType="begin"/>
      </w:r>
      <w:r>
        <w:instrText xml:space="preserve"> PAGEREF _Toc200720702 \h </w:instrText>
      </w:r>
      <w:r>
        <w:fldChar w:fldCharType="separate"/>
      </w:r>
      <w:r>
        <w:t>572</w:t>
      </w:r>
      <w:r>
        <w:fldChar w:fldCharType="end"/>
      </w:r>
    </w:p>
    <w:p>
      <w:pPr>
        <w:pStyle w:val="TOC8"/>
        <w:rPr>
          <w:rFonts w:asciiTheme="minorHAnsi" w:eastAsiaTheme="minorEastAsia" w:hAnsiTheme="minorHAnsi" w:cstheme="minorBidi"/>
          <w:szCs w:val="22"/>
        </w:rPr>
      </w:pPr>
      <w:r>
        <w:t>730.</w:t>
      </w:r>
      <w:r>
        <w:tab/>
        <w:t>Continuation of approvals under MSIR</w:t>
      </w:r>
      <w:r>
        <w:tab/>
      </w:r>
      <w:r>
        <w:fldChar w:fldCharType="begin"/>
      </w:r>
      <w:r>
        <w:instrText xml:space="preserve"> PAGEREF _Toc200720703 \h </w:instrText>
      </w:r>
      <w:r>
        <w:fldChar w:fldCharType="separate"/>
      </w:r>
      <w:r>
        <w:t>572</w:t>
      </w:r>
      <w:r>
        <w:fldChar w:fldCharType="end"/>
      </w:r>
    </w:p>
    <w:p>
      <w:pPr>
        <w:pStyle w:val="TOC8"/>
        <w:rPr>
          <w:rFonts w:asciiTheme="minorHAnsi" w:eastAsiaTheme="minorEastAsia" w:hAnsiTheme="minorHAnsi" w:cstheme="minorBidi"/>
          <w:szCs w:val="22"/>
        </w:rPr>
      </w:pPr>
      <w:r>
        <w:t>731.</w:t>
      </w:r>
      <w:r>
        <w:tab/>
        <w:t>Establishing and implementing mine safety management system for mines</w:t>
      </w:r>
      <w:r>
        <w:tab/>
      </w:r>
      <w:r>
        <w:fldChar w:fldCharType="begin"/>
      </w:r>
      <w:r>
        <w:instrText xml:space="preserve"> PAGEREF _Toc200720704 \h </w:instrText>
      </w:r>
      <w:r>
        <w:fldChar w:fldCharType="separate"/>
      </w:r>
      <w:r>
        <w:t>574</w:t>
      </w:r>
      <w:r>
        <w:fldChar w:fldCharType="end"/>
      </w:r>
    </w:p>
    <w:p>
      <w:pPr>
        <w:pStyle w:val="TOC8"/>
        <w:rPr>
          <w:rFonts w:asciiTheme="minorHAnsi" w:eastAsiaTheme="minorEastAsia" w:hAnsiTheme="minorHAnsi" w:cstheme="minorBidi"/>
          <w:szCs w:val="22"/>
        </w:rPr>
      </w:pPr>
      <w:r>
        <w:t>732.</w:t>
      </w:r>
      <w:r>
        <w:tab/>
        <w:t>Contractor’s health and safety management plans</w:t>
      </w:r>
      <w:r>
        <w:tab/>
      </w:r>
      <w:r>
        <w:fldChar w:fldCharType="begin"/>
      </w:r>
      <w:r>
        <w:instrText xml:space="preserve"> PAGEREF _Toc200720705 \h </w:instrText>
      </w:r>
      <w:r>
        <w:fldChar w:fldCharType="separate"/>
      </w:r>
      <w:r>
        <w:t>574</w:t>
      </w:r>
      <w:r>
        <w:fldChar w:fldCharType="end"/>
      </w:r>
    </w:p>
    <w:p>
      <w:pPr>
        <w:pStyle w:val="TOC8"/>
        <w:rPr>
          <w:rFonts w:asciiTheme="minorHAnsi" w:eastAsiaTheme="minorEastAsia" w:hAnsiTheme="minorHAnsi" w:cstheme="minorBidi"/>
          <w:szCs w:val="22"/>
        </w:rPr>
      </w:pPr>
      <w:r>
        <w:t>733.</w:t>
      </w:r>
      <w:r>
        <w:tab/>
        <w:t>Principal mining hazard management plans</w:t>
      </w:r>
      <w:r>
        <w:tab/>
      </w:r>
      <w:r>
        <w:fldChar w:fldCharType="begin"/>
      </w:r>
      <w:r>
        <w:instrText xml:space="preserve"> PAGEREF _Toc200720706 \h </w:instrText>
      </w:r>
      <w:r>
        <w:fldChar w:fldCharType="separate"/>
      </w:r>
      <w:r>
        <w:t>575</w:t>
      </w:r>
      <w:r>
        <w:fldChar w:fldCharType="end"/>
      </w:r>
    </w:p>
    <w:p>
      <w:pPr>
        <w:pStyle w:val="TOC8"/>
        <w:rPr>
          <w:rFonts w:asciiTheme="minorHAnsi" w:eastAsiaTheme="minorEastAsia" w:hAnsiTheme="minorHAnsi" w:cstheme="minorBidi"/>
          <w:szCs w:val="22"/>
        </w:rPr>
      </w:pPr>
      <w:r>
        <w:t>734.</w:t>
      </w:r>
      <w:r>
        <w:tab/>
        <w:t>Underground ventilation control plans</w:t>
      </w:r>
      <w:r>
        <w:tab/>
      </w:r>
      <w:r>
        <w:fldChar w:fldCharType="begin"/>
      </w:r>
      <w:r>
        <w:instrText xml:space="preserve"> PAGEREF _Toc200720707 \h </w:instrText>
      </w:r>
      <w:r>
        <w:fldChar w:fldCharType="separate"/>
      </w:r>
      <w:r>
        <w:t>575</w:t>
      </w:r>
      <w:r>
        <w:fldChar w:fldCharType="end"/>
      </w:r>
    </w:p>
    <w:p>
      <w:pPr>
        <w:pStyle w:val="TOC8"/>
        <w:rPr>
          <w:rFonts w:asciiTheme="minorHAnsi" w:eastAsiaTheme="minorEastAsia" w:hAnsiTheme="minorHAnsi" w:cstheme="minorBidi"/>
          <w:szCs w:val="22"/>
        </w:rPr>
      </w:pPr>
      <w:r>
        <w:t>735.</w:t>
      </w:r>
      <w:r>
        <w:tab/>
        <w:t>Health management plans</w:t>
      </w:r>
      <w:r>
        <w:tab/>
      </w:r>
      <w:r>
        <w:fldChar w:fldCharType="begin"/>
      </w:r>
      <w:r>
        <w:instrText xml:space="preserve"> PAGEREF _Toc200720708 \h </w:instrText>
      </w:r>
      <w:r>
        <w:fldChar w:fldCharType="separate"/>
      </w:r>
      <w:r>
        <w:t>575</w:t>
      </w:r>
      <w:r>
        <w:fldChar w:fldCharType="end"/>
      </w:r>
    </w:p>
    <w:p>
      <w:pPr>
        <w:pStyle w:val="TOC8"/>
        <w:rPr>
          <w:rFonts w:asciiTheme="minorHAnsi" w:eastAsiaTheme="minorEastAsia" w:hAnsiTheme="minorHAnsi" w:cstheme="minorBidi"/>
          <w:szCs w:val="22"/>
        </w:rPr>
      </w:pPr>
      <w:r>
        <w:t>736.</w:t>
      </w:r>
      <w:r>
        <w:tab/>
        <w:t>Application of MSIR Parts 11, 12 and 14 to mines</w:t>
      </w:r>
      <w:r>
        <w:tab/>
      </w:r>
      <w:r>
        <w:fldChar w:fldCharType="begin"/>
      </w:r>
      <w:r>
        <w:instrText xml:space="preserve"> PAGEREF _Toc200720709 \h </w:instrText>
      </w:r>
      <w:r>
        <w:fldChar w:fldCharType="separate"/>
      </w:r>
      <w:r>
        <w:t>575</w:t>
      </w:r>
      <w:r>
        <w:fldChar w:fldCharType="end"/>
      </w:r>
    </w:p>
    <w:p>
      <w:pPr>
        <w:pStyle w:val="TOC8"/>
        <w:rPr>
          <w:rFonts w:asciiTheme="minorHAnsi" w:eastAsiaTheme="minorEastAsia" w:hAnsiTheme="minorHAnsi" w:cstheme="minorBidi"/>
          <w:szCs w:val="22"/>
        </w:rPr>
      </w:pPr>
      <w:r>
        <w:t>737.</w:t>
      </w:r>
      <w:r>
        <w:tab/>
        <w:t>Notices of high risk mining activity</w:t>
      </w:r>
      <w:r>
        <w:tab/>
      </w:r>
      <w:r>
        <w:fldChar w:fldCharType="begin"/>
      </w:r>
      <w:r>
        <w:instrText xml:space="preserve"> PAGEREF _Toc200720710 \h </w:instrText>
      </w:r>
      <w:r>
        <w:fldChar w:fldCharType="separate"/>
      </w:r>
      <w:r>
        <w:t>576</w:t>
      </w:r>
      <w:r>
        <w:fldChar w:fldCharType="end"/>
      </w:r>
    </w:p>
    <w:p>
      <w:pPr>
        <w:pStyle w:val="TOC8"/>
        <w:rPr>
          <w:rFonts w:asciiTheme="minorHAnsi" w:eastAsiaTheme="minorEastAsia" w:hAnsiTheme="minorHAnsi" w:cstheme="minorBidi"/>
          <w:szCs w:val="22"/>
        </w:rPr>
      </w:pPr>
      <w:r>
        <w:t>738.</w:t>
      </w:r>
      <w:r>
        <w:tab/>
        <w:t>References to GHS</w:t>
      </w:r>
      <w:r>
        <w:tab/>
      </w:r>
      <w:r>
        <w:fldChar w:fldCharType="begin"/>
      </w:r>
      <w:r>
        <w:instrText xml:space="preserve"> PAGEREF _Toc200720711 \h </w:instrText>
      </w:r>
      <w:r>
        <w:fldChar w:fldCharType="separate"/>
      </w:r>
      <w:r>
        <w:t>579</w:t>
      </w:r>
      <w:r>
        <w:fldChar w:fldCharType="end"/>
      </w:r>
    </w:p>
    <w:p>
      <w:pPr>
        <w:pStyle w:val="TOC8"/>
        <w:rPr>
          <w:rFonts w:asciiTheme="minorHAnsi" w:eastAsiaTheme="minorEastAsia" w:hAnsiTheme="minorHAnsi" w:cstheme="minorBidi"/>
          <w:szCs w:val="22"/>
        </w:rPr>
      </w:pPr>
      <w:r>
        <w:t>739.</w:t>
      </w:r>
      <w:r>
        <w:tab/>
        <w:t>Principal employers under MSIA taken to be mine operators</w:t>
      </w:r>
      <w:r>
        <w:tab/>
      </w:r>
      <w:r>
        <w:fldChar w:fldCharType="begin"/>
      </w:r>
      <w:r>
        <w:instrText xml:space="preserve"> PAGEREF _Toc200720712 \h </w:instrText>
      </w:r>
      <w:r>
        <w:fldChar w:fldCharType="separate"/>
      </w:r>
      <w:r>
        <w:t>579</w:t>
      </w:r>
      <w:r>
        <w:fldChar w:fldCharType="end"/>
      </w:r>
    </w:p>
    <w:p>
      <w:pPr>
        <w:pStyle w:val="TOC8"/>
        <w:rPr>
          <w:rFonts w:asciiTheme="minorHAnsi" w:eastAsiaTheme="minorEastAsia" w:hAnsiTheme="minorHAnsi" w:cstheme="minorBidi"/>
          <w:szCs w:val="22"/>
        </w:rPr>
      </w:pPr>
      <w:r>
        <w:t>740.</w:t>
      </w:r>
      <w:r>
        <w:tab/>
        <w:t>Site senior executives</w:t>
      </w:r>
      <w:r>
        <w:tab/>
      </w:r>
      <w:r>
        <w:fldChar w:fldCharType="begin"/>
      </w:r>
      <w:r>
        <w:instrText xml:space="preserve"> PAGEREF _Toc200720713 \h </w:instrText>
      </w:r>
      <w:r>
        <w:fldChar w:fldCharType="separate"/>
      </w:r>
      <w:r>
        <w:t>580</w:t>
      </w:r>
      <w:r>
        <w:fldChar w:fldCharType="end"/>
      </w:r>
    </w:p>
    <w:p>
      <w:pPr>
        <w:pStyle w:val="TOC8"/>
        <w:rPr>
          <w:rFonts w:asciiTheme="minorHAnsi" w:eastAsiaTheme="minorEastAsia" w:hAnsiTheme="minorHAnsi" w:cstheme="minorBidi"/>
          <w:szCs w:val="22"/>
        </w:rPr>
      </w:pPr>
      <w:r>
        <w:lastRenderedPageBreak/>
        <w:t>741.</w:t>
      </w:r>
      <w:r>
        <w:tab/>
        <w:t>Exploration managers</w:t>
      </w:r>
      <w:r>
        <w:tab/>
      </w:r>
      <w:r>
        <w:fldChar w:fldCharType="begin"/>
      </w:r>
      <w:r>
        <w:instrText xml:space="preserve"> PAGEREF _Toc200720714 \h </w:instrText>
      </w:r>
      <w:r>
        <w:fldChar w:fldCharType="separate"/>
      </w:r>
      <w:r>
        <w:t>581</w:t>
      </w:r>
      <w:r>
        <w:fldChar w:fldCharType="end"/>
      </w:r>
    </w:p>
    <w:p>
      <w:pPr>
        <w:pStyle w:val="TOC8"/>
        <w:rPr>
          <w:rFonts w:asciiTheme="minorHAnsi" w:eastAsiaTheme="minorEastAsia" w:hAnsiTheme="minorHAnsi" w:cstheme="minorBidi"/>
          <w:szCs w:val="22"/>
        </w:rPr>
      </w:pPr>
      <w:r>
        <w:t>742.</w:t>
      </w:r>
      <w:r>
        <w:tab/>
        <w:t>Persons appointed to positions under MSIA taken to be appointed to equivalent Schedule 26 positions</w:t>
      </w:r>
      <w:r>
        <w:tab/>
      </w:r>
      <w:r>
        <w:fldChar w:fldCharType="begin"/>
      </w:r>
      <w:r>
        <w:instrText xml:space="preserve"> PAGEREF _Toc200720715 \h </w:instrText>
      </w:r>
      <w:r>
        <w:fldChar w:fldCharType="separate"/>
      </w:r>
      <w:r>
        <w:t>582</w:t>
      </w:r>
      <w:r>
        <w:fldChar w:fldCharType="end"/>
      </w:r>
    </w:p>
    <w:p>
      <w:pPr>
        <w:pStyle w:val="TOC8"/>
        <w:rPr>
          <w:rFonts w:asciiTheme="minorHAnsi" w:eastAsiaTheme="minorEastAsia" w:hAnsiTheme="minorHAnsi" w:cstheme="minorBidi"/>
          <w:szCs w:val="22"/>
        </w:rPr>
      </w:pPr>
      <w:r>
        <w:t>743.</w:t>
      </w:r>
      <w:r>
        <w:tab/>
        <w:t>Statutory supervisors</w:t>
      </w:r>
      <w:r>
        <w:tab/>
      </w:r>
      <w:r>
        <w:fldChar w:fldCharType="begin"/>
      </w:r>
      <w:r>
        <w:instrText xml:space="preserve"> PAGEREF _Toc200720716 \h </w:instrText>
      </w:r>
      <w:r>
        <w:fldChar w:fldCharType="separate"/>
      </w:r>
      <w:r>
        <w:t>584</w:t>
      </w:r>
      <w:r>
        <w:fldChar w:fldCharType="end"/>
      </w:r>
    </w:p>
    <w:p>
      <w:pPr>
        <w:pStyle w:val="TOC8"/>
        <w:rPr>
          <w:rFonts w:asciiTheme="minorHAnsi" w:eastAsiaTheme="minorEastAsia" w:hAnsiTheme="minorHAnsi" w:cstheme="minorBidi"/>
          <w:szCs w:val="22"/>
        </w:rPr>
      </w:pPr>
      <w:r>
        <w:t>744.</w:t>
      </w:r>
      <w:r>
        <w:tab/>
        <w:t>Agreements that underground managers need not be appointed</w:t>
      </w:r>
      <w:r>
        <w:tab/>
      </w:r>
      <w:r>
        <w:fldChar w:fldCharType="begin"/>
      </w:r>
      <w:r>
        <w:instrText xml:space="preserve"> PAGEREF _Toc200720717 \h </w:instrText>
      </w:r>
      <w:r>
        <w:fldChar w:fldCharType="separate"/>
      </w:r>
      <w:r>
        <w:t>585</w:t>
      </w:r>
      <w:r>
        <w:fldChar w:fldCharType="end"/>
      </w:r>
    </w:p>
    <w:p>
      <w:pPr>
        <w:pStyle w:val="TOC8"/>
        <w:rPr>
          <w:rFonts w:asciiTheme="minorHAnsi" w:eastAsiaTheme="minorEastAsia" w:hAnsiTheme="minorHAnsi" w:cstheme="minorBidi"/>
          <w:szCs w:val="22"/>
        </w:rPr>
      </w:pPr>
      <w:r>
        <w:t>745.</w:t>
      </w:r>
      <w:r>
        <w:tab/>
        <w:t>Agreements that quarry managers need not be appointed</w:t>
      </w:r>
      <w:r>
        <w:tab/>
      </w:r>
      <w:r>
        <w:fldChar w:fldCharType="begin"/>
      </w:r>
      <w:r>
        <w:instrText xml:space="preserve"> PAGEREF _Toc200720718 \h </w:instrText>
      </w:r>
      <w:r>
        <w:fldChar w:fldCharType="separate"/>
      </w:r>
      <w:r>
        <w:t>586</w:t>
      </w:r>
      <w:r>
        <w:fldChar w:fldCharType="end"/>
      </w:r>
    </w:p>
    <w:p>
      <w:pPr>
        <w:pStyle w:val="TOC8"/>
        <w:rPr>
          <w:rFonts w:asciiTheme="minorHAnsi" w:eastAsiaTheme="minorEastAsia" w:hAnsiTheme="minorHAnsi" w:cstheme="minorBidi"/>
          <w:szCs w:val="22"/>
        </w:rPr>
      </w:pPr>
      <w:r>
        <w:t>746.</w:t>
      </w:r>
      <w:r>
        <w:tab/>
        <w:t>Written directives exempting mines from requirement to appoint ventilation officers</w:t>
      </w:r>
      <w:r>
        <w:tab/>
      </w:r>
      <w:r>
        <w:fldChar w:fldCharType="begin"/>
      </w:r>
      <w:r>
        <w:instrText xml:space="preserve"> PAGEREF _Toc200720719 \h </w:instrText>
      </w:r>
      <w:r>
        <w:fldChar w:fldCharType="separate"/>
      </w:r>
      <w:r>
        <w:t>587</w:t>
      </w:r>
      <w:r>
        <w:fldChar w:fldCharType="end"/>
      </w:r>
    </w:p>
    <w:p>
      <w:pPr>
        <w:pStyle w:val="TOC8"/>
        <w:rPr>
          <w:rFonts w:asciiTheme="minorHAnsi" w:eastAsiaTheme="minorEastAsia" w:hAnsiTheme="minorHAnsi" w:cstheme="minorBidi"/>
          <w:szCs w:val="22"/>
        </w:rPr>
      </w:pPr>
      <w:r>
        <w:t>747.</w:t>
      </w:r>
      <w:r>
        <w:tab/>
        <w:t>Competency certificates</w:t>
      </w:r>
      <w:r>
        <w:tab/>
      </w:r>
      <w:r>
        <w:fldChar w:fldCharType="begin"/>
      </w:r>
      <w:r>
        <w:instrText xml:space="preserve"> PAGEREF _Toc200720720 \h </w:instrText>
      </w:r>
      <w:r>
        <w:fldChar w:fldCharType="separate"/>
      </w:r>
      <w:r>
        <w:t>588</w:t>
      </w:r>
      <w:r>
        <w:fldChar w:fldCharType="end"/>
      </w:r>
    </w:p>
    <w:p>
      <w:pPr>
        <w:pStyle w:val="TOC8"/>
        <w:rPr>
          <w:rFonts w:asciiTheme="minorHAnsi" w:eastAsiaTheme="minorEastAsia" w:hAnsiTheme="minorHAnsi" w:cstheme="minorBidi"/>
          <w:szCs w:val="22"/>
        </w:rPr>
      </w:pPr>
      <w:r>
        <w:t>748.</w:t>
      </w:r>
      <w:r>
        <w:tab/>
        <w:t>Winding engine driver’s certificates</w:t>
      </w:r>
      <w:r>
        <w:tab/>
      </w:r>
      <w:r>
        <w:fldChar w:fldCharType="begin"/>
      </w:r>
      <w:r>
        <w:instrText xml:space="preserve"> PAGEREF _Toc200720721 \h </w:instrText>
      </w:r>
      <w:r>
        <w:fldChar w:fldCharType="separate"/>
      </w:r>
      <w:r>
        <w:t>590</w:t>
      </w:r>
      <w:r>
        <w:fldChar w:fldCharType="end"/>
      </w:r>
    </w:p>
    <w:p>
      <w:pPr>
        <w:pStyle w:val="TOC8"/>
        <w:rPr>
          <w:rFonts w:asciiTheme="minorHAnsi" w:eastAsiaTheme="minorEastAsia" w:hAnsiTheme="minorHAnsi" w:cstheme="minorBidi"/>
          <w:szCs w:val="22"/>
        </w:rPr>
      </w:pPr>
      <w:r>
        <w:t>749.</w:t>
      </w:r>
      <w:r>
        <w:tab/>
        <w:t>Exemptions generally</w:t>
      </w:r>
      <w:r>
        <w:tab/>
      </w:r>
      <w:r>
        <w:fldChar w:fldCharType="begin"/>
      </w:r>
      <w:r>
        <w:instrText xml:space="preserve"> PAGEREF _Toc200720722 \h </w:instrText>
      </w:r>
      <w:r>
        <w:fldChar w:fldCharType="separate"/>
      </w:r>
      <w:r>
        <w:t>591</w:t>
      </w:r>
      <w:r>
        <w:fldChar w:fldCharType="end"/>
      </w:r>
    </w:p>
    <w:p>
      <w:pPr>
        <w:pStyle w:val="TOC4"/>
        <w:tabs>
          <w:tab w:val="right" w:leader="dot" w:pos="7077"/>
        </w:tabs>
        <w:rPr>
          <w:rFonts w:asciiTheme="minorHAnsi" w:eastAsiaTheme="minorEastAsia" w:hAnsiTheme="minorHAnsi" w:cstheme="minorBidi"/>
          <w:b w:val="0"/>
          <w:szCs w:val="22"/>
        </w:rPr>
      </w:pPr>
      <w:r>
        <w:t xml:space="preserve">Part 11.5 — Transitional and savings provisions for </w:t>
      </w:r>
      <w:r>
        <w:rPr>
          <w:i/>
        </w:rPr>
        <w:t>Work Health and Safety Regulations Amendment Regulations (No. 2) 2023</w:t>
      </w:r>
    </w:p>
    <w:p>
      <w:pPr>
        <w:pStyle w:val="TOC8"/>
        <w:rPr>
          <w:rFonts w:asciiTheme="minorHAnsi" w:eastAsiaTheme="minorEastAsia" w:hAnsiTheme="minorHAnsi" w:cstheme="minorBidi"/>
          <w:szCs w:val="22"/>
        </w:rPr>
      </w:pPr>
      <w:r>
        <w:t>750.</w:t>
      </w:r>
      <w:r>
        <w:tab/>
        <w:t>Delayed application of Schedule 3 items 14A and 15A</w:t>
      </w:r>
      <w:r>
        <w:tab/>
      </w:r>
      <w:r>
        <w:fldChar w:fldCharType="begin"/>
      </w:r>
      <w:r>
        <w:instrText xml:space="preserve"> PAGEREF _Toc200720724 \h </w:instrText>
      </w:r>
      <w:r>
        <w:fldChar w:fldCharType="separate"/>
      </w:r>
      <w:r>
        <w:t>592</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Not used</w:t>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_Toc200720728 \h </w:instrText>
      </w:r>
      <w:r>
        <w:fldChar w:fldCharType="separate"/>
      </w:r>
      <w:r>
        <w:t>601</w:t>
      </w:r>
      <w:r>
        <w:fldChar w:fldCharType="end"/>
      </w:r>
    </w:p>
    <w:p>
      <w:pPr>
        <w:pStyle w:val="TOC2"/>
        <w:tabs>
          <w:tab w:val="right" w:leader="dot" w:pos="7077"/>
        </w:tabs>
        <w:rPr>
          <w:rFonts w:asciiTheme="minorHAnsi" w:eastAsiaTheme="minorEastAsia" w:hAnsiTheme="minorHAnsi" w:cstheme="minorBidi"/>
          <w:b w:val="0"/>
          <w:sz w:val="22"/>
          <w:szCs w:val="22"/>
        </w:rPr>
      </w:pPr>
      <w:r>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_Toc200720730 \h </w:instrText>
      </w:r>
      <w:r>
        <w:fldChar w:fldCharType="separate"/>
      </w:r>
      <w:r>
        <w:t>602</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_Toc200720733 \h </w:instrText>
      </w:r>
      <w:r>
        <w:fldChar w:fldCharType="separate"/>
      </w:r>
      <w:r>
        <w:t>606</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_Toc200720734 \h </w:instrText>
      </w:r>
      <w:r>
        <w:fldChar w:fldCharType="separate"/>
      </w:r>
      <w:r>
        <w:t>607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_Toc200720736 \h </w:instrText>
      </w:r>
      <w:r>
        <w:fldChar w:fldCharType="separate"/>
      </w:r>
      <w:r>
        <w:t>607</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_Toc200720737 \h </w:instrText>
      </w:r>
      <w:r>
        <w:fldChar w:fldCharType="separate"/>
      </w:r>
      <w:r>
        <w:t>608</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_Toc200720739 \h </w:instrText>
      </w:r>
      <w:r>
        <w:fldChar w:fldCharType="separate"/>
      </w:r>
      <w:r>
        <w:t>609</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_Toc200720741 \h </w:instrText>
      </w:r>
      <w:r>
        <w:fldChar w:fldCharType="separate"/>
      </w:r>
      <w:r>
        <w:t>614</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_Toc200720742 \h </w:instrText>
      </w:r>
      <w:r>
        <w:fldChar w:fldCharType="separate"/>
      </w:r>
      <w:r>
        <w:t>615</w:t>
      </w:r>
      <w:r>
        <w:fldChar w:fldCharType="end"/>
      </w:r>
    </w:p>
    <w:p>
      <w:pPr>
        <w:pStyle w:val="TOC2"/>
        <w:tabs>
          <w:tab w:val="right" w:leader="dot" w:pos="7077"/>
        </w:tabs>
        <w:rPr>
          <w:rFonts w:asciiTheme="minorHAnsi" w:eastAsiaTheme="minorEastAsia" w:hAnsiTheme="minorHAnsi" w:cstheme="minorBidi"/>
          <w:b w:val="0"/>
          <w:sz w:val="22"/>
          <w:szCs w:val="22"/>
        </w:rPr>
      </w:pPr>
      <w:r>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_Toc200720744 \h </w:instrText>
      </w:r>
      <w:r>
        <w:fldChar w:fldCharType="separate"/>
      </w:r>
      <w:r>
        <w:t>617</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_Toc200720745 \h </w:instrText>
      </w:r>
      <w:r>
        <w:fldChar w:fldCharType="separate"/>
      </w:r>
      <w:r>
        <w:t>617</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_Toc200720746 \h </w:instrText>
      </w:r>
      <w:r>
        <w:fldChar w:fldCharType="separate"/>
      </w:r>
      <w:r>
        <w:t>619</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_Toc200720747 \h </w:instrText>
      </w:r>
      <w:r>
        <w:fldChar w:fldCharType="separate"/>
      </w:r>
      <w:r>
        <w:t>620</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_Toc200720750 \h </w:instrText>
      </w:r>
      <w:r>
        <w:fldChar w:fldCharType="separate"/>
      </w:r>
      <w:r>
        <w:t>621</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_Toc200720752 \h </w:instrText>
      </w:r>
      <w:r>
        <w:fldChar w:fldCharType="separate"/>
      </w:r>
      <w:r>
        <w:t>621</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_Toc200720754 \h </w:instrText>
      </w:r>
      <w:r>
        <w:fldChar w:fldCharType="separate"/>
      </w:r>
      <w:r>
        <w:t>622</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_Toc200720755 \h </w:instrText>
      </w:r>
      <w:r>
        <w:fldChar w:fldCharType="separate"/>
      </w:r>
      <w:r>
        <w:t>623</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_Toc200720756 \h </w:instrText>
      </w:r>
      <w:r>
        <w:fldChar w:fldCharType="separate"/>
      </w:r>
      <w:r>
        <w:t>623</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_Toc200720757 \h </w:instrText>
      </w:r>
      <w:r>
        <w:fldChar w:fldCharType="separate"/>
      </w:r>
      <w:r>
        <w:t>624</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_Toc200720758 \h </w:instrText>
      </w:r>
      <w:r>
        <w:fldChar w:fldCharType="separate"/>
      </w:r>
      <w:r>
        <w:t>624</w:t>
      </w:r>
      <w:r>
        <w:fldChar w:fldCharType="end"/>
      </w:r>
    </w:p>
    <w:p>
      <w:pPr>
        <w:pStyle w:val="TOC8"/>
        <w:rPr>
          <w:rFonts w:asciiTheme="minorHAnsi" w:eastAsiaTheme="minorEastAsia" w:hAnsiTheme="minorHAnsi" w:cstheme="minorBidi"/>
          <w:szCs w:val="22"/>
        </w:rPr>
      </w:pPr>
      <w:r>
        <w:lastRenderedPageBreak/>
        <w:t>8.</w:t>
      </w:r>
      <w:r>
        <w:tab/>
        <w:t>Labelling hazardous chemicals: waste products</w:t>
      </w:r>
      <w:r>
        <w:tab/>
      </w:r>
      <w:r>
        <w:fldChar w:fldCharType="begin"/>
      </w:r>
      <w:r>
        <w:instrText xml:space="preserve"> PAGEREF _Toc200720759 \h </w:instrText>
      </w:r>
      <w:r>
        <w:fldChar w:fldCharType="separate"/>
      </w:r>
      <w:r>
        <w:t>625</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_Toc200720760 \h </w:instrText>
      </w:r>
      <w:r>
        <w:fldChar w:fldCharType="separate"/>
      </w:r>
      <w:r>
        <w:t>625</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_Toc200720761 \h </w:instrText>
      </w:r>
      <w:r>
        <w:fldChar w:fldCharType="separate"/>
      </w:r>
      <w:r>
        <w:t>626</w:t>
      </w:r>
      <w:r>
        <w:fldChar w:fldCharType="end"/>
      </w:r>
    </w:p>
    <w:p>
      <w:pPr>
        <w:pStyle w:val="TOC2"/>
        <w:tabs>
          <w:tab w:val="right" w:leader="dot" w:pos="7077"/>
        </w:tabs>
        <w:rPr>
          <w:rFonts w:asciiTheme="minorHAnsi" w:eastAsiaTheme="minorEastAsia" w:hAnsiTheme="minorHAnsi" w:cstheme="minorBidi"/>
          <w:b w:val="0"/>
          <w:sz w:val="22"/>
          <w:szCs w:val="22"/>
        </w:rPr>
      </w:pPr>
      <w:r>
        <w:t>Schedule 10 — Prohibited carcinogens, restricted 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11 — Not used</w:t>
      </w:r>
    </w:p>
    <w:p>
      <w:pPr>
        <w:pStyle w:val="TOC2"/>
        <w:tabs>
          <w:tab w:val="right" w:leader="dot" w:pos="7077"/>
        </w:tabs>
        <w:rPr>
          <w:rFonts w:asciiTheme="minorHAnsi" w:eastAsiaTheme="minorEastAsia" w:hAnsiTheme="minorHAnsi" w:cstheme="minorBidi"/>
          <w:b w:val="0"/>
          <w:sz w:val="22"/>
          <w:szCs w:val="22"/>
        </w:rPr>
      </w:pPr>
      <w:r>
        <w:t>Schedule 12 — Not used</w:t>
      </w:r>
    </w:p>
    <w:p>
      <w:pPr>
        <w:pStyle w:val="TOC2"/>
        <w:tabs>
          <w:tab w:val="right" w:leader="dot" w:pos="7077"/>
        </w:tabs>
        <w:rPr>
          <w:rFonts w:asciiTheme="minorHAnsi" w:eastAsiaTheme="minorEastAsia" w:hAnsiTheme="minorHAnsi" w:cstheme="minorBidi"/>
          <w:b w:val="0"/>
          <w:sz w:val="22"/>
          <w:szCs w:val="22"/>
        </w:rPr>
      </w:pPr>
      <w:r>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Schedule 19 — Principal mining hazard management plans — matters to be considered</w:t>
      </w:r>
    </w:p>
    <w:p>
      <w:pPr>
        <w:pStyle w:val="TOC8"/>
        <w:rPr>
          <w:rFonts w:asciiTheme="minorHAnsi" w:eastAsiaTheme="minorEastAsia" w:hAnsiTheme="minorHAnsi" w:cstheme="minorBidi"/>
          <w:szCs w:val="22"/>
        </w:rPr>
      </w:pPr>
      <w:r>
        <w:t>1.</w:t>
      </w:r>
      <w:r>
        <w:tab/>
        <w:t>Geotechnical structure instability</w:t>
      </w:r>
      <w:r>
        <w:tab/>
      </w:r>
      <w:r>
        <w:fldChar w:fldCharType="begin"/>
      </w:r>
      <w:r>
        <w:instrText xml:space="preserve"> PAGEREF _Toc200720773 \h </w:instrText>
      </w:r>
      <w:r>
        <w:fldChar w:fldCharType="separate"/>
      </w:r>
      <w:r>
        <w:t>642</w:t>
      </w:r>
      <w:r>
        <w:fldChar w:fldCharType="end"/>
      </w:r>
    </w:p>
    <w:p>
      <w:pPr>
        <w:pStyle w:val="TOC8"/>
        <w:rPr>
          <w:rFonts w:asciiTheme="minorHAnsi" w:eastAsiaTheme="minorEastAsia" w:hAnsiTheme="minorHAnsi" w:cstheme="minorBidi"/>
          <w:szCs w:val="22"/>
        </w:rPr>
      </w:pPr>
      <w:r>
        <w:t>2.</w:t>
      </w:r>
      <w:r>
        <w:tab/>
        <w:t>Inrush of any substance</w:t>
      </w:r>
      <w:r>
        <w:tab/>
      </w:r>
      <w:r>
        <w:fldChar w:fldCharType="begin"/>
      </w:r>
      <w:r>
        <w:instrText xml:space="preserve"> PAGEREF _Toc200720774 \h </w:instrText>
      </w:r>
      <w:r>
        <w:fldChar w:fldCharType="separate"/>
      </w:r>
      <w:r>
        <w:t>643</w:t>
      </w:r>
      <w:r>
        <w:fldChar w:fldCharType="end"/>
      </w:r>
    </w:p>
    <w:p>
      <w:pPr>
        <w:pStyle w:val="TOC8"/>
        <w:rPr>
          <w:rFonts w:asciiTheme="minorHAnsi" w:eastAsiaTheme="minorEastAsia" w:hAnsiTheme="minorHAnsi" w:cstheme="minorBidi"/>
          <w:szCs w:val="22"/>
        </w:rPr>
      </w:pPr>
      <w:r>
        <w:t>3.</w:t>
      </w:r>
      <w:r>
        <w:tab/>
        <w:t>Mine shafts and winding systems</w:t>
      </w:r>
      <w:r>
        <w:tab/>
      </w:r>
      <w:r>
        <w:fldChar w:fldCharType="begin"/>
      </w:r>
      <w:r>
        <w:instrText xml:space="preserve"> PAGEREF _Toc200720775 \h </w:instrText>
      </w:r>
      <w:r>
        <w:fldChar w:fldCharType="separate"/>
      </w:r>
      <w:r>
        <w:t>645</w:t>
      </w:r>
      <w:r>
        <w:fldChar w:fldCharType="end"/>
      </w:r>
    </w:p>
    <w:p>
      <w:pPr>
        <w:pStyle w:val="TOC8"/>
        <w:rPr>
          <w:rFonts w:asciiTheme="minorHAnsi" w:eastAsiaTheme="minorEastAsia" w:hAnsiTheme="minorHAnsi" w:cstheme="minorBidi"/>
          <w:szCs w:val="22"/>
        </w:rPr>
      </w:pPr>
      <w:r>
        <w:t>4.</w:t>
      </w:r>
      <w:r>
        <w:tab/>
        <w:t>Roads and other areas where mobile plant operate</w:t>
      </w:r>
      <w:r>
        <w:tab/>
      </w:r>
      <w:r>
        <w:fldChar w:fldCharType="begin"/>
      </w:r>
      <w:r>
        <w:instrText xml:space="preserve"> PAGEREF _Toc200720776 \h </w:instrText>
      </w:r>
      <w:r>
        <w:fldChar w:fldCharType="separate"/>
      </w:r>
      <w:r>
        <w:t>646</w:t>
      </w:r>
      <w:r>
        <w:fldChar w:fldCharType="end"/>
      </w:r>
    </w:p>
    <w:p>
      <w:pPr>
        <w:pStyle w:val="TOC8"/>
        <w:rPr>
          <w:rFonts w:asciiTheme="minorHAnsi" w:eastAsiaTheme="minorEastAsia" w:hAnsiTheme="minorHAnsi" w:cstheme="minorBidi"/>
          <w:szCs w:val="22"/>
        </w:rPr>
      </w:pPr>
      <w:r>
        <w:t>5.</w:t>
      </w:r>
      <w:r>
        <w:tab/>
        <w:t>Fire and explosion</w:t>
      </w:r>
      <w:r>
        <w:tab/>
      </w:r>
      <w:r>
        <w:fldChar w:fldCharType="begin"/>
      </w:r>
      <w:r>
        <w:instrText xml:space="preserve"> PAGEREF _Toc200720777 \h </w:instrText>
      </w:r>
      <w:r>
        <w:fldChar w:fldCharType="separate"/>
      </w:r>
      <w:r>
        <w:t>648</w:t>
      </w:r>
      <w:r>
        <w:fldChar w:fldCharType="end"/>
      </w:r>
    </w:p>
    <w:p>
      <w:pPr>
        <w:pStyle w:val="TOC8"/>
        <w:rPr>
          <w:rFonts w:asciiTheme="minorHAnsi" w:eastAsiaTheme="minorEastAsia" w:hAnsiTheme="minorHAnsi" w:cstheme="minorBidi"/>
          <w:szCs w:val="22"/>
        </w:rPr>
      </w:pPr>
      <w:r>
        <w:t>6.</w:t>
      </w:r>
      <w:r>
        <w:tab/>
        <w:t>Gas outbursts at underground coal mines</w:t>
      </w:r>
      <w:r>
        <w:tab/>
      </w:r>
      <w:r>
        <w:fldChar w:fldCharType="begin"/>
      </w:r>
      <w:r>
        <w:instrText xml:space="preserve"> PAGEREF _Toc200720778 \h </w:instrText>
      </w:r>
      <w:r>
        <w:fldChar w:fldCharType="separate"/>
      </w:r>
      <w:r>
        <w:t>650</w:t>
      </w:r>
      <w:r>
        <w:fldChar w:fldCharType="end"/>
      </w:r>
    </w:p>
    <w:p>
      <w:pPr>
        <w:pStyle w:val="TOC8"/>
        <w:rPr>
          <w:rFonts w:asciiTheme="minorHAnsi" w:eastAsiaTheme="minorEastAsia" w:hAnsiTheme="minorHAnsi" w:cstheme="minorBidi"/>
          <w:szCs w:val="22"/>
        </w:rPr>
      </w:pPr>
      <w:r>
        <w:t>7.</w:t>
      </w:r>
      <w:r>
        <w:tab/>
        <w:t>Spontaneous combustion at underground coal mines</w:t>
      </w:r>
      <w:r>
        <w:tab/>
      </w:r>
      <w:r>
        <w:fldChar w:fldCharType="begin"/>
      </w:r>
      <w:r>
        <w:instrText xml:space="preserve"> PAGEREF _Toc200720779 \h </w:instrText>
      </w:r>
      <w:r>
        <w:fldChar w:fldCharType="separate"/>
      </w:r>
      <w:r>
        <w:t>650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20 — Prohibited uses in mines</w:t>
      </w:r>
    </w:p>
    <w:p>
      <w:pPr>
        <w:pStyle w:val="TOC2"/>
        <w:tabs>
          <w:tab w:val="right" w:leader="dot" w:pos="7077"/>
        </w:tabs>
        <w:rPr>
          <w:rFonts w:asciiTheme="minorHAnsi" w:eastAsiaTheme="minorEastAsia" w:hAnsiTheme="minorHAnsi" w:cstheme="minorBidi"/>
          <w:b w:val="0"/>
          <w:sz w:val="22"/>
          <w:szCs w:val="22"/>
        </w:rPr>
      </w:pPr>
      <w:r>
        <w:t>Schedule 21 — Not used</w:t>
      </w:r>
    </w:p>
    <w:p>
      <w:pPr>
        <w:pStyle w:val="TOC2"/>
        <w:tabs>
          <w:tab w:val="right" w:leader="dot" w:pos="7077"/>
        </w:tabs>
        <w:rPr>
          <w:rFonts w:asciiTheme="minorHAnsi" w:eastAsiaTheme="minorEastAsia" w:hAnsiTheme="minorHAnsi" w:cstheme="minorBidi"/>
          <w:b w:val="0"/>
          <w:sz w:val="22"/>
          <w:szCs w:val="22"/>
        </w:rPr>
      </w:pPr>
      <w:r>
        <w:t>Schedule 22 — Matters to be included in emergency plan for a mine</w:t>
      </w:r>
    </w:p>
    <w:p>
      <w:pPr>
        <w:pStyle w:val="TOC2"/>
        <w:tabs>
          <w:tab w:val="right" w:leader="dot" w:pos="7077"/>
        </w:tabs>
        <w:rPr>
          <w:rFonts w:asciiTheme="minorHAnsi" w:eastAsiaTheme="minorEastAsia" w:hAnsiTheme="minorHAnsi" w:cstheme="minorBidi"/>
          <w:b w:val="0"/>
          <w:sz w:val="22"/>
          <w:szCs w:val="22"/>
        </w:rPr>
      </w:pPr>
      <w:r>
        <w:t>Schedule 23 — High risk mining activities</w:t>
      </w:r>
    </w:p>
    <w:p>
      <w:pPr>
        <w:pStyle w:val="TOC2"/>
        <w:tabs>
          <w:tab w:val="right" w:leader="dot" w:pos="7077"/>
        </w:tabs>
        <w:rPr>
          <w:rFonts w:asciiTheme="minorHAnsi" w:eastAsiaTheme="minorEastAsia" w:hAnsiTheme="minorHAnsi" w:cstheme="minorBidi"/>
          <w:b w:val="0"/>
          <w:sz w:val="22"/>
          <w:szCs w:val="22"/>
        </w:rPr>
      </w:pPr>
      <w:r>
        <w:t>Schedule 24 — Information to be included in notification of reportable incidents</w:t>
      </w:r>
    </w:p>
    <w:p>
      <w:pPr>
        <w:pStyle w:val="TOC2"/>
        <w:tabs>
          <w:tab w:val="right" w:leader="dot" w:pos="7077"/>
        </w:tabs>
        <w:rPr>
          <w:rFonts w:asciiTheme="minorHAnsi" w:eastAsiaTheme="minorEastAsia" w:hAnsiTheme="minorHAnsi" w:cstheme="minorBidi"/>
          <w:b w:val="0"/>
          <w:sz w:val="22"/>
          <w:szCs w:val="22"/>
        </w:rPr>
      </w:pPr>
      <w:r>
        <w:t>Schedule 25 — Information to be included in quarterly reports</w:t>
      </w:r>
    </w:p>
    <w:p>
      <w:pPr>
        <w:pStyle w:val="TOC8"/>
        <w:rPr>
          <w:rFonts w:asciiTheme="minorHAnsi" w:eastAsiaTheme="minorEastAsia" w:hAnsiTheme="minorHAnsi" w:cstheme="minorBidi"/>
          <w:szCs w:val="22"/>
        </w:rPr>
      </w:pPr>
      <w:r>
        <w:t>1.</w:t>
      </w:r>
      <w:r>
        <w:tab/>
        <w:t>Meaning of relevant incident</w:t>
      </w:r>
      <w:r>
        <w:tab/>
      </w:r>
      <w:r>
        <w:fldChar w:fldCharType="begin"/>
      </w:r>
      <w:r>
        <w:instrText xml:space="preserve"> PAGEREF _Toc200720786 \h </w:instrText>
      </w:r>
      <w:r>
        <w:fldChar w:fldCharType="separate"/>
      </w:r>
      <w:r>
        <w:t>665</w:t>
      </w:r>
      <w:r>
        <w:fldChar w:fldCharType="end"/>
      </w:r>
    </w:p>
    <w:p>
      <w:pPr>
        <w:pStyle w:val="TOC8"/>
        <w:rPr>
          <w:rFonts w:asciiTheme="minorHAnsi" w:eastAsiaTheme="minorEastAsia" w:hAnsiTheme="minorHAnsi" w:cstheme="minorBidi"/>
          <w:szCs w:val="22"/>
        </w:rPr>
      </w:pPr>
      <w:r>
        <w:t>2.</w:t>
      </w:r>
      <w:r>
        <w:tab/>
        <w:t>Mine operator</w:t>
      </w:r>
      <w:r>
        <w:tab/>
      </w:r>
      <w:r>
        <w:fldChar w:fldCharType="begin"/>
      </w:r>
      <w:r>
        <w:instrText xml:space="preserve"> PAGEREF _Toc200720787 \h </w:instrText>
      </w:r>
      <w:r>
        <w:fldChar w:fldCharType="separate"/>
      </w:r>
      <w:r>
        <w:t>665</w:t>
      </w:r>
      <w:r>
        <w:fldChar w:fldCharType="end"/>
      </w:r>
    </w:p>
    <w:p>
      <w:pPr>
        <w:pStyle w:val="TOC8"/>
        <w:rPr>
          <w:rFonts w:asciiTheme="minorHAnsi" w:eastAsiaTheme="minorEastAsia" w:hAnsiTheme="minorHAnsi" w:cstheme="minorBidi"/>
          <w:szCs w:val="22"/>
        </w:rPr>
      </w:pPr>
      <w:r>
        <w:t>3.</w:t>
      </w:r>
      <w:r>
        <w:tab/>
        <w:t>The mine</w:t>
      </w:r>
      <w:r>
        <w:tab/>
      </w:r>
      <w:r>
        <w:fldChar w:fldCharType="begin"/>
      </w:r>
      <w:r>
        <w:instrText xml:space="preserve"> PAGEREF _Toc200720788 \h </w:instrText>
      </w:r>
      <w:r>
        <w:fldChar w:fldCharType="separate"/>
      </w:r>
      <w:r>
        <w:t>665</w:t>
      </w:r>
      <w:r>
        <w:fldChar w:fldCharType="end"/>
      </w:r>
    </w:p>
    <w:p>
      <w:pPr>
        <w:pStyle w:val="TOC8"/>
        <w:rPr>
          <w:rFonts w:asciiTheme="minorHAnsi" w:eastAsiaTheme="minorEastAsia" w:hAnsiTheme="minorHAnsi" w:cstheme="minorBidi"/>
          <w:szCs w:val="22"/>
        </w:rPr>
      </w:pPr>
      <w:r>
        <w:t>4.</w:t>
      </w:r>
      <w:r>
        <w:tab/>
        <w:t>Commodity processed</w:t>
      </w:r>
      <w:r>
        <w:tab/>
      </w:r>
      <w:r>
        <w:fldChar w:fldCharType="begin"/>
      </w:r>
      <w:r>
        <w:instrText xml:space="preserve"> PAGEREF _Toc200720789 \h </w:instrText>
      </w:r>
      <w:r>
        <w:fldChar w:fldCharType="separate"/>
      </w:r>
      <w:r>
        <w:t>665</w:t>
      </w:r>
      <w:r>
        <w:fldChar w:fldCharType="end"/>
      </w:r>
    </w:p>
    <w:p>
      <w:pPr>
        <w:pStyle w:val="TOC8"/>
        <w:rPr>
          <w:rFonts w:asciiTheme="minorHAnsi" w:eastAsiaTheme="minorEastAsia" w:hAnsiTheme="minorHAnsi" w:cstheme="minorBidi"/>
          <w:szCs w:val="22"/>
        </w:rPr>
      </w:pPr>
      <w:r>
        <w:t>5.</w:t>
      </w:r>
      <w:r>
        <w:tab/>
        <w:t>Number of workers</w:t>
      </w:r>
      <w:r>
        <w:tab/>
      </w:r>
      <w:r>
        <w:fldChar w:fldCharType="begin"/>
      </w:r>
      <w:r>
        <w:instrText xml:space="preserve"> PAGEREF _Toc200720790 \h </w:instrText>
      </w:r>
      <w:r>
        <w:fldChar w:fldCharType="separate"/>
      </w:r>
      <w:r>
        <w:t>665</w:t>
      </w:r>
      <w:r>
        <w:fldChar w:fldCharType="end"/>
      </w:r>
    </w:p>
    <w:p>
      <w:pPr>
        <w:pStyle w:val="TOC8"/>
        <w:rPr>
          <w:rFonts w:asciiTheme="minorHAnsi" w:eastAsiaTheme="minorEastAsia" w:hAnsiTheme="minorHAnsi" w:cstheme="minorBidi"/>
          <w:szCs w:val="22"/>
        </w:rPr>
      </w:pPr>
      <w:r>
        <w:t>6.</w:t>
      </w:r>
      <w:r>
        <w:tab/>
        <w:t>Number of hours worked</w:t>
      </w:r>
      <w:r>
        <w:tab/>
      </w:r>
      <w:r>
        <w:fldChar w:fldCharType="begin"/>
      </w:r>
      <w:r>
        <w:instrText xml:space="preserve"> PAGEREF _Toc200720791 \h </w:instrText>
      </w:r>
      <w:r>
        <w:fldChar w:fldCharType="separate"/>
      </w:r>
      <w:r>
        <w:t>665</w:t>
      </w:r>
      <w:r>
        <w:fldChar w:fldCharType="end"/>
      </w:r>
    </w:p>
    <w:p>
      <w:pPr>
        <w:pStyle w:val="TOC8"/>
        <w:rPr>
          <w:rFonts w:asciiTheme="minorHAnsi" w:eastAsiaTheme="minorEastAsia" w:hAnsiTheme="minorHAnsi" w:cstheme="minorBidi"/>
          <w:szCs w:val="22"/>
        </w:rPr>
      </w:pPr>
      <w:r>
        <w:t>7.</w:t>
      </w:r>
      <w:r>
        <w:tab/>
        <w:t>Number of relevant incidents</w:t>
      </w:r>
      <w:r>
        <w:tab/>
      </w:r>
      <w:r>
        <w:fldChar w:fldCharType="begin"/>
      </w:r>
      <w:r>
        <w:instrText xml:space="preserve"> PAGEREF _Toc200720792 \h </w:instrText>
      </w:r>
      <w:r>
        <w:fldChar w:fldCharType="separate"/>
      </w:r>
      <w:r>
        <w:t>665</w:t>
      </w:r>
      <w:r>
        <w:fldChar w:fldCharType="end"/>
      </w:r>
    </w:p>
    <w:p>
      <w:pPr>
        <w:pStyle w:val="TOC8"/>
        <w:rPr>
          <w:rFonts w:asciiTheme="minorHAnsi" w:eastAsiaTheme="minorEastAsia" w:hAnsiTheme="minorHAnsi" w:cstheme="minorBidi"/>
          <w:szCs w:val="22"/>
        </w:rPr>
      </w:pPr>
      <w:r>
        <w:t>8.</w:t>
      </w:r>
      <w:r>
        <w:tab/>
        <w:t>Number of lost time injuries</w:t>
      </w:r>
      <w:r>
        <w:tab/>
      </w:r>
      <w:r>
        <w:fldChar w:fldCharType="begin"/>
      </w:r>
      <w:r>
        <w:instrText xml:space="preserve"> PAGEREF _Toc200720793 \h </w:instrText>
      </w:r>
      <w:r>
        <w:fldChar w:fldCharType="separate"/>
      </w:r>
      <w:r>
        <w:t>665</w:t>
      </w:r>
      <w:r>
        <w:fldChar w:fldCharType="end"/>
      </w:r>
    </w:p>
    <w:p>
      <w:pPr>
        <w:pStyle w:val="TOC8"/>
        <w:rPr>
          <w:rFonts w:asciiTheme="minorHAnsi" w:eastAsiaTheme="minorEastAsia" w:hAnsiTheme="minorHAnsi" w:cstheme="minorBidi"/>
          <w:szCs w:val="22"/>
        </w:rPr>
      </w:pPr>
      <w:r>
        <w:t>9.</w:t>
      </w:r>
      <w:r>
        <w:tab/>
        <w:t>Days lost from work</w:t>
      </w:r>
      <w:r>
        <w:tab/>
      </w:r>
      <w:r>
        <w:fldChar w:fldCharType="begin"/>
      </w:r>
      <w:r>
        <w:instrText xml:space="preserve"> PAGEREF _Toc200720794 \h </w:instrText>
      </w:r>
      <w:r>
        <w:fldChar w:fldCharType="separate"/>
      </w:r>
      <w:r>
        <w:t>666</w:t>
      </w:r>
      <w:r>
        <w:fldChar w:fldCharType="end"/>
      </w:r>
    </w:p>
    <w:p>
      <w:pPr>
        <w:pStyle w:val="TOC8"/>
        <w:rPr>
          <w:rFonts w:asciiTheme="minorHAnsi" w:eastAsiaTheme="minorEastAsia" w:hAnsiTheme="minorHAnsi" w:cstheme="minorBidi"/>
          <w:szCs w:val="22"/>
        </w:rPr>
      </w:pPr>
      <w:r>
        <w:t>10.</w:t>
      </w:r>
      <w:r>
        <w:tab/>
        <w:t>Number of restricted duty days</w:t>
      </w:r>
      <w:r>
        <w:tab/>
      </w:r>
      <w:r>
        <w:fldChar w:fldCharType="begin"/>
      </w:r>
      <w:r>
        <w:instrText xml:space="preserve"> PAGEREF _Toc200720795 \h </w:instrText>
      </w:r>
      <w:r>
        <w:fldChar w:fldCharType="separate"/>
      </w:r>
      <w:r>
        <w:t>666</w:t>
      </w:r>
      <w:r>
        <w:fldChar w:fldCharType="end"/>
      </w:r>
    </w:p>
    <w:p>
      <w:pPr>
        <w:pStyle w:val="TOC8"/>
        <w:rPr>
          <w:rFonts w:asciiTheme="minorHAnsi" w:eastAsiaTheme="minorEastAsia" w:hAnsiTheme="minorHAnsi" w:cstheme="minorBidi"/>
          <w:szCs w:val="22"/>
        </w:rPr>
      </w:pPr>
      <w:r>
        <w:t>11.</w:t>
      </w:r>
      <w:r>
        <w:tab/>
        <w:t>Number of workers placed on restricted duties</w:t>
      </w:r>
      <w:r>
        <w:tab/>
      </w:r>
      <w:r>
        <w:fldChar w:fldCharType="begin"/>
      </w:r>
      <w:r>
        <w:instrText xml:space="preserve"> PAGEREF _Toc200720796 \h </w:instrText>
      </w:r>
      <w:r>
        <w:fldChar w:fldCharType="separate"/>
      </w:r>
      <w:r>
        <w:t>666</w:t>
      </w:r>
      <w:r>
        <w:fldChar w:fldCharType="end"/>
      </w:r>
    </w:p>
    <w:p>
      <w:pPr>
        <w:pStyle w:val="TOC8"/>
        <w:rPr>
          <w:rFonts w:asciiTheme="minorHAnsi" w:eastAsiaTheme="minorEastAsia" w:hAnsiTheme="minorHAnsi" w:cstheme="minorBidi"/>
          <w:szCs w:val="22"/>
        </w:rPr>
      </w:pPr>
      <w:r>
        <w:t>12.</w:t>
      </w:r>
      <w:r>
        <w:tab/>
        <w:t>Number of treatment injuries</w:t>
      </w:r>
      <w:r>
        <w:tab/>
      </w:r>
      <w:r>
        <w:fldChar w:fldCharType="begin"/>
      </w:r>
      <w:r>
        <w:instrText xml:space="preserve"> PAGEREF _Toc200720797 \h </w:instrText>
      </w:r>
      <w:r>
        <w:fldChar w:fldCharType="separate"/>
      </w:r>
      <w:r>
        <w:t>666</w:t>
      </w:r>
      <w:r>
        <w:fldChar w:fldCharType="end"/>
      </w:r>
    </w:p>
    <w:p>
      <w:pPr>
        <w:pStyle w:val="TOC8"/>
        <w:rPr>
          <w:rFonts w:asciiTheme="minorHAnsi" w:eastAsiaTheme="minorEastAsia" w:hAnsiTheme="minorHAnsi" w:cstheme="minorBidi"/>
          <w:szCs w:val="22"/>
        </w:rPr>
      </w:pPr>
      <w:r>
        <w:t>13.</w:t>
      </w:r>
      <w:r>
        <w:tab/>
        <w:t>Number of deaths</w:t>
      </w:r>
      <w:r>
        <w:tab/>
      </w:r>
      <w:r>
        <w:fldChar w:fldCharType="begin"/>
      </w:r>
      <w:r>
        <w:instrText xml:space="preserve"> PAGEREF _Toc200720798 \h </w:instrText>
      </w:r>
      <w:r>
        <w:fldChar w:fldCharType="separate"/>
      </w:r>
      <w:r>
        <w:t>666</w:t>
      </w:r>
      <w:r>
        <w:fldChar w:fldCharType="end"/>
      </w:r>
    </w:p>
    <w:p>
      <w:pPr>
        <w:pStyle w:val="TOC8"/>
        <w:rPr>
          <w:rFonts w:asciiTheme="minorHAnsi" w:eastAsiaTheme="minorEastAsia" w:hAnsiTheme="minorHAnsi" w:cstheme="minorBidi"/>
          <w:szCs w:val="22"/>
        </w:rPr>
      </w:pPr>
      <w:r>
        <w:t>14.</w:t>
      </w:r>
      <w:r>
        <w:tab/>
        <w:t>Other information</w:t>
      </w:r>
      <w:r>
        <w:tab/>
      </w:r>
      <w:r>
        <w:fldChar w:fldCharType="begin"/>
      </w:r>
      <w:r>
        <w:instrText xml:space="preserve"> PAGEREF _Toc200720799 \h </w:instrText>
      </w:r>
      <w:r>
        <w:fldChar w:fldCharType="separate"/>
      </w:r>
      <w:r>
        <w:t>666</w:t>
      </w:r>
      <w:r>
        <w:fldChar w:fldCharType="end"/>
      </w:r>
    </w:p>
    <w:p>
      <w:pPr>
        <w:pStyle w:val="TOC2"/>
        <w:tabs>
          <w:tab w:val="right" w:leader="dot" w:pos="7077"/>
        </w:tabs>
        <w:rPr>
          <w:rFonts w:asciiTheme="minorHAnsi" w:eastAsiaTheme="minorEastAsia" w:hAnsiTheme="minorHAnsi" w:cstheme="minorBidi"/>
          <w:b w:val="0"/>
          <w:sz w:val="22"/>
          <w:szCs w:val="22"/>
        </w:rPr>
      </w:pPr>
      <w:r>
        <w:t>Schedule 26 — Statutory positions</w:t>
      </w:r>
    </w:p>
    <w:p>
      <w:pPr>
        <w:pStyle w:val="TOC8"/>
        <w:rPr>
          <w:rFonts w:asciiTheme="minorHAnsi" w:eastAsiaTheme="minorEastAsia" w:hAnsiTheme="minorHAnsi" w:cstheme="minorBidi"/>
          <w:szCs w:val="22"/>
        </w:rPr>
      </w:pPr>
      <w:r>
        <w:t>1.</w:t>
      </w:r>
      <w:r>
        <w:tab/>
        <w:t>Radiation safety officers</w:t>
      </w:r>
      <w:r>
        <w:tab/>
      </w:r>
      <w:r>
        <w:fldChar w:fldCharType="begin"/>
      </w:r>
      <w:r>
        <w:instrText xml:space="preserve"> PAGEREF _Toc200720801 \h </w:instrText>
      </w:r>
      <w:r>
        <w:fldChar w:fldCharType="separate"/>
      </w:r>
      <w:r>
        <w:t>667</w:t>
      </w:r>
      <w:r>
        <w:fldChar w:fldCharType="end"/>
      </w:r>
    </w:p>
    <w:p>
      <w:pPr>
        <w:pStyle w:val="TOC8"/>
        <w:rPr>
          <w:rFonts w:asciiTheme="minorHAnsi" w:eastAsiaTheme="minorEastAsia" w:hAnsiTheme="minorHAnsi" w:cstheme="minorBidi"/>
          <w:szCs w:val="22"/>
        </w:rPr>
      </w:pPr>
      <w:r>
        <w:t>2.</w:t>
      </w:r>
      <w:r>
        <w:tab/>
        <w:t>Noise officers</w:t>
      </w:r>
      <w:r>
        <w:tab/>
      </w:r>
      <w:r>
        <w:fldChar w:fldCharType="begin"/>
      </w:r>
      <w:r>
        <w:instrText xml:space="preserve"> PAGEREF _Toc200720802 \h </w:instrText>
      </w:r>
      <w:r>
        <w:fldChar w:fldCharType="separate"/>
      </w:r>
      <w:r>
        <w:t>667</w:t>
      </w:r>
      <w:r>
        <w:fldChar w:fldCharType="end"/>
      </w:r>
    </w:p>
    <w:p>
      <w:pPr>
        <w:pStyle w:val="TOC8"/>
        <w:rPr>
          <w:rFonts w:asciiTheme="minorHAnsi" w:eastAsiaTheme="minorEastAsia" w:hAnsiTheme="minorHAnsi" w:cstheme="minorBidi"/>
          <w:szCs w:val="22"/>
        </w:rPr>
      </w:pPr>
      <w:r>
        <w:t>3.</w:t>
      </w:r>
      <w:r>
        <w:tab/>
        <w:t>Statutory supervisors</w:t>
      </w:r>
      <w:r>
        <w:tab/>
      </w:r>
      <w:r>
        <w:fldChar w:fldCharType="begin"/>
      </w:r>
      <w:r>
        <w:instrText xml:space="preserve"> PAGEREF _Toc200720803 \h </w:instrText>
      </w:r>
      <w:r>
        <w:fldChar w:fldCharType="separate"/>
      </w:r>
      <w:r>
        <w:t>668</w:t>
      </w:r>
      <w:r>
        <w:fldChar w:fldCharType="end"/>
      </w:r>
    </w:p>
    <w:p>
      <w:pPr>
        <w:pStyle w:val="TOC8"/>
        <w:rPr>
          <w:rFonts w:asciiTheme="minorHAnsi" w:eastAsiaTheme="minorEastAsia" w:hAnsiTheme="minorHAnsi" w:cstheme="minorBidi"/>
          <w:szCs w:val="22"/>
        </w:rPr>
      </w:pPr>
      <w:r>
        <w:t>4.</w:t>
      </w:r>
      <w:r>
        <w:tab/>
        <w:t>Mine air quality officers</w:t>
      </w:r>
      <w:r>
        <w:tab/>
      </w:r>
      <w:r>
        <w:fldChar w:fldCharType="begin"/>
      </w:r>
      <w:r>
        <w:instrText xml:space="preserve"> PAGEREF _Toc200720804 \h </w:instrText>
      </w:r>
      <w:r>
        <w:fldChar w:fldCharType="separate"/>
      </w:r>
      <w:r>
        <w:t>670</w:t>
      </w:r>
      <w:r>
        <w:fldChar w:fldCharType="end"/>
      </w:r>
    </w:p>
    <w:p>
      <w:pPr>
        <w:pStyle w:val="TOC8"/>
        <w:rPr>
          <w:rFonts w:asciiTheme="minorHAnsi" w:eastAsiaTheme="minorEastAsia" w:hAnsiTheme="minorHAnsi" w:cstheme="minorBidi"/>
          <w:szCs w:val="22"/>
        </w:rPr>
      </w:pPr>
      <w:r>
        <w:t>5.</w:t>
      </w:r>
      <w:r>
        <w:tab/>
        <w:t>Electrical supervisors</w:t>
      </w:r>
      <w:r>
        <w:tab/>
      </w:r>
      <w:r>
        <w:fldChar w:fldCharType="begin"/>
      </w:r>
      <w:r>
        <w:instrText xml:space="preserve"> PAGEREF _Toc200720805 \h </w:instrText>
      </w:r>
      <w:r>
        <w:fldChar w:fldCharType="separate"/>
      </w:r>
      <w:r>
        <w:t>670</w:t>
      </w:r>
      <w:r>
        <w:fldChar w:fldCharType="end"/>
      </w:r>
    </w:p>
    <w:p>
      <w:pPr>
        <w:pStyle w:val="TOC8"/>
        <w:rPr>
          <w:rFonts w:asciiTheme="minorHAnsi" w:eastAsiaTheme="minorEastAsia" w:hAnsiTheme="minorHAnsi" w:cstheme="minorBidi"/>
          <w:szCs w:val="22"/>
        </w:rPr>
      </w:pPr>
      <w:r>
        <w:lastRenderedPageBreak/>
        <w:t>6.</w:t>
      </w:r>
      <w:r>
        <w:tab/>
        <w:t>High voltage operators</w:t>
      </w:r>
      <w:r>
        <w:tab/>
      </w:r>
      <w:r>
        <w:fldChar w:fldCharType="begin"/>
      </w:r>
      <w:r>
        <w:instrText xml:space="preserve"> PAGEREF _Toc200720806 \h </w:instrText>
      </w:r>
      <w:r>
        <w:fldChar w:fldCharType="separate"/>
      </w:r>
      <w:r>
        <w:t>672</w:t>
      </w:r>
      <w:r>
        <w:fldChar w:fldCharType="end"/>
      </w:r>
    </w:p>
    <w:p>
      <w:pPr>
        <w:pStyle w:val="TOC8"/>
        <w:rPr>
          <w:rFonts w:asciiTheme="minorHAnsi" w:eastAsiaTheme="minorEastAsia" w:hAnsiTheme="minorHAnsi" w:cstheme="minorBidi"/>
          <w:szCs w:val="22"/>
        </w:rPr>
      </w:pPr>
      <w:r>
        <w:t>7.</w:t>
      </w:r>
      <w:r>
        <w:tab/>
        <w:t>Underground managers (non</w:t>
      </w:r>
      <w:r>
        <w:noBreakHyphen/>
        <w:t>coal)</w:t>
      </w:r>
      <w:r>
        <w:tab/>
      </w:r>
      <w:r>
        <w:fldChar w:fldCharType="begin"/>
      </w:r>
      <w:r>
        <w:instrText xml:space="preserve"> PAGEREF _Toc200720807 \h </w:instrText>
      </w:r>
      <w:r>
        <w:fldChar w:fldCharType="separate"/>
      </w:r>
      <w:r>
        <w:t>673</w:t>
      </w:r>
      <w:r>
        <w:fldChar w:fldCharType="end"/>
      </w:r>
    </w:p>
    <w:p>
      <w:pPr>
        <w:pStyle w:val="TOC8"/>
        <w:rPr>
          <w:rFonts w:asciiTheme="minorHAnsi" w:eastAsiaTheme="minorEastAsia" w:hAnsiTheme="minorHAnsi" w:cstheme="minorBidi"/>
          <w:szCs w:val="22"/>
        </w:rPr>
      </w:pPr>
      <w:r>
        <w:t>8.</w:t>
      </w:r>
      <w:r>
        <w:tab/>
        <w:t>Underground managers (coal)</w:t>
      </w:r>
      <w:r>
        <w:tab/>
      </w:r>
      <w:r>
        <w:fldChar w:fldCharType="begin"/>
      </w:r>
      <w:r>
        <w:instrText xml:space="preserve"> PAGEREF _Toc200720808 \h </w:instrText>
      </w:r>
      <w:r>
        <w:fldChar w:fldCharType="separate"/>
      </w:r>
      <w:r>
        <w:t>673</w:t>
      </w:r>
      <w:r>
        <w:fldChar w:fldCharType="end"/>
      </w:r>
    </w:p>
    <w:p>
      <w:pPr>
        <w:pStyle w:val="TOC8"/>
        <w:rPr>
          <w:rFonts w:asciiTheme="minorHAnsi" w:eastAsiaTheme="minorEastAsia" w:hAnsiTheme="minorHAnsi" w:cstheme="minorBidi"/>
          <w:szCs w:val="22"/>
        </w:rPr>
      </w:pPr>
      <w:r>
        <w:t>9.</w:t>
      </w:r>
      <w:r>
        <w:tab/>
        <w:t>Underground supervisors (non</w:t>
      </w:r>
      <w:r>
        <w:noBreakHyphen/>
        <w:t>coal)</w:t>
      </w:r>
      <w:r>
        <w:tab/>
      </w:r>
      <w:r>
        <w:fldChar w:fldCharType="begin"/>
      </w:r>
      <w:r>
        <w:instrText xml:space="preserve"> PAGEREF _Toc200720809 \h </w:instrText>
      </w:r>
      <w:r>
        <w:fldChar w:fldCharType="separate"/>
      </w:r>
      <w:r>
        <w:t>674</w:t>
      </w:r>
      <w:r>
        <w:fldChar w:fldCharType="end"/>
      </w:r>
    </w:p>
    <w:p>
      <w:pPr>
        <w:pStyle w:val="TOC8"/>
        <w:rPr>
          <w:rFonts w:asciiTheme="minorHAnsi" w:eastAsiaTheme="minorEastAsia" w:hAnsiTheme="minorHAnsi" w:cstheme="minorBidi"/>
          <w:szCs w:val="22"/>
        </w:rPr>
      </w:pPr>
      <w:r>
        <w:t>10.</w:t>
      </w:r>
      <w:r>
        <w:tab/>
        <w:t>Underground supervisors (coal)</w:t>
      </w:r>
      <w:r>
        <w:tab/>
      </w:r>
      <w:r>
        <w:fldChar w:fldCharType="begin"/>
      </w:r>
      <w:r>
        <w:instrText xml:space="preserve"> PAGEREF _Toc200720810 \h </w:instrText>
      </w:r>
      <w:r>
        <w:fldChar w:fldCharType="separate"/>
      </w:r>
      <w:r>
        <w:t>675</w:t>
      </w:r>
      <w:r>
        <w:fldChar w:fldCharType="end"/>
      </w:r>
    </w:p>
    <w:p>
      <w:pPr>
        <w:pStyle w:val="TOC8"/>
        <w:rPr>
          <w:rFonts w:asciiTheme="minorHAnsi" w:eastAsiaTheme="minorEastAsia" w:hAnsiTheme="minorHAnsi" w:cstheme="minorBidi"/>
          <w:szCs w:val="22"/>
        </w:rPr>
      </w:pPr>
      <w:r>
        <w:t>11.</w:t>
      </w:r>
      <w:r>
        <w:tab/>
        <w:t>Underground ventilation officers</w:t>
      </w:r>
      <w:r>
        <w:tab/>
      </w:r>
      <w:r>
        <w:fldChar w:fldCharType="begin"/>
      </w:r>
      <w:r>
        <w:instrText xml:space="preserve"> PAGEREF _Toc200720811 \h </w:instrText>
      </w:r>
      <w:r>
        <w:fldChar w:fldCharType="separate"/>
      </w:r>
      <w:r>
        <w:t>676</w:t>
      </w:r>
      <w:r>
        <w:fldChar w:fldCharType="end"/>
      </w:r>
    </w:p>
    <w:p>
      <w:pPr>
        <w:pStyle w:val="TOC8"/>
        <w:rPr>
          <w:rFonts w:asciiTheme="minorHAnsi" w:eastAsiaTheme="minorEastAsia" w:hAnsiTheme="minorHAnsi" w:cstheme="minorBidi"/>
          <w:szCs w:val="22"/>
        </w:rPr>
      </w:pPr>
      <w:r>
        <w:t>12.</w:t>
      </w:r>
      <w:r>
        <w:tab/>
        <w:t>Authorised mine surveyors (underground)</w:t>
      </w:r>
      <w:r>
        <w:tab/>
      </w:r>
      <w:r>
        <w:fldChar w:fldCharType="begin"/>
      </w:r>
      <w:r>
        <w:instrText xml:space="preserve"> PAGEREF _Toc200720812 \h </w:instrText>
      </w:r>
      <w:r>
        <w:fldChar w:fldCharType="separate"/>
      </w:r>
      <w:r>
        <w:t>678</w:t>
      </w:r>
      <w:r>
        <w:fldChar w:fldCharType="end"/>
      </w:r>
    </w:p>
    <w:p>
      <w:pPr>
        <w:pStyle w:val="TOC8"/>
        <w:rPr>
          <w:rFonts w:asciiTheme="minorHAnsi" w:eastAsiaTheme="minorEastAsia" w:hAnsiTheme="minorHAnsi" w:cstheme="minorBidi"/>
          <w:szCs w:val="22"/>
        </w:rPr>
      </w:pPr>
      <w:r>
        <w:t>13.</w:t>
      </w:r>
      <w:r>
        <w:tab/>
        <w:t>Winding engine drivers</w:t>
      </w:r>
      <w:r>
        <w:tab/>
      </w:r>
      <w:r>
        <w:fldChar w:fldCharType="begin"/>
      </w:r>
      <w:r>
        <w:instrText xml:space="preserve"> PAGEREF _Toc200720813 \h </w:instrText>
      </w:r>
      <w:r>
        <w:fldChar w:fldCharType="separate"/>
      </w:r>
      <w:r>
        <w:t>678</w:t>
      </w:r>
      <w:r>
        <w:fldChar w:fldCharType="end"/>
      </w:r>
    </w:p>
    <w:p>
      <w:pPr>
        <w:pStyle w:val="TOC8"/>
        <w:rPr>
          <w:rFonts w:asciiTheme="minorHAnsi" w:eastAsiaTheme="minorEastAsia" w:hAnsiTheme="minorHAnsi" w:cstheme="minorBidi"/>
          <w:szCs w:val="22"/>
        </w:rPr>
      </w:pPr>
      <w:r>
        <w:t>14.</w:t>
      </w:r>
      <w:r>
        <w:tab/>
        <w:t>Quarry managers</w:t>
      </w:r>
      <w:r>
        <w:tab/>
      </w:r>
      <w:r>
        <w:fldChar w:fldCharType="begin"/>
      </w:r>
      <w:r>
        <w:instrText xml:space="preserve"> PAGEREF _Toc200720814 \h </w:instrText>
      </w:r>
      <w:r>
        <w:fldChar w:fldCharType="separate"/>
      </w:r>
      <w:r>
        <w:t>679</w:t>
      </w:r>
      <w:r>
        <w:fldChar w:fldCharType="end"/>
      </w:r>
    </w:p>
    <w:p>
      <w:pPr>
        <w:pStyle w:val="TOC8"/>
        <w:rPr>
          <w:rFonts w:asciiTheme="minorHAnsi" w:eastAsiaTheme="minorEastAsia" w:hAnsiTheme="minorHAnsi" w:cstheme="minorBidi"/>
          <w:szCs w:val="22"/>
        </w:rPr>
      </w:pPr>
      <w:r>
        <w:t>15.</w:t>
      </w:r>
      <w:r>
        <w:tab/>
        <w:t>Authorised mine surveyors (quarry operation)</w:t>
      </w:r>
      <w:r>
        <w:tab/>
      </w:r>
      <w:r>
        <w:fldChar w:fldCharType="begin"/>
      </w:r>
      <w:r>
        <w:instrText xml:space="preserve"> PAGEREF _Toc200720815 \h </w:instrText>
      </w:r>
      <w:r>
        <w:fldChar w:fldCharType="separate"/>
      </w:r>
      <w:r>
        <w:t>680</w:t>
      </w:r>
      <w:r>
        <w:fldChar w:fldCharType="end"/>
      </w:r>
    </w:p>
    <w:p>
      <w:pPr>
        <w:pStyle w:val="TOC2"/>
        <w:tabs>
          <w:tab w:val="right" w:leader="dot" w:pos="7077"/>
        </w:tabs>
        <w:rPr>
          <w:rFonts w:asciiTheme="minorHAnsi" w:eastAsiaTheme="minorEastAsia" w:hAnsiTheme="minorHAnsi" w:cstheme="minorBidi"/>
          <w:b w:val="0"/>
          <w:sz w:val="22"/>
          <w:szCs w:val="22"/>
        </w:rPr>
      </w:pPr>
      <w:r>
        <w:t>Schedule 27 — Statutory certificates</w:t>
      </w:r>
    </w:p>
    <w:p>
      <w:pPr>
        <w:pStyle w:val="TOC8"/>
        <w:rPr>
          <w:rFonts w:asciiTheme="minorHAnsi" w:eastAsiaTheme="minorEastAsia" w:hAnsiTheme="minorHAnsi" w:cstheme="minorBidi"/>
          <w:szCs w:val="22"/>
        </w:rPr>
      </w:pPr>
      <w:r>
        <w:t>1.</w:t>
      </w:r>
      <w:r>
        <w:tab/>
        <w:t>First class mine manager’s certificates for coal mines</w:t>
      </w:r>
      <w:r>
        <w:tab/>
      </w:r>
      <w:r>
        <w:fldChar w:fldCharType="begin"/>
      </w:r>
      <w:r>
        <w:instrText xml:space="preserve"> PAGEREF _Toc200720817 \h </w:instrText>
      </w:r>
      <w:r>
        <w:fldChar w:fldCharType="separate"/>
      </w:r>
      <w:r>
        <w:t>682</w:t>
      </w:r>
      <w:r>
        <w:fldChar w:fldCharType="end"/>
      </w:r>
    </w:p>
    <w:p>
      <w:pPr>
        <w:pStyle w:val="TOC8"/>
        <w:rPr>
          <w:rFonts w:asciiTheme="minorHAnsi" w:eastAsiaTheme="minorEastAsia" w:hAnsiTheme="minorHAnsi" w:cstheme="minorBidi"/>
          <w:szCs w:val="22"/>
        </w:rPr>
      </w:pPr>
      <w:r>
        <w:t>2.</w:t>
      </w:r>
      <w:r>
        <w:tab/>
        <w:t>First class mine manager’s certificates for non</w:t>
      </w:r>
      <w:r>
        <w:noBreakHyphen/>
        <w:t>coal mines</w:t>
      </w:r>
      <w:r>
        <w:tab/>
      </w:r>
      <w:r>
        <w:fldChar w:fldCharType="begin"/>
      </w:r>
      <w:r>
        <w:instrText xml:space="preserve"> PAGEREF _Toc200720818 \h </w:instrText>
      </w:r>
      <w:r>
        <w:fldChar w:fldCharType="separate"/>
      </w:r>
      <w:r>
        <w:t>683</w:t>
      </w:r>
      <w:r>
        <w:fldChar w:fldCharType="end"/>
      </w:r>
    </w:p>
    <w:p>
      <w:pPr>
        <w:pStyle w:val="TOC8"/>
        <w:rPr>
          <w:rFonts w:asciiTheme="minorHAnsi" w:eastAsiaTheme="minorEastAsia" w:hAnsiTheme="minorHAnsi" w:cstheme="minorBidi"/>
          <w:szCs w:val="22"/>
        </w:rPr>
      </w:pPr>
      <w:r>
        <w:t>3.</w:t>
      </w:r>
      <w:r>
        <w:tab/>
        <w:t>Quarry manager’s certificates</w:t>
      </w:r>
      <w:r>
        <w:tab/>
      </w:r>
      <w:r>
        <w:fldChar w:fldCharType="begin"/>
      </w:r>
      <w:r>
        <w:instrText xml:space="preserve"> PAGEREF _Toc200720819 \h </w:instrText>
      </w:r>
      <w:r>
        <w:fldChar w:fldCharType="separate"/>
      </w:r>
      <w:r>
        <w:t>684</w:t>
      </w:r>
      <w:r>
        <w:fldChar w:fldCharType="end"/>
      </w:r>
    </w:p>
    <w:p>
      <w:pPr>
        <w:pStyle w:val="TOC8"/>
        <w:rPr>
          <w:rFonts w:asciiTheme="minorHAnsi" w:eastAsiaTheme="minorEastAsia" w:hAnsiTheme="minorHAnsi" w:cstheme="minorBidi"/>
          <w:szCs w:val="22"/>
        </w:rPr>
      </w:pPr>
      <w:r>
        <w:t>4.</w:t>
      </w:r>
      <w:r>
        <w:tab/>
        <w:t>Underground supervisor’s certificates</w:t>
      </w:r>
      <w:r>
        <w:tab/>
      </w:r>
      <w:r>
        <w:fldChar w:fldCharType="begin"/>
      </w:r>
      <w:r>
        <w:instrText xml:space="preserve"> PAGEREF _Toc200720820 \h </w:instrText>
      </w:r>
      <w:r>
        <w:fldChar w:fldCharType="separate"/>
      </w:r>
      <w:r>
        <w:t>685</w:t>
      </w:r>
      <w:r>
        <w:fldChar w:fldCharType="end"/>
      </w:r>
    </w:p>
    <w:p>
      <w:pPr>
        <w:pStyle w:val="TOC8"/>
        <w:rPr>
          <w:rFonts w:asciiTheme="minorHAnsi" w:eastAsiaTheme="minorEastAsia" w:hAnsiTheme="minorHAnsi" w:cstheme="minorBidi"/>
          <w:szCs w:val="22"/>
        </w:rPr>
      </w:pPr>
      <w:r>
        <w:t>5.</w:t>
      </w:r>
      <w:r>
        <w:tab/>
        <w:t>Deputy’s certificates for underground coal mines</w:t>
      </w:r>
      <w:r>
        <w:tab/>
      </w:r>
      <w:r>
        <w:fldChar w:fldCharType="begin"/>
      </w:r>
      <w:r>
        <w:instrText xml:space="preserve"> PAGEREF _Toc200720821 \h </w:instrText>
      </w:r>
      <w:r>
        <w:fldChar w:fldCharType="separate"/>
      </w:r>
      <w:r>
        <w:t>686</w:t>
      </w:r>
      <w:r>
        <w:fldChar w:fldCharType="end"/>
      </w:r>
    </w:p>
    <w:p>
      <w:pPr>
        <w:pStyle w:val="TOC8"/>
        <w:rPr>
          <w:rFonts w:asciiTheme="minorHAnsi" w:eastAsiaTheme="minorEastAsia" w:hAnsiTheme="minorHAnsi" w:cstheme="minorBidi"/>
          <w:szCs w:val="22"/>
        </w:rPr>
      </w:pPr>
      <w:r>
        <w:t>6.</w:t>
      </w:r>
      <w:r>
        <w:tab/>
        <w:t>Restricted quarry manager’s certificates</w:t>
      </w:r>
      <w:r>
        <w:tab/>
      </w:r>
      <w:r>
        <w:fldChar w:fldCharType="begin"/>
      </w:r>
      <w:r>
        <w:instrText xml:space="preserve"> PAGEREF _Toc200720822 \h </w:instrText>
      </w:r>
      <w:r>
        <w:fldChar w:fldCharType="separate"/>
      </w:r>
      <w:r>
        <w:t>688</w:t>
      </w:r>
      <w:r>
        <w:fldChar w:fldCharType="end"/>
      </w:r>
    </w:p>
    <w:p>
      <w:pPr>
        <w:pStyle w:val="TOC8"/>
        <w:rPr>
          <w:rFonts w:asciiTheme="minorHAnsi" w:eastAsiaTheme="minorEastAsia" w:hAnsiTheme="minorHAnsi" w:cstheme="minorBidi"/>
          <w:szCs w:val="22"/>
        </w:rPr>
      </w:pPr>
      <w:r>
        <w:t>7.</w:t>
      </w:r>
      <w:r>
        <w:tab/>
        <w:t>Authorised mine surveyor’s certificate (grade 1)</w:t>
      </w:r>
      <w:r>
        <w:tab/>
      </w:r>
      <w:r>
        <w:fldChar w:fldCharType="begin"/>
      </w:r>
      <w:r>
        <w:instrText xml:space="preserve"> PAGEREF _Toc200720823 \h </w:instrText>
      </w:r>
      <w:r>
        <w:fldChar w:fldCharType="separate"/>
      </w:r>
      <w:r>
        <w:t>688</w:t>
      </w:r>
      <w:r>
        <w:fldChar w:fldCharType="end"/>
      </w:r>
    </w:p>
    <w:p>
      <w:pPr>
        <w:pStyle w:val="TOC8"/>
        <w:rPr>
          <w:rFonts w:asciiTheme="minorHAnsi" w:eastAsiaTheme="minorEastAsia" w:hAnsiTheme="minorHAnsi" w:cstheme="minorBidi"/>
          <w:szCs w:val="22"/>
        </w:rPr>
      </w:pPr>
      <w:r>
        <w:t>8.</w:t>
      </w:r>
      <w:r>
        <w:tab/>
        <w:t>Authorised mine surveyor’s certificate (grade 2)</w:t>
      </w:r>
      <w:r>
        <w:tab/>
      </w:r>
      <w:r>
        <w:fldChar w:fldCharType="begin"/>
      </w:r>
      <w:r>
        <w:instrText xml:space="preserve"> PAGEREF _Toc200720824 \h </w:instrText>
      </w:r>
      <w:r>
        <w:fldChar w:fldCharType="separate"/>
      </w:r>
      <w:r>
        <w:t>689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_Toc200720826 \h </w:instrText>
      </w:r>
      <w:r>
        <w:fldChar w:fldCharType="separate"/>
      </w:r>
      <w:r>
        <w:t>691</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_Toc200720827 \h </w:instrText>
      </w:r>
      <w:r>
        <w:fldChar w:fldCharType="separate"/>
      </w:r>
      <w:r>
        <w:t>691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(Mines) Regulations 2022</w:t>
      </w:r>
    </w:p>
    <w:p>
      <w:pPr>
        <w:pStyle w:val="Heading2"/>
        <w:pageBreakBefore w:val="0"/>
        <w:spacing w:before="240"/>
      </w:pPr>
      <w:bookmarkStart w:id="2" w:name="_Toc200719507"/>
      <w:r>
        <w:t>Chapter 1</w:t>
      </w:r>
      <w:r>
        <w:rPr>
          <w:rStyle w:val="CharDivNo"/>
        </w:rPr>
        <w:t> </w:t>
      </w:r>
      <w:r>
        <w:t>—</w:t>
      </w:r>
      <w:r>
        <w:rPr>
          <w:rStyle w:val="CharDivText"/>
        </w:rPr>
        <w:t> </w:t>
      </w:r>
      <w:r>
        <w:t>Preliminary</w:t>
      </w:r>
      <w:bookmarkEnd w:id="2"/>
    </w:p>
    <w:p>
      <w:pPr>
        <w:pStyle w:val="Heading3"/>
      </w:pPr>
      <w:bookmarkStart w:id="3" w:name="_Toc200719508"/>
      <w:r>
        <w:rPr>
          <w:rStyle w:val="CharPartNo"/>
        </w:rPr>
        <w:t>Part 1.1</w:t>
      </w:r>
      <w:r>
        <w:rPr>
          <w:rStyle w:val="CharDivNo"/>
        </w:rPr>
        <w:t> </w:t>
      </w:r>
      <w:r>
        <w:t>—</w:t>
      </w:r>
      <w:r>
        <w:rPr>
          <w:rStyle w:val="CharDivText"/>
        </w:rPr>
        <w:t> </w:t>
      </w:r>
      <w:r>
        <w:rPr>
          <w:rStyle w:val="CharPartText"/>
        </w:rPr>
        <w:t>Introductory matters</w:t>
      </w:r>
      <w:bookmarkEnd w:id="3"/>
    </w:p>
    <w:p>
      <w:pPr>
        <w:pStyle w:val="Heading5"/>
      </w:pPr>
      <w:bookmarkStart w:id="4" w:name="_Toc200719509"/>
      <w:r>
        <w:rPr>
          <w:rStyle w:val="CharSectno"/>
        </w:rPr>
        <w:t>1</w:t>
      </w:r>
      <w:r>
        <w:t>.</w:t>
      </w:r>
      <w:r>
        <w:tab/>
        <w:t>Citation</w:t>
      </w:r>
      <w:bookmarkEnd w:id="4"/>
    </w:p>
    <w:p>
      <w:pPr>
        <w:pStyle w:val="Subsection"/>
      </w:pPr>
      <w:r>
        <w:tab/>
      </w:r>
      <w:r>
        <w:tab/>
      </w:r>
      <w:bookmarkStart w:id="5" w:name="Start_Cursor"/>
      <w:bookmarkEnd w:id="5"/>
      <w:r>
        <w:t xml:space="preserve">These </w:t>
      </w:r>
      <w:r>
        <w:rPr>
          <w:spacing w:val="-2"/>
        </w:rPr>
        <w:t>regulations</w:t>
      </w:r>
      <w:r>
        <w:t xml:space="preserve"> are the </w:t>
      </w:r>
      <w:r>
        <w:rPr>
          <w:i/>
        </w:rPr>
        <w:t>Work Health and Safety (Mines) Regulations 2022</w:t>
      </w:r>
      <w:r>
        <w:t>.</w:t>
      </w:r>
    </w:p>
    <w:p>
      <w:pPr>
        <w:pStyle w:val="Heading5"/>
        <w:rPr>
          <w:spacing w:val="-2"/>
        </w:rPr>
      </w:pPr>
      <w:bookmarkStart w:id="6" w:name="_Toc200719510"/>
      <w:r>
        <w:rPr>
          <w:rStyle w:val="CharSectno"/>
        </w:rPr>
        <w:t>2</w:t>
      </w:r>
      <w:r>
        <w:rPr>
          <w:spacing w:val="-2"/>
        </w:rPr>
        <w:t>.</w:t>
      </w:r>
      <w:r>
        <w:rPr>
          <w:spacing w:val="-2"/>
        </w:rPr>
        <w:tab/>
        <w:t>Commencement</w:t>
      </w:r>
      <w:bookmarkEnd w:id="6"/>
    </w:p>
    <w:p>
      <w:pPr>
        <w:pStyle w:val="Subsection"/>
      </w:pPr>
      <w:r>
        <w:tab/>
      </w:r>
      <w:r>
        <w:tab/>
        <w:t xml:space="preserve">These regulations come into operation as follows — </w:t>
      </w:r>
    </w:p>
    <w:p>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w:t>
      </w:r>
      <w:r>
        <w:t>477(1A) and 489(2) — on the day after the period of 12 months beginning on the day referred to in paragraph (a).</w:t>
      </w:r>
    </w:p>
    <w:p>
      <w:pPr>
        <w:pStyle w:val="Footnotesection"/>
      </w:pPr>
      <w:r>
        <w:tab/>
        <w:t>[Regulation 2 amended: SL 2023/22 r. 10.]</w:t>
      </w:r>
    </w:p>
    <w:p>
      <w:pPr>
        <w:pStyle w:val="Heading5"/>
        <w:keepNext w:val="0"/>
      </w:pPr>
      <w:bookmarkStart w:id="7" w:name="_Toc200719511"/>
      <w:r>
        <w:rPr>
          <w:rStyle w:val="CharSectno"/>
        </w:rPr>
        <w:t>3</w:t>
      </w:r>
      <w:r>
        <w:t>.</w:t>
      </w:r>
      <w:r>
        <w:tab/>
        <w:t>Not used</w:t>
      </w:r>
      <w:bookmarkEnd w:id="7"/>
    </w:p>
    <w:p>
      <w:pPr>
        <w:pStyle w:val="Heading5"/>
      </w:pPr>
      <w:bookmarkStart w:id="8" w:name="_Toc200719512"/>
      <w:r>
        <w:rPr>
          <w:rStyle w:val="CharSectno"/>
        </w:rPr>
        <w:lastRenderedPageBreak/>
        <w:t>4</w:t>
      </w:r>
      <w:r>
        <w:t>.</w:t>
      </w:r>
      <w:r>
        <w:tab/>
        <w:t>Not used</w:t>
      </w:r>
      <w:bookmarkEnd w:id="8"/>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Model Work Health and Safety (Mines) Regulations</w:t>
      </w:r>
      <w:r>
        <w:t>. These regulations contain modifications of those model regulations for this State and for the mining industry.</w:t>
      </w:r>
    </w:p>
    <w:p>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pPr>
        <w:pStyle w:val="PermNotePara"/>
      </w:pPr>
      <w:r>
        <w:tab/>
        <w:t>(a)</w:t>
      </w:r>
      <w:r>
        <w:tab/>
        <w:t>some Chapter, Part, Division and regulation numbers are included in these regulations although they are not used for this State or for the mining industry;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those model regulations is also used in these regulations.</w:t>
      </w:r>
    </w:p>
    <w:p>
      <w:pPr>
        <w:pStyle w:val="Heading5"/>
      </w:pPr>
      <w:bookmarkStart w:id="9" w:name="_Toc200719513"/>
      <w:r>
        <w:rPr>
          <w:rStyle w:val="CharSectno"/>
        </w:rPr>
        <w:t>5</w:t>
      </w:r>
      <w:r>
        <w:t>.</w:t>
      </w:r>
      <w:r>
        <w:tab/>
        <w:t>Terms used</w:t>
      </w:r>
      <w:bookmarkEnd w:id="9"/>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lastRenderedPageBreak/>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keepNext/>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alternate</w:t>
      </w:r>
      <w:r>
        <w:t>, for a key statutory position, means a person appointed to be an alternate for the position under regulation 675ZR;</w:t>
      </w:r>
    </w:p>
    <w:p>
      <w:pPr>
        <w:pStyle w:val="Defstart"/>
      </w:pPr>
      <w:r>
        <w:tab/>
      </w:r>
      <w:r>
        <w:rPr>
          <w:rStyle w:val="CharDefText"/>
        </w:rPr>
        <w:t>applicable legislation examination</w:t>
      </w:r>
      <w:r>
        <w:t>, in relation to a statutory position or statutory certificate, means an examination conducted under regulation 675ZZH;</w:t>
      </w:r>
    </w:p>
    <w:p>
      <w:pPr>
        <w:pStyle w:val="Defstart"/>
      </w:pPr>
      <w:r>
        <w:tab/>
      </w:r>
      <w:r>
        <w:rPr>
          <w:rStyle w:val="CharDefText"/>
        </w:rPr>
        <w:t>appropriate person</w:t>
      </w:r>
      <w:r>
        <w:t>, in relation to a statutory position, means a person who, subject to regulation 675ZS, meets the eligibility requirements for the position;</w:t>
      </w:r>
    </w:p>
    <w:p>
      <w:pPr>
        <w:pStyle w:val="Defstart"/>
      </w:pPr>
      <w:r>
        <w:tab/>
      </w:r>
      <w:r>
        <w:rPr>
          <w:rStyle w:val="CharDefText"/>
        </w:rPr>
        <w:t>approved form</w:t>
      </w:r>
      <w:r>
        <w:t xml:space="preserve"> means a form approved by the regulator and published on the regulator’s website;</w:t>
      </w:r>
    </w:p>
    <w:p>
      <w:pPr>
        <w:pStyle w:val="Defstart"/>
      </w:pPr>
      <w:r>
        <w:tab/>
      </w:r>
      <w:r>
        <w:rPr>
          <w:rStyle w:val="CharDefText"/>
        </w:rPr>
        <w:t>approved WHS risk management unit</w:t>
      </w:r>
      <w:r>
        <w:t>, for a statutory certificate or statutory position, has the meaning given in regulation 675ZZJ(1);</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lastRenderedPageBreak/>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keepNex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lastRenderedPageBreak/>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Australian university</w:t>
      </w:r>
      <w:r>
        <w:t xml:space="preserve"> has the meaning given in the </w:t>
      </w:r>
      <w:r>
        <w:rPr>
          <w:i/>
        </w:rPr>
        <w:t>Higher Education Act 2004</w:t>
      </w:r>
      <w:r>
        <w:t xml:space="preserve"> section 3;</w:t>
      </w:r>
    </w:p>
    <w:p>
      <w:pPr>
        <w:pStyle w:val="Defstart"/>
      </w:pPr>
      <w:r>
        <w:tab/>
      </w:r>
      <w:r>
        <w:rPr>
          <w:rStyle w:val="CharDefText"/>
        </w:rPr>
        <w:t>authorised mine surveyor’s certificate (grade 1)</w:t>
      </w:r>
      <w:r>
        <w:t xml:space="preserve"> means the statutory certificate referred to in Schedule 27 clause 7;</w:t>
      </w:r>
    </w:p>
    <w:p>
      <w:pPr>
        <w:pStyle w:val="Defstart"/>
      </w:pPr>
      <w:r>
        <w:tab/>
      </w:r>
      <w:r>
        <w:rPr>
          <w:rStyle w:val="CharDefText"/>
        </w:rPr>
        <w:t>authorised mine surveyor’s certificate (grade 2)</w:t>
      </w:r>
      <w:r>
        <w:t xml:space="preserve"> means the statutory certificate referred to in Schedule 27 clause 8;</w:t>
      </w:r>
    </w:p>
    <w:p>
      <w:pPr>
        <w:pStyle w:val="Defstart"/>
      </w:pPr>
      <w:r>
        <w:tab/>
      </w:r>
      <w:r>
        <w:rPr>
          <w:rStyle w:val="CharDefText"/>
        </w:rPr>
        <w:t>authorised mine surveyor (quarry operation)</w:t>
      </w:r>
      <w:r>
        <w:t xml:space="preserve"> means a person appointed to the statutory position set out in Schedule 26 clause 15 for a mine;</w:t>
      </w:r>
    </w:p>
    <w:p>
      <w:pPr>
        <w:pStyle w:val="Defstart"/>
      </w:pPr>
      <w:r>
        <w:tab/>
      </w:r>
      <w:r>
        <w:rPr>
          <w:rStyle w:val="CharDefText"/>
        </w:rPr>
        <w:t>authorised mine surveyor (underground)</w:t>
      </w:r>
      <w:r>
        <w:t xml:space="preserve"> means a person appointed to the statutory position set out in Schedule 26 clause 12 for a mine;</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keepNext/>
      </w:pPr>
      <w:r>
        <w:lastRenderedPageBreak/>
        <w:tab/>
      </w:r>
      <w:r>
        <w:rPr>
          <w:rStyle w:val="CharDefText"/>
        </w:rPr>
        <w:t>boiler</w:t>
      </w:r>
      <w:r>
        <w:t xml:space="preserve"> — </w:t>
      </w:r>
    </w:p>
    <w:p>
      <w:pPr>
        <w:pStyle w:val="Defpara"/>
        <w:keepNext/>
      </w:pPr>
      <w:r>
        <w:tab/>
        <w:t>(a)</w:t>
      </w:r>
      <w:r>
        <w:tab/>
        <w:t xml:space="preserve">means — </w:t>
      </w:r>
    </w:p>
    <w:p>
      <w:pPr>
        <w:pStyle w:val="Defsubpara"/>
        <w:keepLines w:val="0"/>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rPr>
          <w:cantSplit/>
        </w:trP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rPr>
          <w:cantSplit/>
        </w:trP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rPr>
          <w:cantSplit/>
        </w:trP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direct fired process heater</w:t>
            </w:r>
          </w:p>
        </w:tc>
      </w:tr>
      <w:t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has the meaning given in the </w:t>
      </w:r>
      <w:r>
        <w:rPr>
          <w:i/>
        </w:rPr>
        <w:t>Work Health and Safety (General) Regulations 2022</w:t>
      </w:r>
      <w:r>
        <w:t xml:space="preserve"> regulation 5;</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keepNex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lastRenderedPageBreak/>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B asbestos removal work</w:t>
      </w:r>
      <w:r>
        <w:t xml:space="preserve">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lastRenderedPageBreak/>
        <w:tab/>
      </w:r>
      <w:r>
        <w:rPr>
          <w:rStyle w:val="CharDefText"/>
        </w:rPr>
        <w:t>clearance inspection</w:t>
      </w:r>
      <w:r>
        <w:t xml:space="preserve"> has the meaning given in regulation 473(1A);</w:t>
      </w:r>
    </w:p>
    <w:p>
      <w:pPr>
        <w:pStyle w:val="Defstart"/>
        <w:keepNex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lastRenderedPageBreak/>
        <w:tab/>
        <w:t>(e)</w:t>
      </w:r>
      <w:r>
        <w:tab/>
      </w:r>
      <w:r>
        <w:rPr>
          <w:i/>
        </w:rPr>
        <w:t>[not used]</w:t>
      </w:r>
    </w:p>
    <w:p>
      <w:pPr>
        <w:pStyle w:val="Defpara"/>
      </w:pPr>
      <w:r>
        <w:tab/>
        <w:t>(f)</w:t>
      </w:r>
      <w:r>
        <w:tab/>
      </w:r>
      <w:r>
        <w:rPr>
          <w:i/>
        </w:rPr>
        <w:t>[not used]</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an atmosphere that does not have a safe oxygen level</w:t>
            </w:r>
          </w:p>
        </w:tc>
      </w:tr>
      <w:tr>
        <w:trPr>
          <w:cantSplit/>
        </w:trPr>
        <w:tc>
          <w:tcPr>
            <w:tcW w:w="426" w:type="dxa"/>
            <w:noWrap/>
          </w:tcPr>
          <w:p>
            <w:pPr>
              <w:pStyle w:val="TableNAm"/>
            </w:pPr>
            <w:r>
              <w:lastRenderedPageBreak/>
              <w:t>2.</w:t>
            </w:r>
          </w:p>
        </w:tc>
        <w:tc>
          <w:tcPr>
            <w:tcW w:w="5641" w:type="dxa"/>
            <w:noWrap/>
          </w:tcPr>
          <w:p>
            <w:pPr>
              <w:pStyle w:val="TableNAm"/>
            </w:pPr>
            <w:r>
              <w:t>contaminants, including airborne gases, vapours and dusts, that may cause injury from fire or explosion</w:t>
            </w:r>
          </w:p>
        </w:tc>
      </w:tr>
      <w:tr>
        <w:trPr>
          <w:cantSplit/>
        </w:trPr>
        <w:tc>
          <w:tcPr>
            <w:tcW w:w="426" w:type="dxa"/>
            <w:noWrap/>
          </w:tcPr>
          <w:p>
            <w:pPr>
              <w:pStyle w:val="TableNAm"/>
            </w:pPr>
            <w:r>
              <w:t>3.</w:t>
            </w:r>
          </w:p>
        </w:tc>
        <w:tc>
          <w:tcPr>
            <w:tcW w:w="5641" w:type="dxa"/>
            <w:noWrap/>
          </w:tcPr>
          <w:p>
            <w:pPr>
              <w:pStyle w:val="TableNAm"/>
            </w:pPr>
            <w:r>
              <w:t>harmful concentrations of any airborne contaminants</w:t>
            </w:r>
          </w:p>
        </w:tc>
      </w:tr>
      <w:tr>
        <w:trPr>
          <w:cantSplit/>
        </w:trP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keepNex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lastRenderedPageBreak/>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pPr>
      <w:r>
        <w:tab/>
      </w:r>
      <w:r>
        <w:rPr>
          <w:rStyle w:val="CharDefText"/>
        </w:rPr>
        <w:t>conveyor</w:t>
      </w:r>
      <w:r>
        <w:t xml:space="preserve"> — </w:t>
      </w:r>
    </w:p>
    <w:p>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lastRenderedPageBreak/>
        <w:tab/>
        <w:t>Note for this definition:</w:t>
      </w:r>
    </w:p>
    <w:p>
      <w:pPr>
        <w:pStyle w:val="PermNoteText"/>
      </w:pPr>
      <w:r>
        <w:tab/>
      </w:r>
      <w:r>
        <w:tab/>
        <w:t>Schedule 9 Division 1 sets out when a hazardous chemical is correctly classified.</w:t>
      </w:r>
    </w:p>
    <w:p>
      <w:pPr>
        <w:pStyle w:val="Defstart"/>
        <w:keepNext/>
      </w:pPr>
      <w:r>
        <w:tab/>
      </w:r>
      <w:r>
        <w:rPr>
          <w:rStyle w:val="CharDefText"/>
        </w:rPr>
        <w:t>crane</w:t>
      </w:r>
      <w:r>
        <w:t>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r>
      <w:r>
        <w:rPr>
          <w:i/>
        </w:rPr>
        <w:t>[not used]</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keepNext/>
      </w:pPr>
      <w:r>
        <w:lastRenderedPageBreak/>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 or</w:t>
      </w:r>
    </w:p>
    <w:p>
      <w:pPr>
        <w:pStyle w:val="Defsubpara"/>
      </w:pPr>
      <w:r>
        <w:tab/>
        <w:t>(iii)</w:t>
      </w:r>
      <w:r>
        <w:tab/>
        <w:t>the demolition of geotechnical structures at a mine;</w:t>
      </w:r>
    </w:p>
    <w:p>
      <w:pPr>
        <w:pStyle w:val="Defstart"/>
      </w:pPr>
      <w:r>
        <w:tab/>
      </w:r>
      <w:r>
        <w:rPr>
          <w:rStyle w:val="CharDefText"/>
        </w:rPr>
        <w:t>deputy’s certificate for underground coal mines</w:t>
      </w:r>
      <w:r>
        <w:t xml:space="preserve"> means the statutory certificate referred to in Schedule 27 clause 5;</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keepNex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lastRenderedPageBreak/>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supervisor</w:t>
      </w:r>
      <w:r>
        <w:t xml:space="preserve"> means a person appointed to the statutory position set out in Schedule 26 clause 5 for a mine;</w:t>
      </w:r>
    </w:p>
    <w:p>
      <w:pPr>
        <w:pStyle w:val="Defstart"/>
      </w:pPr>
      <w:r>
        <w:tab/>
      </w:r>
      <w:r>
        <w:rPr>
          <w:rStyle w:val="CharDefText"/>
        </w:rPr>
        <w:t>electrical work</w:t>
      </w:r>
      <w:r>
        <w:t xml:space="preserve"> has the meaning given in regulation 146;</w:t>
      </w:r>
    </w:p>
    <w:p>
      <w:pPr>
        <w:pStyle w:val="Defstart"/>
      </w:pPr>
      <w:r>
        <w:tab/>
      </w:r>
      <w:r>
        <w:rPr>
          <w:rStyle w:val="CharDefText"/>
        </w:rPr>
        <w:t>eligibility requirements</w:t>
      </w:r>
      <w:r>
        <w:t xml:space="preserve"> — </w:t>
      </w:r>
    </w:p>
    <w:p>
      <w:pPr>
        <w:pStyle w:val="Defpara"/>
      </w:pPr>
      <w:r>
        <w:tab/>
        <w:t>(a)</w:t>
      </w:r>
      <w:r>
        <w:tab/>
        <w:t>for a site senior executive — means the eligibility requirements set out in regulation 675ZI(1); and</w:t>
      </w:r>
    </w:p>
    <w:p>
      <w:pPr>
        <w:pStyle w:val="Defpara"/>
      </w:pPr>
      <w:r>
        <w:tab/>
        <w:t>(b)</w:t>
      </w:r>
      <w:r>
        <w:tab/>
        <w:t>for an exploration manager — means the eligibility requirements set out in regulation 675ZM(1); and</w:t>
      </w:r>
    </w:p>
    <w:p>
      <w:pPr>
        <w:pStyle w:val="Defpara"/>
      </w:pPr>
      <w:r>
        <w:tab/>
        <w:t>(c)</w:t>
      </w:r>
      <w:r>
        <w:tab/>
        <w:t>for an alternate to a site senior executive — means the eligibility requirements set out in regulation 675ZR(1); and</w:t>
      </w:r>
    </w:p>
    <w:p>
      <w:pPr>
        <w:pStyle w:val="Defpara"/>
      </w:pPr>
      <w:r>
        <w:tab/>
        <w:t>(d)</w:t>
      </w:r>
      <w:r>
        <w:tab/>
        <w:t>for a Schedule 26 position — means the eligibility requirements for the position set out in Schedule 26; and</w:t>
      </w:r>
    </w:p>
    <w:p>
      <w:pPr>
        <w:pStyle w:val="Defpara"/>
      </w:pPr>
      <w:r>
        <w:tab/>
        <w:t>(e)</w:t>
      </w:r>
      <w:r>
        <w:tab/>
        <w:t>for a Schedule 27 certificate — means the eligibility requirements for the certificate set out in Schedule 27;</w:t>
      </w:r>
    </w:p>
    <w:p>
      <w:pPr>
        <w:pStyle w:val="Defstart"/>
      </w:pPr>
      <w:r>
        <w:lastRenderedPageBreak/>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keepNext/>
      </w:pPr>
      <w:r>
        <w:lastRenderedPageBreak/>
        <w:tab/>
      </w:r>
      <w:r>
        <w:rPr>
          <w:rStyle w:val="CharDefText"/>
        </w:rPr>
        <w:t>excavation</w:t>
      </w:r>
      <w:r>
        <w:t>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exploration manager</w:t>
      </w:r>
      <w:r>
        <w:t xml:space="preserve"> means a person appointed under regulation 675ZM;</w:t>
      </w:r>
    </w:p>
    <w:p>
      <w:pPr>
        <w:pStyle w:val="Defstart"/>
      </w:pPr>
      <w:r>
        <w:tab/>
      </w:r>
      <w:r>
        <w:rPr>
          <w:rStyle w:val="CharDefText"/>
        </w:rPr>
        <w:t>exploration operations</w:t>
      </w:r>
      <w:r>
        <w:t xml:space="preserve"> — </w:t>
      </w:r>
    </w:p>
    <w:p>
      <w:pPr>
        <w:pStyle w:val="Defpara"/>
      </w:pPr>
      <w:r>
        <w:tab/>
        <w:t>(a)</w:t>
      </w:r>
      <w:r>
        <w:tab/>
        <w:t>means any exploration activity, whether offshore or on land; but</w:t>
      </w:r>
    </w:p>
    <w:p>
      <w:pPr>
        <w:pStyle w:val="Defpara"/>
      </w:pPr>
      <w:r>
        <w:tab/>
        <w:t>(b)</w:t>
      </w:r>
      <w:r>
        <w:tab/>
        <w:t xml:space="preserve">does not include the following — </w:t>
      </w:r>
    </w:p>
    <w:p>
      <w:pPr>
        <w:pStyle w:val="Defsubpara"/>
      </w:pPr>
      <w:r>
        <w:tab/>
        <w:t>(i)</w:t>
      </w:r>
      <w:r>
        <w:tab/>
        <w:t>any work involving underground operations;</w:t>
      </w:r>
    </w:p>
    <w:p>
      <w:pPr>
        <w:pStyle w:val="Defsubpara"/>
      </w:pPr>
      <w:r>
        <w:tab/>
        <w:t>(ii)</w:t>
      </w:r>
      <w:r>
        <w:tab/>
        <w:t>removing of any material from trial pits beyond the extent permitted under the tenement conditions;</w:t>
      </w:r>
    </w:p>
    <w:p>
      <w:pPr>
        <w:pStyle w:val="Defsubpara"/>
      </w:pPr>
      <w:r>
        <w:tab/>
        <w:t>(iii)</w:t>
      </w:r>
      <w:r>
        <w:tab/>
        <w:t>remote sensing activity carried out using airborne or satellite mounted equipment (except for ground based activity in support of the remote sensing activity);</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keepNext/>
      </w:pPr>
      <w:r>
        <w:lastRenderedPageBreak/>
        <w:tab/>
      </w:r>
      <w:r>
        <w:rPr>
          <w:rStyle w:val="CharDefText"/>
        </w:rPr>
        <w:t>externally</w:t>
      </w:r>
      <w:r>
        <w:rPr>
          <w:rStyle w:val="CharDefText"/>
        </w:rPr>
        <w:noBreakHyphen/>
        <w:t>controlled plant</w:t>
      </w:r>
      <w:r>
        <w:t xml:space="preserve"> — </w:t>
      </w:r>
    </w:p>
    <w:p>
      <w:pPr>
        <w:pStyle w:val="Defpara"/>
      </w:pPr>
      <w:r>
        <w:tab/>
        <w:t>(a)</w:t>
      </w:r>
      <w:r>
        <w:tab/>
        <w:t>means plant that is controlled or operated other than by an operator located on or touching the plant; and</w:t>
      </w:r>
    </w:p>
    <w:p>
      <w:pPr>
        <w:pStyle w:val="Defpara"/>
      </w:pPr>
      <w:r>
        <w:tab/>
        <w:t>(b)</w:t>
      </w:r>
      <w:r>
        <w:tab/>
        <w:t>includes autonomous, semi</w:t>
      </w:r>
      <w:r>
        <w:noBreakHyphen/>
        <w:t>autonomous and remote</w:t>
      </w:r>
      <w:r>
        <w:noBreakHyphen/>
        <w:t>controlled plant;</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first class mine manager’s certificate for coal mines</w:t>
      </w:r>
      <w:r>
        <w:t xml:space="preserve"> means the statutory certificate referred to in Schedule 27 clause 1;</w:t>
      </w:r>
    </w:p>
    <w:p>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lastRenderedPageBreak/>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keepNext/>
      </w:pPr>
      <w:r>
        <w:lastRenderedPageBreak/>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pPr>
      <w:r>
        <w:tab/>
      </w:r>
      <w:r>
        <w:rPr>
          <w:rStyle w:val="CharDefText"/>
        </w:rPr>
        <w:t>geotechnical structure</w:t>
      </w:r>
      <w:r>
        <w:t xml:space="preserve"> — </w:t>
      </w:r>
    </w:p>
    <w:p>
      <w:pPr>
        <w:pStyle w:val="Defpara"/>
      </w:pPr>
      <w:r>
        <w:tab/>
        <w:t>(a)</w:t>
      </w:r>
      <w:r>
        <w:tab/>
        <w:t xml:space="preserve">means a structure at a mine constructed by excavating, using or placing 1 or more of the following — </w:t>
      </w:r>
    </w:p>
    <w:p>
      <w:pPr>
        <w:pStyle w:val="Defsubpara"/>
      </w:pPr>
      <w:r>
        <w:tab/>
        <w:t>(i)</w:t>
      </w:r>
      <w:r>
        <w:tab/>
        <w:t xml:space="preserve">rocks; </w:t>
      </w:r>
    </w:p>
    <w:p>
      <w:pPr>
        <w:pStyle w:val="Defsubpara"/>
      </w:pPr>
      <w:r>
        <w:tab/>
        <w:t>(ii)</w:t>
      </w:r>
      <w:r>
        <w:tab/>
        <w:t xml:space="preserve">soil; </w:t>
      </w:r>
    </w:p>
    <w:p>
      <w:pPr>
        <w:pStyle w:val="Defsubpara"/>
      </w:pPr>
      <w:r>
        <w:tab/>
        <w:t>(iii)</w:t>
      </w:r>
      <w:r>
        <w:tab/>
        <w:t xml:space="preserve">mine waste; </w:t>
      </w:r>
    </w:p>
    <w:p>
      <w:pPr>
        <w:pStyle w:val="Defsubpara"/>
      </w:pPr>
      <w:r>
        <w:tab/>
        <w:t>(iv)</w:t>
      </w:r>
      <w:r>
        <w:tab/>
        <w:t>back</w:t>
      </w:r>
      <w:r>
        <w:noBreakHyphen/>
        <w:t xml:space="preserve">filling material; </w:t>
      </w:r>
    </w:p>
    <w:p>
      <w:pPr>
        <w:pStyle w:val="Defsubpara"/>
      </w:pPr>
      <w:r>
        <w:tab/>
        <w:t>(v)</w:t>
      </w:r>
      <w:r>
        <w:tab/>
        <w:t xml:space="preserve">tailings; </w:t>
      </w:r>
    </w:p>
    <w:p>
      <w:pPr>
        <w:pStyle w:val="Defpara"/>
      </w:pPr>
      <w:r>
        <w:tab/>
      </w:r>
      <w:r>
        <w:tab/>
        <w:t>and</w:t>
      </w:r>
    </w:p>
    <w:p>
      <w:pPr>
        <w:pStyle w:val="Defpara"/>
      </w:pPr>
      <w:r>
        <w:tab/>
        <w:t>(b)</w:t>
      </w:r>
      <w:r>
        <w:tab/>
        <w:t xml:space="preserve">includes the following — </w:t>
      </w:r>
    </w:p>
    <w:p>
      <w:pPr>
        <w:pStyle w:val="Defsubpara"/>
      </w:pPr>
      <w:r>
        <w:tab/>
        <w:t>(i)</w:t>
      </w:r>
      <w:r>
        <w:tab/>
        <w:t>embankments;</w:t>
      </w:r>
    </w:p>
    <w:p>
      <w:pPr>
        <w:pStyle w:val="Defsubpara"/>
      </w:pPr>
      <w:r>
        <w:tab/>
        <w:t>(ii)</w:t>
      </w:r>
      <w:r>
        <w:tab/>
        <w:t>foundations;</w:t>
      </w:r>
    </w:p>
    <w:p>
      <w:pPr>
        <w:pStyle w:val="Defsubpara"/>
      </w:pPr>
      <w:r>
        <w:tab/>
        <w:t>(iii)</w:t>
      </w:r>
      <w:r>
        <w:tab/>
        <w:t>mine waste dumps;</w:t>
      </w:r>
    </w:p>
    <w:p>
      <w:pPr>
        <w:pStyle w:val="Defsubpara"/>
      </w:pPr>
      <w:r>
        <w:tab/>
        <w:t>(iv)</w:t>
      </w:r>
      <w:r>
        <w:tab/>
        <w:t>ore stock piles;</w:t>
      </w:r>
    </w:p>
    <w:p>
      <w:pPr>
        <w:pStyle w:val="Defsubpara"/>
      </w:pPr>
      <w:r>
        <w:tab/>
        <w:t>(v)</w:t>
      </w:r>
      <w:r>
        <w:tab/>
        <w:t>trenches;</w:t>
      </w:r>
    </w:p>
    <w:p>
      <w:pPr>
        <w:pStyle w:val="Defsubpara"/>
      </w:pPr>
      <w:r>
        <w:tab/>
        <w:t>(vi)</w:t>
      </w:r>
      <w:r>
        <w:tab/>
        <w:t>tailings storage facilities;</w:t>
      </w:r>
    </w:p>
    <w:p>
      <w:pPr>
        <w:pStyle w:val="Defsubpara"/>
      </w:pPr>
      <w:r>
        <w:tab/>
        <w:t>(vii)</w:t>
      </w:r>
      <w:r>
        <w:tab/>
        <w:t xml:space="preserve">underground and surface openings; </w:t>
      </w:r>
    </w:p>
    <w:p>
      <w:pPr>
        <w:pStyle w:val="Defstart"/>
      </w:pPr>
      <w:r>
        <w:lastRenderedPageBreak/>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lastRenderedPageBreak/>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keepNext/>
      </w:pPr>
      <w:r>
        <w:tab/>
      </w:r>
      <w:r>
        <w:rPr>
          <w:rStyle w:val="CharDefText"/>
        </w:rPr>
        <w:t>heritage boiler</w:t>
      </w:r>
      <w:r>
        <w:t xml:space="preserve"> means a boiler that — </w:t>
      </w:r>
    </w:p>
    <w:p>
      <w:pPr>
        <w:pStyle w:val="Defpara"/>
      </w:pPr>
      <w:r>
        <w:tab/>
        <w:t>(a)</w:t>
      </w:r>
      <w:r>
        <w:tab/>
        <w:t>was manufactured before 1952; and</w:t>
      </w:r>
    </w:p>
    <w:p>
      <w:pPr>
        <w:pStyle w:val="Defpara"/>
      </w:pPr>
      <w:r>
        <w:lastRenderedPageBreak/>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construction work</w:t>
            </w:r>
          </w:p>
        </w:tc>
      </w:tr>
      <w:tr>
        <w:tc>
          <w:tcPr>
            <w:tcW w:w="426" w:type="dxa"/>
            <w:noWrap/>
          </w:tcPr>
          <w:p>
            <w:pPr>
              <w:pStyle w:val="TableNAm"/>
            </w:pPr>
            <w:r>
              <w:t>2.</w:t>
            </w:r>
          </w:p>
        </w:tc>
        <w:tc>
          <w:tcPr>
            <w:tcW w:w="5641" w:type="dxa"/>
            <w:noWrap/>
          </w:tcPr>
          <w:p>
            <w:pPr>
              <w:pStyle w:val="TableNAm"/>
            </w:pPr>
            <w:r>
              <w:t>work of the kind described in regulation 289(3)(d)</w:t>
            </w:r>
          </w:p>
        </w:tc>
      </w:tr>
      <w:t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For construction work generally, see Chapter 6. For the meaning of construction work, see regulation 289.</w:t>
      </w:r>
    </w:p>
    <w:p>
      <w:pPr>
        <w:pStyle w:val="Defpara"/>
      </w:pPr>
      <w:r>
        <w:tab/>
      </w:r>
      <w:r>
        <w:tab/>
        <w:t>but</w:t>
      </w:r>
    </w:p>
    <w:p>
      <w:pPr>
        <w:pStyle w:val="Defpara"/>
      </w:pPr>
      <w:r>
        <w:lastRenderedPageBreak/>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mining activity</w:t>
      </w:r>
      <w:r>
        <w:t xml:space="preserve"> means an activity specified in Schedule 23 column 2;</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pPr>
        <w:pStyle w:val="Defstart"/>
      </w:pPr>
      <w:r>
        <w:tab/>
      </w:r>
      <w:r>
        <w:rPr>
          <w:rStyle w:val="CharDefText"/>
        </w:rPr>
        <w:t>high voltage</w:t>
      </w:r>
      <w:r>
        <w:t xml:space="preserve"> means voltage exceeding 1 000 V a.c. or 1 500 V d.c.;</w:t>
      </w:r>
    </w:p>
    <w:p>
      <w:pPr>
        <w:pStyle w:val="Defstart"/>
      </w:pPr>
      <w:r>
        <w:tab/>
      </w:r>
      <w:r>
        <w:rPr>
          <w:rStyle w:val="CharDefText"/>
        </w:rPr>
        <w:t>high voltage operator</w:t>
      </w:r>
      <w:r>
        <w:t xml:space="preserve"> means a person appointed to the statutory position set out in Schedule 26 clause 6 for a mine;</w:t>
      </w:r>
    </w:p>
    <w:p>
      <w:pPr>
        <w:pStyle w:val="Defstart"/>
      </w:pPr>
      <w:r>
        <w:tab/>
      </w:r>
      <w:r>
        <w:rPr>
          <w:rStyle w:val="CharDefText"/>
        </w:rPr>
        <w:t>high voltage vicinity permit</w:t>
      </w:r>
      <w:r>
        <w:t xml:space="preserve"> has the meaning given in Schedule 26 clause 6(2)(a);</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keepNext/>
      </w:pPr>
      <w:r>
        <w:lastRenderedPageBreak/>
        <w:tab/>
      </w:r>
      <w:r>
        <w:rPr>
          <w:rStyle w:val="CharDefText"/>
        </w:rPr>
        <w:t>incidental diving work</w:t>
      </w:r>
      <w:r>
        <w:t xml:space="preserve"> means general diving work that — </w:t>
      </w:r>
    </w:p>
    <w:p>
      <w:pPr>
        <w:pStyle w:val="Defpara"/>
        <w:keepNext/>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inrush</w:t>
      </w:r>
      <w:r>
        <w:t xml:space="preserve"> means the rushing into a place of water, slurry, rocks, gases or other substances at a rate that is fast enough to cause harm to persons;</w:t>
      </w:r>
    </w:p>
    <w:p>
      <w:pPr>
        <w:pStyle w:val="Defstar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lastRenderedPageBreak/>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key 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if the mine is an underground non</w:t>
      </w:r>
      <w:r>
        <w:noBreakHyphen/>
        <w:t>coal mine — an underground manager (non</w:t>
      </w:r>
      <w:r>
        <w:noBreakHyphen/>
        <w:t>coal); or</w:t>
      </w:r>
    </w:p>
    <w:p>
      <w:pPr>
        <w:pStyle w:val="Defpara"/>
      </w:pPr>
      <w:r>
        <w:tab/>
        <w:t>(d)</w:t>
      </w:r>
      <w:r>
        <w:tab/>
        <w:t>if the mine is an underground coal mine — an underground manager (coal); or</w:t>
      </w:r>
    </w:p>
    <w:p>
      <w:pPr>
        <w:pStyle w:val="Defpara"/>
      </w:pPr>
      <w:r>
        <w:tab/>
        <w:t>(e)</w:t>
      </w:r>
      <w:r>
        <w:tab/>
        <w:t>if the mine is a mine for which a quarry manager must be appointed under Schedule 26 clause 14 — a quarry manager;</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pPr>
        <w:pStyle w:val="Defpara"/>
      </w:pPr>
      <w:r>
        <w:lastRenderedPageBreak/>
        <w:tab/>
        <w:t>(c)</w:t>
      </w:r>
      <w:r>
        <w:tab/>
        <w:t xml:space="preserve">in the case of an asbestos assessor licence — the person who is licensed under the </w:t>
      </w:r>
      <w:r>
        <w:rPr>
          <w:i/>
        </w:rPr>
        <w:t>Work Health and Safety (General) Regulations 2022</w:t>
      </w:r>
      <w:r>
        <w:t xml:space="preserve"> regulation 497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pPr>
      <w:r>
        <w:tab/>
        <w:t>(iii)</w:t>
      </w:r>
      <w:r>
        <w:tab/>
        <w:t>to issue clearance certificates in relation to Class A asbestos removal work;</w:t>
      </w:r>
    </w:p>
    <w:p>
      <w:pPr>
        <w:pStyle w:val="Defpara"/>
      </w:pPr>
      <w:r>
        <w:tab/>
      </w:r>
      <w:r>
        <w:tab/>
        <w:t>or</w:t>
      </w:r>
    </w:p>
    <w:p>
      <w:pPr>
        <w:pStyle w:val="Defpara"/>
      </w:pPr>
      <w:r>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Defstart"/>
      </w:pPr>
      <w:r>
        <w:tab/>
      </w:r>
      <w:r>
        <w:rPr>
          <w:rStyle w:val="CharDefText"/>
        </w:rPr>
        <w:t>lift</w:t>
      </w:r>
      <w:r>
        <w:t>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keepNext/>
      </w:pPr>
      <w:r>
        <w:lastRenderedPageBreak/>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para"/>
      </w:pPr>
      <w:r>
        <w:tab/>
      </w:r>
      <w:r>
        <w:tab/>
        <w:t>but</w:t>
      </w:r>
    </w:p>
    <w:p>
      <w:pPr>
        <w:pStyle w:val="Defpara"/>
      </w:pPr>
      <w:r>
        <w:tab/>
        <w:t>(c)</w:t>
      </w:r>
      <w:r>
        <w:tab/>
        <w:t>does not include a winder;</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lastRenderedPageBreak/>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pPr>
      <w:r>
        <w:tab/>
      </w:r>
      <w:r>
        <w:rPr>
          <w:rStyle w:val="CharDefText"/>
        </w:rPr>
        <w:t>medical treatment</w:t>
      </w:r>
      <w:r>
        <w:t xml:space="preserve"> — </w:t>
      </w:r>
    </w:p>
    <w:p>
      <w:pPr>
        <w:pStyle w:val="Defpara"/>
      </w:pPr>
      <w:r>
        <w:tab/>
        <w:t>(a)</w:t>
      </w:r>
      <w:r>
        <w:tab/>
        <w:t>means the management or care of a patient; and</w:t>
      </w:r>
    </w:p>
    <w:p>
      <w:pPr>
        <w:pStyle w:val="Defpara"/>
      </w:pPr>
      <w:r>
        <w:tab/>
        <w:t>(b)</w:t>
      </w:r>
      <w:r>
        <w:tab/>
        <w:t>includes the following —</w:t>
      </w:r>
    </w:p>
    <w:p>
      <w:pPr>
        <w:pStyle w:val="Defsubpara"/>
      </w:pPr>
      <w:r>
        <w:tab/>
        <w:t>(i)</w:t>
      </w:r>
      <w:r>
        <w:tab/>
        <w:t>the suturing of a wound;</w:t>
      </w:r>
    </w:p>
    <w:p>
      <w:pPr>
        <w:pStyle w:val="Defsubpara"/>
      </w:pPr>
      <w:r>
        <w:tab/>
        <w:t>(ii)</w:t>
      </w:r>
      <w:r>
        <w:tab/>
        <w:t>the treatment of fractures;</w:t>
      </w:r>
    </w:p>
    <w:p>
      <w:pPr>
        <w:pStyle w:val="Defsubpara"/>
      </w:pPr>
      <w:r>
        <w:tab/>
        <w:t>(iii)</w:t>
      </w:r>
      <w:r>
        <w:tab/>
        <w:t>the treatment of bruises by drainage of blood;</w:t>
      </w:r>
    </w:p>
    <w:p>
      <w:pPr>
        <w:pStyle w:val="Defsubpara"/>
      </w:pPr>
      <w:r>
        <w:tab/>
        <w:t>(iv)</w:t>
      </w:r>
      <w:r>
        <w:tab/>
        <w:t>the treatment of second</w:t>
      </w:r>
      <w:r>
        <w:noBreakHyphen/>
        <w:t xml:space="preserve"> and third</w:t>
      </w:r>
      <w:r>
        <w:noBreakHyphen/>
        <w:t>degree burns;</w:t>
      </w:r>
    </w:p>
    <w:p>
      <w:pPr>
        <w:pStyle w:val="Defpara"/>
      </w:pPr>
      <w:r>
        <w:tab/>
      </w:r>
      <w:r>
        <w:tab/>
        <w:t>but</w:t>
      </w:r>
    </w:p>
    <w:p>
      <w:pPr>
        <w:pStyle w:val="Defpara"/>
      </w:pPr>
      <w:r>
        <w:tab/>
        <w:t>(c)</w:t>
      </w:r>
      <w:r>
        <w:tab/>
        <w:t>does not include diagnostic procedures, observation, counselling, first aid or therapeutic measures taken solely for preventative purposes;</w:t>
      </w:r>
    </w:p>
    <w:p>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mine</w:t>
      </w:r>
      <w:r>
        <w:t xml:space="preserve"> has the meaning given in regulation 5A;</w:t>
      </w:r>
    </w:p>
    <w:p>
      <w:pPr>
        <w:pStyle w:val="Defstart"/>
      </w:pPr>
      <w:r>
        <w:tab/>
      </w:r>
      <w:r>
        <w:rPr>
          <w:rStyle w:val="CharDefText"/>
        </w:rPr>
        <w:t>mine air quality officer</w:t>
      </w:r>
      <w:r>
        <w:t xml:space="preserve"> means a person appointed to the statutory position set out in Schedule 26 clause 4 for a mine;</w:t>
      </w:r>
    </w:p>
    <w:p>
      <w:pPr>
        <w:pStyle w:val="Defstart"/>
      </w:pPr>
      <w:r>
        <w:tab/>
      </w:r>
      <w:r>
        <w:rPr>
          <w:rStyle w:val="CharDefText"/>
        </w:rPr>
        <w:t>mine emergency worker</w:t>
      </w:r>
      <w:r>
        <w:t xml:space="preserve"> means a person appointed under regulation 670B;</w:t>
      </w:r>
    </w:p>
    <w:p>
      <w:pPr>
        <w:pStyle w:val="Defstart"/>
      </w:pPr>
      <w:r>
        <w:lastRenderedPageBreak/>
        <w:tab/>
      </w:r>
      <w:r>
        <w:rPr>
          <w:rStyle w:val="CharDefText"/>
        </w:rPr>
        <w:t>mine operator</w:t>
      </w:r>
      <w:r>
        <w:t xml:space="preserve"> has the meaning given in regulation 5C;</w:t>
      </w:r>
    </w:p>
    <w:p>
      <w:pPr>
        <w:pStyle w:val="Defstart"/>
      </w:pPr>
      <w:r>
        <w:tab/>
      </w:r>
      <w:r>
        <w:rPr>
          <w:rStyle w:val="CharDefText"/>
        </w:rPr>
        <w:t>mineral</w:t>
      </w:r>
      <w:r>
        <w:t> does not include natural gas or mineral oil in a free state;</w:t>
      </w:r>
    </w:p>
    <w:p>
      <w:pPr>
        <w:pStyle w:val="Defstart"/>
      </w:pPr>
      <w:r>
        <w:tab/>
      </w:r>
      <w:r>
        <w:rPr>
          <w:rStyle w:val="CharDefText"/>
        </w:rPr>
        <w:t>mine safety management system</w:t>
      </w:r>
      <w:r>
        <w:t>, for a mine, means a mine safety management system established for the mine under regulation 621(1);</w:t>
      </w:r>
    </w:p>
    <w:p>
      <w:pPr>
        <w:pStyle w:val="Defstart"/>
      </w:pPr>
      <w:r>
        <w:tab/>
      </w:r>
      <w:r>
        <w:rPr>
          <w:rStyle w:val="CharDefText"/>
        </w:rPr>
        <w:t>mine shaft</w:t>
      </w:r>
      <w:r>
        <w:t xml:space="preserve"> means a partially or fully completed vertical or steeply inclined way or opening into or within a mine —  </w:t>
      </w:r>
    </w:p>
    <w:p>
      <w:pPr>
        <w:pStyle w:val="Defpara"/>
      </w:pPr>
      <w:r>
        <w:tab/>
        <w:t>(a)</w:t>
      </w:r>
      <w:r>
        <w:tab/>
        <w:t>through which a person or object is lowered; or</w:t>
      </w:r>
    </w:p>
    <w:p>
      <w:pPr>
        <w:pStyle w:val="Defpara"/>
      </w:pPr>
      <w:r>
        <w:tab/>
        <w:t>(b)</w:t>
      </w:r>
      <w:r>
        <w:tab/>
        <w:t>that is used for ventilation or similar purposes;</w:t>
      </w:r>
    </w:p>
    <w:p>
      <w:pPr>
        <w:pStyle w:val="Defstart"/>
      </w:pPr>
      <w:r>
        <w:tab/>
      </w:r>
      <w:r>
        <w:rPr>
          <w:rStyle w:val="CharDefText"/>
        </w:rPr>
        <w:t>mine shaft conveyance</w:t>
      </w:r>
      <w:r>
        <w:t xml:space="preserve"> means a conveyance that is connected to a winding system;</w:t>
      </w:r>
    </w:p>
    <w:p>
      <w:pPr>
        <w:pStyle w:val="Defstart"/>
      </w:pPr>
      <w:r>
        <w:tab/>
      </w:r>
      <w:r>
        <w:rPr>
          <w:rStyle w:val="CharDefText"/>
        </w:rPr>
        <w:t>Mining Competence Advisory Committee</w:t>
      </w:r>
      <w:r>
        <w:t xml:space="preserve"> means the Mining Competence Advisory Committee established under regulation 698B(1);</w:t>
      </w:r>
    </w:p>
    <w:p>
      <w:pPr>
        <w:pStyle w:val="Defstart"/>
      </w:pPr>
      <w:r>
        <w:tab/>
      </w:r>
      <w:r>
        <w:rPr>
          <w:rStyle w:val="CharDefText"/>
        </w:rPr>
        <w:t>mining operations</w:t>
      </w:r>
      <w:r>
        <w:t xml:space="preserve"> has the meaning given in regulation 5B;</w:t>
      </w:r>
    </w:p>
    <w:p>
      <w:pPr>
        <w:pStyle w:val="Defstart"/>
      </w:pPr>
      <w:r>
        <w:tab/>
      </w:r>
      <w:r>
        <w:rPr>
          <w:rStyle w:val="CharDefText"/>
        </w:rPr>
        <w:t>mining practice examination</w:t>
      </w:r>
      <w:r>
        <w:t>, for a statutory certificate, means an examination conducted under regulation 675ZZN;</w:t>
      </w:r>
    </w:p>
    <w:p>
      <w:pPr>
        <w:pStyle w:val="Defstart"/>
      </w:pPr>
      <w:r>
        <w:tab/>
      </w:r>
      <w:r>
        <w:rPr>
          <w:rStyle w:val="CharDefText"/>
        </w:rPr>
        <w:t>mining safety legislation</w:t>
      </w:r>
      <w:r>
        <w:t xml:space="preserve"> means — </w:t>
      </w:r>
    </w:p>
    <w:p>
      <w:pPr>
        <w:pStyle w:val="Defpara"/>
      </w:pPr>
      <w:r>
        <w:tab/>
        <w:t>(a)</w:t>
      </w:r>
      <w:r>
        <w:tab/>
        <w:t>the Act; and</w:t>
      </w:r>
    </w:p>
    <w:p>
      <w:pPr>
        <w:pStyle w:val="Defpara"/>
      </w:pPr>
      <w:r>
        <w:tab/>
        <w:t>(b)</w:t>
      </w:r>
      <w:r>
        <w:tab/>
        <w:t xml:space="preserve">the </w:t>
      </w:r>
      <w:r>
        <w:rPr>
          <w:i/>
        </w:rPr>
        <w:t>Dangerous Goods Safety Act 2004</w:t>
      </w:r>
      <w:r>
        <w:t xml:space="preserve"> to the extent that it relates to the storage and use of explosives at mines;</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lastRenderedPageBreak/>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noise officer</w:t>
      </w:r>
      <w:r>
        <w:t xml:space="preserve"> means a person appointed to the statutory position set out in Schedule 26 clause 2 for a mine;</w:t>
      </w:r>
    </w:p>
    <w:p>
      <w:pPr>
        <w:pStyle w:val="Defstart"/>
      </w:pPr>
      <w:r>
        <w:tab/>
      </w:r>
      <w:r>
        <w:rPr>
          <w:rStyle w:val="CharDefText"/>
        </w:rPr>
        <w:t>non</w:t>
      </w:r>
      <w:r>
        <w:rPr>
          <w:rStyle w:val="CharDefText"/>
        </w:rPr>
        <w:noBreakHyphen/>
        <w:t>friable asbestos</w:t>
      </w:r>
      <w:r>
        <w:t xml:space="preserve"> — </w:t>
      </w:r>
    </w:p>
    <w:p>
      <w:pPr>
        <w:pStyle w:val="Defpara"/>
      </w:pPr>
      <w:r>
        <w:tab/>
        <w:t>(a)</w:t>
      </w:r>
      <w:r>
        <w:tab/>
        <w:t xml:space="preserve">means material containing asbestos that is not friable asbestos; and </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lastRenderedPageBreak/>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pPr>
      <w:r>
        <w:tab/>
        <w:t>(iv)</w:t>
      </w:r>
      <w:r>
        <w:tab/>
      </w:r>
      <w:r>
        <w:rPr>
          <w:i/>
        </w:rPr>
        <w:t>[not used]</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lastRenderedPageBreak/>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lastRenderedPageBreak/>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keepNex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lastRenderedPageBreak/>
        <w:tab/>
      </w:r>
      <w:r>
        <w:rPr>
          <w:rStyle w:val="CharDefText"/>
        </w:rPr>
        <w:t>product identifier</w:t>
      </w:r>
      <w:r>
        <w:t xml:space="preserve"> means the name or number used to identify a product on a label or in a safety data sheet;</w:t>
      </w:r>
    </w:p>
    <w:p>
      <w:pPr>
        <w:pStyle w:val="Defstar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quarry</w:t>
      </w:r>
      <w:r>
        <w:t xml:space="preserve"> — </w:t>
      </w:r>
    </w:p>
    <w:p>
      <w:pPr>
        <w:pStyle w:val="Defpara"/>
      </w:pPr>
      <w:r>
        <w:tab/>
        <w:t>(a)</w:t>
      </w:r>
      <w:r>
        <w:tab/>
        <w:t>means a surface mining operation in which mineral, rock or soil is extracted from the earth by excavating into a natural surface gradient; and</w:t>
      </w:r>
    </w:p>
    <w:p>
      <w:pPr>
        <w:pStyle w:val="Defpara"/>
      </w:pPr>
      <w:r>
        <w:lastRenderedPageBreak/>
        <w:tab/>
        <w:t>(b)</w:t>
      </w:r>
      <w:r>
        <w:tab/>
        <w:t xml:space="preserve">includes — </w:t>
      </w:r>
    </w:p>
    <w:p>
      <w:pPr>
        <w:pStyle w:val="Defsubpara"/>
      </w:pPr>
      <w:r>
        <w:tab/>
        <w:t>(i)</w:t>
      </w:r>
      <w:r>
        <w:tab/>
        <w:t>harvesting evaporites; and</w:t>
      </w:r>
    </w:p>
    <w:p>
      <w:pPr>
        <w:pStyle w:val="Defsubpara"/>
      </w:pPr>
      <w:r>
        <w:tab/>
        <w:t>(ii)</w:t>
      </w:r>
      <w:r>
        <w:tab/>
        <w:t>strip mining; and</w:t>
      </w:r>
    </w:p>
    <w:p>
      <w:pPr>
        <w:pStyle w:val="Defsubpara"/>
      </w:pPr>
      <w:r>
        <w:tab/>
        <w:t>(iii)</w:t>
      </w:r>
      <w:r>
        <w:tab/>
        <w:t>extraction of sand, clay and gravel; and</w:t>
      </w:r>
    </w:p>
    <w:p>
      <w:pPr>
        <w:pStyle w:val="Defsubpara"/>
      </w:pPr>
      <w:r>
        <w:tab/>
        <w:t>(iv)</w:t>
      </w:r>
      <w:r>
        <w:tab/>
        <w:t>hydraulic mining;</w:t>
      </w:r>
    </w:p>
    <w:p>
      <w:pPr>
        <w:pStyle w:val="Defstart"/>
      </w:pPr>
      <w:r>
        <w:tab/>
      </w:r>
      <w:r>
        <w:rPr>
          <w:rStyle w:val="CharDefText"/>
        </w:rPr>
        <w:t>quarry manager</w:t>
      </w:r>
      <w:r>
        <w:t xml:space="preserve"> means a person appointed to the statutory position set out in Schedule 26 clause 14 for a mine;</w:t>
      </w:r>
    </w:p>
    <w:p>
      <w:pPr>
        <w:pStyle w:val="Defstart"/>
      </w:pPr>
      <w:r>
        <w:tab/>
      </w:r>
      <w:r>
        <w:rPr>
          <w:rStyle w:val="CharDefText"/>
        </w:rPr>
        <w:t>quarry manager’s certificate</w:t>
      </w:r>
      <w:r>
        <w:t xml:space="preserve"> means the statutory certificate referred to in Schedule 27 clause 3;</w:t>
      </w:r>
    </w:p>
    <w:p>
      <w:pPr>
        <w:pStyle w:val="Defstart"/>
      </w:pPr>
      <w:r>
        <w:tab/>
      </w:r>
      <w:r>
        <w:rPr>
          <w:rStyle w:val="CharDefText"/>
        </w:rPr>
        <w:t>quarry operation</w:t>
      </w:r>
      <w:r>
        <w:t xml:space="preserve"> — </w:t>
      </w:r>
    </w:p>
    <w:p>
      <w:pPr>
        <w:pStyle w:val="Defpara"/>
      </w:pPr>
      <w:r>
        <w:tab/>
        <w:t>(a)</w:t>
      </w:r>
      <w:r>
        <w:tab/>
        <w:t xml:space="preserve">includes — </w:t>
      </w:r>
    </w:p>
    <w:p>
      <w:pPr>
        <w:pStyle w:val="Defsubpara"/>
      </w:pPr>
      <w:r>
        <w:tab/>
        <w:t>(i)</w:t>
      </w:r>
      <w:r>
        <w:tab/>
        <w:t>activities associated with the extraction of soil, minerals or rock from a quarry; and</w:t>
      </w:r>
    </w:p>
    <w:p>
      <w:pPr>
        <w:pStyle w:val="Defsubpara"/>
      </w:pPr>
      <w:r>
        <w:tab/>
        <w:t>(ii)</w:t>
      </w:r>
      <w:r>
        <w:tab/>
        <w:t xml:space="preserve">roads and waste dumps associated with a quarry; </w:t>
      </w:r>
    </w:p>
    <w:p>
      <w:pPr>
        <w:pStyle w:val="Defpara"/>
      </w:pPr>
      <w:r>
        <w:tab/>
      </w:r>
      <w:r>
        <w:tab/>
        <w:t>but</w:t>
      </w:r>
    </w:p>
    <w:p>
      <w:pPr>
        <w:pStyle w:val="Defpara"/>
      </w:pPr>
      <w:r>
        <w:tab/>
        <w:t>(b)</w:t>
      </w:r>
      <w:r>
        <w:tab/>
        <w:t>does not include administrative or engineering services or the operation of a treatment plant;</w:t>
      </w:r>
    </w:p>
    <w:p>
      <w:pPr>
        <w:pStyle w:val="Defstart"/>
      </w:pPr>
      <w:r>
        <w:tab/>
      </w:r>
      <w:r>
        <w:rPr>
          <w:rStyle w:val="CharDefText"/>
        </w:rPr>
        <w:t>quarter</w:t>
      </w:r>
      <w:r>
        <w:t xml:space="preserve"> means a period of 3 months beginning on 1 January, 1 April, 1 July or 1 October;</w:t>
      </w:r>
    </w:p>
    <w:p>
      <w:pPr>
        <w:pStyle w:val="Defstart"/>
      </w:pPr>
      <w:r>
        <w:tab/>
      </w:r>
      <w:r>
        <w:rPr>
          <w:rStyle w:val="CharDefText"/>
        </w:rPr>
        <w:t>radiation safety officer</w:t>
      </w:r>
      <w:r>
        <w:t xml:space="preserve"> means a person appointed to the statutory position set out in Schedule 26 clause 1 for a mine;</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lastRenderedPageBreak/>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competence committee</w:t>
      </w:r>
      <w:r>
        <w:t xml:space="preserve"> means — </w:t>
      </w:r>
    </w:p>
    <w:p>
      <w:pPr>
        <w:pStyle w:val="Defpara"/>
      </w:pPr>
      <w:r>
        <w:tab/>
        <w:t>(a)</w:t>
      </w:r>
      <w:r>
        <w:tab/>
        <w:t>in relation to a statutory surveyor certificate or statutory surveyor position — the Surveyors Competence Advisory Committee; or</w:t>
      </w:r>
    </w:p>
    <w:p>
      <w:pPr>
        <w:pStyle w:val="Defpara"/>
      </w:pPr>
      <w:r>
        <w:tab/>
        <w:t>(b)</w:t>
      </w:r>
      <w:r>
        <w:tab/>
        <w:t>otherwise — the Mining Competence Advisory Committee;</w:t>
      </w:r>
    </w:p>
    <w:p>
      <w:pPr>
        <w:pStyle w:val="Defstart"/>
      </w:pPr>
      <w:r>
        <w:tab/>
      </w:r>
      <w:r>
        <w:rPr>
          <w:rStyle w:val="CharDefText"/>
        </w:rPr>
        <w:t>reportable incident</w:t>
      </w:r>
      <w:r>
        <w:t xml:space="preserve"> means any of the following that is not a notifiable incident — </w:t>
      </w:r>
    </w:p>
    <w:p>
      <w:pPr>
        <w:pStyle w:val="Defpara"/>
      </w:pPr>
      <w:r>
        <w:tab/>
        <w:t>(a)</w:t>
      </w:r>
      <w:r>
        <w:tab/>
        <w:t xml:space="preserve">an incident that results in illness or injury that requires medical treatment; </w:t>
      </w:r>
    </w:p>
    <w:p>
      <w:pPr>
        <w:pStyle w:val="Defpara"/>
      </w:pPr>
      <w:r>
        <w:tab/>
        <w:t>(b)</w:t>
      </w:r>
      <w:r>
        <w:tab/>
        <w:t>a significant seismic event;</w:t>
      </w:r>
    </w:p>
    <w:p>
      <w:pPr>
        <w:pStyle w:val="Defpara"/>
      </w:pPr>
      <w:r>
        <w:tab/>
        <w:t>(c)</w:t>
      </w:r>
      <w:r>
        <w:tab/>
        <w:t>extensive subsidence;</w:t>
      </w:r>
    </w:p>
    <w:p>
      <w:pPr>
        <w:pStyle w:val="Defpara"/>
      </w:pPr>
      <w:r>
        <w:tab/>
        <w:t>(d)</w:t>
      </w:r>
      <w:r>
        <w:tab/>
        <w:t>an air blast in an underground mine;</w:t>
      </w:r>
    </w:p>
    <w:p>
      <w:pPr>
        <w:pStyle w:val="Defpara"/>
      </w:pPr>
      <w:r>
        <w:tab/>
        <w:t>(e)</w:t>
      </w:r>
      <w:r>
        <w:tab/>
        <w:t>an unplanned event that causes only 1 exit from an underground mine to be available for use;</w:t>
      </w:r>
    </w:p>
    <w:p>
      <w:pPr>
        <w:pStyle w:val="Defpara"/>
      </w:pPr>
      <w:r>
        <w:tab/>
        <w:t>(f)</w:t>
      </w:r>
      <w:r>
        <w:tab/>
        <w:t>damage to any plant, building or structure so as to impede its safe operations;</w:t>
      </w:r>
    </w:p>
    <w:p>
      <w:pPr>
        <w:pStyle w:val="Defpara"/>
      </w:pPr>
      <w:r>
        <w:tab/>
        <w:t>(g)</w:t>
      </w:r>
      <w:r>
        <w:tab/>
        <w:t>damage to, or failure of, any part of a winding system, mine shaft conveyance, mine shaft or shaft plant;</w:t>
      </w:r>
    </w:p>
    <w:p>
      <w:pPr>
        <w:pStyle w:val="Defpara"/>
      </w:pPr>
      <w:r>
        <w:tab/>
        <w:t>(h)</w:t>
      </w:r>
      <w:r>
        <w:tab/>
        <w:t>control is lost over a vehicle or other plant, or it unintentionally activates, moves or fails to stop;</w:t>
      </w:r>
    </w:p>
    <w:p>
      <w:pPr>
        <w:pStyle w:val="Defpara"/>
      </w:pPr>
      <w:r>
        <w:tab/>
        <w:t>(i)</w:t>
      </w:r>
      <w:r>
        <w:tab/>
        <w:t>plant makes contact with an energised high voltage source;</w:t>
      </w:r>
    </w:p>
    <w:p>
      <w:pPr>
        <w:pStyle w:val="Defpara"/>
      </w:pPr>
      <w:r>
        <w:tab/>
        <w:t>(j)</w:t>
      </w:r>
      <w:r>
        <w:tab/>
        <w:t xml:space="preserve">an accidental ignition or detonation of explosives; </w:t>
      </w:r>
    </w:p>
    <w:p>
      <w:pPr>
        <w:pStyle w:val="Defpara"/>
      </w:pPr>
      <w:r>
        <w:tab/>
        <w:t>(k)</w:t>
      </w:r>
      <w:r>
        <w:tab/>
        <w:t>a delayed or fast ignition of explosives;</w:t>
      </w:r>
    </w:p>
    <w:p>
      <w:pPr>
        <w:pStyle w:val="Defpara"/>
      </w:pPr>
      <w:r>
        <w:tab/>
        <w:t>(l)</w:t>
      </w:r>
      <w:r>
        <w:tab/>
        <w:t xml:space="preserve">fly rock from a blast — </w:t>
      </w:r>
    </w:p>
    <w:p>
      <w:pPr>
        <w:pStyle w:val="Defsubpara"/>
      </w:pPr>
      <w:r>
        <w:tab/>
        <w:t>(i)</w:t>
      </w:r>
      <w:r>
        <w:tab/>
        <w:t>is ejected outside the area cleared of people during the blast; or</w:t>
      </w:r>
    </w:p>
    <w:p>
      <w:pPr>
        <w:pStyle w:val="Defsubpara"/>
      </w:pPr>
      <w:r>
        <w:lastRenderedPageBreak/>
        <w:tab/>
        <w:t>(ii)</w:t>
      </w:r>
      <w:r>
        <w:tab/>
        <w:t>lands near a person;</w:t>
      </w:r>
    </w:p>
    <w:p>
      <w:pPr>
        <w:pStyle w:val="Defpara"/>
      </w:pPr>
      <w:r>
        <w:tab/>
        <w:t>(m)</w:t>
      </w:r>
      <w:r>
        <w:tab/>
        <w:t>an unplanned immersion of a person in liquid;</w:t>
      </w:r>
    </w:p>
    <w:p>
      <w:pPr>
        <w:pStyle w:val="Defpara"/>
      </w:pPr>
      <w:r>
        <w:tab/>
        <w:t>(n)</w:t>
      </w:r>
      <w:r>
        <w:tab/>
        <w:t xml:space="preserve">a thing in an underground mine spontaneously combusts; </w:t>
      </w:r>
    </w:p>
    <w:p>
      <w:pPr>
        <w:pStyle w:val="Defpara"/>
      </w:pPr>
      <w:r>
        <w:tab/>
        <w:t>(o)</w:t>
      </w:r>
      <w:r>
        <w:tab/>
        <w:t>a person is adversely affected by an exposure to a toxic substance, including a gas, fumes, a vapour or poison;</w:t>
      </w:r>
    </w:p>
    <w:p>
      <w:pPr>
        <w:pStyle w:val="Defpara"/>
      </w:pPr>
      <w:r>
        <w:tab/>
        <w:t>(p)</w:t>
      </w:r>
      <w:r>
        <w:tab/>
        <w:t>a person loses consciousness because of a workplace incident;</w:t>
      </w:r>
    </w:p>
    <w:p>
      <w:pPr>
        <w:pStyle w:val="Defpara"/>
      </w:pPr>
      <w:r>
        <w:tab/>
        <w:t>(q)</w:t>
      </w:r>
      <w:r>
        <w:tab/>
        <w:t>a person attempts suicide at a mine or a place associated with a mine, including at accommodation for a worker at the mine;</w:t>
      </w:r>
    </w:p>
    <w:p>
      <w:pPr>
        <w:pStyle w:val="Defpara"/>
      </w:pPr>
      <w:r>
        <w:tab/>
        <w:t>(r)</w:t>
      </w:r>
      <w:r>
        <w:tab/>
        <w:t>a workplace incident that could have caused serious harm to a person, plant or structure;</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lastRenderedPageBreak/>
        <w:tab/>
      </w:r>
      <w:r>
        <w:rPr>
          <w:rStyle w:val="CharDefText"/>
        </w:rPr>
        <w:t>restricted quarry manager’s certificate</w:t>
      </w:r>
      <w:r>
        <w:t xml:space="preserve"> means the statutory certificate referred to in Schedule 27 clause 6;</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keepNex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Schedule 26 position</w:t>
      </w:r>
      <w:r>
        <w:t xml:space="preserve"> has the meaning given in regulation 675ZP(a);</w:t>
      </w:r>
    </w:p>
    <w:p>
      <w:pPr>
        <w:pStyle w:val="Defstart"/>
        <w:keepNext/>
      </w:pPr>
      <w:r>
        <w:lastRenderedPageBreak/>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site senior executive</w:t>
      </w:r>
      <w:r>
        <w:t>, in relation to a mine, means the person appointed to be the site senior executive of the mine under regulation 675ZI;</w:t>
      </w:r>
    </w:p>
    <w:p>
      <w:pPr>
        <w:pStyle w:val="Defstar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keepNext/>
      </w:pPr>
      <w:r>
        <w:lastRenderedPageBreak/>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statutory certificate</w:t>
      </w:r>
      <w:r>
        <w:t xml:space="preserve"> has the meaning given in regulation 675ZZA(a);</w:t>
      </w:r>
    </w:p>
    <w:p>
      <w:pPr>
        <w:pStyle w:val="Defstart"/>
      </w:pPr>
      <w:r>
        <w:tab/>
      </w:r>
      <w:r>
        <w:rPr>
          <w:rStyle w:val="CharDefText"/>
        </w:rPr>
        <w:t>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a Schedule 26 position;</w:t>
      </w:r>
    </w:p>
    <w:p>
      <w:pPr>
        <w:pStyle w:val="Defstart"/>
      </w:pPr>
      <w:r>
        <w:tab/>
      </w:r>
      <w:r>
        <w:rPr>
          <w:rStyle w:val="CharDefText"/>
        </w:rPr>
        <w:t>statutory supervisor</w:t>
      </w:r>
      <w:r>
        <w:t xml:space="preserve"> means a person appointed to the statutory position set out in Schedule 26 clause 3 for a place at a mine;</w:t>
      </w:r>
    </w:p>
    <w:p>
      <w:pPr>
        <w:pStyle w:val="Defstart"/>
        <w:keepNext/>
      </w:pPr>
      <w:r>
        <w:lastRenderedPageBreak/>
        <w:tab/>
      </w:r>
      <w:r>
        <w:rPr>
          <w:rStyle w:val="CharDefText"/>
        </w:rPr>
        <w:t>statutory surveyor certificate</w:t>
      </w:r>
      <w:r>
        <w:t xml:space="preserve"> means 1 of the following statutory certificates — </w:t>
      </w:r>
    </w:p>
    <w:p>
      <w:pPr>
        <w:pStyle w:val="Defpara"/>
      </w:pPr>
      <w:r>
        <w:tab/>
        <w:t>(a)</w:t>
      </w:r>
      <w:r>
        <w:tab/>
        <w:t>authorised mine surveyor’s certificate (grade 1);</w:t>
      </w:r>
    </w:p>
    <w:p>
      <w:pPr>
        <w:pStyle w:val="Defpara"/>
      </w:pPr>
      <w:r>
        <w:tab/>
        <w:t>(b)</w:t>
      </w:r>
      <w:r>
        <w:tab/>
        <w:t>authorised mine surveyor’s certificate (grade 2);</w:t>
      </w:r>
    </w:p>
    <w:p>
      <w:pPr>
        <w:pStyle w:val="Defstart"/>
      </w:pPr>
      <w:r>
        <w:tab/>
      </w:r>
      <w:r>
        <w:rPr>
          <w:rStyle w:val="CharDefText"/>
        </w:rPr>
        <w:t>statutory surveyor position</w:t>
      </w:r>
      <w:r>
        <w:t xml:space="preserve"> means 1 of the following statutory positions — </w:t>
      </w:r>
    </w:p>
    <w:p>
      <w:pPr>
        <w:pStyle w:val="Defpara"/>
      </w:pPr>
      <w:r>
        <w:tab/>
        <w:t>(a)</w:t>
      </w:r>
      <w:r>
        <w:tab/>
        <w:t>authorised mine surveyor (underground);</w:t>
      </w:r>
    </w:p>
    <w:p>
      <w:pPr>
        <w:pStyle w:val="Defpara"/>
      </w:pPr>
      <w:r>
        <w:tab/>
        <w:t>(b)</w:t>
      </w:r>
      <w:r>
        <w:tab/>
        <w:t>authorised mine surveyor (quarry operation);</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Surveyors Competence Advisory Committee</w:t>
      </w:r>
      <w:r>
        <w:t xml:space="preserve"> means the Surveyors Competence Advisory Committee established under regulation 698B(2);</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suspension</w:t>
      </w:r>
      <w:r>
        <w:t xml:space="preserve">, in relation to a mine or part of a mine, means — </w:t>
      </w:r>
    </w:p>
    <w:p>
      <w:pPr>
        <w:pStyle w:val="Defpara"/>
      </w:pPr>
      <w:r>
        <w:tab/>
        <w:t>(a)</w:t>
      </w:r>
      <w:r>
        <w:tab/>
        <w:t>all mining operations at the mine or part stop; and</w:t>
      </w:r>
    </w:p>
    <w:p>
      <w:pPr>
        <w:pStyle w:val="Defpara"/>
      </w:pPr>
      <w:r>
        <w:tab/>
        <w:t>(b)</w:t>
      </w:r>
      <w:r>
        <w:tab/>
        <w:t>persons are not allowed to enter the mine or part;</w:t>
      </w:r>
    </w:p>
    <w:p>
      <w:pPr>
        <w:pStyle w:val="Defstart"/>
      </w:pPr>
      <w:r>
        <w:tab/>
      </w:r>
      <w:r>
        <w:rPr>
          <w:rStyle w:val="CharDefText"/>
        </w:rPr>
        <w:t>TAFE</w:t>
      </w:r>
      <w:r>
        <w:t xml:space="preserve"> means a college established under the </w:t>
      </w:r>
      <w:r>
        <w:rPr>
          <w:i/>
        </w:rPr>
        <w:t>Vocational Education and Training Act 1996</w:t>
      </w:r>
      <w:r>
        <w:t xml:space="preserve"> section 35;</w:t>
      </w:r>
    </w:p>
    <w:p>
      <w:pPr>
        <w:pStyle w:val="Defstart"/>
      </w:pPr>
      <w:r>
        <w:lastRenderedPageBreak/>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keepNex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lastRenderedPageBreak/>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keepNext/>
      </w:pPr>
      <w:r>
        <w:tab/>
      </w:r>
      <w:r>
        <w:rPr>
          <w:rStyle w:val="CharDefText"/>
        </w:rPr>
        <w:t>tractor</w:t>
      </w:r>
      <w:r>
        <w:t>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underground</w:t>
      </w:r>
      <w:r>
        <w:t xml:space="preserve"> — </w:t>
      </w:r>
    </w:p>
    <w:p>
      <w:pPr>
        <w:pStyle w:val="Defpara"/>
      </w:pPr>
      <w:r>
        <w:tab/>
        <w:t>(a)</w:t>
      </w:r>
      <w:r>
        <w:tab/>
        <w:t>means a void a person can enter that is beneath the natural surface of the earth; and</w:t>
      </w:r>
    </w:p>
    <w:p>
      <w:pPr>
        <w:pStyle w:val="Defpara"/>
      </w:pPr>
      <w:r>
        <w:tab/>
        <w:t>(b)</w:t>
      </w:r>
      <w:r>
        <w:tab/>
        <w:t>includes a mine shaft or winze that connects the void to the surface;</w:t>
      </w:r>
    </w:p>
    <w:p>
      <w:pPr>
        <w:pStyle w:val="Defstart"/>
      </w:pPr>
      <w:r>
        <w:tab/>
      </w:r>
      <w:r>
        <w:rPr>
          <w:rStyle w:val="CharDefText"/>
        </w:rPr>
        <w:t>underground coal mine</w:t>
      </w:r>
      <w:r>
        <w:t xml:space="preserve"> means an underground mine where mining operations are carried out in relation to coal;</w:t>
      </w:r>
    </w:p>
    <w:p>
      <w:pPr>
        <w:pStyle w:val="Defstart"/>
      </w:pPr>
      <w:r>
        <w:tab/>
      </w:r>
      <w:r>
        <w:rPr>
          <w:rStyle w:val="CharDefText"/>
        </w:rPr>
        <w:t>underground manager (coal)</w:t>
      </w:r>
      <w:r>
        <w:t xml:space="preserve"> means a person appointed to the statutory position set out in Schedule 26 clause 8 for a mine;</w:t>
      </w:r>
    </w:p>
    <w:p>
      <w:pPr>
        <w:pStyle w:val="Defstart"/>
      </w:pPr>
      <w:r>
        <w:lastRenderedPageBreak/>
        <w:tab/>
      </w:r>
      <w:r>
        <w:rPr>
          <w:rStyle w:val="CharDefText"/>
        </w:rPr>
        <w:t>underground manager (non</w:t>
      </w:r>
      <w:r>
        <w:rPr>
          <w:rStyle w:val="CharDefText"/>
        </w:rPr>
        <w:noBreakHyphen/>
        <w:t>coal)</w:t>
      </w:r>
      <w:r>
        <w:t xml:space="preserve"> means a person appointed to the statutory position set out in Schedule 26 clause 7 for a mine;</w:t>
      </w:r>
    </w:p>
    <w:p>
      <w:pPr>
        <w:pStyle w:val="Defstart"/>
      </w:pPr>
      <w:r>
        <w:tab/>
      </w:r>
      <w:r>
        <w:rPr>
          <w:rStyle w:val="CharDefText"/>
        </w:rPr>
        <w:t>underground mine</w:t>
      </w:r>
      <w:r>
        <w:t xml:space="preserve"> means a mine where underground operations are carried out;</w:t>
      </w:r>
    </w:p>
    <w:p>
      <w:pPr>
        <w:pStyle w:val="Defstart"/>
      </w:pPr>
      <w:r>
        <w:tab/>
      </w:r>
      <w:r>
        <w:rPr>
          <w:rStyle w:val="CharDefText"/>
        </w:rPr>
        <w:t>underground non-coal mine</w:t>
      </w:r>
      <w:r>
        <w:t xml:space="preserve"> means an underground mine that is not an underground coal mine;</w:t>
      </w:r>
    </w:p>
    <w:p>
      <w:pPr>
        <w:pStyle w:val="Defstart"/>
      </w:pPr>
      <w:r>
        <w:tab/>
      </w:r>
      <w:r>
        <w:rPr>
          <w:rStyle w:val="CharDefText"/>
        </w:rPr>
        <w:t>underground operations</w:t>
      </w:r>
      <w:r>
        <w:t xml:space="preserve"> means mining operations that are carried out underground;</w:t>
      </w:r>
    </w:p>
    <w:p>
      <w:pPr>
        <w:pStyle w:val="Defstart"/>
      </w:pPr>
      <w:r>
        <w:tab/>
      </w:r>
      <w:r>
        <w:rPr>
          <w:rStyle w:val="CharDefText"/>
        </w:rPr>
        <w:t>underground supervisor (coal)</w:t>
      </w:r>
      <w:r>
        <w:t xml:space="preserve"> means a person appointed to the statutory position set out in Schedule 26 clause 10 for a mine;</w:t>
      </w:r>
    </w:p>
    <w:p>
      <w:pPr>
        <w:pStyle w:val="Defstart"/>
      </w:pPr>
      <w:r>
        <w:tab/>
      </w:r>
      <w:r>
        <w:rPr>
          <w:rStyle w:val="CharDefText"/>
        </w:rPr>
        <w:t>underground supervisor (non</w:t>
      </w:r>
      <w:r>
        <w:rPr>
          <w:rStyle w:val="CharDefText"/>
        </w:rPr>
        <w:noBreakHyphen/>
        <w:t>coal)</w:t>
      </w:r>
      <w:r>
        <w:t xml:space="preserve"> means a person appointed to the statutory position set out in Schedule 26 clause 9 for a mine;</w:t>
      </w:r>
    </w:p>
    <w:p>
      <w:pPr>
        <w:pStyle w:val="Defstart"/>
      </w:pPr>
      <w:r>
        <w:tab/>
      </w:r>
      <w:r>
        <w:rPr>
          <w:rStyle w:val="CharDefText"/>
        </w:rPr>
        <w:t>underground supervisor’s certificate</w:t>
      </w:r>
      <w:r>
        <w:t xml:space="preserve"> means the statutory certificate referred to in Schedule 27 clause 4;</w:t>
      </w:r>
    </w:p>
    <w:p>
      <w:pPr>
        <w:pStyle w:val="Defstart"/>
      </w:pPr>
      <w:r>
        <w:tab/>
      </w:r>
      <w:r>
        <w:rPr>
          <w:rStyle w:val="CharDefText"/>
        </w:rPr>
        <w:t>underground ventilation officer</w:t>
      </w:r>
      <w:r>
        <w:t xml:space="preserve"> means a person appointed to the statutory position set out in Schedule 26 clause 11 for a mine;</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keepNext/>
      </w:pPr>
      <w:r>
        <w:lastRenderedPageBreak/>
        <w:tab/>
      </w:r>
      <w:r>
        <w:rPr>
          <w:rStyle w:val="CharDefText"/>
        </w:rPr>
        <w:t>winder</w:t>
      </w:r>
      <w:r>
        <w:t xml:space="preserve"> — </w:t>
      </w:r>
    </w:p>
    <w:p>
      <w:pPr>
        <w:pStyle w:val="Defpara"/>
      </w:pPr>
      <w:r>
        <w:tab/>
        <w:t>(a)</w:t>
      </w:r>
      <w:r>
        <w:tab/>
        <w:t>means plant, other than manually</w:t>
      </w:r>
      <w:r>
        <w:noBreakHyphen/>
        <w:t>powered plant, that is used for winding; but</w:t>
      </w:r>
    </w:p>
    <w:p>
      <w:pPr>
        <w:pStyle w:val="Defpara"/>
      </w:pPr>
      <w:r>
        <w:tab/>
        <w:t>(b)</w:t>
      </w:r>
      <w:r>
        <w:tab/>
        <w:t>does not include a lift;</w:t>
      </w:r>
    </w:p>
    <w:p>
      <w:pPr>
        <w:pStyle w:val="Defstart"/>
      </w:pPr>
      <w:r>
        <w:tab/>
      </w:r>
      <w:r>
        <w:rPr>
          <w:rStyle w:val="CharDefText"/>
        </w:rPr>
        <w:t>winding</w:t>
      </w:r>
      <w:r>
        <w:t xml:space="preserve"> means moving, by way of a rope, a mine shaft conveyance to transport a person, object or plant;</w:t>
      </w:r>
    </w:p>
    <w:p>
      <w:pPr>
        <w:pStyle w:val="Defstart"/>
      </w:pPr>
      <w:r>
        <w:tab/>
      </w:r>
      <w:r>
        <w:rPr>
          <w:rStyle w:val="CharDefText"/>
        </w:rPr>
        <w:t>winding engine driver</w:t>
      </w:r>
      <w:r>
        <w:t xml:space="preserve"> means a person appointed to the statutory position set out in Schedule 26 clause 13 for a mine;</w:t>
      </w:r>
    </w:p>
    <w:p>
      <w:pPr>
        <w:pStyle w:val="Defstart"/>
      </w:pPr>
      <w:r>
        <w:tab/>
      </w:r>
      <w:r>
        <w:rPr>
          <w:rStyle w:val="CharDefText"/>
        </w:rPr>
        <w:t>winding system</w:t>
      </w:r>
      <w:r>
        <w:t xml:space="preserve"> — </w:t>
      </w:r>
    </w:p>
    <w:p>
      <w:pPr>
        <w:pStyle w:val="Defpara"/>
      </w:pPr>
      <w:r>
        <w:tab/>
        <w:t>(a)</w:t>
      </w:r>
      <w:r>
        <w:tab/>
        <w:t>means a winder and other plant used for winding; and</w:t>
      </w:r>
    </w:p>
    <w:p>
      <w:pPr>
        <w:pStyle w:val="Defpara"/>
      </w:pPr>
      <w:r>
        <w:tab/>
        <w:t>(b)</w:t>
      </w:r>
      <w:r>
        <w:tab/>
        <w:t>includes a mine shaft conveyance, ropes, headframe, mine shaft and fittings for the mine shaft conveyance; but</w:t>
      </w:r>
    </w:p>
    <w:p>
      <w:pPr>
        <w:pStyle w:val="Defpara"/>
      </w:pPr>
      <w:r>
        <w:tab/>
        <w:t>(c)</w:t>
      </w:r>
      <w:r>
        <w:tab/>
        <w:t>does not include a lift;</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8; SL 2023/134 r. 12.]</w:t>
      </w:r>
    </w:p>
    <w:p>
      <w:pPr>
        <w:pStyle w:val="Heading5"/>
      </w:pPr>
      <w:bookmarkStart w:id="10" w:name="_Toc200719514"/>
      <w:r>
        <w:rPr>
          <w:rStyle w:val="CharSectno"/>
        </w:rPr>
        <w:t>5A</w:t>
      </w:r>
      <w:r>
        <w:t>.</w:t>
      </w:r>
      <w:r>
        <w:tab/>
        <w:t>Meaning of mine</w:t>
      </w:r>
      <w:bookmarkEnd w:id="10"/>
    </w:p>
    <w:p>
      <w:pPr>
        <w:pStyle w:val="Subsection"/>
      </w:pPr>
      <w:r>
        <w:tab/>
        <w:t>(1)</w:t>
      </w:r>
      <w:r>
        <w:tab/>
        <w:t xml:space="preserve">In these regulations, a </w:t>
      </w:r>
      <w:r>
        <w:rPr>
          <w:rStyle w:val="CharDefText"/>
        </w:rPr>
        <w:t>mine</w:t>
      </w:r>
      <w:r>
        <w:t xml:space="preserve"> is a place at which mining operations are carried out.</w:t>
      </w:r>
    </w:p>
    <w:p>
      <w:pPr>
        <w:pStyle w:val="Subsection"/>
      </w:pPr>
      <w:r>
        <w:tab/>
        <w:t>(2)</w:t>
      </w:r>
      <w:r>
        <w:tab/>
        <w:t xml:space="preserve">If mining operations are being carried out in conjunction with one another at 2 or more places, those places constitute 1 </w:t>
      </w:r>
      <w:r>
        <w:rPr>
          <w:rStyle w:val="CharDefText"/>
        </w:rPr>
        <w:t>mine</w:t>
      </w:r>
      <w:r>
        <w:t>.</w:t>
      </w:r>
    </w:p>
    <w:p>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pPr>
        <w:pStyle w:val="Heading5"/>
      </w:pPr>
      <w:bookmarkStart w:id="11" w:name="_Toc200719515"/>
      <w:r>
        <w:rPr>
          <w:rStyle w:val="CharSectno"/>
        </w:rPr>
        <w:lastRenderedPageBreak/>
        <w:t>5B</w:t>
      </w:r>
      <w:r>
        <w:t>.</w:t>
      </w:r>
      <w:r>
        <w:tab/>
        <w:t>Meaning of mining operations</w:t>
      </w:r>
      <w:bookmarkEnd w:id="11"/>
    </w:p>
    <w:p>
      <w:pPr>
        <w:pStyle w:val="Subsection"/>
      </w:pPr>
      <w:r>
        <w:tab/>
      </w:r>
      <w:r>
        <w:tab/>
        <w:t xml:space="preserve">In these regulations — </w:t>
      </w:r>
    </w:p>
    <w:p>
      <w:pPr>
        <w:pStyle w:val="Defstart"/>
      </w:pPr>
      <w:r>
        <w:tab/>
      </w:r>
      <w:r>
        <w:rPr>
          <w:rStyle w:val="CharDefText"/>
        </w:rPr>
        <w:t>mining operations</w:t>
      </w:r>
      <w:r>
        <w:t xml:space="preserve"> — </w:t>
      </w:r>
    </w:p>
    <w:p>
      <w:pPr>
        <w:pStyle w:val="Defpara"/>
      </w:pPr>
      <w:r>
        <w:tab/>
        <w:t>(a)</w:t>
      </w:r>
      <w:r>
        <w:tab/>
        <w:t>means any method of working by which the earth or any rock structure, coal seam, stone, fluid, or mineral 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pPr>
        <w:pStyle w:val="Defpara"/>
      </w:pPr>
      <w:r>
        <w:tab/>
        <w:t>(b)</w:t>
      </w:r>
      <w:r>
        <w:tab/>
        <w:t xml:space="preserve">includes the following — </w:t>
      </w:r>
    </w:p>
    <w:p>
      <w:pPr>
        <w:pStyle w:val="Defsubpara"/>
      </w:pPr>
      <w:r>
        <w:tab/>
        <w:t>(i)</w:t>
      </w:r>
      <w:r>
        <w:tab/>
        <w:t>exploration operations;</w:t>
      </w:r>
    </w:p>
    <w:p>
      <w:pPr>
        <w:pStyle w:val="Defsubpara"/>
      </w:pPr>
      <w:r>
        <w:tab/>
        <w:t>(ii)</w:t>
      </w:r>
      <w:r>
        <w:tab/>
        <w:t>developmental and construction work associated with opening up or operating a mine;</w:t>
      </w:r>
    </w:p>
    <w:p>
      <w:pPr>
        <w:pStyle w:val="Defsubpara"/>
      </w:pPr>
      <w:r>
        <w:tab/>
        <w:t>(iii)</w:t>
      </w:r>
      <w:r>
        <w:tab/>
        <w:t>the removal and disposal of overburden or waste or residues by mechanical or other means and the stacking, depositing, storage, and treatment of any substance considered to contain any mineral;</w:t>
      </w:r>
    </w:p>
    <w:p>
      <w:pPr>
        <w:pStyle w:val="Defsubpara"/>
      </w:pPr>
      <w:r>
        <w:tab/>
        <w:t>(iv)</w:t>
      </w:r>
      <w:r>
        <w:tab/>
        <w:t>the operation of blast furnaces and direct reduction furnaces;</w:t>
      </w:r>
    </w:p>
    <w:p>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pPr>
        <w:pStyle w:val="Defsubpara"/>
        <w:keepLines w:val="0"/>
      </w:pPr>
      <w:r>
        <w:tab/>
        <w:t>(vii)</w:t>
      </w:r>
      <w:r>
        <w:tab/>
        <w:t xml:space="preserve">the crushing, screening, sorting, stacking, loading and handling of ore or other mining products at any rail or road terminal or any </w:t>
      </w:r>
      <w:r>
        <w:lastRenderedPageBreak/>
        <w:t xml:space="preserve">loading or transhipment points, including seaports; </w:t>
      </w:r>
    </w:p>
    <w:p>
      <w:pPr>
        <w:pStyle w:val="Defsubpara"/>
      </w:pPr>
      <w:r>
        <w:tab/>
        <w:t>(viii)</w:t>
      </w:r>
      <w:r>
        <w:tab/>
        <w:t>the operation of any support facilities on the minesite, including mine administration offices, workshops and services buildings;</w:t>
      </w:r>
    </w:p>
    <w:p>
      <w:pPr>
        <w:pStyle w:val="Defsubpara"/>
      </w:pPr>
      <w:r>
        <w:tab/>
        <w:t>(ix)</w:t>
      </w:r>
      <w:r>
        <w:tab/>
        <w:t>borefields remote from the minesite but an integral part of the mining operation;</w:t>
      </w:r>
    </w:p>
    <w:p>
      <w:pPr>
        <w:pStyle w:val="Defsubpara"/>
      </w:pPr>
      <w:r>
        <w:tab/>
        <w:t>(x)</w:t>
      </w:r>
      <w:r>
        <w:tab/>
        <w:t>operations by means of which salt or other evaporites are harvested;</w:t>
      </w:r>
    </w:p>
    <w:p>
      <w:pPr>
        <w:pStyle w:val="Defsubpara"/>
      </w:pPr>
      <w:r>
        <w:tab/>
        <w:t>(xi)</w:t>
      </w:r>
      <w:r>
        <w:tab/>
        <w:t>operations by means of which any mineral is recovered from the sea or sea bed or a natural water supply;</w:t>
      </w:r>
    </w:p>
    <w:p>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pPr>
        <w:pStyle w:val="Defsubpara"/>
      </w:pPr>
      <w:r>
        <w:tab/>
        <w:t>(xiv)</w:t>
      </w:r>
      <w:r>
        <w:tab/>
        <w:t>operations undertaken for the environmental rehabilitation of the minesite during production operations and after their completion;</w:t>
      </w:r>
    </w:p>
    <w:p>
      <w:pPr>
        <w:pStyle w:val="Defsubpara"/>
      </w:pPr>
      <w:r>
        <w:tab/>
        <w:t>(xv)</w:t>
      </w:r>
      <w:r>
        <w:tab/>
        <w:t>operations for the care, security and maintenance of a mine and plant at the mine undertaken during any period when production or development operations at the mine are suspended;</w:t>
      </w:r>
    </w:p>
    <w:p>
      <w:pPr>
        <w:pStyle w:val="Defsubpara"/>
        <w:keepNext/>
      </w:pPr>
      <w:r>
        <w:tab/>
        <w:t>(xvi)</w:t>
      </w:r>
      <w:r>
        <w:tab/>
        <w:t>operations undertaken to leave a mine safe to be closed;</w:t>
      </w:r>
    </w:p>
    <w:p>
      <w:pPr>
        <w:pStyle w:val="Defpara"/>
      </w:pPr>
      <w:r>
        <w:tab/>
      </w:r>
      <w:r>
        <w:tab/>
        <w:t>but</w:t>
      </w:r>
    </w:p>
    <w:p>
      <w:pPr>
        <w:pStyle w:val="Defpara"/>
        <w:keepNext/>
      </w:pPr>
      <w:r>
        <w:lastRenderedPageBreak/>
        <w:tab/>
        <w:t>(c)</w:t>
      </w:r>
      <w:r>
        <w:tab/>
        <w:t xml:space="preserve">does not include the following — </w:t>
      </w:r>
    </w:p>
    <w:p>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pPr>
        <w:pStyle w:val="Defsubpara"/>
      </w:pPr>
      <w:r>
        <w:tab/>
        <w:t>(ii)</w:t>
      </w:r>
      <w:r>
        <w:tab/>
        <w:t>steel making plants;</w:t>
      </w:r>
    </w:p>
    <w:p>
      <w:pPr>
        <w:pStyle w:val="Defsubpara"/>
        <w:keepNext/>
      </w:pPr>
      <w:r>
        <w:tab/>
        <w:t>(iii)</w:t>
      </w:r>
      <w:r>
        <w:tab/>
        <w:t>rolling mills;</w:t>
      </w:r>
    </w:p>
    <w:p>
      <w:pPr>
        <w:pStyle w:val="Defsubpara"/>
      </w:pPr>
      <w:r>
        <w:tab/>
        <w:t>(iv)</w:t>
      </w:r>
      <w:r>
        <w:tab/>
        <w:t>facilities for the manufacture of goods from mining products;</w:t>
      </w:r>
    </w:p>
    <w:p>
      <w:pPr>
        <w:pStyle w:val="Defsubpara"/>
      </w:pPr>
      <w:r>
        <w:tab/>
        <w:t>(v)</w:t>
      </w:r>
      <w:r>
        <w:tab/>
        <w:t>residential facilities or recreational facilities and the ground used for that purpose, if those facilities are not located on a mining tenement and directly associated with mining operations;</w:t>
      </w:r>
    </w:p>
    <w:p>
      <w:pPr>
        <w:pStyle w:val="Defsubpara"/>
      </w:pPr>
      <w:r>
        <w:tab/>
        <w:t>(vi)</w:t>
      </w:r>
      <w:r>
        <w:tab/>
        <w:t>sand, gravel, limestone or rock excavation carried out by or for any State agency or instrumentality or any local government for the use or disposition by that agency, instrumentality or local government;</w:t>
      </w:r>
    </w:p>
    <w:p>
      <w:pPr>
        <w:pStyle w:val="Defsubpara"/>
      </w:pPr>
      <w:r>
        <w:tab/>
        <w:t>(vii)</w:t>
      </w:r>
      <w:r>
        <w:tab/>
        <w:t>excavation activities on private land by and for the use of the owner of the land;</w:t>
      </w:r>
    </w:p>
    <w:p>
      <w:pPr>
        <w:pStyle w:val="Defsubpara"/>
      </w:pPr>
      <w:r>
        <w:tab/>
        <w:t>(viii)</w:t>
      </w:r>
      <w:r>
        <w:tab/>
        <w:t>a place that is not at a mine where externally</w:t>
      </w:r>
      <w:r>
        <w:noBreakHyphen/>
        <w:t>controlled plant at the mine is operated.</w:t>
      </w:r>
    </w:p>
    <w:p>
      <w:pPr>
        <w:pStyle w:val="Heading5"/>
      </w:pPr>
      <w:bookmarkStart w:id="12" w:name="_Toc200719516"/>
      <w:r>
        <w:rPr>
          <w:rStyle w:val="CharSectno"/>
        </w:rPr>
        <w:t>5C</w:t>
      </w:r>
      <w:r>
        <w:t>.</w:t>
      </w:r>
      <w:r>
        <w:tab/>
        <w:t>Meaning of mine operator</w:t>
      </w:r>
      <w:bookmarkEnd w:id="12"/>
    </w:p>
    <w:p>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pPr>
        <w:pStyle w:val="Indenta"/>
      </w:pPr>
      <w:r>
        <w:lastRenderedPageBreak/>
        <w:tab/>
        <w:t>(b)</w:t>
      </w:r>
      <w:r>
        <w:tab/>
        <w:t>otherwise — is the proprietor, lessee, or occupier of a mine and who has overall control and supervision of the mine and mining operations at the mine.</w:t>
      </w:r>
    </w:p>
    <w:p>
      <w:pPr>
        <w:pStyle w:val="Heading5"/>
        <w:keepNext w:val="0"/>
      </w:pPr>
      <w:bookmarkStart w:id="13" w:name="_Toc200719517"/>
      <w:r>
        <w:rPr>
          <w:rStyle w:val="CharSectno"/>
        </w:rPr>
        <w:t>6</w:t>
      </w:r>
      <w:r>
        <w:t>.</w:t>
      </w:r>
      <w:r>
        <w:tab/>
        <w:t>Not used</w:t>
      </w:r>
      <w:bookmarkEnd w:id="13"/>
    </w:p>
    <w:p>
      <w:pPr>
        <w:pStyle w:val="Heading5"/>
      </w:pPr>
      <w:bookmarkStart w:id="14" w:name="_Toc200719518"/>
      <w:r>
        <w:rPr>
          <w:rStyle w:val="CharSectno"/>
        </w:rPr>
        <w:t>6A</w:t>
      </w:r>
      <w:r>
        <w:t>.</w:t>
      </w:r>
      <w:r>
        <w:tab/>
        <w:t>Corresponding WHS laws prescribed</w:t>
      </w:r>
      <w:bookmarkEnd w:id="14"/>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15" w:name="_Toc200719519"/>
      <w:r>
        <w:rPr>
          <w:rStyle w:val="CharSectno"/>
        </w:rPr>
        <w:t>7</w:t>
      </w:r>
      <w:r>
        <w:t>.</w:t>
      </w:r>
      <w:r>
        <w:tab/>
        <w:t>Meaning of person conducting a business or undertaking: persons excluded</w:t>
      </w:r>
      <w:bookmarkEnd w:id="15"/>
    </w:p>
    <w:p>
      <w:pPr>
        <w:pStyle w:val="Subsection"/>
      </w:pPr>
      <w:r>
        <w:tab/>
      </w:r>
      <w:r>
        <w:tab/>
        <w:t xml:space="preserve">For the purposes of section 5(6) of the Act, an incorporated association may be taken not to be a </w:t>
      </w:r>
      <w:r>
        <w:rPr>
          <w:rStyle w:val="CharDefText"/>
        </w:rPr>
        <w:t xml:space="preserve">person conducting a </w:t>
      </w:r>
      <w:r>
        <w:rPr>
          <w:rStyle w:val="CharDefText"/>
        </w:rPr>
        <w:lastRenderedPageBreak/>
        <w:t>business or undertaking</w:t>
      </w:r>
      <w:r>
        <w:t xml:space="preserve"> if the incorporated association consists of a group of volunteers working together for 1 or more community purposes where — </w:t>
      </w:r>
    </w:p>
    <w:p>
      <w:pPr>
        <w:pStyle w:val="Indenta"/>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16" w:name="_Toc200719520"/>
      <w:r>
        <w:rPr>
          <w:rStyle w:val="CharSectno"/>
        </w:rPr>
        <w:t>7A</w:t>
      </w:r>
      <w:r>
        <w:t>.</w:t>
      </w:r>
      <w:r>
        <w:tab/>
        <w:t>References to person conducting a business or undertaking include references to mine operators</w:t>
      </w:r>
      <w:bookmarkEnd w:id="16"/>
    </w:p>
    <w:p>
      <w:pPr>
        <w:pStyle w:val="Subsection"/>
      </w:pPr>
      <w:r>
        <w:tab/>
      </w:r>
      <w:r>
        <w:tab/>
        <w:t>A reference in these regulations to a person conducting a business or undertaking at a mine includes a reference to the mine operator of the mine.</w:t>
      </w:r>
    </w:p>
    <w:p>
      <w:pPr>
        <w:pStyle w:val="PermNoteHeading"/>
      </w:pPr>
      <w:r>
        <w:tab/>
        <w:t>Notes for this regulation:</w:t>
      </w:r>
    </w:p>
    <w:p>
      <w:pPr>
        <w:pStyle w:val="PermNoteText"/>
      </w:pPr>
      <w:r>
        <w:tab/>
        <w:t>1.</w:t>
      </w:r>
      <w:r>
        <w:tab/>
        <w:t xml:space="preserve">See section 5 of the Act and regulation 7 for the meaning of </w:t>
      </w:r>
      <w:r>
        <w:rPr>
          <w:b/>
          <w:i/>
        </w:rPr>
        <w:t>person conducting a business or undertaking</w:t>
      </w:r>
      <w:r>
        <w:t>.</w:t>
      </w:r>
    </w:p>
    <w:p>
      <w:pPr>
        <w:pStyle w:val="PermNoteText"/>
      </w:pPr>
      <w:r>
        <w:tab/>
        <w:t>2.</w:t>
      </w:r>
      <w:r>
        <w:tab/>
        <w:t>The mine operator might also have duties under sections 19, 20 and 21 of the Act.</w:t>
      </w:r>
    </w:p>
    <w:p>
      <w:pPr>
        <w:pStyle w:val="Heading5"/>
      </w:pPr>
      <w:bookmarkStart w:id="17" w:name="_Toc200719521"/>
      <w:r>
        <w:rPr>
          <w:rStyle w:val="CharSectno"/>
        </w:rPr>
        <w:t>8</w:t>
      </w:r>
      <w:r>
        <w:t>.</w:t>
      </w:r>
      <w:r>
        <w:tab/>
        <w:t>Meaning of supply</w:t>
      </w:r>
      <w:bookmarkEnd w:id="17"/>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18" w:name="_Toc200719522"/>
      <w:r>
        <w:rPr>
          <w:rStyle w:val="CharSectno"/>
        </w:rPr>
        <w:t>9</w:t>
      </w:r>
      <w:r>
        <w:t>.</w:t>
      </w:r>
      <w:r>
        <w:tab/>
        <w:t>Provisions linked to health and safety duties in Act</w:t>
      </w:r>
      <w:bookmarkEnd w:id="18"/>
    </w:p>
    <w:p>
      <w:pPr>
        <w:pStyle w:val="Subsection"/>
        <w:keepNext/>
      </w:pPr>
      <w:r>
        <w:tab/>
      </w:r>
      <w:r>
        <w:tab/>
        <w:t xml:space="preserve">If a note at the foot of a provision of these regulations states “WHS Act” followed by a reference to a section number, the </w:t>
      </w:r>
      <w:r>
        <w:lastRenderedPageBreak/>
        <w:t>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19" w:name="_Toc200719523"/>
      <w:r>
        <w:rPr>
          <w:rStyle w:val="CharPartNo"/>
        </w:rPr>
        <w:t>Part 1.2</w:t>
      </w:r>
      <w:r>
        <w:rPr>
          <w:rStyle w:val="CharDivNo"/>
        </w:rPr>
        <w:t> </w:t>
      </w:r>
      <w:r>
        <w:t>—</w:t>
      </w:r>
      <w:r>
        <w:rPr>
          <w:rStyle w:val="CharDivText"/>
        </w:rPr>
        <w:t> </w:t>
      </w:r>
      <w:r>
        <w:rPr>
          <w:rStyle w:val="CharPartText"/>
        </w:rPr>
        <w:t>Application</w:t>
      </w:r>
      <w:bookmarkEnd w:id="19"/>
    </w:p>
    <w:p>
      <w:pPr>
        <w:pStyle w:val="Heading5"/>
      </w:pPr>
      <w:bookmarkStart w:id="20" w:name="_Toc200719524"/>
      <w:r>
        <w:rPr>
          <w:rStyle w:val="CharSectno"/>
        </w:rPr>
        <w:t>10</w:t>
      </w:r>
      <w:r>
        <w:t>.</w:t>
      </w:r>
      <w:r>
        <w:tab/>
        <w:t>Regulations generally apply to mines</w:t>
      </w:r>
      <w:bookmarkEnd w:id="20"/>
    </w:p>
    <w:p>
      <w:pPr>
        <w:pStyle w:val="Subsection"/>
      </w:pPr>
      <w:r>
        <w:tab/>
        <w:t>(1)</w:t>
      </w:r>
      <w:r>
        <w:tab/>
        <w:t>These regulations, other than Part 11.2B, apply to a workplace at a mine.</w:t>
      </w:r>
    </w:p>
    <w:p>
      <w:pPr>
        <w:pStyle w:val="Subsection"/>
      </w:pPr>
      <w:r>
        <w:tab/>
        <w:t>(2)</w:t>
      </w:r>
      <w:r>
        <w:tab/>
        <w:t>Regulation 631E(2) also applies to a workplace that is not at a mine, but only to the extent that externally</w:t>
      </w:r>
      <w:r>
        <w:noBreakHyphen/>
        <w:t>controlled plant at the mine is controlled or operated at the workplace.</w:t>
      </w:r>
    </w:p>
    <w:p>
      <w:pPr>
        <w:pStyle w:val="Subsection"/>
      </w:pPr>
      <w:r>
        <w:tab/>
        <w:t>(3)</w:t>
      </w:r>
      <w:r>
        <w:tab/>
        <w:t>Part 11.2B applies in relation to the appointment of members to, and the functions of, the Mining and Petroleum Advisory Committee.</w:t>
      </w:r>
    </w:p>
    <w:p>
      <w:pPr>
        <w:pStyle w:val="Subsection"/>
        <w:keepNext/>
      </w:pPr>
      <w:r>
        <w:tab/>
        <w:t>(4)</w:t>
      </w:r>
      <w:r>
        <w:tab/>
        <w:t xml:space="preserve">However, these regulations do not apply to — </w:t>
      </w:r>
    </w:p>
    <w:p>
      <w:pPr>
        <w:pStyle w:val="Indenta"/>
      </w:pPr>
      <w:r>
        <w:tab/>
        <w:t>(a)</w:t>
      </w:r>
      <w:r>
        <w:tab/>
        <w:t xml:space="preserve">a workplace to which the </w:t>
      </w:r>
      <w:r>
        <w:rPr>
          <w:i/>
          <w:iCs/>
        </w:rPr>
        <w:t>Work Health and Safety (Petroleum and Geothermal Energy Operations) Regulations 2022</w:t>
      </w:r>
      <w:r>
        <w:t xml:space="preserve"> regulation 3 applies; and</w:t>
      </w:r>
    </w:p>
    <w:p>
      <w:pPr>
        <w:pStyle w:val="Indenta"/>
      </w:pPr>
      <w:r>
        <w:tab/>
        <w:t>(b)</w:t>
      </w:r>
      <w:r>
        <w:tab/>
        <w:t xml:space="preserve">a workplace — </w:t>
      </w:r>
    </w:p>
    <w:p>
      <w:pPr>
        <w:pStyle w:val="Indenti"/>
      </w:pPr>
      <w:r>
        <w:tab/>
        <w:t>(i)</w:t>
      </w:r>
      <w:r>
        <w:tab/>
        <w:t xml:space="preserve">that is a railway to which the </w:t>
      </w:r>
      <w:r>
        <w:rPr>
          <w:i/>
        </w:rPr>
        <w:t xml:space="preserve">Rail Safety National Law (WA) Act 2015 </w:t>
      </w:r>
      <w:r>
        <w:t xml:space="preserve">applies; and </w:t>
      </w:r>
    </w:p>
    <w:p>
      <w:pPr>
        <w:pStyle w:val="Indenti"/>
      </w:pPr>
      <w:r>
        <w:tab/>
        <w:t>(ii)</w:t>
      </w:r>
      <w:r>
        <w:tab/>
        <w:t xml:space="preserve">where railway operations as defined in the </w:t>
      </w:r>
      <w:r>
        <w:rPr>
          <w:i/>
        </w:rPr>
        <w:t xml:space="preserve">Rail Safety National Law (WA) </w:t>
      </w:r>
      <w:r>
        <w:t>section 4(1) are carried out.</w:t>
      </w:r>
    </w:p>
    <w:p>
      <w:pPr>
        <w:pStyle w:val="PermNoteHeading"/>
      </w:pPr>
      <w:r>
        <w:tab/>
        <w:t>Notes for this regulation:</w:t>
      </w:r>
    </w:p>
    <w:p>
      <w:pPr>
        <w:pStyle w:val="PermNoteText"/>
      </w:pPr>
      <w:r>
        <w:tab/>
        <w:t>1.</w:t>
      </w:r>
      <w:r>
        <w:tab/>
        <w:t xml:space="preserve">In relation to railway operations at a mine on a railway to which the </w:t>
      </w:r>
      <w:r>
        <w:rPr>
          <w:i/>
        </w:rPr>
        <w:t>Rail Safety National Law (WA)</w:t>
      </w:r>
      <w:r>
        <w:t xml:space="preserve"> applies, see the </w:t>
      </w:r>
      <w:r>
        <w:rPr>
          <w:i/>
        </w:rPr>
        <w:t xml:space="preserve">Rail Safety National Law </w:t>
      </w:r>
      <w:r>
        <w:rPr>
          <w:i/>
        </w:rPr>
        <w:lastRenderedPageBreak/>
        <w:t>(WA) Act 2015</w:t>
      </w:r>
      <w:r>
        <w:t xml:space="preserve"> and the </w:t>
      </w:r>
      <w:r>
        <w:rPr>
          <w:i/>
        </w:rPr>
        <w:t>Work Health and Safety (General) Regulations 2022</w:t>
      </w:r>
      <w:r>
        <w:t>.</w:t>
      </w:r>
    </w:p>
    <w:p>
      <w:pPr>
        <w:pStyle w:val="PermNoteText"/>
      </w:pPr>
      <w:r>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pPr>
        <w:pStyle w:val="Heading5"/>
      </w:pPr>
      <w:bookmarkStart w:id="21" w:name="_Toc200719525"/>
      <w:r>
        <w:rPr>
          <w:rStyle w:val="CharSectno"/>
        </w:rPr>
        <w:t>11</w:t>
      </w:r>
      <w:r>
        <w:t>.</w:t>
      </w:r>
      <w:r>
        <w:tab/>
        <w:t>Application of regulations</w:t>
      </w:r>
      <w:bookmarkEnd w:id="21"/>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22" w:name="_Toc200719526"/>
      <w:r>
        <w:rPr>
          <w:rStyle w:val="CharSectno"/>
        </w:rPr>
        <w:t>12</w:t>
      </w:r>
      <w:r>
        <w:t>.</w:t>
      </w:r>
      <w:r>
        <w:tab/>
        <w:t>Assessment of risk in relation to a class of hazards, tasks, circumstances or things</w:t>
      </w:r>
      <w:bookmarkEnd w:id="22"/>
    </w:p>
    <w:p>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23" w:name="_Toc200719527"/>
      <w:r>
        <w:rPr>
          <w:rStyle w:val="CharPartNo"/>
        </w:rPr>
        <w:t>Part 1.3</w:t>
      </w:r>
      <w:r>
        <w:rPr>
          <w:rStyle w:val="CharDivNo"/>
        </w:rPr>
        <w:t> </w:t>
      </w:r>
      <w:r>
        <w:t>—</w:t>
      </w:r>
      <w:r>
        <w:rPr>
          <w:rStyle w:val="CharDivText"/>
        </w:rPr>
        <w:t> </w:t>
      </w:r>
      <w:r>
        <w:rPr>
          <w:rStyle w:val="CharPartText"/>
        </w:rPr>
        <w:t>Incorporated documents</w:t>
      </w:r>
      <w:bookmarkEnd w:id="23"/>
    </w:p>
    <w:p>
      <w:pPr>
        <w:pStyle w:val="Heading5"/>
      </w:pPr>
      <w:bookmarkStart w:id="24" w:name="_Toc200719528"/>
      <w:r>
        <w:rPr>
          <w:rStyle w:val="CharSectno"/>
        </w:rPr>
        <w:t>13</w:t>
      </w:r>
      <w:r>
        <w:t>.</w:t>
      </w:r>
      <w:r>
        <w:tab/>
        <w:t>Documents incorporated as in force when incorporated</w:t>
      </w:r>
      <w:bookmarkEnd w:id="24"/>
      <w:r>
        <w:t xml:space="preserve"> </w:t>
      </w:r>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25" w:name="_Toc200719529"/>
      <w:r>
        <w:rPr>
          <w:rStyle w:val="CharSectno"/>
        </w:rPr>
        <w:lastRenderedPageBreak/>
        <w:t>14</w:t>
      </w:r>
      <w:r>
        <w:t>.</w:t>
      </w:r>
      <w:r>
        <w:tab/>
        <w:t>Inconsistencies between provisions</w:t>
      </w:r>
      <w:bookmarkEnd w:id="25"/>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26" w:name="_Toc200719530"/>
      <w:r>
        <w:rPr>
          <w:rStyle w:val="CharSectno"/>
        </w:rPr>
        <w:t>15</w:t>
      </w:r>
      <w:r>
        <w:t>.</w:t>
      </w:r>
      <w:r>
        <w:tab/>
        <w:t>References to standards</w:t>
      </w:r>
      <w:bookmarkEnd w:id="26"/>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27" w:name="_Toc200719531"/>
      <w:r>
        <w:lastRenderedPageBreak/>
        <w:t>Chapter 2 — Representation and participation</w:t>
      </w:r>
      <w:bookmarkEnd w:id="27"/>
      <w:r>
        <w:t xml:space="preserve"> </w:t>
      </w:r>
    </w:p>
    <w:p>
      <w:pPr>
        <w:pStyle w:val="Heading3"/>
      </w:pPr>
      <w:bookmarkStart w:id="28" w:name="_Toc200719532"/>
      <w:r>
        <w:rPr>
          <w:rStyle w:val="CharPartNo"/>
        </w:rPr>
        <w:t>Part 2.1</w:t>
      </w:r>
      <w:r>
        <w:t> — </w:t>
      </w:r>
      <w:r>
        <w:rPr>
          <w:rStyle w:val="CharPartText"/>
        </w:rPr>
        <w:t>Representation</w:t>
      </w:r>
      <w:bookmarkEnd w:id="28"/>
    </w:p>
    <w:p>
      <w:pPr>
        <w:pStyle w:val="Heading4"/>
      </w:pPr>
      <w:bookmarkStart w:id="29" w:name="_Toc200719533"/>
      <w:r>
        <w:rPr>
          <w:rStyle w:val="CharDivNo"/>
        </w:rPr>
        <w:t>Division 1</w:t>
      </w:r>
      <w:r>
        <w:t> — </w:t>
      </w:r>
      <w:r>
        <w:rPr>
          <w:rStyle w:val="CharDivText"/>
        </w:rPr>
        <w:t>Work groups</w:t>
      </w:r>
      <w:bookmarkEnd w:id="29"/>
    </w:p>
    <w:p>
      <w:pPr>
        <w:pStyle w:val="Heading5"/>
      </w:pPr>
      <w:bookmarkStart w:id="30" w:name="_Toc200719534"/>
      <w:r>
        <w:rPr>
          <w:rStyle w:val="CharSectno"/>
        </w:rPr>
        <w:t>16</w:t>
      </w:r>
      <w:r>
        <w:t>.</w:t>
      </w:r>
      <w:r>
        <w:tab/>
        <w:t>Negotiations for and determination of work groups</w:t>
      </w:r>
      <w:bookmarkEnd w:id="30"/>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31" w:name="_Toc200719535"/>
      <w:r>
        <w:rPr>
          <w:rStyle w:val="CharSectno"/>
        </w:rPr>
        <w:t>17</w:t>
      </w:r>
      <w:r>
        <w:t>.</w:t>
      </w:r>
      <w:r>
        <w:tab/>
        <w:t>Matters to be taken into account in negotiations</w:t>
      </w:r>
      <w:bookmarkEnd w:id="31"/>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32" w:name="_Toc200719536"/>
      <w:r>
        <w:rPr>
          <w:rStyle w:val="CharDivNo"/>
        </w:rPr>
        <w:t>Division 2</w:t>
      </w:r>
      <w:r>
        <w:t> — </w:t>
      </w:r>
      <w:r>
        <w:rPr>
          <w:rStyle w:val="CharDivText"/>
        </w:rPr>
        <w:t>Health and safety representatives</w:t>
      </w:r>
      <w:bookmarkEnd w:id="32"/>
    </w:p>
    <w:p>
      <w:pPr>
        <w:pStyle w:val="Heading5"/>
      </w:pPr>
      <w:bookmarkStart w:id="33" w:name="_Toc200719537"/>
      <w:r>
        <w:rPr>
          <w:rStyle w:val="CharSectno"/>
        </w:rPr>
        <w:t>18</w:t>
      </w:r>
      <w:r>
        <w:t>.</w:t>
      </w:r>
      <w:r>
        <w:tab/>
        <w:t>Procedures for election of health and safety representatives</w:t>
      </w:r>
      <w:bookmarkEnd w:id="33"/>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34" w:name="_Toc200719538"/>
      <w:r>
        <w:rPr>
          <w:rStyle w:val="CharSectno"/>
        </w:rPr>
        <w:t>19</w:t>
      </w:r>
      <w:r>
        <w:t>.</w:t>
      </w:r>
      <w:r>
        <w:tab/>
        <w:t>Person conducting business or undertaking must not delay election</w:t>
      </w:r>
      <w:bookmarkEnd w:id="34"/>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5" w:name="_Toc200719539"/>
      <w:r>
        <w:rPr>
          <w:rStyle w:val="CharSectno"/>
        </w:rPr>
        <w:t>20</w:t>
      </w:r>
      <w:r>
        <w:t>.</w:t>
      </w:r>
      <w:r>
        <w:tab/>
        <w:t>Removal of health and safety representatives</w:t>
      </w:r>
      <w:bookmarkEnd w:id="35"/>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36" w:name="_Toc200719540"/>
      <w:r>
        <w:rPr>
          <w:rStyle w:val="CharSectno"/>
        </w:rPr>
        <w:t>20A</w:t>
      </w:r>
      <w:r>
        <w:t>.</w:t>
      </w:r>
      <w:r>
        <w:tab/>
        <w:t>Notice of entry for person assisting health and safety representative</w:t>
      </w:r>
      <w:bookmarkEnd w:id="36"/>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37" w:name="_Toc200719541"/>
      <w:r>
        <w:rPr>
          <w:rStyle w:val="CharSectno"/>
        </w:rPr>
        <w:t>21</w:t>
      </w:r>
      <w:r>
        <w:t>.</w:t>
      </w:r>
      <w:r>
        <w:tab/>
        <w:t>Training for health and safety representatives</w:t>
      </w:r>
      <w:bookmarkEnd w:id="37"/>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38" w:name="_Toc200719542"/>
      <w:r>
        <w:rPr>
          <w:rStyle w:val="CharPartNo"/>
        </w:rPr>
        <w:lastRenderedPageBreak/>
        <w:t>Part 2.2</w:t>
      </w:r>
      <w:r>
        <w:rPr>
          <w:rStyle w:val="CharDivNo"/>
        </w:rPr>
        <w:t> </w:t>
      </w:r>
      <w:r>
        <w:t>—</w:t>
      </w:r>
      <w:r>
        <w:rPr>
          <w:rStyle w:val="CharDivText"/>
        </w:rPr>
        <w:t> </w:t>
      </w:r>
      <w:r>
        <w:rPr>
          <w:rStyle w:val="CharPartText"/>
        </w:rPr>
        <w:t>Issue resolution</w:t>
      </w:r>
      <w:bookmarkEnd w:id="38"/>
    </w:p>
    <w:p>
      <w:pPr>
        <w:pStyle w:val="Heading5"/>
      </w:pPr>
      <w:bookmarkStart w:id="39" w:name="_Toc200719543"/>
      <w:r>
        <w:rPr>
          <w:rStyle w:val="CharSectno"/>
        </w:rPr>
        <w:t>22</w:t>
      </w:r>
      <w:r>
        <w:t>.</w:t>
      </w:r>
      <w:r>
        <w:tab/>
        <w:t>Agreed procedure: minimum requirements</w:t>
      </w:r>
      <w:bookmarkEnd w:id="39"/>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0" w:name="_Toc200719544"/>
      <w:r>
        <w:rPr>
          <w:rStyle w:val="CharSectno"/>
        </w:rPr>
        <w:t>23</w:t>
      </w:r>
      <w:r>
        <w:t>.</w:t>
      </w:r>
      <w:r>
        <w:tab/>
        <w:t>Default procedure</w:t>
      </w:r>
      <w:bookmarkEnd w:id="40"/>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41" w:name="_Toc200719545"/>
      <w:r>
        <w:rPr>
          <w:rStyle w:val="CharPartNo"/>
        </w:rPr>
        <w:lastRenderedPageBreak/>
        <w:t>Part 2.3</w:t>
      </w:r>
      <w:r>
        <w:rPr>
          <w:rStyle w:val="CharDivNo"/>
        </w:rPr>
        <w:t> </w:t>
      </w:r>
      <w:r>
        <w:t>—</w:t>
      </w:r>
      <w:r>
        <w:rPr>
          <w:rStyle w:val="CharDivText"/>
        </w:rPr>
        <w:t> </w:t>
      </w:r>
      <w:r>
        <w:rPr>
          <w:rStyle w:val="CharPartText"/>
        </w:rPr>
        <w:t>Cessation of unsafe work</w:t>
      </w:r>
      <w:bookmarkEnd w:id="41"/>
    </w:p>
    <w:p>
      <w:pPr>
        <w:pStyle w:val="Heading5"/>
      </w:pPr>
      <w:bookmarkStart w:id="42" w:name="_Toc200719546"/>
      <w:r>
        <w:rPr>
          <w:rStyle w:val="CharSectno"/>
        </w:rPr>
        <w:t>24</w:t>
      </w:r>
      <w:r>
        <w:t>.</w:t>
      </w:r>
      <w:r>
        <w:tab/>
        <w:t>Continuity of engagement of worker</w:t>
      </w:r>
      <w:bookmarkEnd w:id="42"/>
    </w:p>
    <w:p>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43" w:name="_Toc200719547"/>
      <w:r>
        <w:t>Part 2.4</w:t>
      </w:r>
      <w:r>
        <w:rPr>
          <w:rStyle w:val="CharDivNo"/>
        </w:rPr>
        <w:t> </w:t>
      </w:r>
      <w:r>
        <w:t>—</w:t>
      </w:r>
      <w:r>
        <w:rPr>
          <w:rStyle w:val="CharDivText"/>
        </w:rPr>
        <w:t> </w:t>
      </w:r>
      <w:r>
        <w:t>Not used</w:t>
      </w:r>
      <w:bookmarkEnd w:id="43"/>
    </w:p>
    <w:p>
      <w:pPr>
        <w:pStyle w:val="Heading5"/>
        <w:keepNext w:val="0"/>
      </w:pPr>
      <w:bookmarkStart w:id="44" w:name="_Toc200719548"/>
      <w:r>
        <w:rPr>
          <w:rStyle w:val="CharSectno"/>
        </w:rPr>
        <w:t>25</w:t>
      </w:r>
      <w:r>
        <w:t>.</w:t>
      </w:r>
      <w:r>
        <w:tab/>
        <w:t>Not used</w:t>
      </w:r>
      <w:bookmarkEnd w:id="44"/>
    </w:p>
    <w:p>
      <w:pPr>
        <w:pStyle w:val="Heading5"/>
        <w:keepNext w:val="0"/>
      </w:pPr>
      <w:bookmarkStart w:id="45" w:name="_Toc200719549"/>
      <w:r>
        <w:rPr>
          <w:rStyle w:val="CharSectno"/>
        </w:rPr>
        <w:t>26</w:t>
      </w:r>
      <w:r>
        <w:t>.</w:t>
      </w:r>
      <w:r>
        <w:tab/>
        <w:t>Not used</w:t>
      </w:r>
      <w:bookmarkEnd w:id="45"/>
    </w:p>
    <w:p>
      <w:pPr>
        <w:pStyle w:val="Heading5"/>
        <w:keepNext w:val="0"/>
      </w:pPr>
      <w:bookmarkStart w:id="46" w:name="_Toc200719550"/>
      <w:r>
        <w:rPr>
          <w:rStyle w:val="CharSectno"/>
        </w:rPr>
        <w:t>27</w:t>
      </w:r>
      <w:r>
        <w:t>.</w:t>
      </w:r>
      <w:r>
        <w:tab/>
        <w:t>Not used</w:t>
      </w:r>
      <w:bookmarkEnd w:id="46"/>
    </w:p>
    <w:p>
      <w:pPr>
        <w:pStyle w:val="Heading5"/>
        <w:keepNext w:val="0"/>
      </w:pPr>
      <w:bookmarkStart w:id="47" w:name="_Toc200719551"/>
      <w:r>
        <w:rPr>
          <w:rStyle w:val="CharSectno"/>
        </w:rPr>
        <w:t>28</w:t>
      </w:r>
      <w:r>
        <w:t>.</w:t>
      </w:r>
      <w:r>
        <w:tab/>
        <w:t>Not used</w:t>
      </w:r>
      <w:bookmarkEnd w:id="47"/>
    </w:p>
    <w:p>
      <w:pPr>
        <w:pStyle w:val="Heading5"/>
        <w:keepNext w:val="0"/>
      </w:pPr>
      <w:bookmarkStart w:id="48" w:name="_Toc200719552"/>
      <w:r>
        <w:rPr>
          <w:rStyle w:val="CharSectno"/>
        </w:rPr>
        <w:t>29</w:t>
      </w:r>
      <w:r>
        <w:t>.</w:t>
      </w:r>
      <w:r>
        <w:tab/>
        <w:t>Not used</w:t>
      </w:r>
      <w:bookmarkEnd w:id="48"/>
    </w:p>
    <w:p>
      <w:pPr>
        <w:pStyle w:val="Heading5"/>
        <w:keepNext w:val="0"/>
      </w:pPr>
      <w:bookmarkStart w:id="49" w:name="_Toc200719553"/>
      <w:r>
        <w:rPr>
          <w:rStyle w:val="CharSectno"/>
        </w:rPr>
        <w:t>30</w:t>
      </w:r>
      <w:r>
        <w:t>.</w:t>
      </w:r>
      <w:r>
        <w:tab/>
        <w:t>Not used</w:t>
      </w:r>
      <w:bookmarkEnd w:id="49"/>
    </w:p>
    <w:p>
      <w:pPr>
        <w:pStyle w:val="Heading5"/>
        <w:keepNext w:val="0"/>
      </w:pPr>
      <w:bookmarkStart w:id="50" w:name="_Toc200719554"/>
      <w:r>
        <w:rPr>
          <w:rStyle w:val="CharSectno"/>
        </w:rPr>
        <w:t>31</w:t>
      </w:r>
      <w:r>
        <w:t>.</w:t>
      </w:r>
      <w:r>
        <w:tab/>
        <w:t>Not used</w:t>
      </w:r>
      <w:bookmarkEnd w:id="50"/>
    </w:p>
    <w:p>
      <w:pPr>
        <w:pStyle w:val="Heading2"/>
      </w:pPr>
      <w:bookmarkStart w:id="51" w:name="_Toc200719555"/>
      <w:r>
        <w:lastRenderedPageBreak/>
        <w:t>Chapter 3 — General risk and workplace management</w:t>
      </w:r>
      <w:bookmarkEnd w:id="51"/>
    </w:p>
    <w:p>
      <w:pPr>
        <w:pStyle w:val="Heading3"/>
      </w:pPr>
      <w:bookmarkStart w:id="52" w:name="_Toc200719556"/>
      <w:r>
        <w:rPr>
          <w:rStyle w:val="CharPartNo"/>
        </w:rPr>
        <w:t>Part 3.1</w:t>
      </w:r>
      <w:r>
        <w:rPr>
          <w:rStyle w:val="CharDivNo"/>
        </w:rPr>
        <w:t> </w:t>
      </w:r>
      <w:r>
        <w:t>—</w:t>
      </w:r>
      <w:r>
        <w:rPr>
          <w:rStyle w:val="CharDivText"/>
        </w:rPr>
        <w:t> </w:t>
      </w:r>
      <w:r>
        <w:rPr>
          <w:rStyle w:val="CharPartText"/>
        </w:rPr>
        <w:t>Managing risks to health and safety</w:t>
      </w:r>
      <w:bookmarkEnd w:id="52"/>
    </w:p>
    <w:p>
      <w:pPr>
        <w:pStyle w:val="PermNoteHeading"/>
      </w:pPr>
      <w:r>
        <w:tab/>
        <w:t>Note for this Part:</w:t>
      </w:r>
    </w:p>
    <w:p>
      <w:pPr>
        <w:pStyle w:val="PermNoteText"/>
      </w:pPr>
      <w:r>
        <w:tab/>
      </w:r>
      <w:r>
        <w:tab/>
        <w:t>Managing risks to health and safety is also covered in Part 10.2, in particular in regulations 617 to 620.</w:t>
      </w:r>
    </w:p>
    <w:p>
      <w:pPr>
        <w:pStyle w:val="Heading5"/>
      </w:pPr>
      <w:bookmarkStart w:id="53" w:name="_Toc200719557"/>
      <w:r>
        <w:rPr>
          <w:rStyle w:val="CharSectno"/>
        </w:rPr>
        <w:t>32</w:t>
      </w:r>
      <w:r>
        <w:t>.</w:t>
      </w:r>
      <w:r>
        <w:tab/>
        <w:t>Application of Part</w:t>
      </w:r>
      <w:bookmarkEnd w:id="53"/>
    </w:p>
    <w:p>
      <w:pPr>
        <w:pStyle w:val="Subsection"/>
      </w:pPr>
      <w:r>
        <w:tab/>
      </w:r>
      <w:r>
        <w:tab/>
        <w:t>This Part applies to a person conducting a business or undertaking who has a duty under these regulations to manage risks to health and safety.</w:t>
      </w:r>
    </w:p>
    <w:p>
      <w:pPr>
        <w:pStyle w:val="Heading5"/>
      </w:pPr>
      <w:bookmarkStart w:id="54" w:name="_Toc200719558"/>
      <w:r>
        <w:rPr>
          <w:rStyle w:val="CharSectno"/>
        </w:rPr>
        <w:t>33</w:t>
      </w:r>
      <w:r>
        <w:t>.</w:t>
      </w:r>
      <w:r>
        <w:tab/>
        <w:t>Specific requirements must be complied with</w:t>
      </w:r>
      <w:bookmarkEnd w:id="54"/>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55" w:name="_Toc200719559"/>
      <w:r>
        <w:rPr>
          <w:rStyle w:val="CharSectno"/>
        </w:rPr>
        <w:t>34</w:t>
      </w:r>
      <w:r>
        <w:t>.</w:t>
      </w:r>
      <w:r>
        <w:tab/>
        <w:t>Duty to identify hazards</w:t>
      </w:r>
      <w:bookmarkEnd w:id="55"/>
    </w:p>
    <w:p>
      <w:pPr>
        <w:pStyle w:val="Subsection"/>
      </w:pPr>
      <w:r>
        <w:tab/>
      </w:r>
      <w:r>
        <w:tab/>
        <w:t>A duty holder, in managing risks to health and safety, must identify reasonably foreseeable hazards that could give rise to risks to health and safety.</w:t>
      </w:r>
    </w:p>
    <w:p>
      <w:pPr>
        <w:pStyle w:val="Heading5"/>
      </w:pPr>
      <w:bookmarkStart w:id="56" w:name="_Toc200719560"/>
      <w:r>
        <w:rPr>
          <w:rStyle w:val="CharSectno"/>
        </w:rPr>
        <w:t>35</w:t>
      </w:r>
      <w:r>
        <w:t>.</w:t>
      </w:r>
      <w:r>
        <w:tab/>
        <w:t>Managing risks to health and safety</w:t>
      </w:r>
      <w:bookmarkEnd w:id="56"/>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57" w:name="_Toc200719561"/>
      <w:r>
        <w:rPr>
          <w:rStyle w:val="CharSectno"/>
        </w:rPr>
        <w:lastRenderedPageBreak/>
        <w:t>36</w:t>
      </w:r>
      <w:r>
        <w:t>.</w:t>
      </w:r>
      <w:r>
        <w:tab/>
        <w:t>Hierarchy of control measures</w:t>
      </w:r>
      <w:bookmarkEnd w:id="57"/>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58" w:name="_Toc200719562"/>
      <w:r>
        <w:rPr>
          <w:rStyle w:val="CharSectno"/>
        </w:rPr>
        <w:t>37</w:t>
      </w:r>
      <w:r>
        <w:t>.</w:t>
      </w:r>
      <w:r>
        <w:tab/>
        <w:t>Maintenance of control measures</w:t>
      </w:r>
      <w:bookmarkEnd w:id="58"/>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59" w:name="_Toc200719563"/>
      <w:r>
        <w:rPr>
          <w:rStyle w:val="CharSectno"/>
        </w:rPr>
        <w:lastRenderedPageBreak/>
        <w:t>38</w:t>
      </w:r>
      <w:r>
        <w:t>.</w:t>
      </w:r>
      <w:r>
        <w:tab/>
        <w:t>Review of control measures</w:t>
      </w:r>
      <w:bookmarkEnd w:id="59"/>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60" w:name="_Toc200719564"/>
      <w:r>
        <w:rPr>
          <w:rStyle w:val="CharPartNo"/>
        </w:rPr>
        <w:t>Part 3.2</w:t>
      </w:r>
      <w:r>
        <w:t> — </w:t>
      </w:r>
      <w:r>
        <w:rPr>
          <w:rStyle w:val="CharPartText"/>
        </w:rPr>
        <w:t>General workplace management</w:t>
      </w:r>
      <w:bookmarkEnd w:id="60"/>
    </w:p>
    <w:p>
      <w:pPr>
        <w:pStyle w:val="Heading4"/>
      </w:pPr>
      <w:bookmarkStart w:id="61" w:name="_Toc200719565"/>
      <w:r>
        <w:rPr>
          <w:rStyle w:val="CharDivNo"/>
        </w:rPr>
        <w:t>Division 1</w:t>
      </w:r>
      <w:r>
        <w:t> — </w:t>
      </w:r>
      <w:r>
        <w:rPr>
          <w:rStyle w:val="CharDivText"/>
        </w:rPr>
        <w:t>Information, training and instruction</w:t>
      </w:r>
      <w:bookmarkEnd w:id="61"/>
    </w:p>
    <w:p>
      <w:pPr>
        <w:pStyle w:val="Heading5"/>
      </w:pPr>
      <w:bookmarkStart w:id="62" w:name="_Toc200719566"/>
      <w:r>
        <w:rPr>
          <w:rStyle w:val="CharSectno"/>
        </w:rPr>
        <w:t>39</w:t>
      </w:r>
      <w:r>
        <w:t>.</w:t>
      </w:r>
      <w:r>
        <w:tab/>
        <w:t>Provision of information, training and instruction</w:t>
      </w:r>
      <w:bookmarkEnd w:id="62"/>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Provision of information, training and instruction is also covered in Part 10.2 Division 6 and by the mine safety management system.</w:t>
      </w:r>
    </w:p>
    <w:p>
      <w:pPr>
        <w:pStyle w:val="Heading4"/>
      </w:pPr>
      <w:bookmarkStart w:id="63" w:name="_Toc200719567"/>
      <w:r>
        <w:rPr>
          <w:rStyle w:val="CharDivNo"/>
        </w:rPr>
        <w:t>Division 2</w:t>
      </w:r>
      <w:r>
        <w:t> — </w:t>
      </w:r>
      <w:r>
        <w:rPr>
          <w:rStyle w:val="CharDivText"/>
        </w:rPr>
        <w:t>General working environment</w:t>
      </w:r>
      <w:bookmarkEnd w:id="63"/>
    </w:p>
    <w:p>
      <w:pPr>
        <w:pStyle w:val="Heading5"/>
      </w:pPr>
      <w:bookmarkStart w:id="64" w:name="_Toc200719568"/>
      <w:r>
        <w:rPr>
          <w:rStyle w:val="CharSectno"/>
        </w:rPr>
        <w:t>40</w:t>
      </w:r>
      <w:r>
        <w:t>.</w:t>
      </w:r>
      <w:r>
        <w:tab/>
        <w:t>Duty in relation to general workplace facilities</w:t>
      </w:r>
      <w:bookmarkEnd w:id="64"/>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keepNext/>
      </w:pPr>
      <w:r>
        <w:lastRenderedPageBreak/>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5" w:name="_Toc200719569"/>
      <w:r>
        <w:rPr>
          <w:rStyle w:val="CharSectno"/>
        </w:rPr>
        <w:t>41</w:t>
      </w:r>
      <w:r>
        <w:t>.</w:t>
      </w:r>
      <w:r>
        <w:tab/>
        <w:t>Duty to provide and maintain adequate and accessible facilities</w:t>
      </w:r>
      <w:bookmarkEnd w:id="65"/>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conducting a business or undertaking at a workplace must ensure, so far as is reasonably practicable, that the </w:t>
      </w:r>
      <w:r>
        <w:lastRenderedPageBreak/>
        <w:t xml:space="preserve">facilities provided under subregulation (1) are maintained so as to be — </w:t>
      </w:r>
    </w:p>
    <w:p>
      <w:pPr>
        <w:pStyle w:val="Indenta"/>
        <w:keepNext/>
      </w:pPr>
      <w:r>
        <w:tab/>
        <w:t>(a)</w:t>
      </w:r>
      <w:r>
        <w:tab/>
        <w:t>in good working order; and</w:t>
      </w:r>
    </w:p>
    <w:p>
      <w:pPr>
        <w:pStyle w:val="Indenta"/>
      </w:pPr>
      <w:r>
        <w:tab/>
        <w:t>(b)</w:t>
      </w:r>
      <w:r>
        <w:tab/>
        <w:t>clean, safe and accessible.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66" w:name="_Toc200719570"/>
      <w:r>
        <w:rPr>
          <w:rStyle w:val="CharSectno"/>
        </w:rPr>
        <w:t>41A</w:t>
      </w:r>
      <w:r>
        <w:t>.</w:t>
      </w:r>
      <w:r>
        <w:tab/>
        <w:t>Duty to protect from extremes of heat and cold</w:t>
      </w:r>
      <w:bookmarkEnd w:id="66"/>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635.</w:t>
      </w:r>
    </w:p>
    <w:p>
      <w:pPr>
        <w:pStyle w:val="Heading5"/>
      </w:pPr>
      <w:bookmarkStart w:id="67" w:name="_Toc200719571"/>
      <w:r>
        <w:rPr>
          <w:rStyle w:val="CharSectno"/>
        </w:rPr>
        <w:lastRenderedPageBreak/>
        <w:t>41B</w:t>
      </w:r>
      <w:r>
        <w:t>.</w:t>
      </w:r>
      <w:r>
        <w:tab/>
        <w:t>Duty to provide adequate seating</w:t>
      </w:r>
      <w:bookmarkEnd w:id="67"/>
    </w:p>
    <w:p>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68" w:name="_Toc200719572"/>
      <w:r>
        <w:rPr>
          <w:rStyle w:val="CharDivNo"/>
        </w:rPr>
        <w:t>Division 3</w:t>
      </w:r>
      <w:r>
        <w:t> — </w:t>
      </w:r>
      <w:r>
        <w:rPr>
          <w:rStyle w:val="CharDivText"/>
        </w:rPr>
        <w:t>First aid</w:t>
      </w:r>
      <w:bookmarkEnd w:id="68"/>
    </w:p>
    <w:p>
      <w:pPr>
        <w:pStyle w:val="Heading5"/>
      </w:pPr>
      <w:bookmarkStart w:id="69" w:name="_Toc200719573"/>
      <w:r>
        <w:rPr>
          <w:rStyle w:val="CharSectno"/>
        </w:rPr>
        <w:t>42</w:t>
      </w:r>
      <w:r>
        <w:t>.</w:t>
      </w:r>
      <w:r>
        <w:tab/>
        <w:t>Duty to provide first aid</w:t>
      </w:r>
      <w:bookmarkEnd w:id="69"/>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lastRenderedPageBreak/>
        <w:tab/>
        <w:t>(b)</w:t>
      </w:r>
      <w:r>
        <w:tab/>
        <w:t>that each worker at the workplace has access to the equipment; and</w:t>
      </w:r>
    </w:p>
    <w:p>
      <w:pPr>
        <w:pStyle w:val="Indenta"/>
        <w:keepNext/>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70" w:name="_Toc200719574"/>
      <w:r>
        <w:rPr>
          <w:rStyle w:val="CharDivNo"/>
        </w:rPr>
        <w:lastRenderedPageBreak/>
        <w:t>Division 4</w:t>
      </w:r>
      <w:r>
        <w:t> — </w:t>
      </w:r>
      <w:r>
        <w:rPr>
          <w:rStyle w:val="CharDivText"/>
        </w:rPr>
        <w:t>Emergency plans</w:t>
      </w:r>
      <w:bookmarkEnd w:id="70"/>
    </w:p>
    <w:p>
      <w:pPr>
        <w:pStyle w:val="PermNoteHeading"/>
      </w:pPr>
      <w:r>
        <w:tab/>
        <w:t>Note for this Part:</w:t>
      </w:r>
    </w:p>
    <w:p>
      <w:pPr>
        <w:pStyle w:val="PermNoteText"/>
        <w:keepNext/>
      </w:pPr>
      <w:r>
        <w:tab/>
      </w:r>
      <w:r>
        <w:tab/>
        <w:t>Emergency plans are also covered in Part 10.2 Division 5 and by the mine safety management system.</w:t>
      </w:r>
    </w:p>
    <w:p>
      <w:pPr>
        <w:pStyle w:val="Heading5"/>
      </w:pPr>
      <w:bookmarkStart w:id="71" w:name="_Toc200719575"/>
      <w:r>
        <w:rPr>
          <w:rStyle w:val="CharSectno"/>
        </w:rPr>
        <w:t>43</w:t>
      </w:r>
      <w:r>
        <w:t>.</w:t>
      </w:r>
      <w:r>
        <w:tab/>
        <w:t>Duty to prepare, maintain and implement emergency plan</w:t>
      </w:r>
      <w:bookmarkEnd w:id="71"/>
    </w:p>
    <w:p>
      <w:pPr>
        <w:pStyle w:val="Subsection"/>
        <w:keepNext/>
      </w:pPr>
      <w:r>
        <w:tab/>
        <w:t>(1)</w:t>
      </w:r>
      <w:r>
        <w:tab/>
        <w:t xml:space="preserve">The mine operator of a mine must ensure that an emergency plan is prepared for the mine,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assistance and intervention; and</w:t>
      </w:r>
    </w:p>
    <w:p>
      <w:pPr>
        <w:pStyle w:val="Indenti"/>
      </w:pPr>
      <w:r>
        <w:tab/>
        <w:t>(v)</w:t>
      </w:r>
      <w:r>
        <w:tab/>
        <w:t>effective communication between the person authorised by the mine operator to coordinate the emergency response and all persons at the mine;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maintain the emergency plan for the mine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For the purposes of subregulations (1) and (2), the mine operator of the mine must have regard to all relevant matters, including the following — </w:t>
      </w:r>
    </w:p>
    <w:p>
      <w:pPr>
        <w:pStyle w:val="Indenta"/>
      </w:pPr>
      <w:r>
        <w:tab/>
        <w:t>(a)</w:t>
      </w:r>
      <w:r>
        <w:tab/>
        <w:t>the nature of the work being carried out at the mine;</w:t>
      </w:r>
    </w:p>
    <w:p>
      <w:pPr>
        <w:pStyle w:val="Indenta"/>
      </w:pPr>
      <w:r>
        <w:tab/>
        <w:t>(b)</w:t>
      </w:r>
      <w:r>
        <w:tab/>
        <w:t>the nature of the hazards at the mine;</w:t>
      </w:r>
    </w:p>
    <w:p>
      <w:pPr>
        <w:pStyle w:val="Indenta"/>
      </w:pPr>
      <w:r>
        <w:tab/>
        <w:t>(c)</w:t>
      </w:r>
      <w:r>
        <w:tab/>
        <w:t>the size and location of the mine;</w:t>
      </w:r>
    </w:p>
    <w:p>
      <w:pPr>
        <w:pStyle w:val="Indenta"/>
      </w:pPr>
      <w:r>
        <w:tab/>
        <w:t>(d)</w:t>
      </w:r>
      <w:r>
        <w:tab/>
        <w:t>the number and composition of the workers and other persons at the mine.</w:t>
      </w:r>
    </w:p>
    <w:p>
      <w:pPr>
        <w:pStyle w:val="Subsection"/>
      </w:pPr>
      <w:r>
        <w:tab/>
        <w:t>(4)</w:t>
      </w:r>
      <w:r>
        <w:tab/>
        <w:t>The mine operator of a mine must implement the emergency plan for the mine in the event of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Part 10.2 Division 5 Subdivision 1.</w:t>
      </w:r>
    </w:p>
    <w:p>
      <w:pPr>
        <w:pStyle w:val="Heading4"/>
      </w:pPr>
      <w:bookmarkStart w:id="72" w:name="_Toc200719576"/>
      <w:r>
        <w:rPr>
          <w:rStyle w:val="CharDivNo"/>
        </w:rPr>
        <w:t>Division 5</w:t>
      </w:r>
      <w:r>
        <w:t> — </w:t>
      </w:r>
      <w:r>
        <w:rPr>
          <w:rStyle w:val="CharDivText"/>
        </w:rPr>
        <w:t>Personal protective equipment</w:t>
      </w:r>
      <w:bookmarkEnd w:id="72"/>
    </w:p>
    <w:p>
      <w:pPr>
        <w:pStyle w:val="Heading5"/>
      </w:pPr>
      <w:bookmarkStart w:id="73" w:name="_Toc200719577"/>
      <w:r>
        <w:rPr>
          <w:rStyle w:val="CharSectno"/>
        </w:rPr>
        <w:t>44</w:t>
      </w:r>
      <w:r>
        <w:t>.</w:t>
      </w:r>
      <w:r>
        <w:tab/>
        <w:t>Provision to workers and use of personal protective equipment</w:t>
      </w:r>
      <w:bookmarkEnd w:id="73"/>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74" w:name="_Toc200719578"/>
      <w:r>
        <w:rPr>
          <w:rStyle w:val="CharSectno"/>
        </w:rPr>
        <w:t>45</w:t>
      </w:r>
      <w:r>
        <w:t>.</w:t>
      </w:r>
      <w:r>
        <w:tab/>
        <w:t>Personal protective equipment used by other persons</w:t>
      </w:r>
      <w:bookmarkEnd w:id="74"/>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pPr>
      <w:r>
        <w:tab/>
        <w:t>(b)</w:t>
      </w:r>
      <w:r>
        <w:tab/>
        <w:t>the person uses or wears the equipment.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5" w:name="_Toc200719579"/>
      <w:r>
        <w:rPr>
          <w:rStyle w:val="CharSectno"/>
        </w:rPr>
        <w:t>46</w:t>
      </w:r>
      <w:r>
        <w:t>.</w:t>
      </w:r>
      <w:r>
        <w:tab/>
        <w:t>Duties of worker</w:t>
      </w:r>
      <w:bookmarkEnd w:id="75"/>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The worker must not intentionally misuse or damage the equipment.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worker must inform the person conducting the business or undertaking of any damage to, defect in or need to clean or decontaminate any of the equipment of which the worker becomes aware.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6" w:name="_Toc200719580"/>
      <w:r>
        <w:rPr>
          <w:rStyle w:val="CharSectno"/>
        </w:rPr>
        <w:t>47</w:t>
      </w:r>
      <w:r>
        <w:t>.</w:t>
      </w:r>
      <w:r>
        <w:tab/>
        <w:t>Duty of person other than worker</w:t>
      </w:r>
      <w:bookmarkEnd w:id="76"/>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77" w:name="_Toc200719581"/>
      <w:r>
        <w:rPr>
          <w:rStyle w:val="CharDivNo"/>
        </w:rPr>
        <w:t>Division 6</w:t>
      </w:r>
      <w:r>
        <w:t> — </w:t>
      </w:r>
      <w:r>
        <w:rPr>
          <w:rStyle w:val="CharDivText"/>
        </w:rPr>
        <w:t>Remote or isolated work</w:t>
      </w:r>
      <w:bookmarkEnd w:id="77"/>
    </w:p>
    <w:p>
      <w:pPr>
        <w:pStyle w:val="Heading5"/>
      </w:pPr>
      <w:bookmarkStart w:id="78" w:name="_Toc200719582"/>
      <w:r>
        <w:rPr>
          <w:rStyle w:val="CharSectno"/>
        </w:rPr>
        <w:t>48</w:t>
      </w:r>
      <w:r>
        <w:t>.</w:t>
      </w:r>
      <w:r>
        <w:tab/>
        <w:t>Remote or isolated work</w:t>
      </w:r>
      <w:bookmarkEnd w:id="78"/>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 or mine emergency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lastRenderedPageBreak/>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79" w:name="_Toc200719583"/>
      <w:r>
        <w:rPr>
          <w:rStyle w:val="CharDivNo"/>
        </w:rPr>
        <w:t>Division 7</w:t>
      </w:r>
      <w:r>
        <w:t> — </w:t>
      </w:r>
      <w:r>
        <w:rPr>
          <w:rStyle w:val="CharDivText"/>
        </w:rPr>
        <w:t>Managing risks from airborne contaminants</w:t>
      </w:r>
      <w:bookmarkEnd w:id="79"/>
    </w:p>
    <w:p>
      <w:pPr>
        <w:pStyle w:val="PermNoteHeading"/>
      </w:pPr>
      <w:r>
        <w:tab/>
        <w:t>Note for this Part:</w:t>
      </w:r>
    </w:p>
    <w:p>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pPr>
        <w:pStyle w:val="Heading5"/>
      </w:pPr>
      <w:bookmarkStart w:id="80" w:name="_Toc200719584"/>
      <w:r>
        <w:rPr>
          <w:rStyle w:val="CharSectno"/>
        </w:rPr>
        <w:t>49</w:t>
      </w:r>
      <w:r>
        <w:t>.</w:t>
      </w:r>
      <w:r>
        <w:tab/>
        <w:t>Ensuring exposure standards for substances and mixtures not exceeded</w:t>
      </w:r>
      <w:bookmarkEnd w:id="80"/>
    </w:p>
    <w:p>
      <w:pPr>
        <w:pStyle w:val="Subsection"/>
      </w:pPr>
      <w:r>
        <w:tab/>
        <w:t>(1)</w:t>
      </w:r>
      <w:r>
        <w:tab/>
        <w:t>The mine operator of a mine must ensure that no person at the mine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there is no exposure standard for a particular substance or mixture, the mine operator of a mine must ensure that no person </w:t>
      </w:r>
      <w:r>
        <w:lastRenderedPageBreak/>
        <w:t>at the mine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81" w:name="_Toc200719585"/>
      <w:r>
        <w:rPr>
          <w:rStyle w:val="CharSectno"/>
        </w:rPr>
        <w:t>50</w:t>
      </w:r>
      <w:r>
        <w:t>.</w:t>
      </w:r>
      <w:r>
        <w:tab/>
        <w:t>Monitoring airborne contaminant levels</w:t>
      </w:r>
      <w:bookmarkEnd w:id="81"/>
    </w:p>
    <w:p>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pPr>
        <w:pStyle w:val="Indenta"/>
      </w:pPr>
      <w:r>
        <w:tab/>
        <w:t>(a)</w:t>
      </w:r>
      <w:r>
        <w:tab/>
        <w:t>the mine operator is not certain on reasonable grounds whether or not the airborne concentration of the substance or mixture at the mine exceeds the relevant exposure standard; or</w:t>
      </w:r>
    </w:p>
    <w:p>
      <w:pPr>
        <w:pStyle w:val="Indenta"/>
        <w:keepNext/>
      </w:pPr>
      <w:r>
        <w:lastRenderedPageBreak/>
        <w:tab/>
        <w:t>(b)</w:t>
      </w:r>
      <w:r>
        <w:tab/>
        <w:t>monitoring is necessary to determine whether there is a risk to health.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mine operator of a mine must ensure that the results of air monitoring carried out under subregulation (1) are readily accessible to persons at the mine who may be exposed to the substance or mixture.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See also regulation 637.</w:t>
      </w:r>
    </w:p>
    <w:p>
      <w:pPr>
        <w:pStyle w:val="Heading4"/>
      </w:pPr>
      <w:bookmarkStart w:id="82" w:name="_Toc200719586"/>
      <w:r>
        <w:rPr>
          <w:rStyle w:val="CharDivNo"/>
        </w:rPr>
        <w:t>Division 7A</w:t>
      </w:r>
      <w:r>
        <w:t> — </w:t>
      </w:r>
      <w:r>
        <w:rPr>
          <w:rStyle w:val="CharDivText"/>
        </w:rPr>
        <w:t>Protection from tobacco smoke</w:t>
      </w:r>
      <w:bookmarkEnd w:id="82"/>
    </w:p>
    <w:p>
      <w:pPr>
        <w:pStyle w:val="Heading5"/>
      </w:pPr>
      <w:bookmarkStart w:id="83" w:name="_Toc200719587"/>
      <w:r>
        <w:rPr>
          <w:rStyle w:val="CharSectno"/>
        </w:rPr>
        <w:t>50A</w:t>
      </w:r>
      <w:r>
        <w:t>.</w:t>
      </w:r>
      <w:r>
        <w:tab/>
        <w:t>Terms used</w:t>
      </w:r>
      <w:bookmarkEnd w:id="83"/>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lastRenderedPageBreak/>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84" w:name="_Toc200719588"/>
      <w:r>
        <w:rPr>
          <w:rStyle w:val="CharSectno"/>
        </w:rPr>
        <w:t>50B</w:t>
      </w:r>
      <w:r>
        <w:t>.</w:t>
      </w:r>
      <w:r>
        <w:tab/>
        <w:t>Meaning of enclosed workplace</w:t>
      </w:r>
      <w:bookmarkEnd w:id="84"/>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lastRenderedPageBreak/>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85" w:name="_Toc200719589"/>
      <w:r>
        <w:rPr>
          <w:rStyle w:val="CharSectno"/>
        </w:rPr>
        <w:t>50C</w:t>
      </w:r>
      <w:r>
        <w:t>.</w:t>
      </w:r>
      <w:r>
        <w:tab/>
        <w:t>Assessment of notional vertical surface area</w:t>
      </w:r>
      <w:bookmarkEnd w:id="85"/>
    </w:p>
    <w:p>
      <w:pPr>
        <w:pStyle w:val="Subsection"/>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keepNext/>
      </w:pPr>
      <w:r>
        <w:lastRenderedPageBreak/>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86" w:name="_Toc200719590"/>
      <w:r>
        <w:rPr>
          <w:rStyle w:val="CharSectno"/>
        </w:rPr>
        <w:t>50D</w:t>
      </w:r>
      <w:r>
        <w:t>.</w:t>
      </w:r>
      <w:r>
        <w:tab/>
        <w:t>Persons not to smoke in enclosed workplace</w:t>
      </w:r>
      <w:bookmarkEnd w:id="86"/>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7" w:name="_Toc200719591"/>
      <w:r>
        <w:rPr>
          <w:rStyle w:val="CharSectno"/>
        </w:rPr>
        <w:t>50E</w:t>
      </w:r>
      <w:r>
        <w:t>.</w:t>
      </w:r>
      <w:r>
        <w:tab/>
        <w:t xml:space="preserve">Defence to r. </w:t>
      </w:r>
      <w:r>
        <w:rPr>
          <w:rStyle w:val="CharSectno"/>
        </w:rPr>
        <w:t>50D</w:t>
      </w:r>
      <w:r>
        <w:t>: smoking in private vehicle or residence</w:t>
      </w:r>
      <w:bookmarkEnd w:id="87"/>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lastRenderedPageBreak/>
        <w:tab/>
        <w:t>(ii)</w:t>
      </w:r>
      <w:r>
        <w:tab/>
        <w:t>who, in the case of a worker, is also a worker at the workplace.</w:t>
      </w:r>
    </w:p>
    <w:p>
      <w:pPr>
        <w:pStyle w:val="Heading5"/>
      </w:pPr>
      <w:bookmarkStart w:id="88" w:name="_Toc200719592"/>
      <w:r>
        <w:rPr>
          <w:rStyle w:val="CharSectno"/>
        </w:rPr>
        <w:t>50F</w:t>
      </w:r>
      <w:r>
        <w:t>.</w:t>
      </w:r>
      <w:r>
        <w:tab/>
        <w:t xml:space="preserve">Defence to r. </w:t>
      </w:r>
      <w:r>
        <w:rPr>
          <w:rStyle w:val="CharSectno"/>
        </w:rPr>
        <w:t>50D</w:t>
      </w:r>
      <w:r>
        <w:t>: smoking by actor in a performance</w:t>
      </w:r>
      <w:bookmarkEnd w:id="88"/>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89" w:name="_Toc200719593"/>
      <w:r>
        <w:rPr>
          <w:rStyle w:val="CharSectno"/>
        </w:rPr>
        <w:t>50G</w:t>
      </w:r>
      <w:r>
        <w:t>.</w:t>
      </w:r>
      <w:r>
        <w:tab/>
        <w:t>Certain persons to give notice of smoking restrictions</w:t>
      </w:r>
      <w:bookmarkEnd w:id="89"/>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0" w:name="_Toc200719594"/>
      <w:r>
        <w:rPr>
          <w:rStyle w:val="CharSectno"/>
        </w:rPr>
        <w:t>50H</w:t>
      </w:r>
      <w:r>
        <w:t>.</w:t>
      </w:r>
      <w:r>
        <w:tab/>
        <w:t>Inspectors may require certain persons to extinguish tobacco products</w:t>
      </w:r>
      <w:bookmarkEnd w:id="90"/>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pPr>
      <w:r>
        <w:tab/>
        <w:t>(2)</w:t>
      </w:r>
      <w:r>
        <w:tab/>
        <w:t>A person must comply with an inspector’s requirement under subregulation (1).</w:t>
      </w:r>
    </w:p>
    <w:p>
      <w:pPr>
        <w:pStyle w:val="Penstart"/>
      </w:pPr>
      <w:r>
        <w:tab/>
        <w:t>Penalty for this subregulation: a fine of $7 000.</w:t>
      </w:r>
    </w:p>
    <w:p>
      <w:pPr>
        <w:pStyle w:val="Heading5"/>
      </w:pPr>
      <w:bookmarkStart w:id="91" w:name="_Toc200719595"/>
      <w:r>
        <w:rPr>
          <w:rStyle w:val="CharSectno"/>
        </w:rPr>
        <w:t>50I</w:t>
      </w:r>
      <w:r>
        <w:t>.</w:t>
      </w:r>
      <w:r>
        <w:tab/>
        <w:t>Exposure to secondhand smoke</w:t>
      </w:r>
      <w:bookmarkEnd w:id="91"/>
    </w:p>
    <w:p>
      <w:pPr>
        <w:pStyle w:val="Subsection"/>
        <w:keepNext/>
      </w:pPr>
      <w:r>
        <w:tab/>
      </w:r>
      <w:r>
        <w:tab/>
        <w:t xml:space="preserve">A person conducting a business or undertaking at, or a person with management or control of, an enclosed workplace, must ensure, so far as is reasonably practicable, that persons at the </w:t>
      </w:r>
      <w:r>
        <w:lastRenderedPageBreak/>
        <w:t>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92" w:name="_Toc200719596"/>
      <w:r>
        <w:rPr>
          <w:rStyle w:val="CharDivNo"/>
        </w:rPr>
        <w:t>Division 8</w:t>
      </w:r>
      <w:r>
        <w:t> — </w:t>
      </w:r>
      <w:r>
        <w:rPr>
          <w:rStyle w:val="CharDivText"/>
        </w:rPr>
        <w:t>Hazardous atmospheres</w:t>
      </w:r>
      <w:bookmarkEnd w:id="92"/>
    </w:p>
    <w:p>
      <w:pPr>
        <w:pStyle w:val="Heading5"/>
      </w:pPr>
      <w:bookmarkStart w:id="93" w:name="_Toc200719597"/>
      <w:r>
        <w:rPr>
          <w:rStyle w:val="CharSectno"/>
        </w:rPr>
        <w:t>51</w:t>
      </w:r>
      <w:r>
        <w:t>.</w:t>
      </w:r>
      <w:r>
        <w:tab/>
        <w:t>Managing risks to health and safety</w:t>
      </w:r>
      <w:bookmarkEnd w:id="93"/>
    </w:p>
    <w:p>
      <w:pPr>
        <w:pStyle w:val="Subsection"/>
      </w:pPr>
      <w:r>
        <w:tab/>
        <w:t>(1A)</w:t>
      </w:r>
      <w:r>
        <w:tab/>
        <w:t xml:space="preserve">An atmosphere is a </w:t>
      </w:r>
      <w:r>
        <w:rPr>
          <w:rStyle w:val="CharDefText"/>
        </w:rPr>
        <w:t>hazardous atmosphere</w:t>
      </w:r>
      <w:r>
        <w:t xml:space="preserve"> if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94" w:name="_Toc200719598"/>
      <w:r>
        <w:rPr>
          <w:rStyle w:val="CharSectno"/>
        </w:rPr>
        <w:t>52</w:t>
      </w:r>
      <w:r>
        <w:t>.</w:t>
      </w:r>
      <w:r>
        <w:tab/>
        <w:t>Ignition sources</w:t>
      </w:r>
      <w:bookmarkEnd w:id="94"/>
    </w:p>
    <w:p>
      <w:pPr>
        <w:pStyle w:val="Subsection"/>
        <w:keepNext/>
      </w:pPr>
      <w:r>
        <w:tab/>
        <w:t>(1)</w:t>
      </w:r>
      <w:r>
        <w:tab/>
        <w:t xml:space="preserve">A person conducting a business or undertaking at a workplace must manage risks to health and safety associated with an ignition source in a hazardous atmosphere (as defined in </w:t>
      </w:r>
      <w:r>
        <w:lastRenderedPageBreak/>
        <w:t>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95" w:name="_Toc200719599"/>
      <w:r>
        <w:rPr>
          <w:rStyle w:val="CharDivNo"/>
        </w:rPr>
        <w:t>Division 9</w:t>
      </w:r>
      <w:r>
        <w:t> — </w:t>
      </w:r>
      <w:r>
        <w:rPr>
          <w:rStyle w:val="CharDivText"/>
        </w:rPr>
        <w:t>Storage of flammable or combustible substances</w:t>
      </w:r>
      <w:bookmarkEnd w:id="95"/>
    </w:p>
    <w:p>
      <w:pPr>
        <w:pStyle w:val="Heading5"/>
      </w:pPr>
      <w:bookmarkStart w:id="96" w:name="_Toc200719600"/>
      <w:r>
        <w:rPr>
          <w:rStyle w:val="CharSectno"/>
        </w:rPr>
        <w:t>53</w:t>
      </w:r>
      <w:r>
        <w:t>.</w:t>
      </w:r>
      <w:r>
        <w:tab/>
        <w:t>Flammable and combustible material not to be accumulated</w:t>
      </w:r>
      <w:bookmarkEnd w:id="96"/>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97" w:name="_Toc200719601"/>
      <w:r>
        <w:rPr>
          <w:rStyle w:val="CharDivNo"/>
        </w:rPr>
        <w:t>Division 10</w:t>
      </w:r>
      <w:r>
        <w:t> — </w:t>
      </w:r>
      <w:r>
        <w:rPr>
          <w:rStyle w:val="CharDivText"/>
        </w:rPr>
        <w:t>Falling objects</w:t>
      </w:r>
      <w:bookmarkEnd w:id="97"/>
    </w:p>
    <w:p>
      <w:pPr>
        <w:pStyle w:val="Heading5"/>
      </w:pPr>
      <w:bookmarkStart w:id="98" w:name="_Toc200719602"/>
      <w:r>
        <w:rPr>
          <w:rStyle w:val="CharSectno"/>
        </w:rPr>
        <w:t>54</w:t>
      </w:r>
      <w:r>
        <w:t>.</w:t>
      </w:r>
      <w:r>
        <w:tab/>
        <w:t>Management of risk of falling objects</w:t>
      </w:r>
      <w:bookmarkEnd w:id="98"/>
    </w:p>
    <w:p>
      <w:pPr>
        <w:pStyle w:val="Subsection"/>
        <w:keepNext/>
      </w:pPr>
      <w:r>
        <w:tab/>
      </w:r>
      <w:r>
        <w:tab/>
        <w:t xml:space="preserve">A person conducting a business or undertaking at a workplace must manage, in accordance with Part 3.1, risks to health and </w:t>
      </w:r>
      <w:r>
        <w:lastRenderedPageBreak/>
        <w:t>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99" w:name="_Toc200719603"/>
      <w:r>
        <w:rPr>
          <w:rStyle w:val="CharSectno"/>
        </w:rPr>
        <w:t>55</w:t>
      </w:r>
      <w:r>
        <w:t>.</w:t>
      </w:r>
      <w:r>
        <w:tab/>
        <w:t>Minimising risk associated with falling objects</w:t>
      </w:r>
      <w:bookmarkEnd w:id="99"/>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100" w:name="_Toc200719604"/>
      <w:r>
        <w:rPr>
          <w:rStyle w:val="CharDivNo"/>
        </w:rPr>
        <w:lastRenderedPageBreak/>
        <w:t>Division 11</w:t>
      </w:r>
      <w:r>
        <w:t> — </w:t>
      </w:r>
      <w:r>
        <w:rPr>
          <w:rStyle w:val="CharDivText"/>
        </w:rPr>
        <w:t>Psychosocial risks</w:t>
      </w:r>
      <w:bookmarkEnd w:id="100"/>
    </w:p>
    <w:p>
      <w:pPr>
        <w:pStyle w:val="Footnoteheading"/>
        <w:keepNext/>
      </w:pPr>
      <w:r>
        <w:tab/>
        <w:t>[Heading inserted: SL 2022/214 r. 9.]</w:t>
      </w:r>
    </w:p>
    <w:p>
      <w:pPr>
        <w:pStyle w:val="Heading5"/>
      </w:pPr>
      <w:bookmarkStart w:id="101" w:name="_Toc200719605"/>
      <w:r>
        <w:rPr>
          <w:rStyle w:val="CharSectno"/>
        </w:rPr>
        <w:t>55A</w:t>
      </w:r>
      <w:r>
        <w:t>.</w:t>
      </w:r>
      <w:r>
        <w:tab/>
        <w:t>Meaning of psychosocial hazard</w:t>
      </w:r>
      <w:bookmarkEnd w:id="101"/>
    </w:p>
    <w:p>
      <w:pPr>
        <w:pStyle w:val="Subsection"/>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9.]</w:t>
      </w:r>
    </w:p>
    <w:p>
      <w:pPr>
        <w:pStyle w:val="Heading5"/>
      </w:pPr>
      <w:bookmarkStart w:id="102" w:name="_Toc200719606"/>
      <w:r>
        <w:rPr>
          <w:rStyle w:val="CharSectno"/>
        </w:rPr>
        <w:t>55B</w:t>
      </w:r>
      <w:r>
        <w:t>.</w:t>
      </w:r>
      <w:r>
        <w:tab/>
        <w:t>Meaning of psychosocial risk</w:t>
      </w:r>
      <w:bookmarkEnd w:id="102"/>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9.]</w:t>
      </w:r>
    </w:p>
    <w:p>
      <w:pPr>
        <w:pStyle w:val="Heading5"/>
      </w:pPr>
      <w:bookmarkStart w:id="103" w:name="_Toc200719607"/>
      <w:r>
        <w:rPr>
          <w:rStyle w:val="CharSectno"/>
        </w:rPr>
        <w:t>55C</w:t>
      </w:r>
      <w:r>
        <w:t>.</w:t>
      </w:r>
      <w:r>
        <w:tab/>
        <w:t>Managing psychosocial risks</w:t>
      </w:r>
      <w:bookmarkEnd w:id="103"/>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9.]</w:t>
      </w:r>
    </w:p>
    <w:p>
      <w:pPr>
        <w:pStyle w:val="Heading5"/>
      </w:pPr>
      <w:bookmarkStart w:id="104" w:name="_Toc200719608"/>
      <w:r>
        <w:rPr>
          <w:rStyle w:val="CharSectno"/>
        </w:rPr>
        <w:t>55D</w:t>
      </w:r>
      <w:r>
        <w:t>.</w:t>
      </w:r>
      <w:r>
        <w:tab/>
        <w:t>Control measures</w:t>
      </w:r>
      <w:bookmarkEnd w:id="104"/>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pPr>
      <w:r>
        <w:lastRenderedPageBreak/>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pPr>
      <w:r>
        <w:lastRenderedPageBreak/>
        <w:tab/>
        <w:t>(3)</w:t>
      </w:r>
      <w:r>
        <w:tab/>
      </w:r>
      <w:r>
        <w:rPr>
          <w:i/>
        </w:rPr>
        <w:t>[not used]</w:t>
      </w:r>
    </w:p>
    <w:p>
      <w:pPr>
        <w:pStyle w:val="PermNoteHeading"/>
      </w:pPr>
      <w:r>
        <w:tab/>
        <w:t>Note for this regulation:</w:t>
      </w:r>
    </w:p>
    <w:p>
      <w:pPr>
        <w:pStyle w:val="PermNoteText"/>
      </w:pPr>
      <w:r>
        <w:tab/>
      </w:r>
      <w:r>
        <w:tab/>
        <w:t>WHS Act — section 19 (see regulation 9).</w:t>
      </w:r>
    </w:p>
    <w:p>
      <w:pPr>
        <w:pStyle w:val="Footnotesection"/>
      </w:pPr>
      <w:r>
        <w:tab/>
        <w:t>[Regulation 55D inserted: SL 2022/214 r. 9.]</w:t>
      </w:r>
    </w:p>
    <w:p>
      <w:pPr>
        <w:pStyle w:val="Heading3"/>
      </w:pPr>
      <w:bookmarkStart w:id="105" w:name="_Toc200719609"/>
      <w:r>
        <w:rPr>
          <w:rStyle w:val="CharDivNo"/>
        </w:rPr>
        <w:t>Division 12</w:t>
      </w:r>
      <w:r>
        <w:t> — </w:t>
      </w:r>
      <w:r>
        <w:rPr>
          <w:rStyle w:val="CharDivText"/>
        </w:rPr>
        <w:t>Directed medical examinations</w:t>
      </w:r>
      <w:bookmarkEnd w:id="105"/>
    </w:p>
    <w:p>
      <w:pPr>
        <w:pStyle w:val="Footnoteheading"/>
      </w:pPr>
      <w:r>
        <w:tab/>
        <w:t>[Heading inserted: SL 2022/214 r. 9.]</w:t>
      </w:r>
    </w:p>
    <w:p>
      <w:pPr>
        <w:pStyle w:val="Heading5"/>
      </w:pPr>
      <w:bookmarkStart w:id="106" w:name="_Toc200719610"/>
      <w:r>
        <w:rPr>
          <w:rStyle w:val="CharSectno"/>
        </w:rPr>
        <w:t>55E</w:t>
      </w:r>
      <w:r>
        <w:t>.</w:t>
      </w:r>
      <w:r>
        <w:tab/>
        <w:t>Meaning of medical examination notice</w:t>
      </w:r>
      <w:bookmarkEnd w:id="106"/>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9.]</w:t>
      </w:r>
    </w:p>
    <w:p>
      <w:pPr>
        <w:pStyle w:val="Heading5"/>
      </w:pPr>
      <w:bookmarkStart w:id="107" w:name="_Toc200719611"/>
      <w:r>
        <w:rPr>
          <w:rStyle w:val="CharSectno"/>
        </w:rPr>
        <w:t>55F</w:t>
      </w:r>
      <w:r>
        <w:t>.</w:t>
      </w:r>
      <w:r>
        <w:tab/>
        <w:t>Regulator may direct medical examination of workers</w:t>
      </w:r>
      <w:bookmarkEnd w:id="107"/>
      <w:r>
        <w:t xml:space="preserve"> </w:t>
      </w:r>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9.]</w:t>
      </w:r>
    </w:p>
    <w:p>
      <w:pPr>
        <w:pStyle w:val="Heading5"/>
      </w:pPr>
      <w:bookmarkStart w:id="108" w:name="_Toc200719612"/>
      <w:r>
        <w:rPr>
          <w:rStyle w:val="CharSectno"/>
        </w:rPr>
        <w:t>55G</w:t>
      </w:r>
      <w:r>
        <w:t>.</w:t>
      </w:r>
      <w:r>
        <w:tab/>
        <w:t>Worker to choose registered medical practitioner</w:t>
      </w:r>
      <w:bookmarkEnd w:id="108"/>
      <w:r>
        <w:t xml:space="preserve"> </w:t>
      </w:r>
    </w:p>
    <w:p>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9.]</w:t>
      </w:r>
    </w:p>
    <w:p>
      <w:pPr>
        <w:pStyle w:val="Heading5"/>
      </w:pPr>
      <w:bookmarkStart w:id="109" w:name="_Toc200719613"/>
      <w:r>
        <w:rPr>
          <w:rStyle w:val="CharSectno"/>
        </w:rPr>
        <w:t>55H</w:t>
      </w:r>
      <w:r>
        <w:t>.</w:t>
      </w:r>
      <w:r>
        <w:tab/>
        <w:t>Person conducting business or undertaking must comply with medical examination notice</w:t>
      </w:r>
      <w:bookmarkEnd w:id="109"/>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 xml:space="preserve">agree to the selection of the registered medical practitioner; or </w:t>
      </w:r>
    </w:p>
    <w:p>
      <w:pPr>
        <w:pStyle w:val="Indenta"/>
      </w:pPr>
      <w:r>
        <w:tab/>
        <w:t>(b)</w:t>
      </w:r>
      <w:r>
        <w:tab/>
        <w:t>consent to undergoing the examination.</w:t>
      </w:r>
    </w:p>
    <w:p>
      <w:pPr>
        <w:pStyle w:val="Footnotesection"/>
      </w:pPr>
      <w:r>
        <w:tab/>
        <w:t>[Regulation 55H inserted: SL 2022/214 r. 9.]</w:t>
      </w:r>
    </w:p>
    <w:p>
      <w:pPr>
        <w:pStyle w:val="Heading5"/>
      </w:pPr>
      <w:bookmarkStart w:id="110" w:name="_Toc200719614"/>
      <w:r>
        <w:rPr>
          <w:rStyle w:val="CharSectno"/>
        </w:rPr>
        <w:t>55I</w:t>
      </w:r>
      <w:r>
        <w:t>.</w:t>
      </w:r>
      <w:r>
        <w:tab/>
        <w:t>Duties of registered medical practitioner conducting examination</w:t>
      </w:r>
      <w:bookmarkEnd w:id="110"/>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9.]</w:t>
      </w:r>
    </w:p>
    <w:p>
      <w:pPr>
        <w:pStyle w:val="Heading5"/>
      </w:pPr>
      <w:bookmarkStart w:id="111" w:name="_Toc200719615"/>
      <w:r>
        <w:rPr>
          <w:rStyle w:val="CharSectno"/>
        </w:rPr>
        <w:t>55J</w:t>
      </w:r>
      <w:r>
        <w:t>.</w:t>
      </w:r>
      <w:r>
        <w:tab/>
        <w:t>Regulator must inform person conducting business or undertaking</w:t>
      </w:r>
      <w:bookmarkEnd w:id="111"/>
    </w:p>
    <w:p>
      <w:pPr>
        <w:pStyle w:val="Subsection"/>
      </w:pPr>
      <w:r>
        <w:tab/>
      </w:r>
      <w:r>
        <w:tab/>
        <w:t>The regulator must inform the person conducting a business or undertaking who arranged a medical examination for the purposes of a medical examination notice of —</w:t>
      </w:r>
    </w:p>
    <w:p>
      <w:pPr>
        <w:pStyle w:val="Indenta"/>
      </w:pPr>
      <w:r>
        <w:tab/>
        <w:t>(a)</w:t>
      </w:r>
      <w:r>
        <w:tab/>
        <w:t>the outcome of the medical examination; and</w:t>
      </w:r>
    </w:p>
    <w:p>
      <w:pPr>
        <w:pStyle w:val="Indenta"/>
      </w:pPr>
      <w:r>
        <w:lastRenderedPageBreak/>
        <w:tab/>
        <w:t>(b)</w:t>
      </w:r>
      <w:r>
        <w:tab/>
        <w:t>any need for remedial action.</w:t>
      </w:r>
    </w:p>
    <w:p>
      <w:pPr>
        <w:pStyle w:val="Footnotesection"/>
      </w:pPr>
      <w:r>
        <w:tab/>
        <w:t>[Regulation 55J inserted: SL 2022/214 r. 9.]</w:t>
      </w:r>
    </w:p>
    <w:p>
      <w:pPr>
        <w:pStyle w:val="Heading5"/>
      </w:pPr>
      <w:bookmarkStart w:id="112" w:name="_Toc200719616"/>
      <w:r>
        <w:rPr>
          <w:rStyle w:val="CharSectno"/>
        </w:rPr>
        <w:t>55JA</w:t>
      </w:r>
      <w:r>
        <w:t>.</w:t>
      </w:r>
      <w:r>
        <w:tab/>
        <w:t>Person conducting business or undertaking must inform mine operator</w:t>
      </w:r>
      <w:bookmarkEnd w:id="112"/>
    </w:p>
    <w:p>
      <w:pPr>
        <w:pStyle w:val="Subsection"/>
      </w:pPr>
      <w:r>
        <w:tab/>
        <w:t>(1)</w:t>
      </w:r>
      <w:r>
        <w:tab/>
        <w:t xml:space="preserve">This regulation applies if — </w:t>
      </w:r>
    </w:p>
    <w:p>
      <w:pPr>
        <w:pStyle w:val="Indenta"/>
      </w:pPr>
      <w:r>
        <w:tab/>
        <w:t>(a)</w:t>
      </w:r>
      <w:r>
        <w:tab/>
        <w:t>the person conducting a business or undertaking at a mine arranged a medical examination for the purposes of a medical examination notice; and</w:t>
      </w:r>
    </w:p>
    <w:p>
      <w:pPr>
        <w:pStyle w:val="Indenta"/>
      </w:pPr>
      <w:r>
        <w:tab/>
        <w:t>(b)</w:t>
      </w:r>
      <w:r>
        <w:tab/>
        <w:t xml:space="preserve">the person conducting the business or undertaking is not the mine operator of the mine. </w:t>
      </w:r>
    </w:p>
    <w:p>
      <w:pPr>
        <w:pStyle w:val="Subsection"/>
      </w:pPr>
      <w:r>
        <w:tab/>
        <w:t>(2)</w:t>
      </w:r>
      <w:r>
        <w:tab/>
        <w:t xml:space="preserve">The person conducting the business or undertaking must inform the mine operator of the mine of — </w:t>
      </w:r>
    </w:p>
    <w:p>
      <w:pPr>
        <w:pStyle w:val="Indenta"/>
      </w:pPr>
      <w:r>
        <w:tab/>
        <w:t>(a)</w:t>
      </w:r>
      <w:r>
        <w:tab/>
        <w:t>the outcome of the medical examination; and</w:t>
      </w:r>
    </w:p>
    <w:p>
      <w:pPr>
        <w:pStyle w:val="Indenta"/>
      </w:pPr>
      <w:r>
        <w:tab/>
        <w:t>(b)</w:t>
      </w:r>
      <w:r>
        <w:tab/>
        <w:t>any need for remedial action.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55JA inserted: SL 2022/214 r. 9.]</w:t>
      </w:r>
    </w:p>
    <w:p>
      <w:pPr>
        <w:pStyle w:val="Heading5"/>
      </w:pPr>
      <w:bookmarkStart w:id="113" w:name="_Toc200719617"/>
      <w:r>
        <w:rPr>
          <w:rStyle w:val="CharSectno"/>
        </w:rPr>
        <w:t>55K</w:t>
      </w:r>
      <w:r>
        <w:t>.</w:t>
      </w:r>
      <w:r>
        <w:tab/>
        <w:t>Person conducting business or undertaking must ensure confidentiality of medical examination results</w:t>
      </w:r>
      <w:bookmarkEnd w:id="113"/>
    </w:p>
    <w:p>
      <w:pPr>
        <w:pStyle w:val="Subsection"/>
      </w:pPr>
      <w:r>
        <w:tab/>
      </w:r>
      <w:r>
        <w:tab/>
        <w:t>Subject to regulation 55JA, 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9.]</w:t>
      </w:r>
    </w:p>
    <w:p>
      <w:pPr>
        <w:pStyle w:val="Heading2"/>
      </w:pPr>
      <w:bookmarkStart w:id="114" w:name="_Toc200719618"/>
      <w:r>
        <w:lastRenderedPageBreak/>
        <w:t>Chapter 4 —</w:t>
      </w:r>
      <w:r>
        <w:rPr>
          <w:rStyle w:val="CharDivText"/>
        </w:rPr>
        <w:t> </w:t>
      </w:r>
      <w:r>
        <w:t>Hazardous work</w:t>
      </w:r>
      <w:bookmarkEnd w:id="114"/>
    </w:p>
    <w:p>
      <w:pPr>
        <w:pStyle w:val="Heading3"/>
      </w:pPr>
      <w:bookmarkStart w:id="115" w:name="_Toc200719619"/>
      <w:r>
        <w:rPr>
          <w:rStyle w:val="CharPartNo"/>
        </w:rPr>
        <w:t>Part 4.1</w:t>
      </w:r>
      <w:r>
        <w:rPr>
          <w:rStyle w:val="CharDivNo"/>
        </w:rPr>
        <w:t> </w:t>
      </w:r>
      <w:r>
        <w:t>—</w:t>
      </w:r>
      <w:r>
        <w:rPr>
          <w:rStyle w:val="CharDivText"/>
        </w:rPr>
        <w:t> </w:t>
      </w:r>
      <w:r>
        <w:rPr>
          <w:rStyle w:val="CharPartText"/>
        </w:rPr>
        <w:t>Noise</w:t>
      </w:r>
      <w:bookmarkEnd w:id="115"/>
    </w:p>
    <w:p>
      <w:pPr>
        <w:pStyle w:val="PermNoteHeading"/>
      </w:pPr>
      <w:r>
        <w:tab/>
        <w:t>Note for this Part:</w:t>
      </w:r>
    </w:p>
    <w:p>
      <w:pPr>
        <w:pStyle w:val="PermNoteText"/>
      </w:pPr>
      <w:r>
        <w:tab/>
      </w:r>
      <w:r>
        <w:tab/>
        <w:t>See also regulation 675ZZK(1)(b) and Schedule 26 clause 2(3)(a) relating to noise officers.</w:t>
      </w:r>
    </w:p>
    <w:p>
      <w:pPr>
        <w:pStyle w:val="Heading5"/>
      </w:pPr>
      <w:bookmarkStart w:id="116" w:name="_Toc200719620"/>
      <w:r>
        <w:rPr>
          <w:rStyle w:val="CharSectno"/>
        </w:rPr>
        <w:t>56</w:t>
      </w:r>
      <w:r>
        <w:t>.</w:t>
      </w:r>
      <w:r>
        <w:tab/>
        <w:t>Meaning of exposure standard for noise</w:t>
      </w:r>
      <w:bookmarkEnd w:id="116"/>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17" w:name="_Toc200719621"/>
      <w:r>
        <w:rPr>
          <w:rStyle w:val="CharSectno"/>
        </w:rPr>
        <w:t>57</w:t>
      </w:r>
      <w:r>
        <w:t>.</w:t>
      </w:r>
      <w:r>
        <w:tab/>
        <w:t>Managing risk of hearing loss from noise</w:t>
      </w:r>
      <w:bookmarkEnd w:id="117"/>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r>
        <w:t>[</w:t>
      </w:r>
      <w:r>
        <w:rPr>
          <w:b/>
        </w:rPr>
        <w:t>58.</w:t>
      </w:r>
      <w:r>
        <w:tab/>
        <w:t>has not come into operation.]</w:t>
      </w:r>
    </w:p>
    <w:p>
      <w:pPr>
        <w:pStyle w:val="Heading5"/>
      </w:pPr>
      <w:bookmarkStart w:id="118" w:name="_Toc200719622"/>
      <w:r>
        <w:rPr>
          <w:rStyle w:val="CharSectno"/>
        </w:rPr>
        <w:t>59</w:t>
      </w:r>
      <w:r>
        <w:t>.</w:t>
      </w:r>
      <w:r>
        <w:tab/>
        <w:t>Duties of designers, manufacturers, importers and suppliers of plant</w:t>
      </w:r>
      <w:bookmarkEnd w:id="118"/>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lastRenderedPageBreak/>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19" w:name="_Toc200719623"/>
      <w:r>
        <w:rPr>
          <w:rStyle w:val="CharPartNo"/>
        </w:rPr>
        <w:t>Part 4.2</w:t>
      </w:r>
      <w:r>
        <w:rPr>
          <w:rStyle w:val="CharDivNo"/>
        </w:rPr>
        <w:t> </w:t>
      </w:r>
      <w:r>
        <w:t>—</w:t>
      </w:r>
      <w:r>
        <w:rPr>
          <w:rStyle w:val="CharDivText"/>
        </w:rPr>
        <w:t> </w:t>
      </w:r>
      <w:r>
        <w:rPr>
          <w:rStyle w:val="CharPartText"/>
        </w:rPr>
        <w:t>Hazardous manual tasks</w:t>
      </w:r>
      <w:bookmarkEnd w:id="119"/>
    </w:p>
    <w:p>
      <w:pPr>
        <w:pStyle w:val="Heading5"/>
      </w:pPr>
      <w:bookmarkStart w:id="120" w:name="_Toc200719624"/>
      <w:r>
        <w:rPr>
          <w:rStyle w:val="CharSectno"/>
        </w:rPr>
        <w:t>60</w:t>
      </w:r>
      <w:r>
        <w:t>.</w:t>
      </w:r>
      <w:r>
        <w:tab/>
        <w:t>Managing risks to health and safety</w:t>
      </w:r>
      <w:bookmarkEnd w:id="120"/>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121" w:name="_Toc200719625"/>
      <w:r>
        <w:rPr>
          <w:rStyle w:val="CharSectno"/>
        </w:rPr>
        <w:lastRenderedPageBreak/>
        <w:t>61</w:t>
      </w:r>
      <w:r>
        <w:t>.</w:t>
      </w:r>
      <w:r>
        <w:tab/>
        <w:t>Duties of designers, manufacturers, importers and suppliers of plant or structures</w:t>
      </w:r>
      <w:bookmarkEnd w:id="121"/>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pPr>
      <w:r>
        <w:lastRenderedPageBreak/>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22" w:name="_Toc200719626"/>
      <w:r>
        <w:rPr>
          <w:rStyle w:val="CharPartNo"/>
        </w:rPr>
        <w:t>Part 4.3</w:t>
      </w:r>
      <w:r>
        <w:t> — </w:t>
      </w:r>
      <w:r>
        <w:rPr>
          <w:rStyle w:val="CharPartText"/>
        </w:rPr>
        <w:t>Confined spaces</w:t>
      </w:r>
      <w:bookmarkEnd w:id="122"/>
    </w:p>
    <w:p>
      <w:pPr>
        <w:pStyle w:val="Heading4"/>
      </w:pPr>
      <w:bookmarkStart w:id="123" w:name="_Toc200719627"/>
      <w:r>
        <w:rPr>
          <w:rStyle w:val="CharDivNo"/>
        </w:rPr>
        <w:t>Division 1</w:t>
      </w:r>
      <w:r>
        <w:t> — </w:t>
      </w:r>
      <w:r>
        <w:rPr>
          <w:rStyle w:val="CharDivText"/>
        </w:rPr>
        <w:t>Preliminary</w:t>
      </w:r>
      <w:bookmarkEnd w:id="123"/>
    </w:p>
    <w:p>
      <w:pPr>
        <w:pStyle w:val="Heading5"/>
      </w:pPr>
      <w:bookmarkStart w:id="124" w:name="_Toc200719628"/>
      <w:r>
        <w:rPr>
          <w:rStyle w:val="CharSectno"/>
        </w:rPr>
        <w:t>62</w:t>
      </w:r>
      <w:r>
        <w:t>.</w:t>
      </w:r>
      <w:r>
        <w:tab/>
        <w:t>Confined spaces to which Part applies</w:t>
      </w:r>
      <w:bookmarkEnd w:id="124"/>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125" w:name="_Toc200719629"/>
      <w:r>
        <w:rPr>
          <w:rStyle w:val="CharSectno"/>
        </w:rPr>
        <w:t>63</w:t>
      </w:r>
      <w:r>
        <w:t>.</w:t>
      </w:r>
      <w:r>
        <w:tab/>
        <w:t>Application to emergency service workers</w:t>
      </w:r>
      <w:bookmarkEnd w:id="125"/>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5"/>
      </w:pPr>
      <w:bookmarkStart w:id="126" w:name="_Toc200719630"/>
      <w:r>
        <w:rPr>
          <w:rStyle w:val="CharSectno"/>
        </w:rPr>
        <w:t>63A</w:t>
      </w:r>
      <w:r>
        <w:t>.</w:t>
      </w:r>
      <w:r>
        <w:tab/>
        <w:t>Application to mine emergency workers</w:t>
      </w:r>
      <w:bookmarkEnd w:id="126"/>
    </w:p>
    <w:p>
      <w:pPr>
        <w:pStyle w:val="Subsection"/>
      </w:pPr>
      <w:r>
        <w:tab/>
      </w:r>
      <w:r>
        <w:tab/>
        <w:t xml:space="preserve">Regulations 67 and 68 do not apply to the entry into a confined space at a mine by a mine emergency worker if, at the direction of the site senior executive, the worker is — </w:t>
      </w:r>
    </w:p>
    <w:p>
      <w:pPr>
        <w:pStyle w:val="Indenta"/>
      </w:pPr>
      <w:r>
        <w:tab/>
        <w:t>(a)</w:t>
      </w:r>
      <w:r>
        <w:tab/>
        <w:t>rescuing a person from the space; or</w:t>
      </w:r>
    </w:p>
    <w:p>
      <w:pPr>
        <w:pStyle w:val="Indenta"/>
      </w:pPr>
      <w:r>
        <w:lastRenderedPageBreak/>
        <w:tab/>
        <w:t>(b)</w:t>
      </w:r>
      <w:r>
        <w:tab/>
        <w:t>providing first aid to a person in the space.</w:t>
      </w:r>
    </w:p>
    <w:p>
      <w:pPr>
        <w:pStyle w:val="Heading4"/>
      </w:pPr>
      <w:bookmarkStart w:id="127" w:name="_Toc200719631"/>
      <w:r>
        <w:rPr>
          <w:rStyle w:val="CharDivNo"/>
        </w:rPr>
        <w:t>Division 2</w:t>
      </w:r>
      <w:r>
        <w:t> — </w:t>
      </w:r>
      <w:r>
        <w:rPr>
          <w:rStyle w:val="CharDivText"/>
        </w:rPr>
        <w:t>Duties of designer, manufacturer, importer, supplier, installer and constructor of plant or structure</w:t>
      </w:r>
      <w:bookmarkEnd w:id="127"/>
    </w:p>
    <w:p>
      <w:pPr>
        <w:pStyle w:val="Heading5"/>
      </w:pPr>
      <w:bookmarkStart w:id="128" w:name="_Toc200719632"/>
      <w:r>
        <w:rPr>
          <w:rStyle w:val="CharSectno"/>
        </w:rPr>
        <w:t>64</w:t>
      </w:r>
      <w:r>
        <w:t>.</w:t>
      </w:r>
      <w:r>
        <w:tab/>
        <w:t>Duty to eliminate or minimise risk</w:t>
      </w:r>
      <w:bookmarkEnd w:id="128"/>
    </w:p>
    <w:p>
      <w:pPr>
        <w:pStyle w:val="Subsection"/>
      </w:pPr>
      <w:r>
        <w:tab/>
        <w:t>(1)</w:t>
      </w:r>
      <w:r>
        <w:tab/>
        <w:t>This regulation applies in relation to plant or a structure that includes a space that is, or is intended to be, a confined space.</w:t>
      </w:r>
    </w:p>
    <w:p>
      <w:pPr>
        <w:pStyle w:val="Subsection"/>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29" w:name="_Toc200719633"/>
      <w:r>
        <w:rPr>
          <w:rStyle w:val="CharDivNo"/>
        </w:rPr>
        <w:lastRenderedPageBreak/>
        <w:t>Division 3</w:t>
      </w:r>
      <w:r>
        <w:t> — </w:t>
      </w:r>
      <w:r>
        <w:rPr>
          <w:rStyle w:val="CharDivText"/>
        </w:rPr>
        <w:t>Duties of person conducting business or undertaking</w:t>
      </w:r>
      <w:bookmarkEnd w:id="129"/>
    </w:p>
    <w:p>
      <w:pPr>
        <w:pStyle w:val="Heading5"/>
      </w:pPr>
      <w:bookmarkStart w:id="130" w:name="_Toc200719634"/>
      <w:r>
        <w:rPr>
          <w:rStyle w:val="CharSectno"/>
        </w:rPr>
        <w:t>65</w:t>
      </w:r>
      <w:r>
        <w:t>.</w:t>
      </w:r>
      <w:r>
        <w:tab/>
        <w:t>Entry into confined space must comply with Division</w:t>
      </w:r>
      <w:bookmarkEnd w:id="130"/>
    </w:p>
    <w:p>
      <w:pPr>
        <w:pStyle w:val="Subsection"/>
      </w:pPr>
      <w:r>
        <w:tab/>
      </w:r>
      <w:r>
        <w:tab/>
        <w:t>A person conducting a business or undertaking must ensure, so far as is reasonably practicable, that a worker does not enter a confined space before this Division has been complied with in relation to that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1" w:name="_Toc200719635"/>
      <w:r>
        <w:rPr>
          <w:rStyle w:val="CharSectno"/>
        </w:rPr>
        <w:t>66</w:t>
      </w:r>
      <w:r>
        <w:t>.</w:t>
      </w:r>
      <w:r>
        <w:tab/>
        <w:t>Managing risks to health and safety</w:t>
      </w:r>
      <w:bookmarkEnd w:id="131"/>
    </w:p>
    <w:p>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2" w:name="_Toc200719636"/>
      <w:r>
        <w:rPr>
          <w:rStyle w:val="CharSectno"/>
        </w:rPr>
        <w:t>67</w:t>
      </w:r>
      <w:r>
        <w:t>.</w:t>
      </w:r>
      <w:r>
        <w:tab/>
        <w:t>Confined space entry permit</w:t>
      </w:r>
      <w:bookmarkEnd w:id="132"/>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keepNext/>
      </w:pPr>
      <w:r>
        <w:lastRenderedPageBreak/>
        <w:tab/>
        <w:t>(b)</w:t>
      </w:r>
      <w:r>
        <w:tab/>
        <w:t>the acknowledgement referred to in subregulation (2)(d) is completed by the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3" w:name="_Toc200719637"/>
      <w:r>
        <w:rPr>
          <w:rStyle w:val="CharSectno"/>
        </w:rPr>
        <w:t>68</w:t>
      </w:r>
      <w:r>
        <w:t>.</w:t>
      </w:r>
      <w:r>
        <w:tab/>
        <w:t>Signage</w:t>
      </w:r>
      <w:bookmarkEnd w:id="133"/>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pPr>
      <w:r>
        <w:tab/>
        <w:t>(b)</w:t>
      </w:r>
      <w:r>
        <w:tab/>
        <w:t>while work is being carried out in preparation for, and in the completion of, work in a confined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134" w:name="_Toc200719638"/>
      <w:r>
        <w:rPr>
          <w:rStyle w:val="CharSectno"/>
        </w:rPr>
        <w:t>69</w:t>
      </w:r>
      <w:r>
        <w:t>.</w:t>
      </w:r>
      <w:r>
        <w:tab/>
        <w:t>Communication and safety monitoring</w:t>
      </w:r>
      <w:bookmarkEnd w:id="134"/>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keepNext/>
      </w:pPr>
      <w:r>
        <w:lastRenderedPageBreak/>
        <w:tab/>
        <w:t>(b)</w:t>
      </w:r>
      <w:r>
        <w:tab/>
        <w:t>monitoring of conditions within the space by a standby person who is in the vicinity of the space and, if practicable, observing the work being carried out.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5" w:name="_Toc200719639"/>
      <w:r>
        <w:rPr>
          <w:rStyle w:val="CharSectno"/>
        </w:rPr>
        <w:t>70</w:t>
      </w:r>
      <w:r>
        <w:t>.</w:t>
      </w:r>
      <w:r>
        <w:tab/>
        <w:t>Specific control: connected plant and services</w:t>
      </w:r>
      <w:bookmarkEnd w:id="135"/>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pPr>
      <w:r>
        <w:tab/>
        <w:t>(b)</w:t>
      </w:r>
      <w:r>
        <w:tab/>
        <w:t>the activation or energising in any way of any plant or services connected to the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6" w:name="_Toc200719640"/>
      <w:r>
        <w:rPr>
          <w:rStyle w:val="CharSectno"/>
        </w:rPr>
        <w:t>71</w:t>
      </w:r>
      <w:r>
        <w:t>.</w:t>
      </w:r>
      <w:r>
        <w:tab/>
        <w:t>Specific control: atmosphere</w:t>
      </w:r>
      <w:bookmarkEnd w:id="136"/>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lastRenderedPageBreak/>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137" w:name="_Toc200719641"/>
      <w:r>
        <w:rPr>
          <w:rStyle w:val="CharSectno"/>
        </w:rPr>
        <w:t>72</w:t>
      </w:r>
      <w:r>
        <w:t>.</w:t>
      </w:r>
      <w:r>
        <w:tab/>
        <w:t>Specific control: flammable gases and vapours</w:t>
      </w:r>
      <w:bookmarkEnd w:id="137"/>
    </w:p>
    <w:p>
      <w:pPr>
        <w:pStyle w:val="Subsection"/>
      </w:pPr>
      <w:r>
        <w:tab/>
        <w:t>(1)</w:t>
      </w:r>
      <w:r>
        <w:tab/>
        <w:t xml:space="preserve">A person conducting a business or undertaking must ensure, so far as is reasonably practicable, that while work is being carried </w:t>
      </w:r>
      <w:r>
        <w:lastRenderedPageBreak/>
        <w:t>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8" w:name="_Toc200719642"/>
      <w:r>
        <w:rPr>
          <w:rStyle w:val="CharSectno"/>
        </w:rPr>
        <w:t>73</w:t>
      </w:r>
      <w:r>
        <w:t>.</w:t>
      </w:r>
      <w:r>
        <w:tab/>
        <w:t>Specific control: fire and explosion</w:t>
      </w:r>
      <w:bookmarkEnd w:id="138"/>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 w:name="_Toc200719643"/>
      <w:r>
        <w:rPr>
          <w:rStyle w:val="CharSectno"/>
        </w:rPr>
        <w:lastRenderedPageBreak/>
        <w:t>74</w:t>
      </w:r>
      <w:r>
        <w:t>.</w:t>
      </w:r>
      <w:r>
        <w:tab/>
        <w:t>Emergency procedures</w:t>
      </w:r>
      <w:bookmarkEnd w:id="139"/>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first aid and rescue procedures are initiated from outside the confined space as soon as practicable in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140" w:name="_Toc200719644"/>
      <w:r>
        <w:rPr>
          <w:rStyle w:val="CharSectno"/>
        </w:rPr>
        <w:lastRenderedPageBreak/>
        <w:t>75</w:t>
      </w:r>
      <w:r>
        <w:t>.</w:t>
      </w:r>
      <w:r>
        <w:tab/>
        <w:t>Personal protective equipment in emergencies</w:t>
      </w:r>
      <w:bookmarkEnd w:id="140"/>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pPr>
      <w:r>
        <w:tab/>
        <w:t>(c)</w:t>
      </w:r>
      <w:r>
        <w:tab/>
        <w:t>there is a serious risk of the atmosphere in the space becoming affected in the way referred to in paragraph (a) or (b)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141" w:name="_Toc200719645"/>
      <w:r>
        <w:rPr>
          <w:rStyle w:val="CharSectno"/>
        </w:rPr>
        <w:lastRenderedPageBreak/>
        <w:t>76</w:t>
      </w:r>
      <w:r>
        <w:t>.</w:t>
      </w:r>
      <w:r>
        <w:tab/>
        <w:t>Information, training and instruction for workers</w:t>
      </w:r>
      <w:bookmarkEnd w:id="141"/>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keepNext/>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The person must ensure that a record of all training provided to a relevant worker under this regulation is kept for 2 years.</w:t>
      </w:r>
    </w:p>
    <w:p>
      <w:pPr>
        <w:pStyle w:val="Penstart"/>
      </w:pPr>
      <w:r>
        <w:tab/>
      </w: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142" w:name="_Toc200719646"/>
      <w:r>
        <w:rPr>
          <w:rStyle w:val="CharSectno"/>
        </w:rPr>
        <w:t>77</w:t>
      </w:r>
      <w:r>
        <w:t>.</w:t>
      </w:r>
      <w:r>
        <w:tab/>
        <w:t>Confined space entry permit and risk assessment must be kept</w:t>
      </w:r>
      <w:bookmarkEnd w:id="142"/>
    </w:p>
    <w:p>
      <w:pPr>
        <w:pStyle w:val="Subsection"/>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(4)</w:t>
      </w:r>
      <w:r>
        <w:tab/>
        <w:t>The person must ensure that, for the period for which the assessment or permit must be kept under this regulation, a copy is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ensure that, for the period for which the assessment or permit must be kept under this regulation, a copy is available to any relevant worker on request.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43" w:name="_Toc200719647"/>
      <w:r>
        <w:rPr>
          <w:rStyle w:val="CharPartNo"/>
        </w:rPr>
        <w:t>Part 4.4</w:t>
      </w:r>
      <w:r>
        <w:rPr>
          <w:rStyle w:val="CharDivNo"/>
        </w:rPr>
        <w:t> </w:t>
      </w:r>
      <w:r>
        <w:t>—</w:t>
      </w:r>
      <w:r>
        <w:rPr>
          <w:rStyle w:val="CharDivText"/>
        </w:rPr>
        <w:t> </w:t>
      </w:r>
      <w:r>
        <w:rPr>
          <w:rStyle w:val="CharPartText"/>
        </w:rPr>
        <w:t>Falls</w:t>
      </w:r>
      <w:bookmarkEnd w:id="143"/>
    </w:p>
    <w:p>
      <w:pPr>
        <w:pStyle w:val="Heading5"/>
      </w:pPr>
      <w:bookmarkStart w:id="144" w:name="_Toc200719648"/>
      <w:r>
        <w:rPr>
          <w:rStyle w:val="CharSectno"/>
        </w:rPr>
        <w:t>78</w:t>
      </w:r>
      <w:r>
        <w:t>.</w:t>
      </w:r>
      <w:r>
        <w:tab/>
        <w:t>Management of risk of fall</w:t>
      </w:r>
      <w:bookmarkEnd w:id="144"/>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lastRenderedPageBreak/>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145" w:name="_Toc200719649"/>
      <w:r>
        <w:rPr>
          <w:rStyle w:val="CharSectno"/>
        </w:rPr>
        <w:t>79</w:t>
      </w:r>
      <w:r>
        <w:t>.</w:t>
      </w:r>
      <w:r>
        <w:tab/>
        <w:t>Specific requirements to minimise risk of fall</w:t>
      </w:r>
      <w:bookmarkEnd w:id="145"/>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lastRenderedPageBreak/>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pPr>
      <w:r>
        <w:tab/>
        <w:t>(2)</w:t>
      </w:r>
      <w:r>
        <w:tab/>
        <w:t>The person must minimise the risk of a fall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See regulation 5 for definitions of fall arrest system and work positioning system.</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lastRenderedPageBreak/>
        <w:tab/>
        <w:t>3.</w:t>
      </w:r>
      <w:r>
        <w:tab/>
        <w:t>Providing safe work procedures, safe sequencing of work, safe use of ladders, permit systems and appropriate signs.</w:t>
      </w:r>
    </w:p>
    <w:p>
      <w:pPr>
        <w:pStyle w:val="Subsection"/>
        <w:keepNext/>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146" w:name="_Toc200719650"/>
      <w:r>
        <w:rPr>
          <w:rStyle w:val="CharSectno"/>
        </w:rPr>
        <w:t>79A</w:t>
      </w:r>
      <w:r>
        <w:t>.</w:t>
      </w:r>
      <w:r>
        <w:tab/>
        <w:t>Duties of certain persons as to holes or openings in floors</w:t>
      </w:r>
      <w:bookmarkEnd w:id="146"/>
    </w:p>
    <w:p>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 xml:space="preserve">is covered with a material that is securely fixed to the floor and is strong enough to prevent </w:t>
      </w:r>
      <w:r>
        <w:lastRenderedPageBreak/>
        <w:t>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lastRenderedPageBreak/>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7" w:name="_Toc200719651"/>
      <w:r>
        <w:rPr>
          <w:rStyle w:val="CharSectno"/>
        </w:rPr>
        <w:t>80</w:t>
      </w:r>
      <w:r>
        <w:t>.</w:t>
      </w:r>
      <w:r>
        <w:tab/>
        <w:t>Emergency and rescue procedures</w:t>
      </w:r>
      <w:bookmarkEnd w:id="147"/>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The person must provide relevant workers with suitable and adequate information, training and instruction in relation to the emergency procedures.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148" w:name="_Toc200719652"/>
      <w:r>
        <w:rPr>
          <w:rStyle w:val="CharPartNo"/>
        </w:rPr>
        <w:t>Part 4.5</w:t>
      </w:r>
      <w:r>
        <w:t> — </w:t>
      </w:r>
      <w:r>
        <w:rPr>
          <w:rStyle w:val="CharPartText"/>
        </w:rPr>
        <w:t>High risk work</w:t>
      </w:r>
      <w:bookmarkEnd w:id="148"/>
    </w:p>
    <w:p>
      <w:pPr>
        <w:pStyle w:val="Heading4"/>
      </w:pPr>
      <w:bookmarkStart w:id="149" w:name="_Toc200719653"/>
      <w:r>
        <w:rPr>
          <w:rStyle w:val="CharDivNo"/>
        </w:rPr>
        <w:t>Division 1</w:t>
      </w:r>
      <w:r>
        <w:t> — </w:t>
      </w:r>
      <w:r>
        <w:rPr>
          <w:rStyle w:val="CharDivText"/>
        </w:rPr>
        <w:t>Licensing of high risk work</w:t>
      </w:r>
      <w:bookmarkEnd w:id="149"/>
    </w:p>
    <w:p>
      <w:pPr>
        <w:pStyle w:val="Heading4"/>
      </w:pPr>
      <w:bookmarkStart w:id="150" w:name="_Toc200719654"/>
      <w:r>
        <w:t>Subdivision 1 — Requirement to be licensed</w:t>
      </w:r>
      <w:bookmarkEnd w:id="150"/>
    </w:p>
    <w:p>
      <w:pPr>
        <w:pStyle w:val="Heading5"/>
      </w:pPr>
      <w:bookmarkStart w:id="151" w:name="_Toc200719655"/>
      <w:r>
        <w:rPr>
          <w:rStyle w:val="CharSectno"/>
        </w:rPr>
        <w:t>81</w:t>
      </w:r>
      <w:r>
        <w:t>.</w:t>
      </w:r>
      <w:r>
        <w:tab/>
        <w:t>Licence required to carry out high risk work</w:t>
      </w:r>
      <w:bookmarkEnd w:id="151"/>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152" w:name="_Toc200719656"/>
      <w:r>
        <w:rPr>
          <w:rStyle w:val="CharSectno"/>
        </w:rPr>
        <w:t>82</w:t>
      </w:r>
      <w:r>
        <w:t>.</w:t>
      </w:r>
      <w:r>
        <w:tab/>
        <w:t>Exceptions</w:t>
      </w:r>
      <w:bookmarkEnd w:id="152"/>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keepNext/>
      </w:pPr>
      <w:r>
        <w:lastRenderedPageBreak/>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keepNext/>
      </w:pPr>
      <w:r>
        <w:lastRenderedPageBreak/>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153" w:name="_Toc200719657"/>
      <w:r>
        <w:rPr>
          <w:rStyle w:val="CharSectno"/>
        </w:rPr>
        <w:t>83</w:t>
      </w:r>
      <w:r>
        <w:t>.</w:t>
      </w:r>
      <w:r>
        <w:tab/>
        <w:t>Recognition of high risk work licences in other jurisdictions</w:t>
      </w:r>
      <w:bookmarkEnd w:id="153"/>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154" w:name="_Toc200719658"/>
      <w:r>
        <w:rPr>
          <w:rStyle w:val="CharSectno"/>
        </w:rPr>
        <w:t>84</w:t>
      </w:r>
      <w:r>
        <w:t>.</w:t>
      </w:r>
      <w:r>
        <w:tab/>
        <w:t>Duty of person conducting business or undertaking to ensure direct supervision</w:t>
      </w:r>
      <w:bookmarkEnd w:id="154"/>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lastRenderedPageBreak/>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155" w:name="_Toc200719659"/>
      <w:r>
        <w:rPr>
          <w:rStyle w:val="CharSectno"/>
        </w:rPr>
        <w:t>85</w:t>
      </w:r>
      <w:r>
        <w:t>.</w:t>
      </w:r>
      <w:r>
        <w:tab/>
        <w:t>Evidence of licence: duty of person conducting business or undertaking</w:t>
      </w:r>
      <w:bookmarkEnd w:id="155"/>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A person conducting a business or undertaking at a workplace must not direct or allow a worker to carry out high risk work in the circumstances referred to in regulation 82(1) unless the person sees written evidence provided by the worker that the </w:t>
      </w:r>
      <w:r>
        <w:lastRenderedPageBreak/>
        <w:t>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56" w:name="_Toc200719660"/>
      <w:r>
        <w:t>Subdivision 2 — Licensing process</w:t>
      </w:r>
      <w:bookmarkEnd w:id="156"/>
    </w:p>
    <w:p>
      <w:pPr>
        <w:pStyle w:val="Heading5"/>
        <w:keepNext w:val="0"/>
      </w:pPr>
      <w:bookmarkStart w:id="157" w:name="_Toc200719661"/>
      <w:r>
        <w:t>86.</w:t>
      </w:r>
      <w:r>
        <w:tab/>
        <w:t>Not used</w:t>
      </w:r>
      <w:bookmarkEnd w:id="157"/>
    </w:p>
    <w:p>
      <w:pPr>
        <w:pStyle w:val="Heading5"/>
        <w:keepNext w:val="0"/>
      </w:pPr>
      <w:bookmarkStart w:id="158" w:name="_Toc200719662"/>
      <w:r>
        <w:t>87.</w:t>
      </w:r>
      <w:r>
        <w:tab/>
        <w:t>Not used</w:t>
      </w:r>
      <w:bookmarkEnd w:id="158"/>
    </w:p>
    <w:p>
      <w:pPr>
        <w:pStyle w:val="Heading5"/>
        <w:keepNext w:val="0"/>
      </w:pPr>
      <w:bookmarkStart w:id="159" w:name="_Toc200719663"/>
      <w:r>
        <w:t>88.</w:t>
      </w:r>
      <w:r>
        <w:tab/>
        <w:t>Not used</w:t>
      </w:r>
      <w:bookmarkEnd w:id="159"/>
    </w:p>
    <w:p>
      <w:pPr>
        <w:pStyle w:val="Heading5"/>
        <w:keepNext w:val="0"/>
      </w:pPr>
      <w:bookmarkStart w:id="160" w:name="_Toc200719664"/>
      <w:r>
        <w:t>89.</w:t>
      </w:r>
      <w:r>
        <w:tab/>
        <w:t>Not used</w:t>
      </w:r>
      <w:bookmarkEnd w:id="160"/>
    </w:p>
    <w:p>
      <w:pPr>
        <w:pStyle w:val="Heading5"/>
        <w:keepNext w:val="0"/>
      </w:pPr>
      <w:bookmarkStart w:id="161" w:name="_Toc200719665"/>
      <w:r>
        <w:t>90.</w:t>
      </w:r>
      <w:r>
        <w:tab/>
        <w:t>Not used</w:t>
      </w:r>
      <w:bookmarkEnd w:id="161"/>
    </w:p>
    <w:p>
      <w:pPr>
        <w:pStyle w:val="Heading5"/>
        <w:keepNext w:val="0"/>
      </w:pPr>
      <w:bookmarkStart w:id="162" w:name="_Toc200719666"/>
      <w:r>
        <w:t>91.</w:t>
      </w:r>
      <w:r>
        <w:tab/>
        <w:t>Not used</w:t>
      </w:r>
      <w:bookmarkEnd w:id="162"/>
    </w:p>
    <w:p>
      <w:pPr>
        <w:pStyle w:val="Heading5"/>
        <w:keepNext w:val="0"/>
      </w:pPr>
      <w:bookmarkStart w:id="163" w:name="_Toc200719667"/>
      <w:r>
        <w:t>91A.</w:t>
      </w:r>
      <w:r>
        <w:tab/>
        <w:t>Not used</w:t>
      </w:r>
      <w:bookmarkEnd w:id="163"/>
    </w:p>
    <w:p>
      <w:pPr>
        <w:pStyle w:val="Heading5"/>
        <w:keepNext w:val="0"/>
      </w:pPr>
      <w:bookmarkStart w:id="164" w:name="_Toc200719668"/>
      <w:r>
        <w:t>92.</w:t>
      </w:r>
      <w:r>
        <w:tab/>
        <w:t>Not used</w:t>
      </w:r>
      <w:bookmarkEnd w:id="164"/>
    </w:p>
    <w:p>
      <w:pPr>
        <w:pStyle w:val="Heading5"/>
        <w:keepNext w:val="0"/>
      </w:pPr>
      <w:bookmarkStart w:id="165" w:name="_Toc200719669"/>
      <w:r>
        <w:t>93.</w:t>
      </w:r>
      <w:r>
        <w:tab/>
        <w:t>Not used</w:t>
      </w:r>
      <w:bookmarkEnd w:id="165"/>
    </w:p>
    <w:p>
      <w:pPr>
        <w:pStyle w:val="Heading5"/>
      </w:pPr>
      <w:bookmarkStart w:id="166" w:name="_Toc200719670"/>
      <w:r>
        <w:rPr>
          <w:rStyle w:val="CharSectno"/>
        </w:rPr>
        <w:t>94</w:t>
      </w:r>
      <w:r>
        <w:t>.</w:t>
      </w:r>
      <w:r>
        <w:tab/>
        <w:t>Licence document to be available</w:t>
      </w:r>
      <w:bookmarkEnd w:id="166"/>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97; or</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98.</w:t>
      </w:r>
    </w:p>
    <w:p>
      <w:pPr>
        <w:pStyle w:val="Footnotesection"/>
      </w:pPr>
      <w:r>
        <w:tab/>
        <w:t>[Regulation 94 amended: SL 2023/134 r. 13.]</w:t>
      </w:r>
    </w:p>
    <w:p>
      <w:pPr>
        <w:pStyle w:val="Heading5"/>
        <w:keepNext w:val="0"/>
      </w:pPr>
      <w:bookmarkStart w:id="167" w:name="_Toc200719671"/>
      <w:r>
        <w:t>95.</w:t>
      </w:r>
      <w:r>
        <w:tab/>
        <w:t>Not used</w:t>
      </w:r>
      <w:bookmarkEnd w:id="167"/>
    </w:p>
    <w:p>
      <w:pPr>
        <w:pStyle w:val="Heading4"/>
      </w:pPr>
      <w:bookmarkStart w:id="168" w:name="_Toc200719672"/>
      <w:r>
        <w:t>Subdivision 3 — Not used</w:t>
      </w:r>
      <w:bookmarkEnd w:id="168"/>
    </w:p>
    <w:p>
      <w:pPr>
        <w:pStyle w:val="Heading5"/>
      </w:pPr>
      <w:bookmarkStart w:id="169" w:name="_Toc200719673"/>
      <w:r>
        <w:t>96.</w:t>
      </w:r>
      <w:r>
        <w:tab/>
        <w:t>Not used</w:t>
      </w:r>
      <w:bookmarkEnd w:id="169"/>
    </w:p>
    <w:p>
      <w:pPr>
        <w:pStyle w:val="Heading5"/>
      </w:pPr>
      <w:bookmarkStart w:id="170" w:name="_Toc200719674"/>
      <w:r>
        <w:t>97.</w:t>
      </w:r>
      <w:r>
        <w:tab/>
        <w:t>Not used</w:t>
      </w:r>
      <w:bookmarkEnd w:id="170"/>
    </w:p>
    <w:p>
      <w:pPr>
        <w:pStyle w:val="Heading5"/>
      </w:pPr>
      <w:bookmarkStart w:id="171" w:name="_Toc200719675"/>
      <w:r>
        <w:t>98.</w:t>
      </w:r>
      <w:r>
        <w:tab/>
        <w:t>Not used</w:t>
      </w:r>
      <w:bookmarkEnd w:id="171"/>
    </w:p>
    <w:p>
      <w:pPr>
        <w:pStyle w:val="Heading5"/>
        <w:keepNext w:val="0"/>
      </w:pPr>
      <w:bookmarkStart w:id="172" w:name="_Toc200719676"/>
      <w:r>
        <w:t>99.</w:t>
      </w:r>
      <w:r>
        <w:tab/>
        <w:t>Not used</w:t>
      </w:r>
      <w:bookmarkEnd w:id="172"/>
    </w:p>
    <w:p>
      <w:pPr>
        <w:pStyle w:val="Heading4"/>
      </w:pPr>
      <w:bookmarkStart w:id="173" w:name="_Toc200719677"/>
      <w:r>
        <w:t>Subdivision 4 — Not used</w:t>
      </w:r>
      <w:bookmarkEnd w:id="173"/>
    </w:p>
    <w:p>
      <w:pPr>
        <w:pStyle w:val="Heading5"/>
      </w:pPr>
      <w:bookmarkStart w:id="174" w:name="_Toc200719678"/>
      <w:r>
        <w:t>100.</w:t>
      </w:r>
      <w:r>
        <w:tab/>
        <w:t>Not used</w:t>
      </w:r>
      <w:bookmarkEnd w:id="174"/>
    </w:p>
    <w:p>
      <w:pPr>
        <w:pStyle w:val="Heading5"/>
      </w:pPr>
      <w:bookmarkStart w:id="175" w:name="_Toc200719679"/>
      <w:r>
        <w:t>101.</w:t>
      </w:r>
      <w:r>
        <w:tab/>
        <w:t>Not used</w:t>
      </w:r>
      <w:bookmarkEnd w:id="175"/>
    </w:p>
    <w:p>
      <w:pPr>
        <w:pStyle w:val="Heading5"/>
        <w:keepNext w:val="0"/>
      </w:pPr>
      <w:bookmarkStart w:id="176" w:name="_Toc200719680"/>
      <w:r>
        <w:t>102.</w:t>
      </w:r>
      <w:r>
        <w:tab/>
        <w:t>Not used</w:t>
      </w:r>
      <w:bookmarkEnd w:id="176"/>
    </w:p>
    <w:p>
      <w:pPr>
        <w:pStyle w:val="Heading5"/>
        <w:keepNext w:val="0"/>
      </w:pPr>
      <w:bookmarkStart w:id="177" w:name="_Toc200719681"/>
      <w:r>
        <w:t>103.</w:t>
      </w:r>
      <w:r>
        <w:tab/>
        <w:t>Not used</w:t>
      </w:r>
      <w:bookmarkEnd w:id="177"/>
    </w:p>
    <w:p>
      <w:pPr>
        <w:pStyle w:val="Heading5"/>
        <w:keepNext w:val="0"/>
      </w:pPr>
      <w:bookmarkStart w:id="178" w:name="_Toc200719682"/>
      <w:r>
        <w:t>104.</w:t>
      </w:r>
      <w:r>
        <w:tab/>
        <w:t>Not used</w:t>
      </w:r>
      <w:bookmarkEnd w:id="178"/>
    </w:p>
    <w:p>
      <w:pPr>
        <w:pStyle w:val="Heading5"/>
        <w:keepNext w:val="0"/>
      </w:pPr>
      <w:bookmarkStart w:id="179" w:name="_Toc200719683"/>
      <w:r>
        <w:t>105.</w:t>
      </w:r>
      <w:r>
        <w:tab/>
        <w:t>Not used</w:t>
      </w:r>
      <w:bookmarkEnd w:id="179"/>
    </w:p>
    <w:p>
      <w:pPr>
        <w:pStyle w:val="Heading4"/>
      </w:pPr>
      <w:bookmarkStart w:id="180" w:name="_Toc200719684"/>
      <w:r>
        <w:lastRenderedPageBreak/>
        <w:t>Subdivision 5 — Not used</w:t>
      </w:r>
      <w:bookmarkEnd w:id="180"/>
    </w:p>
    <w:p>
      <w:pPr>
        <w:pStyle w:val="Heading5"/>
      </w:pPr>
      <w:bookmarkStart w:id="181" w:name="_Toc200719685"/>
      <w:r>
        <w:t>106.</w:t>
      </w:r>
      <w:r>
        <w:tab/>
        <w:t>Not used</w:t>
      </w:r>
      <w:bookmarkEnd w:id="181"/>
    </w:p>
    <w:p>
      <w:pPr>
        <w:pStyle w:val="Heading5"/>
        <w:keepNext w:val="0"/>
      </w:pPr>
      <w:bookmarkStart w:id="182" w:name="_Toc200719686"/>
      <w:r>
        <w:t>107.</w:t>
      </w:r>
      <w:r>
        <w:tab/>
        <w:t>Not used</w:t>
      </w:r>
      <w:bookmarkEnd w:id="182"/>
    </w:p>
    <w:p>
      <w:pPr>
        <w:pStyle w:val="Heading5"/>
        <w:keepNext w:val="0"/>
      </w:pPr>
      <w:bookmarkStart w:id="183" w:name="_Toc200719687"/>
      <w:r>
        <w:t>108.</w:t>
      </w:r>
      <w:r>
        <w:tab/>
        <w:t>Not used</w:t>
      </w:r>
      <w:bookmarkEnd w:id="183"/>
    </w:p>
    <w:p>
      <w:pPr>
        <w:pStyle w:val="Heading5"/>
        <w:keepNext w:val="0"/>
      </w:pPr>
      <w:bookmarkStart w:id="184" w:name="_Toc200719688"/>
      <w:r>
        <w:t>109.</w:t>
      </w:r>
      <w:r>
        <w:tab/>
        <w:t>Not used</w:t>
      </w:r>
      <w:bookmarkEnd w:id="184"/>
    </w:p>
    <w:p>
      <w:pPr>
        <w:pStyle w:val="Heading5"/>
        <w:keepNext w:val="0"/>
      </w:pPr>
      <w:bookmarkStart w:id="185" w:name="_Toc200719689"/>
      <w:r>
        <w:t>110.</w:t>
      </w:r>
      <w:r>
        <w:tab/>
        <w:t>Not used</w:t>
      </w:r>
      <w:bookmarkEnd w:id="185"/>
    </w:p>
    <w:p>
      <w:pPr>
        <w:pStyle w:val="Heading5"/>
        <w:keepNext w:val="0"/>
      </w:pPr>
      <w:bookmarkStart w:id="186" w:name="_Toc200719690"/>
      <w:r>
        <w:t>111.</w:t>
      </w:r>
      <w:r>
        <w:tab/>
        <w:t>Not used</w:t>
      </w:r>
      <w:bookmarkEnd w:id="186"/>
    </w:p>
    <w:p>
      <w:pPr>
        <w:pStyle w:val="Heading5"/>
        <w:keepNext w:val="0"/>
      </w:pPr>
      <w:bookmarkStart w:id="187" w:name="_Toc200719691"/>
      <w:r>
        <w:t>112.</w:t>
      </w:r>
      <w:r>
        <w:tab/>
        <w:t>Not used</w:t>
      </w:r>
      <w:bookmarkEnd w:id="187"/>
    </w:p>
    <w:p>
      <w:pPr>
        <w:pStyle w:val="Heading4"/>
      </w:pPr>
      <w:bookmarkStart w:id="188" w:name="_Toc200719692"/>
      <w:r>
        <w:t>Division 2 — Not used</w:t>
      </w:r>
      <w:bookmarkEnd w:id="188"/>
    </w:p>
    <w:p>
      <w:pPr>
        <w:pStyle w:val="Heading5"/>
      </w:pPr>
      <w:bookmarkStart w:id="189" w:name="_Toc200719693"/>
      <w:r>
        <w:t>113.</w:t>
      </w:r>
      <w:r>
        <w:tab/>
        <w:t>Not used</w:t>
      </w:r>
      <w:bookmarkEnd w:id="189"/>
    </w:p>
    <w:p>
      <w:pPr>
        <w:pStyle w:val="Heading5"/>
        <w:keepNext w:val="0"/>
      </w:pPr>
      <w:bookmarkStart w:id="190" w:name="_Toc200719694"/>
      <w:r>
        <w:t>114.</w:t>
      </w:r>
      <w:r>
        <w:tab/>
        <w:t>Not used</w:t>
      </w:r>
      <w:bookmarkEnd w:id="190"/>
    </w:p>
    <w:p>
      <w:pPr>
        <w:pStyle w:val="Heading5"/>
        <w:keepNext w:val="0"/>
      </w:pPr>
      <w:bookmarkStart w:id="191" w:name="_Toc200719695"/>
      <w:r>
        <w:t>115.</w:t>
      </w:r>
      <w:r>
        <w:tab/>
        <w:t>Not used</w:t>
      </w:r>
      <w:bookmarkEnd w:id="191"/>
    </w:p>
    <w:p>
      <w:pPr>
        <w:pStyle w:val="Heading5"/>
        <w:keepNext w:val="0"/>
      </w:pPr>
      <w:bookmarkStart w:id="192" w:name="_Toc200719696"/>
      <w:r>
        <w:t>116.</w:t>
      </w:r>
      <w:r>
        <w:tab/>
        <w:t>Not used</w:t>
      </w:r>
      <w:bookmarkEnd w:id="192"/>
    </w:p>
    <w:p>
      <w:pPr>
        <w:pStyle w:val="Heading5"/>
        <w:keepNext w:val="0"/>
      </w:pPr>
      <w:bookmarkStart w:id="193" w:name="_Toc200719697"/>
      <w:r>
        <w:t>117.</w:t>
      </w:r>
      <w:r>
        <w:tab/>
        <w:t>Not used</w:t>
      </w:r>
      <w:bookmarkEnd w:id="193"/>
    </w:p>
    <w:p>
      <w:pPr>
        <w:pStyle w:val="Heading5"/>
        <w:keepNext w:val="0"/>
      </w:pPr>
      <w:bookmarkStart w:id="194" w:name="_Toc200719698"/>
      <w:r>
        <w:t>118.</w:t>
      </w:r>
      <w:r>
        <w:tab/>
        <w:t>Not used</w:t>
      </w:r>
      <w:bookmarkEnd w:id="194"/>
    </w:p>
    <w:p>
      <w:pPr>
        <w:pStyle w:val="Heading5"/>
        <w:keepNext w:val="0"/>
      </w:pPr>
      <w:bookmarkStart w:id="195" w:name="_Toc200719699"/>
      <w:r>
        <w:t>119.</w:t>
      </w:r>
      <w:r>
        <w:tab/>
        <w:t>Not used</w:t>
      </w:r>
      <w:bookmarkEnd w:id="195"/>
    </w:p>
    <w:p>
      <w:pPr>
        <w:pStyle w:val="Heading5"/>
        <w:keepNext w:val="0"/>
      </w:pPr>
      <w:bookmarkStart w:id="196" w:name="_Toc200719700"/>
      <w:r>
        <w:t>120.</w:t>
      </w:r>
      <w:r>
        <w:tab/>
        <w:t>Not used</w:t>
      </w:r>
      <w:bookmarkEnd w:id="196"/>
    </w:p>
    <w:p>
      <w:pPr>
        <w:pStyle w:val="Heading5"/>
        <w:keepNext w:val="0"/>
      </w:pPr>
      <w:bookmarkStart w:id="197" w:name="_Toc200719701"/>
      <w:r>
        <w:t>121.</w:t>
      </w:r>
      <w:r>
        <w:tab/>
        <w:t>Not used</w:t>
      </w:r>
      <w:bookmarkEnd w:id="197"/>
    </w:p>
    <w:p>
      <w:pPr>
        <w:pStyle w:val="Heading5"/>
        <w:keepNext w:val="0"/>
      </w:pPr>
      <w:bookmarkStart w:id="198" w:name="_Toc200719702"/>
      <w:r>
        <w:t>122.</w:t>
      </w:r>
      <w:r>
        <w:tab/>
        <w:t>Not used</w:t>
      </w:r>
      <w:bookmarkEnd w:id="198"/>
    </w:p>
    <w:p>
      <w:pPr>
        <w:pStyle w:val="Heading5"/>
        <w:keepNext w:val="0"/>
      </w:pPr>
      <w:bookmarkStart w:id="199" w:name="_Toc200719703"/>
      <w:r>
        <w:t>123.</w:t>
      </w:r>
      <w:r>
        <w:tab/>
        <w:t>Not used</w:t>
      </w:r>
      <w:bookmarkEnd w:id="199"/>
    </w:p>
    <w:p>
      <w:pPr>
        <w:pStyle w:val="Heading5"/>
        <w:keepNext w:val="0"/>
      </w:pPr>
      <w:bookmarkStart w:id="200" w:name="_Toc200719704"/>
      <w:r>
        <w:t>124.</w:t>
      </w:r>
      <w:r>
        <w:tab/>
        <w:t>Not used</w:t>
      </w:r>
      <w:bookmarkEnd w:id="200"/>
    </w:p>
    <w:p>
      <w:pPr>
        <w:pStyle w:val="Heading5"/>
        <w:keepNext w:val="0"/>
      </w:pPr>
      <w:bookmarkStart w:id="201" w:name="_Toc200719705"/>
      <w:r>
        <w:lastRenderedPageBreak/>
        <w:t>125.</w:t>
      </w:r>
      <w:r>
        <w:tab/>
        <w:t>Not used</w:t>
      </w:r>
      <w:bookmarkEnd w:id="201"/>
    </w:p>
    <w:p>
      <w:pPr>
        <w:pStyle w:val="Heading5"/>
        <w:keepNext w:val="0"/>
      </w:pPr>
      <w:bookmarkStart w:id="202" w:name="_Toc200719706"/>
      <w:r>
        <w:t>126.</w:t>
      </w:r>
      <w:r>
        <w:tab/>
        <w:t>Not used</w:t>
      </w:r>
      <w:bookmarkEnd w:id="202"/>
    </w:p>
    <w:p>
      <w:pPr>
        <w:pStyle w:val="Heading5"/>
        <w:keepNext w:val="0"/>
      </w:pPr>
      <w:bookmarkStart w:id="203" w:name="_Toc200719707"/>
      <w:r>
        <w:t>127.</w:t>
      </w:r>
      <w:r>
        <w:tab/>
        <w:t>Not used</w:t>
      </w:r>
      <w:bookmarkEnd w:id="203"/>
    </w:p>
    <w:p>
      <w:pPr>
        <w:pStyle w:val="Heading5"/>
        <w:keepNext w:val="0"/>
      </w:pPr>
      <w:bookmarkStart w:id="204" w:name="_Toc200719708"/>
      <w:r>
        <w:t>128.</w:t>
      </w:r>
      <w:r>
        <w:tab/>
        <w:t>Not used</w:t>
      </w:r>
      <w:bookmarkEnd w:id="204"/>
    </w:p>
    <w:p>
      <w:pPr>
        <w:pStyle w:val="Heading5"/>
        <w:keepNext w:val="0"/>
      </w:pPr>
      <w:bookmarkStart w:id="205" w:name="_Toc200719709"/>
      <w:r>
        <w:t>129.</w:t>
      </w:r>
      <w:r>
        <w:tab/>
        <w:t>Not used</w:t>
      </w:r>
      <w:bookmarkEnd w:id="205"/>
    </w:p>
    <w:p>
      <w:pPr>
        <w:pStyle w:val="Heading5"/>
        <w:keepNext w:val="0"/>
      </w:pPr>
      <w:bookmarkStart w:id="206" w:name="_Toc200719710"/>
      <w:r>
        <w:t>130.</w:t>
      </w:r>
      <w:r>
        <w:tab/>
        <w:t>Not used</w:t>
      </w:r>
      <w:bookmarkEnd w:id="206"/>
    </w:p>
    <w:p>
      <w:pPr>
        <w:pStyle w:val="Heading5"/>
        <w:keepNext w:val="0"/>
      </w:pPr>
      <w:bookmarkStart w:id="207" w:name="_Toc200719711"/>
      <w:r>
        <w:t>131.</w:t>
      </w:r>
      <w:r>
        <w:tab/>
        <w:t>Not used</w:t>
      </w:r>
      <w:bookmarkEnd w:id="207"/>
    </w:p>
    <w:p>
      <w:pPr>
        <w:pStyle w:val="Heading5"/>
        <w:keepNext w:val="0"/>
      </w:pPr>
      <w:bookmarkStart w:id="208" w:name="_Toc200719712"/>
      <w:r>
        <w:t>132.</w:t>
      </w:r>
      <w:r>
        <w:tab/>
        <w:t>Not used</w:t>
      </w:r>
      <w:bookmarkEnd w:id="208"/>
    </w:p>
    <w:p>
      <w:pPr>
        <w:pStyle w:val="Heading5"/>
        <w:keepNext w:val="0"/>
      </w:pPr>
      <w:bookmarkStart w:id="209" w:name="_Toc200719713"/>
      <w:r>
        <w:t>133.</w:t>
      </w:r>
      <w:r>
        <w:tab/>
        <w:t>Not used</w:t>
      </w:r>
      <w:bookmarkEnd w:id="209"/>
    </w:p>
    <w:p>
      <w:pPr>
        <w:pStyle w:val="Heading5"/>
        <w:keepNext w:val="0"/>
      </w:pPr>
      <w:bookmarkStart w:id="210" w:name="_Toc200719714"/>
      <w:r>
        <w:t>134.</w:t>
      </w:r>
      <w:r>
        <w:tab/>
        <w:t>Not used</w:t>
      </w:r>
      <w:bookmarkEnd w:id="210"/>
    </w:p>
    <w:p>
      <w:pPr>
        <w:pStyle w:val="Heading5"/>
        <w:keepNext w:val="0"/>
      </w:pPr>
      <w:bookmarkStart w:id="211" w:name="_Toc200719715"/>
      <w:r>
        <w:t>135.</w:t>
      </w:r>
      <w:r>
        <w:tab/>
        <w:t>Not used</w:t>
      </w:r>
      <w:bookmarkEnd w:id="211"/>
    </w:p>
    <w:p>
      <w:pPr>
        <w:pStyle w:val="Heading5"/>
        <w:keepNext w:val="0"/>
      </w:pPr>
      <w:bookmarkStart w:id="212" w:name="_Toc200719716"/>
      <w:r>
        <w:t>136.</w:t>
      </w:r>
      <w:r>
        <w:tab/>
        <w:t>Not used</w:t>
      </w:r>
      <w:bookmarkEnd w:id="212"/>
    </w:p>
    <w:p>
      <w:pPr>
        <w:pStyle w:val="Heading5"/>
        <w:keepNext w:val="0"/>
      </w:pPr>
      <w:bookmarkStart w:id="213" w:name="_Toc200719717"/>
      <w:r>
        <w:t>137.</w:t>
      </w:r>
      <w:r>
        <w:tab/>
        <w:t>Not used</w:t>
      </w:r>
      <w:bookmarkEnd w:id="213"/>
    </w:p>
    <w:p>
      <w:pPr>
        <w:pStyle w:val="Heading5"/>
        <w:keepNext w:val="0"/>
      </w:pPr>
      <w:bookmarkStart w:id="214" w:name="_Toc200719718"/>
      <w:r>
        <w:t>138.</w:t>
      </w:r>
      <w:r>
        <w:tab/>
        <w:t>Not used</w:t>
      </w:r>
      <w:bookmarkEnd w:id="214"/>
    </w:p>
    <w:p>
      <w:pPr>
        <w:pStyle w:val="Heading5"/>
        <w:keepNext w:val="0"/>
      </w:pPr>
      <w:bookmarkStart w:id="215" w:name="_Toc200719719"/>
      <w:r>
        <w:t>139.</w:t>
      </w:r>
      <w:r>
        <w:tab/>
        <w:t>Not used</w:t>
      </w:r>
      <w:bookmarkEnd w:id="215"/>
    </w:p>
    <w:p>
      <w:pPr>
        <w:pStyle w:val="Heading5"/>
        <w:keepNext w:val="0"/>
      </w:pPr>
      <w:bookmarkStart w:id="216" w:name="_Toc200719720"/>
      <w:r>
        <w:t>140.</w:t>
      </w:r>
      <w:r>
        <w:tab/>
        <w:t>Not used</w:t>
      </w:r>
      <w:bookmarkEnd w:id="216"/>
    </w:p>
    <w:p>
      <w:pPr>
        <w:pStyle w:val="Heading5"/>
        <w:keepNext w:val="0"/>
      </w:pPr>
      <w:bookmarkStart w:id="217" w:name="_Toc200719721"/>
      <w:r>
        <w:t>141.</w:t>
      </w:r>
      <w:r>
        <w:tab/>
        <w:t>Not used</w:t>
      </w:r>
      <w:bookmarkEnd w:id="217"/>
    </w:p>
    <w:p>
      <w:pPr>
        <w:pStyle w:val="Heading5"/>
        <w:keepNext w:val="0"/>
      </w:pPr>
      <w:bookmarkStart w:id="218" w:name="_Toc200719722"/>
      <w:r>
        <w:t>141A.</w:t>
      </w:r>
      <w:r>
        <w:tab/>
        <w:t>Not used</w:t>
      </w:r>
      <w:bookmarkEnd w:id="218"/>
    </w:p>
    <w:p>
      <w:pPr>
        <w:pStyle w:val="Heading3"/>
      </w:pPr>
      <w:bookmarkStart w:id="219" w:name="_Toc200719723"/>
      <w:r>
        <w:rPr>
          <w:rStyle w:val="CharPartNo"/>
        </w:rPr>
        <w:lastRenderedPageBreak/>
        <w:t>Part 4.6</w:t>
      </w:r>
      <w:r>
        <w:t> — </w:t>
      </w:r>
      <w:r>
        <w:rPr>
          <w:rStyle w:val="CharPartText"/>
        </w:rPr>
        <w:t>Demolition work</w:t>
      </w:r>
      <w:bookmarkEnd w:id="219"/>
    </w:p>
    <w:p>
      <w:pPr>
        <w:pStyle w:val="Heading4"/>
      </w:pPr>
      <w:bookmarkStart w:id="220" w:name="_Toc200719724"/>
      <w:r>
        <w:t>Division 1 — Not used</w:t>
      </w:r>
      <w:bookmarkEnd w:id="220"/>
    </w:p>
    <w:p>
      <w:pPr>
        <w:pStyle w:val="Heading5"/>
        <w:keepNext w:val="0"/>
      </w:pPr>
      <w:bookmarkStart w:id="221" w:name="_Toc200719725"/>
      <w:r>
        <w:t>142.</w:t>
      </w:r>
      <w:r>
        <w:tab/>
        <w:t>Not used</w:t>
      </w:r>
      <w:bookmarkEnd w:id="221"/>
    </w:p>
    <w:p>
      <w:pPr>
        <w:pStyle w:val="Heading4"/>
      </w:pPr>
      <w:bookmarkStart w:id="222" w:name="_Toc200719726"/>
      <w:r>
        <w:rPr>
          <w:rStyle w:val="CharDivNo"/>
        </w:rPr>
        <w:t>Division 2</w:t>
      </w:r>
      <w:r>
        <w:t> — </w:t>
      </w:r>
      <w:r>
        <w:rPr>
          <w:rStyle w:val="CharDivText"/>
        </w:rPr>
        <w:t>Conduct of demolition work</w:t>
      </w:r>
      <w:bookmarkEnd w:id="222"/>
    </w:p>
    <w:p>
      <w:pPr>
        <w:pStyle w:val="Heading5"/>
      </w:pPr>
      <w:bookmarkStart w:id="223" w:name="_Toc200719727"/>
      <w:r>
        <w:rPr>
          <w:rStyle w:val="CharSectno"/>
        </w:rPr>
        <w:t>142A</w:t>
      </w:r>
      <w:r>
        <w:t>.</w:t>
      </w:r>
      <w:r>
        <w:tab/>
        <w:t>Application of Division</w:t>
      </w:r>
      <w:bookmarkEnd w:id="223"/>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224" w:name="_Toc200719728"/>
      <w:r>
        <w:rPr>
          <w:rStyle w:val="CharSectno"/>
        </w:rPr>
        <w:t>142B</w:t>
      </w:r>
      <w:r>
        <w:t>.</w:t>
      </w:r>
      <w:r>
        <w:tab/>
        <w:t>Requirement to hold Class 1 demolition licence</w:t>
      </w:r>
      <w:bookmarkEnd w:id="224"/>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lastRenderedPageBreak/>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225" w:name="_Toc200719729"/>
      <w:r>
        <w:rPr>
          <w:rStyle w:val="CharSectno"/>
        </w:rPr>
        <w:lastRenderedPageBreak/>
        <w:t>142C</w:t>
      </w:r>
      <w:r>
        <w:t>.</w:t>
      </w:r>
      <w:r>
        <w:tab/>
        <w:t>Requirement to hold demolition licence to carry out Class 2 demolition work</w:t>
      </w:r>
      <w:bookmarkEnd w:id="225"/>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keepNext/>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14.]</w:t>
      </w:r>
    </w:p>
    <w:p>
      <w:pPr>
        <w:pStyle w:val="Heading5"/>
      </w:pPr>
      <w:bookmarkStart w:id="226" w:name="_Toc200719730"/>
      <w:r>
        <w:rPr>
          <w:rStyle w:val="CharSectno"/>
        </w:rPr>
        <w:t>142D</w:t>
      </w:r>
      <w:r>
        <w:t>.</w:t>
      </w:r>
      <w:r>
        <w:tab/>
        <w:t>Demolition work must be conducted by competent persons</w:t>
      </w:r>
      <w:bookmarkEnd w:id="226"/>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7" w:name="_Toc200719731"/>
      <w:r>
        <w:rPr>
          <w:rStyle w:val="CharSectno"/>
        </w:rPr>
        <w:lastRenderedPageBreak/>
        <w:t>142E</w:t>
      </w:r>
      <w:r>
        <w:t>.</w:t>
      </w:r>
      <w:r>
        <w:tab/>
        <w:t>Demolition work must be supervised by nominated supervisor</w:t>
      </w:r>
      <w:bookmarkEnd w:id="227"/>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pPr>
      <w:r>
        <w:tab/>
        <w:t>(c)</w:t>
      </w:r>
      <w:r>
        <w:tab/>
        <w:t>is approved by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228" w:name="_Toc200719732"/>
      <w:r>
        <w:rPr>
          <w:rStyle w:val="CharSectno"/>
        </w:rPr>
        <w:t>142F</w:t>
      </w:r>
      <w:r>
        <w:t>.</w:t>
      </w:r>
      <w:r>
        <w:tab/>
        <w:t>Regulator to be notified of proposed Class 1 or 2 demolition work in accordance with standard</w:t>
      </w:r>
      <w:bookmarkEnd w:id="228"/>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approved form and in the manner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lastRenderedPageBreak/>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pPr>
        <w:pStyle w:val="Heading5"/>
      </w:pPr>
      <w:bookmarkStart w:id="229" w:name="_Toc200719733"/>
      <w:r>
        <w:rPr>
          <w:rStyle w:val="CharSectno"/>
        </w:rPr>
        <w:t>142G</w:t>
      </w:r>
      <w:r>
        <w:t>.</w:t>
      </w:r>
      <w:r>
        <w:tab/>
        <w:t>Application for approval of regulator for proposed Class 1 or 2 demolition work not in accordance with standard</w:t>
      </w:r>
      <w:bookmarkEnd w:id="229"/>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approved form and in the manner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230" w:name="_Toc200719734"/>
      <w:r>
        <w:rPr>
          <w:rStyle w:val="CharSectno"/>
        </w:rPr>
        <w:lastRenderedPageBreak/>
        <w:t>142H</w:t>
      </w:r>
      <w:r>
        <w:t>.</w:t>
      </w:r>
      <w:r>
        <w:tab/>
        <w:t>Regulator’s functions as to application under r. 142G</w:t>
      </w:r>
      <w:bookmarkEnd w:id="230"/>
    </w:p>
    <w:p>
      <w:pPr>
        <w:pStyle w:val="Subsection"/>
      </w:pPr>
      <w:r>
        <w:tab/>
        <w:t>(1)</w:t>
      </w:r>
      <w:r>
        <w:tab/>
        <w:t>The regulator must acknowledge the receipt of an application under regulation 142G within 10 days of receiving the application.</w:t>
      </w:r>
    </w:p>
    <w:p>
      <w:pPr>
        <w:pStyle w:val="Subsection"/>
        <w:keepNext/>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231" w:name="_Toc200719735"/>
      <w:r>
        <w:rPr>
          <w:rStyle w:val="CharSectno"/>
        </w:rPr>
        <w:lastRenderedPageBreak/>
        <w:t>142I</w:t>
      </w:r>
      <w:r>
        <w:t>.</w:t>
      </w:r>
      <w:r>
        <w:tab/>
        <w:t>Class 1 or 2 demolition work not to be done without notification or approval or until conditions set</w:t>
      </w:r>
      <w:bookmarkEnd w:id="231"/>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2" w:name="_Toc200719736"/>
      <w:r>
        <w:rPr>
          <w:rStyle w:val="CharSectno"/>
        </w:rPr>
        <w:t>142J</w:t>
      </w:r>
      <w:r>
        <w:t>.</w:t>
      </w:r>
      <w:r>
        <w:tab/>
        <w:t>Demolition work other than Class 1 or 2 demolition work to be in accordance with standard</w:t>
      </w:r>
      <w:bookmarkEnd w:id="232"/>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233" w:name="_Toc200719737"/>
      <w:r>
        <w:rPr>
          <w:rStyle w:val="CharSectno"/>
        </w:rPr>
        <w:lastRenderedPageBreak/>
        <w:t>142K</w:t>
      </w:r>
      <w:r>
        <w:t>.</w:t>
      </w:r>
      <w:r>
        <w:tab/>
        <w:t>Class 1 or 2 demolition work to be in accordance with standard or approval</w:t>
      </w:r>
      <w:bookmarkEnd w:id="233"/>
    </w:p>
    <w:p>
      <w:pPr>
        <w:pStyle w:val="Subsection"/>
        <w:keepNext/>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4" w:name="_Toc200719738"/>
      <w:r>
        <w:rPr>
          <w:rStyle w:val="CharSectno"/>
        </w:rPr>
        <w:t>142L</w:t>
      </w:r>
      <w:r>
        <w:t>.</w:t>
      </w:r>
      <w:r>
        <w:tab/>
        <w:t>Documents to be kept at demolition workplace</w:t>
      </w:r>
      <w:bookmarkEnd w:id="234"/>
    </w:p>
    <w:p>
      <w:pPr>
        <w:pStyle w:val="Subsection"/>
      </w:pPr>
      <w:r>
        <w:tab/>
        <w:t>(1)</w:t>
      </w:r>
      <w:r>
        <w:tab/>
        <w:t xml:space="preserve">A person who holds a demolition licence must ensure that at all times when Class 1 demolition work or Class 2 demolition work </w:t>
      </w:r>
      <w:r>
        <w:lastRenderedPageBreak/>
        <w:t>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keepNext/>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pPr>
      <w:r>
        <w:tab/>
        <w:t>(b)</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35" w:name="_Toc200719739"/>
      <w:r>
        <w:rPr>
          <w:rStyle w:val="CharSectno"/>
        </w:rPr>
        <w:t>142M</w:t>
      </w:r>
      <w:r>
        <w:t>.</w:t>
      </w:r>
      <w:r>
        <w:tab/>
        <w:t>Requirements for scaffold used in demolition work</w:t>
      </w:r>
      <w:bookmarkEnd w:id="235"/>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lastRenderedPageBreak/>
        <w:tab/>
        <w:t>(c)</w:t>
      </w:r>
      <w:r>
        <w:tab/>
        <w:t>has a closely boarded platform with a minimum width of 1 metre that abuts on the face of the structure at the working level; and</w:t>
      </w:r>
    </w:p>
    <w:p>
      <w:pPr>
        <w:pStyle w:val="Indenta"/>
        <w:keepNext/>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pPr>
      <w:r>
        <w:tab/>
        <w:t>(g)</w:t>
      </w:r>
      <w:r>
        <w:tab/>
        <w:t>is progressively dismantled so that the unsupported part of the scaffold does not exceed by more than 4 metres the height of the last row of ties that secure the scaffold to the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236" w:name="_Toc200719740"/>
      <w:r>
        <w:rPr>
          <w:rStyle w:val="CharPartNo"/>
        </w:rPr>
        <w:lastRenderedPageBreak/>
        <w:t>Part 4.6A</w:t>
      </w:r>
      <w:r>
        <w:t> — </w:t>
      </w:r>
      <w:r>
        <w:rPr>
          <w:rStyle w:val="CharPartText"/>
        </w:rPr>
        <w:t>Licensing of demolition work</w:t>
      </w:r>
      <w:bookmarkEnd w:id="236"/>
    </w:p>
    <w:p>
      <w:pPr>
        <w:pStyle w:val="Heading4"/>
      </w:pPr>
      <w:bookmarkStart w:id="237" w:name="_Toc200719741"/>
      <w:r>
        <w:rPr>
          <w:rStyle w:val="CharDivNo"/>
        </w:rPr>
        <w:t>Division 1</w:t>
      </w:r>
      <w:r>
        <w:t> — </w:t>
      </w:r>
      <w:r>
        <w:rPr>
          <w:rStyle w:val="CharDivText"/>
        </w:rPr>
        <w:t>Licensing process</w:t>
      </w:r>
      <w:bookmarkEnd w:id="237"/>
    </w:p>
    <w:p>
      <w:pPr>
        <w:pStyle w:val="Heading5"/>
      </w:pPr>
      <w:bookmarkStart w:id="238" w:name="_Toc200719742"/>
      <w:r>
        <w:rPr>
          <w:rStyle w:val="CharSectno"/>
        </w:rPr>
        <w:t>142N</w:t>
      </w:r>
      <w:r>
        <w:t>.</w:t>
      </w:r>
      <w:r>
        <w:tab/>
        <w:t>Application for demolition licence</w:t>
      </w:r>
      <w:bookmarkEnd w:id="238"/>
    </w:p>
    <w:p>
      <w:pPr>
        <w:pStyle w:val="Subsection"/>
      </w:pPr>
      <w:r>
        <w:tab/>
        <w:t>(1)</w:t>
      </w:r>
      <w:r>
        <w:tab/>
        <w:t xml:space="preserve">An application for a demolition licence must be made under the </w:t>
      </w:r>
      <w:r>
        <w:rPr>
          <w:i/>
        </w:rPr>
        <w:t>Work Health and Safety (General) Regulations 2022</w:t>
      </w:r>
      <w:r>
        <w:t xml:space="preserve"> regulation 142N.</w:t>
      </w:r>
    </w:p>
    <w:p>
      <w:pPr>
        <w:pStyle w:val="Subsection"/>
      </w:pPr>
      <w:r>
        <w:tab/>
        <w:t>(2)</w:t>
      </w:r>
      <w:r>
        <w:tab/>
      </w:r>
      <w:r>
        <w:rPr>
          <w:i/>
        </w:rPr>
        <w:t>[not used]</w:t>
      </w:r>
    </w:p>
    <w:p>
      <w:pPr>
        <w:pStyle w:val="Subsection"/>
      </w:pPr>
      <w:r>
        <w:tab/>
        <w:t>(3)</w:t>
      </w:r>
      <w:r>
        <w:tab/>
      </w:r>
      <w:r>
        <w:rPr>
          <w:i/>
        </w:rPr>
        <w:t>[not used]</w:t>
      </w:r>
    </w:p>
    <w:p>
      <w:pPr>
        <w:pStyle w:val="Subsection"/>
      </w:pPr>
      <w:r>
        <w:tab/>
        <w:t>(4)</w:t>
      </w:r>
      <w:r>
        <w:tab/>
      </w:r>
      <w:r>
        <w:rPr>
          <w:i/>
        </w:rPr>
        <w:t>[not used]</w:t>
      </w:r>
    </w:p>
    <w:p>
      <w:pPr>
        <w:pStyle w:val="Heading5"/>
        <w:keepNext w:val="0"/>
      </w:pPr>
      <w:bookmarkStart w:id="239" w:name="_Toc200719743"/>
      <w:r>
        <w:t>142O.</w:t>
      </w:r>
      <w:r>
        <w:tab/>
        <w:t>Not used</w:t>
      </w:r>
      <w:bookmarkEnd w:id="239"/>
    </w:p>
    <w:p>
      <w:pPr>
        <w:pStyle w:val="Heading5"/>
        <w:keepNext w:val="0"/>
      </w:pPr>
      <w:bookmarkStart w:id="240" w:name="_Toc200719744"/>
      <w:r>
        <w:t>142P.</w:t>
      </w:r>
      <w:r>
        <w:tab/>
        <w:t>Not used</w:t>
      </w:r>
      <w:bookmarkEnd w:id="240"/>
    </w:p>
    <w:p>
      <w:pPr>
        <w:pStyle w:val="Heading5"/>
        <w:keepNext w:val="0"/>
      </w:pPr>
      <w:bookmarkStart w:id="241" w:name="_Toc200719745"/>
      <w:r>
        <w:t>142Q.</w:t>
      </w:r>
      <w:r>
        <w:tab/>
        <w:t>Not used</w:t>
      </w:r>
      <w:bookmarkEnd w:id="241"/>
    </w:p>
    <w:p>
      <w:pPr>
        <w:pStyle w:val="Heading5"/>
        <w:keepNext w:val="0"/>
      </w:pPr>
      <w:bookmarkStart w:id="242" w:name="_Toc200719746"/>
      <w:r>
        <w:t>142R.</w:t>
      </w:r>
      <w:r>
        <w:tab/>
        <w:t>Not used</w:t>
      </w:r>
      <w:bookmarkEnd w:id="242"/>
    </w:p>
    <w:p>
      <w:pPr>
        <w:pStyle w:val="Heading5"/>
        <w:keepNext w:val="0"/>
      </w:pPr>
      <w:bookmarkStart w:id="243" w:name="_Toc200719747"/>
      <w:r>
        <w:t>142S.</w:t>
      </w:r>
      <w:r>
        <w:tab/>
        <w:t>Not used</w:t>
      </w:r>
      <w:bookmarkEnd w:id="243"/>
    </w:p>
    <w:p>
      <w:pPr>
        <w:pStyle w:val="Heading5"/>
        <w:keepNext w:val="0"/>
      </w:pPr>
      <w:bookmarkStart w:id="244" w:name="_Toc200719748"/>
      <w:r>
        <w:t>142T.</w:t>
      </w:r>
      <w:r>
        <w:tab/>
        <w:t>Not used</w:t>
      </w:r>
      <w:bookmarkEnd w:id="244"/>
    </w:p>
    <w:p>
      <w:pPr>
        <w:pStyle w:val="Heading5"/>
        <w:keepNext w:val="0"/>
      </w:pPr>
      <w:bookmarkStart w:id="245" w:name="_Toc200719749"/>
      <w:r>
        <w:t>142U.</w:t>
      </w:r>
      <w:r>
        <w:tab/>
        <w:t>Not used</w:t>
      </w:r>
      <w:bookmarkEnd w:id="245"/>
    </w:p>
    <w:p>
      <w:pPr>
        <w:pStyle w:val="Heading5"/>
        <w:keepNext w:val="0"/>
      </w:pPr>
      <w:bookmarkStart w:id="246" w:name="_Toc200719750"/>
      <w:r>
        <w:t>142V.</w:t>
      </w:r>
      <w:r>
        <w:tab/>
        <w:t>Not used</w:t>
      </w:r>
      <w:bookmarkEnd w:id="246"/>
    </w:p>
    <w:p>
      <w:pPr>
        <w:pStyle w:val="Heading5"/>
        <w:keepNext w:val="0"/>
      </w:pPr>
      <w:bookmarkStart w:id="247" w:name="_Toc200719751"/>
      <w:r>
        <w:t>142W.</w:t>
      </w:r>
      <w:r>
        <w:tab/>
        <w:t>Not used</w:t>
      </w:r>
      <w:bookmarkEnd w:id="247"/>
    </w:p>
    <w:p>
      <w:pPr>
        <w:pStyle w:val="Heading5"/>
      </w:pPr>
      <w:bookmarkStart w:id="248" w:name="_Toc200719752"/>
      <w:r>
        <w:rPr>
          <w:rStyle w:val="CharSectno"/>
        </w:rPr>
        <w:lastRenderedPageBreak/>
        <w:t>142X</w:t>
      </w:r>
      <w:r>
        <w:t>.</w:t>
      </w:r>
      <w:r>
        <w:tab/>
        <w:t>Licence document to be available</w:t>
      </w:r>
      <w:bookmarkEnd w:id="248"/>
    </w:p>
    <w:p>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143F;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pPr>
        <w:pStyle w:val="Heading4"/>
      </w:pPr>
      <w:bookmarkStart w:id="249" w:name="_Toc200719753"/>
      <w:r>
        <w:t>Division 2 — Not used</w:t>
      </w:r>
      <w:bookmarkEnd w:id="249"/>
    </w:p>
    <w:p>
      <w:pPr>
        <w:pStyle w:val="Heading5"/>
      </w:pPr>
      <w:bookmarkStart w:id="250" w:name="_Toc200719754"/>
      <w:r>
        <w:t>143.</w:t>
      </w:r>
      <w:r>
        <w:tab/>
        <w:t>Not used</w:t>
      </w:r>
      <w:bookmarkEnd w:id="250"/>
    </w:p>
    <w:p>
      <w:pPr>
        <w:pStyle w:val="Heading5"/>
        <w:keepNext w:val="0"/>
      </w:pPr>
      <w:bookmarkStart w:id="251" w:name="_Toc200719755"/>
      <w:r>
        <w:t>143A.</w:t>
      </w:r>
      <w:r>
        <w:tab/>
        <w:t>Not used</w:t>
      </w:r>
      <w:bookmarkEnd w:id="251"/>
    </w:p>
    <w:p>
      <w:pPr>
        <w:pStyle w:val="Heading5"/>
        <w:keepNext w:val="0"/>
      </w:pPr>
      <w:bookmarkStart w:id="252" w:name="_Toc200719756"/>
      <w:r>
        <w:t>143B.</w:t>
      </w:r>
      <w:r>
        <w:tab/>
        <w:t>Not used</w:t>
      </w:r>
      <w:bookmarkEnd w:id="252"/>
    </w:p>
    <w:p>
      <w:pPr>
        <w:pStyle w:val="Heading5"/>
        <w:keepNext w:val="0"/>
      </w:pPr>
      <w:bookmarkStart w:id="253" w:name="_Toc200719757"/>
      <w:r>
        <w:t>143C.</w:t>
      </w:r>
      <w:r>
        <w:tab/>
        <w:t>Not used</w:t>
      </w:r>
      <w:bookmarkEnd w:id="253"/>
    </w:p>
    <w:p>
      <w:pPr>
        <w:pStyle w:val="Heading5"/>
        <w:keepNext w:val="0"/>
      </w:pPr>
      <w:bookmarkStart w:id="254" w:name="_Toc200719758"/>
      <w:r>
        <w:t>143D.</w:t>
      </w:r>
      <w:r>
        <w:tab/>
        <w:t>Not used</w:t>
      </w:r>
      <w:bookmarkEnd w:id="254"/>
    </w:p>
    <w:p>
      <w:pPr>
        <w:pStyle w:val="Heading5"/>
        <w:keepNext w:val="0"/>
      </w:pPr>
      <w:bookmarkStart w:id="255" w:name="_Toc200719759"/>
      <w:r>
        <w:t>143E.</w:t>
      </w:r>
      <w:r>
        <w:tab/>
        <w:t>Not used</w:t>
      </w:r>
      <w:bookmarkEnd w:id="255"/>
    </w:p>
    <w:p>
      <w:pPr>
        <w:pStyle w:val="Heading5"/>
        <w:keepNext w:val="0"/>
      </w:pPr>
      <w:bookmarkStart w:id="256" w:name="_Toc200719760"/>
      <w:r>
        <w:t>143F.</w:t>
      </w:r>
      <w:r>
        <w:tab/>
        <w:t>Not used</w:t>
      </w:r>
      <w:bookmarkEnd w:id="256"/>
    </w:p>
    <w:p>
      <w:pPr>
        <w:pStyle w:val="Heading5"/>
        <w:keepNext w:val="0"/>
      </w:pPr>
      <w:bookmarkStart w:id="257" w:name="_Toc200719761"/>
      <w:r>
        <w:t>143G.</w:t>
      </w:r>
      <w:r>
        <w:tab/>
        <w:t>Not used</w:t>
      </w:r>
      <w:bookmarkEnd w:id="257"/>
    </w:p>
    <w:p>
      <w:pPr>
        <w:pStyle w:val="Heading5"/>
        <w:keepNext w:val="0"/>
      </w:pPr>
      <w:bookmarkStart w:id="258" w:name="_Toc200719762"/>
      <w:r>
        <w:t>143H.</w:t>
      </w:r>
      <w:r>
        <w:tab/>
        <w:t>Not used</w:t>
      </w:r>
      <w:bookmarkEnd w:id="258"/>
    </w:p>
    <w:p>
      <w:pPr>
        <w:pStyle w:val="Heading4"/>
      </w:pPr>
      <w:bookmarkStart w:id="259" w:name="_Toc200719763"/>
      <w:r>
        <w:lastRenderedPageBreak/>
        <w:t>Division 3 — Not used</w:t>
      </w:r>
      <w:bookmarkEnd w:id="259"/>
    </w:p>
    <w:p>
      <w:pPr>
        <w:pStyle w:val="Heading5"/>
      </w:pPr>
      <w:bookmarkStart w:id="260" w:name="_Toc200719764"/>
      <w:r>
        <w:t>143I.</w:t>
      </w:r>
      <w:r>
        <w:tab/>
        <w:t>Not used</w:t>
      </w:r>
      <w:bookmarkEnd w:id="260"/>
    </w:p>
    <w:p>
      <w:pPr>
        <w:pStyle w:val="Heading5"/>
        <w:keepNext w:val="0"/>
      </w:pPr>
      <w:bookmarkStart w:id="261" w:name="_Toc200719765"/>
      <w:r>
        <w:t>143J.</w:t>
      </w:r>
      <w:r>
        <w:tab/>
        <w:t>Not used</w:t>
      </w:r>
      <w:bookmarkEnd w:id="261"/>
    </w:p>
    <w:p>
      <w:pPr>
        <w:pStyle w:val="Heading5"/>
        <w:keepNext w:val="0"/>
      </w:pPr>
      <w:bookmarkStart w:id="262" w:name="_Toc200719766"/>
      <w:r>
        <w:t>143K.</w:t>
      </w:r>
      <w:r>
        <w:tab/>
        <w:t>Not used</w:t>
      </w:r>
      <w:bookmarkEnd w:id="262"/>
    </w:p>
    <w:p>
      <w:pPr>
        <w:pStyle w:val="Heading5"/>
        <w:keepNext w:val="0"/>
      </w:pPr>
      <w:bookmarkStart w:id="263" w:name="_Toc200719767"/>
      <w:r>
        <w:t>143L.</w:t>
      </w:r>
      <w:r>
        <w:tab/>
        <w:t>Not used</w:t>
      </w:r>
      <w:bookmarkEnd w:id="263"/>
    </w:p>
    <w:p>
      <w:pPr>
        <w:pStyle w:val="Heading5"/>
        <w:keepNext w:val="0"/>
      </w:pPr>
      <w:bookmarkStart w:id="264" w:name="_Toc200719768"/>
      <w:r>
        <w:t>143M.</w:t>
      </w:r>
      <w:r>
        <w:tab/>
        <w:t>Not used</w:t>
      </w:r>
      <w:bookmarkEnd w:id="264"/>
    </w:p>
    <w:p>
      <w:pPr>
        <w:pStyle w:val="Heading4"/>
      </w:pPr>
      <w:bookmarkStart w:id="265" w:name="_Toc200719769"/>
      <w:r>
        <w:t>Division 4 — Not used</w:t>
      </w:r>
      <w:bookmarkEnd w:id="265"/>
    </w:p>
    <w:p>
      <w:pPr>
        <w:pStyle w:val="Heading5"/>
      </w:pPr>
      <w:bookmarkStart w:id="266" w:name="_Toc200719770"/>
      <w:r>
        <w:t>143N.</w:t>
      </w:r>
      <w:r>
        <w:tab/>
        <w:t>Not used</w:t>
      </w:r>
      <w:bookmarkEnd w:id="266"/>
    </w:p>
    <w:p>
      <w:pPr>
        <w:pStyle w:val="Heading5"/>
        <w:keepNext w:val="0"/>
      </w:pPr>
      <w:bookmarkStart w:id="267" w:name="_Toc200719771"/>
      <w:r>
        <w:t>143O.</w:t>
      </w:r>
      <w:r>
        <w:tab/>
        <w:t>Not used</w:t>
      </w:r>
      <w:bookmarkEnd w:id="267"/>
    </w:p>
    <w:p>
      <w:pPr>
        <w:pStyle w:val="Heading5"/>
        <w:keepNext w:val="0"/>
      </w:pPr>
      <w:bookmarkStart w:id="268" w:name="_Toc200719772"/>
      <w:r>
        <w:t>143P.</w:t>
      </w:r>
      <w:r>
        <w:tab/>
        <w:t>Not used</w:t>
      </w:r>
      <w:bookmarkEnd w:id="268"/>
    </w:p>
    <w:p>
      <w:pPr>
        <w:pStyle w:val="Heading5"/>
        <w:keepNext w:val="0"/>
      </w:pPr>
      <w:bookmarkStart w:id="269" w:name="_Toc200719773"/>
      <w:r>
        <w:t>143Q.</w:t>
      </w:r>
      <w:r>
        <w:tab/>
        <w:t>Not used</w:t>
      </w:r>
      <w:bookmarkEnd w:id="269"/>
    </w:p>
    <w:p>
      <w:pPr>
        <w:pStyle w:val="Heading5"/>
        <w:keepNext w:val="0"/>
      </w:pPr>
      <w:bookmarkStart w:id="270" w:name="_Toc200719774"/>
      <w:r>
        <w:t>143R.</w:t>
      </w:r>
      <w:r>
        <w:tab/>
        <w:t>Not used</w:t>
      </w:r>
      <w:bookmarkEnd w:id="270"/>
    </w:p>
    <w:p>
      <w:pPr>
        <w:pStyle w:val="Heading5"/>
        <w:keepNext w:val="0"/>
      </w:pPr>
      <w:bookmarkStart w:id="271" w:name="_Toc200719775"/>
      <w:r>
        <w:t>143S.</w:t>
      </w:r>
      <w:r>
        <w:tab/>
        <w:t>Not used</w:t>
      </w:r>
      <w:bookmarkEnd w:id="271"/>
    </w:p>
    <w:p>
      <w:pPr>
        <w:pStyle w:val="Heading5"/>
        <w:keepNext w:val="0"/>
      </w:pPr>
      <w:bookmarkStart w:id="272" w:name="_Toc200719776"/>
      <w:r>
        <w:t>143T.</w:t>
      </w:r>
      <w:r>
        <w:tab/>
        <w:t>Not used</w:t>
      </w:r>
      <w:bookmarkEnd w:id="272"/>
    </w:p>
    <w:p>
      <w:pPr>
        <w:pStyle w:val="Heading3"/>
      </w:pPr>
      <w:bookmarkStart w:id="273" w:name="_Toc200719777"/>
      <w:r>
        <w:rPr>
          <w:rStyle w:val="CharPartNo"/>
        </w:rPr>
        <w:lastRenderedPageBreak/>
        <w:t>Part 4.7</w:t>
      </w:r>
      <w:r>
        <w:t> — </w:t>
      </w:r>
      <w:r>
        <w:rPr>
          <w:rStyle w:val="CharPartText"/>
        </w:rPr>
        <w:t>General electrical safety in workplaces and energised electrical work</w:t>
      </w:r>
      <w:bookmarkEnd w:id="273"/>
    </w:p>
    <w:p>
      <w:pPr>
        <w:pStyle w:val="PermNoteHeading"/>
      </w:pPr>
      <w:r>
        <w:tab/>
        <w:t>Note for this Part:</w:t>
      </w:r>
    </w:p>
    <w:p>
      <w:pPr>
        <w:pStyle w:val="PermNoteText"/>
        <w:keepNext/>
      </w:pPr>
      <w:r>
        <w:tab/>
      </w:r>
      <w:r>
        <w:tab/>
        <w:t>General electrical safety in workplaces and energised electrical work is also covered in Part 10.2 Division 3 Subdivision 3A.</w:t>
      </w:r>
    </w:p>
    <w:p>
      <w:pPr>
        <w:pStyle w:val="Heading4"/>
      </w:pPr>
      <w:bookmarkStart w:id="274" w:name="_Toc200719778"/>
      <w:r>
        <w:rPr>
          <w:rStyle w:val="CharDivNo"/>
        </w:rPr>
        <w:t>Division 1</w:t>
      </w:r>
      <w:r>
        <w:t> — </w:t>
      </w:r>
      <w:r>
        <w:rPr>
          <w:rStyle w:val="CharDivText"/>
        </w:rPr>
        <w:t>Preliminary</w:t>
      </w:r>
      <w:bookmarkEnd w:id="274"/>
    </w:p>
    <w:p>
      <w:pPr>
        <w:pStyle w:val="Heading5"/>
      </w:pPr>
      <w:bookmarkStart w:id="275" w:name="_Toc200719779"/>
      <w:r>
        <w:rPr>
          <w:rStyle w:val="CharSectno"/>
        </w:rPr>
        <w:t>144</w:t>
      </w:r>
      <w:r>
        <w:t>.</w:t>
      </w:r>
      <w:r>
        <w:tab/>
        <w:t>Meaning of electrical equipment</w:t>
      </w:r>
      <w:bookmarkEnd w:id="275"/>
    </w:p>
    <w:p>
      <w:pPr>
        <w:pStyle w:val="Subsection"/>
        <w:keepNext/>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276" w:name="_Toc200719780"/>
      <w:r>
        <w:rPr>
          <w:rStyle w:val="CharSectno"/>
        </w:rPr>
        <w:t>145</w:t>
      </w:r>
      <w:r>
        <w:t>.</w:t>
      </w:r>
      <w:r>
        <w:tab/>
        <w:t>Meaning of electrical installation</w:t>
      </w:r>
      <w:bookmarkEnd w:id="276"/>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277" w:name="_Toc200719781"/>
      <w:r>
        <w:rPr>
          <w:rStyle w:val="CharSectno"/>
        </w:rPr>
        <w:t>146</w:t>
      </w:r>
      <w:r>
        <w:t>.</w:t>
      </w:r>
      <w:r>
        <w:tab/>
        <w:t>Meaning of electrical work</w:t>
      </w:r>
      <w:bookmarkEnd w:id="277"/>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278" w:name="_Toc200719782"/>
      <w:r>
        <w:rPr>
          <w:rStyle w:val="CharSectno"/>
        </w:rPr>
        <w:t>146A</w:t>
      </w:r>
      <w:r>
        <w:t>.</w:t>
      </w:r>
      <w:r>
        <w:tab/>
        <w:t>References to electricity distributor in AS/NZS 3012:2010</w:t>
      </w:r>
      <w:bookmarkEnd w:id="278"/>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279" w:name="_Toc200719783"/>
      <w:r>
        <w:rPr>
          <w:rStyle w:val="CharDivNo"/>
        </w:rPr>
        <w:lastRenderedPageBreak/>
        <w:t>Division 2</w:t>
      </w:r>
      <w:r>
        <w:t> — </w:t>
      </w:r>
      <w:r>
        <w:rPr>
          <w:rStyle w:val="CharDivText"/>
        </w:rPr>
        <w:t>General risk management</w:t>
      </w:r>
      <w:bookmarkEnd w:id="279"/>
    </w:p>
    <w:p>
      <w:pPr>
        <w:pStyle w:val="Heading5"/>
      </w:pPr>
      <w:bookmarkStart w:id="280" w:name="_Toc200719784"/>
      <w:r>
        <w:rPr>
          <w:rStyle w:val="CharSectno"/>
        </w:rPr>
        <w:t>147</w:t>
      </w:r>
      <w:r>
        <w:t>.</w:t>
      </w:r>
      <w:r>
        <w:tab/>
        <w:t>Risk management</w:t>
      </w:r>
      <w:bookmarkEnd w:id="280"/>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281" w:name="_Toc200719785"/>
      <w:r>
        <w:rPr>
          <w:rStyle w:val="CharDivNo"/>
        </w:rPr>
        <w:t>Division 3</w:t>
      </w:r>
      <w:r>
        <w:t> — </w:t>
      </w:r>
      <w:r>
        <w:rPr>
          <w:rStyle w:val="CharDivText"/>
        </w:rPr>
        <w:t>Electrical equipment and electrical installations</w:t>
      </w:r>
      <w:bookmarkEnd w:id="281"/>
    </w:p>
    <w:p>
      <w:pPr>
        <w:pStyle w:val="Heading5"/>
      </w:pPr>
      <w:bookmarkStart w:id="282" w:name="_Toc200719786"/>
      <w:r>
        <w:rPr>
          <w:rStyle w:val="CharSectno"/>
        </w:rPr>
        <w:t>148</w:t>
      </w:r>
      <w:r>
        <w:t>.</w:t>
      </w:r>
      <w:r>
        <w:tab/>
        <w:t>Electrical equipment and electrical installations to which Division applies</w:t>
      </w:r>
      <w:bookmarkEnd w:id="282"/>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283" w:name="_Toc200719787"/>
      <w:r>
        <w:rPr>
          <w:rStyle w:val="CharSectno"/>
        </w:rPr>
        <w:t>149</w:t>
      </w:r>
      <w:r>
        <w:t>.</w:t>
      </w:r>
      <w:r>
        <w:tab/>
        <w:t>Unsafe electrical equipment</w:t>
      </w:r>
      <w:bookmarkEnd w:id="283"/>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keepNext/>
      </w:pPr>
      <w:r>
        <w:lastRenderedPageBreak/>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284" w:name="_Toc200719788"/>
      <w:r>
        <w:rPr>
          <w:rStyle w:val="CharSectno"/>
        </w:rPr>
        <w:t>150</w:t>
      </w:r>
      <w:r>
        <w:t>.</w:t>
      </w:r>
      <w:r>
        <w:tab/>
        <w:t>Inspection and testing of electrical equipment</w:t>
      </w:r>
      <w:bookmarkEnd w:id="284"/>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keepNext/>
      </w:pPr>
      <w:r>
        <w:lastRenderedPageBreak/>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285" w:name="_Toc200719789"/>
      <w:r>
        <w:rPr>
          <w:rStyle w:val="CharSectno"/>
        </w:rPr>
        <w:lastRenderedPageBreak/>
        <w:t>151</w:t>
      </w:r>
      <w:r>
        <w:t>.</w:t>
      </w:r>
      <w:r>
        <w:tab/>
        <w:t>Untested electrical equipment not to be used</w:t>
      </w:r>
      <w:bookmarkEnd w:id="285"/>
    </w:p>
    <w:p>
      <w:pPr>
        <w:pStyle w:val="Subsection"/>
        <w:keepNext/>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86" w:name="_Toc200719790"/>
      <w:r>
        <w:rPr>
          <w:rStyle w:val="CharDivNo"/>
        </w:rPr>
        <w:t>Division 4</w:t>
      </w:r>
      <w:r>
        <w:t> — </w:t>
      </w:r>
      <w:r>
        <w:rPr>
          <w:rStyle w:val="CharDivText"/>
        </w:rPr>
        <w:t>Electrical work on energised electrical equipment</w:t>
      </w:r>
      <w:bookmarkEnd w:id="286"/>
    </w:p>
    <w:p>
      <w:pPr>
        <w:pStyle w:val="Heading5"/>
      </w:pPr>
      <w:bookmarkStart w:id="287" w:name="_Toc200719791"/>
      <w:r>
        <w:rPr>
          <w:rStyle w:val="CharSectno"/>
        </w:rPr>
        <w:t>152</w:t>
      </w:r>
      <w:r>
        <w:t>.</w:t>
      </w:r>
      <w:r>
        <w:tab/>
        <w:t>Electrical work</w:t>
      </w:r>
      <w:bookmarkEnd w:id="287"/>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288" w:name="_Toc200719792"/>
      <w:r>
        <w:rPr>
          <w:rStyle w:val="CharSectno"/>
        </w:rPr>
        <w:lastRenderedPageBreak/>
        <w:t>153</w:t>
      </w:r>
      <w:r>
        <w:t>.</w:t>
      </w:r>
      <w:r>
        <w:tab/>
        <w:t>Work in roof spaces</w:t>
      </w:r>
      <w:bookmarkEnd w:id="288"/>
    </w:p>
    <w:p>
      <w:pPr>
        <w:pStyle w:val="Subsection"/>
        <w:keepNext/>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worker must not do work in a roof space of a building at a workplace unless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roof space of a building to which subregulation (2) or (3) applies is divided into separate parts, such that a person cannot </w:t>
      </w:r>
      <w:r>
        <w:lastRenderedPageBreak/>
        <w:t>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keepNext/>
      </w:pPr>
      <w:r>
        <w:lastRenderedPageBreak/>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keepNext w:val="0"/>
      </w:pPr>
      <w:bookmarkStart w:id="289" w:name="_Toc200719793"/>
      <w:r>
        <w:t>154.</w:t>
      </w:r>
      <w:r>
        <w:tab/>
        <w:t>Not used</w:t>
      </w:r>
      <w:bookmarkEnd w:id="289"/>
    </w:p>
    <w:p>
      <w:pPr>
        <w:pStyle w:val="Heading5"/>
        <w:keepNext w:val="0"/>
      </w:pPr>
      <w:bookmarkStart w:id="290" w:name="_Toc200719794"/>
      <w:r>
        <w:t>155.</w:t>
      </w:r>
      <w:r>
        <w:tab/>
        <w:t>Not used</w:t>
      </w:r>
      <w:bookmarkEnd w:id="290"/>
    </w:p>
    <w:p>
      <w:pPr>
        <w:pStyle w:val="Heading5"/>
        <w:keepNext w:val="0"/>
      </w:pPr>
      <w:bookmarkStart w:id="291" w:name="_Toc200719795"/>
      <w:r>
        <w:t>156.</w:t>
      </w:r>
      <w:r>
        <w:tab/>
        <w:t>Not used</w:t>
      </w:r>
      <w:bookmarkEnd w:id="291"/>
    </w:p>
    <w:p>
      <w:pPr>
        <w:pStyle w:val="Heading5"/>
        <w:keepNext w:val="0"/>
      </w:pPr>
      <w:bookmarkStart w:id="292" w:name="_Toc200719796"/>
      <w:r>
        <w:t>157.</w:t>
      </w:r>
      <w:r>
        <w:tab/>
        <w:t>Not used</w:t>
      </w:r>
      <w:bookmarkEnd w:id="292"/>
    </w:p>
    <w:p>
      <w:pPr>
        <w:pStyle w:val="Heading5"/>
        <w:keepNext w:val="0"/>
      </w:pPr>
      <w:bookmarkStart w:id="293" w:name="_Toc200719797"/>
      <w:r>
        <w:t>158.</w:t>
      </w:r>
      <w:r>
        <w:tab/>
        <w:t>Not used</w:t>
      </w:r>
      <w:bookmarkEnd w:id="293"/>
    </w:p>
    <w:p>
      <w:pPr>
        <w:pStyle w:val="Heading5"/>
        <w:keepNext w:val="0"/>
      </w:pPr>
      <w:bookmarkStart w:id="294" w:name="_Toc200719798"/>
      <w:r>
        <w:t>159.</w:t>
      </w:r>
      <w:r>
        <w:tab/>
        <w:t>Not used</w:t>
      </w:r>
      <w:bookmarkEnd w:id="294"/>
    </w:p>
    <w:p>
      <w:pPr>
        <w:pStyle w:val="Heading5"/>
        <w:keepNext w:val="0"/>
      </w:pPr>
      <w:bookmarkStart w:id="295" w:name="_Toc200719799"/>
      <w:r>
        <w:t>160.</w:t>
      </w:r>
      <w:r>
        <w:tab/>
        <w:t>Not used</w:t>
      </w:r>
      <w:bookmarkEnd w:id="295"/>
    </w:p>
    <w:p>
      <w:pPr>
        <w:pStyle w:val="Heading5"/>
        <w:keepNext w:val="0"/>
      </w:pPr>
      <w:bookmarkStart w:id="296" w:name="_Toc200719800"/>
      <w:r>
        <w:t>161.</w:t>
      </w:r>
      <w:r>
        <w:tab/>
        <w:t>Not used</w:t>
      </w:r>
      <w:bookmarkEnd w:id="296"/>
    </w:p>
    <w:p>
      <w:pPr>
        <w:pStyle w:val="Heading5"/>
        <w:keepNext w:val="0"/>
      </w:pPr>
      <w:bookmarkStart w:id="297" w:name="_Toc200719801"/>
      <w:r>
        <w:t>162.</w:t>
      </w:r>
      <w:r>
        <w:tab/>
        <w:t>Not used</w:t>
      </w:r>
      <w:bookmarkEnd w:id="297"/>
    </w:p>
    <w:p>
      <w:pPr>
        <w:pStyle w:val="Heading4"/>
      </w:pPr>
      <w:bookmarkStart w:id="298" w:name="_Toc200719802"/>
      <w:r>
        <w:rPr>
          <w:rStyle w:val="CharDivNo"/>
        </w:rPr>
        <w:lastRenderedPageBreak/>
        <w:t>Division 5</w:t>
      </w:r>
      <w:r>
        <w:t> — </w:t>
      </w:r>
      <w:r>
        <w:rPr>
          <w:rStyle w:val="CharDivText"/>
        </w:rPr>
        <w:t>Electrical equipment and installations and construction work: additional duties</w:t>
      </w:r>
      <w:bookmarkEnd w:id="298"/>
    </w:p>
    <w:p>
      <w:pPr>
        <w:pStyle w:val="Heading5"/>
      </w:pPr>
      <w:bookmarkStart w:id="299" w:name="_Toc200719803"/>
      <w:r>
        <w:rPr>
          <w:rStyle w:val="CharSectno"/>
        </w:rPr>
        <w:t>163</w:t>
      </w:r>
      <w:r>
        <w:t>.</w:t>
      </w:r>
      <w:r>
        <w:tab/>
        <w:t>Duty of person conducting business or undertaking</w:t>
      </w:r>
      <w:bookmarkEnd w:id="299"/>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300" w:name="_Toc200719804"/>
      <w:r>
        <w:rPr>
          <w:rStyle w:val="CharDivNo"/>
        </w:rPr>
        <w:t>Division 6</w:t>
      </w:r>
      <w:r>
        <w:t> — </w:t>
      </w:r>
      <w:r>
        <w:rPr>
          <w:rStyle w:val="CharDivText"/>
        </w:rPr>
        <w:t>Residual current devices</w:t>
      </w:r>
      <w:bookmarkEnd w:id="300"/>
    </w:p>
    <w:p>
      <w:pPr>
        <w:pStyle w:val="Heading5"/>
      </w:pPr>
      <w:bookmarkStart w:id="301" w:name="_Toc200719805"/>
      <w:r>
        <w:rPr>
          <w:rStyle w:val="CharSectno"/>
        </w:rPr>
        <w:t>164</w:t>
      </w:r>
      <w:r>
        <w:t>.</w:t>
      </w:r>
      <w:r>
        <w:tab/>
        <w:t>Use of socket outlets in hostile operating environment</w:t>
      </w:r>
      <w:bookmarkEnd w:id="301"/>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w:t>
      </w:r>
      <w:r>
        <w:lastRenderedPageBreak/>
        <w:t xml:space="preserve">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electrical equipment is frequently moved during its normal use.</w:t>
      </w:r>
    </w:p>
    <w:p>
      <w:pPr>
        <w:pStyle w:val="Indenta"/>
      </w:pPr>
      <w:r>
        <w:tab/>
        <w:t>(d)</w:t>
      </w:r>
      <w:r>
        <w:tab/>
      </w:r>
      <w:r>
        <w:rPr>
          <w:i/>
        </w:rPr>
        <w:t>[not used]</w:t>
      </w:r>
    </w:p>
    <w:p>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302" w:name="_Toc200719806"/>
      <w:r>
        <w:rPr>
          <w:rStyle w:val="CharSectno"/>
        </w:rPr>
        <w:lastRenderedPageBreak/>
        <w:t>165</w:t>
      </w:r>
      <w:r>
        <w:t>.</w:t>
      </w:r>
      <w:r>
        <w:tab/>
        <w:t>Testing of residual current devices</w:t>
      </w:r>
      <w:bookmarkEnd w:id="302"/>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03" w:name="_Toc200719807"/>
      <w:r>
        <w:rPr>
          <w:rStyle w:val="CharDivNo"/>
        </w:rPr>
        <w:t>Division 7</w:t>
      </w:r>
      <w:r>
        <w:t> — </w:t>
      </w:r>
      <w:r>
        <w:rPr>
          <w:rStyle w:val="CharDivText"/>
        </w:rPr>
        <w:t>Overhead and underground electric lines</w:t>
      </w:r>
      <w:bookmarkEnd w:id="303"/>
    </w:p>
    <w:p>
      <w:pPr>
        <w:pStyle w:val="Heading5"/>
      </w:pPr>
      <w:bookmarkStart w:id="304" w:name="_Toc200719808"/>
      <w:r>
        <w:rPr>
          <w:rStyle w:val="CharSectno"/>
        </w:rPr>
        <w:t>166</w:t>
      </w:r>
      <w:r>
        <w:t>.</w:t>
      </w:r>
      <w:r>
        <w:tab/>
        <w:t>Duty of person conducting a business or undertaking: underground electric lines</w:t>
      </w:r>
      <w:bookmarkEnd w:id="304"/>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ensure the safe distance of a person, plant or thing from an underground electric line, the </w:t>
      </w:r>
      <w:r>
        <w:lastRenderedPageBreak/>
        <w:t xml:space="preserve">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305" w:name="_Toc200719809"/>
      <w:r>
        <w:rPr>
          <w:rStyle w:val="CharSectno"/>
        </w:rPr>
        <w:t>166A</w:t>
      </w:r>
      <w:r>
        <w:t>.</w:t>
      </w:r>
      <w:r>
        <w:tab/>
        <w:t>Duty of person conducting a business or undertaking: overhead electric lines</w:t>
      </w:r>
      <w:bookmarkEnd w:id="305"/>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lastRenderedPageBreak/>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306" w:name="_Toc200719810"/>
      <w:r>
        <w:rPr>
          <w:rStyle w:val="CharPartNo"/>
        </w:rPr>
        <w:t>Part 4.8</w:t>
      </w:r>
      <w:r>
        <w:t> — </w:t>
      </w:r>
      <w:r>
        <w:rPr>
          <w:rStyle w:val="CharPartText"/>
        </w:rPr>
        <w:t>Diving work</w:t>
      </w:r>
      <w:bookmarkEnd w:id="306"/>
    </w:p>
    <w:p>
      <w:pPr>
        <w:pStyle w:val="Heading4"/>
      </w:pPr>
      <w:bookmarkStart w:id="307" w:name="_Toc200719811"/>
      <w:r>
        <w:rPr>
          <w:rStyle w:val="CharDivNo"/>
        </w:rPr>
        <w:t>Division 1</w:t>
      </w:r>
      <w:r>
        <w:t> — </w:t>
      </w:r>
      <w:r>
        <w:rPr>
          <w:rStyle w:val="CharDivText"/>
        </w:rPr>
        <w:t>Preliminary</w:t>
      </w:r>
      <w:bookmarkEnd w:id="307"/>
    </w:p>
    <w:p>
      <w:pPr>
        <w:pStyle w:val="Heading5"/>
      </w:pPr>
      <w:bookmarkStart w:id="308" w:name="_Toc200719812"/>
      <w:r>
        <w:rPr>
          <w:rStyle w:val="CharSectno"/>
        </w:rPr>
        <w:t>167</w:t>
      </w:r>
      <w:r>
        <w:t>.</w:t>
      </w:r>
      <w:r>
        <w:tab/>
        <w:t>Purpose of Part</w:t>
      </w:r>
      <w:bookmarkEnd w:id="308"/>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309" w:name="_Toc200719813"/>
      <w:r>
        <w:rPr>
          <w:rStyle w:val="CharDivNo"/>
        </w:rPr>
        <w:lastRenderedPageBreak/>
        <w:t>Division 2</w:t>
      </w:r>
      <w:r>
        <w:t> — </w:t>
      </w:r>
      <w:r>
        <w:rPr>
          <w:rStyle w:val="CharDivText"/>
        </w:rPr>
        <w:t>General diving work: fitness and competence of worker</w:t>
      </w:r>
      <w:bookmarkEnd w:id="309"/>
    </w:p>
    <w:p>
      <w:pPr>
        <w:pStyle w:val="Heading5"/>
      </w:pPr>
      <w:bookmarkStart w:id="310" w:name="_Toc200719814"/>
      <w:r>
        <w:rPr>
          <w:rStyle w:val="CharSectno"/>
        </w:rPr>
        <w:t>168</w:t>
      </w:r>
      <w:r>
        <w:t>.</w:t>
      </w:r>
      <w:r>
        <w:tab/>
        <w:t>Person conducting business or undertaking must ensure fitness of workers</w:t>
      </w:r>
      <w:bookmarkEnd w:id="310"/>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11" w:name="_Toc200719815"/>
      <w:r>
        <w:rPr>
          <w:rStyle w:val="CharSectno"/>
        </w:rPr>
        <w:t>169</w:t>
      </w:r>
      <w:r>
        <w:t>.</w:t>
      </w:r>
      <w:r>
        <w:tab/>
        <w:t>Certificate of medical fitness</w:t>
      </w:r>
      <w:bookmarkEnd w:id="311"/>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 xml:space="preserve">any conditions in relation to the type of diving work the person to whom it is issued is fit to carry out, or the circumstances in which the </w:t>
      </w:r>
      <w:r>
        <w:lastRenderedPageBreak/>
        <w:t>person is fit to carry out general diving work, including, in the case of a person who is under 18 years of age, any particular conditions applicable to the age of the person.</w:t>
      </w:r>
    </w:p>
    <w:p>
      <w:pPr>
        <w:pStyle w:val="Heading5"/>
      </w:pPr>
      <w:bookmarkStart w:id="312" w:name="_Toc200719816"/>
      <w:r>
        <w:rPr>
          <w:rStyle w:val="CharSectno"/>
        </w:rPr>
        <w:t>170</w:t>
      </w:r>
      <w:r>
        <w:t>.</w:t>
      </w:r>
      <w:r>
        <w:tab/>
        <w:t>Duty to keep certificate of medical fitness</w:t>
      </w:r>
      <w:bookmarkEnd w:id="312"/>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13" w:name="_Toc200719817"/>
      <w:r>
        <w:rPr>
          <w:rStyle w:val="CharSectno"/>
        </w:rPr>
        <w:t>171</w:t>
      </w:r>
      <w:r>
        <w:t>.</w:t>
      </w:r>
      <w:r>
        <w:tab/>
        <w:t>Competence of worker: general diving work: qualifications</w:t>
      </w:r>
      <w:bookmarkEnd w:id="313"/>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lastRenderedPageBreak/>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314" w:name="_Toc200719818"/>
      <w:r>
        <w:rPr>
          <w:rStyle w:val="CharSectno"/>
        </w:rPr>
        <w:t>171A</w:t>
      </w:r>
      <w:r>
        <w:t>.</w:t>
      </w:r>
      <w:r>
        <w:tab/>
        <w:t>Competence of worker: general diving work: knowledge and skill</w:t>
      </w:r>
      <w:bookmarkEnd w:id="314"/>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keepNext/>
      </w:pPr>
      <w:r>
        <w:lastRenderedPageBreak/>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315" w:name="_Toc200719819"/>
      <w:r>
        <w:rPr>
          <w:rStyle w:val="CharSectno"/>
        </w:rPr>
        <w:t>172</w:t>
      </w:r>
      <w:r>
        <w:t>.</w:t>
      </w:r>
      <w:r>
        <w:tab/>
        <w:t>Competence of worker: incidental diving work</w:t>
      </w:r>
      <w:bookmarkEnd w:id="315"/>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316" w:name="_Toc200719820"/>
      <w:r>
        <w:rPr>
          <w:rStyle w:val="CharSectno"/>
        </w:rPr>
        <w:t>173</w:t>
      </w:r>
      <w:r>
        <w:t>.</w:t>
      </w:r>
      <w:r>
        <w:tab/>
        <w:t>Competence of worker: limited scientific diving work</w:t>
      </w:r>
      <w:bookmarkEnd w:id="316"/>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keepNext/>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pPr>
      <w:r>
        <w:lastRenderedPageBreak/>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317" w:name="_Toc200719821"/>
      <w:r>
        <w:rPr>
          <w:rStyle w:val="CharSectno"/>
        </w:rPr>
        <w:t>174</w:t>
      </w:r>
      <w:r>
        <w:t>.</w:t>
      </w:r>
      <w:r>
        <w:tab/>
        <w:t>Competence of competent person supervising general diving work</w:t>
      </w:r>
      <w:bookmarkEnd w:id="317"/>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318" w:name="_Toc200719822"/>
      <w:r>
        <w:rPr>
          <w:rStyle w:val="CharSectno"/>
        </w:rPr>
        <w:t>175</w:t>
      </w:r>
      <w:r>
        <w:t>.</w:t>
      </w:r>
      <w:r>
        <w:tab/>
        <w:t>Evidence of competence: duty of person conducting business or undertaking</w:t>
      </w:r>
      <w:bookmarkEnd w:id="318"/>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w:t>
      </w:r>
      <w:r>
        <w:lastRenderedPageBreak/>
        <w:t>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19" w:name="_Toc200719823"/>
      <w:r>
        <w:rPr>
          <w:rStyle w:val="CharDivNo"/>
        </w:rPr>
        <w:t>Division 3</w:t>
      </w:r>
      <w:r>
        <w:t> — </w:t>
      </w:r>
      <w:r>
        <w:rPr>
          <w:rStyle w:val="CharDivText"/>
        </w:rPr>
        <w:t>Managing risks: general diving work</w:t>
      </w:r>
      <w:bookmarkEnd w:id="319"/>
    </w:p>
    <w:p>
      <w:pPr>
        <w:pStyle w:val="Heading5"/>
      </w:pPr>
      <w:bookmarkStart w:id="320" w:name="_Toc200719824"/>
      <w:r>
        <w:rPr>
          <w:rStyle w:val="CharSectno"/>
        </w:rPr>
        <w:t>176</w:t>
      </w:r>
      <w:r>
        <w:t>.</w:t>
      </w:r>
      <w:r>
        <w:tab/>
        <w:t>Management of risks to health and safety</w:t>
      </w:r>
      <w:bookmarkEnd w:id="320"/>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21" w:name="_Toc200719825"/>
      <w:r>
        <w:rPr>
          <w:rStyle w:val="CharSectno"/>
        </w:rPr>
        <w:t>177</w:t>
      </w:r>
      <w:r>
        <w:t>.</w:t>
      </w:r>
      <w:r>
        <w:tab/>
        <w:t>Appointment of competent person to supervise diving work</w:t>
      </w:r>
      <w:bookmarkEnd w:id="321"/>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322" w:name="_Toc200719826"/>
      <w:r>
        <w:rPr>
          <w:rStyle w:val="CharSectno"/>
        </w:rPr>
        <w:t>178</w:t>
      </w:r>
      <w:r>
        <w:t>.</w:t>
      </w:r>
      <w:r>
        <w:tab/>
        <w:t>Additional control: dive plan</w:t>
      </w:r>
      <w:bookmarkEnd w:id="322"/>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323" w:name="_Toc200719827"/>
      <w:r>
        <w:rPr>
          <w:rStyle w:val="CharSectno"/>
        </w:rPr>
        <w:t>179</w:t>
      </w:r>
      <w:r>
        <w:t>.</w:t>
      </w:r>
      <w:r>
        <w:tab/>
        <w:t>Dive plan must be complied with</w:t>
      </w:r>
      <w:bookmarkEnd w:id="323"/>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24" w:name="_Toc200719828"/>
      <w:r>
        <w:rPr>
          <w:rStyle w:val="CharSectno"/>
        </w:rPr>
        <w:lastRenderedPageBreak/>
        <w:t>180</w:t>
      </w:r>
      <w:r>
        <w:t>.</w:t>
      </w:r>
      <w:r>
        <w:tab/>
        <w:t>Additional control: dive safety log to be kept</w:t>
      </w:r>
      <w:bookmarkEnd w:id="324"/>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lastRenderedPageBreak/>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25" w:name="_Toc200719829"/>
      <w:r>
        <w:rPr>
          <w:rStyle w:val="CharSectno"/>
        </w:rPr>
        <w:t>181</w:t>
      </w:r>
      <w:r>
        <w:t>.</w:t>
      </w:r>
      <w:r>
        <w:tab/>
        <w:t>Use of dive safety log</w:t>
      </w:r>
      <w:bookmarkEnd w:id="325"/>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lastRenderedPageBreak/>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326" w:name="_Toc200719830"/>
      <w:r>
        <w:rPr>
          <w:rStyle w:val="CharSectno"/>
        </w:rPr>
        <w:t>182</w:t>
      </w:r>
      <w:r>
        <w:t>.</w:t>
      </w:r>
      <w:r>
        <w:tab/>
        <w:t>Record keeping</w:t>
      </w:r>
      <w:bookmarkEnd w:id="326"/>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If a notifiable incident occurs in connection with the work to which the assessment or dive plan relates, the person must keep </w:t>
      </w:r>
      <w:r>
        <w:lastRenderedPageBreak/>
        <w:t>the assessment or dive plan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27" w:name="_Toc200719831"/>
      <w:r>
        <w:rPr>
          <w:rStyle w:val="CharDivNo"/>
        </w:rPr>
        <w:t>Division 4</w:t>
      </w:r>
      <w:r>
        <w:t> — </w:t>
      </w:r>
      <w:r>
        <w:rPr>
          <w:rStyle w:val="CharDivText"/>
        </w:rPr>
        <w:t>High risk diving work</w:t>
      </w:r>
      <w:bookmarkEnd w:id="327"/>
    </w:p>
    <w:p>
      <w:pPr>
        <w:pStyle w:val="Heading5"/>
      </w:pPr>
      <w:bookmarkStart w:id="328" w:name="_Toc200719832"/>
      <w:r>
        <w:rPr>
          <w:rStyle w:val="CharSectno"/>
        </w:rPr>
        <w:t>183</w:t>
      </w:r>
      <w:r>
        <w:t>.</w:t>
      </w:r>
      <w:r>
        <w:tab/>
        <w:t>Duties of person conducting business or undertaking</w:t>
      </w:r>
      <w:bookmarkEnd w:id="328"/>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lastRenderedPageBreak/>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29" w:name="_Toc200719833"/>
      <w:r>
        <w:rPr>
          <w:rStyle w:val="CharSectno"/>
        </w:rPr>
        <w:t>184</w:t>
      </w:r>
      <w:r>
        <w:t>.</w:t>
      </w:r>
      <w:r>
        <w:tab/>
        <w:t>Duty of worker: competence</w:t>
      </w:r>
      <w:bookmarkEnd w:id="329"/>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330" w:name="_Toc200719834"/>
      <w:r>
        <w:rPr>
          <w:rStyle w:val="CharPartNo"/>
        </w:rPr>
        <w:t>Part 4.9</w:t>
      </w:r>
      <w:r>
        <w:rPr>
          <w:rStyle w:val="CharDivNo"/>
        </w:rPr>
        <w:t> </w:t>
      </w:r>
      <w:r>
        <w:t>—</w:t>
      </w:r>
      <w:r>
        <w:rPr>
          <w:rStyle w:val="CharDivText"/>
        </w:rPr>
        <w:t> </w:t>
      </w:r>
      <w:r>
        <w:rPr>
          <w:rStyle w:val="CharPartText"/>
        </w:rPr>
        <w:t>Use of power tools on engineered stone products</w:t>
      </w:r>
      <w:bookmarkEnd w:id="330"/>
    </w:p>
    <w:p>
      <w:pPr>
        <w:pStyle w:val="Heading5"/>
      </w:pPr>
      <w:bookmarkStart w:id="331" w:name="_Toc200719835"/>
      <w:r>
        <w:rPr>
          <w:rStyle w:val="CharSectno"/>
        </w:rPr>
        <w:t>184A</w:t>
      </w:r>
      <w:r>
        <w:t>.</w:t>
      </w:r>
      <w:r>
        <w:tab/>
        <w:t>Use of power tools on engineered stone products</w:t>
      </w:r>
      <w:bookmarkEnd w:id="331"/>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 xml:space="preserve">a commercially available on tool extraction system connected to a Dust Class H Vacuum or </w:t>
      </w:r>
      <w:r>
        <w:lastRenderedPageBreak/>
        <w:t>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keepNext w:val="0"/>
      </w:pPr>
      <w:bookmarkStart w:id="332" w:name="_Toc200719836"/>
      <w:r>
        <w:t>Part 4.10 — Not used</w:t>
      </w:r>
      <w:bookmarkEnd w:id="332"/>
    </w:p>
    <w:p>
      <w:pPr>
        <w:pStyle w:val="Heading5"/>
        <w:keepNext w:val="0"/>
        <w:keepLines w:val="0"/>
      </w:pPr>
      <w:bookmarkStart w:id="333" w:name="_Toc200719837"/>
      <w:r>
        <w:t>184B.</w:t>
      </w:r>
      <w:r>
        <w:tab/>
        <w:t>Not used</w:t>
      </w:r>
      <w:bookmarkEnd w:id="333"/>
    </w:p>
    <w:p>
      <w:pPr>
        <w:pStyle w:val="Heading5"/>
        <w:keepNext w:val="0"/>
        <w:keepLines w:val="0"/>
      </w:pPr>
      <w:bookmarkStart w:id="334" w:name="_Toc200719838"/>
      <w:r>
        <w:t>184C.</w:t>
      </w:r>
      <w:r>
        <w:tab/>
        <w:t>Not used</w:t>
      </w:r>
      <w:bookmarkEnd w:id="334"/>
    </w:p>
    <w:p>
      <w:pPr>
        <w:pStyle w:val="Heading5"/>
        <w:keepNext w:val="0"/>
        <w:keepLines w:val="0"/>
      </w:pPr>
      <w:bookmarkStart w:id="335" w:name="_Toc200719839"/>
      <w:r>
        <w:t>184D.</w:t>
      </w:r>
      <w:r>
        <w:tab/>
        <w:t>Not used</w:t>
      </w:r>
      <w:bookmarkEnd w:id="335"/>
    </w:p>
    <w:p>
      <w:pPr>
        <w:pStyle w:val="Heading5"/>
        <w:keepNext w:val="0"/>
        <w:keepLines w:val="0"/>
      </w:pPr>
      <w:bookmarkStart w:id="336" w:name="_Toc200719840"/>
      <w:r>
        <w:lastRenderedPageBreak/>
        <w:t>184E.</w:t>
      </w:r>
      <w:r>
        <w:tab/>
        <w:t>Not used</w:t>
      </w:r>
      <w:bookmarkEnd w:id="336"/>
    </w:p>
    <w:p>
      <w:pPr>
        <w:pStyle w:val="Heading5"/>
        <w:keepNext w:val="0"/>
        <w:keepLines w:val="0"/>
      </w:pPr>
      <w:bookmarkStart w:id="337" w:name="_Toc200719841"/>
      <w:r>
        <w:t>184F.</w:t>
      </w:r>
      <w:r>
        <w:tab/>
        <w:t>Not used</w:t>
      </w:r>
      <w:bookmarkEnd w:id="337"/>
    </w:p>
    <w:p>
      <w:pPr>
        <w:pStyle w:val="Heading5"/>
        <w:keepNext w:val="0"/>
        <w:keepLines w:val="0"/>
      </w:pPr>
      <w:bookmarkStart w:id="338" w:name="_Toc200719842"/>
      <w:r>
        <w:t>184G.</w:t>
      </w:r>
      <w:r>
        <w:tab/>
        <w:t>Not used</w:t>
      </w:r>
      <w:bookmarkEnd w:id="338"/>
    </w:p>
    <w:p>
      <w:pPr>
        <w:pStyle w:val="Heading2"/>
      </w:pPr>
      <w:bookmarkStart w:id="339" w:name="_Toc200719843"/>
      <w:r>
        <w:lastRenderedPageBreak/>
        <w:t>Chapter 5 — Plant and structures</w:t>
      </w:r>
      <w:bookmarkEnd w:id="339"/>
      <w:r>
        <w:t xml:space="preserve"> </w:t>
      </w:r>
    </w:p>
    <w:p>
      <w:pPr>
        <w:pStyle w:val="Heading3"/>
      </w:pPr>
      <w:bookmarkStart w:id="340" w:name="_Toc200719844"/>
      <w:r>
        <w:rPr>
          <w:rStyle w:val="CharPartNo"/>
        </w:rPr>
        <w:t>Part 5.1</w:t>
      </w:r>
      <w:r>
        <w:t> — </w:t>
      </w:r>
      <w:r>
        <w:rPr>
          <w:rStyle w:val="CharPartText"/>
        </w:rPr>
        <w:t>General duties for plant and structures</w:t>
      </w:r>
      <w:bookmarkEnd w:id="340"/>
    </w:p>
    <w:p>
      <w:pPr>
        <w:pStyle w:val="Heading4"/>
      </w:pPr>
      <w:bookmarkStart w:id="341" w:name="_Toc200719845"/>
      <w:r>
        <w:rPr>
          <w:rStyle w:val="CharDivNo"/>
        </w:rPr>
        <w:t>Division 1</w:t>
      </w:r>
      <w:r>
        <w:t> — </w:t>
      </w:r>
      <w:r>
        <w:rPr>
          <w:rStyle w:val="CharDivText"/>
        </w:rPr>
        <w:t>Preliminary</w:t>
      </w:r>
      <w:bookmarkEnd w:id="341"/>
    </w:p>
    <w:p>
      <w:pPr>
        <w:pStyle w:val="Heading5"/>
      </w:pPr>
      <w:bookmarkStart w:id="342" w:name="_Toc200719846"/>
      <w:r>
        <w:rPr>
          <w:rStyle w:val="CharSectno"/>
        </w:rPr>
        <w:t>185</w:t>
      </w:r>
      <w:r>
        <w:t>.</w:t>
      </w:r>
      <w:r>
        <w:tab/>
        <w:t>Application of Part to plant</w:t>
      </w:r>
      <w:bookmarkEnd w:id="342"/>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343" w:name="_Toc200719847"/>
      <w:r>
        <w:rPr>
          <w:rStyle w:val="CharSectno"/>
        </w:rPr>
        <w:t>186</w:t>
      </w:r>
      <w:r>
        <w:t>.</w:t>
      </w:r>
      <w:r>
        <w:tab/>
        <w:t>Application of Part to structures</w:t>
      </w:r>
      <w:bookmarkEnd w:id="343"/>
    </w:p>
    <w:p>
      <w:pPr>
        <w:pStyle w:val="Subsection"/>
      </w:pPr>
      <w:r>
        <w:tab/>
      </w:r>
      <w:r>
        <w:tab/>
        <w:t>This Part applies to structures as provided in this Part.</w:t>
      </w:r>
    </w:p>
    <w:p>
      <w:pPr>
        <w:pStyle w:val="Heading4"/>
      </w:pPr>
      <w:bookmarkStart w:id="344" w:name="_Toc200719848"/>
      <w:r>
        <w:rPr>
          <w:rStyle w:val="CharDivNo"/>
        </w:rPr>
        <w:t>Division 2</w:t>
      </w:r>
      <w:r>
        <w:t> — </w:t>
      </w:r>
      <w:r>
        <w:rPr>
          <w:rStyle w:val="CharDivText"/>
        </w:rPr>
        <w:t>Duties of persons conducting businesses or undertakings that design plant</w:t>
      </w:r>
      <w:bookmarkEnd w:id="344"/>
    </w:p>
    <w:p>
      <w:pPr>
        <w:pStyle w:val="Heading5"/>
      </w:pPr>
      <w:bookmarkStart w:id="345" w:name="_Toc200719849"/>
      <w:r>
        <w:rPr>
          <w:rStyle w:val="CharSectno"/>
        </w:rPr>
        <w:t>187</w:t>
      </w:r>
      <w:r>
        <w:t>.</w:t>
      </w:r>
      <w:r>
        <w:tab/>
        <w:t>Provision of information to manufacturer</w:t>
      </w:r>
      <w:bookmarkEnd w:id="345"/>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346" w:name="_Toc200719850"/>
      <w:r>
        <w:rPr>
          <w:rStyle w:val="CharSectno"/>
        </w:rPr>
        <w:t>188</w:t>
      </w:r>
      <w:r>
        <w:t>.</w:t>
      </w:r>
      <w:r>
        <w:tab/>
        <w:t>Hazard identified in design during manufacture</w:t>
      </w:r>
      <w:bookmarkEnd w:id="346"/>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347" w:name="_Toc200719851"/>
      <w:r>
        <w:rPr>
          <w:rStyle w:val="CharSectno"/>
        </w:rPr>
        <w:t>189</w:t>
      </w:r>
      <w:r>
        <w:t>.</w:t>
      </w:r>
      <w:r>
        <w:tab/>
        <w:t>Guarding</w:t>
      </w:r>
      <w:bookmarkEnd w:id="347"/>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48" w:name="_Toc200719852"/>
      <w:r>
        <w:rPr>
          <w:rStyle w:val="CharSectno"/>
        </w:rPr>
        <w:t>190</w:t>
      </w:r>
      <w:r>
        <w:t>.</w:t>
      </w:r>
      <w:r>
        <w:tab/>
        <w:t>Operational controls</w:t>
      </w:r>
      <w:bookmarkEnd w:id="348"/>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49" w:name="_Toc200719853"/>
      <w:r>
        <w:rPr>
          <w:rStyle w:val="CharSectno"/>
        </w:rPr>
        <w:t>191</w:t>
      </w:r>
      <w:r>
        <w:t>.</w:t>
      </w:r>
      <w:r>
        <w:tab/>
        <w:t>Emergency stop controls</w:t>
      </w:r>
      <w:bookmarkEnd w:id="349"/>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50" w:name="_Toc200719854"/>
      <w:r>
        <w:rPr>
          <w:rStyle w:val="CharSectno"/>
        </w:rPr>
        <w:t>192</w:t>
      </w:r>
      <w:r>
        <w:t>.</w:t>
      </w:r>
      <w:r>
        <w:tab/>
        <w:t>Warning devices</w:t>
      </w:r>
      <w:bookmarkEnd w:id="350"/>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51" w:name="_Toc200719855"/>
      <w:r>
        <w:rPr>
          <w:rStyle w:val="CharDivNo"/>
        </w:rPr>
        <w:t>Division 3</w:t>
      </w:r>
      <w:r>
        <w:t> — </w:t>
      </w:r>
      <w:r>
        <w:rPr>
          <w:rStyle w:val="CharDivText"/>
        </w:rPr>
        <w:t>Duties of persons conducting businesses or undertakings that manufacture plant</w:t>
      </w:r>
      <w:bookmarkEnd w:id="351"/>
    </w:p>
    <w:p>
      <w:pPr>
        <w:pStyle w:val="Heading5"/>
      </w:pPr>
      <w:bookmarkStart w:id="352" w:name="_Toc200719856"/>
      <w:r>
        <w:rPr>
          <w:rStyle w:val="CharSectno"/>
        </w:rPr>
        <w:t>193</w:t>
      </w:r>
      <w:r>
        <w:t>.</w:t>
      </w:r>
      <w:r>
        <w:tab/>
        <w:t>Control of risk</w:t>
      </w:r>
      <w:bookmarkEnd w:id="352"/>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keepNext/>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353" w:name="_Toc200719857"/>
      <w:r>
        <w:rPr>
          <w:rStyle w:val="CharSectno"/>
        </w:rPr>
        <w:t>194</w:t>
      </w:r>
      <w:r>
        <w:t>.</w:t>
      </w:r>
      <w:r>
        <w:tab/>
        <w:t>Guarding</w:t>
      </w:r>
      <w:bookmarkEnd w:id="353"/>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54" w:name="_Toc200719858"/>
      <w:r>
        <w:rPr>
          <w:rStyle w:val="CharSectno"/>
        </w:rPr>
        <w:lastRenderedPageBreak/>
        <w:t>195</w:t>
      </w:r>
      <w:r>
        <w:t>.</w:t>
      </w:r>
      <w:r>
        <w:tab/>
        <w:t>Information must be obtained and provided</w:t>
      </w:r>
      <w:bookmarkEnd w:id="354"/>
    </w:p>
    <w:p>
      <w:pPr>
        <w:pStyle w:val="Subsection"/>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355" w:name="_Toc200719859"/>
      <w:r>
        <w:rPr>
          <w:rStyle w:val="CharDivNo"/>
        </w:rPr>
        <w:t>Division 4</w:t>
      </w:r>
      <w:r>
        <w:t> — </w:t>
      </w:r>
      <w:r>
        <w:rPr>
          <w:rStyle w:val="CharDivText"/>
        </w:rPr>
        <w:t>Duties of persons conducting businesses or undertakings that import plant</w:t>
      </w:r>
      <w:bookmarkEnd w:id="355"/>
    </w:p>
    <w:p>
      <w:pPr>
        <w:pStyle w:val="Heading5"/>
      </w:pPr>
      <w:bookmarkStart w:id="356" w:name="_Toc200719860"/>
      <w:r>
        <w:rPr>
          <w:rStyle w:val="CharSectno"/>
        </w:rPr>
        <w:t>196</w:t>
      </w:r>
      <w:r>
        <w:t>.</w:t>
      </w:r>
      <w:r>
        <w:tab/>
        <w:t>Information to be obtained and provided by importer</w:t>
      </w:r>
      <w:bookmarkEnd w:id="356"/>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57" w:name="_Toc200719861"/>
      <w:r>
        <w:rPr>
          <w:rStyle w:val="CharSectno"/>
        </w:rPr>
        <w:t>197</w:t>
      </w:r>
      <w:r>
        <w:t>.</w:t>
      </w:r>
      <w:r>
        <w:tab/>
        <w:t>Control of risk</w:t>
      </w:r>
      <w:bookmarkEnd w:id="357"/>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358" w:name="_Toc200719862"/>
      <w:r>
        <w:rPr>
          <w:rStyle w:val="CharDivNo"/>
        </w:rPr>
        <w:lastRenderedPageBreak/>
        <w:t>Division 5</w:t>
      </w:r>
      <w:r>
        <w:t> — </w:t>
      </w:r>
      <w:r>
        <w:rPr>
          <w:rStyle w:val="CharDivText"/>
        </w:rPr>
        <w:t>Duties of persons conducting businesses or undertakings that supply plant</w:t>
      </w:r>
      <w:bookmarkEnd w:id="358"/>
    </w:p>
    <w:p>
      <w:pPr>
        <w:pStyle w:val="Heading5"/>
      </w:pPr>
      <w:bookmarkStart w:id="359" w:name="_Toc200719863"/>
      <w:r>
        <w:rPr>
          <w:rStyle w:val="CharSectno"/>
        </w:rPr>
        <w:t>198</w:t>
      </w:r>
      <w:r>
        <w:t>.</w:t>
      </w:r>
      <w:r>
        <w:tab/>
        <w:t>Information to be obtained and provided by supplier</w:t>
      </w:r>
      <w:bookmarkEnd w:id="359"/>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60" w:name="_Toc200719864"/>
      <w:r>
        <w:rPr>
          <w:rStyle w:val="CharSectno"/>
        </w:rPr>
        <w:t>199</w:t>
      </w:r>
      <w:r>
        <w:t>.</w:t>
      </w:r>
      <w:r>
        <w:tab/>
        <w:t>Supply of second</w:t>
      </w:r>
      <w:r>
        <w:noBreakHyphen/>
        <w:t>hand plant: duties of supplier</w:t>
      </w:r>
      <w:bookmarkEnd w:id="360"/>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pPr>
      <w:r>
        <w:tab/>
        <w:t>(c)</w:t>
      </w:r>
      <w:r>
        <w:tab/>
        <w:t>if appropriate, that the plant should not be used until the faults are rectified.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This regulation does not apply to plant to be used for scrap or spare parts.</w:t>
      </w:r>
    </w:p>
    <w:p>
      <w:pPr>
        <w:pStyle w:val="Heading5"/>
      </w:pPr>
      <w:bookmarkStart w:id="361" w:name="_Toc200719865"/>
      <w:r>
        <w:rPr>
          <w:rStyle w:val="CharSectno"/>
        </w:rPr>
        <w:t>200</w:t>
      </w:r>
      <w:r>
        <w:t>.</w:t>
      </w:r>
      <w:r>
        <w:tab/>
        <w:t>Second</w:t>
      </w:r>
      <w:r>
        <w:noBreakHyphen/>
        <w:t>hand plant to be used for scrap or spare parts</w:t>
      </w:r>
      <w:bookmarkEnd w:id="361"/>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362" w:name="_Toc200719866"/>
      <w:r>
        <w:rPr>
          <w:rStyle w:val="CharDivNo"/>
        </w:rPr>
        <w:t>Division 6</w:t>
      </w:r>
      <w:r>
        <w:t> — </w:t>
      </w:r>
      <w:r>
        <w:rPr>
          <w:rStyle w:val="CharDivText"/>
        </w:rPr>
        <w:t>Duties of persons conducting businesses or undertakings that install, construct or commission plant or structures</w:t>
      </w:r>
      <w:bookmarkEnd w:id="362"/>
    </w:p>
    <w:p>
      <w:pPr>
        <w:pStyle w:val="Heading5"/>
      </w:pPr>
      <w:bookmarkStart w:id="363" w:name="_Toc200719867"/>
      <w:r>
        <w:rPr>
          <w:rStyle w:val="CharSectno"/>
        </w:rPr>
        <w:t>201</w:t>
      </w:r>
      <w:r>
        <w:t>.</w:t>
      </w:r>
      <w:r>
        <w:tab/>
        <w:t>Duties of persons conducting businesses or undertakings that install, construct or commission plant</w:t>
      </w:r>
      <w:bookmarkEnd w:id="363"/>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keepNext/>
      </w:pPr>
      <w:r>
        <w:lastRenderedPageBreak/>
        <w:tab/>
        <w:t>(b)</w:t>
      </w:r>
      <w:r>
        <w:tab/>
        <w:t>the instructions provided by a competent person to the extent that those instructions relate to health and safety.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Heading5"/>
      </w:pPr>
      <w:bookmarkStart w:id="364" w:name="_Toc200719868"/>
      <w:r>
        <w:rPr>
          <w:rStyle w:val="CharSectno"/>
        </w:rPr>
        <w:t>202</w:t>
      </w:r>
      <w:r>
        <w:t>.</w:t>
      </w:r>
      <w:r>
        <w:tab/>
        <w:t>Duties of persons conducting businesses or undertakings that install, construct or commission structures</w:t>
      </w:r>
      <w:bookmarkEnd w:id="364"/>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65" w:name="_Toc200719869"/>
      <w:r>
        <w:rPr>
          <w:rStyle w:val="CharDivNo"/>
        </w:rPr>
        <w:t>Division 7</w:t>
      </w:r>
      <w:r>
        <w:t> — </w:t>
      </w:r>
      <w:r>
        <w:rPr>
          <w:rStyle w:val="CharDivText"/>
        </w:rPr>
        <w:t>General duties of a person conducting a business or undertaking involving the management or control of plant</w:t>
      </w:r>
      <w:bookmarkEnd w:id="365"/>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366" w:name="_Toc200719870"/>
      <w:r>
        <w:lastRenderedPageBreak/>
        <w:t>Subdivision 1 — Management of risks</w:t>
      </w:r>
      <w:bookmarkEnd w:id="366"/>
    </w:p>
    <w:p>
      <w:pPr>
        <w:pStyle w:val="Heading5"/>
      </w:pPr>
      <w:bookmarkStart w:id="367" w:name="_Toc200719871"/>
      <w:r>
        <w:rPr>
          <w:rStyle w:val="CharSectno"/>
        </w:rPr>
        <w:t>203</w:t>
      </w:r>
      <w:r>
        <w:t>.</w:t>
      </w:r>
      <w:r>
        <w:tab/>
        <w:t>Management of risks to health and safety</w:t>
      </w:r>
      <w:bookmarkEnd w:id="367"/>
    </w:p>
    <w:p>
      <w:pPr>
        <w:pStyle w:val="Subsection"/>
        <w:keepNext/>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368" w:name="_Toc200719872"/>
      <w:r>
        <w:t>Subdivision 2 — Additional control measures for general plant</w:t>
      </w:r>
      <w:bookmarkEnd w:id="368"/>
    </w:p>
    <w:p>
      <w:pPr>
        <w:pStyle w:val="Heading5"/>
      </w:pPr>
      <w:bookmarkStart w:id="369" w:name="_Toc200719873"/>
      <w:r>
        <w:rPr>
          <w:rStyle w:val="CharSectno"/>
        </w:rPr>
        <w:t>204</w:t>
      </w:r>
      <w:r>
        <w:t>.</w:t>
      </w:r>
      <w:r>
        <w:tab/>
        <w:t>Control of risks arising from installation or commissioning</w:t>
      </w:r>
      <w:bookmarkEnd w:id="369"/>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70" w:name="_Toc200719874"/>
      <w:r>
        <w:rPr>
          <w:rStyle w:val="CharSectno"/>
        </w:rPr>
        <w:t>205</w:t>
      </w:r>
      <w:r>
        <w:t>.</w:t>
      </w:r>
      <w:r>
        <w:tab/>
        <w:t>Preventing unauthorised alterations to or interference with plant</w:t>
      </w:r>
      <w:bookmarkEnd w:id="370"/>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keepNext/>
      </w:pPr>
      <w:r>
        <w:lastRenderedPageBreak/>
        <w:tab/>
        <w:t>(b)</w:t>
      </w:r>
      <w:r>
        <w:tab/>
        <w:t>for a body corporate, a fine of $35 000.</w:t>
      </w:r>
    </w:p>
    <w:p>
      <w:pPr>
        <w:pStyle w:val="Heading5"/>
      </w:pPr>
      <w:bookmarkStart w:id="371" w:name="_Toc200719875"/>
      <w:r>
        <w:rPr>
          <w:rStyle w:val="CharSectno"/>
        </w:rPr>
        <w:t>206</w:t>
      </w:r>
      <w:r>
        <w:t>.</w:t>
      </w:r>
      <w:r>
        <w:tab/>
        <w:t>Proper use of plant and controls</w:t>
      </w:r>
      <w:bookmarkEnd w:id="371"/>
    </w:p>
    <w:p>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72" w:name="_Toc200719876"/>
      <w:r>
        <w:rPr>
          <w:rStyle w:val="CharSectno"/>
        </w:rPr>
        <w:lastRenderedPageBreak/>
        <w:t>207</w:t>
      </w:r>
      <w:r>
        <w:t>.</w:t>
      </w:r>
      <w:r>
        <w:tab/>
        <w:t>Plant not in use</w:t>
      </w:r>
      <w:bookmarkEnd w:id="372"/>
    </w:p>
    <w:p>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73" w:name="_Toc200719877"/>
      <w:r>
        <w:rPr>
          <w:rStyle w:val="CharSectno"/>
        </w:rPr>
        <w:t>208</w:t>
      </w:r>
      <w:r>
        <w:t>.</w:t>
      </w:r>
      <w:r>
        <w:tab/>
        <w:t>Guarding</w:t>
      </w:r>
      <w:bookmarkEnd w:id="373"/>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keepNext/>
      </w:pPr>
      <w:r>
        <w:tab/>
        <w:t>(d)</w:t>
      </w:r>
      <w:r>
        <w:tab/>
        <w:t>if it is not reasonably practicable to use guarding referred to in paragraph (a), (b) or (c), the guarding includes a presence</w:t>
      </w:r>
      <w:r>
        <w:noBreakHyphen/>
        <w:t xml:space="preserve">sensing safeguarding system that eliminates any risk arising from the area of the plant </w:t>
      </w:r>
      <w:r>
        <w:lastRenderedPageBreak/>
        <w:t>requiring guarding while a person or any part of a person is in the area being guarded.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lastRenderedPageBreak/>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74" w:name="_Toc200719878"/>
      <w:r>
        <w:rPr>
          <w:rStyle w:val="CharSectno"/>
        </w:rPr>
        <w:t>209</w:t>
      </w:r>
      <w:r>
        <w:t>.</w:t>
      </w:r>
      <w:r>
        <w:tab/>
        <w:t>Guarding and insulation from heat and cold</w:t>
      </w:r>
      <w:bookmarkEnd w:id="374"/>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75" w:name="_Toc200719879"/>
      <w:r>
        <w:rPr>
          <w:rStyle w:val="CharSectno"/>
        </w:rPr>
        <w:t>210</w:t>
      </w:r>
      <w:r>
        <w:t>.</w:t>
      </w:r>
      <w:r>
        <w:tab/>
        <w:t>Operational controls</w:t>
      </w:r>
      <w:bookmarkEnd w:id="375"/>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keepNext/>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76" w:name="_Toc200719880"/>
      <w:r>
        <w:rPr>
          <w:rStyle w:val="CharSectno"/>
        </w:rPr>
        <w:lastRenderedPageBreak/>
        <w:t>211</w:t>
      </w:r>
      <w:r>
        <w:t>.</w:t>
      </w:r>
      <w:r>
        <w:tab/>
        <w:t>Emergency stops</w:t>
      </w:r>
      <w:bookmarkEnd w:id="376"/>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77" w:name="_Toc200719881"/>
      <w:r>
        <w:rPr>
          <w:rStyle w:val="CharSectno"/>
        </w:rPr>
        <w:t>212</w:t>
      </w:r>
      <w:r>
        <w:t>.</w:t>
      </w:r>
      <w:r>
        <w:tab/>
        <w:t>Warning devices</w:t>
      </w:r>
      <w:bookmarkEnd w:id="377"/>
    </w:p>
    <w:p>
      <w:pPr>
        <w:pStyle w:val="Subsection"/>
      </w:pPr>
      <w:r>
        <w:tab/>
        <w:t>(1)</w:t>
      </w:r>
      <w:r>
        <w:tab/>
        <w:t>This regulation applies if the design of plant includes an emergency warning device or it is necessary to include an emergency warning device to minimise risk.</w:t>
      </w:r>
    </w:p>
    <w:p>
      <w:pPr>
        <w:pStyle w:val="Subsection"/>
        <w:keepNext/>
      </w:pPr>
      <w:r>
        <w:lastRenderedPageBreak/>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78" w:name="_Toc200719882"/>
      <w:r>
        <w:rPr>
          <w:rStyle w:val="CharSectno"/>
        </w:rPr>
        <w:t>213</w:t>
      </w:r>
      <w:r>
        <w:t>.</w:t>
      </w:r>
      <w:r>
        <w:tab/>
        <w:t>Maintenance and inspection of plant</w:t>
      </w:r>
      <w:bookmarkEnd w:id="378"/>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379" w:name="_Toc200719883"/>
      <w:r>
        <w:t>Subdivision 3 — Additional control measures for certain plant</w:t>
      </w:r>
      <w:bookmarkEnd w:id="379"/>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380" w:name="_Toc200719884"/>
      <w:r>
        <w:rPr>
          <w:rStyle w:val="CharSectno"/>
        </w:rPr>
        <w:lastRenderedPageBreak/>
        <w:t>214</w:t>
      </w:r>
      <w:r>
        <w:t>.</w:t>
      </w:r>
      <w:r>
        <w:tab/>
        <w:t>Powered mobile plant: general control of risk</w:t>
      </w:r>
      <w:bookmarkEnd w:id="380"/>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381" w:name="_Toc200719885"/>
      <w:r>
        <w:rPr>
          <w:rStyle w:val="CharSectno"/>
        </w:rPr>
        <w:t>215</w:t>
      </w:r>
      <w:r>
        <w:t>.</w:t>
      </w:r>
      <w:r>
        <w:tab/>
        <w:t>Powered mobile plant: specific control measures</w:t>
      </w:r>
      <w:bookmarkEnd w:id="381"/>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82" w:name="_Toc200719886"/>
      <w:r>
        <w:rPr>
          <w:rStyle w:val="CharSectno"/>
        </w:rPr>
        <w:t>216</w:t>
      </w:r>
      <w:r>
        <w:t>.</w:t>
      </w:r>
      <w:r>
        <w:tab/>
        <w:t>Roll</w:t>
      </w:r>
      <w:r>
        <w:noBreakHyphen/>
        <w:t>over protection on tractors</w:t>
      </w:r>
      <w:bookmarkEnd w:id="382"/>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383" w:name="_Toc200719887"/>
      <w:r>
        <w:t>217.</w:t>
      </w:r>
      <w:r>
        <w:tab/>
        <w:t>Not used</w:t>
      </w:r>
      <w:bookmarkEnd w:id="383"/>
    </w:p>
    <w:p>
      <w:pPr>
        <w:pStyle w:val="Heading5"/>
      </w:pPr>
      <w:bookmarkStart w:id="384" w:name="_Toc200719888"/>
      <w:r>
        <w:rPr>
          <w:rStyle w:val="CharSectno"/>
        </w:rPr>
        <w:t>218</w:t>
      </w:r>
      <w:r>
        <w:t>.</w:t>
      </w:r>
      <w:r>
        <w:tab/>
        <w:t>Industrial lift trucks</w:t>
      </w:r>
      <w:bookmarkEnd w:id="384"/>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lastRenderedPageBreak/>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385" w:name="_Toc200719889"/>
      <w:r>
        <w:rPr>
          <w:rStyle w:val="CharSectno"/>
        </w:rPr>
        <w:t>219</w:t>
      </w:r>
      <w:r>
        <w:t>.</w:t>
      </w:r>
      <w:r>
        <w:tab/>
        <w:t>Plant that lifts or suspends loads</w:t>
      </w:r>
      <w:bookmarkEnd w:id="385"/>
    </w:p>
    <w:p>
      <w:pPr>
        <w:pStyle w:val="Subsection"/>
      </w:pPr>
      <w:r>
        <w:tab/>
        <w:t>(1)</w:t>
      </w:r>
      <w:r>
        <w:tab/>
        <w:t>This regulation applies in relation to plant that is used to lift or suspend persons or things.</w:t>
      </w:r>
    </w:p>
    <w:p>
      <w:pPr>
        <w:pStyle w:val="Subsection"/>
      </w:pPr>
      <w:r>
        <w:lastRenderedPageBreak/>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86" w:name="_Toc200719890"/>
      <w:r>
        <w:rPr>
          <w:rStyle w:val="CharSectno"/>
        </w:rPr>
        <w:t>220</w:t>
      </w:r>
      <w:r>
        <w:t>.</w:t>
      </w:r>
      <w:r>
        <w:tab/>
        <w:t>Exception: plant not specifically designed to lift or suspend a person</w:t>
      </w:r>
      <w:bookmarkEnd w:id="386"/>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lastRenderedPageBreak/>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387" w:name="_Toc200719891"/>
      <w:r>
        <w:rPr>
          <w:rStyle w:val="CharSectno"/>
        </w:rPr>
        <w:t>221</w:t>
      </w:r>
      <w:r>
        <w:t>.</w:t>
      </w:r>
      <w:r>
        <w:tab/>
        <w:t>Plant used in connection with tree lopping</w:t>
      </w:r>
      <w:bookmarkEnd w:id="387"/>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lastRenderedPageBreak/>
        <w:tab/>
        <w:t>(2)</w:t>
      </w:r>
      <w:r>
        <w:tab/>
      </w:r>
      <w:r>
        <w:rPr>
          <w:i/>
        </w:rPr>
        <w:t>[not used]</w:t>
      </w:r>
    </w:p>
    <w:p>
      <w:pPr>
        <w:pStyle w:val="Heading5"/>
      </w:pPr>
      <w:bookmarkStart w:id="388" w:name="_Toc200719892"/>
      <w:r>
        <w:rPr>
          <w:rStyle w:val="CharSectno"/>
        </w:rPr>
        <w:t>222</w:t>
      </w:r>
      <w:r>
        <w:t>.</w:t>
      </w:r>
      <w:r>
        <w:tab/>
        <w:t>Industrial robots</w:t>
      </w:r>
      <w:bookmarkEnd w:id="388"/>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Regulation 631E prevails to the extent of any inconsistency with this regulation.</w:t>
      </w:r>
    </w:p>
    <w:p>
      <w:pPr>
        <w:pStyle w:val="Heading5"/>
      </w:pPr>
      <w:bookmarkStart w:id="389" w:name="_Toc200719893"/>
      <w:r>
        <w:rPr>
          <w:rStyle w:val="CharSectno"/>
        </w:rPr>
        <w:lastRenderedPageBreak/>
        <w:t>223</w:t>
      </w:r>
      <w:r>
        <w:t>.</w:t>
      </w:r>
      <w:r>
        <w:tab/>
        <w:t>Lasers</w:t>
      </w:r>
      <w:bookmarkEnd w:id="389"/>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that the workers operating the laser equipment are trained in the proper operation of the equipment.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90" w:name="_Toc200719894"/>
      <w:r>
        <w:rPr>
          <w:rStyle w:val="CharSectno"/>
        </w:rPr>
        <w:t>224</w:t>
      </w:r>
      <w:r>
        <w:t>.</w:t>
      </w:r>
      <w:r>
        <w:tab/>
        <w:t>Pressure equipment</w:t>
      </w:r>
      <w:bookmarkEnd w:id="390"/>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91" w:name="_Toc200719895"/>
      <w:r>
        <w:rPr>
          <w:rStyle w:val="CharSectno"/>
        </w:rPr>
        <w:lastRenderedPageBreak/>
        <w:t>225</w:t>
      </w:r>
      <w:r>
        <w:t>.</w:t>
      </w:r>
      <w:r>
        <w:tab/>
        <w:t>Scaffolds</w:t>
      </w:r>
      <w:bookmarkEnd w:id="391"/>
    </w:p>
    <w:p>
      <w:pPr>
        <w:pStyle w:val="Subsection"/>
        <w:keepNext/>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lastRenderedPageBreak/>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15.]</w:t>
      </w:r>
    </w:p>
    <w:p>
      <w:pPr>
        <w:pStyle w:val="Heading5"/>
      </w:pPr>
      <w:bookmarkStart w:id="392" w:name="_Toc200719896"/>
      <w:r>
        <w:rPr>
          <w:rStyle w:val="CharSectno"/>
        </w:rPr>
        <w:t>226</w:t>
      </w:r>
      <w:r>
        <w:t>.</w:t>
      </w:r>
      <w:r>
        <w:tab/>
        <w:t>Plant with presence</w:t>
      </w:r>
      <w:r>
        <w:noBreakHyphen/>
        <w:t>sensing safeguarding system: records</w:t>
      </w:r>
      <w:bookmarkEnd w:id="392"/>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lastRenderedPageBreak/>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393" w:name="_Toc200719897"/>
      <w:r>
        <w:rPr>
          <w:rStyle w:val="CharPartNo"/>
        </w:rPr>
        <w:t>Part 5.2</w:t>
      </w:r>
      <w:r>
        <w:t> — </w:t>
      </w:r>
      <w:r>
        <w:rPr>
          <w:rStyle w:val="CharPartText"/>
        </w:rPr>
        <w:t>Additional duties relating to registered plant and plant designs</w:t>
      </w:r>
      <w:bookmarkEnd w:id="393"/>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394" w:name="_Toc200719898"/>
      <w:r>
        <w:rPr>
          <w:rStyle w:val="CharDivNo"/>
        </w:rPr>
        <w:t>Division 1</w:t>
      </w:r>
      <w:r>
        <w:t> — </w:t>
      </w:r>
      <w:r>
        <w:rPr>
          <w:rStyle w:val="CharDivText"/>
        </w:rPr>
        <w:t>Application of Part</w:t>
      </w:r>
      <w:bookmarkEnd w:id="394"/>
    </w:p>
    <w:p>
      <w:pPr>
        <w:pStyle w:val="Heading5"/>
      </w:pPr>
      <w:bookmarkStart w:id="395" w:name="_Toc200719899"/>
      <w:r>
        <w:rPr>
          <w:rStyle w:val="CharSectno"/>
        </w:rPr>
        <w:t>227</w:t>
      </w:r>
      <w:r>
        <w:t>.</w:t>
      </w:r>
      <w:r>
        <w:tab/>
        <w:t>Application of Part</w:t>
      </w:r>
      <w:bookmarkEnd w:id="395"/>
    </w:p>
    <w:p>
      <w:pPr>
        <w:pStyle w:val="Subsection"/>
        <w:keepNext/>
      </w:pPr>
      <w:r>
        <w:tab/>
      </w:r>
      <w:r>
        <w:tab/>
        <w:t xml:space="preserve">This Part applies to — </w:t>
      </w:r>
    </w:p>
    <w:p>
      <w:pPr>
        <w:pStyle w:val="Indenta"/>
      </w:pPr>
      <w:r>
        <w:tab/>
        <w:t>(a)</w:t>
      </w:r>
      <w:r>
        <w:tab/>
        <w:t xml:space="preserve">plant that is required to be registered under the </w:t>
      </w:r>
      <w:r>
        <w:rPr>
          <w:i/>
        </w:rPr>
        <w:t>Work Health and Safety (General) Regulations 2022</w:t>
      </w:r>
      <w:r>
        <w:t xml:space="preserve"> Part 5.3; or</w:t>
      </w:r>
    </w:p>
    <w:p>
      <w:pPr>
        <w:pStyle w:val="Indenta"/>
      </w:pPr>
      <w:r>
        <w:lastRenderedPageBreak/>
        <w:tab/>
        <w:t>(b)</w:t>
      </w:r>
      <w:r>
        <w:tab/>
        <w:t xml:space="preserve">plant the design of which is required to be registered under the </w:t>
      </w:r>
      <w:r>
        <w:rPr>
          <w:i/>
        </w:rPr>
        <w:t>Work Health and Safety (General) Regulations 2022</w:t>
      </w:r>
      <w:r>
        <w:t xml:space="preserve"> Part 5.3.</w:t>
      </w:r>
    </w:p>
    <w:p>
      <w:pPr>
        <w:pStyle w:val="Heading4"/>
      </w:pPr>
      <w:bookmarkStart w:id="396" w:name="_Toc200719900"/>
      <w:r>
        <w:rPr>
          <w:rStyle w:val="CharDivNo"/>
        </w:rPr>
        <w:t>Division 2</w:t>
      </w:r>
      <w:r>
        <w:t> — </w:t>
      </w:r>
      <w:r>
        <w:rPr>
          <w:rStyle w:val="CharDivText"/>
        </w:rPr>
        <w:t>Duty of person conducting a business or undertaking who designs plant to record plant design</w:t>
      </w:r>
      <w:bookmarkEnd w:id="396"/>
    </w:p>
    <w:p>
      <w:pPr>
        <w:pStyle w:val="Heading5"/>
      </w:pPr>
      <w:bookmarkStart w:id="397" w:name="_Toc200719901"/>
      <w:r>
        <w:rPr>
          <w:rStyle w:val="CharSectno"/>
        </w:rPr>
        <w:t>228</w:t>
      </w:r>
      <w:r>
        <w:t>.</w:t>
      </w:r>
      <w:r>
        <w:tab/>
        <w:t>Records and information</w:t>
      </w:r>
      <w:bookmarkEnd w:id="397"/>
    </w:p>
    <w:p>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98" w:name="_Toc200719902"/>
      <w:r>
        <w:rPr>
          <w:rStyle w:val="CharSectno"/>
        </w:rPr>
        <w:t>229</w:t>
      </w:r>
      <w:r>
        <w:t>.</w:t>
      </w:r>
      <w:r>
        <w:tab/>
        <w:t>Record of standards or engineering principles used</w:t>
      </w:r>
      <w:bookmarkEnd w:id="398"/>
    </w:p>
    <w:p>
      <w:pPr>
        <w:pStyle w:val="Subsection"/>
        <w:keepNext/>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99" w:name="_Toc200719903"/>
      <w:r>
        <w:rPr>
          <w:rStyle w:val="CharSectno"/>
        </w:rPr>
        <w:t>230</w:t>
      </w:r>
      <w:r>
        <w:t>.</w:t>
      </w:r>
      <w:r>
        <w:tab/>
        <w:t>Records to be available for inspection</w:t>
      </w:r>
      <w:bookmarkEnd w:id="399"/>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00" w:name="_Toc200719904"/>
      <w:r>
        <w:rPr>
          <w:rStyle w:val="CharDivNo"/>
        </w:rPr>
        <w:lastRenderedPageBreak/>
        <w:t>Division 3</w:t>
      </w:r>
      <w:r>
        <w:t> — </w:t>
      </w:r>
      <w:r>
        <w:rPr>
          <w:rStyle w:val="CharDivText"/>
        </w:rPr>
        <w:t>Duties of a person conducting a business or undertaking</w:t>
      </w:r>
      <w:bookmarkEnd w:id="400"/>
    </w:p>
    <w:p>
      <w:pPr>
        <w:pStyle w:val="Heading5"/>
      </w:pPr>
      <w:bookmarkStart w:id="401" w:name="_Toc200719905"/>
      <w:r>
        <w:rPr>
          <w:rStyle w:val="CharSectno"/>
        </w:rPr>
        <w:t>231</w:t>
      </w:r>
      <w:r>
        <w:t>.</w:t>
      </w:r>
      <w:r>
        <w:tab/>
        <w:t>Duty of persons conducting businesses or undertakings that manufacture plant</w:t>
      </w:r>
      <w:bookmarkEnd w:id="401"/>
    </w:p>
    <w:p>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2" w:name="_Toc200719906"/>
      <w:r>
        <w:rPr>
          <w:rStyle w:val="CharSectno"/>
        </w:rPr>
        <w:t>232</w:t>
      </w:r>
      <w:r>
        <w:t>.</w:t>
      </w:r>
      <w:r>
        <w:tab/>
        <w:t>Duty of persons conducting businesses or undertakings that import plant</w:t>
      </w:r>
      <w:bookmarkEnd w:id="402"/>
    </w:p>
    <w:p>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3" w:name="_Toc200719907"/>
      <w:r>
        <w:rPr>
          <w:rStyle w:val="CharSectno"/>
        </w:rPr>
        <w:t>233</w:t>
      </w:r>
      <w:r>
        <w:t>.</w:t>
      </w:r>
      <w:r>
        <w:tab/>
        <w:t>Duty of persons conducting businesses or undertakings that supply plant</w:t>
      </w:r>
      <w:bookmarkEnd w:id="403"/>
    </w:p>
    <w:p>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4" w:name="_Toc200719908"/>
      <w:r>
        <w:rPr>
          <w:rStyle w:val="CharSectno"/>
        </w:rPr>
        <w:lastRenderedPageBreak/>
        <w:t>234</w:t>
      </w:r>
      <w:r>
        <w:t>.</w:t>
      </w:r>
      <w:r>
        <w:tab/>
        <w:t>Duty of persons conducting businesses or undertakings that commission plant</w:t>
      </w:r>
      <w:bookmarkEnd w:id="404"/>
    </w:p>
    <w:p>
      <w:pPr>
        <w:pStyle w:val="Subsection"/>
      </w:pPr>
      <w:r>
        <w:tab/>
        <w:t>(1)</w:t>
      </w:r>
      <w:r>
        <w:tab/>
        <w:t>This regulation applies to a person who conducts a business or undertaking that commissions plant.</w:t>
      </w:r>
    </w:p>
    <w:p>
      <w:pPr>
        <w:pStyle w:val="Subsection"/>
      </w:pPr>
      <w:r>
        <w:tab/>
        <w:t>(2)</w:t>
      </w:r>
      <w:r>
        <w:tab/>
        <w:t xml:space="preserve">The person must not commission an item of plant that is specified in Schedule 5 Division 2 for use in a workplace unless that item of plant is registered under the </w:t>
      </w:r>
      <w:r>
        <w:rPr>
          <w:i/>
        </w:rPr>
        <w:t>Work Health and Safety (General) Regulations 2022</w:t>
      </w:r>
      <w:r>
        <w:t xml:space="preserve">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405" w:name="_Toc200719909"/>
      <w:r>
        <w:rPr>
          <w:rStyle w:val="CharDivNo"/>
        </w:rPr>
        <w:t>Division 4</w:t>
      </w:r>
      <w:r>
        <w:t> — </w:t>
      </w:r>
      <w:r>
        <w:rPr>
          <w:rStyle w:val="CharDivText"/>
        </w:rPr>
        <w:t>Duties of a person conducting a business or undertaking involving the management or control of plant</w:t>
      </w:r>
      <w:bookmarkEnd w:id="405"/>
    </w:p>
    <w:p>
      <w:pPr>
        <w:pStyle w:val="Heading4"/>
      </w:pPr>
      <w:bookmarkStart w:id="406" w:name="_Toc200719910"/>
      <w:r>
        <w:t>Subdivision 1 — Control measures for registered plant</w:t>
      </w:r>
      <w:bookmarkEnd w:id="406"/>
    </w:p>
    <w:p>
      <w:pPr>
        <w:pStyle w:val="Heading5"/>
      </w:pPr>
      <w:bookmarkStart w:id="407" w:name="_Toc200719911"/>
      <w:r>
        <w:rPr>
          <w:rStyle w:val="CharSectno"/>
        </w:rPr>
        <w:t>235</w:t>
      </w:r>
      <w:r>
        <w:t>.</w:t>
      </w:r>
      <w:r>
        <w:tab/>
        <w:t>Major inspection of registered mobile cranes and tower cranes</w:t>
      </w:r>
      <w:bookmarkEnd w:id="407"/>
    </w:p>
    <w:p>
      <w:pPr>
        <w:pStyle w:val="Subsection"/>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keepNext/>
      </w:pPr>
      <w:r>
        <w:lastRenderedPageBreak/>
        <w:tab/>
        <w:t>(1B)</w:t>
      </w:r>
      <w:r>
        <w:tab/>
        <w:t xml:space="preserve">In this regulation, a </w:t>
      </w:r>
      <w:r>
        <w:rPr>
          <w:rStyle w:val="CharDefText"/>
        </w:rPr>
        <w:t>competent person</w:t>
      </w:r>
      <w:r>
        <w:t xml:space="preserve"> is a person who — </w:t>
      </w:r>
    </w:p>
    <w:p>
      <w:pPr>
        <w:pStyle w:val="Indenta"/>
        <w:keepNext/>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pPr>
      <w:r>
        <w:tab/>
        <w:t>(c)</w:t>
      </w:r>
      <w:r>
        <w:tab/>
        <w:t>if it is not reasonably practicable to comply with paragraph (a) or (b) — every 10 years from the date that the crane was first commissioned or first registered, whichever occurred first.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r>
      <w:r>
        <w:rPr>
          <w:i/>
        </w:rPr>
        <w:t>[not used]</w:t>
      </w:r>
    </w:p>
    <w:p>
      <w:pPr>
        <w:pStyle w:val="Subsection"/>
      </w:pPr>
      <w:r>
        <w:tab/>
        <w:t>(6)</w:t>
      </w:r>
      <w:r>
        <w:tab/>
      </w:r>
      <w:r>
        <w:rPr>
          <w:i/>
        </w:rPr>
        <w:t>[not used]</w:t>
      </w:r>
    </w:p>
    <w:p>
      <w:pPr>
        <w:pStyle w:val="Subsection"/>
      </w:pPr>
      <w:r>
        <w:tab/>
        <w:t>(7)</w:t>
      </w:r>
      <w:r>
        <w:tab/>
      </w:r>
      <w:r>
        <w:rPr>
          <w:i/>
        </w:rPr>
        <w:t>[not used]</w:t>
      </w:r>
    </w:p>
    <w:p>
      <w:pPr>
        <w:pStyle w:val="Heading5"/>
      </w:pPr>
      <w:bookmarkStart w:id="408" w:name="_Toc200719912"/>
      <w:r>
        <w:rPr>
          <w:rStyle w:val="CharSectno"/>
        </w:rPr>
        <w:t>236</w:t>
      </w:r>
      <w:r>
        <w:t>.</w:t>
      </w:r>
      <w:r>
        <w:tab/>
        <w:t>Lifts</w:t>
      </w:r>
      <w:bookmarkEnd w:id="408"/>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09" w:name="_Toc200719913"/>
      <w:r>
        <w:rPr>
          <w:rStyle w:val="CharSectno"/>
        </w:rPr>
        <w:t>237</w:t>
      </w:r>
      <w:r>
        <w:t>.</w:t>
      </w:r>
      <w:r>
        <w:tab/>
        <w:t>Records of plant</w:t>
      </w:r>
      <w:bookmarkEnd w:id="409"/>
    </w:p>
    <w:p>
      <w:pPr>
        <w:pStyle w:val="Subsection"/>
      </w:pPr>
      <w:r>
        <w:tab/>
        <w:t>(1)</w:t>
      </w:r>
      <w:r>
        <w:tab/>
        <w:t xml:space="preserve">This regulation applies in relation to plant that is required to be registered under the </w:t>
      </w:r>
      <w:r>
        <w:rPr>
          <w:i/>
        </w:rPr>
        <w:t>Work Health and Safety (General) Regulations 2022</w:t>
      </w:r>
      <w:r>
        <w:t xml:space="preserve">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10" w:name="_Toc200719914"/>
      <w:r>
        <w:t>Subdivision 2 — Not used</w:t>
      </w:r>
      <w:bookmarkEnd w:id="410"/>
    </w:p>
    <w:p>
      <w:pPr>
        <w:pStyle w:val="Heading5"/>
      </w:pPr>
      <w:bookmarkStart w:id="411" w:name="_Toc200719915"/>
      <w:r>
        <w:t>238.</w:t>
      </w:r>
      <w:r>
        <w:tab/>
        <w:t>Not used</w:t>
      </w:r>
      <w:bookmarkEnd w:id="411"/>
    </w:p>
    <w:p>
      <w:pPr>
        <w:pStyle w:val="Heading5"/>
        <w:keepNext w:val="0"/>
      </w:pPr>
      <w:bookmarkStart w:id="412" w:name="_Toc200719916"/>
      <w:r>
        <w:t>239.</w:t>
      </w:r>
      <w:r>
        <w:tab/>
        <w:t>Not used</w:t>
      </w:r>
      <w:bookmarkEnd w:id="412"/>
    </w:p>
    <w:p>
      <w:pPr>
        <w:pStyle w:val="Heading5"/>
        <w:keepNext w:val="0"/>
      </w:pPr>
      <w:bookmarkStart w:id="413" w:name="_Toc200719917"/>
      <w:r>
        <w:t>240.</w:t>
      </w:r>
      <w:r>
        <w:tab/>
        <w:t>Not used</w:t>
      </w:r>
      <w:bookmarkEnd w:id="413"/>
    </w:p>
    <w:p>
      <w:pPr>
        <w:pStyle w:val="Heading5"/>
        <w:keepNext w:val="0"/>
      </w:pPr>
      <w:bookmarkStart w:id="414" w:name="_Toc200719918"/>
      <w:r>
        <w:t>241.</w:t>
      </w:r>
      <w:r>
        <w:tab/>
        <w:t>Not used</w:t>
      </w:r>
      <w:bookmarkEnd w:id="414"/>
    </w:p>
    <w:p>
      <w:pPr>
        <w:pStyle w:val="Heading5"/>
        <w:keepNext w:val="0"/>
      </w:pPr>
      <w:bookmarkStart w:id="415" w:name="_Toc200719919"/>
      <w:r>
        <w:t>242.</w:t>
      </w:r>
      <w:r>
        <w:tab/>
        <w:t>Not used</w:t>
      </w:r>
      <w:bookmarkEnd w:id="415"/>
    </w:p>
    <w:p>
      <w:pPr>
        <w:pStyle w:val="Heading3"/>
      </w:pPr>
      <w:bookmarkStart w:id="416" w:name="_Toc200719920"/>
      <w:r>
        <w:rPr>
          <w:rStyle w:val="CharPartNo"/>
        </w:rPr>
        <w:t>Part 5.3</w:t>
      </w:r>
      <w:r>
        <w:t> — </w:t>
      </w:r>
      <w:r>
        <w:rPr>
          <w:rStyle w:val="CharPartText"/>
        </w:rPr>
        <w:t>Registration of plant designs and items of plant</w:t>
      </w:r>
      <w:bookmarkEnd w:id="416"/>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417" w:name="_Toc200719921"/>
      <w:r>
        <w:rPr>
          <w:rStyle w:val="CharDivNo"/>
        </w:rPr>
        <w:t>Division 1</w:t>
      </w:r>
      <w:r>
        <w:t> — </w:t>
      </w:r>
      <w:r>
        <w:rPr>
          <w:rStyle w:val="CharDivText"/>
        </w:rPr>
        <w:t>Plant designs to be registered</w:t>
      </w:r>
      <w:bookmarkEnd w:id="417"/>
    </w:p>
    <w:p>
      <w:pPr>
        <w:pStyle w:val="Heading5"/>
      </w:pPr>
      <w:bookmarkStart w:id="418" w:name="_Toc200719922"/>
      <w:r>
        <w:rPr>
          <w:rStyle w:val="CharSectno"/>
        </w:rPr>
        <w:t>243</w:t>
      </w:r>
      <w:r>
        <w:t>.</w:t>
      </w:r>
      <w:r>
        <w:tab/>
        <w:t xml:space="preserve">Plant design to be registered under </w:t>
      </w:r>
      <w:r>
        <w:rPr>
          <w:i/>
        </w:rPr>
        <w:t>Work Health and Safety (General) Regulations 2022</w:t>
      </w:r>
      <w:r>
        <w:t xml:space="preserve"> Part 5.3</w:t>
      </w:r>
      <w:bookmarkEnd w:id="418"/>
    </w:p>
    <w:p>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pPr>
        <w:pStyle w:val="PermNoteHeading"/>
      </w:pPr>
      <w:r>
        <w:tab/>
        <w:t>Note for this regulation:</w:t>
      </w:r>
    </w:p>
    <w:p>
      <w:pPr>
        <w:pStyle w:val="PermNoteText"/>
      </w:pPr>
      <w:r>
        <w:tab/>
      </w:r>
      <w:r>
        <w:tab/>
        <w:t>See section 42 of the Act.</w:t>
      </w:r>
    </w:p>
    <w:p>
      <w:pPr>
        <w:pStyle w:val="Heading5"/>
      </w:pPr>
      <w:bookmarkStart w:id="419" w:name="_Toc200719923"/>
      <w:r>
        <w:rPr>
          <w:rStyle w:val="CharSectno"/>
        </w:rPr>
        <w:lastRenderedPageBreak/>
        <w:t>244</w:t>
      </w:r>
      <w:r>
        <w:t>.</w:t>
      </w:r>
      <w:r>
        <w:tab/>
        <w:t>Altered plant designs to be registered</w:t>
      </w:r>
      <w:bookmarkEnd w:id="419"/>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420" w:name="_Toc200719924"/>
      <w:r>
        <w:rPr>
          <w:rStyle w:val="CharSectno"/>
        </w:rPr>
        <w:t>245</w:t>
      </w:r>
      <w:r>
        <w:t>.</w:t>
      </w:r>
      <w:r>
        <w:tab/>
        <w:t>Recognition of designs registered by corresponding regulator</w:t>
      </w:r>
      <w:bookmarkEnd w:id="420"/>
    </w:p>
    <w:p>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pPr>
        <w:pStyle w:val="Heading4"/>
      </w:pPr>
      <w:bookmarkStart w:id="421" w:name="_Toc200719925"/>
      <w:r>
        <w:rPr>
          <w:rStyle w:val="CharDivNo"/>
        </w:rPr>
        <w:lastRenderedPageBreak/>
        <w:t>Division 2</w:t>
      </w:r>
      <w:r>
        <w:t> — </w:t>
      </w:r>
      <w:r>
        <w:rPr>
          <w:rStyle w:val="CharDivText"/>
        </w:rPr>
        <w:t>Items of plant to be registered</w:t>
      </w:r>
      <w:bookmarkEnd w:id="421"/>
    </w:p>
    <w:p>
      <w:pPr>
        <w:pStyle w:val="Heading5"/>
      </w:pPr>
      <w:bookmarkStart w:id="422" w:name="_Toc200719926"/>
      <w:r>
        <w:rPr>
          <w:rStyle w:val="CharSectno"/>
        </w:rPr>
        <w:t>246</w:t>
      </w:r>
      <w:r>
        <w:t>.</w:t>
      </w:r>
      <w:r>
        <w:tab/>
        <w:t>Items of plant to be registered</w:t>
      </w:r>
      <w:bookmarkEnd w:id="422"/>
    </w:p>
    <w:p>
      <w:pPr>
        <w:pStyle w:val="Subsection"/>
      </w:pPr>
      <w:r>
        <w:tab/>
        <w:t>(1)</w:t>
      </w:r>
      <w:r>
        <w:tab/>
        <w:t xml:space="preserve">An item of plant specified in Schedule 5 Division 2 must be registered under the </w:t>
      </w:r>
      <w:r>
        <w:rPr>
          <w:i/>
        </w:rPr>
        <w:t>Work Health and Safety (General) Regulations 2022</w:t>
      </w:r>
      <w:r>
        <w:t xml:space="preserve"> Part 5.3.</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423" w:name="_Toc200719927"/>
      <w:r>
        <w:rPr>
          <w:rStyle w:val="CharSectno"/>
        </w:rPr>
        <w:t>247</w:t>
      </w:r>
      <w:r>
        <w:t>.</w:t>
      </w:r>
      <w:r>
        <w:tab/>
        <w:t>Recognition of plant registered by corresponding regulator</w:t>
      </w:r>
      <w:bookmarkEnd w:id="423"/>
    </w:p>
    <w:p>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pPr>
        <w:pStyle w:val="Heading4"/>
      </w:pPr>
      <w:bookmarkStart w:id="424" w:name="_Toc200719928"/>
      <w:r>
        <w:rPr>
          <w:rStyle w:val="CharDivNo"/>
        </w:rPr>
        <w:t>Division 3</w:t>
      </w:r>
      <w:r>
        <w:t> — </w:t>
      </w:r>
      <w:r>
        <w:rPr>
          <w:rStyle w:val="CharDivText"/>
        </w:rPr>
        <w:t>Registration process for plant designs</w:t>
      </w:r>
      <w:bookmarkEnd w:id="424"/>
    </w:p>
    <w:p>
      <w:pPr>
        <w:pStyle w:val="Heading5"/>
      </w:pPr>
      <w:bookmarkStart w:id="425" w:name="_Toc200719929"/>
      <w:r>
        <w:rPr>
          <w:rStyle w:val="CharSectno"/>
        </w:rPr>
        <w:t>248</w:t>
      </w:r>
      <w:r>
        <w:t>.</w:t>
      </w:r>
      <w:r>
        <w:tab/>
        <w:t>Application of Division</w:t>
      </w:r>
      <w:bookmarkEnd w:id="425"/>
    </w:p>
    <w:p>
      <w:pPr>
        <w:pStyle w:val="Subsection"/>
      </w:pPr>
      <w:r>
        <w:tab/>
      </w:r>
      <w:r>
        <w:tab/>
        <w:t>This Division applies to the registration of a design of an item of plant specified in Schedule 5 Division 1.</w:t>
      </w:r>
    </w:p>
    <w:p>
      <w:pPr>
        <w:pStyle w:val="Heading5"/>
      </w:pPr>
      <w:bookmarkStart w:id="426" w:name="_Toc200719930"/>
      <w:r>
        <w:rPr>
          <w:rStyle w:val="CharSectno"/>
        </w:rPr>
        <w:t>249</w:t>
      </w:r>
      <w:r>
        <w:t>.</w:t>
      </w:r>
      <w:r>
        <w:tab/>
        <w:t>Who can apply to register a plant design</w:t>
      </w:r>
      <w:bookmarkEnd w:id="426"/>
    </w:p>
    <w:p>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pPr>
        <w:pStyle w:val="Heading5"/>
        <w:keepNext w:val="0"/>
      </w:pPr>
      <w:bookmarkStart w:id="427" w:name="_Toc200719931"/>
      <w:r>
        <w:t>250.</w:t>
      </w:r>
      <w:r>
        <w:tab/>
        <w:t>Not used</w:t>
      </w:r>
      <w:bookmarkEnd w:id="427"/>
    </w:p>
    <w:p>
      <w:pPr>
        <w:pStyle w:val="Heading5"/>
        <w:keepNext w:val="0"/>
      </w:pPr>
      <w:bookmarkStart w:id="428" w:name="_Toc200719932"/>
      <w:r>
        <w:lastRenderedPageBreak/>
        <w:t>251.</w:t>
      </w:r>
      <w:r>
        <w:tab/>
        <w:t>Not used</w:t>
      </w:r>
      <w:bookmarkEnd w:id="428"/>
    </w:p>
    <w:p>
      <w:pPr>
        <w:pStyle w:val="Heading5"/>
        <w:keepNext w:val="0"/>
      </w:pPr>
      <w:bookmarkStart w:id="429" w:name="_Toc200719933"/>
      <w:r>
        <w:t>252.</w:t>
      </w:r>
      <w:r>
        <w:tab/>
        <w:t>Not used</w:t>
      </w:r>
      <w:bookmarkEnd w:id="429"/>
    </w:p>
    <w:p>
      <w:pPr>
        <w:pStyle w:val="Heading5"/>
        <w:keepNext w:val="0"/>
      </w:pPr>
      <w:bookmarkStart w:id="430" w:name="_Toc200719934"/>
      <w:r>
        <w:t>253.</w:t>
      </w:r>
      <w:r>
        <w:tab/>
        <w:t>Not used</w:t>
      </w:r>
      <w:bookmarkEnd w:id="430"/>
    </w:p>
    <w:p>
      <w:pPr>
        <w:pStyle w:val="Heading5"/>
        <w:keepNext w:val="0"/>
      </w:pPr>
      <w:bookmarkStart w:id="431" w:name="_Toc200719935"/>
      <w:r>
        <w:t>254.</w:t>
      </w:r>
      <w:r>
        <w:tab/>
        <w:t>Not used</w:t>
      </w:r>
      <w:bookmarkEnd w:id="431"/>
    </w:p>
    <w:p>
      <w:pPr>
        <w:pStyle w:val="Heading5"/>
        <w:keepNext w:val="0"/>
      </w:pPr>
      <w:bookmarkStart w:id="432" w:name="_Toc200719936"/>
      <w:r>
        <w:t>255.</w:t>
      </w:r>
      <w:r>
        <w:tab/>
        <w:t>Not used</w:t>
      </w:r>
      <w:bookmarkEnd w:id="432"/>
    </w:p>
    <w:p>
      <w:pPr>
        <w:pStyle w:val="Heading5"/>
        <w:keepNext w:val="0"/>
      </w:pPr>
      <w:bookmarkStart w:id="433" w:name="_Toc200719937"/>
      <w:r>
        <w:t>256.</w:t>
      </w:r>
      <w:r>
        <w:tab/>
        <w:t>Not used</w:t>
      </w:r>
      <w:bookmarkEnd w:id="433"/>
    </w:p>
    <w:p>
      <w:pPr>
        <w:pStyle w:val="Heading5"/>
        <w:keepNext w:val="0"/>
      </w:pPr>
      <w:bookmarkStart w:id="434" w:name="_Toc200719938"/>
      <w:r>
        <w:t>257.</w:t>
      </w:r>
      <w:r>
        <w:tab/>
        <w:t>Not used</w:t>
      </w:r>
      <w:bookmarkEnd w:id="434"/>
    </w:p>
    <w:p>
      <w:pPr>
        <w:pStyle w:val="Heading5"/>
        <w:keepNext w:val="0"/>
      </w:pPr>
      <w:bookmarkStart w:id="435" w:name="_Toc200719939"/>
      <w:r>
        <w:t>258.</w:t>
      </w:r>
      <w:r>
        <w:tab/>
        <w:t>Not used</w:t>
      </w:r>
      <w:bookmarkEnd w:id="435"/>
    </w:p>
    <w:p>
      <w:pPr>
        <w:pStyle w:val="Heading5"/>
        <w:keepNext w:val="0"/>
      </w:pPr>
      <w:bookmarkStart w:id="436" w:name="_Toc200719940"/>
      <w:r>
        <w:t>259.</w:t>
      </w:r>
      <w:r>
        <w:tab/>
        <w:t>Not used</w:t>
      </w:r>
      <w:bookmarkEnd w:id="436"/>
    </w:p>
    <w:p>
      <w:pPr>
        <w:pStyle w:val="Heading5"/>
        <w:keepNext w:val="0"/>
      </w:pPr>
      <w:bookmarkStart w:id="437" w:name="_Toc200719941"/>
      <w:r>
        <w:t>260.</w:t>
      </w:r>
      <w:r>
        <w:tab/>
        <w:t>Not used</w:t>
      </w:r>
      <w:bookmarkEnd w:id="437"/>
    </w:p>
    <w:p>
      <w:pPr>
        <w:pStyle w:val="Heading5"/>
        <w:keepNext w:val="0"/>
      </w:pPr>
      <w:bookmarkStart w:id="438" w:name="_Toc200719942"/>
      <w:r>
        <w:t>261.</w:t>
      </w:r>
      <w:r>
        <w:tab/>
        <w:t>Not used</w:t>
      </w:r>
      <w:bookmarkEnd w:id="438"/>
    </w:p>
    <w:p>
      <w:pPr>
        <w:pStyle w:val="Heading5"/>
      </w:pPr>
      <w:bookmarkStart w:id="439" w:name="_Toc200719943"/>
      <w:r>
        <w:rPr>
          <w:rStyle w:val="CharSectno"/>
        </w:rPr>
        <w:t>262</w:t>
      </w:r>
      <w:r>
        <w:t>.</w:t>
      </w:r>
      <w:r>
        <w:tab/>
        <w:t>Registration document to be available</w:t>
      </w:r>
      <w:bookmarkEnd w:id="439"/>
    </w:p>
    <w:p>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lastRenderedPageBreak/>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keepNext w:val="0"/>
      </w:pPr>
      <w:bookmarkStart w:id="440" w:name="_Toc200719944"/>
      <w:r>
        <w:t>263.</w:t>
      </w:r>
      <w:r>
        <w:tab/>
        <w:t>Not used</w:t>
      </w:r>
      <w:bookmarkEnd w:id="440"/>
    </w:p>
    <w:p>
      <w:pPr>
        <w:pStyle w:val="Heading4"/>
      </w:pPr>
      <w:bookmarkStart w:id="441" w:name="_Toc200719945"/>
      <w:r>
        <w:rPr>
          <w:rStyle w:val="CharDivNo"/>
        </w:rPr>
        <w:t>Division 4</w:t>
      </w:r>
      <w:r>
        <w:t> — </w:t>
      </w:r>
      <w:r>
        <w:rPr>
          <w:rStyle w:val="CharDivText"/>
        </w:rPr>
        <w:t>Registration process for an item of plant</w:t>
      </w:r>
      <w:bookmarkEnd w:id="441"/>
    </w:p>
    <w:p>
      <w:pPr>
        <w:pStyle w:val="Heading5"/>
      </w:pPr>
      <w:bookmarkStart w:id="442" w:name="_Toc200719946"/>
      <w:r>
        <w:rPr>
          <w:rStyle w:val="CharSectno"/>
        </w:rPr>
        <w:t>264</w:t>
      </w:r>
      <w:r>
        <w:t>.</w:t>
      </w:r>
      <w:r>
        <w:tab/>
        <w:t>Application of Division</w:t>
      </w:r>
      <w:bookmarkEnd w:id="442"/>
    </w:p>
    <w:p>
      <w:pPr>
        <w:pStyle w:val="Subsection"/>
      </w:pPr>
      <w:r>
        <w:tab/>
      </w:r>
      <w:r>
        <w:tab/>
        <w:t>This Division applies in relation to the registration of an item of plant specified in Schedule 5 Division 2 as requiring registration.</w:t>
      </w:r>
    </w:p>
    <w:p>
      <w:pPr>
        <w:pStyle w:val="Heading5"/>
      </w:pPr>
      <w:bookmarkStart w:id="443" w:name="_Toc200719947"/>
      <w:r>
        <w:t>265.</w:t>
      </w:r>
      <w:r>
        <w:tab/>
        <w:t>Not used</w:t>
      </w:r>
      <w:bookmarkEnd w:id="443"/>
    </w:p>
    <w:p>
      <w:pPr>
        <w:pStyle w:val="Heading5"/>
        <w:keepNext w:val="0"/>
      </w:pPr>
      <w:bookmarkStart w:id="444" w:name="_Toc200719948"/>
      <w:r>
        <w:t>266.</w:t>
      </w:r>
      <w:r>
        <w:tab/>
        <w:t>Not used</w:t>
      </w:r>
      <w:bookmarkEnd w:id="444"/>
    </w:p>
    <w:p>
      <w:pPr>
        <w:pStyle w:val="Heading5"/>
        <w:keepNext w:val="0"/>
      </w:pPr>
      <w:bookmarkStart w:id="445" w:name="_Toc200719949"/>
      <w:r>
        <w:t>267.</w:t>
      </w:r>
      <w:r>
        <w:tab/>
        <w:t>Not used</w:t>
      </w:r>
      <w:bookmarkEnd w:id="445"/>
    </w:p>
    <w:p>
      <w:pPr>
        <w:pStyle w:val="Heading5"/>
        <w:keepNext w:val="0"/>
      </w:pPr>
      <w:bookmarkStart w:id="446" w:name="_Toc200719950"/>
      <w:r>
        <w:t>268.</w:t>
      </w:r>
      <w:r>
        <w:tab/>
        <w:t>Not used</w:t>
      </w:r>
      <w:bookmarkEnd w:id="446"/>
    </w:p>
    <w:p>
      <w:pPr>
        <w:pStyle w:val="Heading5"/>
        <w:keepNext w:val="0"/>
      </w:pPr>
      <w:bookmarkStart w:id="447" w:name="_Toc200719951"/>
      <w:r>
        <w:t>269.</w:t>
      </w:r>
      <w:r>
        <w:tab/>
        <w:t>Not used</w:t>
      </w:r>
      <w:bookmarkEnd w:id="447"/>
    </w:p>
    <w:p>
      <w:pPr>
        <w:pStyle w:val="Heading5"/>
        <w:keepNext w:val="0"/>
      </w:pPr>
      <w:bookmarkStart w:id="448" w:name="_Toc200719952"/>
      <w:r>
        <w:t>270.</w:t>
      </w:r>
      <w:r>
        <w:tab/>
        <w:t>Not used</w:t>
      </w:r>
      <w:bookmarkEnd w:id="448"/>
    </w:p>
    <w:p>
      <w:pPr>
        <w:pStyle w:val="Heading5"/>
        <w:keepNext w:val="0"/>
      </w:pPr>
      <w:bookmarkStart w:id="449" w:name="_Toc200719953"/>
      <w:r>
        <w:t>271.</w:t>
      </w:r>
      <w:r>
        <w:tab/>
        <w:t>Not used</w:t>
      </w:r>
      <w:bookmarkEnd w:id="449"/>
    </w:p>
    <w:p>
      <w:pPr>
        <w:pStyle w:val="Heading5"/>
        <w:keepNext w:val="0"/>
      </w:pPr>
      <w:bookmarkStart w:id="450" w:name="_Toc200719954"/>
      <w:r>
        <w:t>272.</w:t>
      </w:r>
      <w:r>
        <w:tab/>
        <w:t>Not used</w:t>
      </w:r>
      <w:bookmarkEnd w:id="450"/>
    </w:p>
    <w:p>
      <w:pPr>
        <w:pStyle w:val="Heading5"/>
        <w:keepNext w:val="0"/>
      </w:pPr>
      <w:bookmarkStart w:id="451" w:name="_Toc200719955"/>
      <w:r>
        <w:t>273.</w:t>
      </w:r>
      <w:r>
        <w:tab/>
        <w:t>Not used</w:t>
      </w:r>
      <w:bookmarkEnd w:id="451"/>
    </w:p>
    <w:p>
      <w:pPr>
        <w:pStyle w:val="Heading5"/>
        <w:keepNext w:val="0"/>
      </w:pPr>
      <w:bookmarkStart w:id="452" w:name="_Toc200719956"/>
      <w:r>
        <w:t>274.</w:t>
      </w:r>
      <w:r>
        <w:tab/>
        <w:t>Not used</w:t>
      </w:r>
      <w:bookmarkEnd w:id="452"/>
    </w:p>
    <w:p>
      <w:pPr>
        <w:pStyle w:val="Heading5"/>
      </w:pPr>
      <w:bookmarkStart w:id="453" w:name="_Toc200719957"/>
      <w:r>
        <w:rPr>
          <w:rStyle w:val="CharSectno"/>
        </w:rPr>
        <w:t>275</w:t>
      </w:r>
      <w:r>
        <w:t>.</w:t>
      </w:r>
      <w:r>
        <w:tab/>
        <w:t>Registration document to be available</w:t>
      </w:r>
      <w:bookmarkEnd w:id="453"/>
    </w:p>
    <w:p>
      <w:pPr>
        <w:pStyle w:val="Subsection"/>
      </w:pPr>
      <w:r>
        <w:tab/>
        <w:t>(1)</w:t>
      </w:r>
      <w:r>
        <w:tab/>
        <w:t xml:space="preserve">The holder of the registration of an item of plant must keep the registration document issued under the </w:t>
      </w:r>
      <w:r>
        <w:rPr>
          <w:i/>
        </w:rPr>
        <w:t xml:space="preserve">Work Health and Safety </w:t>
      </w:r>
      <w:r>
        <w:rPr>
          <w:i/>
        </w:rPr>
        <w:lastRenderedPageBreak/>
        <w:t>(General) Regulations 2022</w:t>
      </w:r>
      <w:r>
        <w:t xml:space="preserve"> regulation 274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pPr>
      <w:bookmarkStart w:id="454" w:name="_Toc200719958"/>
      <w:r>
        <w:t>276.</w:t>
      </w:r>
      <w:r>
        <w:tab/>
        <w:t>Not used</w:t>
      </w:r>
      <w:bookmarkEnd w:id="454"/>
    </w:p>
    <w:p>
      <w:pPr>
        <w:pStyle w:val="Heading5"/>
        <w:keepNext w:val="0"/>
      </w:pPr>
      <w:bookmarkStart w:id="455" w:name="_Toc200719959"/>
      <w:r>
        <w:t>277.</w:t>
      </w:r>
      <w:r>
        <w:tab/>
        <w:t>Not used</w:t>
      </w:r>
      <w:bookmarkEnd w:id="455"/>
    </w:p>
    <w:p>
      <w:pPr>
        <w:pStyle w:val="Heading5"/>
        <w:keepNext w:val="0"/>
      </w:pPr>
      <w:bookmarkStart w:id="456" w:name="_Toc200719960"/>
      <w:r>
        <w:t>278.</w:t>
      </w:r>
      <w:r>
        <w:tab/>
        <w:t>Not used</w:t>
      </w:r>
      <w:bookmarkEnd w:id="456"/>
    </w:p>
    <w:p>
      <w:pPr>
        <w:pStyle w:val="Heading5"/>
        <w:keepNext w:val="0"/>
      </w:pPr>
      <w:bookmarkStart w:id="457" w:name="_Toc200719961"/>
      <w:r>
        <w:t>279.</w:t>
      </w:r>
      <w:r>
        <w:tab/>
        <w:t>Not used</w:t>
      </w:r>
      <w:bookmarkEnd w:id="457"/>
    </w:p>
    <w:p>
      <w:pPr>
        <w:pStyle w:val="Heading5"/>
        <w:keepNext w:val="0"/>
      </w:pPr>
      <w:bookmarkStart w:id="458" w:name="_Toc200719962"/>
      <w:r>
        <w:t>280.</w:t>
      </w:r>
      <w:r>
        <w:tab/>
        <w:t>Not used</w:t>
      </w:r>
      <w:bookmarkEnd w:id="458"/>
    </w:p>
    <w:p>
      <w:pPr>
        <w:pStyle w:val="Heading4"/>
      </w:pPr>
      <w:bookmarkStart w:id="459" w:name="_Toc200719963"/>
      <w:r>
        <w:t>Division 5 — Not used</w:t>
      </w:r>
      <w:bookmarkEnd w:id="459"/>
    </w:p>
    <w:p>
      <w:pPr>
        <w:pStyle w:val="Heading5"/>
      </w:pPr>
      <w:bookmarkStart w:id="460" w:name="_Toc200719964"/>
      <w:r>
        <w:t>281.</w:t>
      </w:r>
      <w:r>
        <w:tab/>
        <w:t>Not used</w:t>
      </w:r>
      <w:bookmarkEnd w:id="460"/>
    </w:p>
    <w:p>
      <w:pPr>
        <w:pStyle w:val="Heading5"/>
        <w:keepNext w:val="0"/>
      </w:pPr>
      <w:bookmarkStart w:id="461" w:name="_Toc200719965"/>
      <w:r>
        <w:t>282.</w:t>
      </w:r>
      <w:r>
        <w:tab/>
        <w:t>Not used</w:t>
      </w:r>
      <w:bookmarkEnd w:id="461"/>
    </w:p>
    <w:p>
      <w:pPr>
        <w:pStyle w:val="Heading5"/>
        <w:keepNext w:val="0"/>
      </w:pPr>
      <w:bookmarkStart w:id="462" w:name="_Toc200719966"/>
      <w:r>
        <w:t>283.</w:t>
      </w:r>
      <w:r>
        <w:tab/>
        <w:t>Not used</w:t>
      </w:r>
      <w:bookmarkEnd w:id="462"/>
    </w:p>
    <w:p>
      <w:pPr>
        <w:pStyle w:val="Heading5"/>
        <w:keepNext w:val="0"/>
      </w:pPr>
      <w:bookmarkStart w:id="463" w:name="_Toc200719967"/>
      <w:r>
        <w:t>284.</w:t>
      </w:r>
      <w:r>
        <w:tab/>
        <w:t>Not used</w:t>
      </w:r>
      <w:bookmarkEnd w:id="463"/>
    </w:p>
    <w:p>
      <w:pPr>
        <w:pStyle w:val="Heading5"/>
        <w:keepNext w:val="0"/>
      </w:pPr>
      <w:bookmarkStart w:id="464" w:name="_Toc200719968"/>
      <w:r>
        <w:t>285.</w:t>
      </w:r>
      <w:r>
        <w:tab/>
        <w:t>Not used</w:t>
      </w:r>
      <w:bookmarkEnd w:id="464"/>
    </w:p>
    <w:p>
      <w:pPr>
        <w:pStyle w:val="Heading5"/>
        <w:keepNext w:val="0"/>
      </w:pPr>
      <w:bookmarkStart w:id="465" w:name="_Toc200719969"/>
      <w:r>
        <w:lastRenderedPageBreak/>
        <w:t>286.</w:t>
      </w:r>
      <w:r>
        <w:tab/>
        <w:t>Not used</w:t>
      </w:r>
      <w:bookmarkEnd w:id="465"/>
    </w:p>
    <w:p>
      <w:pPr>
        <w:pStyle w:val="Heading5"/>
        <w:keepNext w:val="0"/>
      </w:pPr>
      <w:bookmarkStart w:id="466" w:name="_Toc200719970"/>
      <w:r>
        <w:t>287.</w:t>
      </w:r>
      <w:r>
        <w:tab/>
        <w:t>Not used</w:t>
      </w:r>
      <w:bookmarkEnd w:id="466"/>
    </w:p>
    <w:p>
      <w:pPr>
        <w:pStyle w:val="Heading5"/>
        <w:keepNext w:val="0"/>
      </w:pPr>
      <w:bookmarkStart w:id="467" w:name="_Toc200719971"/>
      <w:r>
        <w:t>288.</w:t>
      </w:r>
      <w:r>
        <w:tab/>
        <w:t>Not used</w:t>
      </w:r>
      <w:bookmarkEnd w:id="467"/>
    </w:p>
    <w:p>
      <w:pPr>
        <w:pStyle w:val="Heading4"/>
      </w:pPr>
      <w:bookmarkStart w:id="468" w:name="_Toc200719972"/>
      <w:r>
        <w:t>Division 6 — Not used</w:t>
      </w:r>
      <w:bookmarkEnd w:id="468"/>
    </w:p>
    <w:p>
      <w:pPr>
        <w:pStyle w:val="Heading5"/>
      </w:pPr>
      <w:bookmarkStart w:id="469" w:name="_Toc200719973"/>
      <w:r>
        <w:t>288A.</w:t>
      </w:r>
      <w:r>
        <w:tab/>
        <w:t>Not used</w:t>
      </w:r>
      <w:bookmarkEnd w:id="469"/>
    </w:p>
    <w:p>
      <w:pPr>
        <w:pStyle w:val="Heading5"/>
        <w:keepNext w:val="0"/>
      </w:pPr>
      <w:bookmarkStart w:id="470" w:name="_Toc200719974"/>
      <w:r>
        <w:t>288B.</w:t>
      </w:r>
      <w:r>
        <w:tab/>
        <w:t>Not used</w:t>
      </w:r>
      <w:bookmarkEnd w:id="470"/>
    </w:p>
    <w:p>
      <w:pPr>
        <w:pStyle w:val="Heading5"/>
        <w:keepNext w:val="0"/>
      </w:pPr>
      <w:bookmarkStart w:id="471" w:name="_Toc200719975"/>
      <w:r>
        <w:t>288C.</w:t>
      </w:r>
      <w:r>
        <w:tab/>
        <w:t>Not used</w:t>
      </w:r>
      <w:bookmarkEnd w:id="471"/>
    </w:p>
    <w:p>
      <w:pPr>
        <w:pStyle w:val="Heading5"/>
        <w:keepNext w:val="0"/>
      </w:pPr>
      <w:bookmarkStart w:id="472" w:name="_Toc200719976"/>
      <w:r>
        <w:t>288D.</w:t>
      </w:r>
      <w:r>
        <w:tab/>
        <w:t>Not used</w:t>
      </w:r>
      <w:bookmarkEnd w:id="472"/>
    </w:p>
    <w:p>
      <w:pPr>
        <w:pStyle w:val="Heading2"/>
      </w:pPr>
      <w:bookmarkStart w:id="473" w:name="_Toc200719977"/>
      <w:r>
        <w:lastRenderedPageBreak/>
        <w:t>Chapter 6</w:t>
      </w:r>
      <w:r>
        <w:rPr>
          <w:rStyle w:val="CharDivNo"/>
        </w:rPr>
        <w:t> </w:t>
      </w:r>
      <w:r>
        <w:t>—</w:t>
      </w:r>
      <w:r>
        <w:rPr>
          <w:rStyle w:val="CharDivText"/>
        </w:rPr>
        <w:t> </w:t>
      </w:r>
      <w:r>
        <w:t>Construction work</w:t>
      </w:r>
      <w:bookmarkEnd w:id="473"/>
    </w:p>
    <w:p>
      <w:pPr>
        <w:pStyle w:val="Heading3"/>
      </w:pPr>
      <w:bookmarkStart w:id="474" w:name="_Toc200719978"/>
      <w:r>
        <w:rPr>
          <w:rStyle w:val="CharPartNo"/>
        </w:rPr>
        <w:t>Part 6.1</w:t>
      </w:r>
      <w:r>
        <w:rPr>
          <w:rStyle w:val="CharDivNo"/>
        </w:rPr>
        <w:t> </w:t>
      </w:r>
      <w:r>
        <w:t>—</w:t>
      </w:r>
      <w:r>
        <w:rPr>
          <w:rStyle w:val="CharDivText"/>
        </w:rPr>
        <w:t> </w:t>
      </w:r>
      <w:r>
        <w:rPr>
          <w:rStyle w:val="CharPartText"/>
        </w:rPr>
        <w:t>Preliminary</w:t>
      </w:r>
      <w:bookmarkEnd w:id="474"/>
    </w:p>
    <w:p>
      <w:pPr>
        <w:pStyle w:val="Heading5"/>
      </w:pPr>
      <w:bookmarkStart w:id="475" w:name="_Toc200719979"/>
      <w:r>
        <w:rPr>
          <w:rStyle w:val="CharSectno"/>
        </w:rPr>
        <w:t>289</w:t>
      </w:r>
      <w:r>
        <w:t>.</w:t>
      </w:r>
      <w:r>
        <w:tab/>
        <w:t>Meaning of construction work</w:t>
      </w:r>
      <w:bookmarkEnd w:id="475"/>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the construction of geotechnical structures at a mine.</w:t>
      </w:r>
    </w:p>
    <w:p>
      <w:pPr>
        <w:pStyle w:val="Heading5"/>
      </w:pPr>
      <w:bookmarkStart w:id="476" w:name="_Toc200719980"/>
      <w:r>
        <w:rPr>
          <w:rStyle w:val="CharSectno"/>
        </w:rPr>
        <w:t>290</w:t>
      </w:r>
      <w:r>
        <w:t>.</w:t>
      </w:r>
      <w:r>
        <w:tab/>
        <w:t>Meaning of structure</w:t>
      </w:r>
      <w:bookmarkEnd w:id="476"/>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477" w:name="_Toc200719981"/>
      <w:r>
        <w:rPr>
          <w:rStyle w:val="CharSectno"/>
        </w:rPr>
        <w:t>291</w:t>
      </w:r>
      <w:r>
        <w:t>.</w:t>
      </w:r>
      <w:r>
        <w:tab/>
        <w:t>Meaning of high risk construction work</w:t>
      </w:r>
      <w:bookmarkEnd w:id="477"/>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478" w:name="_Toc200719982"/>
      <w:r>
        <w:rPr>
          <w:rStyle w:val="CharSectno"/>
        </w:rPr>
        <w:t>292</w:t>
      </w:r>
      <w:r>
        <w:t>.</w:t>
      </w:r>
      <w:r>
        <w:tab/>
        <w:t>Meaning of construction project</w:t>
      </w:r>
      <w:bookmarkEnd w:id="478"/>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479" w:name="_Toc200719983"/>
      <w:r>
        <w:rPr>
          <w:rStyle w:val="CharSectno"/>
        </w:rPr>
        <w:t>293</w:t>
      </w:r>
      <w:r>
        <w:t>.</w:t>
      </w:r>
      <w:r>
        <w:tab/>
        <w:t>Meaning of principal contractor</w:t>
      </w:r>
      <w:bookmarkEnd w:id="479"/>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480" w:name="_Toc200719984"/>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480"/>
    </w:p>
    <w:p>
      <w:pPr>
        <w:pStyle w:val="Heading5"/>
      </w:pPr>
      <w:bookmarkStart w:id="481" w:name="_Toc200719985"/>
      <w:r>
        <w:rPr>
          <w:rStyle w:val="CharSectno"/>
        </w:rPr>
        <w:t>294</w:t>
      </w:r>
      <w:r>
        <w:t>.</w:t>
      </w:r>
      <w:r>
        <w:tab/>
        <w:t>Person who commissions work must consult with designer</w:t>
      </w:r>
      <w:bookmarkEnd w:id="481"/>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482" w:name="_Toc200719986"/>
      <w:r>
        <w:rPr>
          <w:rStyle w:val="CharSectno"/>
        </w:rPr>
        <w:t>295</w:t>
      </w:r>
      <w:r>
        <w:t>.</w:t>
      </w:r>
      <w:r>
        <w:tab/>
        <w:t>Designer must give safety report to person who commissions design</w:t>
      </w:r>
      <w:bookmarkEnd w:id="482"/>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83" w:name="_Toc200719987"/>
      <w:r>
        <w:rPr>
          <w:rStyle w:val="CharSectno"/>
        </w:rPr>
        <w:t>296</w:t>
      </w:r>
      <w:r>
        <w:t>.</w:t>
      </w:r>
      <w:r>
        <w:tab/>
        <w:t>Person who commissions project must give information to principal contractor</w:t>
      </w:r>
      <w:bookmarkEnd w:id="483"/>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484" w:name="_Toc200719988"/>
      <w:r>
        <w:rPr>
          <w:rStyle w:val="CharPartNo"/>
        </w:rPr>
        <w:t>Part 6.3</w:t>
      </w:r>
      <w:r>
        <w:t> — </w:t>
      </w:r>
      <w:r>
        <w:rPr>
          <w:rStyle w:val="CharPartText"/>
        </w:rPr>
        <w:t>Duties of person conducting business or undertaking</w:t>
      </w:r>
      <w:bookmarkEnd w:id="484"/>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485" w:name="_Toc200719989"/>
      <w:r>
        <w:rPr>
          <w:rStyle w:val="CharDivNo"/>
        </w:rPr>
        <w:t>Division 1</w:t>
      </w:r>
      <w:r>
        <w:t> — </w:t>
      </w:r>
      <w:r>
        <w:rPr>
          <w:rStyle w:val="CharDivText"/>
        </w:rPr>
        <w:t>General</w:t>
      </w:r>
      <w:bookmarkEnd w:id="485"/>
    </w:p>
    <w:p>
      <w:pPr>
        <w:pStyle w:val="Heading5"/>
      </w:pPr>
      <w:bookmarkStart w:id="486" w:name="_Toc200719990"/>
      <w:r>
        <w:rPr>
          <w:rStyle w:val="CharSectno"/>
        </w:rPr>
        <w:t>297</w:t>
      </w:r>
      <w:r>
        <w:t>.</w:t>
      </w:r>
      <w:r>
        <w:tab/>
        <w:t>Management of risks to health and safety</w:t>
      </w:r>
      <w:bookmarkEnd w:id="486"/>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487" w:name="_Toc200719991"/>
      <w:r>
        <w:rPr>
          <w:rStyle w:val="CharSectno"/>
        </w:rPr>
        <w:t>298</w:t>
      </w:r>
      <w:r>
        <w:t>.</w:t>
      </w:r>
      <w:r>
        <w:tab/>
        <w:t>Security of workplace</w:t>
      </w:r>
      <w:bookmarkEnd w:id="487"/>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488" w:name="_Toc200719992"/>
      <w:r>
        <w:rPr>
          <w:rStyle w:val="CharDivNo"/>
        </w:rPr>
        <w:t>Division 2</w:t>
      </w:r>
      <w:r>
        <w:t> — </w:t>
      </w:r>
      <w:r>
        <w:rPr>
          <w:rStyle w:val="CharDivText"/>
        </w:rPr>
        <w:t>High risk construction work: safe work method statements</w:t>
      </w:r>
      <w:bookmarkEnd w:id="488"/>
    </w:p>
    <w:p>
      <w:pPr>
        <w:pStyle w:val="Heading5"/>
      </w:pPr>
      <w:bookmarkStart w:id="489" w:name="_Toc200719993"/>
      <w:r>
        <w:rPr>
          <w:rStyle w:val="CharSectno"/>
        </w:rPr>
        <w:t>299</w:t>
      </w:r>
      <w:r>
        <w:t>.</w:t>
      </w:r>
      <w:r>
        <w:tab/>
        <w:t>Safe work method statement required for high risk construction work</w:t>
      </w:r>
      <w:bookmarkEnd w:id="489"/>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490" w:name="_Toc200719994"/>
      <w:r>
        <w:rPr>
          <w:rStyle w:val="CharSectno"/>
        </w:rPr>
        <w:t>300</w:t>
      </w:r>
      <w:r>
        <w:t>.</w:t>
      </w:r>
      <w:r>
        <w:tab/>
        <w:t>Compliance with safe work method statement</w:t>
      </w:r>
      <w:bookmarkEnd w:id="490"/>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keepNext/>
      </w:pPr>
      <w:r>
        <w:lastRenderedPageBreak/>
        <w:tab/>
        <w:t>(b)</w:t>
      </w:r>
      <w:r>
        <w:tab/>
        <w:t>resumed only in accordance with the statement.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1" w:name="_Toc200719995"/>
      <w:r>
        <w:rPr>
          <w:rStyle w:val="CharSectno"/>
        </w:rPr>
        <w:t>301</w:t>
      </w:r>
      <w:r>
        <w:t>.</w:t>
      </w:r>
      <w:r>
        <w:tab/>
        <w:t>Safe work method statement: copy to be given to principal contractor</w:t>
      </w:r>
      <w:bookmarkEnd w:id="491"/>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92" w:name="_Toc200719996"/>
      <w:r>
        <w:rPr>
          <w:rStyle w:val="CharSectno"/>
        </w:rPr>
        <w:t>302</w:t>
      </w:r>
      <w:r>
        <w:t>.</w:t>
      </w:r>
      <w:r>
        <w:tab/>
        <w:t>Review of safe work method statement</w:t>
      </w:r>
      <w:bookmarkEnd w:id="492"/>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93" w:name="_Toc200719997"/>
      <w:r>
        <w:rPr>
          <w:rStyle w:val="CharSectno"/>
        </w:rPr>
        <w:t>303</w:t>
      </w:r>
      <w:r>
        <w:t>.</w:t>
      </w:r>
      <w:r>
        <w:tab/>
        <w:t>Safe work method statement must be kept</w:t>
      </w:r>
      <w:bookmarkEnd w:id="493"/>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94" w:name="_Toc200719998"/>
      <w:r>
        <w:rPr>
          <w:rStyle w:val="CharDivNo"/>
        </w:rPr>
        <w:t>Division 3</w:t>
      </w:r>
      <w:r>
        <w:t> — </w:t>
      </w:r>
      <w:r>
        <w:rPr>
          <w:rStyle w:val="CharDivText"/>
        </w:rPr>
        <w:t>Excavation work</w:t>
      </w:r>
      <w:bookmarkEnd w:id="494"/>
    </w:p>
    <w:p>
      <w:pPr>
        <w:pStyle w:val="Heading5"/>
      </w:pPr>
      <w:bookmarkStart w:id="495" w:name="_Toc200719999"/>
      <w:r>
        <w:rPr>
          <w:rStyle w:val="CharSectno"/>
        </w:rPr>
        <w:t>304</w:t>
      </w:r>
      <w:r>
        <w:t>.</w:t>
      </w:r>
      <w:r>
        <w:tab/>
        <w:t>Excavation work: underground essential services information</w:t>
      </w:r>
      <w:bookmarkEnd w:id="495"/>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Nex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496" w:name="_Toc200720000"/>
      <w:r>
        <w:rPr>
          <w:rStyle w:val="CharSectno"/>
        </w:rPr>
        <w:t>305</w:t>
      </w:r>
      <w:r>
        <w:t>.</w:t>
      </w:r>
      <w:r>
        <w:tab/>
        <w:t>Management of risks to health and safety associated with excavation work</w:t>
      </w:r>
      <w:bookmarkEnd w:id="496"/>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keepNext/>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497" w:name="_Toc200720001"/>
      <w:r>
        <w:rPr>
          <w:rStyle w:val="CharSectno"/>
        </w:rPr>
        <w:t>306</w:t>
      </w:r>
      <w:r>
        <w:t>.</w:t>
      </w:r>
      <w:r>
        <w:tab/>
        <w:t>Additional controls: trenches</w:t>
      </w:r>
      <w:bookmarkEnd w:id="497"/>
    </w:p>
    <w:p>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498" w:name="_Toc200720002"/>
      <w:r>
        <w:rPr>
          <w:rStyle w:val="CharDivNo"/>
        </w:rPr>
        <w:lastRenderedPageBreak/>
        <w:t>Division 4</w:t>
      </w:r>
      <w:r>
        <w:t> — </w:t>
      </w:r>
      <w:r>
        <w:rPr>
          <w:rStyle w:val="CharDivText"/>
        </w:rPr>
        <w:t>Tilt</w:t>
      </w:r>
      <w:r>
        <w:rPr>
          <w:rStyle w:val="CharDivText"/>
        </w:rPr>
        <w:noBreakHyphen/>
        <w:t>up concrete and precast concrete elements</w:t>
      </w:r>
      <w:bookmarkEnd w:id="498"/>
    </w:p>
    <w:p>
      <w:pPr>
        <w:pStyle w:val="Heading5"/>
      </w:pPr>
      <w:bookmarkStart w:id="499" w:name="_Toc200720003"/>
      <w:r>
        <w:rPr>
          <w:rStyle w:val="CharSectno"/>
        </w:rPr>
        <w:t>306A</w:t>
      </w:r>
      <w:r>
        <w:t>.</w:t>
      </w:r>
      <w:r>
        <w:tab/>
        <w:t>Terms used</w:t>
      </w:r>
      <w:bookmarkEnd w:id="499"/>
    </w:p>
    <w:p>
      <w:pPr>
        <w:pStyle w:val="Subsection"/>
        <w:keepNext/>
      </w:pPr>
      <w:r>
        <w:tab/>
        <w:t>(1)</w:t>
      </w:r>
      <w:r>
        <w:tab/>
        <w:t xml:space="preserve">In this Division — </w:t>
      </w:r>
    </w:p>
    <w:p>
      <w:pPr>
        <w:pStyle w:val="Defstart"/>
        <w:keepNex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500" w:name="_Toc200720004"/>
      <w:r>
        <w:rPr>
          <w:rStyle w:val="CharSectno"/>
        </w:rPr>
        <w:t>306B</w:t>
      </w:r>
      <w:r>
        <w:t>.</w:t>
      </w:r>
      <w:r>
        <w:tab/>
        <w:t>Regulator to be notified of proposed manufacture of concrete panel</w:t>
      </w:r>
      <w:bookmarkEnd w:id="500"/>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pPr>
      <w:r>
        <w:tab/>
        <w:t>(2)</w:t>
      </w:r>
      <w:r>
        <w:tab/>
        <w:t xml:space="preserve">A person who, at a construction site where a concrete panel is proposed to be manufactured, is the principal contractor must </w:t>
      </w:r>
      <w:r>
        <w:lastRenderedPageBreak/>
        <w:t>ensure that the regulator is notified of the proposed work at least 10 working days before the panel is proposed to be cast.</w:t>
      </w:r>
    </w:p>
    <w:p>
      <w:pPr>
        <w:pStyle w:val="Subsection"/>
      </w:pPr>
      <w:r>
        <w:tab/>
        <w:t>(3)</w:t>
      </w:r>
      <w:r>
        <w:tab/>
        <w:t>A notice under subregulation (1) or (2) must be made in the approved form and in the manner approved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01" w:name="_Toc200720005"/>
      <w:r>
        <w:rPr>
          <w:rStyle w:val="CharSectno"/>
        </w:rPr>
        <w:t>306C</w:t>
      </w:r>
      <w:r>
        <w:t>.</w:t>
      </w:r>
      <w:r>
        <w:tab/>
        <w:t>Concrete panels to be designed and made in accordance with standard</w:t>
      </w:r>
      <w:bookmarkEnd w:id="501"/>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2" w:name="_Toc200720006"/>
      <w:r>
        <w:rPr>
          <w:rStyle w:val="CharSectno"/>
        </w:rPr>
        <w:lastRenderedPageBreak/>
        <w:t>306D</w:t>
      </w:r>
      <w:r>
        <w:t>.</w:t>
      </w:r>
      <w:r>
        <w:tab/>
        <w:t>Concrete panel at construction site to be transported, craned, stored and erected in accordance with standard</w:t>
      </w:r>
      <w:bookmarkEnd w:id="502"/>
    </w:p>
    <w:p>
      <w:pPr>
        <w:pStyle w:val="Subsection"/>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pPr>
      <w:r>
        <w:tab/>
        <w:t>(b)</w:t>
      </w:r>
      <w:r>
        <w:tab/>
        <w:t>the cranage, temporary storage and erection of a concrete panel at the construction site is in accordance with AS 3850 section 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503" w:name="_Toc200720007"/>
      <w:r>
        <w:rPr>
          <w:rStyle w:val="CharSectno"/>
        </w:rPr>
        <w:t>306E</w:t>
      </w:r>
      <w:r>
        <w:t>.</w:t>
      </w:r>
      <w:r>
        <w:tab/>
        <w:t>Concrete panel at construction site to be temporarily braced in accordance with standard</w:t>
      </w:r>
      <w:bookmarkEnd w:id="503"/>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504" w:name="_Toc200720008"/>
      <w:r>
        <w:rPr>
          <w:rStyle w:val="CharSectno"/>
        </w:rPr>
        <w:t>306F</w:t>
      </w:r>
      <w:r>
        <w:t>.</w:t>
      </w:r>
      <w:r>
        <w:tab/>
        <w:t>Concrete panel to be fixed and temporary bracing to be removed in accordance with standard</w:t>
      </w:r>
      <w:bookmarkEnd w:id="504"/>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05" w:name="_Toc200720009"/>
      <w:r>
        <w:rPr>
          <w:rStyle w:val="CharSectno"/>
        </w:rPr>
        <w:t>306G</w:t>
      </w:r>
      <w:r>
        <w:t>.</w:t>
      </w:r>
      <w:r>
        <w:tab/>
        <w:t>Tilt</w:t>
      </w:r>
      <w:r>
        <w:noBreakHyphen/>
        <w:t>up work at construction site not to be done unless regulator notified under r. 306B</w:t>
      </w:r>
      <w:bookmarkEnd w:id="505"/>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06" w:name="_Toc200720010"/>
      <w:r>
        <w:rPr>
          <w:rStyle w:val="CharSectno"/>
        </w:rPr>
        <w:t>306H</w:t>
      </w:r>
      <w:r>
        <w:t>.</w:t>
      </w:r>
      <w:r>
        <w:tab/>
        <w:t>Documents required at construction site where tilt</w:t>
      </w:r>
      <w:r>
        <w:noBreakHyphen/>
        <w:t>up work done</w:t>
      </w:r>
      <w:bookmarkEnd w:id="506"/>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07" w:name="_Toc200720011"/>
      <w:r>
        <w:rPr>
          <w:rStyle w:val="CharSectno"/>
        </w:rPr>
        <w:t>306I</w:t>
      </w:r>
      <w:r>
        <w:t>.</w:t>
      </w:r>
      <w:r>
        <w:tab/>
        <w:t>Duty of principal contractor etc. to limit entry to construction site area where tilt</w:t>
      </w:r>
      <w:r>
        <w:noBreakHyphen/>
        <w:t>up work being done</w:t>
      </w:r>
      <w:bookmarkEnd w:id="507"/>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08" w:name="_Toc200720012"/>
      <w:r>
        <w:rPr>
          <w:rStyle w:val="CharSectno"/>
        </w:rPr>
        <w:t>306J</w:t>
      </w:r>
      <w:r>
        <w:t>.</w:t>
      </w:r>
      <w:r>
        <w:tab/>
        <w:t>Certain persons to ensure only trained persons manufacture concrete panels</w:t>
      </w:r>
      <w:bookmarkEnd w:id="508"/>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09" w:name="_Toc200720013"/>
      <w:r>
        <w:rPr>
          <w:rStyle w:val="CharSectno"/>
        </w:rPr>
        <w:t>306K</w:t>
      </w:r>
      <w:r>
        <w:t>.</w:t>
      </w:r>
      <w:r>
        <w:tab/>
        <w:t>Certain persons to ensure only trained persons do tilt</w:t>
      </w:r>
      <w:r>
        <w:noBreakHyphen/>
        <w:t>up work other than manufacturing concrete panels</w:t>
      </w:r>
      <w:bookmarkEnd w:id="509"/>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510" w:name="_Toc200720014"/>
      <w:r>
        <w:rPr>
          <w:rStyle w:val="CharPartNo"/>
        </w:rPr>
        <w:t>Part 6.4</w:t>
      </w:r>
      <w:r>
        <w:rPr>
          <w:rStyle w:val="CharDivNo"/>
        </w:rPr>
        <w:t> </w:t>
      </w:r>
      <w:r>
        <w:t>—</w:t>
      </w:r>
      <w:r>
        <w:rPr>
          <w:rStyle w:val="CharDivText"/>
        </w:rPr>
        <w:t> </w:t>
      </w:r>
      <w:r>
        <w:rPr>
          <w:rStyle w:val="CharPartText"/>
        </w:rPr>
        <w:t>Additional duties of principal contractor</w:t>
      </w:r>
      <w:bookmarkEnd w:id="510"/>
    </w:p>
    <w:p>
      <w:pPr>
        <w:pStyle w:val="Heading5"/>
      </w:pPr>
      <w:bookmarkStart w:id="511" w:name="_Toc200720015"/>
      <w:r>
        <w:rPr>
          <w:rStyle w:val="CharSectno"/>
        </w:rPr>
        <w:t>307</w:t>
      </w:r>
      <w:r>
        <w:t>.</w:t>
      </w:r>
      <w:r>
        <w:tab/>
        <w:t>Application of Part</w:t>
      </w:r>
      <w:bookmarkEnd w:id="511"/>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keepNext w:val="0"/>
      </w:pPr>
      <w:bookmarkStart w:id="512" w:name="_Toc200720016"/>
      <w:r>
        <w:rPr>
          <w:rStyle w:val="CharSectno"/>
        </w:rPr>
        <w:t>308</w:t>
      </w:r>
      <w:r>
        <w:t>.</w:t>
      </w:r>
      <w:r>
        <w:tab/>
        <w:t>Not used</w:t>
      </w:r>
      <w:bookmarkEnd w:id="512"/>
    </w:p>
    <w:p>
      <w:pPr>
        <w:pStyle w:val="Heading5"/>
      </w:pPr>
      <w:bookmarkStart w:id="513" w:name="_Toc200720017"/>
      <w:r>
        <w:rPr>
          <w:rStyle w:val="CharSectno"/>
        </w:rPr>
        <w:t>309</w:t>
      </w:r>
      <w:r>
        <w:t>.</w:t>
      </w:r>
      <w:r>
        <w:tab/>
        <w:t>WHS management plan: preparation</w:t>
      </w:r>
      <w:bookmarkEnd w:id="513"/>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pPr>
        <w:pStyle w:val="Heading5"/>
      </w:pPr>
      <w:bookmarkStart w:id="514" w:name="_Toc200720018"/>
      <w:r>
        <w:rPr>
          <w:rStyle w:val="CharSectno"/>
        </w:rPr>
        <w:t>310</w:t>
      </w:r>
      <w:r>
        <w:t>.</w:t>
      </w:r>
      <w:r>
        <w:tab/>
        <w:t>WHS management plan: duty to inform</w:t>
      </w:r>
      <w:bookmarkEnd w:id="514"/>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lastRenderedPageBreak/>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5" w:name="_Toc200720019"/>
      <w:r>
        <w:rPr>
          <w:rStyle w:val="CharSectno"/>
        </w:rPr>
        <w:t>311</w:t>
      </w:r>
      <w:r>
        <w:t>.</w:t>
      </w:r>
      <w:r>
        <w:tab/>
        <w:t>WHS management plan: review</w:t>
      </w:r>
      <w:bookmarkEnd w:id="515"/>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16" w:name="_Toc200720020"/>
      <w:r>
        <w:rPr>
          <w:rStyle w:val="CharSectno"/>
        </w:rPr>
        <w:t>312</w:t>
      </w:r>
      <w:r>
        <w:t>.</w:t>
      </w:r>
      <w:r>
        <w:tab/>
        <w:t>High risk construction work: safe work method statements</w:t>
      </w:r>
      <w:bookmarkEnd w:id="516"/>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 xml:space="preserve">The WHS management plan contains arrangements for cooperation between persons conducting a business or undertaking at the </w:t>
      </w:r>
      <w:r>
        <w:lastRenderedPageBreak/>
        <w:t>construction project workplace, including in relation to the preparation of safe work method statements (see regulation 309(2)(b) and (e)).</w:t>
      </w:r>
    </w:p>
    <w:p>
      <w:pPr>
        <w:pStyle w:val="Heading5"/>
      </w:pPr>
      <w:bookmarkStart w:id="517" w:name="_Toc200720021"/>
      <w:r>
        <w:rPr>
          <w:rStyle w:val="CharSectno"/>
        </w:rPr>
        <w:t>313</w:t>
      </w:r>
      <w:r>
        <w:t>.</w:t>
      </w:r>
      <w:r>
        <w:tab/>
        <w:t>Copy of WHS management plan must be kept</w:t>
      </w:r>
      <w:bookmarkEnd w:id="517"/>
    </w:p>
    <w:p>
      <w:pPr>
        <w:pStyle w:val="Subsection"/>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518" w:name="_Toc200720022"/>
      <w:r>
        <w:rPr>
          <w:rStyle w:val="CharSectno"/>
        </w:rPr>
        <w:t>314</w:t>
      </w:r>
      <w:r>
        <w:t>.</w:t>
      </w:r>
      <w:r>
        <w:tab/>
        <w:t>Further health and safety duties: specific regulations</w:t>
      </w:r>
      <w:bookmarkEnd w:id="518"/>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519" w:name="_Toc200720023"/>
      <w:r>
        <w:rPr>
          <w:rStyle w:val="CharSectno"/>
        </w:rPr>
        <w:lastRenderedPageBreak/>
        <w:t>315</w:t>
      </w:r>
      <w:r>
        <w:t>.</w:t>
      </w:r>
      <w:r>
        <w:tab/>
        <w:t>Further health and safety duties: specific risks</w:t>
      </w:r>
      <w:bookmarkEnd w:id="519"/>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520" w:name="_Toc200720024"/>
      <w:r>
        <w:rPr>
          <w:rStyle w:val="CharPartNo"/>
        </w:rPr>
        <w:t>Part 6.4A</w:t>
      </w:r>
      <w:r>
        <w:rPr>
          <w:rStyle w:val="CharDivNo"/>
        </w:rPr>
        <w:t> </w:t>
      </w:r>
      <w:r>
        <w:t>—</w:t>
      </w:r>
      <w:r>
        <w:rPr>
          <w:rStyle w:val="CharDivText"/>
        </w:rPr>
        <w:t> </w:t>
      </w:r>
      <w:r>
        <w:rPr>
          <w:rStyle w:val="CharPartText"/>
        </w:rPr>
        <w:t>Duties of local government</w:t>
      </w:r>
      <w:bookmarkEnd w:id="520"/>
    </w:p>
    <w:p>
      <w:pPr>
        <w:pStyle w:val="Heading5"/>
      </w:pPr>
      <w:bookmarkStart w:id="521" w:name="_Toc200720025"/>
      <w:r>
        <w:rPr>
          <w:rStyle w:val="CharSectno"/>
        </w:rPr>
        <w:t>315A</w:t>
      </w:r>
      <w:r>
        <w:t>.</w:t>
      </w:r>
      <w:r>
        <w:tab/>
        <w:t>Local government to notify regulator of construction work permits</w:t>
      </w:r>
      <w:bookmarkEnd w:id="521"/>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approved form and in the manner approved by the regulator.</w:t>
      </w:r>
    </w:p>
    <w:p>
      <w:pPr>
        <w:pStyle w:val="Heading3"/>
      </w:pPr>
      <w:bookmarkStart w:id="522" w:name="_Toc200720026"/>
      <w:r>
        <w:rPr>
          <w:rStyle w:val="CharPartNo"/>
        </w:rPr>
        <w:lastRenderedPageBreak/>
        <w:t>Part 6.5</w:t>
      </w:r>
      <w:r>
        <w:t> — </w:t>
      </w:r>
      <w:r>
        <w:rPr>
          <w:rStyle w:val="CharPartText"/>
        </w:rPr>
        <w:t>General construction induction training</w:t>
      </w:r>
      <w:bookmarkEnd w:id="522"/>
    </w:p>
    <w:p>
      <w:pPr>
        <w:pStyle w:val="Heading4"/>
      </w:pPr>
      <w:bookmarkStart w:id="523" w:name="_Toc200720027"/>
      <w:r>
        <w:rPr>
          <w:rStyle w:val="CharDivNo"/>
        </w:rPr>
        <w:t>Division 1</w:t>
      </w:r>
      <w:r>
        <w:t> — </w:t>
      </w:r>
      <w:r>
        <w:rPr>
          <w:rStyle w:val="CharDivText"/>
        </w:rPr>
        <w:t>General construction induction training requirements</w:t>
      </w:r>
      <w:bookmarkEnd w:id="523"/>
    </w:p>
    <w:p>
      <w:pPr>
        <w:pStyle w:val="Heading5"/>
      </w:pPr>
      <w:bookmarkStart w:id="524" w:name="_Toc200720028"/>
      <w:r>
        <w:rPr>
          <w:rStyle w:val="CharSectno"/>
        </w:rPr>
        <w:t>316</w:t>
      </w:r>
      <w:r>
        <w:t>.</w:t>
      </w:r>
      <w:r>
        <w:tab/>
        <w:t>Duty to provide general construction induction training</w:t>
      </w:r>
      <w:bookmarkEnd w:id="524"/>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25" w:name="_Toc200720029"/>
      <w:r>
        <w:rPr>
          <w:rStyle w:val="CharSectno"/>
        </w:rPr>
        <w:t>317</w:t>
      </w:r>
      <w:r>
        <w:t>.</w:t>
      </w:r>
      <w:r>
        <w:tab/>
        <w:t>Duty to ensure worker has been trained</w:t>
      </w:r>
      <w:bookmarkEnd w:id="525"/>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26" w:name="_Toc200720030"/>
      <w:r>
        <w:rPr>
          <w:rStyle w:val="CharSectno"/>
        </w:rPr>
        <w:t>318</w:t>
      </w:r>
      <w:r>
        <w:t>.</w:t>
      </w:r>
      <w:r>
        <w:tab/>
        <w:t>Recognition of general construction induction training cards issued in other jurisdictions</w:t>
      </w:r>
      <w:bookmarkEnd w:id="526"/>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527" w:name="_Toc200720031"/>
      <w:r>
        <w:t>Division 2 — Not used</w:t>
      </w:r>
      <w:bookmarkEnd w:id="527"/>
    </w:p>
    <w:p>
      <w:pPr>
        <w:pStyle w:val="Heading5"/>
      </w:pPr>
      <w:bookmarkStart w:id="528" w:name="_Toc200720032"/>
      <w:r>
        <w:t>318A.</w:t>
      </w:r>
      <w:r>
        <w:tab/>
        <w:t>Not used</w:t>
      </w:r>
      <w:bookmarkEnd w:id="528"/>
    </w:p>
    <w:p>
      <w:pPr>
        <w:pStyle w:val="Heading5"/>
        <w:keepNext w:val="0"/>
      </w:pPr>
      <w:bookmarkStart w:id="529" w:name="_Toc200720033"/>
      <w:r>
        <w:t>319.</w:t>
      </w:r>
      <w:r>
        <w:tab/>
        <w:t>Not used</w:t>
      </w:r>
      <w:bookmarkEnd w:id="529"/>
    </w:p>
    <w:p>
      <w:pPr>
        <w:pStyle w:val="Heading5"/>
        <w:keepNext w:val="0"/>
      </w:pPr>
      <w:bookmarkStart w:id="530" w:name="_Toc200720034"/>
      <w:r>
        <w:t>320.</w:t>
      </w:r>
      <w:r>
        <w:tab/>
        <w:t>Not used</w:t>
      </w:r>
      <w:bookmarkEnd w:id="530"/>
    </w:p>
    <w:p>
      <w:pPr>
        <w:pStyle w:val="Heading5"/>
        <w:keepNext w:val="0"/>
      </w:pPr>
      <w:bookmarkStart w:id="531" w:name="_Toc200720035"/>
      <w:r>
        <w:t>321.</w:t>
      </w:r>
      <w:r>
        <w:tab/>
        <w:t>Not used</w:t>
      </w:r>
      <w:bookmarkEnd w:id="531"/>
    </w:p>
    <w:p>
      <w:pPr>
        <w:pStyle w:val="Heading5"/>
        <w:keepNext w:val="0"/>
      </w:pPr>
      <w:bookmarkStart w:id="532" w:name="_Toc200720036"/>
      <w:r>
        <w:t>322.</w:t>
      </w:r>
      <w:r>
        <w:tab/>
        <w:t>Not used</w:t>
      </w:r>
      <w:bookmarkEnd w:id="532"/>
    </w:p>
    <w:p>
      <w:pPr>
        <w:pStyle w:val="Heading5"/>
        <w:keepNext w:val="0"/>
      </w:pPr>
      <w:bookmarkStart w:id="533" w:name="_Toc200720037"/>
      <w:r>
        <w:t>323.</w:t>
      </w:r>
      <w:r>
        <w:tab/>
        <w:t>Not used</w:t>
      </w:r>
      <w:bookmarkEnd w:id="533"/>
    </w:p>
    <w:p>
      <w:pPr>
        <w:pStyle w:val="Heading5"/>
        <w:keepNext w:val="0"/>
      </w:pPr>
      <w:bookmarkStart w:id="534" w:name="_Toc200720038"/>
      <w:r>
        <w:t>324.</w:t>
      </w:r>
      <w:r>
        <w:tab/>
        <w:t>Not used</w:t>
      </w:r>
      <w:bookmarkEnd w:id="534"/>
    </w:p>
    <w:p>
      <w:pPr>
        <w:pStyle w:val="Heading5"/>
        <w:keepNext w:val="0"/>
      </w:pPr>
      <w:bookmarkStart w:id="535" w:name="_Toc200720039"/>
      <w:r>
        <w:lastRenderedPageBreak/>
        <w:t>325.</w:t>
      </w:r>
      <w:r>
        <w:tab/>
        <w:t>Not used</w:t>
      </w:r>
      <w:bookmarkEnd w:id="535"/>
    </w:p>
    <w:p>
      <w:pPr>
        <w:pStyle w:val="Heading4"/>
      </w:pPr>
      <w:bookmarkStart w:id="536" w:name="_Toc200720040"/>
      <w:r>
        <w:rPr>
          <w:rStyle w:val="CharDivNo"/>
        </w:rPr>
        <w:t>Division 3</w:t>
      </w:r>
      <w:r>
        <w:t> — </w:t>
      </w:r>
      <w:r>
        <w:rPr>
          <w:rStyle w:val="CharDivText"/>
        </w:rPr>
        <w:t>Duties of workers</w:t>
      </w:r>
      <w:bookmarkEnd w:id="536"/>
    </w:p>
    <w:p>
      <w:pPr>
        <w:pStyle w:val="Heading5"/>
      </w:pPr>
      <w:bookmarkStart w:id="537" w:name="_Toc200720041"/>
      <w:r>
        <w:rPr>
          <w:rStyle w:val="CharSectno"/>
        </w:rPr>
        <w:t>326</w:t>
      </w:r>
      <w:r>
        <w:t>.</w:t>
      </w:r>
      <w:r>
        <w:tab/>
        <w:t>Duties of workers</w:t>
      </w:r>
      <w:bookmarkEnd w:id="537"/>
    </w:p>
    <w:p>
      <w:pPr>
        <w:pStyle w:val="Subsection"/>
      </w:pPr>
      <w:r>
        <w:tab/>
        <w:t>(1A)</w:t>
      </w:r>
      <w:r>
        <w:tab/>
        <w:t xml:space="preserve">In this regulation — </w:t>
      </w:r>
    </w:p>
    <w:p>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pPr>
        <w:pStyle w:val="Heading5"/>
      </w:pPr>
      <w:bookmarkStart w:id="538" w:name="_Toc200720042"/>
      <w:r>
        <w:rPr>
          <w:rStyle w:val="CharSectno"/>
        </w:rPr>
        <w:lastRenderedPageBreak/>
        <w:t>327</w:t>
      </w:r>
      <w:r>
        <w:t>.</w:t>
      </w:r>
      <w:r>
        <w:tab/>
        <w:t>Alteration of general construction induction training card</w:t>
      </w:r>
      <w:bookmarkEnd w:id="538"/>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539" w:name="_Toc200720043"/>
      <w:r>
        <w:lastRenderedPageBreak/>
        <w:t>Chapter 7 — Hazardous chemicals</w:t>
      </w:r>
      <w:bookmarkEnd w:id="539"/>
    </w:p>
    <w:p>
      <w:pPr>
        <w:pStyle w:val="Heading3"/>
      </w:pPr>
      <w:bookmarkStart w:id="540" w:name="_Toc200720044"/>
      <w:r>
        <w:rPr>
          <w:rStyle w:val="CharPartNo"/>
        </w:rPr>
        <w:t>Part 7.1</w:t>
      </w:r>
      <w:r>
        <w:t> — </w:t>
      </w:r>
      <w:r>
        <w:rPr>
          <w:rStyle w:val="CharPartText"/>
        </w:rPr>
        <w:t>Hazardous chemicals</w:t>
      </w:r>
      <w:bookmarkEnd w:id="540"/>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541" w:name="_Toc200720045"/>
      <w:r>
        <w:rPr>
          <w:rStyle w:val="CharDivNo"/>
        </w:rPr>
        <w:t>Division 1</w:t>
      </w:r>
      <w:r>
        <w:t> — </w:t>
      </w:r>
      <w:r>
        <w:rPr>
          <w:rStyle w:val="CharDivText"/>
        </w:rPr>
        <w:t>Application</w:t>
      </w:r>
      <w:bookmarkEnd w:id="541"/>
    </w:p>
    <w:p>
      <w:pPr>
        <w:pStyle w:val="Heading5"/>
      </w:pPr>
      <w:bookmarkStart w:id="542" w:name="_Toc200720046"/>
      <w:r>
        <w:rPr>
          <w:rStyle w:val="CharSectno"/>
        </w:rPr>
        <w:t>328</w:t>
      </w:r>
      <w:r>
        <w:t>.</w:t>
      </w:r>
      <w:r>
        <w:tab/>
        <w:t>Application</w:t>
      </w:r>
      <w:bookmarkEnd w:id="542"/>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543" w:name="_Toc200720047"/>
      <w:r>
        <w:rPr>
          <w:rStyle w:val="CharDivNo"/>
        </w:rPr>
        <w:lastRenderedPageBreak/>
        <w:t>Division 2</w:t>
      </w:r>
      <w:r>
        <w:t> — </w:t>
      </w:r>
      <w:r>
        <w:rPr>
          <w:rStyle w:val="CharDivText"/>
        </w:rPr>
        <w:t>Obligations relating to safety data sheets and other matters</w:t>
      </w:r>
      <w:bookmarkEnd w:id="543"/>
    </w:p>
    <w:p>
      <w:pPr>
        <w:pStyle w:val="Heading4"/>
      </w:pPr>
      <w:bookmarkStart w:id="544" w:name="_Toc200720048"/>
      <w:r>
        <w:t>Subdivision 1 — Obligations of manufacturers and importers</w:t>
      </w:r>
      <w:bookmarkEnd w:id="544"/>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545" w:name="_Toc200720049"/>
      <w:r>
        <w:rPr>
          <w:rStyle w:val="CharSectno"/>
        </w:rPr>
        <w:t>329</w:t>
      </w:r>
      <w:r>
        <w:t>.</w:t>
      </w:r>
      <w:r>
        <w:tab/>
        <w:t>Classification of hazardous chemicals</w:t>
      </w:r>
      <w:bookmarkEnd w:id="545"/>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6" w:name="_Toc200720050"/>
      <w:r>
        <w:rPr>
          <w:rStyle w:val="CharSectno"/>
        </w:rPr>
        <w:t>330</w:t>
      </w:r>
      <w:r>
        <w:t>.</w:t>
      </w:r>
      <w:r>
        <w:tab/>
        <w:t>Manufacturer or importer to prepare and provide safety data sheets</w:t>
      </w:r>
      <w:bookmarkEnd w:id="546"/>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547" w:name="_Toc200720051"/>
      <w:r>
        <w:rPr>
          <w:rStyle w:val="CharSectno"/>
        </w:rPr>
        <w:lastRenderedPageBreak/>
        <w:t>331</w:t>
      </w:r>
      <w:r>
        <w:t>.</w:t>
      </w:r>
      <w:r>
        <w:tab/>
        <w:t>Safety data sheets: research chemical, waste product or sample for analysis</w:t>
      </w:r>
      <w:bookmarkEnd w:id="547"/>
    </w:p>
    <w:p>
      <w:pPr>
        <w:pStyle w:val="Subsection"/>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8" w:name="_Toc200720052"/>
      <w:r>
        <w:rPr>
          <w:rStyle w:val="CharSectno"/>
        </w:rPr>
        <w:t>332</w:t>
      </w:r>
      <w:r>
        <w:t>.</w:t>
      </w:r>
      <w:r>
        <w:tab/>
        <w:t>Emergency disclosure of chemical identities to registered medical practitioner</w:t>
      </w:r>
      <w:bookmarkEnd w:id="548"/>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9" w:name="_Toc200720053"/>
      <w:r>
        <w:rPr>
          <w:rStyle w:val="CharSectno"/>
        </w:rPr>
        <w:t>333</w:t>
      </w:r>
      <w:r>
        <w:t>.</w:t>
      </w:r>
      <w:r>
        <w:tab/>
        <w:t>Emergency disclosure of chemical identities to emergency workers</w:t>
      </w:r>
      <w:bookmarkEnd w:id="549"/>
    </w:p>
    <w:p>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50" w:name="_Toc200720054"/>
      <w:r>
        <w:rPr>
          <w:rStyle w:val="CharSectno"/>
        </w:rPr>
        <w:t>334</w:t>
      </w:r>
      <w:r>
        <w:t>.</w:t>
      </w:r>
      <w:r>
        <w:tab/>
        <w:t>Packing hazardous chemicals</w:t>
      </w:r>
      <w:bookmarkEnd w:id="550"/>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51" w:name="_Toc200720055"/>
      <w:r>
        <w:rPr>
          <w:rStyle w:val="CharSectno"/>
        </w:rPr>
        <w:t>335</w:t>
      </w:r>
      <w:r>
        <w:t>.</w:t>
      </w:r>
      <w:r>
        <w:tab/>
        <w:t>Labelling hazardous chemicals</w:t>
      </w:r>
      <w:bookmarkEnd w:id="551"/>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552" w:name="_Toc200720056"/>
      <w:r>
        <w:t>Subdivision 2 — Obligations of suppliers</w:t>
      </w:r>
      <w:bookmarkEnd w:id="552"/>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553" w:name="_Toc200720057"/>
      <w:r>
        <w:rPr>
          <w:rStyle w:val="CharSectno"/>
        </w:rPr>
        <w:t>336</w:t>
      </w:r>
      <w:r>
        <w:t>.</w:t>
      </w:r>
      <w:r>
        <w:tab/>
        <w:t>Restriction on age of person who can supply hazardous chemicals</w:t>
      </w:r>
      <w:bookmarkEnd w:id="553"/>
    </w:p>
    <w:p>
      <w:pPr>
        <w:pStyle w:val="Subsection"/>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554" w:name="_Toc200720058"/>
      <w:r>
        <w:rPr>
          <w:rStyle w:val="CharSectno"/>
        </w:rPr>
        <w:t>337</w:t>
      </w:r>
      <w:r>
        <w:t>.</w:t>
      </w:r>
      <w:r>
        <w:tab/>
        <w:t>Retailer or supplier packing hazardous chemicals</w:t>
      </w:r>
      <w:bookmarkEnd w:id="554"/>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55" w:name="_Toc200720059"/>
      <w:r>
        <w:rPr>
          <w:rStyle w:val="CharSectno"/>
        </w:rPr>
        <w:t>338</w:t>
      </w:r>
      <w:r>
        <w:t>.</w:t>
      </w:r>
      <w:r>
        <w:tab/>
        <w:t>Supplier labelling hazardous chemicals</w:t>
      </w:r>
      <w:bookmarkEnd w:id="555"/>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556" w:name="_Toc200720060"/>
      <w:r>
        <w:rPr>
          <w:rStyle w:val="CharSectno"/>
        </w:rPr>
        <w:t>339</w:t>
      </w:r>
      <w:r>
        <w:t>.</w:t>
      </w:r>
      <w:r>
        <w:tab/>
        <w:t>Supplier to provide safety data sheets</w:t>
      </w:r>
      <w:bookmarkEnd w:id="556"/>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keepNext/>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557" w:name="_Toc200720061"/>
      <w:r>
        <w:rPr>
          <w:rStyle w:val="CharSectno"/>
        </w:rPr>
        <w:t>340</w:t>
      </w:r>
      <w:r>
        <w:t>.</w:t>
      </w:r>
      <w:r>
        <w:tab/>
        <w:t>Supply of prohibited and restricted carcinogens</w:t>
      </w:r>
      <w:bookmarkEnd w:id="557"/>
    </w:p>
    <w:p>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58" w:name="_Toc200720062"/>
      <w:r>
        <w:t>Subdivision 3 — Obligations of persons conducting businesses or undertakings</w:t>
      </w:r>
      <w:bookmarkEnd w:id="558"/>
    </w:p>
    <w:p>
      <w:pPr>
        <w:pStyle w:val="Heading5"/>
      </w:pPr>
      <w:bookmarkStart w:id="559" w:name="_Toc200720063"/>
      <w:r>
        <w:rPr>
          <w:rStyle w:val="CharSectno"/>
        </w:rPr>
        <w:t>341</w:t>
      </w:r>
      <w:r>
        <w:t>.</w:t>
      </w:r>
      <w:r>
        <w:tab/>
        <w:t>Labelling hazardous chemicals: general requirement</w:t>
      </w:r>
      <w:bookmarkEnd w:id="559"/>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560" w:name="_Toc200720064"/>
      <w:r>
        <w:rPr>
          <w:rStyle w:val="CharSectno"/>
        </w:rPr>
        <w:t>342</w:t>
      </w:r>
      <w:r>
        <w:t>.</w:t>
      </w:r>
      <w:r>
        <w:tab/>
        <w:t>Labelling hazardous chemicals: containers</w:t>
      </w:r>
      <w:bookmarkEnd w:id="560"/>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w:t>
      </w:r>
      <w:r>
        <w:t xml:space="preserve"> </w:t>
      </w:r>
      <w:r>
        <w:rPr>
          <w:i/>
        </w:rPr>
        <w:t>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561" w:name="_Toc200720065"/>
      <w:r>
        <w:rPr>
          <w:rStyle w:val="CharSectno"/>
        </w:rPr>
        <w:t>343</w:t>
      </w:r>
      <w:r>
        <w:t>.</w:t>
      </w:r>
      <w:r>
        <w:tab/>
        <w:t>Labelling hazardous chemicals: pipe work</w:t>
      </w:r>
      <w:bookmarkEnd w:id="561"/>
    </w:p>
    <w:p>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62" w:name="_Toc200720066"/>
      <w:r>
        <w:rPr>
          <w:rStyle w:val="CharSectno"/>
        </w:rPr>
        <w:t>344</w:t>
      </w:r>
      <w:r>
        <w:t>.</w:t>
      </w:r>
      <w:r>
        <w:tab/>
        <w:t>Person conducting business or undertaking to obtain and give access to safety data sheets</w:t>
      </w:r>
      <w:bookmarkEnd w:id="562"/>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pPr>
      <w:r>
        <w:tab/>
        <w:t>(ii)</w:t>
      </w:r>
      <w:r>
        <w:tab/>
        <w:t xml:space="preserve">if the person is not able to obtain the safety data sheet under subparagraph (i) — as soon as practicable after the hazardous chemical is first </w:t>
      </w:r>
      <w:r>
        <w:lastRenderedPageBreak/>
        <w:t>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Subregulations (1) and (3) do not apply to a hazardous chemical that — </w:t>
      </w:r>
    </w:p>
    <w:p>
      <w:pPr>
        <w:pStyle w:val="Indenta"/>
      </w:pPr>
      <w:r>
        <w:tab/>
        <w:t>(a)</w:t>
      </w:r>
      <w:r>
        <w:tab/>
        <w:t>is in transit; or</w:t>
      </w:r>
    </w:p>
    <w:p>
      <w:pPr>
        <w:pStyle w:val="Indenta"/>
      </w:pPr>
      <w:r>
        <w:lastRenderedPageBreak/>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lastRenderedPageBreak/>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63" w:name="_Toc200720067"/>
      <w:r>
        <w:rPr>
          <w:rStyle w:val="CharSectno"/>
        </w:rPr>
        <w:t>345</w:t>
      </w:r>
      <w:r>
        <w:t>.</w:t>
      </w:r>
      <w:r>
        <w:tab/>
        <w:t>Changes to safety data sheets</w:t>
      </w:r>
      <w:bookmarkEnd w:id="563"/>
      <w:r>
        <w:t xml:space="preserve"> </w:t>
      </w:r>
    </w:p>
    <w:p>
      <w:pPr>
        <w:pStyle w:val="Subsection"/>
      </w:pPr>
      <w:r>
        <w:tab/>
      </w:r>
      <w:r>
        <w:tab/>
        <w:t xml:space="preserve">A person conducting a business or undertaking at a workplace may change a safety data sheet for a hazardous chemical only if — </w:t>
      </w:r>
    </w:p>
    <w:p>
      <w:pPr>
        <w:pStyle w:val="Indenta"/>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564" w:name="_Toc200720068"/>
      <w:r>
        <w:rPr>
          <w:rStyle w:val="CharDivNo"/>
        </w:rPr>
        <w:lastRenderedPageBreak/>
        <w:t>Division 3</w:t>
      </w:r>
      <w:r>
        <w:t> — </w:t>
      </w:r>
      <w:r>
        <w:rPr>
          <w:rStyle w:val="CharDivText"/>
        </w:rPr>
        <w:t>Register of hazardous chemicals</w:t>
      </w:r>
      <w:bookmarkEnd w:id="564"/>
    </w:p>
    <w:p>
      <w:pPr>
        <w:pStyle w:val="Heading4"/>
      </w:pPr>
      <w:bookmarkStart w:id="565" w:name="_Toc200720069"/>
      <w:r>
        <w:t>Subdivision 1 — Hazardous chemicals register</w:t>
      </w:r>
      <w:bookmarkEnd w:id="565"/>
    </w:p>
    <w:p>
      <w:pPr>
        <w:pStyle w:val="Heading5"/>
      </w:pPr>
      <w:bookmarkStart w:id="566" w:name="_Toc200720070"/>
      <w:r>
        <w:rPr>
          <w:rStyle w:val="CharSectno"/>
        </w:rPr>
        <w:t>346</w:t>
      </w:r>
      <w:r>
        <w:t>.</w:t>
      </w:r>
      <w:r>
        <w:tab/>
        <w:t>Hazardous chemicals register</w:t>
      </w:r>
      <w:bookmarkEnd w:id="566"/>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keepNext/>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567" w:name="_Toc200720071"/>
      <w:r>
        <w:t>Subdivision 2 — Not used</w:t>
      </w:r>
      <w:bookmarkEnd w:id="567"/>
    </w:p>
    <w:p>
      <w:pPr>
        <w:pStyle w:val="Heading5"/>
      </w:pPr>
      <w:bookmarkStart w:id="568" w:name="_Toc200720072"/>
      <w:r>
        <w:t>347.</w:t>
      </w:r>
      <w:r>
        <w:tab/>
        <w:t>Not used</w:t>
      </w:r>
      <w:bookmarkEnd w:id="568"/>
    </w:p>
    <w:p>
      <w:pPr>
        <w:pStyle w:val="Heading5"/>
        <w:keepNext w:val="0"/>
      </w:pPr>
      <w:bookmarkStart w:id="569" w:name="_Toc200720073"/>
      <w:r>
        <w:t>348.</w:t>
      </w:r>
      <w:r>
        <w:tab/>
        <w:t>Not used</w:t>
      </w:r>
      <w:bookmarkEnd w:id="569"/>
    </w:p>
    <w:p>
      <w:pPr>
        <w:pStyle w:val="Heading4"/>
      </w:pPr>
      <w:bookmarkStart w:id="570" w:name="_Toc200720074"/>
      <w:r>
        <w:t>Division 4 — Not used</w:t>
      </w:r>
      <w:bookmarkEnd w:id="570"/>
    </w:p>
    <w:p>
      <w:pPr>
        <w:pStyle w:val="Heading5"/>
      </w:pPr>
      <w:bookmarkStart w:id="571" w:name="_Toc200720075"/>
      <w:r>
        <w:t>349.</w:t>
      </w:r>
      <w:r>
        <w:tab/>
        <w:t>Not used</w:t>
      </w:r>
      <w:bookmarkEnd w:id="571"/>
    </w:p>
    <w:p>
      <w:pPr>
        <w:pStyle w:val="Heading5"/>
        <w:keepNext w:val="0"/>
      </w:pPr>
      <w:bookmarkStart w:id="572" w:name="_Toc200720076"/>
      <w:r>
        <w:t>350.</w:t>
      </w:r>
      <w:r>
        <w:tab/>
        <w:t>Not used</w:t>
      </w:r>
      <w:bookmarkEnd w:id="572"/>
    </w:p>
    <w:p>
      <w:pPr>
        <w:pStyle w:val="Heading4"/>
      </w:pPr>
      <w:bookmarkStart w:id="573" w:name="_Toc200720077"/>
      <w:r>
        <w:rPr>
          <w:rStyle w:val="CharDivNo"/>
        </w:rPr>
        <w:t>Division 5</w:t>
      </w:r>
      <w:r>
        <w:t> — </w:t>
      </w:r>
      <w:r>
        <w:rPr>
          <w:rStyle w:val="CharDivText"/>
        </w:rPr>
        <w:t>Control of risk: obligations of persons conducting businesses or undertakings</w:t>
      </w:r>
      <w:bookmarkEnd w:id="573"/>
    </w:p>
    <w:p>
      <w:pPr>
        <w:pStyle w:val="Heading4"/>
      </w:pPr>
      <w:bookmarkStart w:id="574" w:name="_Toc200720078"/>
      <w:r>
        <w:t>Subdivision 1 — General obligations relating to management of risk</w:t>
      </w:r>
      <w:bookmarkEnd w:id="574"/>
    </w:p>
    <w:p>
      <w:pPr>
        <w:pStyle w:val="Heading5"/>
      </w:pPr>
      <w:bookmarkStart w:id="575" w:name="_Toc200720079"/>
      <w:r>
        <w:rPr>
          <w:rStyle w:val="CharSectno"/>
        </w:rPr>
        <w:t>351</w:t>
      </w:r>
      <w:r>
        <w:t>.</w:t>
      </w:r>
      <w:r>
        <w:tab/>
        <w:t>Management of risks to health or safety</w:t>
      </w:r>
      <w:bookmarkEnd w:id="575"/>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576" w:name="_Toc200720080"/>
      <w:r>
        <w:rPr>
          <w:rStyle w:val="CharSectno"/>
        </w:rPr>
        <w:t>352</w:t>
      </w:r>
      <w:r>
        <w:t>.</w:t>
      </w:r>
      <w:r>
        <w:tab/>
        <w:t>Review of control measures</w:t>
      </w:r>
      <w:bookmarkEnd w:id="576"/>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7" w:name="_Toc200720081"/>
      <w:r>
        <w:rPr>
          <w:rStyle w:val="CharSectno"/>
        </w:rPr>
        <w:t>353</w:t>
      </w:r>
      <w:r>
        <w:t>.</w:t>
      </w:r>
      <w:r>
        <w:tab/>
        <w:t>Safety signs</w:t>
      </w:r>
      <w:bookmarkEnd w:id="577"/>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578" w:name="_Toc200720082"/>
      <w:r>
        <w:rPr>
          <w:rStyle w:val="CharSectno"/>
        </w:rPr>
        <w:t>354</w:t>
      </w:r>
      <w:r>
        <w:t>.</w:t>
      </w:r>
      <w:r>
        <w:tab/>
        <w:t>Identification of risk of physical or chemical reaction</w:t>
      </w:r>
      <w:bookmarkEnd w:id="578"/>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579" w:name="_Toc200720083"/>
      <w:r>
        <w:rPr>
          <w:rStyle w:val="CharSectno"/>
        </w:rPr>
        <w:t>355</w:t>
      </w:r>
      <w:r>
        <w:t>.</w:t>
      </w:r>
      <w:r>
        <w:tab/>
        <w:t>Specific control: fire and explosion</w:t>
      </w:r>
      <w:bookmarkEnd w:id="579"/>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80" w:name="_Toc200720084"/>
      <w:r>
        <w:rPr>
          <w:rStyle w:val="CharSectno"/>
        </w:rPr>
        <w:t>356</w:t>
      </w:r>
      <w:r>
        <w:t>.</w:t>
      </w:r>
      <w:r>
        <w:tab/>
        <w:t>Keeping hazardous chemicals stable</w:t>
      </w:r>
      <w:bookmarkEnd w:id="580"/>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581" w:name="_Toc200720085"/>
      <w:r>
        <w:t>Subdivision 2 — Spills and damage</w:t>
      </w:r>
      <w:bookmarkEnd w:id="581"/>
    </w:p>
    <w:p>
      <w:pPr>
        <w:pStyle w:val="Heading5"/>
      </w:pPr>
      <w:bookmarkStart w:id="582" w:name="_Toc200720086"/>
      <w:r>
        <w:rPr>
          <w:rStyle w:val="CharSectno"/>
        </w:rPr>
        <w:t>357</w:t>
      </w:r>
      <w:r>
        <w:t>.</w:t>
      </w:r>
      <w:r>
        <w:tab/>
        <w:t>Containing and managing spills</w:t>
      </w:r>
      <w:bookmarkEnd w:id="582"/>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583" w:name="_Toc200720087"/>
      <w:r>
        <w:rPr>
          <w:rStyle w:val="CharSectno"/>
        </w:rPr>
        <w:t>358</w:t>
      </w:r>
      <w:r>
        <w:t>.</w:t>
      </w:r>
      <w:r>
        <w:tab/>
        <w:t>Protecting hazardous chemicals from damage</w:t>
      </w:r>
      <w:bookmarkEnd w:id="583"/>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84" w:name="_Toc200720088"/>
      <w:r>
        <w:t>Subdivision 3 — Emergency plans and safety equipment</w:t>
      </w:r>
      <w:bookmarkEnd w:id="584"/>
    </w:p>
    <w:p>
      <w:pPr>
        <w:pStyle w:val="Heading5"/>
      </w:pPr>
      <w:bookmarkStart w:id="585" w:name="_Toc200720089"/>
      <w:r>
        <w:rPr>
          <w:rStyle w:val="CharSectno"/>
        </w:rPr>
        <w:t>359</w:t>
      </w:r>
      <w:r>
        <w:t>.</w:t>
      </w:r>
      <w:r>
        <w:tab/>
        <w:t>Fire protection and firefighting equipment</w:t>
      </w:r>
      <w:bookmarkEnd w:id="585"/>
    </w:p>
    <w:p>
      <w:pPr>
        <w:pStyle w:val="Subsection"/>
      </w:pPr>
      <w:r>
        <w:tab/>
        <w:t>(1)</w:t>
      </w:r>
      <w:r>
        <w:tab/>
        <w:t xml:space="preserve">A person conducting a business or undertaking at a workplace must ensure the following — </w:t>
      </w:r>
    </w:p>
    <w:p>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86" w:name="_Toc200720090"/>
      <w:r>
        <w:rPr>
          <w:rStyle w:val="CharSectno"/>
        </w:rPr>
        <w:t>360</w:t>
      </w:r>
      <w:r>
        <w:t>.</w:t>
      </w:r>
      <w:r>
        <w:tab/>
        <w:t>Emergency equipment</w:t>
      </w:r>
      <w:bookmarkEnd w:id="586"/>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587" w:name="_Toc200720091"/>
      <w:r>
        <w:rPr>
          <w:rStyle w:val="CharSectno"/>
        </w:rPr>
        <w:t>361</w:t>
      </w:r>
      <w:r>
        <w:t>.</w:t>
      </w:r>
      <w:r>
        <w:tab/>
        <w:t>Not used</w:t>
      </w:r>
      <w:bookmarkEnd w:id="587"/>
    </w:p>
    <w:p>
      <w:pPr>
        <w:pStyle w:val="Heading5"/>
      </w:pPr>
      <w:bookmarkStart w:id="588" w:name="_Toc200720092"/>
      <w:r>
        <w:rPr>
          <w:rStyle w:val="CharSectno"/>
        </w:rPr>
        <w:lastRenderedPageBreak/>
        <w:t>362</w:t>
      </w:r>
      <w:r>
        <w:t>.</w:t>
      </w:r>
      <w:r>
        <w:tab/>
        <w:t>Safety equipment</w:t>
      </w:r>
      <w:bookmarkEnd w:id="588"/>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89" w:name="_Toc200720093"/>
      <w:r>
        <w:t>Subdivision 4 — Not used</w:t>
      </w:r>
      <w:bookmarkEnd w:id="589"/>
    </w:p>
    <w:p>
      <w:pPr>
        <w:pStyle w:val="Heading5"/>
      </w:pPr>
      <w:bookmarkStart w:id="590" w:name="_Toc200720094"/>
      <w:r>
        <w:rPr>
          <w:rStyle w:val="CharSectno"/>
        </w:rPr>
        <w:t>363</w:t>
      </w:r>
      <w:r>
        <w:t>.</w:t>
      </w:r>
      <w:r>
        <w:tab/>
        <w:t>Not used</w:t>
      </w:r>
      <w:bookmarkEnd w:id="590"/>
    </w:p>
    <w:p>
      <w:pPr>
        <w:pStyle w:val="Heading5"/>
        <w:keepNext w:val="0"/>
      </w:pPr>
      <w:bookmarkStart w:id="591" w:name="_Toc200720095"/>
      <w:r>
        <w:rPr>
          <w:rStyle w:val="CharSectno"/>
        </w:rPr>
        <w:t>364</w:t>
      </w:r>
      <w:r>
        <w:t>.</w:t>
      </w:r>
      <w:r>
        <w:tab/>
        <w:t>Not used</w:t>
      </w:r>
      <w:bookmarkEnd w:id="591"/>
    </w:p>
    <w:p>
      <w:pPr>
        <w:pStyle w:val="Heading5"/>
        <w:keepNext w:val="0"/>
      </w:pPr>
      <w:bookmarkStart w:id="592" w:name="_Toc200720096"/>
      <w:r>
        <w:rPr>
          <w:rStyle w:val="CharSectno"/>
        </w:rPr>
        <w:t>365</w:t>
      </w:r>
      <w:r>
        <w:t>.</w:t>
      </w:r>
      <w:r>
        <w:tab/>
        <w:t>Not used</w:t>
      </w:r>
      <w:bookmarkEnd w:id="592"/>
    </w:p>
    <w:p>
      <w:pPr>
        <w:pStyle w:val="Heading5"/>
        <w:keepNext w:val="0"/>
      </w:pPr>
      <w:bookmarkStart w:id="593" w:name="_Toc200720097"/>
      <w:r>
        <w:rPr>
          <w:rStyle w:val="CharSectno"/>
        </w:rPr>
        <w:t>366</w:t>
      </w:r>
      <w:r>
        <w:t>.</w:t>
      </w:r>
      <w:r>
        <w:tab/>
        <w:t>Not used</w:t>
      </w:r>
      <w:bookmarkEnd w:id="593"/>
    </w:p>
    <w:p>
      <w:pPr>
        <w:pStyle w:val="Heading5"/>
        <w:keepNext w:val="0"/>
      </w:pPr>
      <w:bookmarkStart w:id="594" w:name="_Toc200720098"/>
      <w:r>
        <w:rPr>
          <w:rStyle w:val="CharSectno"/>
        </w:rPr>
        <w:t>367</w:t>
      </w:r>
      <w:r>
        <w:t>.</w:t>
      </w:r>
      <w:r>
        <w:tab/>
        <w:t>Not used</w:t>
      </w:r>
      <w:bookmarkEnd w:id="594"/>
    </w:p>
    <w:p>
      <w:pPr>
        <w:pStyle w:val="Heading4"/>
      </w:pPr>
      <w:bookmarkStart w:id="595" w:name="_Toc200720099"/>
      <w:r>
        <w:rPr>
          <w:rStyle w:val="CharDivNo"/>
        </w:rPr>
        <w:t>Division 6</w:t>
      </w:r>
      <w:r>
        <w:t> — </w:t>
      </w:r>
      <w:r>
        <w:rPr>
          <w:rStyle w:val="CharDivText"/>
        </w:rPr>
        <w:t>Health monitoring</w:t>
      </w:r>
      <w:bookmarkEnd w:id="595"/>
    </w:p>
    <w:p>
      <w:pPr>
        <w:pStyle w:val="Heading5"/>
      </w:pPr>
      <w:bookmarkStart w:id="596" w:name="_Toc200720100"/>
      <w:r>
        <w:rPr>
          <w:rStyle w:val="CharSectno"/>
        </w:rPr>
        <w:t>368</w:t>
      </w:r>
      <w:r>
        <w:t>.</w:t>
      </w:r>
      <w:r>
        <w:tab/>
        <w:t>Duty to provide health monitoring</w:t>
      </w:r>
      <w:bookmarkEnd w:id="596"/>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597" w:name="_Toc200720101"/>
      <w:r>
        <w:rPr>
          <w:rStyle w:val="CharSectno"/>
        </w:rPr>
        <w:t>369</w:t>
      </w:r>
      <w:r>
        <w:t>.</w:t>
      </w:r>
      <w:r>
        <w:tab/>
        <w:t>Duty to inform of health monitoring</w:t>
      </w:r>
      <w:bookmarkEnd w:id="597"/>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98" w:name="_Toc200720102"/>
      <w:r>
        <w:rPr>
          <w:rStyle w:val="CharSectno"/>
        </w:rPr>
        <w:lastRenderedPageBreak/>
        <w:t>370</w:t>
      </w:r>
      <w:r>
        <w:t>.</w:t>
      </w:r>
      <w:r>
        <w:tab/>
        <w:t>Duty to ensure that appropriate health monitoring is provided</w:t>
      </w:r>
      <w:bookmarkEnd w:id="598"/>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99" w:name="_Toc200720103"/>
      <w:r>
        <w:rPr>
          <w:rStyle w:val="CharSectno"/>
        </w:rPr>
        <w:t>371</w:t>
      </w:r>
      <w:r>
        <w:t>.</w:t>
      </w:r>
      <w:r>
        <w:tab/>
        <w:t>Duty to ensure health monitoring is supervised by registered medical practitioner with experience</w:t>
      </w:r>
      <w:bookmarkEnd w:id="599"/>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00" w:name="_Toc200720104"/>
      <w:r>
        <w:rPr>
          <w:rStyle w:val="CharSectno"/>
        </w:rPr>
        <w:lastRenderedPageBreak/>
        <w:t>372</w:t>
      </w:r>
      <w:r>
        <w:t>.</w:t>
      </w:r>
      <w:r>
        <w:tab/>
        <w:t>Duty to pay costs of health monitoring</w:t>
      </w:r>
      <w:bookmarkEnd w:id="600"/>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601" w:name="_Toc200720105"/>
      <w:r>
        <w:rPr>
          <w:rStyle w:val="CharSectno"/>
        </w:rPr>
        <w:t>373</w:t>
      </w:r>
      <w:r>
        <w:t>.</w:t>
      </w:r>
      <w:r>
        <w:tab/>
        <w:t>Information that must be provided to registered medical practitioner</w:t>
      </w:r>
      <w:bookmarkEnd w:id="601"/>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02" w:name="_Toc200720106"/>
      <w:r>
        <w:rPr>
          <w:rStyle w:val="CharSectno"/>
        </w:rPr>
        <w:lastRenderedPageBreak/>
        <w:t>374</w:t>
      </w:r>
      <w:r>
        <w:t>.</w:t>
      </w:r>
      <w:r>
        <w:tab/>
        <w:t>Duty to obtain health monitoring report</w:t>
      </w:r>
      <w:bookmarkEnd w:id="602"/>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603" w:name="_Toc200720107"/>
      <w:r>
        <w:rPr>
          <w:rStyle w:val="CharSectno"/>
        </w:rPr>
        <w:lastRenderedPageBreak/>
        <w:t>375</w:t>
      </w:r>
      <w:r>
        <w:t>.</w:t>
      </w:r>
      <w:r>
        <w:tab/>
        <w:t>Duty to give health monitoring report to worker</w:t>
      </w:r>
      <w:bookmarkEnd w:id="603"/>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04" w:name="_Toc200720108"/>
      <w:r>
        <w:rPr>
          <w:rStyle w:val="CharSectno"/>
        </w:rPr>
        <w:t>376</w:t>
      </w:r>
      <w:r>
        <w:t>.</w:t>
      </w:r>
      <w:r>
        <w:tab/>
        <w:t>Duty to give health monitoring report to regulator</w:t>
      </w:r>
      <w:bookmarkEnd w:id="604"/>
    </w:p>
    <w:p>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05" w:name="_Toc200720109"/>
      <w:r>
        <w:rPr>
          <w:rStyle w:val="CharSectno"/>
        </w:rPr>
        <w:t>377</w:t>
      </w:r>
      <w:r>
        <w:t>.</w:t>
      </w:r>
      <w:r>
        <w:tab/>
        <w:t>Duty to give health monitoring report to relevant persons conducting businesses or undertakings</w:t>
      </w:r>
      <w:bookmarkEnd w:id="605"/>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06" w:name="_Toc200720110"/>
      <w:r>
        <w:rPr>
          <w:rStyle w:val="CharSectno"/>
        </w:rPr>
        <w:t>378</w:t>
      </w:r>
      <w:r>
        <w:t>.</w:t>
      </w:r>
      <w:r>
        <w:tab/>
        <w:t>Health monitoring records</w:t>
      </w:r>
      <w:bookmarkEnd w:id="606"/>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607" w:name="_Toc200720111"/>
      <w:r>
        <w:rPr>
          <w:rStyle w:val="CharDivNo"/>
        </w:rPr>
        <w:t>Division 7</w:t>
      </w:r>
      <w:r>
        <w:t> — </w:t>
      </w:r>
      <w:r>
        <w:rPr>
          <w:rStyle w:val="CharDivText"/>
        </w:rPr>
        <w:t>Induction, information, training and supervision</w:t>
      </w:r>
      <w:bookmarkEnd w:id="607"/>
    </w:p>
    <w:p>
      <w:pPr>
        <w:pStyle w:val="Heading5"/>
      </w:pPr>
      <w:bookmarkStart w:id="608" w:name="_Toc200720112"/>
      <w:r>
        <w:rPr>
          <w:rStyle w:val="CharSectno"/>
        </w:rPr>
        <w:t>379</w:t>
      </w:r>
      <w:r>
        <w:t>.</w:t>
      </w:r>
      <w:r>
        <w:tab/>
        <w:t>Duty to provide supervision</w:t>
      </w:r>
      <w:bookmarkEnd w:id="608"/>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609" w:name="_Toc200720113"/>
      <w:r>
        <w:rPr>
          <w:rStyle w:val="CharDivNo"/>
        </w:rPr>
        <w:t>Division 8</w:t>
      </w:r>
      <w:r>
        <w:t> — </w:t>
      </w:r>
      <w:r>
        <w:rPr>
          <w:rStyle w:val="CharDivText"/>
        </w:rPr>
        <w:t>Prohibition, authorisation and restricted use</w:t>
      </w:r>
      <w:bookmarkEnd w:id="609"/>
    </w:p>
    <w:p>
      <w:pPr>
        <w:pStyle w:val="Heading5"/>
      </w:pPr>
      <w:bookmarkStart w:id="610" w:name="_Toc200720114"/>
      <w:r>
        <w:rPr>
          <w:rStyle w:val="CharSectno"/>
        </w:rPr>
        <w:t>380</w:t>
      </w:r>
      <w:r>
        <w:t>.</w:t>
      </w:r>
      <w:r>
        <w:tab/>
        <w:t>Using, handling and storing prohibited carcinogens</w:t>
      </w:r>
      <w:bookmarkEnd w:id="610"/>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611" w:name="_Toc200720115"/>
      <w:r>
        <w:rPr>
          <w:rStyle w:val="CharSectno"/>
        </w:rPr>
        <w:t>381</w:t>
      </w:r>
      <w:r>
        <w:t>.</w:t>
      </w:r>
      <w:r>
        <w:tab/>
        <w:t>Using, handling and storing restricted carcinogens</w:t>
      </w:r>
      <w:bookmarkEnd w:id="611"/>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612" w:name="_Toc200720116"/>
      <w:r>
        <w:rPr>
          <w:rStyle w:val="CharSectno"/>
        </w:rPr>
        <w:t>382</w:t>
      </w:r>
      <w:r>
        <w:t>.</w:t>
      </w:r>
      <w:r>
        <w:tab/>
        <w:t>Using, handling and storing restricted hazardous chemicals</w:t>
      </w:r>
      <w:bookmarkEnd w:id="612"/>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613" w:name="_Toc200720117"/>
      <w:r>
        <w:rPr>
          <w:rStyle w:val="CharSectno"/>
        </w:rPr>
        <w:t>383</w:t>
      </w:r>
      <w:r>
        <w:t>.</w:t>
      </w:r>
      <w:r>
        <w:tab/>
        <w:t>Application for authorisation to use, handle or store prohibited and restricted carcinogens</w:t>
      </w:r>
      <w:bookmarkEnd w:id="613"/>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614" w:name="_Toc200720118"/>
      <w:r>
        <w:rPr>
          <w:rStyle w:val="CharSectno"/>
        </w:rPr>
        <w:t>384</w:t>
      </w:r>
      <w:r>
        <w:t>.</w:t>
      </w:r>
      <w:r>
        <w:tab/>
        <w:t>Authorisation to use, handle or store prohibited carcinogens and restricted carcinogens</w:t>
      </w:r>
      <w:bookmarkEnd w:id="614"/>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615" w:name="_Toc200720119"/>
      <w:r>
        <w:rPr>
          <w:rStyle w:val="CharSectno"/>
        </w:rPr>
        <w:t>385</w:t>
      </w:r>
      <w:r>
        <w:t>.</w:t>
      </w:r>
      <w:r>
        <w:tab/>
        <w:t>Changes to information in application to be reported</w:t>
      </w:r>
      <w:bookmarkEnd w:id="615"/>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16" w:name="_Toc200720120"/>
      <w:r>
        <w:rPr>
          <w:rStyle w:val="CharSectno"/>
        </w:rPr>
        <w:lastRenderedPageBreak/>
        <w:t>386</w:t>
      </w:r>
      <w:r>
        <w:t>.</w:t>
      </w:r>
      <w:r>
        <w:tab/>
        <w:t>Regulator may cancel authorisation</w:t>
      </w:r>
      <w:bookmarkEnd w:id="616"/>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617" w:name="_Toc200720121"/>
      <w:r>
        <w:rPr>
          <w:rStyle w:val="CharSectno"/>
        </w:rPr>
        <w:t>387</w:t>
      </w:r>
      <w:r>
        <w:t>.</w:t>
      </w:r>
      <w:r>
        <w:tab/>
        <w:t>Statement of exposure to be given to workers</w:t>
      </w:r>
      <w:bookmarkEnd w:id="617"/>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18" w:name="_Toc200720122"/>
      <w:r>
        <w:rPr>
          <w:rStyle w:val="CharSectno"/>
        </w:rPr>
        <w:t>388</w:t>
      </w:r>
      <w:r>
        <w:t>.</w:t>
      </w:r>
      <w:r>
        <w:tab/>
        <w:t>Records to be kept</w:t>
      </w:r>
      <w:bookmarkEnd w:id="618"/>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619" w:name="_Toc200720123"/>
      <w:r>
        <w:t>Division 9 — Not used</w:t>
      </w:r>
      <w:bookmarkEnd w:id="619"/>
    </w:p>
    <w:p>
      <w:pPr>
        <w:pStyle w:val="Heading5"/>
        <w:keepNext w:val="0"/>
      </w:pPr>
      <w:bookmarkStart w:id="620" w:name="_Toc200720124"/>
      <w:r>
        <w:t>389.</w:t>
      </w:r>
      <w:r>
        <w:tab/>
        <w:t>Not used</w:t>
      </w:r>
      <w:bookmarkEnd w:id="620"/>
    </w:p>
    <w:p>
      <w:pPr>
        <w:pStyle w:val="Heading5"/>
      </w:pPr>
      <w:bookmarkStart w:id="621" w:name="_Toc200720125"/>
      <w:r>
        <w:lastRenderedPageBreak/>
        <w:t>390.</w:t>
      </w:r>
      <w:r>
        <w:tab/>
        <w:t>Not used</w:t>
      </w:r>
      <w:bookmarkEnd w:id="621"/>
    </w:p>
    <w:p>
      <w:pPr>
        <w:pStyle w:val="Heading5"/>
        <w:keepNext w:val="0"/>
      </w:pPr>
      <w:bookmarkStart w:id="622" w:name="_Toc200720126"/>
      <w:r>
        <w:t>391.</w:t>
      </w:r>
      <w:r>
        <w:tab/>
        <w:t>Not used</w:t>
      </w:r>
      <w:bookmarkEnd w:id="622"/>
    </w:p>
    <w:p>
      <w:pPr>
        <w:pStyle w:val="Heading3"/>
      </w:pPr>
      <w:bookmarkStart w:id="623" w:name="_Toc200720127"/>
      <w:r>
        <w:rPr>
          <w:rStyle w:val="CharPartNo"/>
        </w:rPr>
        <w:t>Part 7.2</w:t>
      </w:r>
      <w:r>
        <w:t> — </w:t>
      </w:r>
      <w:r>
        <w:rPr>
          <w:rStyle w:val="CharPartText"/>
        </w:rPr>
        <w:t>Lead</w:t>
      </w:r>
      <w:bookmarkEnd w:id="623"/>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624" w:name="_Toc200720128"/>
      <w:r>
        <w:rPr>
          <w:rStyle w:val="CharDivNo"/>
        </w:rPr>
        <w:t>Division 1</w:t>
      </w:r>
      <w:r>
        <w:t> — </w:t>
      </w:r>
      <w:r>
        <w:rPr>
          <w:rStyle w:val="CharDivText"/>
        </w:rPr>
        <w:t>Lead process</w:t>
      </w:r>
      <w:bookmarkEnd w:id="624"/>
    </w:p>
    <w:p>
      <w:pPr>
        <w:pStyle w:val="Heading5"/>
      </w:pPr>
      <w:bookmarkStart w:id="625" w:name="_Toc200720129"/>
      <w:r>
        <w:rPr>
          <w:rStyle w:val="CharSectno"/>
        </w:rPr>
        <w:t>392</w:t>
      </w:r>
      <w:r>
        <w:t>.</w:t>
      </w:r>
      <w:r>
        <w:tab/>
        <w:t>Meaning of lead process</w:t>
      </w:r>
      <w:bookmarkEnd w:id="625"/>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626" w:name="_Toc200720130"/>
      <w:r>
        <w:rPr>
          <w:rStyle w:val="CharSectno"/>
        </w:rPr>
        <w:t>393</w:t>
      </w:r>
      <w:r>
        <w:t>.</w:t>
      </w:r>
      <w:r>
        <w:tab/>
        <w:t>Regulator may decide lead process</w:t>
      </w:r>
      <w:bookmarkEnd w:id="626"/>
    </w:p>
    <w:p>
      <w:pPr>
        <w:pStyle w:val="Subsection"/>
      </w:pPr>
      <w:r>
        <w:tab/>
        <w:t>(1)</w:t>
      </w:r>
      <w:r>
        <w:tab/>
        <w:t>The regulator may decide that a process to be carried out at a workplace is a lead process.</w:t>
      </w:r>
    </w:p>
    <w:p>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627" w:name="_Toc200720131"/>
      <w:r>
        <w:rPr>
          <w:rStyle w:val="CharSectno"/>
        </w:rPr>
        <w:lastRenderedPageBreak/>
        <w:t>394</w:t>
      </w:r>
      <w:r>
        <w:t>.</w:t>
      </w:r>
      <w:r>
        <w:tab/>
        <w:t>Meaning of lead risk work</w:t>
      </w:r>
      <w:bookmarkEnd w:id="627"/>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628" w:name="_Toc200720132"/>
      <w:r>
        <w:rPr>
          <w:rStyle w:val="CharSectno"/>
        </w:rPr>
        <w:t>395</w:t>
      </w:r>
      <w:r>
        <w:t>.</w:t>
      </w:r>
      <w:r>
        <w:tab/>
        <w:t>Duty to give information about health risks of lead process</w:t>
      </w:r>
      <w:bookmarkEnd w:id="628"/>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629" w:name="_Toc200720133"/>
      <w:r>
        <w:rPr>
          <w:rStyle w:val="CharDivNo"/>
        </w:rPr>
        <w:t>Division 2</w:t>
      </w:r>
      <w:r>
        <w:t> — </w:t>
      </w:r>
      <w:r>
        <w:rPr>
          <w:rStyle w:val="CharDivText"/>
        </w:rPr>
        <w:t>Control of risk</w:t>
      </w:r>
      <w:bookmarkEnd w:id="629"/>
    </w:p>
    <w:p>
      <w:pPr>
        <w:pStyle w:val="Heading5"/>
      </w:pPr>
      <w:bookmarkStart w:id="630" w:name="_Toc200720134"/>
      <w:r>
        <w:rPr>
          <w:rStyle w:val="CharSectno"/>
        </w:rPr>
        <w:t>396</w:t>
      </w:r>
      <w:r>
        <w:t>.</w:t>
      </w:r>
      <w:r>
        <w:tab/>
        <w:t>Containment of lead contamination</w:t>
      </w:r>
      <w:bookmarkEnd w:id="630"/>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31" w:name="_Toc200720135"/>
      <w:r>
        <w:rPr>
          <w:rStyle w:val="CharSectno"/>
        </w:rPr>
        <w:t>397</w:t>
      </w:r>
      <w:r>
        <w:t>.</w:t>
      </w:r>
      <w:r>
        <w:tab/>
        <w:t>Cleaning methods</w:t>
      </w:r>
      <w:bookmarkEnd w:id="631"/>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2" w:name="_Toc200720136"/>
      <w:r>
        <w:rPr>
          <w:rStyle w:val="CharSectno"/>
        </w:rPr>
        <w:lastRenderedPageBreak/>
        <w:t>398</w:t>
      </w:r>
      <w:r>
        <w:t>.</w:t>
      </w:r>
      <w:r>
        <w:tab/>
        <w:t>Prohibition on eating, drinking and smoking</w:t>
      </w:r>
      <w:bookmarkEnd w:id="632"/>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33" w:name="_Toc200720137"/>
      <w:r>
        <w:rPr>
          <w:rStyle w:val="CharSectno"/>
        </w:rPr>
        <w:t>399</w:t>
      </w:r>
      <w:r>
        <w:t>.</w:t>
      </w:r>
      <w:r>
        <w:tab/>
        <w:t>Provision of changing and washing facilities</w:t>
      </w:r>
      <w:bookmarkEnd w:id="633"/>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4" w:name="_Toc200720138"/>
      <w:r>
        <w:rPr>
          <w:rStyle w:val="CharSectno"/>
        </w:rPr>
        <w:t>400</w:t>
      </w:r>
      <w:r>
        <w:t>.</w:t>
      </w:r>
      <w:r>
        <w:tab/>
        <w:t>Laundering, disposal and removal of personal protective equipment</w:t>
      </w:r>
      <w:bookmarkEnd w:id="634"/>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pPr>
      <w:r>
        <w:tab/>
        <w:t>(b)</w:t>
      </w:r>
      <w:r>
        <w:tab/>
        <w:t>disposed of.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5" w:name="_Toc200720139"/>
      <w:r>
        <w:rPr>
          <w:rStyle w:val="CharSectno"/>
        </w:rPr>
        <w:t>401</w:t>
      </w:r>
      <w:r>
        <w:t>.</w:t>
      </w:r>
      <w:r>
        <w:tab/>
        <w:t>Review of control measures</w:t>
      </w:r>
      <w:bookmarkEnd w:id="635"/>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636" w:name="_Toc200720140"/>
      <w:r>
        <w:rPr>
          <w:rStyle w:val="CharDivNo"/>
        </w:rPr>
        <w:t>Division 3</w:t>
      </w:r>
      <w:r>
        <w:t> — </w:t>
      </w:r>
      <w:r>
        <w:rPr>
          <w:rStyle w:val="CharDivText"/>
        </w:rPr>
        <w:t>Lead risk work</w:t>
      </w:r>
      <w:bookmarkEnd w:id="636"/>
    </w:p>
    <w:p>
      <w:pPr>
        <w:pStyle w:val="Heading5"/>
      </w:pPr>
      <w:bookmarkStart w:id="637" w:name="_Toc200720141"/>
      <w:r>
        <w:rPr>
          <w:rStyle w:val="CharSectno"/>
        </w:rPr>
        <w:t>402</w:t>
      </w:r>
      <w:r>
        <w:t>.</w:t>
      </w:r>
      <w:r>
        <w:tab/>
        <w:t>Identifying lead risk work</w:t>
      </w:r>
      <w:bookmarkEnd w:id="637"/>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638" w:name="_Toc200720142"/>
      <w:r>
        <w:rPr>
          <w:rStyle w:val="CharSectno"/>
        </w:rPr>
        <w:t>403</w:t>
      </w:r>
      <w:r>
        <w:t>.</w:t>
      </w:r>
      <w:r>
        <w:tab/>
        <w:t>Notification of lead risk work</w:t>
      </w:r>
      <w:bookmarkEnd w:id="638"/>
    </w:p>
    <w:p>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Subsection"/>
      </w:pPr>
      <w:r>
        <w:tab/>
        <w:t>(6)</w:t>
      </w:r>
      <w:r>
        <w:tab/>
        <w:t xml:space="preserve">Subregulation (7) applies to the site senior executive of a mine in relation to work carried out by a mine emergency worker who, at the direction of the site senior executive, is — </w:t>
      </w:r>
    </w:p>
    <w:p>
      <w:pPr>
        <w:pStyle w:val="Indenta"/>
      </w:pPr>
      <w:r>
        <w:tab/>
        <w:t>(a)</w:t>
      </w:r>
      <w:r>
        <w:tab/>
        <w:t>rescuing a person; or</w:t>
      </w:r>
    </w:p>
    <w:p>
      <w:pPr>
        <w:pStyle w:val="Indenta"/>
      </w:pPr>
      <w:r>
        <w:tab/>
        <w:t>(b)</w:t>
      </w:r>
      <w:r>
        <w:tab/>
        <w:t>providing first aid to a person.</w:t>
      </w:r>
    </w:p>
    <w:p>
      <w:pPr>
        <w:pStyle w:val="Subsection"/>
      </w:pPr>
      <w:r>
        <w:tab/>
        <w:t>(7)</w:t>
      </w:r>
      <w:r>
        <w:tab/>
        <w:t>The site senior executive must give notice under subregulation (1) as soon as practicable after determining that the work is lead risk work.</w:t>
      </w:r>
    </w:p>
    <w:p>
      <w:pPr>
        <w:pStyle w:val="Heading5"/>
      </w:pPr>
      <w:bookmarkStart w:id="639" w:name="_Toc200720143"/>
      <w:r>
        <w:rPr>
          <w:rStyle w:val="CharSectno"/>
        </w:rPr>
        <w:t>404</w:t>
      </w:r>
      <w:r>
        <w:t>.</w:t>
      </w:r>
      <w:r>
        <w:tab/>
        <w:t>Changes to information in notification of lead risk work</w:t>
      </w:r>
      <w:bookmarkEnd w:id="639"/>
    </w:p>
    <w:p>
      <w:pPr>
        <w:pStyle w:val="Subsection"/>
      </w:pPr>
      <w:r>
        <w:tab/>
        <w:t>(1)</w:t>
      </w:r>
      <w:r>
        <w:tab/>
        <w:t xml:space="preserve">A person conducting a business or undertaking at a workplace must give the regulator written notice of any change in the information given in a notice under regulation 403 before the </w:t>
      </w:r>
      <w:r>
        <w:lastRenderedPageBreak/>
        <w:t>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40" w:name="_Toc200720144"/>
      <w:r>
        <w:rPr>
          <w:rStyle w:val="CharDivNo"/>
        </w:rPr>
        <w:t>Division 4</w:t>
      </w:r>
      <w:r>
        <w:t> — </w:t>
      </w:r>
      <w:r>
        <w:rPr>
          <w:rStyle w:val="CharDivText"/>
        </w:rPr>
        <w:t>Health monitoring</w:t>
      </w:r>
      <w:bookmarkEnd w:id="640"/>
    </w:p>
    <w:p>
      <w:pPr>
        <w:pStyle w:val="Heading5"/>
      </w:pPr>
      <w:bookmarkStart w:id="641" w:name="_Toc200720145"/>
      <w:r>
        <w:rPr>
          <w:rStyle w:val="CharSectno"/>
        </w:rPr>
        <w:t>405</w:t>
      </w:r>
      <w:r>
        <w:t>.</w:t>
      </w:r>
      <w:r>
        <w:tab/>
        <w:t>Duty to provide health monitoring before first commencing lead risk work</w:t>
      </w:r>
      <w:bookmarkEnd w:id="641"/>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pPr>
      <w:r>
        <w:tab/>
        <w:t>(b)</w:t>
      </w:r>
      <w:r>
        <w:tab/>
        <w:t>1 month after the worker first commences lead risk work for the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42" w:name="_Toc200720146"/>
      <w:r>
        <w:rPr>
          <w:rStyle w:val="CharSectno"/>
        </w:rPr>
        <w:t>406</w:t>
      </w:r>
      <w:r>
        <w:t>.</w:t>
      </w:r>
      <w:r>
        <w:tab/>
        <w:t>Duty to ensure that appropriate health monitoring is provided</w:t>
      </w:r>
      <w:bookmarkEnd w:id="642"/>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43" w:name="_Toc200720147"/>
      <w:r>
        <w:rPr>
          <w:rStyle w:val="CharSectno"/>
        </w:rPr>
        <w:t>407</w:t>
      </w:r>
      <w:r>
        <w:t>.</w:t>
      </w:r>
      <w:r>
        <w:tab/>
        <w:t>Frequency of biological monitoring</w:t>
      </w:r>
      <w:bookmarkEnd w:id="643"/>
    </w:p>
    <w:p>
      <w:pPr>
        <w:pStyle w:val="Subsection"/>
        <w:keepNext/>
      </w:pPr>
      <w:r>
        <w:tab/>
        <w:t>(1)</w:t>
      </w:r>
      <w:r>
        <w:tab/>
        <w:t xml:space="preserve">A person conducting a business or undertaking at a workplace must arrange for biological monitoring of each worker who </w:t>
      </w:r>
      <w:r>
        <w:lastRenderedPageBreak/>
        <w:t xml:space="preserve">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44" w:name="_Toc200720148"/>
      <w:r>
        <w:rPr>
          <w:rStyle w:val="CharSectno"/>
        </w:rPr>
        <w:t>408</w:t>
      </w:r>
      <w:r>
        <w:t>.</w:t>
      </w:r>
      <w:r>
        <w:tab/>
        <w:t>Duty to ensure health monitoring is supervised by registered medical practitioner with relevant experience</w:t>
      </w:r>
      <w:bookmarkEnd w:id="644"/>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45" w:name="_Toc200720149"/>
      <w:r>
        <w:rPr>
          <w:rStyle w:val="CharSectno"/>
        </w:rPr>
        <w:t>409</w:t>
      </w:r>
      <w:r>
        <w:t>.</w:t>
      </w:r>
      <w:r>
        <w:tab/>
        <w:t>Duty to pay costs of health monitoring</w:t>
      </w:r>
      <w:bookmarkEnd w:id="645"/>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646" w:name="_Toc200720150"/>
      <w:r>
        <w:rPr>
          <w:rStyle w:val="CharSectno"/>
        </w:rPr>
        <w:t>410</w:t>
      </w:r>
      <w:r>
        <w:t>.</w:t>
      </w:r>
      <w:r>
        <w:tab/>
        <w:t>Information that must be provided to registered medical practitioner</w:t>
      </w:r>
      <w:bookmarkEnd w:id="646"/>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lastRenderedPageBreak/>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47" w:name="_Toc200720151"/>
      <w:r>
        <w:rPr>
          <w:rStyle w:val="CharSectno"/>
        </w:rPr>
        <w:t>411</w:t>
      </w:r>
      <w:r>
        <w:t>.</w:t>
      </w:r>
      <w:r>
        <w:tab/>
        <w:t>Duty to obtain health monitoring report</w:t>
      </w:r>
      <w:bookmarkEnd w:id="647"/>
    </w:p>
    <w:p>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keepNext/>
      </w:pPr>
      <w:r>
        <w:lastRenderedPageBreak/>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648" w:name="_Toc200720152"/>
      <w:r>
        <w:rPr>
          <w:rStyle w:val="CharSectno"/>
        </w:rPr>
        <w:t>412</w:t>
      </w:r>
      <w:r>
        <w:t>.</w:t>
      </w:r>
      <w:r>
        <w:tab/>
        <w:t>Duty to give health monitoring report to worker</w:t>
      </w:r>
      <w:bookmarkEnd w:id="648"/>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49" w:name="_Toc200720153"/>
      <w:r>
        <w:rPr>
          <w:rStyle w:val="CharSectno"/>
        </w:rPr>
        <w:t>413</w:t>
      </w:r>
      <w:r>
        <w:t>.</w:t>
      </w:r>
      <w:r>
        <w:tab/>
        <w:t>Duty to give health monitoring report to regulator</w:t>
      </w:r>
      <w:bookmarkEnd w:id="649"/>
    </w:p>
    <w:p>
      <w:pPr>
        <w:pStyle w:val="Subsection"/>
        <w:keepNext/>
      </w:pPr>
      <w:r>
        <w:tab/>
      </w:r>
      <w:r>
        <w:tab/>
        <w:t xml:space="preserve">The registered medical practitioner who prepares the health monitoring report must give a copy of the health monitoring </w:t>
      </w:r>
      <w:r>
        <w:lastRenderedPageBreak/>
        <w:t xml:space="preserve">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50" w:name="_Toc200720154"/>
      <w:r>
        <w:rPr>
          <w:rStyle w:val="CharSectno"/>
        </w:rPr>
        <w:t>414</w:t>
      </w:r>
      <w:r>
        <w:t>.</w:t>
      </w:r>
      <w:r>
        <w:tab/>
        <w:t>Duty to give health monitoring report to relevant persons conducting businesses or undertakings</w:t>
      </w:r>
      <w:bookmarkEnd w:id="650"/>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51" w:name="_Toc200720155"/>
      <w:r>
        <w:rPr>
          <w:rStyle w:val="CharSectno"/>
        </w:rPr>
        <w:t>415</w:t>
      </w:r>
      <w:r>
        <w:t>.</w:t>
      </w:r>
      <w:r>
        <w:tab/>
        <w:t>Removal of worker from lead risk work</w:t>
      </w:r>
      <w:bookmarkEnd w:id="651"/>
    </w:p>
    <w:p>
      <w:pPr>
        <w:pStyle w:val="Subsection"/>
        <w:keepNext/>
      </w:pPr>
      <w:r>
        <w:tab/>
        <w:t>(1)</w:t>
      </w:r>
      <w:r>
        <w:tab/>
        <w:t xml:space="preserve">A person conducting a business or undertaking for which a worker is carrying out work must immediately remove the </w:t>
      </w:r>
      <w:r>
        <w:lastRenderedPageBreak/>
        <w:t xml:space="preserve">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52" w:name="_Toc200720156"/>
      <w:r>
        <w:rPr>
          <w:rStyle w:val="CharSectno"/>
        </w:rPr>
        <w:t>416</w:t>
      </w:r>
      <w:r>
        <w:t>.</w:t>
      </w:r>
      <w:r>
        <w:tab/>
        <w:t>Duty to ensure medical examination if worker removed from lead risk work</w:t>
      </w:r>
      <w:bookmarkEnd w:id="652"/>
    </w:p>
    <w:p>
      <w:pPr>
        <w:pStyle w:val="Subsection"/>
      </w:pPr>
      <w:r>
        <w:tab/>
        <w:t>(1)</w:t>
      </w:r>
      <w:r>
        <w:tab/>
        <w:t>This regulation applies if a worker is removed from carrying out lead risk work under regulation 415.</w:t>
      </w:r>
    </w:p>
    <w:p>
      <w:pPr>
        <w:pStyle w:val="Subsection"/>
      </w:pPr>
      <w:r>
        <w:tab/>
        <w:t>(2)</w:t>
      </w:r>
      <w:r>
        <w:tab/>
        <w:t xml:space="preserve">The person conducting the business or undertaking who removes the worker from carrying out lead risk work must </w:t>
      </w:r>
      <w:r>
        <w:lastRenderedPageBreak/>
        <w:t>arrange for the worker to be medically examined by a registered medical practitioner with experience in health monitoring within 7 days after the day the worker is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53" w:name="_Toc200720157"/>
      <w:r>
        <w:rPr>
          <w:rStyle w:val="CharSectno"/>
        </w:rPr>
        <w:t>417</w:t>
      </w:r>
      <w:r>
        <w:t>.</w:t>
      </w:r>
      <w:r>
        <w:tab/>
        <w:t>Return to lead risk work after removal</w:t>
      </w:r>
      <w:bookmarkEnd w:id="653"/>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54" w:name="_Toc200720158"/>
      <w:r>
        <w:rPr>
          <w:rStyle w:val="CharSectno"/>
        </w:rPr>
        <w:t>418</w:t>
      </w:r>
      <w:r>
        <w:t>.</w:t>
      </w:r>
      <w:r>
        <w:tab/>
        <w:t>Health monitoring records</w:t>
      </w:r>
      <w:bookmarkEnd w:id="654"/>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655" w:name="_Toc200720159"/>
      <w:r>
        <w:lastRenderedPageBreak/>
        <w:t>Chapter 8 — Asbestos</w:t>
      </w:r>
      <w:bookmarkEnd w:id="655"/>
    </w:p>
    <w:p>
      <w:pPr>
        <w:pStyle w:val="Heading3"/>
      </w:pPr>
      <w:bookmarkStart w:id="656" w:name="_Toc200720160"/>
      <w:r>
        <w:rPr>
          <w:rStyle w:val="CharPartNo"/>
        </w:rPr>
        <w:t>Part 8.1</w:t>
      </w:r>
      <w:r>
        <w:rPr>
          <w:rStyle w:val="CharDivNo"/>
        </w:rPr>
        <w:t> </w:t>
      </w:r>
      <w:r>
        <w:t>—</w:t>
      </w:r>
      <w:r>
        <w:rPr>
          <w:rStyle w:val="CharDivText"/>
        </w:rPr>
        <w:t> </w:t>
      </w:r>
      <w:r>
        <w:rPr>
          <w:rStyle w:val="CharPartText"/>
        </w:rPr>
        <w:t>Prohibitions and authorised conduct</w:t>
      </w:r>
      <w:bookmarkEnd w:id="656"/>
    </w:p>
    <w:p>
      <w:pPr>
        <w:pStyle w:val="Heading5"/>
      </w:pPr>
      <w:bookmarkStart w:id="657" w:name="_Toc200720161"/>
      <w:r>
        <w:rPr>
          <w:rStyle w:val="CharSectno"/>
        </w:rPr>
        <w:t>419</w:t>
      </w:r>
      <w:r>
        <w:t>.</w:t>
      </w:r>
      <w:r>
        <w:tab/>
        <w:t>Work involving asbestos or ACM: prohibitions and exceptions</w:t>
      </w:r>
      <w:bookmarkEnd w:id="657"/>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pPr>
      <w:r>
        <w:tab/>
        <w:t>(f)</w:t>
      </w:r>
      <w:r>
        <w:tab/>
        <w:t>demonstrations, education or practical training in relation to asbestos or ACM;</w:t>
      </w:r>
    </w:p>
    <w:p>
      <w:pPr>
        <w:pStyle w:val="Indenta"/>
      </w:pPr>
      <w:r>
        <w:lastRenderedPageBreak/>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658" w:name="_Toc200720162"/>
      <w:r>
        <w:rPr>
          <w:rStyle w:val="CharPartNo"/>
        </w:rPr>
        <w:t>Part 8.2</w:t>
      </w:r>
      <w:r>
        <w:rPr>
          <w:rStyle w:val="CharDivNo"/>
        </w:rPr>
        <w:t> </w:t>
      </w:r>
      <w:r>
        <w:t>—</w:t>
      </w:r>
      <w:r>
        <w:rPr>
          <w:rStyle w:val="CharDivText"/>
        </w:rPr>
        <w:t> </w:t>
      </w:r>
      <w:r>
        <w:rPr>
          <w:rStyle w:val="CharPartText"/>
        </w:rPr>
        <w:t>General duty</w:t>
      </w:r>
      <w:bookmarkEnd w:id="658"/>
    </w:p>
    <w:p>
      <w:pPr>
        <w:pStyle w:val="Heading5"/>
      </w:pPr>
      <w:bookmarkStart w:id="659" w:name="_Toc200720163"/>
      <w:r>
        <w:rPr>
          <w:rStyle w:val="CharSectno"/>
        </w:rPr>
        <w:t>420</w:t>
      </w:r>
      <w:r>
        <w:t>.</w:t>
      </w:r>
      <w:r>
        <w:tab/>
        <w:t>Exposure to airborne asbestos at workplace</w:t>
      </w:r>
      <w:bookmarkEnd w:id="659"/>
    </w:p>
    <w:p>
      <w:pPr>
        <w:pStyle w:val="Subsection"/>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lastRenderedPageBreak/>
        <w:tab/>
        <w:t>(b)</w:t>
      </w:r>
      <w:r>
        <w:tab/>
        <w:t>if it is not reasonably practicable to eliminate exposure to airborne asbestos — exposure is minimised so far as is reasonably practicable.</w:t>
      </w:r>
    </w:p>
    <w:p>
      <w:pPr>
        <w:pStyle w:val="PermNoteHeading"/>
        <w:spacing w:before="120"/>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660" w:name="_Toc200720164"/>
      <w:r>
        <w:rPr>
          <w:rStyle w:val="CharPartNo"/>
        </w:rPr>
        <w:t>Part 8.3</w:t>
      </w:r>
      <w:r>
        <w:rPr>
          <w:rStyle w:val="CharDivNo"/>
        </w:rPr>
        <w:t> </w:t>
      </w:r>
      <w:r>
        <w:t>—</w:t>
      </w:r>
      <w:r>
        <w:rPr>
          <w:rStyle w:val="CharDivText"/>
        </w:rPr>
        <w:t> </w:t>
      </w:r>
      <w:r>
        <w:rPr>
          <w:rStyle w:val="CharPartText"/>
        </w:rPr>
        <w:t>Management of asbestos and associated risks</w:t>
      </w:r>
      <w:bookmarkEnd w:id="660"/>
    </w:p>
    <w:p>
      <w:pPr>
        <w:pStyle w:val="Heading5"/>
      </w:pPr>
      <w:bookmarkStart w:id="661" w:name="_Toc200720165"/>
      <w:r>
        <w:rPr>
          <w:rStyle w:val="CharSectno"/>
        </w:rPr>
        <w:t>421</w:t>
      </w:r>
      <w:r>
        <w:t>.</w:t>
      </w:r>
      <w:r>
        <w:tab/>
        <w:t>Application of Part</w:t>
      </w:r>
      <w:bookmarkEnd w:id="661"/>
    </w:p>
    <w:p>
      <w:pPr>
        <w:pStyle w:val="Subsection"/>
        <w:spacing w:before="120"/>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662" w:name="_Toc200720166"/>
      <w:r>
        <w:rPr>
          <w:rStyle w:val="CharSectno"/>
        </w:rPr>
        <w:t>421A</w:t>
      </w:r>
      <w:r>
        <w:t>.</w:t>
      </w:r>
      <w:r>
        <w:tab/>
        <w:t>Regulator may direct tests for, or removal of, asbestos at workplace</w:t>
      </w:r>
      <w:bookmarkEnd w:id="662"/>
    </w:p>
    <w:p>
      <w:pPr>
        <w:pStyle w:val="Subsection"/>
        <w:spacing w:before="120"/>
      </w:pPr>
      <w:r>
        <w:tab/>
        <w:t>(1)</w:t>
      </w:r>
      <w:r>
        <w:tab/>
        <w:t>The regulator may issue a written notice to a person who is a person conducting a business or undertaking at a workplace, directing the person —</w:t>
      </w:r>
    </w:p>
    <w:p>
      <w:pPr>
        <w:pStyle w:val="Indenta"/>
        <w:spacing w:before="60"/>
      </w:pPr>
      <w:r>
        <w:tab/>
        <w:t>(a)</w:t>
      </w:r>
      <w:r>
        <w:tab/>
        <w:t>to conduct tests to ascertain if asbestos is present in the workplace in such manner set out in the direction; or</w:t>
      </w:r>
    </w:p>
    <w:p>
      <w:pPr>
        <w:pStyle w:val="Indenta"/>
      </w:pPr>
      <w:r>
        <w:lastRenderedPageBreak/>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663" w:name="_Toc200720167"/>
      <w:r>
        <w:rPr>
          <w:rStyle w:val="CharSectno"/>
        </w:rPr>
        <w:t>422</w:t>
      </w:r>
      <w:r>
        <w:t>.</w:t>
      </w:r>
      <w:r>
        <w:tab/>
        <w:t>Asbestos to be identified or assumed at workplace</w:t>
      </w:r>
      <w:bookmarkEnd w:id="663"/>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lastRenderedPageBreak/>
        <w:tab/>
        <w:t>(4)</w:t>
      </w:r>
      <w:r>
        <w:tab/>
        <w:t>If asbestos or ACM is assumed to be present at a workplace, it is taken to be identified at the workplace.</w:t>
      </w:r>
    </w:p>
    <w:p>
      <w:pPr>
        <w:pStyle w:val="Heading5"/>
      </w:pPr>
      <w:bookmarkStart w:id="664" w:name="_Toc200720168"/>
      <w:r>
        <w:rPr>
          <w:rStyle w:val="CharSectno"/>
        </w:rPr>
        <w:t>423</w:t>
      </w:r>
      <w:r>
        <w:t>.</w:t>
      </w:r>
      <w:r>
        <w:tab/>
        <w:t>Analysis of sample</w:t>
      </w:r>
      <w:bookmarkEnd w:id="664"/>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65" w:name="_Toc200720169"/>
      <w:r>
        <w:rPr>
          <w:rStyle w:val="CharSectno"/>
        </w:rPr>
        <w:t>424</w:t>
      </w:r>
      <w:r>
        <w:t>.</w:t>
      </w:r>
      <w:r>
        <w:tab/>
        <w:t>Presence and location of asbestos to be indicated</w:t>
      </w:r>
      <w:bookmarkEnd w:id="665"/>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66" w:name="_Toc200720170"/>
      <w:r>
        <w:rPr>
          <w:rStyle w:val="CharSectno"/>
        </w:rPr>
        <w:lastRenderedPageBreak/>
        <w:t>425</w:t>
      </w:r>
      <w:r>
        <w:t>.</w:t>
      </w:r>
      <w:r>
        <w:tab/>
        <w:t>Asbestos register</w:t>
      </w:r>
      <w:bookmarkEnd w:id="666"/>
    </w:p>
    <w:p>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keepNext/>
      </w:pPr>
      <w:r>
        <w:lastRenderedPageBreak/>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667" w:name="_Toc200720171"/>
      <w:r>
        <w:rPr>
          <w:rStyle w:val="CharSectno"/>
        </w:rPr>
        <w:t>426</w:t>
      </w:r>
      <w:r>
        <w:t>.</w:t>
      </w:r>
      <w:r>
        <w:tab/>
        <w:t>Review of asbestos register</w:t>
      </w:r>
      <w:bookmarkEnd w:id="667"/>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68" w:name="_Toc200720172"/>
      <w:r>
        <w:rPr>
          <w:rStyle w:val="CharSectno"/>
        </w:rPr>
        <w:t>427</w:t>
      </w:r>
      <w:r>
        <w:t>.</w:t>
      </w:r>
      <w:r>
        <w:tab/>
        <w:t>Access to asbestos register</w:t>
      </w:r>
      <w:bookmarkEnd w:id="668"/>
    </w:p>
    <w:p>
      <w:pPr>
        <w:pStyle w:val="Subsection"/>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lastRenderedPageBreak/>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69" w:name="_Toc200720173"/>
      <w:r>
        <w:rPr>
          <w:rStyle w:val="CharSectno"/>
        </w:rPr>
        <w:t>428</w:t>
      </w:r>
      <w:r>
        <w:t>.</w:t>
      </w:r>
      <w:r>
        <w:tab/>
        <w:t>Transfer of asbestos register by person relinquishing management or control</w:t>
      </w:r>
      <w:bookmarkEnd w:id="669"/>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70" w:name="_Toc200720174"/>
      <w:r>
        <w:rPr>
          <w:rStyle w:val="CharSectno"/>
        </w:rPr>
        <w:t>429</w:t>
      </w:r>
      <w:r>
        <w:t>.</w:t>
      </w:r>
      <w:r>
        <w:tab/>
        <w:t>Asbestos management plan</w:t>
      </w:r>
      <w:bookmarkEnd w:id="670"/>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lastRenderedPageBreak/>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keepNext/>
      </w:pPr>
      <w:r>
        <w:lastRenderedPageBreak/>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71" w:name="_Toc200720175"/>
      <w:r>
        <w:rPr>
          <w:rStyle w:val="CharSectno"/>
        </w:rPr>
        <w:t>430</w:t>
      </w:r>
      <w:r>
        <w:t>.</w:t>
      </w:r>
      <w:r>
        <w:tab/>
        <w:t>Review of asbestos management plan</w:t>
      </w:r>
      <w:bookmarkEnd w:id="671"/>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keepNext/>
      </w:pPr>
      <w:r>
        <w:lastRenderedPageBreak/>
        <w:tab/>
        <w:t>(e)</w:t>
      </w:r>
      <w:r>
        <w:tab/>
        <w:t>at least once every 5 years.</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672" w:name="_Toc200720176"/>
      <w:r>
        <w:rPr>
          <w:rStyle w:val="CharPartNo"/>
        </w:rPr>
        <w:t>Part 8.4</w:t>
      </w:r>
      <w:r>
        <w:rPr>
          <w:rStyle w:val="CharDivNo"/>
        </w:rPr>
        <w:t> </w:t>
      </w:r>
      <w:r>
        <w:t>—</w:t>
      </w:r>
      <w:r>
        <w:rPr>
          <w:rStyle w:val="CharDivText"/>
        </w:rPr>
        <w:t> </w:t>
      </w:r>
      <w:r>
        <w:rPr>
          <w:rStyle w:val="CharPartText"/>
        </w:rPr>
        <w:t>Management of naturally occurring asbestos</w:t>
      </w:r>
      <w:bookmarkEnd w:id="672"/>
    </w:p>
    <w:p>
      <w:pPr>
        <w:pStyle w:val="Heading5"/>
      </w:pPr>
      <w:bookmarkStart w:id="673" w:name="_Toc200720177"/>
      <w:r>
        <w:rPr>
          <w:rStyle w:val="CharSectno"/>
        </w:rPr>
        <w:t>431</w:t>
      </w:r>
      <w:r>
        <w:t>.</w:t>
      </w:r>
      <w:r>
        <w:tab/>
        <w:t>Naturally occurring asbestos</w:t>
      </w:r>
      <w:bookmarkEnd w:id="673"/>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674" w:name="_Toc200720178"/>
      <w:r>
        <w:rPr>
          <w:rStyle w:val="CharSectno"/>
        </w:rPr>
        <w:t>432</w:t>
      </w:r>
      <w:r>
        <w:t>.</w:t>
      </w:r>
      <w:r>
        <w:tab/>
        <w:t>Asbestos management plan</w:t>
      </w:r>
      <w:bookmarkEnd w:id="674"/>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keepNext/>
      </w:pPr>
      <w:r>
        <w:tab/>
        <w:t>(2)</w:t>
      </w:r>
      <w:r>
        <w:tab/>
        <w:t xml:space="preserve">A person with management or control of the workplace must ensure that a written plan (an </w:t>
      </w:r>
      <w:r>
        <w:rPr>
          <w:rStyle w:val="CharDefText"/>
        </w:rPr>
        <w:t>asbestos management plan</w:t>
      </w:r>
      <w:r>
        <w:t xml:space="preserve">) for </w:t>
      </w:r>
      <w:r>
        <w:lastRenderedPageBreak/>
        <w:t>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naturally occurring asbestos at the workplace;</w:t>
      </w:r>
    </w:p>
    <w:p>
      <w:pPr>
        <w:pStyle w:val="Indenta"/>
      </w:pPr>
      <w:r>
        <w:tab/>
        <w:t>(d)</w:t>
      </w:r>
      <w:r>
        <w:tab/>
        <w:t>workers carrying out work involving naturally occurring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lastRenderedPageBreak/>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75" w:name="_Toc200720179"/>
      <w:r>
        <w:rPr>
          <w:rStyle w:val="CharSectno"/>
        </w:rPr>
        <w:t>433</w:t>
      </w:r>
      <w:r>
        <w:t>.</w:t>
      </w:r>
      <w:r>
        <w:tab/>
        <w:t>Review of asbestos management plan</w:t>
      </w:r>
      <w:bookmarkEnd w:id="675"/>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A control measure is revised under regulation 38.</w:t>
      </w:r>
    </w:p>
    <w:p>
      <w:pPr>
        <w:pStyle w:val="Heading5"/>
      </w:pPr>
      <w:bookmarkStart w:id="676" w:name="_Toc200720180"/>
      <w:r>
        <w:rPr>
          <w:rStyle w:val="CharSectno"/>
        </w:rPr>
        <w:t>434</w:t>
      </w:r>
      <w:r>
        <w:t>.</w:t>
      </w:r>
      <w:r>
        <w:tab/>
        <w:t>Training in relation to naturally occurring asbestos</w:t>
      </w:r>
      <w:bookmarkEnd w:id="676"/>
    </w:p>
    <w:p>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3"/>
      </w:pPr>
      <w:bookmarkStart w:id="677" w:name="_Toc200720181"/>
      <w:r>
        <w:rPr>
          <w:rStyle w:val="CharPartNo"/>
        </w:rPr>
        <w:t>Part 8.5</w:t>
      </w:r>
      <w:r>
        <w:t> — </w:t>
      </w:r>
      <w:r>
        <w:rPr>
          <w:rStyle w:val="CharPartText"/>
        </w:rPr>
        <w:t>Asbestos at the workplace</w:t>
      </w:r>
      <w:bookmarkEnd w:id="677"/>
    </w:p>
    <w:p>
      <w:pPr>
        <w:pStyle w:val="Heading4"/>
      </w:pPr>
      <w:bookmarkStart w:id="678" w:name="_Toc200720182"/>
      <w:r>
        <w:rPr>
          <w:rStyle w:val="CharDivNo"/>
        </w:rPr>
        <w:t>Division 1</w:t>
      </w:r>
      <w:r>
        <w:t> — </w:t>
      </w:r>
      <w:r>
        <w:rPr>
          <w:rStyle w:val="CharDivText"/>
        </w:rPr>
        <w:t>Health monitoring</w:t>
      </w:r>
      <w:bookmarkEnd w:id="678"/>
    </w:p>
    <w:p>
      <w:pPr>
        <w:pStyle w:val="Heading5"/>
      </w:pPr>
      <w:bookmarkStart w:id="679" w:name="_Toc200720183"/>
      <w:r>
        <w:rPr>
          <w:rStyle w:val="CharSectno"/>
        </w:rPr>
        <w:t>435</w:t>
      </w:r>
      <w:r>
        <w:t>.</w:t>
      </w:r>
      <w:r>
        <w:tab/>
        <w:t>Duty to provide health monitoring</w:t>
      </w:r>
      <w:bookmarkEnd w:id="679"/>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pPr>
      <w:r>
        <w:tab/>
        <w:t>(3)</w:t>
      </w:r>
      <w:r>
        <w:tab/>
        <w:t>The person must ensure that the worker is informed of any health monitoring requirements before the worker carries out any work that may expose the worker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80" w:name="_Toc200720184"/>
      <w:r>
        <w:rPr>
          <w:rStyle w:val="CharSectno"/>
        </w:rPr>
        <w:lastRenderedPageBreak/>
        <w:t>436</w:t>
      </w:r>
      <w:r>
        <w:t>.</w:t>
      </w:r>
      <w:r>
        <w:tab/>
        <w:t>Duty to ensure that appropriate health monitoring is provided</w:t>
      </w:r>
      <w:bookmarkEnd w:id="680"/>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681" w:name="_Toc200720185"/>
      <w:r>
        <w:rPr>
          <w:rStyle w:val="CharSectno"/>
        </w:rPr>
        <w:t>437</w:t>
      </w:r>
      <w:r>
        <w:t>.</w:t>
      </w:r>
      <w:r>
        <w:tab/>
        <w:t>Duty to ensure health monitoring is supervised by registered medical practitioner with relevant experience</w:t>
      </w:r>
      <w:bookmarkEnd w:id="681"/>
    </w:p>
    <w:p>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682" w:name="_Toc200720186"/>
      <w:r>
        <w:rPr>
          <w:rStyle w:val="CharSectno"/>
        </w:rPr>
        <w:t>438</w:t>
      </w:r>
      <w:r>
        <w:t>.</w:t>
      </w:r>
      <w:r>
        <w:tab/>
        <w:t>Duty to pay costs of health monitoring</w:t>
      </w:r>
      <w:bookmarkEnd w:id="682"/>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83" w:name="_Toc200720187"/>
      <w:r>
        <w:rPr>
          <w:rStyle w:val="CharSectno"/>
        </w:rPr>
        <w:t>439</w:t>
      </w:r>
      <w:r>
        <w:t>.</w:t>
      </w:r>
      <w:r>
        <w:tab/>
        <w:t>Information that must be provided to registered medical practitioner</w:t>
      </w:r>
      <w:bookmarkEnd w:id="68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keepNext/>
      </w:pPr>
      <w:r>
        <w:lastRenderedPageBreak/>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84" w:name="_Toc200720188"/>
      <w:r>
        <w:rPr>
          <w:rStyle w:val="CharSectno"/>
        </w:rPr>
        <w:t>440</w:t>
      </w:r>
      <w:r>
        <w:t>.</w:t>
      </w:r>
      <w:r>
        <w:tab/>
        <w:t>Duty to obtain health monitoring report</w:t>
      </w:r>
      <w:bookmarkEnd w:id="684"/>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685" w:name="_Toc200720189"/>
      <w:r>
        <w:rPr>
          <w:rStyle w:val="CharSectno"/>
        </w:rPr>
        <w:t>441</w:t>
      </w:r>
      <w:r>
        <w:t>.</w:t>
      </w:r>
      <w:r>
        <w:tab/>
        <w:t>Duty to give health monitoring report to worker</w:t>
      </w:r>
      <w:bookmarkEnd w:id="685"/>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86" w:name="_Toc200720190"/>
      <w:r>
        <w:rPr>
          <w:rStyle w:val="CharSectno"/>
        </w:rPr>
        <w:t>442</w:t>
      </w:r>
      <w:r>
        <w:t>.</w:t>
      </w:r>
      <w:r>
        <w:tab/>
        <w:t>Duty to give health monitoring report to regulator</w:t>
      </w:r>
      <w:bookmarkEnd w:id="686"/>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87" w:name="_Toc200720191"/>
      <w:r>
        <w:rPr>
          <w:rStyle w:val="CharSectno"/>
        </w:rPr>
        <w:lastRenderedPageBreak/>
        <w:t>443</w:t>
      </w:r>
      <w:r>
        <w:t>.</w:t>
      </w:r>
      <w:r>
        <w:tab/>
        <w:t>Duty to give health monitoring report to relevant persons conducting businesses or undertakings</w:t>
      </w:r>
      <w:bookmarkEnd w:id="687"/>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88" w:name="_Toc200720192"/>
      <w:r>
        <w:rPr>
          <w:rStyle w:val="CharSectno"/>
        </w:rPr>
        <w:t>444</w:t>
      </w:r>
      <w:r>
        <w:t>.</w:t>
      </w:r>
      <w:r>
        <w:tab/>
        <w:t>Health monitoring records</w:t>
      </w:r>
      <w:bookmarkEnd w:id="688"/>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689" w:name="_Toc200720193"/>
      <w:r>
        <w:rPr>
          <w:rStyle w:val="CharDivNo"/>
        </w:rPr>
        <w:lastRenderedPageBreak/>
        <w:t>Division 2</w:t>
      </w:r>
      <w:r>
        <w:t> — </w:t>
      </w:r>
      <w:r>
        <w:rPr>
          <w:rStyle w:val="CharDivText"/>
        </w:rPr>
        <w:t>Training</w:t>
      </w:r>
      <w:bookmarkEnd w:id="689"/>
    </w:p>
    <w:p>
      <w:pPr>
        <w:pStyle w:val="Heading5"/>
      </w:pPr>
      <w:bookmarkStart w:id="690" w:name="_Toc200720194"/>
      <w:r>
        <w:rPr>
          <w:rStyle w:val="CharSectno"/>
        </w:rPr>
        <w:t>445</w:t>
      </w:r>
      <w:r>
        <w:t>.</w:t>
      </w:r>
      <w:r>
        <w:tab/>
        <w:t>Duty to train workers about asbestos</w:t>
      </w:r>
      <w:bookmarkEnd w:id="690"/>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91" w:name="_Toc200720195"/>
      <w:r>
        <w:rPr>
          <w:rStyle w:val="CharDivNo"/>
        </w:rPr>
        <w:lastRenderedPageBreak/>
        <w:t>Division 3</w:t>
      </w:r>
      <w:r>
        <w:t> — </w:t>
      </w:r>
      <w:r>
        <w:rPr>
          <w:rStyle w:val="CharDivText"/>
        </w:rPr>
        <w:t>Control on use of certain equipment</w:t>
      </w:r>
      <w:bookmarkEnd w:id="691"/>
    </w:p>
    <w:p>
      <w:pPr>
        <w:pStyle w:val="Heading5"/>
      </w:pPr>
      <w:bookmarkStart w:id="692" w:name="_Toc200720196"/>
      <w:r>
        <w:rPr>
          <w:rStyle w:val="CharSectno"/>
        </w:rPr>
        <w:t>446</w:t>
      </w:r>
      <w:r>
        <w:t>.</w:t>
      </w:r>
      <w:r>
        <w:tab/>
        <w:t>Duty to limit use of equipment</w:t>
      </w:r>
      <w:bookmarkEnd w:id="692"/>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lastRenderedPageBreak/>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693" w:name="_Toc200720197"/>
      <w:r>
        <w:rPr>
          <w:rStyle w:val="CharPartNo"/>
        </w:rPr>
        <w:t>Part 8.6</w:t>
      </w:r>
      <w:r>
        <w:rPr>
          <w:rStyle w:val="CharDivNo"/>
        </w:rPr>
        <w:t> </w:t>
      </w:r>
      <w:r>
        <w:t>—</w:t>
      </w:r>
      <w:r>
        <w:rPr>
          <w:rStyle w:val="CharDivText"/>
        </w:rPr>
        <w:t> </w:t>
      </w:r>
      <w:r>
        <w:rPr>
          <w:rStyle w:val="CharPartText"/>
        </w:rPr>
        <w:t>Demolition and refurbishment</w:t>
      </w:r>
      <w:bookmarkEnd w:id="693"/>
    </w:p>
    <w:p>
      <w:pPr>
        <w:pStyle w:val="Heading5"/>
      </w:pPr>
      <w:bookmarkStart w:id="694" w:name="_Toc200720198"/>
      <w:r>
        <w:rPr>
          <w:rStyle w:val="CharSectno"/>
        </w:rPr>
        <w:t>447</w:t>
      </w:r>
      <w:r>
        <w:t>.</w:t>
      </w:r>
      <w:r>
        <w:tab/>
        <w:t>Application of Part</w:t>
      </w:r>
      <w:bookmarkEnd w:id="694"/>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 xml:space="preserve">This Part — </w:t>
      </w:r>
    </w:p>
    <w:p>
      <w:pPr>
        <w:pStyle w:val="Indenta"/>
      </w:pPr>
      <w:r>
        <w:tab/>
        <w:t>(a)</w:t>
      </w:r>
      <w:r>
        <w:tab/>
        <w:t>applies to the demolition or refurbishment of a structure or plant constructed or installed before 31 December 2003; but</w:t>
      </w:r>
    </w:p>
    <w:p>
      <w:pPr>
        <w:pStyle w:val="Indenta"/>
      </w:pPr>
      <w:r>
        <w:tab/>
        <w:t>(b)</w:t>
      </w:r>
      <w:r>
        <w:tab/>
        <w:t>does not apply to geotechnical structures constructed at a mine.</w:t>
      </w:r>
    </w:p>
    <w:p>
      <w:pPr>
        <w:pStyle w:val="Subsection"/>
        <w:rPr>
          <w:i/>
        </w:rPr>
      </w:pPr>
      <w:r>
        <w:tab/>
        <w:t>(2)</w:t>
      </w:r>
      <w:r>
        <w:tab/>
      </w:r>
      <w:r>
        <w:rPr>
          <w:i/>
        </w:rPr>
        <w:t>[not used]</w:t>
      </w:r>
    </w:p>
    <w:p>
      <w:pPr>
        <w:pStyle w:val="Heading5"/>
      </w:pPr>
      <w:bookmarkStart w:id="695" w:name="_Toc200720199"/>
      <w:r>
        <w:rPr>
          <w:rStyle w:val="CharSectno"/>
        </w:rPr>
        <w:t>448</w:t>
      </w:r>
      <w:r>
        <w:t>.</w:t>
      </w:r>
      <w:r>
        <w:tab/>
        <w:t>Review of asbestos register</w:t>
      </w:r>
      <w:bookmarkEnd w:id="695"/>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696" w:name="_Toc200720200"/>
      <w:r>
        <w:rPr>
          <w:rStyle w:val="CharSectno"/>
        </w:rPr>
        <w:lastRenderedPageBreak/>
        <w:t>449</w:t>
      </w:r>
      <w:r>
        <w:t>.</w:t>
      </w:r>
      <w:r>
        <w:tab/>
        <w:t>Duty to give asbestos register to person conducting business or undertaking of demolition or refurbishment</w:t>
      </w:r>
      <w:bookmarkEnd w:id="696"/>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97" w:name="_Toc200720201"/>
      <w:r>
        <w:rPr>
          <w:rStyle w:val="CharSectno"/>
        </w:rPr>
        <w:t>450</w:t>
      </w:r>
      <w:r>
        <w:t>.</w:t>
      </w:r>
      <w:r>
        <w:tab/>
        <w:t>Duty to obtain asbestos register</w:t>
      </w:r>
      <w:bookmarkEnd w:id="697"/>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98" w:name="_Toc200720202"/>
      <w:r>
        <w:rPr>
          <w:rStyle w:val="CharSectno"/>
        </w:rPr>
        <w:t>451</w:t>
      </w:r>
      <w:r>
        <w:t>.</w:t>
      </w:r>
      <w:r>
        <w:tab/>
        <w:t>Determining presence of asbestos or ACM</w:t>
      </w:r>
      <w:bookmarkEnd w:id="698"/>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keepNext/>
      </w:pPr>
      <w:r>
        <w:tab/>
        <w:t>(2)</w:t>
      </w:r>
      <w:r>
        <w:tab/>
        <w:t xml:space="preserve">The person conducting a business or undertaking who is to carry out the demolition or refurbishment must not carry out the demolition or refurbishment until the structure or plant has been </w:t>
      </w:r>
      <w:r>
        <w:lastRenderedPageBreak/>
        <w:t>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699" w:name="_Toc200720203"/>
      <w:r>
        <w:rPr>
          <w:rStyle w:val="CharSectno"/>
        </w:rPr>
        <w:t>452</w:t>
      </w:r>
      <w:r>
        <w:t>.</w:t>
      </w:r>
      <w:r>
        <w:tab/>
        <w:t>Identification and removal of asbestos before demolition</w:t>
      </w:r>
      <w:bookmarkEnd w:id="699"/>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700" w:name="_Toc200720204"/>
      <w:r>
        <w:rPr>
          <w:rStyle w:val="CharSectno"/>
        </w:rPr>
        <w:t>453</w:t>
      </w:r>
      <w:r>
        <w:t>.</w:t>
      </w:r>
      <w:r>
        <w:tab/>
        <w:t>Identification and removal of asbestos before demolition of residential premises</w:t>
      </w:r>
      <w:bookmarkEnd w:id="700"/>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701" w:name="_Toc200720205"/>
      <w:r>
        <w:rPr>
          <w:rStyle w:val="CharSectno"/>
        </w:rPr>
        <w:t>454</w:t>
      </w:r>
      <w:r>
        <w:t>.</w:t>
      </w:r>
      <w:r>
        <w:tab/>
        <w:t>Emergency procedure</w:t>
      </w:r>
      <w:bookmarkEnd w:id="701"/>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pPr>
      <w:r>
        <w:tab/>
        <w:t>(b)</w:t>
      </w:r>
      <w:r>
        <w:tab/>
        <w:t>the asbestos register for the workplace is considered in the development of the procedure.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702" w:name="_Toc200720206"/>
      <w:r>
        <w:rPr>
          <w:rStyle w:val="CharSectno"/>
        </w:rPr>
        <w:t>455</w:t>
      </w:r>
      <w:r>
        <w:t>.</w:t>
      </w:r>
      <w:r>
        <w:tab/>
        <w:t>Emergency procedure: residential premises</w:t>
      </w:r>
      <w:bookmarkEnd w:id="702"/>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703" w:name="_Toc200720207"/>
      <w:r>
        <w:rPr>
          <w:rStyle w:val="CharSectno"/>
        </w:rPr>
        <w:t>456</w:t>
      </w:r>
      <w:r>
        <w:t>.</w:t>
      </w:r>
      <w:r>
        <w:tab/>
        <w:t>Identification and removal of asbestos before refurbishment</w:t>
      </w:r>
      <w:bookmarkEnd w:id="703"/>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04" w:name="_Toc200720208"/>
      <w:r>
        <w:rPr>
          <w:rStyle w:val="CharSectno"/>
        </w:rPr>
        <w:t>457</w:t>
      </w:r>
      <w:r>
        <w:t>.</w:t>
      </w:r>
      <w:r>
        <w:tab/>
        <w:t>Refurbishment of residential premises</w:t>
      </w:r>
      <w:bookmarkEnd w:id="704"/>
    </w:p>
    <w:p>
      <w:pPr>
        <w:pStyle w:val="Subsection"/>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keepNext/>
      </w:pPr>
      <w:r>
        <w:lastRenderedPageBreak/>
        <w:tab/>
        <w:t>(b)</w:t>
      </w:r>
      <w:r>
        <w:tab/>
        <w:t>so far as is reasonably practicable, that the asbestos is removed before the refurbishment is commenced.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705" w:name="_Toc200720209"/>
      <w:r>
        <w:rPr>
          <w:rStyle w:val="CharPartNo"/>
        </w:rPr>
        <w:t>Part 8.7</w:t>
      </w:r>
      <w:r>
        <w:rPr>
          <w:rStyle w:val="CharDivNo"/>
        </w:rPr>
        <w:t> </w:t>
      </w:r>
      <w:r>
        <w:t>—</w:t>
      </w:r>
      <w:r>
        <w:rPr>
          <w:rStyle w:val="CharDivText"/>
        </w:rPr>
        <w:t> </w:t>
      </w:r>
      <w:r>
        <w:rPr>
          <w:rStyle w:val="CharPartText"/>
        </w:rPr>
        <w:t>Asbestos removal work</w:t>
      </w:r>
      <w:bookmarkEnd w:id="705"/>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706" w:name="_Toc200720210"/>
      <w:r>
        <w:rPr>
          <w:rStyle w:val="CharSectno"/>
        </w:rPr>
        <w:t>457A</w:t>
      </w:r>
      <w:r>
        <w:t>.</w:t>
      </w:r>
      <w:r>
        <w:tab/>
        <w:t>Application of Part</w:t>
      </w:r>
      <w:bookmarkEnd w:id="706"/>
    </w:p>
    <w:p>
      <w:pPr>
        <w:pStyle w:val="Subsection"/>
      </w:pPr>
      <w:r>
        <w:tab/>
      </w:r>
      <w:r>
        <w:tab/>
        <w:t>This Part does not apply to naturally occurring asbestos.</w:t>
      </w:r>
    </w:p>
    <w:p>
      <w:pPr>
        <w:pStyle w:val="Heading5"/>
      </w:pPr>
      <w:bookmarkStart w:id="707" w:name="_Toc200720211"/>
      <w:r>
        <w:rPr>
          <w:rStyle w:val="CharSectno"/>
        </w:rPr>
        <w:t>458</w:t>
      </w:r>
      <w:r>
        <w:t>.</w:t>
      </w:r>
      <w:r>
        <w:tab/>
        <w:t>Duty to ensure asbestos removalist is licensed</w:t>
      </w:r>
      <w:bookmarkEnd w:id="707"/>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pPr>
      <w:r>
        <w:tab/>
        <w:t>(3)</w:t>
      </w:r>
      <w:r>
        <w:tab/>
        <w:t xml:space="preserve">If subregulation (2) applies, the person conducting the business or undertaking that commissions the asbestos removal work </w:t>
      </w:r>
      <w:r>
        <w:lastRenderedPageBreak/>
        <w:t>must ensure that the work is carried out by a competent person who has been trained in accordance with regulation 445.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08" w:name="_Toc200720212"/>
      <w:r>
        <w:rPr>
          <w:rStyle w:val="CharSectno"/>
        </w:rPr>
        <w:t>459</w:t>
      </w:r>
      <w:r>
        <w:t>.</w:t>
      </w:r>
      <w:r>
        <w:tab/>
        <w:t>Asbestos removal supervisor must be present or readily available</w:t>
      </w:r>
      <w:bookmarkEnd w:id="708"/>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09" w:name="_Toc200720213"/>
      <w:r>
        <w:rPr>
          <w:rStyle w:val="CharSectno"/>
        </w:rPr>
        <w:t>460</w:t>
      </w:r>
      <w:r>
        <w:t>.</w:t>
      </w:r>
      <w:r>
        <w:tab/>
        <w:t>Asbestos removal worker must be trained</w:t>
      </w:r>
      <w:bookmarkEnd w:id="709"/>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710" w:name="_Toc200720214"/>
      <w:r>
        <w:rPr>
          <w:rStyle w:val="CharSectno"/>
        </w:rPr>
        <w:t>461</w:t>
      </w:r>
      <w:r>
        <w:t>.</w:t>
      </w:r>
      <w:r>
        <w:tab/>
        <w:t>Licensed asbestos removalist must keep training records</w:t>
      </w:r>
      <w:bookmarkEnd w:id="710"/>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licensed asbestos removalist must ensure that the training record is readily accessible at the asbestos removal area and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11" w:name="_Toc200720215"/>
      <w:r>
        <w:rPr>
          <w:rStyle w:val="CharSectno"/>
        </w:rPr>
        <w:t>462</w:t>
      </w:r>
      <w:r>
        <w:t>.</w:t>
      </w:r>
      <w:r>
        <w:tab/>
        <w:t>Duty to give information about health risks of licensed asbestos removal work</w:t>
      </w:r>
      <w:bookmarkEnd w:id="711"/>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2" w:name="_Toc200720216"/>
      <w:r>
        <w:rPr>
          <w:rStyle w:val="CharSectno"/>
        </w:rPr>
        <w:t>463</w:t>
      </w:r>
      <w:r>
        <w:t>.</w:t>
      </w:r>
      <w:r>
        <w:tab/>
        <w:t>Asbestos removalist must obtain register</w:t>
      </w:r>
      <w:bookmarkEnd w:id="712"/>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713" w:name="_Toc200720217"/>
      <w:r>
        <w:rPr>
          <w:rStyle w:val="CharSectno"/>
        </w:rPr>
        <w:lastRenderedPageBreak/>
        <w:t>464</w:t>
      </w:r>
      <w:r>
        <w:t>.</w:t>
      </w:r>
      <w:r>
        <w:tab/>
        <w:t>Asbestos removal control plan</w:t>
      </w:r>
      <w:bookmarkEnd w:id="713"/>
    </w:p>
    <w:p>
      <w:pPr>
        <w:pStyle w:val="Subsection"/>
      </w:pPr>
      <w:r>
        <w:tab/>
        <w:t>(1)</w:t>
      </w:r>
      <w:r>
        <w:tab/>
        <w:t>A licensed asbestos removalist must prepare an asbestos removal control plan for any licensed asbestos removal work the removalist is commissioned to undertake.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14" w:name="_Toc200720218"/>
      <w:r>
        <w:rPr>
          <w:rStyle w:val="CharSectno"/>
        </w:rPr>
        <w:t>465</w:t>
      </w:r>
      <w:r>
        <w:t>.</w:t>
      </w:r>
      <w:r>
        <w:tab/>
        <w:t>Asbestos removal control plan to be kept and available</w:t>
      </w:r>
      <w:bookmarkEnd w:id="714"/>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15" w:name="_Toc200720219"/>
      <w:r>
        <w:rPr>
          <w:rStyle w:val="CharSectno"/>
        </w:rPr>
        <w:t>466</w:t>
      </w:r>
      <w:r>
        <w:t>.</w:t>
      </w:r>
      <w:r>
        <w:tab/>
        <w:t>Regulator must be notified of asbestos removal</w:t>
      </w:r>
      <w:bookmarkEnd w:id="715"/>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pPr>
      <w:r>
        <w:tab/>
        <w:t>(c)</w:t>
      </w:r>
      <w:r>
        <w:tab/>
        <w:t>the name of the competent person engaged to carry out a clearance inspection and issue a clearance certificate for the work;</w:t>
      </w:r>
    </w:p>
    <w:p>
      <w:pPr>
        <w:pStyle w:val="Indenta"/>
      </w:pPr>
      <w:r>
        <w:lastRenderedPageBreak/>
        <w:tab/>
        <w:t>(d)</w:t>
      </w:r>
      <w:r>
        <w:tab/>
        <w:t>the name and contact details of the person for whom the work is to be carried out;</w:t>
      </w:r>
    </w:p>
    <w:p>
      <w:pPr>
        <w:pStyle w:val="Indenta"/>
        <w:keepNext/>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716" w:name="_Toc200720220"/>
      <w:r>
        <w:rPr>
          <w:rStyle w:val="CharSectno"/>
        </w:rPr>
        <w:t>467</w:t>
      </w:r>
      <w:r>
        <w:t>.</w:t>
      </w:r>
      <w:r>
        <w:tab/>
        <w:t>Licensed asbestos removalist must inform certain persons about intended asbestos removal work</w:t>
      </w:r>
      <w:bookmarkEnd w:id="716"/>
    </w:p>
    <w:p>
      <w:pPr>
        <w:pStyle w:val="Subsection"/>
      </w:pPr>
      <w:r>
        <w:tab/>
        <w:t>(1)</w:t>
      </w:r>
      <w:r>
        <w:tab/>
        <w:t>This regulation applies if a licensed asbestos removalist is to carry out licensed asbestos removal work at a workplace.</w:t>
      </w:r>
    </w:p>
    <w:p>
      <w:pPr>
        <w:pStyle w:val="Subsection"/>
        <w:keepNext/>
      </w:pPr>
      <w:r>
        <w:lastRenderedPageBreak/>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keepNext/>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17" w:name="_Toc200720221"/>
      <w:r>
        <w:rPr>
          <w:rStyle w:val="CharSectno"/>
        </w:rPr>
        <w:t>468</w:t>
      </w:r>
      <w:r>
        <w:t>.</w:t>
      </w:r>
      <w:r>
        <w:tab/>
        <w:t>Person with management or control of workplace must inform persons about asbestos removal work</w:t>
      </w:r>
      <w:bookmarkEnd w:id="717"/>
    </w:p>
    <w:p>
      <w:pPr>
        <w:pStyle w:val="Subsection"/>
      </w:pPr>
      <w:r>
        <w:tab/>
        <w:t>(1)</w:t>
      </w:r>
      <w:r>
        <w:tab/>
        <w:t>This regulation applies if the person with management or control of a workplace is informed that asbestos removal work is to be carried out at the workplace.</w:t>
      </w:r>
    </w:p>
    <w:p>
      <w:pPr>
        <w:pStyle w:val="Subsection"/>
      </w:pPr>
      <w:r>
        <w:lastRenderedPageBreak/>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keepNext/>
      </w:pPr>
      <w:r>
        <w:tab/>
        <w:t>(b)</w:t>
      </w:r>
      <w:r>
        <w:tab/>
        <w:t>the person who commissioned the asbestos removal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18" w:name="_Toc200720222"/>
      <w:r>
        <w:rPr>
          <w:rStyle w:val="CharSectno"/>
        </w:rPr>
        <w:t>469</w:t>
      </w:r>
      <w:r>
        <w:t>.</w:t>
      </w:r>
      <w:r>
        <w:tab/>
        <w:t>Signage and barricades for asbestos removal work</w:t>
      </w:r>
      <w:bookmarkEnd w:id="718"/>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719" w:name="_Toc200720223"/>
      <w:r>
        <w:rPr>
          <w:rStyle w:val="CharSectno"/>
        </w:rPr>
        <w:t>470</w:t>
      </w:r>
      <w:r>
        <w:t>.</w:t>
      </w:r>
      <w:r>
        <w:rPr>
          <w:rStyle w:val="CharSectno"/>
        </w:rPr>
        <w:tab/>
      </w:r>
      <w:r>
        <w:t>Limiting access to asbestos removal area</w:t>
      </w:r>
      <w:bookmarkEnd w:id="719"/>
    </w:p>
    <w:p>
      <w:pPr>
        <w:pStyle w:val="Subsection"/>
        <w:keepNext/>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keepNext/>
      </w:pPr>
      <w:r>
        <w:lastRenderedPageBreak/>
        <w:tab/>
        <w:t>(5)</w:t>
      </w:r>
      <w:r>
        <w:tab/>
        <w:t>If a person referred to in subregulation (2)(a), (b) or (c) has access to an asbestos removal area, the person must comply with any direction of the licensed asbestos removalist.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20" w:name="_Toc200720224"/>
      <w:r>
        <w:rPr>
          <w:rStyle w:val="CharSectno"/>
        </w:rPr>
        <w:t>471</w:t>
      </w:r>
      <w:r>
        <w:t>.</w:t>
      </w:r>
      <w:r>
        <w:tab/>
        <w:t>Decontamination facilities</w:t>
      </w:r>
      <w:bookmarkEnd w:id="720"/>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21" w:name="_Toc200720225"/>
      <w:r>
        <w:rPr>
          <w:rStyle w:val="CharSectno"/>
        </w:rPr>
        <w:lastRenderedPageBreak/>
        <w:t>472</w:t>
      </w:r>
      <w:r>
        <w:t>.</w:t>
      </w:r>
      <w:r>
        <w:tab/>
        <w:t>Disposing of asbestos waste and contaminated personal protective equipment</w:t>
      </w:r>
      <w:bookmarkEnd w:id="721"/>
    </w:p>
    <w:p>
      <w:pPr>
        <w:pStyle w:val="Subsection"/>
        <w:keepNext/>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keepNext/>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22" w:name="_Toc200720226"/>
      <w:r>
        <w:rPr>
          <w:rStyle w:val="CharSectno"/>
        </w:rPr>
        <w:t>473</w:t>
      </w:r>
      <w:r>
        <w:t>.</w:t>
      </w:r>
      <w:r>
        <w:tab/>
        <w:t>Clearance inspection</w:t>
      </w:r>
      <w:bookmarkEnd w:id="722"/>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723" w:name="_Toc200720227"/>
      <w:r>
        <w:rPr>
          <w:rStyle w:val="CharSectno"/>
        </w:rPr>
        <w:t>474</w:t>
      </w:r>
      <w:r>
        <w:t>.</w:t>
      </w:r>
      <w:r>
        <w:tab/>
        <w:t>Clearance certificates</w:t>
      </w:r>
      <w:bookmarkEnd w:id="723"/>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724" w:name="_Toc200720228"/>
      <w:r>
        <w:rPr>
          <w:rStyle w:val="CharPartNo"/>
        </w:rPr>
        <w:t>Part 8.8</w:t>
      </w:r>
      <w:r>
        <w:rPr>
          <w:rStyle w:val="CharDivNo"/>
        </w:rPr>
        <w:t> </w:t>
      </w:r>
      <w:r>
        <w:t>—</w:t>
      </w:r>
      <w:r>
        <w:rPr>
          <w:rStyle w:val="CharDivText"/>
        </w:rPr>
        <w:t> </w:t>
      </w:r>
      <w:r>
        <w:rPr>
          <w:rStyle w:val="CharPartText"/>
        </w:rPr>
        <w:t>Asbestos removal requiring Class A asbestos removal licence</w:t>
      </w:r>
      <w:bookmarkEnd w:id="724"/>
    </w:p>
    <w:p>
      <w:pPr>
        <w:pStyle w:val="Heading5"/>
      </w:pPr>
      <w:bookmarkStart w:id="725" w:name="_Toc200720229"/>
      <w:r>
        <w:rPr>
          <w:rStyle w:val="CharSectno"/>
        </w:rPr>
        <w:t>475</w:t>
      </w:r>
      <w:r>
        <w:t>.</w:t>
      </w:r>
      <w:r>
        <w:tab/>
        <w:t>Air monitoring: asbestos removal requiring Class A asbestos removal licence</w:t>
      </w:r>
      <w:bookmarkEnd w:id="725"/>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26" w:name="_Toc200720230"/>
      <w:r>
        <w:rPr>
          <w:rStyle w:val="CharSectno"/>
        </w:rPr>
        <w:t>476</w:t>
      </w:r>
      <w:r>
        <w:t>.</w:t>
      </w:r>
      <w:r>
        <w:tab/>
        <w:t>Action if respirable asbestos fibre level too high</w:t>
      </w:r>
      <w:bookmarkEnd w:id="726"/>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lastRenderedPageBreak/>
        <w:tab/>
        <w:t>(ii)</w:t>
      </w:r>
      <w:r>
        <w:tab/>
        <w:t>implement controls to prevent exposure of anyone to asbestos; and</w:t>
      </w:r>
    </w:p>
    <w:p>
      <w:pPr>
        <w:pStyle w:val="Indenti"/>
        <w:keepNext/>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27" w:name="_Toc200720231"/>
      <w:r>
        <w:rPr>
          <w:rStyle w:val="CharSectno"/>
        </w:rPr>
        <w:lastRenderedPageBreak/>
        <w:t>477</w:t>
      </w:r>
      <w:r>
        <w:t>.</w:t>
      </w:r>
      <w:r>
        <w:tab/>
        <w:t>Removing friable asbestos</w:t>
      </w:r>
      <w:bookmarkEnd w:id="727"/>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keepNext/>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728" w:name="_Toc200720232"/>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728"/>
    </w:p>
    <w:p>
      <w:pPr>
        <w:pStyle w:val="Heading5"/>
      </w:pPr>
      <w:bookmarkStart w:id="729" w:name="_Toc200720233"/>
      <w:r>
        <w:rPr>
          <w:rStyle w:val="CharSectno"/>
        </w:rPr>
        <w:t>478</w:t>
      </w:r>
      <w:r>
        <w:t>.</w:t>
      </w:r>
      <w:r>
        <w:tab/>
        <w:t>Application of Part</w:t>
      </w:r>
      <w:bookmarkEnd w:id="729"/>
    </w:p>
    <w:p>
      <w:pPr>
        <w:pStyle w:val="Subsection"/>
      </w:pPr>
      <w:r>
        <w:tab/>
      </w:r>
      <w:r>
        <w:tab/>
        <w:t>This Part applies in relation to asbestos</w:t>
      </w:r>
      <w:r>
        <w:noBreakHyphen/>
        <w:t>related work.</w:t>
      </w:r>
    </w:p>
    <w:p>
      <w:pPr>
        <w:pStyle w:val="Heading5"/>
      </w:pPr>
      <w:bookmarkStart w:id="730" w:name="_Toc200720234"/>
      <w:r>
        <w:rPr>
          <w:rStyle w:val="CharSectno"/>
        </w:rPr>
        <w:lastRenderedPageBreak/>
        <w:t>479</w:t>
      </w:r>
      <w:r>
        <w:t>.</w:t>
      </w:r>
      <w:r>
        <w:tab/>
        <w:t>Uncertainty as to presence of asbestos</w:t>
      </w:r>
      <w:bookmarkEnd w:id="730"/>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731" w:name="_Toc200720235"/>
      <w:r>
        <w:rPr>
          <w:rStyle w:val="CharSectno"/>
        </w:rPr>
        <w:t>480</w:t>
      </w:r>
      <w:r>
        <w:t>.</w:t>
      </w:r>
      <w:r>
        <w:tab/>
        <w:t>Duty to give information about health risks of asbestos</w:t>
      </w:r>
      <w:r>
        <w:noBreakHyphen/>
        <w:t>related work</w:t>
      </w:r>
      <w:bookmarkEnd w:id="731"/>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32" w:name="_Toc200720236"/>
      <w:r>
        <w:rPr>
          <w:rStyle w:val="CharSectno"/>
        </w:rPr>
        <w:lastRenderedPageBreak/>
        <w:t>481</w:t>
      </w:r>
      <w:r>
        <w:t>.</w:t>
      </w:r>
      <w:r>
        <w:tab/>
        <w:t>Asbestos</w:t>
      </w:r>
      <w:r>
        <w:noBreakHyphen/>
        <w:t>related work to be in separate area</w:t>
      </w:r>
      <w:bookmarkEnd w:id="732"/>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keepNext/>
      </w:pPr>
      <w:r>
        <w:tab/>
        <w:t>(c)</w:t>
      </w:r>
      <w:r>
        <w:tab/>
        <w:t>barricades are erected to delineate the asbestos</w:t>
      </w:r>
      <w:r>
        <w:noBreakHyphen/>
        <w:t>related work area.</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33" w:name="_Toc200720237"/>
      <w:r>
        <w:rPr>
          <w:rStyle w:val="CharSectno"/>
        </w:rPr>
        <w:t>482</w:t>
      </w:r>
      <w:r>
        <w:t>.</w:t>
      </w:r>
      <w:r>
        <w:tab/>
        <w:t>Air monitoring</w:t>
      </w:r>
      <w:bookmarkEnd w:id="733"/>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lastRenderedPageBreak/>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34" w:name="_Toc200720238"/>
      <w:r>
        <w:rPr>
          <w:rStyle w:val="CharSectno"/>
        </w:rPr>
        <w:t>483</w:t>
      </w:r>
      <w:r>
        <w:t>.</w:t>
      </w:r>
      <w:r>
        <w:tab/>
        <w:t>Decontamination facilities</w:t>
      </w:r>
      <w:bookmarkEnd w:id="734"/>
    </w:p>
    <w:p>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pPr>
      <w:r>
        <w:tab/>
        <w:t>(i)</w:t>
      </w:r>
      <w:r>
        <w:tab/>
        <w:t>decontaminated; and</w:t>
      </w:r>
    </w:p>
    <w:p>
      <w:pPr>
        <w:pStyle w:val="Indenti"/>
        <w:keepNext/>
      </w:pPr>
      <w:r>
        <w:lastRenderedPageBreak/>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35" w:name="_Toc200720239"/>
      <w:r>
        <w:rPr>
          <w:rStyle w:val="CharSectno"/>
        </w:rPr>
        <w:t>484</w:t>
      </w:r>
      <w:r>
        <w:t>.</w:t>
      </w:r>
      <w:r>
        <w:tab/>
        <w:t>Disposing of asbestos waste and contaminated personal protective equipment</w:t>
      </w:r>
      <w:bookmarkEnd w:id="735"/>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lastRenderedPageBreak/>
        <w:tab/>
        <w:t>(ii)</w:t>
      </w:r>
      <w:r>
        <w:tab/>
        <w:t>if it is not practicable to launder the clothing, is kept in the sealed container until it is re</w:t>
      </w:r>
      <w:r>
        <w:noBreakHyphen/>
        <w:t>used for the purposes of asbestos</w:t>
      </w:r>
      <w:r>
        <w:noBreakHyphen/>
        <w:t xml:space="preserve">related work; </w:t>
      </w:r>
    </w:p>
    <w:p>
      <w:pPr>
        <w:pStyle w:val="Indenta"/>
      </w:pPr>
      <w:r>
        <w:tab/>
      </w:r>
      <w:r>
        <w:tab/>
        <w:t>and</w:t>
      </w:r>
    </w:p>
    <w:p>
      <w:pPr>
        <w:pStyle w:val="Indenta"/>
        <w:keepNext/>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736" w:name="_Toc200720240"/>
      <w:r>
        <w:rPr>
          <w:rStyle w:val="CharPartNo"/>
        </w:rPr>
        <w:t>Part 8.10</w:t>
      </w:r>
      <w:r>
        <w:t> — </w:t>
      </w:r>
      <w:r>
        <w:rPr>
          <w:rStyle w:val="CharPartText"/>
        </w:rPr>
        <w:t>Licensing of asbestos removalists and asbestos assessors</w:t>
      </w:r>
      <w:bookmarkEnd w:id="736"/>
    </w:p>
    <w:p>
      <w:pPr>
        <w:pStyle w:val="Heading4"/>
      </w:pPr>
      <w:bookmarkStart w:id="737" w:name="_Toc200720241"/>
      <w:r>
        <w:rPr>
          <w:rStyle w:val="CharDivNo"/>
        </w:rPr>
        <w:t>Division 1A</w:t>
      </w:r>
      <w:r>
        <w:t> — </w:t>
      </w:r>
      <w:r>
        <w:rPr>
          <w:rStyle w:val="CharDivText"/>
        </w:rPr>
        <w:t>Application</w:t>
      </w:r>
      <w:bookmarkEnd w:id="737"/>
    </w:p>
    <w:p>
      <w:pPr>
        <w:pStyle w:val="Heading5"/>
      </w:pPr>
      <w:bookmarkStart w:id="738" w:name="_Toc200720242"/>
      <w:r>
        <w:rPr>
          <w:rStyle w:val="CharSectno"/>
        </w:rPr>
        <w:t>484A</w:t>
      </w:r>
      <w:r>
        <w:t>.</w:t>
      </w:r>
      <w:r>
        <w:tab/>
        <w:t>Application of Part</w:t>
      </w:r>
      <w:bookmarkEnd w:id="738"/>
    </w:p>
    <w:p>
      <w:pPr>
        <w:pStyle w:val="Subsection"/>
      </w:pPr>
      <w:r>
        <w:tab/>
      </w:r>
      <w:r>
        <w:tab/>
        <w:t>This Part does not apply to naturally occurring asbestos.</w:t>
      </w:r>
    </w:p>
    <w:p>
      <w:pPr>
        <w:pStyle w:val="Heading4"/>
      </w:pPr>
      <w:bookmarkStart w:id="739" w:name="_Toc200720243"/>
      <w:r>
        <w:rPr>
          <w:rStyle w:val="CharDivNo"/>
        </w:rPr>
        <w:lastRenderedPageBreak/>
        <w:t>Division 1</w:t>
      </w:r>
      <w:r>
        <w:t> — </w:t>
      </w:r>
      <w:r>
        <w:rPr>
          <w:rStyle w:val="CharDivText"/>
        </w:rPr>
        <w:t>Asbestos removalists: requirement to be licensed</w:t>
      </w:r>
      <w:bookmarkEnd w:id="739"/>
    </w:p>
    <w:p>
      <w:pPr>
        <w:pStyle w:val="Heading5"/>
      </w:pPr>
      <w:bookmarkStart w:id="740" w:name="_Toc200720244"/>
      <w:r>
        <w:rPr>
          <w:rStyle w:val="CharSectno"/>
        </w:rPr>
        <w:t>485</w:t>
      </w:r>
      <w:r>
        <w:t>.</w:t>
      </w:r>
      <w:r>
        <w:tab/>
        <w:t>Requirement to hold Class A asbestos removal licence</w:t>
      </w:r>
      <w:bookmarkEnd w:id="740"/>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741" w:name="_Toc200720245"/>
      <w:r>
        <w:rPr>
          <w:rStyle w:val="CharSectno"/>
        </w:rPr>
        <w:t>486</w:t>
      </w:r>
      <w:r>
        <w:t>.</w:t>
      </w:r>
      <w:r>
        <w:tab/>
        <w:t>Exception to requirement to hold Class A asbestos removal licence</w:t>
      </w:r>
      <w:bookmarkEnd w:id="741"/>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742" w:name="_Toc200720246"/>
      <w:r>
        <w:rPr>
          <w:rStyle w:val="CharSectno"/>
        </w:rPr>
        <w:t>487</w:t>
      </w:r>
      <w:r>
        <w:t>.</w:t>
      </w:r>
      <w:r>
        <w:tab/>
        <w:t>Requirement to hold Class B asbestos removal licence</w:t>
      </w:r>
      <w:bookmarkEnd w:id="742"/>
    </w:p>
    <w:p>
      <w:pPr>
        <w:pStyle w:val="Subsection"/>
        <w:keepNext/>
      </w:pPr>
      <w:r>
        <w:tab/>
        <w:t>(1)</w:t>
      </w:r>
      <w:r>
        <w:tab/>
        <w:t xml:space="preserve">A person must not carry out the removal of the following at a workplace unless the person, or the person on whose behalf the </w:t>
      </w:r>
      <w:r>
        <w:lastRenderedPageBreak/>
        <w:t xml:space="preserve">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743" w:name="_Toc200720247"/>
      <w:r>
        <w:rPr>
          <w:rStyle w:val="CharSectno"/>
        </w:rPr>
        <w:t>488</w:t>
      </w:r>
      <w:r>
        <w:t>.</w:t>
      </w:r>
      <w:r>
        <w:tab/>
        <w:t>Recognition of asbestos removal licences in other jurisdictions</w:t>
      </w:r>
      <w:bookmarkEnd w:id="743"/>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744" w:name="_Toc200720248"/>
      <w:r>
        <w:rPr>
          <w:rStyle w:val="CharDivNo"/>
        </w:rPr>
        <w:lastRenderedPageBreak/>
        <w:t>Division 2</w:t>
      </w:r>
      <w:r>
        <w:t> — </w:t>
      </w:r>
      <w:r>
        <w:rPr>
          <w:rStyle w:val="CharDivText"/>
        </w:rPr>
        <w:t>Asbestos assessors: requirement to be licensed</w:t>
      </w:r>
      <w:bookmarkEnd w:id="744"/>
    </w:p>
    <w:p>
      <w:pPr>
        <w:pStyle w:val="Heading5"/>
      </w:pPr>
      <w:bookmarkStart w:id="745" w:name="_Toc200720249"/>
      <w:r>
        <w:rPr>
          <w:rStyle w:val="CharSectno"/>
        </w:rPr>
        <w:t>489</w:t>
      </w:r>
      <w:r>
        <w:t>.</w:t>
      </w:r>
      <w:r>
        <w:tab/>
        <w:t>Requirement to hold asbestos assessor licence</w:t>
      </w:r>
      <w:bookmarkEnd w:id="745"/>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746" w:name="_Toc200720250"/>
      <w:r>
        <w:rPr>
          <w:rStyle w:val="CharSectno"/>
        </w:rPr>
        <w:t>490</w:t>
      </w:r>
      <w:r>
        <w:t>.</w:t>
      </w:r>
      <w:r>
        <w:tab/>
        <w:t>Recognition of asbestos assessor licences in other jurisdictions</w:t>
      </w:r>
      <w:bookmarkEnd w:id="746"/>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747" w:name="_Toc200720251"/>
      <w:r>
        <w:rPr>
          <w:rStyle w:val="CharDivNo"/>
        </w:rPr>
        <w:t>Division 3</w:t>
      </w:r>
      <w:r>
        <w:t> — </w:t>
      </w:r>
      <w:r>
        <w:rPr>
          <w:rStyle w:val="CharDivText"/>
        </w:rPr>
        <w:t>Licensing process</w:t>
      </w:r>
      <w:bookmarkEnd w:id="747"/>
    </w:p>
    <w:p>
      <w:pPr>
        <w:pStyle w:val="Heading5"/>
      </w:pPr>
      <w:bookmarkStart w:id="748" w:name="_Toc200720252"/>
      <w:r>
        <w:rPr>
          <w:rStyle w:val="CharSectno"/>
        </w:rPr>
        <w:t>491</w:t>
      </w:r>
      <w:r>
        <w:t>.</w:t>
      </w:r>
      <w:r>
        <w:tab/>
        <w:t>Who may apply for a licence</w:t>
      </w:r>
      <w:bookmarkEnd w:id="748"/>
    </w:p>
    <w:p>
      <w:pPr>
        <w:pStyle w:val="Subsection"/>
      </w:pPr>
      <w:r>
        <w:tab/>
        <w:t>(1)</w:t>
      </w:r>
      <w:r>
        <w:tab/>
        <w:t>Only a person who conducts, or proposes to conduct, a business or undertaking may apply for an asbestos removal licence.</w:t>
      </w:r>
    </w:p>
    <w:p>
      <w:pPr>
        <w:pStyle w:val="Subsection"/>
      </w:pPr>
      <w:r>
        <w:lastRenderedPageBreak/>
        <w:tab/>
        <w:t>(2)</w:t>
      </w:r>
      <w:r>
        <w:tab/>
        <w:t xml:space="preserve">Only an individual who holds the qualifications set out in the </w:t>
      </w:r>
      <w:r>
        <w:rPr>
          <w:i/>
        </w:rPr>
        <w:t xml:space="preserve">Work Health and Safety (General) Regulations 2022 </w:t>
      </w:r>
      <w:r>
        <w:t>regulation 495 may apply for an asbestos assessor licence.</w:t>
      </w:r>
    </w:p>
    <w:p>
      <w:pPr>
        <w:pStyle w:val="Heading5"/>
      </w:pPr>
      <w:bookmarkStart w:id="749" w:name="_Toc200720253"/>
      <w:r>
        <w:rPr>
          <w:rStyle w:val="CharSectno"/>
        </w:rPr>
        <w:t>492</w:t>
      </w:r>
      <w:r>
        <w:t>.</w:t>
      </w:r>
      <w:r>
        <w:tab/>
        <w:t>Application for asbestos removal licence or asbestos assessor licence</w:t>
      </w:r>
      <w:bookmarkEnd w:id="749"/>
    </w:p>
    <w:p>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pPr>
        <w:pStyle w:val="Subsection"/>
      </w:pPr>
      <w:r>
        <w:tab/>
        <w:t>(2)</w:t>
      </w:r>
      <w:r>
        <w:tab/>
      </w:r>
      <w:r>
        <w:rPr>
          <w:i/>
        </w:rPr>
        <w:t>[not used]</w:t>
      </w:r>
    </w:p>
    <w:p>
      <w:pPr>
        <w:pStyle w:val="Heading5"/>
      </w:pPr>
      <w:bookmarkStart w:id="750" w:name="_Toc200720254"/>
      <w:r>
        <w:t>493.</w:t>
      </w:r>
      <w:r>
        <w:tab/>
        <w:t>Not used</w:t>
      </w:r>
      <w:bookmarkEnd w:id="750"/>
    </w:p>
    <w:p>
      <w:pPr>
        <w:pStyle w:val="Heading5"/>
        <w:keepNext w:val="0"/>
      </w:pPr>
      <w:bookmarkStart w:id="751" w:name="_Toc200720255"/>
      <w:r>
        <w:t>494.</w:t>
      </w:r>
      <w:r>
        <w:tab/>
        <w:t>Not used</w:t>
      </w:r>
      <w:bookmarkEnd w:id="751"/>
    </w:p>
    <w:p>
      <w:pPr>
        <w:pStyle w:val="Heading5"/>
        <w:keepNext w:val="0"/>
      </w:pPr>
      <w:bookmarkStart w:id="752" w:name="_Toc200720256"/>
      <w:r>
        <w:t>495.</w:t>
      </w:r>
      <w:r>
        <w:tab/>
        <w:t>Not used</w:t>
      </w:r>
      <w:bookmarkEnd w:id="752"/>
    </w:p>
    <w:p>
      <w:pPr>
        <w:pStyle w:val="Heading5"/>
        <w:keepNext w:val="0"/>
      </w:pPr>
      <w:bookmarkStart w:id="753" w:name="_Toc200720257"/>
      <w:r>
        <w:t>496.</w:t>
      </w:r>
      <w:r>
        <w:tab/>
        <w:t>Not used</w:t>
      </w:r>
      <w:bookmarkEnd w:id="753"/>
    </w:p>
    <w:p>
      <w:pPr>
        <w:pStyle w:val="Heading5"/>
        <w:keepNext w:val="0"/>
      </w:pPr>
      <w:bookmarkStart w:id="754" w:name="_Toc200720258"/>
      <w:r>
        <w:t>497.</w:t>
      </w:r>
      <w:r>
        <w:tab/>
        <w:t>Not used</w:t>
      </w:r>
      <w:bookmarkEnd w:id="754"/>
    </w:p>
    <w:p>
      <w:pPr>
        <w:pStyle w:val="Heading5"/>
        <w:keepNext w:val="0"/>
      </w:pPr>
      <w:bookmarkStart w:id="755" w:name="_Toc200720259"/>
      <w:r>
        <w:t>498.</w:t>
      </w:r>
      <w:r>
        <w:tab/>
        <w:t>Not used</w:t>
      </w:r>
      <w:bookmarkEnd w:id="755"/>
    </w:p>
    <w:p>
      <w:pPr>
        <w:pStyle w:val="Heading5"/>
        <w:keepNext w:val="0"/>
      </w:pPr>
      <w:bookmarkStart w:id="756" w:name="_Toc200720260"/>
      <w:r>
        <w:t>499.</w:t>
      </w:r>
      <w:r>
        <w:tab/>
        <w:t>Not used</w:t>
      </w:r>
      <w:bookmarkEnd w:id="756"/>
    </w:p>
    <w:p>
      <w:pPr>
        <w:pStyle w:val="Heading5"/>
        <w:keepNext w:val="0"/>
      </w:pPr>
      <w:bookmarkStart w:id="757" w:name="_Toc200720261"/>
      <w:r>
        <w:t>500.</w:t>
      </w:r>
      <w:r>
        <w:tab/>
        <w:t>Not used</w:t>
      </w:r>
      <w:bookmarkEnd w:id="757"/>
    </w:p>
    <w:p>
      <w:pPr>
        <w:pStyle w:val="Heading5"/>
        <w:keepNext w:val="0"/>
      </w:pPr>
      <w:bookmarkStart w:id="758" w:name="_Toc200720262"/>
      <w:r>
        <w:t>501.</w:t>
      </w:r>
      <w:r>
        <w:tab/>
        <w:t>Not used</w:t>
      </w:r>
      <w:bookmarkEnd w:id="758"/>
    </w:p>
    <w:p>
      <w:pPr>
        <w:pStyle w:val="Heading5"/>
        <w:keepNext w:val="0"/>
      </w:pPr>
      <w:bookmarkStart w:id="759" w:name="_Toc200720263"/>
      <w:r>
        <w:t>502.</w:t>
      </w:r>
      <w:r>
        <w:tab/>
        <w:t>Not used</w:t>
      </w:r>
      <w:bookmarkEnd w:id="759"/>
    </w:p>
    <w:p>
      <w:pPr>
        <w:pStyle w:val="Heading5"/>
        <w:keepNext w:val="0"/>
      </w:pPr>
      <w:bookmarkStart w:id="760" w:name="_Toc200720264"/>
      <w:r>
        <w:t>503.</w:t>
      </w:r>
      <w:r>
        <w:tab/>
        <w:t>Not used</w:t>
      </w:r>
      <w:bookmarkEnd w:id="760"/>
    </w:p>
    <w:p>
      <w:pPr>
        <w:pStyle w:val="Heading5"/>
        <w:keepNext w:val="0"/>
      </w:pPr>
      <w:bookmarkStart w:id="761" w:name="_Toc200720265"/>
      <w:r>
        <w:t>504.</w:t>
      </w:r>
      <w:r>
        <w:tab/>
        <w:t>Not used</w:t>
      </w:r>
      <w:bookmarkEnd w:id="761"/>
    </w:p>
    <w:p>
      <w:pPr>
        <w:pStyle w:val="Heading5"/>
      </w:pPr>
      <w:bookmarkStart w:id="762" w:name="_Toc200720266"/>
      <w:r>
        <w:rPr>
          <w:rStyle w:val="CharSectno"/>
        </w:rPr>
        <w:lastRenderedPageBreak/>
        <w:t>505</w:t>
      </w:r>
      <w:r>
        <w:t>.</w:t>
      </w:r>
      <w:r>
        <w:tab/>
        <w:t>Licence document to be available</w:t>
      </w:r>
      <w:bookmarkEnd w:id="762"/>
    </w:p>
    <w:p>
      <w:pPr>
        <w:pStyle w:val="Subsection"/>
        <w:keepNext/>
      </w:pPr>
      <w:r>
        <w:tab/>
        <w:t>(1)</w:t>
      </w:r>
      <w:r>
        <w:tab/>
        <w:t xml:space="preserve">A licence holder must keep a licence document issued under the </w:t>
      </w:r>
      <w:r>
        <w:rPr>
          <w:i/>
        </w:rPr>
        <w:t>Work Health and Safety (General) Regulations 2022</w:t>
      </w:r>
      <w:r>
        <w:t xml:space="preserve"> regulation 504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512;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pPr>
        <w:pStyle w:val="Heading4"/>
      </w:pPr>
      <w:bookmarkStart w:id="763" w:name="_Toc200720267"/>
      <w:r>
        <w:t>Division 4 — Not used</w:t>
      </w:r>
      <w:bookmarkEnd w:id="763"/>
    </w:p>
    <w:p>
      <w:pPr>
        <w:pStyle w:val="Heading5"/>
      </w:pPr>
      <w:bookmarkStart w:id="764" w:name="_Toc200720268"/>
      <w:r>
        <w:t>506.</w:t>
      </w:r>
      <w:r>
        <w:tab/>
        <w:t>Not used</w:t>
      </w:r>
      <w:bookmarkEnd w:id="764"/>
    </w:p>
    <w:p>
      <w:pPr>
        <w:pStyle w:val="Heading5"/>
        <w:keepNext w:val="0"/>
      </w:pPr>
      <w:bookmarkStart w:id="765" w:name="_Toc200720269"/>
      <w:r>
        <w:t>507.</w:t>
      </w:r>
      <w:r>
        <w:tab/>
        <w:t>Not used</w:t>
      </w:r>
      <w:bookmarkEnd w:id="765"/>
    </w:p>
    <w:p>
      <w:pPr>
        <w:pStyle w:val="Heading5"/>
        <w:keepNext w:val="0"/>
      </w:pPr>
      <w:bookmarkStart w:id="766" w:name="_Toc200720270"/>
      <w:r>
        <w:t>508.</w:t>
      </w:r>
      <w:r>
        <w:tab/>
        <w:t>Not used</w:t>
      </w:r>
      <w:bookmarkEnd w:id="766"/>
    </w:p>
    <w:p>
      <w:pPr>
        <w:pStyle w:val="Heading5"/>
        <w:keepNext w:val="0"/>
      </w:pPr>
      <w:bookmarkStart w:id="767" w:name="_Toc200720271"/>
      <w:r>
        <w:t>509.</w:t>
      </w:r>
      <w:r>
        <w:tab/>
        <w:t>Not used</w:t>
      </w:r>
      <w:bookmarkEnd w:id="767"/>
    </w:p>
    <w:p>
      <w:pPr>
        <w:pStyle w:val="Heading5"/>
        <w:keepNext w:val="0"/>
      </w:pPr>
      <w:bookmarkStart w:id="768" w:name="_Toc200720272"/>
      <w:r>
        <w:t>510.</w:t>
      </w:r>
      <w:r>
        <w:tab/>
        <w:t>Not used</w:t>
      </w:r>
      <w:bookmarkEnd w:id="768"/>
    </w:p>
    <w:p>
      <w:pPr>
        <w:pStyle w:val="Heading5"/>
        <w:keepNext w:val="0"/>
      </w:pPr>
      <w:bookmarkStart w:id="769" w:name="_Toc200720273"/>
      <w:r>
        <w:t>511.</w:t>
      </w:r>
      <w:r>
        <w:tab/>
        <w:t>Not used</w:t>
      </w:r>
      <w:bookmarkEnd w:id="769"/>
    </w:p>
    <w:p>
      <w:pPr>
        <w:pStyle w:val="Heading5"/>
        <w:keepNext w:val="0"/>
      </w:pPr>
      <w:bookmarkStart w:id="770" w:name="_Toc200720274"/>
      <w:r>
        <w:t>512.</w:t>
      </w:r>
      <w:r>
        <w:tab/>
        <w:t>Not used</w:t>
      </w:r>
      <w:bookmarkEnd w:id="770"/>
    </w:p>
    <w:p>
      <w:pPr>
        <w:pStyle w:val="Heading5"/>
        <w:keepNext w:val="0"/>
      </w:pPr>
      <w:bookmarkStart w:id="771" w:name="_Toc200720275"/>
      <w:r>
        <w:t>513.</w:t>
      </w:r>
      <w:r>
        <w:tab/>
        <w:t>Not used</w:t>
      </w:r>
      <w:bookmarkEnd w:id="771"/>
    </w:p>
    <w:p>
      <w:pPr>
        <w:pStyle w:val="Heading5"/>
      </w:pPr>
      <w:bookmarkStart w:id="772" w:name="_Toc200720276"/>
      <w:r>
        <w:lastRenderedPageBreak/>
        <w:t>514.</w:t>
      </w:r>
      <w:r>
        <w:tab/>
        <w:t>Not used</w:t>
      </w:r>
      <w:bookmarkEnd w:id="772"/>
    </w:p>
    <w:p>
      <w:pPr>
        <w:pStyle w:val="Heading4"/>
      </w:pPr>
      <w:bookmarkStart w:id="773" w:name="_Toc200720277"/>
      <w:r>
        <w:t>Division 5 — Not used</w:t>
      </w:r>
      <w:bookmarkEnd w:id="773"/>
    </w:p>
    <w:p>
      <w:pPr>
        <w:pStyle w:val="Heading5"/>
      </w:pPr>
      <w:bookmarkStart w:id="774" w:name="_Toc200720278"/>
      <w:r>
        <w:t>515.</w:t>
      </w:r>
      <w:r>
        <w:tab/>
        <w:t>Not used</w:t>
      </w:r>
      <w:bookmarkEnd w:id="774"/>
    </w:p>
    <w:p>
      <w:pPr>
        <w:pStyle w:val="Heading5"/>
        <w:keepNext w:val="0"/>
      </w:pPr>
      <w:bookmarkStart w:id="775" w:name="_Toc200720279"/>
      <w:r>
        <w:t>516.</w:t>
      </w:r>
      <w:r>
        <w:tab/>
        <w:t>Not used</w:t>
      </w:r>
      <w:bookmarkEnd w:id="775"/>
    </w:p>
    <w:p>
      <w:pPr>
        <w:pStyle w:val="Heading5"/>
        <w:keepNext w:val="0"/>
      </w:pPr>
      <w:bookmarkStart w:id="776" w:name="_Toc200720280"/>
      <w:r>
        <w:t>517.</w:t>
      </w:r>
      <w:r>
        <w:tab/>
        <w:t>Not used</w:t>
      </w:r>
      <w:bookmarkEnd w:id="776"/>
    </w:p>
    <w:p>
      <w:pPr>
        <w:pStyle w:val="Heading5"/>
        <w:keepNext w:val="0"/>
      </w:pPr>
      <w:bookmarkStart w:id="777" w:name="_Toc200720281"/>
      <w:r>
        <w:t>518.</w:t>
      </w:r>
      <w:r>
        <w:tab/>
        <w:t>Not used</w:t>
      </w:r>
      <w:bookmarkEnd w:id="777"/>
    </w:p>
    <w:p>
      <w:pPr>
        <w:pStyle w:val="Heading5"/>
        <w:keepNext w:val="0"/>
      </w:pPr>
      <w:bookmarkStart w:id="778" w:name="_Toc200720282"/>
      <w:r>
        <w:t>519.</w:t>
      </w:r>
      <w:r>
        <w:tab/>
        <w:t>Not used</w:t>
      </w:r>
      <w:bookmarkEnd w:id="778"/>
    </w:p>
    <w:p>
      <w:pPr>
        <w:pStyle w:val="Heading4"/>
      </w:pPr>
      <w:bookmarkStart w:id="779" w:name="_Toc200720283"/>
      <w:r>
        <w:t>Division 6 — Not used</w:t>
      </w:r>
      <w:bookmarkEnd w:id="779"/>
    </w:p>
    <w:p>
      <w:pPr>
        <w:pStyle w:val="Heading5"/>
      </w:pPr>
      <w:bookmarkStart w:id="780" w:name="_Toc200720284"/>
      <w:r>
        <w:t>520.</w:t>
      </w:r>
      <w:r>
        <w:tab/>
        <w:t>Not used</w:t>
      </w:r>
      <w:bookmarkEnd w:id="780"/>
    </w:p>
    <w:p>
      <w:pPr>
        <w:pStyle w:val="Heading5"/>
        <w:keepNext w:val="0"/>
      </w:pPr>
      <w:bookmarkStart w:id="781" w:name="_Toc200720285"/>
      <w:r>
        <w:t>521.</w:t>
      </w:r>
      <w:r>
        <w:tab/>
        <w:t>Not used</w:t>
      </w:r>
      <w:bookmarkEnd w:id="781"/>
    </w:p>
    <w:p>
      <w:pPr>
        <w:pStyle w:val="Heading5"/>
        <w:keepNext w:val="0"/>
      </w:pPr>
      <w:bookmarkStart w:id="782" w:name="_Toc200720286"/>
      <w:r>
        <w:t>522.</w:t>
      </w:r>
      <w:r>
        <w:tab/>
        <w:t>Not used</w:t>
      </w:r>
      <w:bookmarkEnd w:id="782"/>
    </w:p>
    <w:p>
      <w:pPr>
        <w:pStyle w:val="Heading5"/>
        <w:keepNext w:val="0"/>
      </w:pPr>
      <w:bookmarkStart w:id="783" w:name="_Toc200720287"/>
      <w:r>
        <w:t>523.</w:t>
      </w:r>
      <w:r>
        <w:tab/>
        <w:t>Not used</w:t>
      </w:r>
      <w:bookmarkEnd w:id="783"/>
    </w:p>
    <w:p>
      <w:pPr>
        <w:pStyle w:val="Heading5"/>
        <w:keepNext w:val="0"/>
      </w:pPr>
      <w:bookmarkStart w:id="784" w:name="_Toc200720288"/>
      <w:r>
        <w:t>524.</w:t>
      </w:r>
      <w:r>
        <w:tab/>
        <w:t>Not used</w:t>
      </w:r>
      <w:bookmarkEnd w:id="784"/>
    </w:p>
    <w:p>
      <w:pPr>
        <w:pStyle w:val="Heading5"/>
        <w:keepNext w:val="0"/>
      </w:pPr>
      <w:bookmarkStart w:id="785" w:name="_Toc200720289"/>
      <w:r>
        <w:t>525.</w:t>
      </w:r>
      <w:r>
        <w:tab/>
        <w:t>Not used</w:t>
      </w:r>
      <w:bookmarkEnd w:id="785"/>
    </w:p>
    <w:p>
      <w:pPr>
        <w:pStyle w:val="Heading5"/>
        <w:keepNext w:val="0"/>
      </w:pPr>
      <w:bookmarkStart w:id="786" w:name="_Toc200720290"/>
      <w:r>
        <w:t>526.</w:t>
      </w:r>
      <w:r>
        <w:tab/>
        <w:t>Not used</w:t>
      </w:r>
      <w:bookmarkEnd w:id="786"/>
    </w:p>
    <w:p>
      <w:pPr>
        <w:pStyle w:val="Heading4"/>
      </w:pPr>
      <w:bookmarkStart w:id="787" w:name="_Toc200720291"/>
      <w:r>
        <w:rPr>
          <w:rStyle w:val="CharDivNo"/>
        </w:rPr>
        <w:t>Division 7</w:t>
      </w:r>
      <w:r>
        <w:t> — </w:t>
      </w:r>
      <w:r>
        <w:rPr>
          <w:rStyle w:val="CharDivText"/>
        </w:rPr>
        <w:t>General</w:t>
      </w:r>
      <w:bookmarkEnd w:id="787"/>
    </w:p>
    <w:p>
      <w:pPr>
        <w:pStyle w:val="Heading5"/>
      </w:pPr>
      <w:bookmarkStart w:id="788" w:name="_Toc200720292"/>
      <w:r>
        <w:t>527.</w:t>
      </w:r>
      <w:r>
        <w:tab/>
        <w:t>Not used</w:t>
      </w:r>
      <w:bookmarkEnd w:id="788"/>
    </w:p>
    <w:p>
      <w:pPr>
        <w:pStyle w:val="Heading5"/>
        <w:keepNext w:val="0"/>
      </w:pPr>
      <w:bookmarkStart w:id="789" w:name="_Toc200720293"/>
      <w:r>
        <w:t>528.</w:t>
      </w:r>
      <w:r>
        <w:tab/>
        <w:t>Not used</w:t>
      </w:r>
      <w:bookmarkEnd w:id="789"/>
    </w:p>
    <w:p>
      <w:pPr>
        <w:pStyle w:val="Heading5"/>
      </w:pPr>
      <w:bookmarkStart w:id="790" w:name="_Toc200720294"/>
      <w:r>
        <w:rPr>
          <w:rStyle w:val="CharSectno"/>
        </w:rPr>
        <w:t>529</w:t>
      </w:r>
      <w:r>
        <w:t>.</w:t>
      </w:r>
      <w:r>
        <w:tab/>
        <w:t>Work must be supervised by nominated supervisor</w:t>
      </w:r>
      <w:bookmarkEnd w:id="790"/>
    </w:p>
    <w:p>
      <w:pPr>
        <w:pStyle w:val="Subsection"/>
      </w:pPr>
      <w:r>
        <w:tab/>
      </w:r>
      <w:r>
        <w:tab/>
        <w:t xml:space="preserve">A person who holds an asbestos removal licence must ensure that asbestos removal work authorised by the licence is </w:t>
      </w:r>
      <w:r>
        <w:lastRenderedPageBreak/>
        <w:t>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791" w:name="_Toc200720295"/>
      <w:r>
        <w:rPr>
          <w:rStyle w:val="CharPartNo"/>
        </w:rPr>
        <w:lastRenderedPageBreak/>
        <w:t>Chapter 9</w:t>
      </w:r>
      <w:r>
        <w:rPr>
          <w:rStyle w:val="CharDivNo"/>
        </w:rPr>
        <w:t> </w:t>
      </w:r>
      <w:r>
        <w:t>—</w:t>
      </w:r>
      <w:r>
        <w:rPr>
          <w:rStyle w:val="CharDivText"/>
        </w:rPr>
        <w:t> </w:t>
      </w:r>
      <w:r>
        <w:rPr>
          <w:rStyle w:val="CharPartText"/>
        </w:rPr>
        <w:t>Not used</w:t>
      </w:r>
      <w:bookmarkEnd w:id="791"/>
      <w:r>
        <w:t xml:space="preserve"> </w:t>
      </w:r>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792" w:name="_Toc200720296"/>
      <w:r>
        <w:rPr>
          <w:rStyle w:val="CharSectno"/>
        </w:rPr>
        <w:t>530</w:t>
      </w:r>
      <w:r>
        <w:t>.</w:t>
      </w:r>
      <w:r>
        <w:tab/>
        <w:t>Not used</w:t>
      </w:r>
      <w:bookmarkEnd w:id="792"/>
    </w:p>
    <w:p>
      <w:pPr>
        <w:pStyle w:val="Heading5"/>
        <w:keepNext w:val="0"/>
        <w:keepLines w:val="0"/>
      </w:pPr>
      <w:bookmarkStart w:id="793" w:name="_Toc200720297"/>
      <w:r>
        <w:rPr>
          <w:rStyle w:val="CharSectno"/>
        </w:rPr>
        <w:t>531</w:t>
      </w:r>
      <w:r>
        <w:t>.</w:t>
      </w:r>
      <w:r>
        <w:tab/>
        <w:t>Not used</w:t>
      </w:r>
      <w:bookmarkEnd w:id="793"/>
    </w:p>
    <w:p>
      <w:pPr>
        <w:pStyle w:val="Heading5"/>
        <w:keepNext w:val="0"/>
        <w:keepLines w:val="0"/>
      </w:pPr>
      <w:bookmarkStart w:id="794" w:name="_Toc200720298"/>
      <w:r>
        <w:rPr>
          <w:rStyle w:val="CharSectno"/>
        </w:rPr>
        <w:t>532</w:t>
      </w:r>
      <w:r>
        <w:t>.</w:t>
      </w:r>
      <w:r>
        <w:tab/>
        <w:t>Not used</w:t>
      </w:r>
      <w:bookmarkEnd w:id="794"/>
    </w:p>
    <w:p>
      <w:pPr>
        <w:pStyle w:val="Heading5"/>
        <w:keepNext w:val="0"/>
        <w:keepLines w:val="0"/>
      </w:pPr>
      <w:bookmarkStart w:id="795" w:name="_Toc200720299"/>
      <w:r>
        <w:rPr>
          <w:rStyle w:val="CharSectno"/>
        </w:rPr>
        <w:t>533</w:t>
      </w:r>
      <w:r>
        <w:t>.</w:t>
      </w:r>
      <w:r>
        <w:tab/>
        <w:t>Not used</w:t>
      </w:r>
      <w:bookmarkEnd w:id="795"/>
    </w:p>
    <w:p>
      <w:pPr>
        <w:pStyle w:val="Heading5"/>
        <w:keepNext w:val="0"/>
        <w:keepLines w:val="0"/>
      </w:pPr>
      <w:bookmarkStart w:id="796" w:name="_Toc200720300"/>
      <w:r>
        <w:rPr>
          <w:rStyle w:val="CharSectno"/>
        </w:rPr>
        <w:t>534</w:t>
      </w:r>
      <w:r>
        <w:t>.</w:t>
      </w:r>
      <w:r>
        <w:tab/>
        <w:t>Not used</w:t>
      </w:r>
      <w:bookmarkEnd w:id="796"/>
    </w:p>
    <w:p>
      <w:pPr>
        <w:pStyle w:val="Heading5"/>
        <w:keepNext w:val="0"/>
        <w:keepLines w:val="0"/>
      </w:pPr>
      <w:bookmarkStart w:id="797" w:name="_Toc200720301"/>
      <w:r>
        <w:rPr>
          <w:rStyle w:val="CharSectno"/>
        </w:rPr>
        <w:t>535</w:t>
      </w:r>
      <w:r>
        <w:t>.</w:t>
      </w:r>
      <w:r>
        <w:tab/>
        <w:t>Not used</w:t>
      </w:r>
      <w:bookmarkEnd w:id="797"/>
    </w:p>
    <w:p>
      <w:pPr>
        <w:pStyle w:val="Heading5"/>
        <w:keepNext w:val="0"/>
        <w:keepLines w:val="0"/>
      </w:pPr>
      <w:bookmarkStart w:id="798" w:name="_Toc200720302"/>
      <w:r>
        <w:rPr>
          <w:rStyle w:val="CharSectno"/>
        </w:rPr>
        <w:t>536</w:t>
      </w:r>
      <w:r>
        <w:t>.</w:t>
      </w:r>
      <w:r>
        <w:tab/>
        <w:t>Not used</w:t>
      </w:r>
      <w:bookmarkEnd w:id="798"/>
    </w:p>
    <w:p>
      <w:pPr>
        <w:pStyle w:val="Heading5"/>
        <w:keepNext w:val="0"/>
        <w:keepLines w:val="0"/>
      </w:pPr>
      <w:bookmarkStart w:id="799" w:name="_Toc200720303"/>
      <w:r>
        <w:rPr>
          <w:rStyle w:val="CharSectno"/>
        </w:rPr>
        <w:t>537</w:t>
      </w:r>
      <w:r>
        <w:t>.</w:t>
      </w:r>
      <w:r>
        <w:tab/>
        <w:t>Not used</w:t>
      </w:r>
      <w:bookmarkEnd w:id="799"/>
    </w:p>
    <w:p>
      <w:pPr>
        <w:pStyle w:val="Heading5"/>
        <w:keepNext w:val="0"/>
        <w:keepLines w:val="0"/>
      </w:pPr>
      <w:bookmarkStart w:id="800" w:name="_Toc200720304"/>
      <w:r>
        <w:rPr>
          <w:rStyle w:val="CharSectno"/>
        </w:rPr>
        <w:t>538</w:t>
      </w:r>
      <w:r>
        <w:t>.</w:t>
      </w:r>
      <w:r>
        <w:tab/>
        <w:t>Not used</w:t>
      </w:r>
      <w:bookmarkEnd w:id="800"/>
    </w:p>
    <w:p>
      <w:pPr>
        <w:pStyle w:val="Heading5"/>
        <w:keepNext w:val="0"/>
        <w:keepLines w:val="0"/>
      </w:pPr>
      <w:bookmarkStart w:id="801" w:name="_Toc200720305"/>
      <w:r>
        <w:rPr>
          <w:rStyle w:val="CharSectno"/>
        </w:rPr>
        <w:t>539</w:t>
      </w:r>
      <w:r>
        <w:t>.</w:t>
      </w:r>
      <w:r>
        <w:tab/>
        <w:t>Not used</w:t>
      </w:r>
      <w:bookmarkEnd w:id="801"/>
    </w:p>
    <w:p>
      <w:pPr>
        <w:pStyle w:val="Heading5"/>
        <w:keepNext w:val="0"/>
        <w:keepLines w:val="0"/>
      </w:pPr>
      <w:bookmarkStart w:id="802" w:name="_Toc200720306"/>
      <w:r>
        <w:rPr>
          <w:rStyle w:val="CharSectno"/>
        </w:rPr>
        <w:t>540</w:t>
      </w:r>
      <w:r>
        <w:t>.</w:t>
      </w:r>
      <w:r>
        <w:tab/>
        <w:t>Not used</w:t>
      </w:r>
      <w:bookmarkEnd w:id="802"/>
    </w:p>
    <w:p>
      <w:pPr>
        <w:pStyle w:val="Heading5"/>
        <w:keepNext w:val="0"/>
        <w:keepLines w:val="0"/>
      </w:pPr>
      <w:bookmarkStart w:id="803" w:name="_Toc200720307"/>
      <w:r>
        <w:rPr>
          <w:rStyle w:val="CharSectno"/>
        </w:rPr>
        <w:t>541</w:t>
      </w:r>
      <w:r>
        <w:t>.</w:t>
      </w:r>
      <w:r>
        <w:tab/>
        <w:t>Not used</w:t>
      </w:r>
      <w:bookmarkEnd w:id="803"/>
    </w:p>
    <w:p>
      <w:pPr>
        <w:pStyle w:val="Heading5"/>
        <w:keepNext w:val="0"/>
        <w:keepLines w:val="0"/>
      </w:pPr>
      <w:bookmarkStart w:id="804" w:name="_Toc200720308"/>
      <w:r>
        <w:rPr>
          <w:rStyle w:val="CharSectno"/>
        </w:rPr>
        <w:t>542</w:t>
      </w:r>
      <w:r>
        <w:t>.</w:t>
      </w:r>
      <w:r>
        <w:tab/>
        <w:t>Not used</w:t>
      </w:r>
      <w:bookmarkEnd w:id="804"/>
    </w:p>
    <w:p>
      <w:pPr>
        <w:pStyle w:val="Heading5"/>
        <w:keepNext w:val="0"/>
        <w:keepLines w:val="0"/>
      </w:pPr>
      <w:bookmarkStart w:id="805" w:name="_Toc200720309"/>
      <w:r>
        <w:rPr>
          <w:rStyle w:val="CharSectno"/>
        </w:rPr>
        <w:t>543</w:t>
      </w:r>
      <w:r>
        <w:t>.</w:t>
      </w:r>
      <w:r>
        <w:tab/>
        <w:t>Not used</w:t>
      </w:r>
      <w:bookmarkEnd w:id="805"/>
    </w:p>
    <w:p>
      <w:pPr>
        <w:pStyle w:val="Heading5"/>
        <w:keepNext w:val="0"/>
        <w:keepLines w:val="0"/>
      </w:pPr>
      <w:bookmarkStart w:id="806" w:name="_Toc200720310"/>
      <w:r>
        <w:rPr>
          <w:rStyle w:val="CharSectno"/>
        </w:rPr>
        <w:t>544</w:t>
      </w:r>
      <w:r>
        <w:t>.</w:t>
      </w:r>
      <w:r>
        <w:tab/>
        <w:t>Not used</w:t>
      </w:r>
      <w:bookmarkEnd w:id="806"/>
    </w:p>
    <w:p>
      <w:pPr>
        <w:pStyle w:val="Heading5"/>
        <w:keepNext w:val="0"/>
        <w:keepLines w:val="0"/>
      </w:pPr>
      <w:bookmarkStart w:id="807" w:name="_Toc200720311"/>
      <w:r>
        <w:rPr>
          <w:rStyle w:val="CharSectno"/>
        </w:rPr>
        <w:t>545</w:t>
      </w:r>
      <w:r>
        <w:t>.</w:t>
      </w:r>
      <w:r>
        <w:tab/>
        <w:t>Not used</w:t>
      </w:r>
      <w:bookmarkEnd w:id="807"/>
    </w:p>
    <w:p>
      <w:pPr>
        <w:pStyle w:val="Heading5"/>
        <w:keepNext w:val="0"/>
        <w:keepLines w:val="0"/>
      </w:pPr>
      <w:bookmarkStart w:id="808" w:name="_Toc200720312"/>
      <w:r>
        <w:rPr>
          <w:rStyle w:val="CharSectno"/>
        </w:rPr>
        <w:t>546</w:t>
      </w:r>
      <w:r>
        <w:t>.</w:t>
      </w:r>
      <w:r>
        <w:tab/>
        <w:t>Not used</w:t>
      </w:r>
      <w:bookmarkEnd w:id="808"/>
    </w:p>
    <w:p>
      <w:pPr>
        <w:pStyle w:val="Heading5"/>
        <w:keepNext w:val="0"/>
        <w:keepLines w:val="0"/>
      </w:pPr>
      <w:bookmarkStart w:id="809" w:name="_Toc200720313"/>
      <w:r>
        <w:rPr>
          <w:rStyle w:val="CharSectno"/>
        </w:rPr>
        <w:lastRenderedPageBreak/>
        <w:t>547</w:t>
      </w:r>
      <w:r>
        <w:t>.</w:t>
      </w:r>
      <w:r>
        <w:tab/>
        <w:t>Not used</w:t>
      </w:r>
      <w:bookmarkEnd w:id="809"/>
    </w:p>
    <w:p>
      <w:pPr>
        <w:pStyle w:val="Heading5"/>
        <w:keepNext w:val="0"/>
        <w:keepLines w:val="0"/>
      </w:pPr>
      <w:bookmarkStart w:id="810" w:name="_Toc200720314"/>
      <w:r>
        <w:rPr>
          <w:rStyle w:val="CharSectno"/>
        </w:rPr>
        <w:t>548</w:t>
      </w:r>
      <w:r>
        <w:t>.</w:t>
      </w:r>
      <w:r>
        <w:tab/>
        <w:t>Not used</w:t>
      </w:r>
      <w:bookmarkEnd w:id="810"/>
    </w:p>
    <w:p>
      <w:pPr>
        <w:pStyle w:val="Heading5"/>
        <w:keepNext w:val="0"/>
        <w:keepLines w:val="0"/>
      </w:pPr>
      <w:bookmarkStart w:id="811" w:name="_Toc200720315"/>
      <w:r>
        <w:rPr>
          <w:rStyle w:val="CharSectno"/>
        </w:rPr>
        <w:t>549</w:t>
      </w:r>
      <w:r>
        <w:t>.</w:t>
      </w:r>
      <w:r>
        <w:tab/>
        <w:t>Not used</w:t>
      </w:r>
      <w:bookmarkEnd w:id="811"/>
    </w:p>
    <w:p>
      <w:pPr>
        <w:pStyle w:val="Heading5"/>
        <w:keepNext w:val="0"/>
        <w:keepLines w:val="0"/>
      </w:pPr>
      <w:bookmarkStart w:id="812" w:name="_Toc200720316"/>
      <w:r>
        <w:rPr>
          <w:rStyle w:val="CharSectno"/>
        </w:rPr>
        <w:t>550</w:t>
      </w:r>
      <w:r>
        <w:t>.</w:t>
      </w:r>
      <w:r>
        <w:tab/>
        <w:t>Not used</w:t>
      </w:r>
      <w:bookmarkEnd w:id="812"/>
    </w:p>
    <w:p>
      <w:pPr>
        <w:pStyle w:val="Heading5"/>
        <w:keepNext w:val="0"/>
        <w:keepLines w:val="0"/>
      </w:pPr>
      <w:bookmarkStart w:id="813" w:name="_Toc200720317"/>
      <w:r>
        <w:rPr>
          <w:rStyle w:val="CharSectno"/>
        </w:rPr>
        <w:t>551</w:t>
      </w:r>
      <w:r>
        <w:t>.</w:t>
      </w:r>
      <w:r>
        <w:tab/>
        <w:t>Not used</w:t>
      </w:r>
      <w:bookmarkEnd w:id="813"/>
    </w:p>
    <w:p>
      <w:pPr>
        <w:pStyle w:val="Heading5"/>
        <w:keepNext w:val="0"/>
        <w:keepLines w:val="0"/>
      </w:pPr>
      <w:bookmarkStart w:id="814" w:name="_Toc200720318"/>
      <w:r>
        <w:rPr>
          <w:rStyle w:val="CharSectno"/>
        </w:rPr>
        <w:t>552</w:t>
      </w:r>
      <w:r>
        <w:t>.</w:t>
      </w:r>
      <w:r>
        <w:tab/>
        <w:t>Not used</w:t>
      </w:r>
      <w:bookmarkEnd w:id="814"/>
    </w:p>
    <w:p>
      <w:pPr>
        <w:pStyle w:val="Heading5"/>
        <w:keepNext w:val="0"/>
        <w:keepLines w:val="0"/>
      </w:pPr>
      <w:bookmarkStart w:id="815" w:name="_Toc200720319"/>
      <w:r>
        <w:rPr>
          <w:rStyle w:val="CharSectno"/>
        </w:rPr>
        <w:t>553</w:t>
      </w:r>
      <w:r>
        <w:t>.</w:t>
      </w:r>
      <w:r>
        <w:tab/>
        <w:t>Not used</w:t>
      </w:r>
      <w:bookmarkEnd w:id="815"/>
    </w:p>
    <w:p>
      <w:pPr>
        <w:pStyle w:val="Heading5"/>
        <w:keepNext w:val="0"/>
        <w:keepLines w:val="0"/>
      </w:pPr>
      <w:bookmarkStart w:id="816" w:name="_Toc200720320"/>
      <w:r>
        <w:rPr>
          <w:rStyle w:val="CharSectno"/>
        </w:rPr>
        <w:t>554</w:t>
      </w:r>
      <w:r>
        <w:t>.</w:t>
      </w:r>
      <w:r>
        <w:tab/>
        <w:t>Not used</w:t>
      </w:r>
      <w:bookmarkEnd w:id="816"/>
    </w:p>
    <w:p>
      <w:pPr>
        <w:pStyle w:val="Heading5"/>
        <w:keepNext w:val="0"/>
        <w:keepLines w:val="0"/>
      </w:pPr>
      <w:bookmarkStart w:id="817" w:name="_Toc200720321"/>
      <w:r>
        <w:rPr>
          <w:rStyle w:val="CharSectno"/>
        </w:rPr>
        <w:t>555</w:t>
      </w:r>
      <w:r>
        <w:t>.</w:t>
      </w:r>
      <w:r>
        <w:tab/>
        <w:t>Not used</w:t>
      </w:r>
      <w:bookmarkEnd w:id="817"/>
    </w:p>
    <w:p>
      <w:pPr>
        <w:pStyle w:val="Heading5"/>
        <w:keepNext w:val="0"/>
        <w:keepLines w:val="0"/>
      </w:pPr>
      <w:bookmarkStart w:id="818" w:name="_Toc200720322"/>
      <w:r>
        <w:rPr>
          <w:rStyle w:val="CharSectno"/>
        </w:rPr>
        <w:t>556</w:t>
      </w:r>
      <w:r>
        <w:t>.</w:t>
      </w:r>
      <w:r>
        <w:tab/>
        <w:t>Not used</w:t>
      </w:r>
      <w:bookmarkEnd w:id="818"/>
    </w:p>
    <w:p>
      <w:pPr>
        <w:pStyle w:val="Heading5"/>
        <w:keepNext w:val="0"/>
        <w:keepLines w:val="0"/>
      </w:pPr>
      <w:bookmarkStart w:id="819" w:name="_Toc200720323"/>
      <w:r>
        <w:rPr>
          <w:rStyle w:val="CharSectno"/>
        </w:rPr>
        <w:t>557</w:t>
      </w:r>
      <w:r>
        <w:t>.</w:t>
      </w:r>
      <w:r>
        <w:tab/>
        <w:t>Not used</w:t>
      </w:r>
      <w:bookmarkEnd w:id="819"/>
    </w:p>
    <w:p>
      <w:pPr>
        <w:pStyle w:val="Heading5"/>
        <w:keepNext w:val="0"/>
        <w:keepLines w:val="0"/>
      </w:pPr>
      <w:bookmarkStart w:id="820" w:name="_Toc200720324"/>
      <w:r>
        <w:rPr>
          <w:rStyle w:val="CharSectno"/>
        </w:rPr>
        <w:t>558</w:t>
      </w:r>
      <w:r>
        <w:t>.</w:t>
      </w:r>
      <w:r>
        <w:tab/>
        <w:t>Not used</w:t>
      </w:r>
      <w:bookmarkEnd w:id="820"/>
    </w:p>
    <w:p>
      <w:pPr>
        <w:pStyle w:val="Heading5"/>
        <w:keepNext w:val="0"/>
        <w:keepLines w:val="0"/>
      </w:pPr>
      <w:bookmarkStart w:id="821" w:name="_Toc200720325"/>
      <w:r>
        <w:rPr>
          <w:rStyle w:val="CharSectno"/>
        </w:rPr>
        <w:t>559</w:t>
      </w:r>
      <w:r>
        <w:t>.</w:t>
      </w:r>
      <w:r>
        <w:tab/>
        <w:t>Not used</w:t>
      </w:r>
      <w:bookmarkEnd w:id="821"/>
    </w:p>
    <w:p>
      <w:pPr>
        <w:pStyle w:val="Heading5"/>
        <w:keepNext w:val="0"/>
        <w:keepLines w:val="0"/>
      </w:pPr>
      <w:bookmarkStart w:id="822" w:name="_Toc200720326"/>
      <w:r>
        <w:rPr>
          <w:rStyle w:val="CharSectno"/>
        </w:rPr>
        <w:t>560</w:t>
      </w:r>
      <w:r>
        <w:t>.</w:t>
      </w:r>
      <w:r>
        <w:tab/>
        <w:t>Not used</w:t>
      </w:r>
      <w:bookmarkEnd w:id="822"/>
    </w:p>
    <w:p>
      <w:pPr>
        <w:pStyle w:val="Heading5"/>
        <w:keepNext w:val="0"/>
        <w:keepLines w:val="0"/>
      </w:pPr>
      <w:bookmarkStart w:id="823" w:name="_Toc200720327"/>
      <w:r>
        <w:rPr>
          <w:rStyle w:val="CharSectno"/>
        </w:rPr>
        <w:t>561</w:t>
      </w:r>
      <w:r>
        <w:t>.</w:t>
      </w:r>
      <w:r>
        <w:tab/>
        <w:t>Not used</w:t>
      </w:r>
      <w:bookmarkEnd w:id="823"/>
    </w:p>
    <w:p>
      <w:pPr>
        <w:pStyle w:val="Heading5"/>
        <w:keepNext w:val="0"/>
        <w:keepLines w:val="0"/>
      </w:pPr>
      <w:bookmarkStart w:id="824" w:name="_Toc200720328"/>
      <w:r>
        <w:rPr>
          <w:rStyle w:val="CharSectno"/>
        </w:rPr>
        <w:t>562</w:t>
      </w:r>
      <w:r>
        <w:t>.</w:t>
      </w:r>
      <w:r>
        <w:tab/>
        <w:t>Not used</w:t>
      </w:r>
      <w:bookmarkEnd w:id="824"/>
    </w:p>
    <w:p>
      <w:pPr>
        <w:pStyle w:val="Heading5"/>
        <w:keepNext w:val="0"/>
        <w:keepLines w:val="0"/>
      </w:pPr>
      <w:bookmarkStart w:id="825" w:name="_Toc200720329"/>
      <w:r>
        <w:rPr>
          <w:rStyle w:val="CharSectno"/>
        </w:rPr>
        <w:t>563</w:t>
      </w:r>
      <w:r>
        <w:t>.</w:t>
      </w:r>
      <w:r>
        <w:tab/>
        <w:t>Not used</w:t>
      </w:r>
      <w:bookmarkEnd w:id="825"/>
    </w:p>
    <w:p>
      <w:pPr>
        <w:pStyle w:val="Heading5"/>
        <w:keepNext w:val="0"/>
        <w:keepLines w:val="0"/>
      </w:pPr>
      <w:bookmarkStart w:id="826" w:name="_Toc200720330"/>
      <w:r>
        <w:rPr>
          <w:rStyle w:val="CharSectno"/>
        </w:rPr>
        <w:t>564</w:t>
      </w:r>
      <w:r>
        <w:t>.</w:t>
      </w:r>
      <w:r>
        <w:tab/>
        <w:t>Not used</w:t>
      </w:r>
      <w:bookmarkEnd w:id="826"/>
    </w:p>
    <w:p>
      <w:pPr>
        <w:pStyle w:val="Heading5"/>
        <w:keepNext w:val="0"/>
        <w:keepLines w:val="0"/>
      </w:pPr>
      <w:bookmarkStart w:id="827" w:name="_Toc200720331"/>
      <w:r>
        <w:rPr>
          <w:rStyle w:val="CharSectno"/>
        </w:rPr>
        <w:t>565</w:t>
      </w:r>
      <w:r>
        <w:t>.</w:t>
      </w:r>
      <w:r>
        <w:tab/>
        <w:t>Not used</w:t>
      </w:r>
      <w:bookmarkEnd w:id="827"/>
    </w:p>
    <w:p>
      <w:pPr>
        <w:pStyle w:val="Heading5"/>
        <w:keepNext w:val="0"/>
        <w:keepLines w:val="0"/>
      </w:pPr>
      <w:bookmarkStart w:id="828" w:name="_Toc200720332"/>
      <w:r>
        <w:rPr>
          <w:rStyle w:val="CharSectno"/>
        </w:rPr>
        <w:t>566</w:t>
      </w:r>
      <w:r>
        <w:t>.</w:t>
      </w:r>
      <w:r>
        <w:tab/>
        <w:t>Not used</w:t>
      </w:r>
      <w:bookmarkEnd w:id="828"/>
    </w:p>
    <w:p>
      <w:pPr>
        <w:pStyle w:val="Heading5"/>
        <w:keepNext w:val="0"/>
        <w:keepLines w:val="0"/>
      </w:pPr>
      <w:bookmarkStart w:id="829" w:name="_Toc200720333"/>
      <w:r>
        <w:rPr>
          <w:rStyle w:val="CharSectno"/>
        </w:rPr>
        <w:t>567</w:t>
      </w:r>
      <w:r>
        <w:t>.</w:t>
      </w:r>
      <w:r>
        <w:tab/>
        <w:t>Not used</w:t>
      </w:r>
      <w:bookmarkEnd w:id="829"/>
    </w:p>
    <w:p>
      <w:pPr>
        <w:pStyle w:val="Heading5"/>
        <w:keepNext w:val="0"/>
        <w:keepLines w:val="0"/>
      </w:pPr>
      <w:bookmarkStart w:id="830" w:name="_Toc200720334"/>
      <w:r>
        <w:rPr>
          <w:rStyle w:val="CharSectno"/>
        </w:rPr>
        <w:lastRenderedPageBreak/>
        <w:t>568</w:t>
      </w:r>
      <w:r>
        <w:t>.</w:t>
      </w:r>
      <w:r>
        <w:tab/>
        <w:t>Not used</w:t>
      </w:r>
      <w:bookmarkEnd w:id="830"/>
    </w:p>
    <w:p>
      <w:pPr>
        <w:pStyle w:val="Heading5"/>
        <w:keepNext w:val="0"/>
        <w:keepLines w:val="0"/>
      </w:pPr>
      <w:bookmarkStart w:id="831" w:name="_Toc200720335"/>
      <w:r>
        <w:rPr>
          <w:rStyle w:val="CharSectno"/>
        </w:rPr>
        <w:t>569</w:t>
      </w:r>
      <w:r>
        <w:t>.</w:t>
      </w:r>
      <w:r>
        <w:tab/>
        <w:t>Not used</w:t>
      </w:r>
      <w:bookmarkEnd w:id="831"/>
    </w:p>
    <w:p>
      <w:pPr>
        <w:pStyle w:val="Heading5"/>
        <w:keepNext w:val="0"/>
        <w:keepLines w:val="0"/>
      </w:pPr>
      <w:bookmarkStart w:id="832" w:name="_Toc200720336"/>
      <w:r>
        <w:rPr>
          <w:rStyle w:val="CharSectno"/>
        </w:rPr>
        <w:t>570</w:t>
      </w:r>
      <w:r>
        <w:t>.</w:t>
      </w:r>
      <w:r>
        <w:tab/>
        <w:t>Not used</w:t>
      </w:r>
      <w:bookmarkEnd w:id="832"/>
    </w:p>
    <w:p>
      <w:pPr>
        <w:pStyle w:val="Heading5"/>
        <w:keepNext w:val="0"/>
        <w:keepLines w:val="0"/>
      </w:pPr>
      <w:bookmarkStart w:id="833" w:name="_Toc200720337"/>
      <w:r>
        <w:rPr>
          <w:rStyle w:val="CharSectno"/>
        </w:rPr>
        <w:t>571</w:t>
      </w:r>
      <w:r>
        <w:t>.</w:t>
      </w:r>
      <w:r>
        <w:tab/>
        <w:t>Not used</w:t>
      </w:r>
      <w:bookmarkEnd w:id="833"/>
    </w:p>
    <w:p>
      <w:pPr>
        <w:pStyle w:val="Heading5"/>
        <w:keepNext w:val="0"/>
        <w:keepLines w:val="0"/>
      </w:pPr>
      <w:bookmarkStart w:id="834" w:name="_Toc200720338"/>
      <w:r>
        <w:rPr>
          <w:rStyle w:val="CharSectno"/>
        </w:rPr>
        <w:t>572</w:t>
      </w:r>
      <w:r>
        <w:t>.</w:t>
      </w:r>
      <w:r>
        <w:tab/>
        <w:t>Not used</w:t>
      </w:r>
      <w:bookmarkEnd w:id="834"/>
    </w:p>
    <w:p>
      <w:pPr>
        <w:pStyle w:val="Heading5"/>
        <w:keepNext w:val="0"/>
        <w:keepLines w:val="0"/>
      </w:pPr>
      <w:bookmarkStart w:id="835" w:name="_Toc200720339"/>
      <w:r>
        <w:rPr>
          <w:rStyle w:val="CharSectno"/>
        </w:rPr>
        <w:t>573</w:t>
      </w:r>
      <w:r>
        <w:t>.</w:t>
      </w:r>
      <w:r>
        <w:tab/>
        <w:t>Not used</w:t>
      </w:r>
      <w:bookmarkEnd w:id="835"/>
    </w:p>
    <w:p>
      <w:pPr>
        <w:pStyle w:val="Heading5"/>
        <w:keepNext w:val="0"/>
        <w:keepLines w:val="0"/>
      </w:pPr>
      <w:bookmarkStart w:id="836" w:name="_Toc200720340"/>
      <w:r>
        <w:rPr>
          <w:rStyle w:val="CharSectno"/>
        </w:rPr>
        <w:t>574</w:t>
      </w:r>
      <w:r>
        <w:t>.</w:t>
      </w:r>
      <w:r>
        <w:tab/>
        <w:t>Not used</w:t>
      </w:r>
      <w:bookmarkEnd w:id="836"/>
    </w:p>
    <w:p>
      <w:pPr>
        <w:pStyle w:val="Heading5"/>
        <w:keepNext w:val="0"/>
        <w:keepLines w:val="0"/>
      </w:pPr>
      <w:bookmarkStart w:id="837" w:name="_Toc200720341"/>
      <w:r>
        <w:rPr>
          <w:rStyle w:val="CharSectno"/>
        </w:rPr>
        <w:t>575</w:t>
      </w:r>
      <w:r>
        <w:t>.</w:t>
      </w:r>
      <w:r>
        <w:tab/>
        <w:t>Not used</w:t>
      </w:r>
      <w:bookmarkEnd w:id="837"/>
    </w:p>
    <w:p>
      <w:pPr>
        <w:pStyle w:val="Heading5"/>
        <w:keepNext w:val="0"/>
        <w:keepLines w:val="0"/>
      </w:pPr>
      <w:bookmarkStart w:id="838" w:name="_Toc200720342"/>
      <w:r>
        <w:rPr>
          <w:rStyle w:val="CharSectno"/>
        </w:rPr>
        <w:t>576</w:t>
      </w:r>
      <w:r>
        <w:t>.</w:t>
      </w:r>
      <w:r>
        <w:tab/>
        <w:t>Not used</w:t>
      </w:r>
      <w:bookmarkEnd w:id="838"/>
    </w:p>
    <w:p>
      <w:pPr>
        <w:pStyle w:val="Heading5"/>
        <w:keepNext w:val="0"/>
        <w:keepLines w:val="0"/>
      </w:pPr>
      <w:bookmarkStart w:id="839" w:name="_Toc200720343"/>
      <w:r>
        <w:rPr>
          <w:rStyle w:val="CharSectno"/>
        </w:rPr>
        <w:t>577</w:t>
      </w:r>
      <w:r>
        <w:t>.</w:t>
      </w:r>
      <w:r>
        <w:tab/>
        <w:t>Not used</w:t>
      </w:r>
      <w:bookmarkEnd w:id="839"/>
    </w:p>
    <w:p>
      <w:pPr>
        <w:pStyle w:val="Heading5"/>
        <w:keepNext w:val="0"/>
        <w:keepLines w:val="0"/>
      </w:pPr>
      <w:bookmarkStart w:id="840" w:name="_Toc200720344"/>
      <w:r>
        <w:rPr>
          <w:rStyle w:val="CharSectno"/>
        </w:rPr>
        <w:t>578</w:t>
      </w:r>
      <w:r>
        <w:t>.</w:t>
      </w:r>
      <w:r>
        <w:tab/>
        <w:t>Not used</w:t>
      </w:r>
      <w:bookmarkEnd w:id="840"/>
    </w:p>
    <w:p>
      <w:pPr>
        <w:pStyle w:val="Heading5"/>
        <w:keepNext w:val="0"/>
        <w:keepLines w:val="0"/>
      </w:pPr>
      <w:bookmarkStart w:id="841" w:name="_Toc200720345"/>
      <w:r>
        <w:rPr>
          <w:rStyle w:val="CharSectno"/>
        </w:rPr>
        <w:t>579</w:t>
      </w:r>
      <w:r>
        <w:t>.</w:t>
      </w:r>
      <w:r>
        <w:tab/>
        <w:t>Not used</w:t>
      </w:r>
      <w:bookmarkEnd w:id="841"/>
    </w:p>
    <w:p>
      <w:pPr>
        <w:pStyle w:val="Heading5"/>
        <w:keepNext w:val="0"/>
        <w:keepLines w:val="0"/>
      </w:pPr>
      <w:bookmarkStart w:id="842" w:name="_Toc200720346"/>
      <w:r>
        <w:rPr>
          <w:rStyle w:val="CharSectno"/>
        </w:rPr>
        <w:t>580</w:t>
      </w:r>
      <w:r>
        <w:t>.</w:t>
      </w:r>
      <w:r>
        <w:tab/>
        <w:t>Not used</w:t>
      </w:r>
      <w:bookmarkEnd w:id="842"/>
    </w:p>
    <w:p>
      <w:pPr>
        <w:pStyle w:val="Heading5"/>
        <w:keepNext w:val="0"/>
        <w:keepLines w:val="0"/>
      </w:pPr>
      <w:bookmarkStart w:id="843" w:name="_Toc200720347"/>
      <w:r>
        <w:rPr>
          <w:rStyle w:val="CharSectno"/>
        </w:rPr>
        <w:t>581</w:t>
      </w:r>
      <w:r>
        <w:t>.</w:t>
      </w:r>
      <w:r>
        <w:tab/>
        <w:t>Not used</w:t>
      </w:r>
      <w:bookmarkEnd w:id="843"/>
    </w:p>
    <w:p>
      <w:pPr>
        <w:pStyle w:val="Heading5"/>
        <w:keepNext w:val="0"/>
        <w:keepLines w:val="0"/>
      </w:pPr>
      <w:bookmarkStart w:id="844" w:name="_Toc200720348"/>
      <w:r>
        <w:rPr>
          <w:rStyle w:val="CharSectno"/>
        </w:rPr>
        <w:t>582</w:t>
      </w:r>
      <w:r>
        <w:t>.</w:t>
      </w:r>
      <w:r>
        <w:tab/>
        <w:t>Not used</w:t>
      </w:r>
      <w:bookmarkEnd w:id="844"/>
    </w:p>
    <w:p>
      <w:pPr>
        <w:pStyle w:val="Heading5"/>
        <w:keepNext w:val="0"/>
        <w:keepLines w:val="0"/>
      </w:pPr>
      <w:bookmarkStart w:id="845" w:name="_Toc200720349"/>
      <w:r>
        <w:rPr>
          <w:rStyle w:val="CharSectno"/>
        </w:rPr>
        <w:t>583</w:t>
      </w:r>
      <w:r>
        <w:t>.</w:t>
      </w:r>
      <w:r>
        <w:tab/>
        <w:t>Not used</w:t>
      </w:r>
      <w:bookmarkEnd w:id="845"/>
    </w:p>
    <w:p>
      <w:pPr>
        <w:pStyle w:val="Heading5"/>
        <w:keepNext w:val="0"/>
        <w:keepLines w:val="0"/>
        <w:rPr>
          <w:b w:val="0"/>
        </w:rPr>
      </w:pPr>
      <w:bookmarkStart w:id="846" w:name="_Toc200720350"/>
      <w:r>
        <w:rPr>
          <w:rStyle w:val="CharSectno"/>
        </w:rPr>
        <w:t>584</w:t>
      </w:r>
      <w:r>
        <w:t>.</w:t>
      </w:r>
      <w:r>
        <w:tab/>
        <w:t>Not used</w:t>
      </w:r>
      <w:bookmarkEnd w:id="846"/>
    </w:p>
    <w:p>
      <w:pPr>
        <w:pStyle w:val="Heading5"/>
        <w:keepNext w:val="0"/>
        <w:keepLines w:val="0"/>
      </w:pPr>
      <w:bookmarkStart w:id="847" w:name="_Toc200720351"/>
      <w:r>
        <w:rPr>
          <w:rStyle w:val="CharSectno"/>
        </w:rPr>
        <w:t>585</w:t>
      </w:r>
      <w:r>
        <w:t>.</w:t>
      </w:r>
      <w:r>
        <w:tab/>
        <w:t>Not used</w:t>
      </w:r>
      <w:bookmarkEnd w:id="847"/>
    </w:p>
    <w:p>
      <w:pPr>
        <w:pStyle w:val="Heading5"/>
        <w:keepNext w:val="0"/>
        <w:keepLines w:val="0"/>
      </w:pPr>
      <w:bookmarkStart w:id="848" w:name="_Toc200720352"/>
      <w:r>
        <w:rPr>
          <w:rStyle w:val="CharSectno"/>
        </w:rPr>
        <w:t>586</w:t>
      </w:r>
      <w:r>
        <w:t>.</w:t>
      </w:r>
      <w:r>
        <w:tab/>
        <w:t>Not used</w:t>
      </w:r>
      <w:bookmarkEnd w:id="848"/>
    </w:p>
    <w:p>
      <w:pPr>
        <w:pStyle w:val="Heading5"/>
        <w:keepNext w:val="0"/>
        <w:keepLines w:val="0"/>
      </w:pPr>
      <w:bookmarkStart w:id="849" w:name="_Toc200720353"/>
      <w:r>
        <w:rPr>
          <w:rStyle w:val="CharSectno"/>
        </w:rPr>
        <w:t>587</w:t>
      </w:r>
      <w:r>
        <w:t>.</w:t>
      </w:r>
      <w:r>
        <w:tab/>
        <w:t>Not used</w:t>
      </w:r>
      <w:bookmarkEnd w:id="849"/>
    </w:p>
    <w:p>
      <w:pPr>
        <w:pStyle w:val="Heading5"/>
        <w:keepNext w:val="0"/>
        <w:keepLines w:val="0"/>
      </w:pPr>
      <w:bookmarkStart w:id="850" w:name="_Toc200720354"/>
      <w:r>
        <w:rPr>
          <w:rStyle w:val="CharSectno"/>
        </w:rPr>
        <w:t>588</w:t>
      </w:r>
      <w:r>
        <w:t>.</w:t>
      </w:r>
      <w:r>
        <w:tab/>
        <w:t>Not used</w:t>
      </w:r>
      <w:bookmarkEnd w:id="850"/>
    </w:p>
    <w:p>
      <w:pPr>
        <w:pStyle w:val="Heading5"/>
        <w:keepNext w:val="0"/>
        <w:keepLines w:val="0"/>
      </w:pPr>
      <w:bookmarkStart w:id="851" w:name="_Toc200720355"/>
      <w:r>
        <w:rPr>
          <w:rStyle w:val="CharSectno"/>
        </w:rPr>
        <w:lastRenderedPageBreak/>
        <w:t>589</w:t>
      </w:r>
      <w:r>
        <w:t>.</w:t>
      </w:r>
      <w:r>
        <w:tab/>
        <w:t>Not used</w:t>
      </w:r>
      <w:bookmarkEnd w:id="851"/>
    </w:p>
    <w:p>
      <w:pPr>
        <w:pStyle w:val="Heading5"/>
        <w:keepNext w:val="0"/>
        <w:keepLines w:val="0"/>
      </w:pPr>
      <w:bookmarkStart w:id="852" w:name="_Toc200720356"/>
      <w:r>
        <w:rPr>
          <w:rStyle w:val="CharSectno"/>
        </w:rPr>
        <w:t>590</w:t>
      </w:r>
      <w:r>
        <w:t>.</w:t>
      </w:r>
      <w:r>
        <w:tab/>
        <w:t>Not used</w:t>
      </w:r>
      <w:bookmarkEnd w:id="852"/>
    </w:p>
    <w:p>
      <w:pPr>
        <w:pStyle w:val="Heading5"/>
        <w:keepNext w:val="0"/>
        <w:keepLines w:val="0"/>
      </w:pPr>
      <w:bookmarkStart w:id="853" w:name="_Toc200720357"/>
      <w:r>
        <w:rPr>
          <w:rStyle w:val="CharSectno"/>
        </w:rPr>
        <w:t>591</w:t>
      </w:r>
      <w:r>
        <w:t>.</w:t>
      </w:r>
      <w:r>
        <w:tab/>
        <w:t>Not used</w:t>
      </w:r>
      <w:bookmarkEnd w:id="853"/>
    </w:p>
    <w:p>
      <w:pPr>
        <w:pStyle w:val="Heading5"/>
        <w:keepNext w:val="0"/>
        <w:keepLines w:val="0"/>
      </w:pPr>
      <w:bookmarkStart w:id="854" w:name="_Toc200720358"/>
      <w:r>
        <w:rPr>
          <w:rStyle w:val="CharSectno"/>
        </w:rPr>
        <w:t>592</w:t>
      </w:r>
      <w:r>
        <w:t>.</w:t>
      </w:r>
      <w:r>
        <w:tab/>
        <w:t>Not used</w:t>
      </w:r>
      <w:bookmarkEnd w:id="854"/>
    </w:p>
    <w:p>
      <w:pPr>
        <w:pStyle w:val="Heading5"/>
        <w:keepNext w:val="0"/>
        <w:keepLines w:val="0"/>
      </w:pPr>
      <w:bookmarkStart w:id="855" w:name="_Toc200720359"/>
      <w:r>
        <w:rPr>
          <w:rStyle w:val="CharSectno"/>
        </w:rPr>
        <w:t>593</w:t>
      </w:r>
      <w:r>
        <w:t>.</w:t>
      </w:r>
      <w:r>
        <w:tab/>
        <w:t>Not used</w:t>
      </w:r>
      <w:bookmarkEnd w:id="855"/>
    </w:p>
    <w:p>
      <w:pPr>
        <w:pStyle w:val="Heading5"/>
        <w:keepNext w:val="0"/>
        <w:keepLines w:val="0"/>
      </w:pPr>
      <w:bookmarkStart w:id="856" w:name="_Toc200720360"/>
      <w:r>
        <w:rPr>
          <w:rStyle w:val="CharSectno"/>
        </w:rPr>
        <w:t>594</w:t>
      </w:r>
      <w:r>
        <w:t>.</w:t>
      </w:r>
      <w:r>
        <w:tab/>
        <w:t>Not used</w:t>
      </w:r>
      <w:bookmarkEnd w:id="856"/>
    </w:p>
    <w:p>
      <w:pPr>
        <w:pStyle w:val="Heading5"/>
        <w:keepNext w:val="0"/>
        <w:keepLines w:val="0"/>
      </w:pPr>
      <w:bookmarkStart w:id="857" w:name="_Toc200720361"/>
      <w:r>
        <w:rPr>
          <w:rStyle w:val="CharSectno"/>
        </w:rPr>
        <w:t>595</w:t>
      </w:r>
      <w:r>
        <w:t>.</w:t>
      </w:r>
      <w:r>
        <w:tab/>
        <w:t>Not used</w:t>
      </w:r>
      <w:bookmarkEnd w:id="857"/>
    </w:p>
    <w:p>
      <w:pPr>
        <w:pStyle w:val="Heading5"/>
        <w:keepNext w:val="0"/>
        <w:keepLines w:val="0"/>
      </w:pPr>
      <w:bookmarkStart w:id="858" w:name="_Toc200720362"/>
      <w:r>
        <w:rPr>
          <w:rStyle w:val="CharSectno"/>
        </w:rPr>
        <w:t>596</w:t>
      </w:r>
      <w:r>
        <w:t>.</w:t>
      </w:r>
      <w:r>
        <w:tab/>
        <w:t>Not used</w:t>
      </w:r>
      <w:bookmarkEnd w:id="858"/>
    </w:p>
    <w:p>
      <w:pPr>
        <w:pStyle w:val="Heading5"/>
        <w:keepNext w:val="0"/>
        <w:keepLines w:val="0"/>
      </w:pPr>
      <w:bookmarkStart w:id="859" w:name="_Toc200720363"/>
      <w:r>
        <w:rPr>
          <w:rStyle w:val="CharSectno"/>
        </w:rPr>
        <w:t>597</w:t>
      </w:r>
      <w:r>
        <w:t>.</w:t>
      </w:r>
      <w:r>
        <w:tab/>
        <w:t>Not used</w:t>
      </w:r>
      <w:bookmarkEnd w:id="859"/>
    </w:p>
    <w:p>
      <w:pPr>
        <w:pStyle w:val="Heading5"/>
        <w:keepNext w:val="0"/>
        <w:keepLines w:val="0"/>
      </w:pPr>
      <w:bookmarkStart w:id="860" w:name="_Toc200720364"/>
      <w:r>
        <w:rPr>
          <w:rStyle w:val="CharSectno"/>
        </w:rPr>
        <w:t>598</w:t>
      </w:r>
      <w:r>
        <w:t>.</w:t>
      </w:r>
      <w:r>
        <w:tab/>
        <w:t>Not used</w:t>
      </w:r>
      <w:bookmarkEnd w:id="860"/>
    </w:p>
    <w:p>
      <w:pPr>
        <w:pStyle w:val="Heading5"/>
        <w:keepNext w:val="0"/>
        <w:keepLines w:val="0"/>
      </w:pPr>
      <w:bookmarkStart w:id="861" w:name="_Toc200720365"/>
      <w:r>
        <w:rPr>
          <w:rStyle w:val="CharSectno"/>
        </w:rPr>
        <w:t>599</w:t>
      </w:r>
      <w:r>
        <w:t>.</w:t>
      </w:r>
      <w:r>
        <w:tab/>
        <w:t>Not used</w:t>
      </w:r>
      <w:bookmarkEnd w:id="861"/>
    </w:p>
    <w:p>
      <w:pPr>
        <w:pStyle w:val="Heading5"/>
        <w:keepNext w:val="0"/>
        <w:keepLines w:val="0"/>
      </w:pPr>
      <w:bookmarkStart w:id="862" w:name="_Toc200720366"/>
      <w:r>
        <w:rPr>
          <w:rStyle w:val="CharSectno"/>
        </w:rPr>
        <w:t>600</w:t>
      </w:r>
      <w:r>
        <w:t>.</w:t>
      </w:r>
      <w:r>
        <w:tab/>
        <w:t>Not used</w:t>
      </w:r>
      <w:bookmarkEnd w:id="862"/>
    </w:p>
    <w:p>
      <w:pPr>
        <w:pStyle w:val="Heading5"/>
        <w:keepNext w:val="0"/>
        <w:keepLines w:val="0"/>
      </w:pPr>
      <w:bookmarkStart w:id="863" w:name="_Toc200720367"/>
      <w:r>
        <w:rPr>
          <w:rStyle w:val="CharSectno"/>
        </w:rPr>
        <w:t>601</w:t>
      </w:r>
      <w:r>
        <w:t>.</w:t>
      </w:r>
      <w:r>
        <w:tab/>
        <w:t>Not used</w:t>
      </w:r>
      <w:bookmarkEnd w:id="863"/>
    </w:p>
    <w:p>
      <w:pPr>
        <w:pStyle w:val="Heading5"/>
        <w:keepNext w:val="0"/>
        <w:keepLines w:val="0"/>
      </w:pPr>
      <w:bookmarkStart w:id="864" w:name="_Toc200720368"/>
      <w:r>
        <w:rPr>
          <w:rStyle w:val="CharSectno"/>
        </w:rPr>
        <w:t>602</w:t>
      </w:r>
      <w:r>
        <w:t>.</w:t>
      </w:r>
      <w:r>
        <w:tab/>
        <w:t>Not used</w:t>
      </w:r>
      <w:bookmarkEnd w:id="864"/>
    </w:p>
    <w:p>
      <w:pPr>
        <w:pStyle w:val="Heading5"/>
        <w:keepNext w:val="0"/>
        <w:keepLines w:val="0"/>
      </w:pPr>
      <w:bookmarkStart w:id="865" w:name="_Toc200720369"/>
      <w:r>
        <w:rPr>
          <w:rStyle w:val="CharSectno"/>
        </w:rPr>
        <w:t>603</w:t>
      </w:r>
      <w:r>
        <w:t>.</w:t>
      </w:r>
      <w:r>
        <w:tab/>
        <w:t>Not used</w:t>
      </w:r>
      <w:bookmarkEnd w:id="865"/>
    </w:p>
    <w:p>
      <w:pPr>
        <w:pStyle w:val="Heading5"/>
        <w:keepNext w:val="0"/>
        <w:keepLines w:val="0"/>
      </w:pPr>
      <w:bookmarkStart w:id="866" w:name="_Toc200720370"/>
      <w:r>
        <w:rPr>
          <w:rStyle w:val="CharSectno"/>
        </w:rPr>
        <w:t>604</w:t>
      </w:r>
      <w:r>
        <w:t>.</w:t>
      </w:r>
      <w:r>
        <w:tab/>
        <w:t>Not used</w:t>
      </w:r>
      <w:bookmarkEnd w:id="866"/>
    </w:p>
    <w:p>
      <w:pPr>
        <w:pStyle w:val="Heading5"/>
        <w:keepNext w:val="0"/>
        <w:keepLines w:val="0"/>
      </w:pPr>
      <w:bookmarkStart w:id="867" w:name="_Toc200720371"/>
      <w:r>
        <w:rPr>
          <w:rStyle w:val="CharSectno"/>
        </w:rPr>
        <w:t>605</w:t>
      </w:r>
      <w:r>
        <w:t>.</w:t>
      </w:r>
      <w:r>
        <w:tab/>
        <w:t>Not used</w:t>
      </w:r>
      <w:bookmarkEnd w:id="867"/>
    </w:p>
    <w:p>
      <w:pPr>
        <w:pStyle w:val="Heading5"/>
        <w:keepNext w:val="0"/>
        <w:keepLines w:val="0"/>
      </w:pPr>
      <w:bookmarkStart w:id="868" w:name="_Toc200720372"/>
      <w:r>
        <w:rPr>
          <w:rStyle w:val="CharSectno"/>
        </w:rPr>
        <w:t>606</w:t>
      </w:r>
      <w:r>
        <w:t>.</w:t>
      </w:r>
      <w:r>
        <w:tab/>
        <w:t>Not used</w:t>
      </w:r>
      <w:bookmarkEnd w:id="868"/>
    </w:p>
    <w:p>
      <w:pPr>
        <w:pStyle w:val="Heading5"/>
        <w:keepNext w:val="0"/>
        <w:keepLines w:val="0"/>
      </w:pPr>
      <w:bookmarkStart w:id="869" w:name="_Toc200720373"/>
      <w:r>
        <w:rPr>
          <w:rStyle w:val="CharSectno"/>
        </w:rPr>
        <w:t>607</w:t>
      </w:r>
      <w:r>
        <w:t>.</w:t>
      </w:r>
      <w:r>
        <w:tab/>
        <w:t>Not used</w:t>
      </w:r>
      <w:bookmarkEnd w:id="869"/>
    </w:p>
    <w:p>
      <w:pPr>
        <w:pStyle w:val="Heading5"/>
        <w:keepNext w:val="0"/>
        <w:keepLines w:val="0"/>
      </w:pPr>
      <w:bookmarkStart w:id="870" w:name="_Toc200720374"/>
      <w:r>
        <w:rPr>
          <w:rStyle w:val="CharSectno"/>
        </w:rPr>
        <w:t>608</w:t>
      </w:r>
      <w:r>
        <w:t>.</w:t>
      </w:r>
      <w:r>
        <w:tab/>
        <w:t>Not used</w:t>
      </w:r>
      <w:bookmarkEnd w:id="870"/>
    </w:p>
    <w:p>
      <w:pPr>
        <w:pStyle w:val="Heading2"/>
      </w:pPr>
      <w:bookmarkStart w:id="871" w:name="_Toc200720375"/>
      <w:r>
        <w:lastRenderedPageBreak/>
        <w:t>Chapter 10</w:t>
      </w:r>
      <w:r>
        <w:rPr>
          <w:rStyle w:val="CharDivNo"/>
        </w:rPr>
        <w:t> </w:t>
      </w:r>
      <w:r>
        <w:t>—</w:t>
      </w:r>
      <w:r>
        <w:rPr>
          <w:rStyle w:val="CharDivText"/>
        </w:rPr>
        <w:t> </w:t>
      </w:r>
      <w:r>
        <w:t>Mines</w:t>
      </w:r>
      <w:bookmarkEnd w:id="871"/>
    </w:p>
    <w:p>
      <w:pPr>
        <w:pStyle w:val="Heading3"/>
      </w:pPr>
      <w:bookmarkStart w:id="872" w:name="_Toc200720376"/>
      <w:r>
        <w:rPr>
          <w:rStyle w:val="CharPartNo"/>
        </w:rPr>
        <w:t>Part 10.1</w:t>
      </w:r>
      <w:r>
        <w:t> — </w:t>
      </w:r>
      <w:r>
        <w:rPr>
          <w:rStyle w:val="CharPartText"/>
        </w:rPr>
        <w:t>Preliminary</w:t>
      </w:r>
      <w:bookmarkEnd w:id="872"/>
    </w:p>
    <w:p>
      <w:pPr>
        <w:pStyle w:val="Heading5"/>
      </w:pPr>
      <w:bookmarkStart w:id="873" w:name="_Toc200720377"/>
      <w:r>
        <w:rPr>
          <w:rStyle w:val="CharSectno"/>
        </w:rPr>
        <w:t>608A</w:t>
      </w:r>
      <w:r>
        <w:t>.</w:t>
      </w:r>
      <w:r>
        <w:tab/>
        <w:t>Terms used</w:t>
      </w:r>
      <w:bookmarkEnd w:id="873"/>
    </w:p>
    <w:p>
      <w:pPr>
        <w:pStyle w:val="Subsection"/>
      </w:pPr>
      <w:r>
        <w:tab/>
      </w:r>
      <w:r>
        <w:tab/>
        <w:t xml:space="preserve">In this Chapter — </w:t>
      </w:r>
    </w:p>
    <w:p>
      <w:pPr>
        <w:pStyle w:val="Defstart"/>
      </w:pPr>
      <w:r>
        <w:tab/>
      </w:r>
      <w:r>
        <w:rPr>
          <w:rStyle w:val="CharDefText"/>
        </w:rPr>
        <w:t>approved radiation management plan</w:t>
      </w:r>
      <w:r>
        <w:t>, for a mine, means a radiation management plan approved under regulation 641N(2);</w:t>
      </w:r>
    </w:p>
    <w:p>
      <w:pPr>
        <w:pStyle w:val="Defstart"/>
      </w:pPr>
      <w:r>
        <w:tab/>
      </w:r>
      <w:r>
        <w:rPr>
          <w:rStyle w:val="CharDefText"/>
        </w:rPr>
        <w:t>approved radioactive waste management plan</w:t>
      </w:r>
      <w:r>
        <w:t>, for a mine, means a radioactive waste management plan approved under regulation 641O(2);</w:t>
      </w:r>
    </w:p>
    <w:p>
      <w:pPr>
        <w:pStyle w:val="Defstart"/>
      </w:pPr>
      <w:r>
        <w:tab/>
      </w:r>
      <w:r>
        <w:rPr>
          <w:rStyle w:val="CharDefText"/>
        </w:rPr>
        <w:t>contractor</w:t>
      </w:r>
      <w:r>
        <w:t xml:space="preserve">, in relation to a mine — </w:t>
      </w:r>
    </w:p>
    <w:p>
      <w:pPr>
        <w:pStyle w:val="Defpara"/>
      </w:pPr>
      <w:r>
        <w:tab/>
        <w:t>(a)</w:t>
      </w:r>
      <w:r>
        <w:tab/>
        <w:t>means a person who conducts, or is to conduct, a business or undertaking at the mine; but</w:t>
      </w:r>
    </w:p>
    <w:p>
      <w:pPr>
        <w:pStyle w:val="Defpara"/>
      </w:pPr>
      <w:r>
        <w:tab/>
        <w:t>(b)</w:t>
      </w:r>
      <w:r>
        <w:tab/>
        <w:t xml:space="preserve">does not include any of the following — </w:t>
      </w:r>
    </w:p>
    <w:p>
      <w:pPr>
        <w:pStyle w:val="Defsubpara"/>
      </w:pPr>
      <w:r>
        <w:tab/>
        <w:t>(i)</w:t>
      </w:r>
      <w:r>
        <w:tab/>
        <w:t>the mine operator of the mine;</w:t>
      </w:r>
    </w:p>
    <w:p>
      <w:pPr>
        <w:pStyle w:val="Defsubpara"/>
      </w:pPr>
      <w:r>
        <w:tab/>
        <w:t>(ii)</w:t>
      </w:r>
      <w:r>
        <w:tab/>
        <w:t>a person who conducts a business or undertaking involving the occasional delivery to or from the mine;</w:t>
      </w:r>
    </w:p>
    <w:p>
      <w:pPr>
        <w:pStyle w:val="Defsubpara"/>
      </w:pPr>
      <w:r>
        <w:tab/>
        <w:t>(iii)</w:t>
      </w:r>
      <w:r>
        <w:tab/>
        <w:t>a person, or a person who forms part of a class, determined not to be a contractor under regulation 608B(1);</w:t>
      </w:r>
    </w:p>
    <w:p>
      <w:pPr>
        <w:pStyle w:val="Defstart"/>
        <w:keepNext/>
      </w:pPr>
      <w:r>
        <w:tab/>
      </w:r>
      <w:r>
        <w:rPr>
          <w:rStyle w:val="CharDefText"/>
        </w:rPr>
        <w:t>explosive</w:t>
      </w:r>
      <w:r>
        <w:t xml:space="preserve"> means a substance or mixture of substances that — </w:t>
      </w:r>
    </w:p>
    <w:p>
      <w:pPr>
        <w:pStyle w:val="Defpara"/>
      </w:pPr>
      <w:r>
        <w:tab/>
        <w:t>(a)</w:t>
      </w:r>
      <w:r>
        <w:tab/>
        <w:t>creates a chemical reaction that produces gas at a temperature, pressure and speed that could cause damage to surrounding items; or</w:t>
      </w:r>
    </w:p>
    <w:p>
      <w:pPr>
        <w:pStyle w:val="Defpara"/>
      </w:pPr>
      <w:r>
        <w:tab/>
        <w:t>(b)</w:t>
      </w:r>
      <w:r>
        <w:tab/>
        <w:t>has a pyrotechnic effect;</w:t>
      </w:r>
    </w:p>
    <w:p>
      <w:pPr>
        <w:pStyle w:val="Defstart"/>
      </w:pPr>
      <w:r>
        <w:tab/>
      </w:r>
      <w:r>
        <w:rPr>
          <w:rStyle w:val="CharDefText"/>
        </w:rPr>
        <w:t>principal mining hazard</w:t>
      </w:r>
      <w:r>
        <w:t xml:space="preserve"> has the meaning given in regulation 612;</w:t>
      </w:r>
    </w:p>
    <w:p>
      <w:pPr>
        <w:pStyle w:val="Defstart"/>
      </w:pPr>
      <w:r>
        <w:tab/>
      </w:r>
      <w:r>
        <w:rPr>
          <w:rStyle w:val="CharDefText"/>
        </w:rPr>
        <w:t>reeling cable</w:t>
      </w:r>
      <w:r>
        <w:t xml:space="preserve"> means a cable specifically designed to be frequently reeled on and off a cable drum or reeler on mobile apparatus;</w:t>
      </w:r>
    </w:p>
    <w:p>
      <w:pPr>
        <w:pStyle w:val="Defstart"/>
      </w:pPr>
      <w:r>
        <w:lastRenderedPageBreak/>
        <w:tab/>
      </w:r>
      <w:r>
        <w:rPr>
          <w:rStyle w:val="CharDefText"/>
        </w:rPr>
        <w:t>trailing cable</w:t>
      </w:r>
      <w:r>
        <w:t xml:space="preserve"> means a cable specifically designed to be moved in conjunction with mobile apparatus.</w:t>
      </w:r>
    </w:p>
    <w:p>
      <w:pPr>
        <w:pStyle w:val="Heading5"/>
      </w:pPr>
      <w:bookmarkStart w:id="874" w:name="_Toc200720378"/>
      <w:r>
        <w:rPr>
          <w:rStyle w:val="CharSectno"/>
        </w:rPr>
        <w:t>608B</w:t>
      </w:r>
      <w:r>
        <w:t>.</w:t>
      </w:r>
      <w:r>
        <w:tab/>
        <w:t>Regulator may determine who is not contractor for Chapter</w:t>
      </w:r>
      <w:bookmarkEnd w:id="874"/>
    </w:p>
    <w:p>
      <w:pPr>
        <w:pStyle w:val="Subsection"/>
      </w:pPr>
      <w:r>
        <w:tab/>
        <w:t>(1)</w:t>
      </w:r>
      <w:r>
        <w:tab/>
        <w:t xml:space="preserve">The regulator may, by written notice, determine that a person, or a person of a class, is not a contractor for the purposes of this Chapter. </w:t>
      </w:r>
    </w:p>
    <w:p>
      <w:pPr>
        <w:pStyle w:val="Subsection"/>
      </w:pPr>
      <w:r>
        <w:tab/>
        <w:t>(2)</w:t>
      </w:r>
      <w:r>
        <w:tab/>
        <w:t>If the regulator makes a determination under subregulation (1), the regulator must publish the notice on the regulator’s website.</w:t>
      </w:r>
    </w:p>
    <w:p>
      <w:pPr>
        <w:pStyle w:val="Heading5"/>
      </w:pPr>
      <w:bookmarkStart w:id="875" w:name="_Toc200720379"/>
      <w:r>
        <w:rPr>
          <w:rStyle w:val="CharSectno"/>
        </w:rPr>
        <w:t>609</w:t>
      </w:r>
      <w:r>
        <w:t>.</w:t>
      </w:r>
      <w:r>
        <w:tab/>
        <w:t>Not used</w:t>
      </w:r>
      <w:bookmarkEnd w:id="875"/>
    </w:p>
    <w:p>
      <w:pPr>
        <w:pStyle w:val="PermNoteHeading"/>
      </w:pPr>
      <w:r>
        <w:tab/>
        <w:t>Note for this regulation:</w:t>
      </w:r>
    </w:p>
    <w:p>
      <w:pPr>
        <w:pStyle w:val="PermNoteText"/>
      </w:pPr>
      <w:r>
        <w:tab/>
      </w:r>
      <w:r>
        <w:tab/>
        <w:t xml:space="preserve">See regulation 5A for the definition of </w:t>
      </w:r>
      <w:r>
        <w:rPr>
          <w:b/>
          <w:i/>
        </w:rPr>
        <w:t>mine</w:t>
      </w:r>
      <w:r>
        <w:t>.</w:t>
      </w:r>
    </w:p>
    <w:p>
      <w:pPr>
        <w:pStyle w:val="Heading5"/>
      </w:pPr>
      <w:bookmarkStart w:id="876" w:name="_Toc200720380"/>
      <w:r>
        <w:rPr>
          <w:rStyle w:val="CharSectno"/>
        </w:rPr>
        <w:t>610</w:t>
      </w:r>
      <w:r>
        <w:t>.</w:t>
      </w:r>
      <w:r>
        <w:tab/>
        <w:t>Not used</w:t>
      </w:r>
      <w:bookmarkEnd w:id="876"/>
    </w:p>
    <w:p>
      <w:pPr>
        <w:pStyle w:val="PermNoteHeading"/>
      </w:pPr>
      <w:r>
        <w:tab/>
        <w:t>Note for this regulation:</w:t>
      </w:r>
    </w:p>
    <w:p>
      <w:pPr>
        <w:pStyle w:val="PermNoteText"/>
      </w:pPr>
      <w:r>
        <w:tab/>
      </w:r>
      <w:r>
        <w:tab/>
        <w:t xml:space="preserve">See regulation 5B for the definition of </w:t>
      </w:r>
      <w:r>
        <w:rPr>
          <w:b/>
          <w:i/>
        </w:rPr>
        <w:t>mining operations</w:t>
      </w:r>
      <w:r>
        <w:t>.</w:t>
      </w:r>
    </w:p>
    <w:p>
      <w:pPr>
        <w:pStyle w:val="Heading5"/>
      </w:pPr>
      <w:bookmarkStart w:id="877" w:name="_Toc200720381"/>
      <w:r>
        <w:rPr>
          <w:rStyle w:val="CharSectno"/>
        </w:rPr>
        <w:t>611</w:t>
      </w:r>
      <w:r>
        <w:t>.</w:t>
      </w:r>
      <w:r>
        <w:tab/>
        <w:t>Not used</w:t>
      </w:r>
      <w:bookmarkEnd w:id="877"/>
    </w:p>
    <w:p>
      <w:pPr>
        <w:pStyle w:val="PermNoteHeading"/>
      </w:pPr>
      <w:r>
        <w:tab/>
        <w:t>Note for this regulation:</w:t>
      </w:r>
    </w:p>
    <w:p>
      <w:pPr>
        <w:pStyle w:val="PermNoteText"/>
      </w:pPr>
      <w:r>
        <w:tab/>
      </w:r>
      <w:r>
        <w:tab/>
        <w:t xml:space="preserve">See regulation 5 for the definition of </w:t>
      </w:r>
      <w:r>
        <w:rPr>
          <w:b/>
          <w:i/>
        </w:rPr>
        <w:t>mineral</w:t>
      </w:r>
      <w:r>
        <w:t>.</w:t>
      </w:r>
    </w:p>
    <w:p>
      <w:pPr>
        <w:pStyle w:val="Heading5"/>
      </w:pPr>
      <w:bookmarkStart w:id="878" w:name="_Toc200720382"/>
      <w:r>
        <w:rPr>
          <w:rStyle w:val="CharSectno"/>
        </w:rPr>
        <w:t>612</w:t>
      </w:r>
      <w:r>
        <w:t>.</w:t>
      </w:r>
      <w:r>
        <w:tab/>
        <w:t>Meaning of principal mining hazard</w:t>
      </w:r>
      <w:bookmarkEnd w:id="878"/>
    </w:p>
    <w:p>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w:t>
      </w:r>
      <w:r>
        <w:lastRenderedPageBreak/>
        <w:t xml:space="preserve">the mine that has a reasonable potential to result in multiple deaths in a single incident or a series of recurring incidents — </w:t>
      </w:r>
    </w:p>
    <w:p>
      <w:pPr>
        <w:pStyle w:val="Indenta"/>
      </w:pPr>
      <w:r>
        <w:tab/>
        <w:t>(a)</w:t>
      </w:r>
      <w:r>
        <w:tab/>
        <w:t>geotechnical structure instability;</w:t>
      </w:r>
    </w:p>
    <w:p>
      <w:pPr>
        <w:pStyle w:val="Indenta"/>
      </w:pPr>
      <w:r>
        <w:tab/>
        <w:t>(b)</w:t>
      </w:r>
      <w:r>
        <w:tab/>
        <w:t>inrush of any substance;</w:t>
      </w:r>
    </w:p>
    <w:p>
      <w:pPr>
        <w:pStyle w:val="Indenta"/>
      </w:pPr>
      <w:r>
        <w:tab/>
        <w:t>(c)</w:t>
      </w:r>
      <w:r>
        <w:tab/>
        <w:t>mine shafts and winding systems;</w:t>
      </w:r>
    </w:p>
    <w:p>
      <w:pPr>
        <w:pStyle w:val="Indenta"/>
      </w:pPr>
      <w:r>
        <w:tab/>
        <w:t>(d)</w:t>
      </w:r>
      <w:r>
        <w:tab/>
        <w:t>roads or other areas where mobile plant operate;</w:t>
      </w:r>
    </w:p>
    <w:p>
      <w:pPr>
        <w:pStyle w:val="Indenta"/>
      </w:pPr>
      <w:r>
        <w:tab/>
        <w:t>(e)</w:t>
      </w:r>
      <w:r>
        <w:tab/>
        <w:t>fire or uncontrolled explosion;</w:t>
      </w:r>
    </w:p>
    <w:p>
      <w:pPr>
        <w:pStyle w:val="Indenta"/>
      </w:pPr>
      <w:r>
        <w:tab/>
        <w:t>(f)</w:t>
      </w:r>
      <w:r>
        <w:tab/>
        <w:t xml:space="preserve">if the mine is an underground coal mine — </w:t>
      </w:r>
    </w:p>
    <w:p>
      <w:pPr>
        <w:pStyle w:val="Indenti"/>
      </w:pPr>
      <w:r>
        <w:tab/>
        <w:t>(i)</w:t>
      </w:r>
      <w:r>
        <w:tab/>
        <w:t>gas outburst; and</w:t>
      </w:r>
    </w:p>
    <w:p>
      <w:pPr>
        <w:pStyle w:val="Indenti"/>
      </w:pPr>
      <w:r>
        <w:tab/>
        <w:t>(ii)</w:t>
      </w:r>
      <w:r>
        <w:tab/>
        <w:t>spontaneous combustion;</w:t>
      </w:r>
    </w:p>
    <w:p>
      <w:pPr>
        <w:pStyle w:val="Indenta"/>
      </w:pPr>
      <w:r>
        <w:tab/>
        <w:t>(g)</w:t>
      </w:r>
      <w:r>
        <w:tab/>
        <w:t>a principal mining hazard identified by the mine operator for a mine under regulation 627(1).</w:t>
      </w:r>
    </w:p>
    <w:p>
      <w:pPr>
        <w:pStyle w:val="Heading5"/>
        <w:spacing w:before="180"/>
      </w:pPr>
      <w:bookmarkStart w:id="879" w:name="_Toc200720383"/>
      <w:r>
        <w:t>613.</w:t>
      </w:r>
      <w:r>
        <w:tab/>
        <w:t>Not used</w:t>
      </w:r>
      <w:bookmarkEnd w:id="879"/>
    </w:p>
    <w:p>
      <w:pPr>
        <w:pStyle w:val="PermNoteHeading"/>
      </w:pPr>
      <w:r>
        <w:tab/>
        <w:t>Note for this regulation:</w:t>
      </w:r>
    </w:p>
    <w:p>
      <w:pPr>
        <w:pStyle w:val="PermNoteText"/>
      </w:pPr>
      <w:r>
        <w:tab/>
      </w:r>
      <w:r>
        <w:tab/>
        <w:t xml:space="preserve">See regulation 5C for the definition of </w:t>
      </w:r>
      <w:r>
        <w:rPr>
          <w:b/>
          <w:i/>
        </w:rPr>
        <w:t>mine operator</w:t>
      </w:r>
      <w:r>
        <w:t>.</w:t>
      </w:r>
    </w:p>
    <w:p>
      <w:pPr>
        <w:pStyle w:val="Heading5"/>
        <w:keepNext w:val="0"/>
        <w:spacing w:before="180"/>
      </w:pPr>
      <w:bookmarkStart w:id="880" w:name="_Toc200720384"/>
      <w:r>
        <w:t>614.</w:t>
      </w:r>
      <w:r>
        <w:tab/>
        <w:t>Not used</w:t>
      </w:r>
      <w:bookmarkEnd w:id="880"/>
    </w:p>
    <w:p>
      <w:pPr>
        <w:pStyle w:val="Heading5"/>
        <w:keepNext w:val="0"/>
        <w:spacing w:before="180"/>
      </w:pPr>
      <w:bookmarkStart w:id="881" w:name="_Toc200720385"/>
      <w:r>
        <w:t>615.</w:t>
      </w:r>
      <w:r>
        <w:tab/>
        <w:t>Not used</w:t>
      </w:r>
      <w:bookmarkEnd w:id="881"/>
    </w:p>
    <w:p>
      <w:pPr>
        <w:pStyle w:val="Heading5"/>
        <w:keepNext w:val="0"/>
        <w:spacing w:before="180"/>
      </w:pPr>
      <w:bookmarkStart w:id="882" w:name="_Toc200720386"/>
      <w:r>
        <w:t>616.</w:t>
      </w:r>
      <w:r>
        <w:tab/>
        <w:t>Not used</w:t>
      </w:r>
      <w:bookmarkEnd w:id="882"/>
    </w:p>
    <w:p>
      <w:pPr>
        <w:pStyle w:val="Heading3"/>
      </w:pPr>
      <w:bookmarkStart w:id="883" w:name="_Toc200720387"/>
      <w:r>
        <w:rPr>
          <w:rStyle w:val="CharPartNo"/>
        </w:rPr>
        <w:t>Part 10.2</w:t>
      </w:r>
      <w:r>
        <w:t> — </w:t>
      </w:r>
      <w:r>
        <w:rPr>
          <w:rStyle w:val="CharPartText"/>
        </w:rPr>
        <w:t>Managing risks</w:t>
      </w:r>
      <w:bookmarkEnd w:id="883"/>
    </w:p>
    <w:p>
      <w:pPr>
        <w:pStyle w:val="Heading4"/>
      </w:pPr>
      <w:bookmarkStart w:id="884" w:name="_Toc200720388"/>
      <w:r>
        <w:rPr>
          <w:rStyle w:val="CharDivNo"/>
        </w:rPr>
        <w:t>Division 1</w:t>
      </w:r>
      <w:r>
        <w:t> — </w:t>
      </w:r>
      <w:r>
        <w:rPr>
          <w:rStyle w:val="CharDivText"/>
        </w:rPr>
        <w:t>General requirements</w:t>
      </w:r>
      <w:bookmarkEnd w:id="884"/>
    </w:p>
    <w:p>
      <w:pPr>
        <w:pStyle w:val="Heading4"/>
      </w:pPr>
      <w:bookmarkStart w:id="885" w:name="_Toc200720389"/>
      <w:r>
        <w:t>Subdivision 1 — Control of risk</w:t>
      </w:r>
      <w:bookmarkEnd w:id="885"/>
    </w:p>
    <w:p>
      <w:pPr>
        <w:pStyle w:val="Heading5"/>
      </w:pPr>
      <w:bookmarkStart w:id="886" w:name="_Toc200720390"/>
      <w:r>
        <w:rPr>
          <w:rStyle w:val="CharSectno"/>
        </w:rPr>
        <w:t>617</w:t>
      </w:r>
      <w:r>
        <w:t>.</w:t>
      </w:r>
      <w:r>
        <w:tab/>
        <w:t>Managing risks to health and safety</w:t>
      </w:r>
      <w:bookmarkEnd w:id="886"/>
    </w:p>
    <w:p>
      <w:pPr>
        <w:pStyle w:val="Subsection"/>
      </w:pPr>
      <w:r>
        <w:tab/>
        <w:t>(1)</w:t>
      </w:r>
      <w:r>
        <w:tab/>
        <w:t>A person conducting a business or undertaking at a mine must manage risks to health and safety associated with mining operations at the mine in accordance with Part 3.1.</w:t>
      </w:r>
    </w:p>
    <w:p>
      <w:pPr>
        <w:pStyle w:val="PermNoteHeading"/>
      </w:pPr>
      <w:r>
        <w:tab/>
        <w:t>Note for this subregulation:</w:t>
      </w:r>
    </w:p>
    <w:p>
      <w:pPr>
        <w:pStyle w:val="PermNoteText"/>
      </w:pPr>
      <w:r>
        <w:tab/>
      </w:r>
      <w:r>
        <w:tab/>
        <w:t>WHS Act — sections 19, 20 and 21, as applicable (see regulation 9).</w:t>
      </w:r>
    </w:p>
    <w:p>
      <w:pPr>
        <w:pStyle w:val="Subsection"/>
        <w:rPr>
          <w:color w:val="000000"/>
          <w:shd w:val="clear" w:color="auto" w:fill="FFFFFF"/>
        </w:rPr>
      </w:pPr>
      <w:r>
        <w:lastRenderedPageBreak/>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pPr>
        <w:pStyle w:val="Penstart"/>
      </w:pPr>
      <w:r>
        <w:tab/>
        <w:t>Penalty for this subregulation:</w:t>
      </w:r>
    </w:p>
    <w:p>
      <w:pPr>
        <w:pStyle w:val="Penpara"/>
      </w:pPr>
      <w:r>
        <w:tab/>
        <w:t>(a)</w:t>
      </w:r>
      <w:r>
        <w:tab/>
        <w:t>for an individual, a fine of $7 000;</w:t>
      </w:r>
    </w:p>
    <w:p>
      <w:pPr>
        <w:pStyle w:val="Penpara"/>
      </w:pPr>
      <w:r>
        <w:tab/>
        <w:t>(b)</w:t>
      </w:r>
      <w:r>
        <w:tab/>
      </w:r>
      <w:r>
        <w:rPr>
          <w:snapToGrid w:val="0"/>
        </w:rPr>
        <w:t>for a body corporate,</w:t>
      </w:r>
      <w:r>
        <w:t xml:space="preserve"> a fine of $35 000.</w:t>
      </w:r>
    </w:p>
    <w:p>
      <w:pPr>
        <w:pStyle w:val="Subsection"/>
      </w:pPr>
      <w:r>
        <w:tab/>
        <w:t>(3)</w:t>
      </w:r>
      <w:r>
        <w:tab/>
        <w:t xml:space="preserve">In conducting the risk assessment, the competent assessor must have regard to — </w:t>
      </w:r>
    </w:p>
    <w:p>
      <w:pPr>
        <w:pStyle w:val="Indenta"/>
      </w:pPr>
      <w:r>
        <w:tab/>
        <w:t>(a)</w:t>
      </w:r>
      <w:r>
        <w:tab/>
        <w:t>the nature of the hazard; and</w:t>
      </w:r>
    </w:p>
    <w:p>
      <w:pPr>
        <w:pStyle w:val="Indenta"/>
      </w:pPr>
      <w:r>
        <w:tab/>
        <w:t>(b)</w:t>
      </w:r>
      <w:r>
        <w:tab/>
        <w:t>the likelihood of the hazard affecting the health or safety of a person; and</w:t>
      </w:r>
    </w:p>
    <w:p>
      <w:pPr>
        <w:pStyle w:val="Indenta"/>
      </w:pPr>
      <w:r>
        <w:tab/>
        <w:t>(c)</w:t>
      </w:r>
      <w:r>
        <w:tab/>
        <w:t>the severity of the potential health and safety consequences.</w:t>
      </w:r>
    </w:p>
    <w:p>
      <w:pPr>
        <w:pStyle w:val="Subsection"/>
      </w:pPr>
      <w:r>
        <w:tab/>
        <w:t>(4)</w:t>
      </w:r>
      <w:r>
        <w:tab/>
        <w:t>Nothing in subregulation (3) limits the operation of any other requirement to conduct a risk assessment under these regulations.</w:t>
      </w:r>
    </w:p>
    <w:p>
      <w:pPr>
        <w:pStyle w:val="PermNoteHeading"/>
      </w:pPr>
      <w:r>
        <w:tab/>
        <w:t>Note for this regulation:</w:t>
      </w:r>
    </w:p>
    <w:p>
      <w:pPr>
        <w:pStyle w:val="PermNoteText"/>
      </w:pPr>
      <w:r>
        <w:tab/>
      </w:r>
      <w:r>
        <w:tab/>
        <w:t>See also regulations 631, 631A, 631B, 631C, 631D, 635, 640, 641, 641A, 642A, 643A, 646, 657, 658 and 675EA in relation to complying with this regulation.</w:t>
      </w:r>
    </w:p>
    <w:p>
      <w:pPr>
        <w:pStyle w:val="Heading5"/>
      </w:pPr>
      <w:bookmarkStart w:id="887" w:name="_Toc200720391"/>
      <w:r>
        <w:rPr>
          <w:rStyle w:val="CharSectno"/>
        </w:rPr>
        <w:t>618</w:t>
      </w:r>
      <w:r>
        <w:t>.</w:t>
      </w:r>
      <w:r>
        <w:tab/>
        <w:t>Review of control measures</w:t>
      </w:r>
      <w:bookmarkEnd w:id="887"/>
    </w:p>
    <w:p>
      <w:pPr>
        <w:pStyle w:val="Subsection"/>
      </w:pPr>
      <w:r>
        <w:tab/>
        <w:t>(1)</w:t>
      </w:r>
      <w:r>
        <w:tab/>
        <w:t xml:space="preserve">A person conducting a business or undertaking at a mine must review and as necessary revise control measures implemented under regulation 617 if — </w:t>
      </w:r>
    </w:p>
    <w:p>
      <w:pPr>
        <w:pStyle w:val="Indenta"/>
      </w:pPr>
      <w:r>
        <w:tab/>
        <w:t>(a)</w:t>
      </w:r>
      <w:r>
        <w:tab/>
        <w:t>an audit of the effectiveness of the mine safety management system for the mine indicates a deficiency in a control measure; or</w:t>
      </w:r>
    </w:p>
    <w:p>
      <w:pPr>
        <w:pStyle w:val="Indenta"/>
      </w:pPr>
      <w:r>
        <w:tab/>
        <w:t>(b)</w:t>
      </w:r>
      <w:r>
        <w:tab/>
        <w:t>a worker is moved from a hazard or assigned to different work in response to a recommendation contained in a health monitoring report; or</w:t>
      </w:r>
    </w:p>
    <w:p>
      <w:pPr>
        <w:pStyle w:val="Indenta"/>
      </w:pPr>
      <w:r>
        <w:lastRenderedPageBreak/>
        <w:tab/>
        <w:t>(c)</w:t>
      </w:r>
      <w:r>
        <w:tab/>
        <w:t>a notifiable incident or reportable incident occurs; or</w:t>
      </w:r>
    </w:p>
    <w:p>
      <w:pPr>
        <w:pStyle w:val="Indenta"/>
      </w:pPr>
      <w:r>
        <w:tab/>
        <w:t>(d)</w:t>
      </w:r>
      <w:r>
        <w:tab/>
        <w:t>an inspector requires a review, under subregulation (2), of the control measures.</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pPr>
        <w:pStyle w:val="Subsection"/>
      </w:pPr>
      <w:r>
        <w:tab/>
        <w:t>(3)</w:t>
      </w:r>
      <w:r>
        <w:tab/>
        <w:t xml:space="preserve">The inspector’s notice must set out — </w:t>
      </w:r>
    </w:p>
    <w:p>
      <w:pPr>
        <w:pStyle w:val="Indenta"/>
      </w:pPr>
      <w:r>
        <w:tab/>
        <w:t>(a)</w:t>
      </w:r>
      <w:r>
        <w:tab/>
        <w:t xml:space="preserve">the inspector’s reasons for their opinion; and </w:t>
      </w:r>
    </w:p>
    <w:p>
      <w:pPr>
        <w:pStyle w:val="Indenta"/>
      </w:pPr>
      <w:r>
        <w:tab/>
        <w:t>(b)</w:t>
      </w:r>
      <w:r>
        <w:tab/>
        <w:t>the reasonable time by which the control measures must be reviewed.</w:t>
      </w:r>
    </w:p>
    <w:p>
      <w:pPr>
        <w:pStyle w:val="Subsection"/>
      </w:pPr>
      <w:r>
        <w:tab/>
        <w:t>(4)</w:t>
      </w:r>
      <w:r>
        <w:tab/>
        <w:t>A person conducting a business or undertaking who is given an inspector’s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lastRenderedPageBreak/>
        <w:tab/>
        <w:t>(6)</w:t>
      </w:r>
      <w:r>
        <w:tab/>
        <w:t>A person conducting a business or undertaking at a mine who is not the mine operator of the mine must immediately notify the mine operator of a request made to the person under regulation 38(4).</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pPr>
        <w:pStyle w:val="Heading5"/>
      </w:pPr>
      <w:bookmarkStart w:id="888" w:name="_Toc200720392"/>
      <w:r>
        <w:rPr>
          <w:rStyle w:val="CharSectno"/>
        </w:rPr>
        <w:t>619</w:t>
      </w:r>
      <w:r>
        <w:t>.</w:t>
      </w:r>
      <w:r>
        <w:tab/>
        <w:t>Record of certain reviews of control measures: mine operator</w:t>
      </w:r>
      <w:bookmarkEnd w:id="888"/>
    </w:p>
    <w:p>
      <w:pPr>
        <w:pStyle w:val="Subsection"/>
      </w:pPr>
      <w:r>
        <w:tab/>
        <w:t>(1)</w:t>
      </w:r>
      <w:r>
        <w:tab/>
        <w:t>This regulation applies to a mine operator of a mine who has, under regulation 38 or 618, reviewed a control measure in response to a notifiable incident or a reportable incident.</w:t>
      </w:r>
    </w:p>
    <w:p>
      <w:pPr>
        <w:pStyle w:val="Subsection"/>
      </w:pPr>
      <w:r>
        <w:tab/>
        <w:t>(2)</w:t>
      </w:r>
      <w:r>
        <w:tab/>
        <w:t xml:space="preserve">The mine operator of the mine must keep a record of the following — </w:t>
      </w:r>
    </w:p>
    <w:p>
      <w:pPr>
        <w:pStyle w:val="Indenta"/>
      </w:pPr>
      <w:r>
        <w:tab/>
        <w:t>(a)</w:t>
      </w:r>
      <w:r>
        <w:tab/>
        <w:t>the work health and safety issues arising from the incident;</w:t>
      </w:r>
    </w:p>
    <w:p>
      <w:pPr>
        <w:pStyle w:val="Indenta"/>
      </w:pPr>
      <w:r>
        <w:tab/>
        <w:t>(b)</w:t>
      </w:r>
      <w:r>
        <w:tab/>
        <w:t>recommendations arising from consideration of the incident or health monitoring of workers;</w:t>
      </w:r>
    </w:p>
    <w:p>
      <w:pPr>
        <w:pStyle w:val="Indenta"/>
      </w:pPr>
      <w:r>
        <w:tab/>
        <w:t>(c)</w:t>
      </w:r>
      <w:r>
        <w:tab/>
        <w:t>a summary of any changes to the mine safety management system for the mine and any affected principal mining hazard management plan for the mine prepared under Division 2.</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Heading5"/>
      </w:pPr>
      <w:bookmarkStart w:id="889" w:name="_Toc200720393"/>
      <w:r>
        <w:rPr>
          <w:rStyle w:val="CharSectno"/>
        </w:rPr>
        <w:lastRenderedPageBreak/>
        <w:t>620</w:t>
      </w:r>
      <w:r>
        <w:t>.</w:t>
      </w:r>
      <w:r>
        <w:tab/>
        <w:t>Record of certain reviews of control measures: other persons conducting business or undertaking</w:t>
      </w:r>
      <w:bookmarkEnd w:id="889"/>
    </w:p>
    <w:p>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pPr>
        <w:pStyle w:val="Subsection"/>
      </w:pPr>
      <w:r>
        <w:tab/>
        <w:t>(2)</w:t>
      </w:r>
      <w:r>
        <w:tab/>
        <w:t xml:space="preserve">The person conducting the business or undertaking must give the mine operator a document stating — </w:t>
      </w:r>
    </w:p>
    <w:p>
      <w:pPr>
        <w:pStyle w:val="Indenta"/>
      </w:pPr>
      <w:r>
        <w:tab/>
        <w:t>(a)</w:t>
      </w:r>
      <w:r>
        <w:tab/>
        <w:t>the work health and safety issues arising from the incident; and</w:t>
      </w:r>
    </w:p>
    <w:p>
      <w:pPr>
        <w:pStyle w:val="Indenta"/>
      </w:pPr>
      <w:r>
        <w:tab/>
        <w:t>(b)</w:t>
      </w:r>
      <w:r>
        <w:tab/>
        <w:t>recommendations arising from consideration of the incident or health monitoring of workers.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90" w:name="_Toc200720394"/>
      <w:r>
        <w:t>Subdivision 2 — Mine safety management system</w:t>
      </w:r>
      <w:bookmarkEnd w:id="890"/>
    </w:p>
    <w:p>
      <w:pPr>
        <w:pStyle w:val="Heading5"/>
      </w:pPr>
      <w:bookmarkStart w:id="891" w:name="_Toc200720395"/>
      <w:r>
        <w:rPr>
          <w:rStyle w:val="CharSectno"/>
        </w:rPr>
        <w:t>621</w:t>
      </w:r>
      <w:r>
        <w:t>.</w:t>
      </w:r>
      <w:r>
        <w:tab/>
        <w:t>Duty to establish and implement mine safety management system</w:t>
      </w:r>
      <w:bookmarkEnd w:id="891"/>
    </w:p>
    <w:p>
      <w:pPr>
        <w:pStyle w:val="Subsection"/>
      </w:pPr>
      <w:r>
        <w:tab/>
        <w:t xml:space="preserve"> (1)</w:t>
      </w:r>
      <w:r>
        <w:tab/>
        <w:t>The mine operator of a mine must establish a mine safety management system for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implement the mine safety management system for the mine, so far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2" w:name="_Toc200720396"/>
      <w:r>
        <w:rPr>
          <w:rStyle w:val="CharSectno"/>
        </w:rPr>
        <w:t>621A</w:t>
      </w:r>
      <w:r>
        <w:t>.</w:t>
      </w:r>
      <w:r>
        <w:tab/>
        <w:t>General requirements for mine safety management system</w:t>
      </w:r>
      <w:bookmarkEnd w:id="892"/>
      <w:r>
        <w:t xml:space="preserve"> </w:t>
      </w:r>
    </w:p>
    <w:p>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pPr>
        <w:pStyle w:val="Subsection"/>
      </w:pPr>
      <w:r>
        <w:tab/>
        <w:t>(2)</w:t>
      </w:r>
      <w:r>
        <w:tab/>
        <w:t xml:space="preserve">The mine safety management system for a mine must comply with subregulation (1) to the extent appropriate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The mine safety management system for a mine must form part of any overall management system that is in place at the mine.</w:t>
      </w:r>
    </w:p>
    <w:p>
      <w:pPr>
        <w:pStyle w:val="Subsection"/>
      </w:pPr>
      <w:r>
        <w:tab/>
        <w:t>(4)</w:t>
      </w:r>
      <w:r>
        <w:tab/>
        <w:t xml:space="preserve">The mine safety management system for a mine must be designed to be used by the mine operator as the primary means of ensuring, so far as is reasonably practicable — </w:t>
      </w:r>
    </w:p>
    <w:p>
      <w:pPr>
        <w:pStyle w:val="Indenta"/>
      </w:pPr>
      <w:r>
        <w:tab/>
        <w:t>(a)</w:t>
      </w:r>
      <w:r>
        <w:tab/>
        <w:t>the health and safety of workers at the mine; and</w:t>
      </w:r>
    </w:p>
    <w:p>
      <w:pPr>
        <w:pStyle w:val="Indenta"/>
      </w:pPr>
      <w:r>
        <w:tab/>
        <w:t>(b)</w:t>
      </w:r>
      <w:r>
        <w:tab/>
        <w:t>that the health and safety of other persons is not put at risk from the mine or work carried out as part of mining operations.</w:t>
      </w:r>
    </w:p>
    <w:p>
      <w:pPr>
        <w:pStyle w:val="Subsection"/>
      </w:pPr>
      <w:r>
        <w:lastRenderedPageBreak/>
        <w:tab/>
        <w:t>(5)</w:t>
      </w:r>
      <w:r>
        <w:tab/>
        <w:t>The mine safety management system for a mine must include (without limitation) arrangements for managing risks to health and safety in accordance with regulation 617.</w:t>
      </w:r>
    </w:p>
    <w:p>
      <w:pPr>
        <w:pStyle w:val="PermNoteHeading"/>
      </w:pPr>
      <w:r>
        <w:tab/>
        <w:t>Note for this subregulation:</w:t>
      </w:r>
    </w:p>
    <w:p>
      <w:pPr>
        <w:pStyle w:val="PermNoteText"/>
      </w:pPr>
      <w:r>
        <w:tab/>
      </w:r>
      <w:r>
        <w:tab/>
        <w:t>This includes all control measures implemented in accordance with specific requirements under these regulations (see regulation 33).</w:t>
      </w:r>
    </w:p>
    <w:p>
      <w:pPr>
        <w:pStyle w:val="Subsection"/>
      </w:pPr>
      <w:r>
        <w:tab/>
        <w:t>(6)</w:t>
      </w:r>
      <w:r>
        <w:tab/>
        <w:t xml:space="preserve">The mine safety management system for a mine includes a contractor’s health and safety management plan prepared under regulation 625D(1)(a) if — </w:t>
      </w:r>
    </w:p>
    <w:p>
      <w:pPr>
        <w:pStyle w:val="Indenta"/>
      </w:pPr>
      <w:r>
        <w:tab/>
        <w:t>(a)</w:t>
      </w:r>
      <w:r>
        <w:tab/>
        <w:t>the contractor carries out a mining operation at the mine; and</w:t>
      </w:r>
    </w:p>
    <w:p>
      <w:pPr>
        <w:pStyle w:val="Indenta"/>
      </w:pPr>
      <w:r>
        <w:tab/>
        <w:t>(b)</w:t>
      </w:r>
      <w:r>
        <w:tab/>
        <w:t>the mine operator of the mine accepts the health and safety management plan under regulation 625D(4) and has given the contractor written notice of the acceptance under regulation 625D(5).</w:t>
      </w:r>
    </w:p>
    <w:p>
      <w:pPr>
        <w:pStyle w:val="Subsection"/>
      </w:pPr>
      <w:r>
        <w:tab/>
        <w:t>(7)</w:t>
      </w:r>
      <w:r>
        <w:tab/>
        <w:t>The mine safety management system for a mine must be documented.</w:t>
      </w:r>
    </w:p>
    <w:p>
      <w:pPr>
        <w:pStyle w:val="Heading5"/>
      </w:pPr>
      <w:bookmarkStart w:id="893" w:name="_Toc200720397"/>
      <w:r>
        <w:rPr>
          <w:rStyle w:val="CharSectno"/>
        </w:rPr>
        <w:t>622</w:t>
      </w:r>
      <w:r>
        <w:t>.</w:t>
      </w:r>
      <w:r>
        <w:tab/>
        <w:t>Content of mine safety management system</w:t>
      </w:r>
      <w:bookmarkEnd w:id="893"/>
    </w:p>
    <w:p>
      <w:pPr>
        <w:pStyle w:val="Subsection"/>
      </w:pPr>
      <w:r>
        <w:tab/>
        <w:t>(1)</w:t>
      </w:r>
      <w:r>
        <w:tab/>
        <w:t xml:space="preserve">The mine safety management system for a mine must set out the following — </w:t>
      </w:r>
    </w:p>
    <w:p>
      <w:pPr>
        <w:pStyle w:val="Indenta"/>
      </w:pPr>
      <w:r>
        <w:tab/>
        <w:t>(a)</w:t>
      </w:r>
      <w:r>
        <w:tab/>
        <w:t>the mine operator’s health and safety policy, including broad aims in relation to the safe operation of the mine;</w:t>
      </w:r>
    </w:p>
    <w:p>
      <w:pPr>
        <w:pStyle w:val="Indenta"/>
      </w:pPr>
      <w:r>
        <w:tab/>
        <w:t>(b)</w:t>
      </w:r>
      <w:r>
        <w:tab/>
        <w:t>a brief description of the mining operations at the mine;</w:t>
      </w:r>
    </w:p>
    <w:p>
      <w:pPr>
        <w:pStyle w:val="Indenta"/>
      </w:pPr>
      <w:r>
        <w:tab/>
        <w:t>(c)</w:t>
      </w:r>
      <w:r>
        <w:tab/>
        <w:t xml:space="preserve">the arrangements in place for managing risks to health and safety in accordance with Part 3.1 and regulation 617, including the following — </w:t>
      </w:r>
    </w:p>
    <w:p>
      <w:pPr>
        <w:pStyle w:val="Indenti"/>
      </w:pPr>
      <w:r>
        <w:tab/>
        <w:t>(i)</w:t>
      </w:r>
      <w:r>
        <w:tab/>
        <w:t>arrangements for the selection and use of suitable methods of hazard identification and risk assessment;</w:t>
      </w:r>
    </w:p>
    <w:p>
      <w:pPr>
        <w:pStyle w:val="Indenti"/>
      </w:pPr>
      <w:r>
        <w:tab/>
        <w:t>(ii)</w:t>
      </w:r>
      <w:r>
        <w:tab/>
        <w:t>details of identified hazards;</w:t>
      </w:r>
    </w:p>
    <w:p>
      <w:pPr>
        <w:pStyle w:val="Indenti"/>
      </w:pPr>
      <w:r>
        <w:lastRenderedPageBreak/>
        <w:tab/>
        <w:t>(iii)</w:t>
      </w:r>
      <w:r>
        <w:tab/>
        <w:t>the control measures considered in managing risks to health and safety at the mine, and which of those measures are implemented;</w:t>
      </w:r>
    </w:p>
    <w:p>
      <w:pPr>
        <w:pStyle w:val="Indenti"/>
      </w:pPr>
      <w:r>
        <w:tab/>
        <w:t>(iv)</w:t>
      </w:r>
      <w:r>
        <w:tab/>
        <w:t>details of any design principles, engineering standards and technical standards to be relied on for control measures;</w:t>
      </w:r>
    </w:p>
    <w:p>
      <w:pPr>
        <w:pStyle w:val="Indenti"/>
      </w:pPr>
      <w:r>
        <w:tab/>
        <w:t>(v)</w:t>
      </w:r>
      <w:r>
        <w:tab/>
        <w:t>arrangements for managing the effect on health and safety due to gradual or sudden change in operations, conditions, systems, environment or resources;</w:t>
      </w:r>
    </w:p>
    <w:p>
      <w:pPr>
        <w:pStyle w:val="Indenta"/>
      </w:pPr>
      <w:r>
        <w:tab/>
        <w:t>(d)</w:t>
      </w:r>
      <w:r>
        <w:tab/>
        <w:t xml:space="preserve">the systems, procedures, plans and other control measures that will be used to control risks to health and safety associated with mining operations at the mine, including the following — </w:t>
      </w:r>
    </w:p>
    <w:p>
      <w:pPr>
        <w:pStyle w:val="Indenti"/>
      </w:pPr>
      <w:r>
        <w:tab/>
        <w:t>(i)</w:t>
      </w:r>
      <w:r>
        <w:tab/>
        <w:t>the principal mining hazard management plan for the mine prepared under Division 2;</w:t>
      </w:r>
    </w:p>
    <w:p>
      <w:pPr>
        <w:pStyle w:val="Indenti"/>
      </w:pPr>
      <w:r>
        <w:tab/>
        <w:t>(ii)</w:t>
      </w:r>
      <w:r>
        <w:tab/>
        <w:t>if Division 3 Subdivision 3B applies to the mine — the approved radiation management plan and approved radioactive waste management plan for the mine;</w:t>
      </w:r>
    </w:p>
    <w:p>
      <w:pPr>
        <w:pStyle w:val="Indenti"/>
      </w:pPr>
      <w:r>
        <w:tab/>
        <w:t>(iii)</w:t>
      </w:r>
      <w:r>
        <w:tab/>
        <w:t>if the mine is an underground mine — the ventilation control plan and ventilation plan prepared for the mine under Division 4 Subdivision 2;</w:t>
      </w:r>
    </w:p>
    <w:p>
      <w:pPr>
        <w:pStyle w:val="Indenti"/>
      </w:pPr>
      <w:r>
        <w:tab/>
        <w:t>(iv)</w:t>
      </w:r>
      <w:r>
        <w:tab/>
        <w:t>the emergency plan prepared for the mine under regulation 43 and Division 5 Subdivision 1;</w:t>
      </w:r>
    </w:p>
    <w:p>
      <w:pPr>
        <w:pStyle w:val="Indenti"/>
      </w:pPr>
      <w:r>
        <w:tab/>
        <w:t>(v)</w:t>
      </w:r>
      <w:r>
        <w:tab/>
        <w:t>the health management plan prepared for the mine under Part 10.3;</w:t>
      </w:r>
    </w:p>
    <w:p>
      <w:pPr>
        <w:pStyle w:val="Indenta"/>
      </w:pPr>
      <w:r>
        <w:tab/>
        <w:t>(e)</w:t>
      </w:r>
      <w:r>
        <w:tab/>
        <w:t xml:space="preserve">the management and supervisory structure for the management of work health and safety at the mine, including the following — </w:t>
      </w:r>
    </w:p>
    <w:p>
      <w:pPr>
        <w:pStyle w:val="Indenti"/>
      </w:pPr>
      <w:r>
        <w:tab/>
        <w:t>(i)</w:t>
      </w:r>
      <w:r>
        <w:tab/>
        <w:t>arrangements for filling temporary and permanent vacancies;</w:t>
      </w:r>
    </w:p>
    <w:p>
      <w:pPr>
        <w:pStyle w:val="Indenti"/>
      </w:pPr>
      <w:r>
        <w:lastRenderedPageBreak/>
        <w:tab/>
        <w:t>(ii)</w:t>
      </w:r>
      <w:r>
        <w:tab/>
        <w:t>requirements relating to acting positions in the structure;</w:t>
      </w:r>
    </w:p>
    <w:p>
      <w:pPr>
        <w:pStyle w:val="Indenti"/>
      </w:pPr>
      <w:r>
        <w:tab/>
        <w:t>(iii)</w:t>
      </w:r>
      <w:r>
        <w:tab/>
        <w:t>requirements for positions in the structure relating to competency, certification and assessment records;</w:t>
      </w:r>
    </w:p>
    <w:p>
      <w:pPr>
        <w:pStyle w:val="Indenti"/>
      </w:pPr>
      <w:r>
        <w:tab/>
        <w:t>(iv)</w:t>
      </w:r>
      <w:r>
        <w:tab/>
        <w:t>details and responsibilities of persons appointed to a statutory position or performing statutory, management or supervisory functions;</w:t>
      </w:r>
    </w:p>
    <w:p>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pPr>
        <w:pStyle w:val="Indenti"/>
      </w:pPr>
      <w:r>
        <w:tab/>
        <w:t>(i)</w:t>
      </w:r>
      <w:r>
        <w:tab/>
        <w:t>if the contractor prepares a health and safety management plan under regulation 625D(1)(a) — how the contractor’s plan will be integrated with the mine safety management system for the mine;</w:t>
      </w:r>
    </w:p>
    <w:p>
      <w:pPr>
        <w:pStyle w:val="Indenti"/>
      </w:pPr>
      <w:r>
        <w:tab/>
        <w:t>(ii)</w:t>
      </w:r>
      <w:r>
        <w:tab/>
        <w:t>the process for assessing health and safety policies and procedures (including competency requirements) of the contractor and integrating them into the mine safety management system;</w:t>
      </w:r>
    </w:p>
    <w:p>
      <w:pPr>
        <w:pStyle w:val="Indenti"/>
      </w:pPr>
      <w:r>
        <w:tab/>
        <w:t>(iii)</w:t>
      </w:r>
      <w:r>
        <w:tab/>
        <w:t>the arrangements for monitoring and evaluating compliance by the contractor with health and safety requirements;</w:t>
      </w:r>
    </w:p>
    <w:p>
      <w:pPr>
        <w:pStyle w:val="Indenta"/>
      </w:pPr>
      <w:r>
        <w:tab/>
        <w:t>(h)</w:t>
      </w:r>
      <w:r>
        <w:tab/>
        <w:t xml:space="preserve">the procedures and conditions under which persons at the mine or a part of the mine are to be withdrawn to a place of safety and to remain withdrawn as a </w:t>
      </w:r>
      <w:r>
        <w:lastRenderedPageBreak/>
        <w:t>precautionary measure if a risk to health and safety warrants that withdrawal;</w:t>
      </w:r>
    </w:p>
    <w:p>
      <w:pPr>
        <w:pStyle w:val="Indenta"/>
      </w:pPr>
      <w:r>
        <w:tab/>
        <w:t>(i)</w:t>
      </w:r>
      <w:r>
        <w:tab/>
        <w:t>the arrangements for the provision of information, training and instruction required under regulation 39;</w:t>
      </w:r>
    </w:p>
    <w:p>
      <w:pPr>
        <w:pStyle w:val="Indenta"/>
      </w:pPr>
      <w:r>
        <w:tab/>
        <w:t>(j)</w:t>
      </w:r>
      <w:r>
        <w:tab/>
        <w:t>the induction procedures for workers at the mine;</w:t>
      </w:r>
    </w:p>
    <w:p>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pPr>
        <w:pStyle w:val="Indenta"/>
      </w:pPr>
      <w:r>
        <w:tab/>
        <w:t>(l)</w:t>
      </w:r>
      <w:r>
        <w:tab/>
        <w:t>the safety role for workers developed and implemented under the mine safety management system;</w:t>
      </w:r>
    </w:p>
    <w:p>
      <w:pPr>
        <w:pStyle w:val="Indenta"/>
      </w:pPr>
      <w:r>
        <w:tab/>
        <w:t>(m)</w:t>
      </w:r>
      <w:r>
        <w:tab/>
        <w:t>the procedures for responding to, and investigating, notifiable incidents and reportable incidents at the mine;</w:t>
      </w:r>
    </w:p>
    <w:p>
      <w:pPr>
        <w:pStyle w:val="Indenta"/>
      </w:pPr>
      <w:r>
        <w:tab/>
        <w:t>(n)</w:t>
      </w:r>
      <w:r>
        <w:tab/>
        <w:t>the procedures for records management for the mine to ensure compliance with the Act;</w:t>
      </w:r>
    </w:p>
    <w:p>
      <w:pPr>
        <w:pStyle w:val="Indenta"/>
      </w:pPr>
      <w:r>
        <w:tab/>
        <w:t>(o)</w:t>
      </w:r>
      <w:r>
        <w:tab/>
        <w:t>the arrangements in place for all other monitoring and assessment and regular inspection of the work environment of the mine to be carried out for the purposes of the Act;</w:t>
      </w:r>
    </w:p>
    <w:p>
      <w:pPr>
        <w:pStyle w:val="Indenta"/>
      </w:pPr>
      <w:r>
        <w:tab/>
        <w:t>(p)</w:t>
      </w:r>
      <w:r>
        <w:tab/>
        <w:t>the performance standards under regulation 623;</w:t>
      </w:r>
    </w:p>
    <w:p>
      <w:pPr>
        <w:pStyle w:val="Indenta"/>
      </w:pPr>
      <w:r>
        <w:tab/>
        <w:t>(q)</w:t>
      </w:r>
      <w:r>
        <w:tab/>
        <w:t>the arrangements in place for the effective communication of relevant information across shifts by workers, their supervisors and other relevant persons;</w:t>
      </w:r>
    </w:p>
    <w:p>
      <w:pPr>
        <w:pStyle w:val="Indenta"/>
      </w:pPr>
      <w:r>
        <w:tab/>
        <w:t>(r)</w:t>
      </w:r>
      <w:r>
        <w:tab/>
        <w:t>the resources that will be applied for the effective implementation and use of the mine safety management system.</w:t>
      </w:r>
    </w:p>
    <w:p>
      <w:pPr>
        <w:pStyle w:val="Subsection"/>
      </w:pPr>
      <w:r>
        <w:tab/>
        <w:t>(2)</w:t>
      </w:r>
      <w:r>
        <w:tab/>
        <w:t xml:space="preserve">The mine safety management system for a mine must — </w:t>
      </w:r>
    </w:p>
    <w:p>
      <w:pPr>
        <w:pStyle w:val="Indenta"/>
      </w:pPr>
      <w:r>
        <w:tab/>
        <w:t>(a)</w:t>
      </w:r>
      <w:r>
        <w:tab/>
        <w:t xml:space="preserve">contain a level of detail of the matters referred to in subregulation (1) that is appropriate to the mine having regard to — </w:t>
      </w:r>
    </w:p>
    <w:p>
      <w:pPr>
        <w:pStyle w:val="Indenti"/>
      </w:pPr>
      <w:r>
        <w:tab/>
        <w:t>(i)</w:t>
      </w:r>
      <w:r>
        <w:tab/>
        <w:t>the nature, complexity and location of the mining operations; and</w:t>
      </w:r>
    </w:p>
    <w:p>
      <w:pPr>
        <w:pStyle w:val="Indenti"/>
      </w:pPr>
      <w:r>
        <w:lastRenderedPageBreak/>
        <w:tab/>
        <w:t>(ii)</w:t>
      </w:r>
      <w:r>
        <w:tab/>
        <w:t>the risks associated with those operations;</w:t>
      </w:r>
    </w:p>
    <w:p>
      <w:pPr>
        <w:pStyle w:val="Indenta"/>
      </w:pPr>
      <w:r>
        <w:tab/>
      </w:r>
      <w:r>
        <w:tab/>
        <w:t>and</w:t>
      </w:r>
    </w:p>
    <w:p>
      <w:pPr>
        <w:pStyle w:val="Indenta"/>
      </w:pPr>
      <w:r>
        <w:tab/>
        <w:t>(b)</w:t>
      </w:r>
      <w:r>
        <w:tab/>
        <w:t>so far as is reasonably practicable, be set out and expressed in a way that is readily understandable by persons who use it.</w:t>
      </w:r>
    </w:p>
    <w:p>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pPr>
        <w:pStyle w:val="Subsection"/>
      </w:pPr>
      <w:r>
        <w:tab/>
        <w:t>(4)</w:t>
      </w:r>
      <w:r>
        <w:tab/>
        <w:t xml:space="preserve">The mine operator of a mine must make arrangements for the following to have, on request, ready access to any part of the mine safety management system for the mine — </w:t>
      </w:r>
    </w:p>
    <w:p>
      <w:pPr>
        <w:pStyle w:val="Indenta"/>
      </w:pPr>
      <w:r>
        <w:tab/>
        <w:t>(a)</w:t>
      </w:r>
      <w:r>
        <w:tab/>
        <w:t>any worker at the mine;</w:t>
      </w:r>
    </w:p>
    <w:p>
      <w:pPr>
        <w:pStyle w:val="Indenta"/>
      </w:pPr>
      <w:r>
        <w:tab/>
        <w:t>(b)</w:t>
      </w:r>
      <w:r>
        <w:tab/>
        <w:t>any health and safety representative for workers at the mine;</w:t>
      </w:r>
    </w:p>
    <w:p>
      <w:pPr>
        <w:pStyle w:val="Indenta"/>
      </w:pPr>
      <w:r>
        <w:tab/>
        <w:t>(c)</w:t>
      </w:r>
      <w:r>
        <w:tab/>
        <w:t>any inspector.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94" w:name="_Toc200720398"/>
      <w:r>
        <w:rPr>
          <w:rStyle w:val="CharSectno"/>
        </w:rPr>
        <w:t>623</w:t>
      </w:r>
      <w:r>
        <w:t>.</w:t>
      </w:r>
      <w:r>
        <w:tab/>
        <w:t>Performance standards and audit</w:t>
      </w:r>
      <w:bookmarkEnd w:id="894"/>
    </w:p>
    <w:p>
      <w:pPr>
        <w:pStyle w:val="Subsection"/>
      </w:pPr>
      <w:r>
        <w:tab/>
      </w:r>
      <w:r>
        <w:tab/>
        <w:t xml:space="preserve">The mine safety management system for a mine must include the following — </w:t>
      </w:r>
    </w:p>
    <w:p>
      <w:pPr>
        <w:pStyle w:val="Indenta"/>
      </w:pPr>
      <w:r>
        <w:tab/>
        <w:t>(a)</w:t>
      </w:r>
      <w:r>
        <w:tab/>
        <w:t xml:space="preserve">performance standards for measuring the effectiveness of all aspects of the mine safety management system that — </w:t>
      </w:r>
    </w:p>
    <w:p>
      <w:pPr>
        <w:pStyle w:val="Indenti"/>
      </w:pPr>
      <w:r>
        <w:tab/>
        <w:t>(i)</w:t>
      </w:r>
      <w:r>
        <w:tab/>
        <w:t>are sufficiently detailed to show how the mine operator will ensure the effectiveness of the mine safety management system; and</w:t>
      </w:r>
    </w:p>
    <w:p>
      <w:pPr>
        <w:pStyle w:val="Indenti"/>
      </w:pPr>
      <w:r>
        <w:tab/>
        <w:t>(ii)</w:t>
      </w:r>
      <w:r>
        <w:tab/>
        <w:t>include steps to be taken to continually improve the mine safety management system;</w:t>
      </w:r>
    </w:p>
    <w:p>
      <w:pPr>
        <w:pStyle w:val="Indenta"/>
      </w:pPr>
      <w:r>
        <w:lastRenderedPageBreak/>
        <w:tab/>
        <w:t>(b)</w:t>
      </w:r>
      <w:r>
        <w:tab/>
        <w:t>the way in which the performance standards are to be met;</w:t>
      </w:r>
    </w:p>
    <w:p>
      <w:pPr>
        <w:pStyle w:val="Indenta"/>
      </w:pPr>
      <w:r>
        <w:tab/>
        <w:t>(c)</w:t>
      </w:r>
      <w:r>
        <w:tab/>
        <w:t>a system for auditing the effectiveness of the mine safety management system against the performance standards, including the methods, frequency and results of the audit process.</w:t>
      </w:r>
    </w:p>
    <w:p>
      <w:pPr>
        <w:pStyle w:val="Heading5"/>
      </w:pPr>
      <w:bookmarkStart w:id="895" w:name="_Toc200720399"/>
      <w:r>
        <w:rPr>
          <w:rStyle w:val="CharSectno"/>
        </w:rPr>
        <w:t>624</w:t>
      </w:r>
      <w:r>
        <w:t>.</w:t>
      </w:r>
      <w:r>
        <w:tab/>
        <w:t>Maintenance</w:t>
      </w:r>
      <w:bookmarkEnd w:id="895"/>
    </w:p>
    <w:p>
      <w:pPr>
        <w:pStyle w:val="Subsection"/>
      </w:pPr>
      <w:r>
        <w:tab/>
      </w:r>
      <w:r>
        <w:tab/>
        <w:t>The mine operator of a mine must maintain the mine safety management system for the mine so that the mine safety management system remains effective.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96" w:name="_Toc200720400"/>
      <w:r>
        <w:rPr>
          <w:rStyle w:val="CharSectno"/>
        </w:rPr>
        <w:t>625</w:t>
      </w:r>
      <w:r>
        <w:t>.</w:t>
      </w:r>
      <w:r>
        <w:tab/>
        <w:t>Review</w:t>
      </w:r>
      <w:bookmarkEnd w:id="896"/>
    </w:p>
    <w:p>
      <w:pPr>
        <w:pStyle w:val="Subsection"/>
      </w:pPr>
      <w:r>
        <w:tab/>
        <w:t>(1)</w:t>
      </w:r>
      <w:r>
        <w:tab/>
        <w:t>The mine operator of a mine must ensure that the mine safety management system for the mine is reviewed at least once every 3 years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Regular testing of the emergency plan is also required (see regulation 669).</w:t>
      </w:r>
    </w:p>
    <w:p>
      <w:pPr>
        <w:pStyle w:val="Subsection"/>
        <w:keepNext/>
      </w:pPr>
      <w:r>
        <w:tab/>
        <w:t>(2)</w:t>
      </w:r>
      <w:r>
        <w:tab/>
        <w:t xml:space="preserve">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w:t>
      </w:r>
      <w:r>
        <w:lastRenderedPageBreak/>
        <w:t>Division, reviewed and as necessary revised to ensure it is effective.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pPr>
        <w:pStyle w:val="Subsection"/>
      </w:pPr>
      <w:r>
        <w:tab/>
        <w:t>(4)</w:t>
      </w:r>
      <w:r>
        <w:tab/>
        <w:t>If the mining operations at a mine change, the mine operator of the mine must ensure that the mine safety management system for the mine is reviewed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regulator is of the opinion that the mine safety management system for a mine is not effective, the regulator may give a written notice to the mine operator of the mine requiring the mine operator to review and as necessary revise </w:t>
      </w:r>
      <w:r>
        <w:lastRenderedPageBreak/>
        <w:t>the mine safety management system within the reasonable time specified in the notice.</w:t>
      </w:r>
    </w:p>
    <w:p>
      <w:pPr>
        <w:pStyle w:val="PermNoteHeading"/>
      </w:pPr>
      <w:r>
        <w:tab/>
        <w:t>Note for this subregulation:</w:t>
      </w:r>
    </w:p>
    <w:p>
      <w:pPr>
        <w:pStyle w:val="PermNoteText"/>
      </w:pPr>
      <w:r>
        <w:tab/>
      </w:r>
      <w:r>
        <w:tab/>
        <w:t>A decision to give a notice under this subregulation is a reviewable decision (see regulation 676).</w:t>
      </w:r>
    </w:p>
    <w:p>
      <w:pPr>
        <w:pStyle w:val="Subsection"/>
      </w:pPr>
      <w:r>
        <w:tab/>
        <w:t>(7)</w:t>
      </w:r>
      <w:r>
        <w:tab/>
        <w:t xml:space="preserve">The regulator’s notice under subregulation (6) — </w:t>
      </w:r>
    </w:p>
    <w:p>
      <w:pPr>
        <w:pStyle w:val="Indenta"/>
      </w:pPr>
      <w:r>
        <w:tab/>
        <w:t>(a)</w:t>
      </w:r>
      <w:r>
        <w:tab/>
        <w:t>must set out the regulator’s reasons for their opinion; and</w:t>
      </w:r>
    </w:p>
    <w:p>
      <w:pPr>
        <w:pStyle w:val="Indenta"/>
      </w:pPr>
      <w:r>
        <w:tab/>
        <w:t>(b)</w:t>
      </w:r>
      <w:r>
        <w:tab/>
        <w:t>may be limited in scope to a particular part or aspect of the mine safety management system.</w:t>
      </w:r>
    </w:p>
    <w:p>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(9)</w:t>
      </w:r>
      <w:r>
        <w:tab/>
        <w:t>Subregulations (2) to (7) do not limit subregulation (1).</w:t>
      </w:r>
    </w:p>
    <w:p>
      <w:pPr>
        <w:pStyle w:val="Heading5"/>
      </w:pPr>
      <w:bookmarkStart w:id="897" w:name="_Toc200720401"/>
      <w:r>
        <w:rPr>
          <w:rStyle w:val="CharSectno"/>
        </w:rPr>
        <w:t>625A</w:t>
      </w:r>
      <w:r>
        <w:t>.</w:t>
      </w:r>
      <w:r>
        <w:tab/>
        <w:t>Consultation requirement for mine safety management system</w:t>
      </w:r>
      <w:bookmarkEnd w:id="897"/>
    </w:p>
    <w:p>
      <w:pPr>
        <w:pStyle w:val="Subsection"/>
      </w:pPr>
      <w:r>
        <w:tab/>
      </w:r>
      <w:r>
        <w:tab/>
        <w:t>For the purposes of section 49(f) of the Act, development of a mine safety management system is an activity for which consultation is required.</w:t>
      </w:r>
    </w:p>
    <w:p>
      <w:pPr>
        <w:pStyle w:val="Heading4"/>
      </w:pPr>
      <w:bookmarkStart w:id="898" w:name="_Toc200720402"/>
      <w:r>
        <w:t>Subdivision 2A — Contractors</w:t>
      </w:r>
      <w:bookmarkEnd w:id="898"/>
    </w:p>
    <w:p>
      <w:pPr>
        <w:pStyle w:val="Heading5"/>
      </w:pPr>
      <w:bookmarkStart w:id="899" w:name="_Toc200720403"/>
      <w:r>
        <w:rPr>
          <w:rStyle w:val="CharSectno"/>
        </w:rPr>
        <w:t>625B</w:t>
      </w:r>
      <w:r>
        <w:t>.</w:t>
      </w:r>
      <w:r>
        <w:tab/>
        <w:t>Duty of mine operator to provide information to contractor</w:t>
      </w:r>
      <w:bookmarkEnd w:id="899"/>
      <w:r>
        <w:t xml:space="preserve"> </w:t>
      </w:r>
    </w:p>
    <w:p>
      <w:pPr>
        <w:pStyle w:val="Subsection"/>
        <w:rPr>
          <w:color w:val="000000"/>
          <w:szCs w:val="24"/>
          <w:shd w:val="clear" w:color="auto" w:fill="FFFFFF"/>
        </w:rPr>
      </w:pPr>
      <w:r>
        <w:tab/>
      </w:r>
      <w:r>
        <w:tab/>
      </w:r>
      <w:r>
        <w:rPr>
          <w:color w:val="000000"/>
          <w:szCs w:val="24"/>
          <w:shd w:val="clear" w:color="auto" w:fill="FFFFFF"/>
        </w:rPr>
        <w:t xml:space="preserve">The mine operator of a mine must ensure that a contractor who is to carry out mining operations at the mine is given, so far as is reasonably practicable, all relevant information and access to </w:t>
      </w:r>
      <w:r>
        <w:rPr>
          <w:color w:val="000000"/>
          <w:szCs w:val="24"/>
          <w:shd w:val="clear" w:color="auto" w:fill="FFFFFF"/>
        </w:rPr>
        <w:lastRenderedPageBreak/>
        <w:t>the mine to enable the contractor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00" w:name="_Toc200720404"/>
      <w:r>
        <w:rPr>
          <w:rStyle w:val="CharSectno"/>
        </w:rPr>
        <w:t>625C</w:t>
      </w:r>
      <w:r>
        <w:t>.</w:t>
      </w:r>
      <w:r>
        <w:tab/>
        <w:t>Duty of contractor to provide information to mine operator</w:t>
      </w:r>
      <w:bookmarkEnd w:id="900"/>
      <w:r>
        <w:t xml:space="preserve"> </w:t>
      </w:r>
    </w:p>
    <w:p>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01" w:name="_Toc200720405"/>
      <w:r>
        <w:rPr>
          <w:rStyle w:val="CharSectno"/>
        </w:rPr>
        <w:t>625D</w:t>
      </w:r>
      <w:r>
        <w:t>.</w:t>
      </w:r>
      <w:r>
        <w:tab/>
        <w:t>Contractor to be covered by health and safety plan or mine safety management system</w:t>
      </w:r>
      <w:bookmarkEnd w:id="901"/>
    </w:p>
    <w:p>
      <w:pPr>
        <w:pStyle w:val="Subsection"/>
      </w:pPr>
      <w:r>
        <w:tab/>
        <w:t>(1)</w:t>
      </w:r>
      <w:r>
        <w:tab/>
        <w:t xml:space="preserve">A contractor must not carry out a mining operation at a mine unless — </w:t>
      </w:r>
    </w:p>
    <w:p>
      <w:pPr>
        <w:pStyle w:val="Indenta"/>
      </w:pPr>
      <w:r>
        <w:tab/>
        <w:t>(a)</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pPr>
        <w:pStyle w:val="Indenta"/>
      </w:pPr>
      <w:r>
        <w:tab/>
      </w:r>
      <w:r>
        <w:tab/>
        <w:t>or</w:t>
      </w:r>
    </w:p>
    <w:p>
      <w:pPr>
        <w:pStyle w:val="Indenta"/>
        <w:keepNext/>
      </w:pPr>
      <w:r>
        <w:lastRenderedPageBreak/>
        <w:tab/>
        <w:t>(b)</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pPr>
        <w:pStyle w:val="Subsection"/>
      </w:pPr>
      <w:r>
        <w:tab/>
        <w:t>(2)</w:t>
      </w:r>
      <w:r>
        <w:tab/>
        <w:t>The mine operator of a mine must not allow a contractor to carry out a mining operation at the mine in contravention of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contractor’s health and safety management plan under subregulation (1)(a) must — </w:t>
      </w:r>
    </w:p>
    <w:p>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pPr>
        <w:pStyle w:val="Indenta"/>
        <w:keepNext/>
      </w:pPr>
      <w:r>
        <w:lastRenderedPageBreak/>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pPr>
        <w:pStyle w:val="Indenta"/>
      </w:pPr>
      <w:r>
        <w:tab/>
      </w:r>
      <w:r>
        <w:tab/>
        <w:t>and</w:t>
      </w:r>
    </w:p>
    <w:p>
      <w:pPr>
        <w:pStyle w:val="Indenta"/>
      </w:pPr>
      <w:r>
        <w:tab/>
        <w:t>(c)</w:t>
      </w:r>
      <w:r>
        <w:tab/>
        <w:t>be documented; and</w:t>
      </w:r>
    </w:p>
    <w:p>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pPr>
        <w:pStyle w:val="Subsection"/>
      </w:pPr>
      <w:r>
        <w:tab/>
        <w:t>(4)</w:t>
      </w:r>
      <w:r>
        <w:tab/>
        <w:t xml:space="preserve">The mine operator may accept the contractor’s health and safety management plan if the mine operator considers that — </w:t>
      </w:r>
    </w:p>
    <w:p>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pPr>
        <w:pStyle w:val="Subsection"/>
      </w:pPr>
      <w:r>
        <w:tab/>
        <w:t>(5)</w:t>
      </w:r>
      <w:r>
        <w:tab/>
        <w:t>If the mine operator accepts the contractor’s health and safety management plan under subregulation (4), the mine operator must give the contractor written notice of the acceptance.</w:t>
      </w:r>
    </w:p>
    <w:p>
      <w:pPr>
        <w:pStyle w:val="Subsection"/>
      </w:pPr>
      <w:r>
        <w:tab/>
        <w:t>(6)</w:t>
      </w:r>
      <w:r>
        <w:tab/>
        <w:t xml:space="preserve">A notice under subregulation (1)(b)(ii) must state the following — </w:t>
      </w:r>
    </w:p>
    <w:p>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w:t>
      </w:r>
      <w:r>
        <w:rPr>
          <w:color w:val="000000"/>
          <w:szCs w:val="24"/>
          <w:shd w:val="clear" w:color="auto" w:fill="FFFFFF"/>
        </w:rPr>
        <w:lastRenderedPageBreak/>
        <w:t>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pPr>
        <w:pStyle w:val="Heading4"/>
      </w:pPr>
      <w:bookmarkStart w:id="902" w:name="_Toc200720406"/>
      <w:r>
        <w:t>Subdivision 3 — Information to other mine operators</w:t>
      </w:r>
      <w:bookmarkEnd w:id="902"/>
    </w:p>
    <w:p>
      <w:pPr>
        <w:pStyle w:val="Heading5"/>
      </w:pPr>
      <w:bookmarkStart w:id="903" w:name="_Toc200720407"/>
      <w:r>
        <w:rPr>
          <w:rStyle w:val="CharSectno"/>
        </w:rPr>
        <w:t>626</w:t>
      </w:r>
      <w:r>
        <w:t>.</w:t>
      </w:r>
      <w:r>
        <w:tab/>
        <w:t>Duty to provide information to other mine operators</w:t>
      </w:r>
      <w:bookmarkEnd w:id="903"/>
    </w:p>
    <w:p>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pPr>
        <w:pStyle w:val="Indenta"/>
      </w:pPr>
      <w:r>
        <w:tab/>
        <w:t>(a)</w:t>
      </w:r>
      <w:r>
        <w:tab/>
        <w:t>any adjoining mine; or</w:t>
      </w:r>
    </w:p>
    <w:p>
      <w:pPr>
        <w:pStyle w:val="Indenta"/>
      </w:pPr>
      <w:r>
        <w:tab/>
        <w:t>(b)</w:t>
      </w:r>
      <w:r>
        <w:tab/>
        <w:t>any other mine which might be affected by any conditions, or by any activities or proposed activities, at the subject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pPr>
        <w:pStyle w:val="Subsection"/>
      </w:pPr>
      <w:r>
        <w:tab/>
        <w:t>(3)</w:t>
      </w:r>
      <w:r>
        <w:tab/>
        <w:t xml:space="preserve">The information must be provided — </w:t>
      </w:r>
    </w:p>
    <w:p>
      <w:pPr>
        <w:pStyle w:val="Indenta"/>
      </w:pPr>
      <w:r>
        <w:tab/>
        <w:t>(a)</w:t>
      </w:r>
      <w:r>
        <w:tab/>
        <w:t>as soon as practicable on request from the mine operator of the adjoining or other mine; and</w:t>
      </w:r>
    </w:p>
    <w:p>
      <w:pPr>
        <w:pStyle w:val="Indenta"/>
      </w:pPr>
      <w:r>
        <w:tab/>
        <w:t>(b)</w:t>
      </w:r>
      <w:r>
        <w:tab/>
        <w:t>whenever it is reasonably necessary to ensure the health and safety of persons at the adjoining or other mine.</w:t>
      </w:r>
    </w:p>
    <w:p>
      <w:pPr>
        <w:pStyle w:val="Heading4"/>
      </w:pPr>
      <w:bookmarkStart w:id="904" w:name="_Toc200720408"/>
      <w:r>
        <w:rPr>
          <w:rStyle w:val="CharDivNo"/>
        </w:rPr>
        <w:lastRenderedPageBreak/>
        <w:t>Division 2</w:t>
      </w:r>
      <w:r>
        <w:t> — </w:t>
      </w:r>
      <w:r>
        <w:rPr>
          <w:rStyle w:val="CharDivText"/>
        </w:rPr>
        <w:t>Principal mining hazard management plans</w:t>
      </w:r>
      <w:bookmarkEnd w:id="904"/>
    </w:p>
    <w:p>
      <w:pPr>
        <w:pStyle w:val="Heading5"/>
      </w:pPr>
      <w:bookmarkStart w:id="905" w:name="_Toc200720409"/>
      <w:r>
        <w:rPr>
          <w:rStyle w:val="CharSectno"/>
        </w:rPr>
        <w:t>627</w:t>
      </w:r>
      <w:r>
        <w:t>.</w:t>
      </w:r>
      <w:r>
        <w:tab/>
        <w:t>Identification of principal mining hazards and conduct of risk assessments</w:t>
      </w:r>
      <w:bookmarkEnd w:id="905"/>
    </w:p>
    <w:p>
      <w:pPr>
        <w:pStyle w:val="Subsection"/>
      </w:pPr>
      <w:r>
        <w:tab/>
        <w:t>(1)</w:t>
      </w:r>
      <w:r>
        <w:tab/>
        <w:t>The mine operator of a mine must identify all principal mining hazards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mine operator of a mine, in conducting a risk assessment under subregulation (2), must — </w:t>
      </w:r>
    </w:p>
    <w:p>
      <w:pPr>
        <w:pStyle w:val="Indenta"/>
      </w:pPr>
      <w:r>
        <w:tab/>
        <w:t>(a)</w:t>
      </w:r>
      <w:r>
        <w:tab/>
        <w:t>use investigation and analysis methods that are appropriate to the principal mining hazard being considered; and</w:t>
      </w:r>
    </w:p>
    <w:p>
      <w:pPr>
        <w:pStyle w:val="Indenta"/>
      </w:pPr>
      <w:r>
        <w:tab/>
        <w:t>(b)</w:t>
      </w:r>
      <w:r>
        <w:tab/>
        <w:t>consider the principal mining hazard individually and also cumulatively with other hazards at the mine.</w:t>
      </w:r>
    </w:p>
    <w:p>
      <w:pPr>
        <w:pStyle w:val="Heading5"/>
      </w:pPr>
      <w:bookmarkStart w:id="906" w:name="_Toc200720410"/>
      <w:r>
        <w:rPr>
          <w:rStyle w:val="CharSectno"/>
        </w:rPr>
        <w:t>628</w:t>
      </w:r>
      <w:r>
        <w:t>.</w:t>
      </w:r>
      <w:r>
        <w:tab/>
        <w:t>Preparation of principal mining hazard management plan</w:t>
      </w:r>
      <w:bookmarkEnd w:id="906"/>
      <w:r>
        <w:t xml:space="preserve"> </w:t>
      </w:r>
    </w:p>
    <w:p>
      <w:pPr>
        <w:pStyle w:val="Subsection"/>
      </w:pPr>
      <w:r>
        <w:tab/>
        <w:t>(1)</w:t>
      </w:r>
      <w:r>
        <w:tab/>
        <w:t xml:space="preserve">The mine operator of a mine must prepare a principal mining hazard management plan for each principal mining hazard identified at the mine in accordance with — </w:t>
      </w:r>
    </w:p>
    <w:p>
      <w:pPr>
        <w:pStyle w:val="Indenta"/>
      </w:pPr>
      <w:r>
        <w:tab/>
        <w:t>(a)</w:t>
      </w:r>
      <w:r>
        <w:tab/>
        <w:t xml:space="preserve">this regulation; and </w:t>
      </w:r>
    </w:p>
    <w:p>
      <w:pPr>
        <w:pStyle w:val="Indenta"/>
        <w:keepNext/>
      </w:pPr>
      <w:r>
        <w:lastRenderedPageBreak/>
        <w:tab/>
        <w:t>(b)</w:t>
      </w:r>
      <w:r>
        <w:tab/>
        <w:t>if the principal mining hazard is referred to in Schedule 19 — that Schedule.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principal mining hazard management plan must — </w:t>
      </w:r>
    </w:p>
    <w:p>
      <w:pPr>
        <w:pStyle w:val="Indenta"/>
      </w:pPr>
      <w:r>
        <w:tab/>
        <w:t>(a)</w:t>
      </w:r>
      <w:r>
        <w:tab/>
        <w:t>provide for the management of all aspects of risk control in relation to the principal mining hazard; and</w:t>
      </w:r>
    </w:p>
    <w:p>
      <w:pPr>
        <w:pStyle w:val="Indenta"/>
      </w:pPr>
      <w:r>
        <w:tab/>
        <w:t>(b)</w:t>
      </w:r>
      <w:r>
        <w:tab/>
        <w:t>so far as is reasonably practicable, be set out and expressed in a way that is readily understandable by persons who use it.</w:t>
      </w:r>
    </w:p>
    <w:p>
      <w:pPr>
        <w:pStyle w:val="Subsection"/>
      </w:pPr>
      <w:r>
        <w:tab/>
        <w:t>(3)</w:t>
      </w:r>
      <w:r>
        <w:tab/>
        <w:t xml:space="preserve">A principal mining hazard management plan must set out the following — </w:t>
      </w:r>
    </w:p>
    <w:p>
      <w:pPr>
        <w:pStyle w:val="Indenta"/>
      </w:pPr>
      <w:r>
        <w:tab/>
        <w:t>(a)</w:t>
      </w:r>
      <w:r>
        <w:tab/>
        <w:t>the nature of the principal mining hazard to which the plan relates;</w:t>
      </w:r>
    </w:p>
    <w:p>
      <w:pPr>
        <w:pStyle w:val="Indenta"/>
      </w:pPr>
      <w:r>
        <w:tab/>
        <w:t>(b)</w:t>
      </w:r>
      <w:r>
        <w:tab/>
        <w:t>how the principal mining hazard relates to other hazards at the mine;</w:t>
      </w:r>
    </w:p>
    <w:p>
      <w:pPr>
        <w:pStyle w:val="Indenta"/>
      </w:pPr>
      <w:r>
        <w:tab/>
        <w:t>(c)</w:t>
      </w:r>
      <w:r>
        <w:tab/>
        <w:t>the analysis methods used in identifying the principal mining hazard;</w:t>
      </w:r>
    </w:p>
    <w:p>
      <w:pPr>
        <w:pStyle w:val="Indenta"/>
      </w:pPr>
      <w:r>
        <w:tab/>
        <w:t>(d)</w:t>
      </w:r>
      <w:r>
        <w:tab/>
        <w:t>a record of the risk assessment conducted in relation to the principal mining hazard;</w:t>
      </w:r>
    </w:p>
    <w:p>
      <w:pPr>
        <w:pStyle w:val="Indenta"/>
      </w:pPr>
      <w:r>
        <w:tab/>
        <w:t>(e)</w:t>
      </w:r>
      <w:r>
        <w:tab/>
        <w:t>the investigation and analysis methods used in determining the control measures to be implemented;</w:t>
      </w:r>
    </w:p>
    <w:p>
      <w:pPr>
        <w:pStyle w:val="Indenta"/>
      </w:pPr>
      <w:r>
        <w:tab/>
        <w:t>(f)</w:t>
      </w:r>
      <w:r>
        <w:tab/>
        <w:t>all control measures to be implemented to manage risks to health and safety associated with the principal mining hazard;</w:t>
      </w:r>
    </w:p>
    <w:p>
      <w:pPr>
        <w:pStyle w:val="Indenta"/>
      </w:pPr>
      <w:r>
        <w:tab/>
        <w:t>(g)</w:t>
      </w:r>
      <w:r>
        <w:tab/>
        <w:t>the arrangements in place for providing the information, training and instruction required by regulation 39 in relation to the principal mining hazard;</w:t>
      </w:r>
    </w:p>
    <w:p>
      <w:pPr>
        <w:pStyle w:val="Indenta"/>
        <w:keepNext/>
      </w:pPr>
      <w:r>
        <w:lastRenderedPageBreak/>
        <w:tab/>
        <w:t>(h)</w:t>
      </w:r>
      <w:r>
        <w:tab/>
        <w:t>any design principles, engineering standards and technical standards relied on for control measures for the principal mining hazard;</w:t>
      </w:r>
    </w:p>
    <w:p>
      <w:pPr>
        <w:pStyle w:val="Indenta"/>
      </w:pPr>
      <w:r>
        <w:tab/>
        <w:t>(i)</w:t>
      </w:r>
      <w:r>
        <w:tab/>
        <w:t>the reasons for adopting or rejecting all control measures considered.</w:t>
      </w:r>
    </w:p>
    <w:p>
      <w:pPr>
        <w:pStyle w:val="PermNoteHeading"/>
      </w:pPr>
      <w:r>
        <w:tab/>
        <w:t>Note for this regulation:</w:t>
      </w:r>
    </w:p>
    <w:p>
      <w:pPr>
        <w:pStyle w:val="PermNoteText"/>
      </w:pPr>
      <w:r>
        <w:tab/>
      </w:r>
      <w:r>
        <w:tab/>
        <w:t>A principal mining hazard management plan forms part of the mine safety management system for a mine under regulation 622(1)(d)(i).</w:t>
      </w:r>
    </w:p>
    <w:p>
      <w:pPr>
        <w:pStyle w:val="Heading5"/>
      </w:pPr>
      <w:bookmarkStart w:id="907" w:name="_Toc200720411"/>
      <w:r>
        <w:rPr>
          <w:rStyle w:val="CharSectno"/>
        </w:rPr>
        <w:t>629</w:t>
      </w:r>
      <w:r>
        <w:t>.</w:t>
      </w:r>
      <w:r>
        <w:tab/>
        <w:t>Review</w:t>
      </w:r>
      <w:bookmarkEnd w:id="907"/>
    </w:p>
    <w:p>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pPr>
        <w:pStyle w:val="Subsection"/>
      </w:pPr>
      <w:r>
        <w:tab/>
        <w:t>(2)</w:t>
      </w:r>
      <w:r>
        <w:tab/>
        <w:t>If a principal mining hazard management plan is revised, the mine operator must record the revision, including any revision of a risk assessment, in writing in the plan.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08" w:name="_Toc200720412"/>
      <w:r>
        <w:rPr>
          <w:rStyle w:val="CharDivNo"/>
        </w:rPr>
        <w:lastRenderedPageBreak/>
        <w:t>Division 3</w:t>
      </w:r>
      <w:r>
        <w:t> — </w:t>
      </w:r>
      <w:r>
        <w:rPr>
          <w:rStyle w:val="CharDivText"/>
        </w:rPr>
        <w:t>Specific control measures — all mines</w:t>
      </w:r>
      <w:bookmarkEnd w:id="908"/>
    </w:p>
    <w:p>
      <w:pPr>
        <w:pStyle w:val="Heading4"/>
      </w:pPr>
      <w:bookmarkStart w:id="909" w:name="_Toc200720413"/>
      <w:r>
        <w:t>Subdivision 1 — Operational controls</w:t>
      </w:r>
      <w:bookmarkEnd w:id="909"/>
    </w:p>
    <w:p>
      <w:pPr>
        <w:pStyle w:val="Heading5"/>
      </w:pPr>
      <w:bookmarkStart w:id="910" w:name="_Toc200720414"/>
      <w:r>
        <w:rPr>
          <w:rStyle w:val="CharSectno"/>
        </w:rPr>
        <w:t>630</w:t>
      </w:r>
      <w:r>
        <w:t>.</w:t>
      </w:r>
      <w:r>
        <w:tab/>
        <w:t>Communication on change of supervisors</w:t>
      </w:r>
      <w:bookmarkEnd w:id="910"/>
    </w:p>
    <w:p>
      <w:pPr>
        <w:pStyle w:val="Subsection"/>
      </w:pPr>
      <w:r>
        <w:tab/>
        <w:t>(1)</w:t>
      </w:r>
      <w:r>
        <w:tab/>
        <w:t xml:space="preserve">In this regulation — </w:t>
      </w:r>
    </w:p>
    <w:p>
      <w:pPr>
        <w:pStyle w:val="Defstart"/>
      </w:pPr>
      <w:r>
        <w:tab/>
      </w:r>
      <w:r>
        <w:rPr>
          <w:rStyle w:val="CharDefText"/>
        </w:rPr>
        <w:t>relevant supervisor</w:t>
      </w:r>
      <w:r>
        <w:t xml:space="preserve"> means — </w:t>
      </w:r>
    </w:p>
    <w:p>
      <w:pPr>
        <w:pStyle w:val="Defpara"/>
      </w:pPr>
      <w:r>
        <w:tab/>
        <w:t>(a)</w:t>
      </w:r>
      <w:r>
        <w:tab/>
        <w:t>a statutory supervisor; or</w:t>
      </w:r>
    </w:p>
    <w:p>
      <w:pPr>
        <w:pStyle w:val="Defpara"/>
      </w:pPr>
      <w:r>
        <w:tab/>
        <w:t>(b)</w:t>
      </w:r>
      <w:r>
        <w:tab/>
        <w:t>an underground supervisor (non</w:t>
      </w:r>
      <w:r>
        <w:noBreakHyphen/>
        <w:t>coal); or</w:t>
      </w:r>
    </w:p>
    <w:p>
      <w:pPr>
        <w:pStyle w:val="Defpara"/>
      </w:pPr>
      <w:r>
        <w:tab/>
        <w:t>(c)</w:t>
      </w:r>
      <w:r>
        <w:tab/>
        <w:t>an underground supervisor (coal).</w:t>
      </w:r>
    </w:p>
    <w:p>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pPr>
        <w:pStyle w:val="Subsection"/>
      </w:pPr>
      <w:r>
        <w:tab/>
        <w:t>(3)</w:t>
      </w:r>
      <w:r>
        <w:tab/>
        <w:t xml:space="preserve">The mine operator of the mine must implement a system that ensures that, as soon as practicable after the change occurs — </w:t>
      </w:r>
    </w:p>
    <w:p>
      <w:pPr>
        <w:pStyle w:val="Indenta"/>
      </w:pPr>
      <w:r>
        <w:tab/>
        <w:t>(a)</w:t>
      </w:r>
      <w:r>
        <w:tab/>
        <w:t>the outgoing supervisor provides a written report to the incoming supervisor in relation to the state of the mine workings and plant and any other matters that relate to work health or safety; and</w:t>
      </w:r>
    </w:p>
    <w:p>
      <w:pPr>
        <w:pStyle w:val="Indenta"/>
      </w:pPr>
      <w:r>
        <w:tab/>
        <w:t>(b)</w:t>
      </w:r>
      <w:r>
        <w:tab/>
        <w:t>the incoming supervisor communicates the content of the report to the workers who are, or will be, working under that supervisor.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For requirements relating to communication with workers carrying out remote or isolated work at the mine, see regulation 48.</w:t>
      </w:r>
    </w:p>
    <w:p>
      <w:pPr>
        <w:pStyle w:val="Subsection"/>
      </w:pPr>
      <w:r>
        <w:tab/>
        <w:t>(4)</w:t>
      </w:r>
      <w:r>
        <w:tab/>
        <w:t xml:space="preserve">The mine operator of the mine must — </w:t>
      </w:r>
    </w:p>
    <w:p>
      <w:pPr>
        <w:pStyle w:val="Indenta"/>
      </w:pPr>
      <w:r>
        <w:tab/>
        <w:t>(a)</w:t>
      </w:r>
      <w:r>
        <w:tab/>
        <w:t xml:space="preserve">keep a copy of any report provided by an outgoing supervisor to an incoming supervisor for the period of </w:t>
      </w:r>
      <w:r>
        <w:lastRenderedPageBreak/>
        <w:t>2 years after the day on which the report is provided; and</w:t>
      </w:r>
    </w:p>
    <w:p>
      <w:pPr>
        <w:pStyle w:val="Indenta"/>
      </w:pPr>
      <w:r>
        <w:tab/>
        <w:t>(b)</w:t>
      </w:r>
      <w:r>
        <w:tab/>
        <w:t>during that period of 2 years, make the copy available to an inspector when requested by an inspector.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11" w:name="_Toc200720415"/>
      <w:r>
        <w:rPr>
          <w:rStyle w:val="CharSectno"/>
        </w:rPr>
        <w:t>631</w:t>
      </w:r>
      <w:r>
        <w:t>.</w:t>
      </w:r>
      <w:r>
        <w:tab/>
        <w:t>Movement of mobile plant</w:t>
      </w:r>
      <w:bookmarkEnd w:id="911"/>
    </w:p>
    <w:p>
      <w:pPr>
        <w:pStyle w:val="Subsection"/>
      </w:pPr>
      <w:r>
        <w:tab/>
        <w:t>(1)</w:t>
      </w:r>
      <w:r>
        <w:tab/>
        <w:t>In complying with regulation 617, the mine operator of a mine must manage risks to health and safety associated with the movement of mobile plant at the mine.</w:t>
      </w:r>
    </w:p>
    <w:p>
      <w:pPr>
        <w:pStyle w:val="Subsection"/>
      </w:pPr>
      <w:r>
        <w:tab/>
        <w:t>(2)</w:t>
      </w:r>
      <w:r>
        <w:tab/>
        <w:t xml:space="preserve">In managing risks to health and safety associated with the movement of mobile plant at the mine, the mine operator must have regard to all relevant matters, including the following — </w:t>
      </w:r>
    </w:p>
    <w:p>
      <w:pPr>
        <w:pStyle w:val="Indenta"/>
      </w:pPr>
      <w:r>
        <w:tab/>
        <w:t>(a)</w:t>
      </w:r>
      <w:r>
        <w:tab/>
        <w:t>the design, layout, construction and maintenance of all roads and other areas at the mine used by mobile plant;</w:t>
      </w:r>
    </w:p>
    <w:p>
      <w:pPr>
        <w:pStyle w:val="Indenta"/>
      </w:pPr>
      <w:r>
        <w:tab/>
        <w:t>(b)</w:t>
      </w:r>
      <w:r>
        <w:tab/>
        <w:t>the selection of suitable mobile plant to operate in the work environment at the mine;</w:t>
      </w:r>
    </w:p>
    <w:p>
      <w:pPr>
        <w:pStyle w:val="Indenta"/>
      </w:pPr>
      <w:r>
        <w:tab/>
        <w:t>(c)</w:t>
      </w:r>
      <w:r>
        <w:tab/>
        <w:t>interactions between mobile plant, especially between large and small mobile plant;</w:t>
      </w:r>
    </w:p>
    <w:p>
      <w:pPr>
        <w:pStyle w:val="Indenta"/>
      </w:pPr>
      <w:r>
        <w:tab/>
        <w:t>(d)</w:t>
      </w:r>
      <w:r>
        <w:tab/>
        <w:t>interactions between mobile plant and fixed plant or structures;</w:t>
      </w:r>
    </w:p>
    <w:p>
      <w:pPr>
        <w:pStyle w:val="Indenta"/>
      </w:pPr>
      <w:r>
        <w:tab/>
        <w:t>(e)</w:t>
      </w:r>
      <w:r>
        <w:tab/>
        <w:t>interactions between mobile plant and pedestrians (including the use of pre­movement warnings for mobile plant in mine workings);</w:t>
      </w:r>
    </w:p>
    <w:p>
      <w:pPr>
        <w:pStyle w:val="Indenta"/>
      </w:pPr>
      <w:r>
        <w:tab/>
        <w:t>(f)</w:t>
      </w:r>
      <w:r>
        <w:tab/>
        <w:t>the operation of mobile plant that is externally</w:t>
      </w:r>
      <w:r>
        <w:noBreakHyphen/>
        <w:t>controlled plant;</w:t>
      </w:r>
    </w:p>
    <w:p>
      <w:pPr>
        <w:pStyle w:val="Indenta"/>
      </w:pPr>
      <w:r>
        <w:tab/>
        <w:t>(g)</w:t>
      </w:r>
      <w:r>
        <w:tab/>
        <w:t>the maintenance, testing and inspection of brakes, steering, lights and other safety features of the mobile plant;</w:t>
      </w:r>
    </w:p>
    <w:p>
      <w:pPr>
        <w:pStyle w:val="Indenta"/>
        <w:keepNext/>
      </w:pPr>
      <w:r>
        <w:lastRenderedPageBreak/>
        <w:tab/>
        <w:t>(h)</w:t>
      </w:r>
      <w:r>
        <w:tab/>
        <w:t>competence of operators and maintenance personnel.</w:t>
      </w:r>
    </w:p>
    <w:p>
      <w:pPr>
        <w:pStyle w:val="PermNoteHeading"/>
      </w:pPr>
      <w:r>
        <w:tab/>
        <w:t>Note for this regulation:</w:t>
      </w:r>
    </w:p>
    <w:p>
      <w:pPr>
        <w:pStyle w:val="PermNoteText"/>
      </w:pPr>
      <w:r>
        <w:tab/>
      </w:r>
      <w:r>
        <w:tab/>
        <w:t>Part 5.1 Division 7 also includes requirements relating to mobile plant.</w:t>
      </w:r>
    </w:p>
    <w:p>
      <w:pPr>
        <w:pStyle w:val="Heading5"/>
      </w:pPr>
      <w:bookmarkStart w:id="912" w:name="_Toc200720416"/>
      <w:r>
        <w:rPr>
          <w:rStyle w:val="CharSectno"/>
        </w:rPr>
        <w:t>631A</w:t>
      </w:r>
      <w:r>
        <w:t>.</w:t>
      </w:r>
      <w:r>
        <w:tab/>
        <w:t>Inrush hazards</w:t>
      </w:r>
      <w:bookmarkEnd w:id="912"/>
    </w:p>
    <w:p>
      <w:pPr>
        <w:pStyle w:val="Subsection"/>
      </w:pPr>
      <w:r>
        <w:tab/>
        <w:t>(1)</w:t>
      </w:r>
      <w:r>
        <w:tab/>
        <w:t>In complying with regulation 617, the mine operator of a mine must manage risks to health and safety associated with inrush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potential sources of water, slurry, rocks, gases or other substances from where inrush might originate;</w:t>
      </w:r>
    </w:p>
    <w:p>
      <w:pPr>
        <w:pStyle w:val="Indenta"/>
      </w:pPr>
      <w:r>
        <w:tab/>
        <w:t>(b)</w:t>
      </w:r>
      <w:r>
        <w:tab/>
        <w:t>potential failures of a barrier holding water or another substance that might cause inrush;</w:t>
      </w:r>
    </w:p>
    <w:p>
      <w:pPr>
        <w:pStyle w:val="Indenta"/>
      </w:pPr>
      <w:r>
        <w:tab/>
        <w:t>(c)</w:t>
      </w:r>
      <w:r>
        <w:tab/>
        <w:t>potential flow paths of inrush;</w:t>
      </w:r>
    </w:p>
    <w:p>
      <w:pPr>
        <w:pStyle w:val="Indenta"/>
      </w:pPr>
      <w:r>
        <w:tab/>
        <w:t>(d)</w:t>
      </w:r>
      <w:r>
        <w:tab/>
        <w:t>areas likely to be affected by inrush;</w:t>
      </w:r>
    </w:p>
    <w:p>
      <w:pPr>
        <w:pStyle w:val="Indenta"/>
      </w:pPr>
      <w:r>
        <w:tab/>
        <w:t>(e)</w:t>
      </w:r>
      <w:r>
        <w:tab/>
        <w:t>precautions and controls that might protect against inrushes.</w:t>
      </w:r>
    </w:p>
    <w:p>
      <w:pPr>
        <w:pStyle w:val="Heading5"/>
      </w:pPr>
      <w:bookmarkStart w:id="913" w:name="_Toc200720417"/>
      <w:r>
        <w:rPr>
          <w:rStyle w:val="CharSectno"/>
        </w:rPr>
        <w:t>631B</w:t>
      </w:r>
      <w:r>
        <w:t>.</w:t>
      </w:r>
      <w:r>
        <w:tab/>
        <w:t>Geotechnical structures</w:t>
      </w:r>
      <w:bookmarkEnd w:id="913"/>
    </w:p>
    <w:p>
      <w:pPr>
        <w:pStyle w:val="Subsection"/>
      </w:pPr>
      <w:r>
        <w:tab/>
        <w:t>(1)</w:t>
      </w:r>
      <w:r>
        <w:tab/>
        <w:t>In complying with regulation 617, the mine operator of a mine must manage risks to health and safety associated with the instability or failure of geotechnical structures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geological structures, hydrological environment and their influence on stability;</w:t>
      </w:r>
    </w:p>
    <w:p>
      <w:pPr>
        <w:pStyle w:val="Indenta"/>
      </w:pPr>
      <w:r>
        <w:tab/>
        <w:t>(b)</w:t>
      </w:r>
      <w:r>
        <w:tab/>
        <w:t>design, location, construction and maintenance of geotechnical structures;</w:t>
      </w:r>
    </w:p>
    <w:p>
      <w:pPr>
        <w:pStyle w:val="Indenta"/>
      </w:pPr>
      <w:r>
        <w:lastRenderedPageBreak/>
        <w:tab/>
        <w:t>(c)</w:t>
      </w:r>
      <w:r>
        <w:tab/>
        <w:t xml:space="preserve">properties of material associated with the geotechnical structures; </w:t>
      </w:r>
    </w:p>
    <w:p>
      <w:pPr>
        <w:pStyle w:val="Indenta"/>
      </w:pPr>
      <w:r>
        <w:tab/>
        <w:t>(d)</w:t>
      </w:r>
      <w:r>
        <w:tab/>
        <w:t>operational factors and their influence on stability of geotechnical structures;</w:t>
      </w:r>
    </w:p>
    <w:p>
      <w:pPr>
        <w:pStyle w:val="Indenta"/>
      </w:pPr>
      <w:r>
        <w:tab/>
        <w:t>(e)</w:t>
      </w:r>
      <w:r>
        <w:tab/>
        <w:t>design, installation, quality control and maintenance of ground support and reinforcement;</w:t>
      </w:r>
    </w:p>
    <w:p>
      <w:pPr>
        <w:pStyle w:val="Indenta"/>
      </w:pPr>
      <w:r>
        <w:tab/>
        <w:t>(f)</w:t>
      </w:r>
      <w:r>
        <w:tab/>
        <w:t>design life of geotechnical structures;</w:t>
      </w:r>
    </w:p>
    <w:p>
      <w:pPr>
        <w:pStyle w:val="Indenta"/>
      </w:pPr>
      <w:r>
        <w:tab/>
        <w:t>(g)</w:t>
      </w:r>
      <w:r>
        <w:tab/>
        <w:t>inspection and monitoring of geotechnical structures;</w:t>
      </w:r>
    </w:p>
    <w:p>
      <w:pPr>
        <w:pStyle w:val="Indenta"/>
      </w:pPr>
      <w:r>
        <w:tab/>
        <w:t>(h)</w:t>
      </w:r>
      <w:r>
        <w:tab/>
        <w:t>competency of designers, planners, supervisors and operators.</w:t>
      </w:r>
    </w:p>
    <w:p>
      <w:pPr>
        <w:pStyle w:val="Subsection"/>
      </w:pPr>
      <w:r>
        <w:tab/>
        <w:t>(3)</w:t>
      </w:r>
      <w:r>
        <w:tab/>
        <w:t>Subregulation (1) applies to design, construction, operation, maintenance and closure of the mine.</w:t>
      </w:r>
    </w:p>
    <w:p>
      <w:pPr>
        <w:pStyle w:val="Heading5"/>
      </w:pPr>
      <w:bookmarkStart w:id="914" w:name="_Toc200720418"/>
      <w:r>
        <w:rPr>
          <w:rStyle w:val="CharSectno"/>
        </w:rPr>
        <w:t>631C</w:t>
      </w:r>
      <w:r>
        <w:t>.</w:t>
      </w:r>
      <w:r>
        <w:tab/>
        <w:t>Quarry operations</w:t>
      </w:r>
      <w:bookmarkEnd w:id="914"/>
    </w:p>
    <w:p>
      <w:pPr>
        <w:pStyle w:val="Subsection"/>
      </w:pPr>
      <w:r>
        <w:tab/>
        <w:t>(1)</w:t>
      </w:r>
      <w:r>
        <w:tab/>
        <w:t>In complying with regulation 617, the mine operator of a mine must manage risks to health and safety associated with quarry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design, layout, operation, maintenance and closure of the quarry operation;</w:t>
      </w:r>
    </w:p>
    <w:p>
      <w:pPr>
        <w:pStyle w:val="Indenta"/>
      </w:pPr>
      <w:r>
        <w:tab/>
        <w:t>(b)</w:t>
      </w:r>
      <w:r>
        <w:tab/>
        <w:t>loading and dumping of material into or from vehicles;</w:t>
      </w:r>
    </w:p>
    <w:p>
      <w:pPr>
        <w:pStyle w:val="Indenta"/>
      </w:pPr>
      <w:r>
        <w:tab/>
        <w:t>(c)</w:t>
      </w:r>
      <w:r>
        <w:tab/>
        <w:t>demarcation of edges of geotechnical structures and illumination;</w:t>
      </w:r>
    </w:p>
    <w:p>
      <w:pPr>
        <w:pStyle w:val="Indenta"/>
      </w:pPr>
      <w:r>
        <w:tab/>
        <w:t>(d)</w:t>
      </w:r>
      <w:r>
        <w:tab/>
        <w:t>protection against fall of equipment and persons;</w:t>
      </w:r>
    </w:p>
    <w:p>
      <w:pPr>
        <w:pStyle w:val="Indenta"/>
      </w:pPr>
      <w:r>
        <w:tab/>
        <w:t>(e)</w:t>
      </w:r>
      <w:r>
        <w:tab/>
        <w:t>adverse effects of quarry operations during mining and after closure of the mine on nearby structures that are not part of the mine;</w:t>
      </w:r>
    </w:p>
    <w:p>
      <w:pPr>
        <w:pStyle w:val="Indenta"/>
      </w:pPr>
      <w:r>
        <w:tab/>
        <w:t>(f)</w:t>
      </w:r>
      <w:r>
        <w:tab/>
        <w:t>unauthorised inadvertent access into quarry operations, whether those operations are suspended or closed.</w:t>
      </w:r>
    </w:p>
    <w:p>
      <w:pPr>
        <w:pStyle w:val="Heading5"/>
      </w:pPr>
      <w:bookmarkStart w:id="915" w:name="_Toc200720419"/>
      <w:r>
        <w:rPr>
          <w:rStyle w:val="CharSectno"/>
        </w:rPr>
        <w:lastRenderedPageBreak/>
        <w:t>631D</w:t>
      </w:r>
      <w:r>
        <w:t>.</w:t>
      </w:r>
      <w:r>
        <w:tab/>
        <w:t>Managing risks to health and safety in relation to explosives</w:t>
      </w:r>
      <w:bookmarkEnd w:id="915"/>
      <w:r>
        <w:t xml:space="preserve"> </w:t>
      </w:r>
    </w:p>
    <w:p>
      <w:pPr>
        <w:pStyle w:val="Subsection"/>
      </w:pPr>
      <w:r>
        <w:tab/>
        <w:t>(1)</w:t>
      </w:r>
      <w:r>
        <w:tab/>
        <w:t>In complying with regulation 617, the mine operator of a mine must manage risks to health and safety associated with the manufacture, storage, transport, supply, use and disposal of explosives at the mine.</w:t>
      </w:r>
    </w:p>
    <w:p>
      <w:pPr>
        <w:pStyle w:val="PermNoteHeading"/>
      </w:pPr>
      <w:r>
        <w:tab/>
        <w:t>Note for this subregulation:</w:t>
      </w:r>
    </w:p>
    <w:p>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location and layout of surface and underground magazines with respect to their surroundings;</w:t>
      </w:r>
    </w:p>
    <w:p>
      <w:pPr>
        <w:pStyle w:val="Indenta"/>
      </w:pPr>
      <w:r>
        <w:tab/>
        <w:t>(b)</w:t>
      </w:r>
      <w:r>
        <w:tab/>
        <w:t>capacity of an underground magazine, having regard to the consumption of explosives for underground usage;</w:t>
      </w:r>
    </w:p>
    <w:p>
      <w:pPr>
        <w:pStyle w:val="Indenta"/>
      </w:pPr>
      <w:r>
        <w:tab/>
        <w:t>(c)</w:t>
      </w:r>
      <w:r>
        <w:tab/>
        <w:t>safe lighting in and around magazines and where explosives are prepared and used;</w:t>
      </w:r>
    </w:p>
    <w:p>
      <w:pPr>
        <w:pStyle w:val="Indenta"/>
      </w:pPr>
      <w:r>
        <w:tab/>
        <w:t>(d)</w:t>
      </w:r>
      <w:r>
        <w:tab/>
        <w:t>selection, use, testing and maintenance of equipment used to transport, handle, prepare, test, charge and fire explosives;</w:t>
      </w:r>
    </w:p>
    <w:p>
      <w:pPr>
        <w:pStyle w:val="Indenta"/>
      </w:pPr>
      <w:r>
        <w:tab/>
        <w:t>(e)</w:t>
      </w:r>
      <w:r>
        <w:tab/>
        <w:t>selection of explosives for specific duty and environment;</w:t>
      </w:r>
    </w:p>
    <w:p>
      <w:pPr>
        <w:pStyle w:val="Indenta"/>
      </w:pPr>
      <w:r>
        <w:tab/>
        <w:t>(f)</w:t>
      </w:r>
      <w:r>
        <w:tab/>
        <w:t>transport of explosives to the magazines and workplaces;</w:t>
      </w:r>
    </w:p>
    <w:p>
      <w:pPr>
        <w:pStyle w:val="Indenta"/>
      </w:pPr>
      <w:r>
        <w:tab/>
        <w:t>(g)</w:t>
      </w:r>
      <w:r>
        <w:tab/>
        <w:t>blast design;</w:t>
      </w:r>
    </w:p>
    <w:p>
      <w:pPr>
        <w:pStyle w:val="Indenta"/>
      </w:pPr>
      <w:r>
        <w:tab/>
        <w:t>(h)</w:t>
      </w:r>
      <w:r>
        <w:tab/>
        <w:t>preparation, approval and implementation of blast plans;</w:t>
      </w:r>
    </w:p>
    <w:p>
      <w:pPr>
        <w:pStyle w:val="Indenta"/>
      </w:pPr>
      <w:r>
        <w:tab/>
        <w:t>(i)</w:t>
      </w:r>
      <w:r>
        <w:tab/>
        <w:t>management of activities when and where explosives are prepared, charged or blasted, and making the area safe;</w:t>
      </w:r>
    </w:p>
    <w:p>
      <w:pPr>
        <w:pStyle w:val="Indenta"/>
      </w:pPr>
      <w:r>
        <w:tab/>
        <w:t>(j)</w:t>
      </w:r>
      <w:r>
        <w:tab/>
        <w:t>selection, testing, maintenance and use of initiation systems;</w:t>
      </w:r>
    </w:p>
    <w:p>
      <w:pPr>
        <w:pStyle w:val="Indenta"/>
      </w:pPr>
      <w:r>
        <w:lastRenderedPageBreak/>
        <w:tab/>
        <w:t>(k)</w:t>
      </w:r>
      <w:r>
        <w:tab/>
        <w:t>precautions against unintended detonation, including precautions against lightning, electric storm, electric current, electrostatic charge and electromagnetic radiation;</w:t>
      </w:r>
    </w:p>
    <w:p>
      <w:pPr>
        <w:pStyle w:val="Indenta"/>
      </w:pPr>
      <w:r>
        <w:tab/>
        <w:t>(l)</w:t>
      </w:r>
      <w:r>
        <w:tab/>
        <w:t>drilling, excavating, loading or other activities in areas where explosives are or may be present;</w:t>
      </w:r>
    </w:p>
    <w:p>
      <w:pPr>
        <w:pStyle w:val="Indenta"/>
      </w:pPr>
      <w:r>
        <w:tab/>
        <w:t>(m)</w:t>
      </w:r>
      <w:r>
        <w:tab/>
        <w:t>post</w:t>
      </w:r>
      <w:r>
        <w:noBreakHyphen/>
        <w:t>blast inspection and detection of and dealing with misfires;</w:t>
      </w:r>
    </w:p>
    <w:p>
      <w:pPr>
        <w:pStyle w:val="Indenta"/>
      </w:pPr>
      <w:r>
        <w:tab/>
        <w:t>(n)</w:t>
      </w:r>
      <w:r>
        <w:tab/>
        <w:t>precautions against fly rock affecting workers and public areas, property or infrastructure not belonging to the mine operator;</w:t>
      </w:r>
    </w:p>
    <w:p>
      <w:pPr>
        <w:pStyle w:val="Indenta"/>
      </w:pPr>
      <w:r>
        <w:tab/>
        <w:t>(o)</w:t>
      </w:r>
      <w:r>
        <w:tab/>
        <w:t>firing times;</w:t>
      </w:r>
    </w:p>
    <w:p>
      <w:pPr>
        <w:pStyle w:val="Indenta"/>
      </w:pPr>
      <w:r>
        <w:tab/>
        <w:t>(p)</w:t>
      </w:r>
      <w:r>
        <w:tab/>
        <w:t>restriction of ignition sources, including smoking near explosives;</w:t>
      </w:r>
    </w:p>
    <w:p>
      <w:pPr>
        <w:pStyle w:val="Indenta"/>
      </w:pPr>
      <w:r>
        <w:tab/>
        <w:t>(q)</w:t>
      </w:r>
      <w:r>
        <w:tab/>
        <w:t>blasting in hot, reactive or wet ground;</w:t>
      </w:r>
    </w:p>
    <w:p>
      <w:pPr>
        <w:pStyle w:val="Indenta"/>
      </w:pPr>
      <w:r>
        <w:tab/>
        <w:t>(r)</w:t>
      </w:r>
      <w:r>
        <w:tab/>
        <w:t>disposal of explosives;</w:t>
      </w:r>
    </w:p>
    <w:p>
      <w:pPr>
        <w:pStyle w:val="Indenta"/>
      </w:pPr>
      <w:r>
        <w:tab/>
        <w:t>(s)</w:t>
      </w:r>
      <w:r>
        <w:tab/>
        <w:t>competency of people who design blasts and store, transport, handle, use and dispose of explosives;</w:t>
      </w:r>
    </w:p>
    <w:p>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pPr>
        <w:pStyle w:val="Heading5"/>
      </w:pPr>
      <w:bookmarkStart w:id="916" w:name="_Toc200720420"/>
      <w:r>
        <w:rPr>
          <w:rStyle w:val="CharSectno"/>
        </w:rPr>
        <w:t>631E</w:t>
      </w:r>
      <w:r>
        <w:t>.</w:t>
      </w:r>
      <w:r>
        <w:tab/>
        <w:t>Externally</w:t>
      </w:r>
      <w:r>
        <w:noBreakHyphen/>
        <w:t>controlled plant</w:t>
      </w:r>
      <w:bookmarkEnd w:id="916"/>
    </w:p>
    <w:p>
      <w:pPr>
        <w:pStyle w:val="Subsection"/>
      </w:pPr>
      <w:r>
        <w:tab/>
        <w:t>(1)</w:t>
      </w:r>
      <w:r>
        <w:tab/>
        <w:t>The mine operator of a mine must ensure, so far as is reasonably practicable, that the use of externally</w:t>
      </w:r>
      <w:r>
        <w:noBreakHyphen/>
        <w:t xml:space="preserve">controlled plant at the </w:t>
      </w:r>
      <w:r>
        <w:lastRenderedPageBreak/>
        <w:t>mine is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222 in relation to industrial robots.</w:t>
      </w:r>
    </w:p>
    <w:p>
      <w:pPr>
        <w:pStyle w:val="Heading5"/>
      </w:pPr>
      <w:bookmarkStart w:id="917" w:name="_Toc200720421"/>
      <w:r>
        <w:rPr>
          <w:rStyle w:val="CharSectno"/>
        </w:rPr>
        <w:t>632</w:t>
      </w:r>
      <w:r>
        <w:t>.</w:t>
      </w:r>
      <w:r>
        <w:tab/>
        <w:t>Prohibited uses</w:t>
      </w:r>
      <w:bookmarkEnd w:id="917"/>
    </w:p>
    <w:p>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pPr>
        <w:pStyle w:val="Penstart"/>
      </w:pPr>
      <w:r>
        <w:tab/>
        <w:t>Penalty:</w:t>
      </w:r>
    </w:p>
    <w:p>
      <w:pPr>
        <w:pStyle w:val="Penpara"/>
      </w:pPr>
      <w:r>
        <w:tab/>
        <w:t>(a)</w:t>
      </w:r>
      <w:r>
        <w:tab/>
        <w:t>for an individual, a fine of $1 450;</w:t>
      </w:r>
    </w:p>
    <w:p>
      <w:pPr>
        <w:pStyle w:val="Penpara"/>
      </w:pPr>
      <w:r>
        <w:lastRenderedPageBreak/>
        <w:tab/>
        <w:t>(b)</w:t>
      </w:r>
      <w:r>
        <w:tab/>
        <w:t>for a body corporate, a fine of $7 000.</w:t>
      </w:r>
    </w:p>
    <w:p>
      <w:pPr>
        <w:pStyle w:val="Heading5"/>
        <w:keepNext w:val="0"/>
      </w:pPr>
      <w:bookmarkStart w:id="918" w:name="_Toc200720422"/>
      <w:r>
        <w:t>633.</w:t>
      </w:r>
      <w:r>
        <w:tab/>
        <w:t>Not used</w:t>
      </w:r>
      <w:bookmarkEnd w:id="918"/>
    </w:p>
    <w:p>
      <w:pPr>
        <w:pStyle w:val="Heading5"/>
      </w:pPr>
      <w:bookmarkStart w:id="919" w:name="_Toc200720423"/>
      <w:r>
        <w:rPr>
          <w:rStyle w:val="CharSectno"/>
        </w:rPr>
        <w:t>634</w:t>
      </w:r>
      <w:r>
        <w:t>.</w:t>
      </w:r>
      <w:r>
        <w:tab/>
        <w:t>Minimum age to work at mine</w:t>
      </w:r>
      <w:bookmarkEnd w:id="919"/>
    </w:p>
    <w:p>
      <w:pPr>
        <w:pStyle w:val="Subsection"/>
      </w:pPr>
      <w:r>
        <w:tab/>
        <w:t>(1)</w:t>
      </w:r>
      <w:r>
        <w:tab/>
        <w:t xml:space="preserve">The mine operator of a mine must take all reasonable steps to ensure the following — </w:t>
      </w:r>
    </w:p>
    <w:p>
      <w:pPr>
        <w:pStyle w:val="Indenta"/>
      </w:pPr>
      <w:r>
        <w:tab/>
        <w:t>(a)</w:t>
      </w:r>
      <w:r>
        <w:tab/>
        <w:t>that a person under 16 years of age does not work at the mine;</w:t>
      </w:r>
    </w:p>
    <w:p>
      <w:pPr>
        <w:pStyle w:val="Indenta"/>
      </w:pPr>
      <w:r>
        <w:tab/>
        <w:t>(b)</w:t>
      </w:r>
      <w:r>
        <w:tab/>
        <w:t>if the mine is an underground mine — that a person under 18 years of age does not work underground at the mine;</w:t>
      </w:r>
    </w:p>
    <w:p>
      <w:pPr>
        <w:pStyle w:val="Indenta"/>
      </w:pPr>
      <w:r>
        <w:tab/>
        <w:t>(c)</w:t>
      </w:r>
      <w:r>
        <w:tab/>
        <w:t>that a person under 18 years of age does not work in any area designated in an approved radiation management plan for the mine as a controlled area.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(1)(b) and (c) does not apply to an apprentice if the work is for the purpose of enabling the apprentice to gain required experience in the course of training for a profession or trade.</w:t>
      </w:r>
    </w:p>
    <w:p>
      <w:pPr>
        <w:pStyle w:val="Heading5"/>
      </w:pPr>
      <w:bookmarkStart w:id="920" w:name="_Toc200720424"/>
      <w:r>
        <w:rPr>
          <w:rStyle w:val="CharSectno"/>
        </w:rPr>
        <w:t>634A</w:t>
      </w:r>
      <w:r>
        <w:t>.</w:t>
      </w:r>
      <w:r>
        <w:tab/>
        <w:t>Inspections</w:t>
      </w:r>
      <w:bookmarkEnd w:id="920"/>
    </w:p>
    <w:p>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An inspection of a workplace must cover the matters necessary for ensuring the health and safety of persons, including, for example, the following matters — </w:t>
      </w:r>
    </w:p>
    <w:p>
      <w:pPr>
        <w:pStyle w:val="Indenta"/>
      </w:pPr>
      <w:r>
        <w:tab/>
        <w:t>(a)</w:t>
      </w:r>
      <w:r>
        <w:tab/>
        <w:t>the physical site of the workplace;</w:t>
      </w:r>
    </w:p>
    <w:p>
      <w:pPr>
        <w:pStyle w:val="Indenta"/>
      </w:pPr>
      <w:r>
        <w:tab/>
        <w:t>(b)</w:t>
      </w:r>
      <w:r>
        <w:tab/>
        <w:t>the work environment at the workplace;</w:t>
      </w:r>
    </w:p>
    <w:p>
      <w:pPr>
        <w:pStyle w:val="Indenta"/>
      </w:pPr>
      <w:r>
        <w:tab/>
        <w:t>(c)</w:t>
      </w:r>
      <w:r>
        <w:tab/>
        <w:t>the activities carried out at the workplace;</w:t>
      </w:r>
    </w:p>
    <w:p>
      <w:pPr>
        <w:pStyle w:val="Indenta"/>
      </w:pPr>
      <w:r>
        <w:tab/>
        <w:t>(d)</w:t>
      </w:r>
      <w:r>
        <w:tab/>
        <w:t>the plant at the workplace;</w:t>
      </w:r>
    </w:p>
    <w:p>
      <w:pPr>
        <w:pStyle w:val="Indenta"/>
      </w:pPr>
      <w:r>
        <w:tab/>
        <w:t>(e)</w:t>
      </w:r>
      <w:r>
        <w:tab/>
        <w:t>potential hazards at the workplace.</w:t>
      </w:r>
    </w:p>
    <w:p>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pPr>
        <w:pStyle w:val="Subsection"/>
      </w:pPr>
      <w:r>
        <w:tab/>
        <w:t>(4)</w:t>
      </w:r>
      <w:r>
        <w:tab/>
        <w:t xml:space="preserve">The arrangements for inspections of a workplace at a mine must provide that inspections, other than inspections of electrical work referred to in subregulation (3), be carried out by — </w:t>
      </w:r>
    </w:p>
    <w:p>
      <w:pPr>
        <w:pStyle w:val="Indenta"/>
      </w:pPr>
      <w:r>
        <w:tab/>
        <w:t>(a)</w:t>
      </w:r>
      <w:r>
        <w:tab/>
        <w:t>if a statutory supervisor is appointed for a place at the mine — the statutory supervisor for the place; or</w:t>
      </w:r>
    </w:p>
    <w:p>
      <w:pPr>
        <w:pStyle w:val="Indenta"/>
      </w:pPr>
      <w:r>
        <w:tab/>
        <w:t>(b)</w:t>
      </w:r>
      <w:r>
        <w:tab/>
        <w:t>if an underground supervisor (non</w:t>
      </w:r>
      <w:r>
        <w:noBreakHyphen/>
        <w:t>coal) or underground supervisor (coal) is appointed at the workplace — the supervisor of the workplace; or</w:t>
      </w:r>
    </w:p>
    <w:p>
      <w:pPr>
        <w:pStyle w:val="Indenta"/>
      </w:pPr>
      <w:r>
        <w:tab/>
        <w:t>(c)</w:t>
      </w:r>
      <w:r>
        <w:tab/>
        <w:t>otherwise — a competent person appointed by the mine operator for the purpose.</w:t>
      </w:r>
    </w:p>
    <w:p>
      <w:pPr>
        <w:pStyle w:val="Subsection"/>
      </w:pPr>
      <w:r>
        <w:tab/>
        <w:t>(5)</w:t>
      </w:r>
      <w:r>
        <w:tab/>
        <w:t>The arrangements for inspections must be based on a risk assessment of the workplaces at the mine conducted by the mine operator.</w:t>
      </w:r>
    </w:p>
    <w:p>
      <w:pPr>
        <w:pStyle w:val="Subsection"/>
      </w:pPr>
      <w:r>
        <w:tab/>
        <w:t>(6)</w:t>
      </w:r>
      <w:r>
        <w:tab/>
        <w:t xml:space="preserve">The arrangements for inspections must provide for the following — </w:t>
      </w:r>
    </w:p>
    <w:p>
      <w:pPr>
        <w:pStyle w:val="Indenta"/>
      </w:pPr>
      <w:r>
        <w:tab/>
        <w:t>(a)</w:t>
      </w:r>
      <w:r>
        <w:tab/>
        <w:t>the procedures for conducting inspections;</w:t>
      </w:r>
    </w:p>
    <w:p>
      <w:pPr>
        <w:pStyle w:val="Indenta"/>
      </w:pPr>
      <w:r>
        <w:tab/>
        <w:t>(b)</w:t>
      </w:r>
      <w:r>
        <w:tab/>
        <w:t>when inspections are to be conducted;</w:t>
      </w:r>
    </w:p>
    <w:p>
      <w:pPr>
        <w:pStyle w:val="Indenta"/>
      </w:pPr>
      <w:r>
        <w:tab/>
        <w:t>(c)</w:t>
      </w:r>
      <w:r>
        <w:tab/>
        <w:t>the levels of competence required of persons who conduct inspections;</w:t>
      </w:r>
    </w:p>
    <w:p>
      <w:pPr>
        <w:pStyle w:val="Indenta"/>
      </w:pPr>
      <w:r>
        <w:lastRenderedPageBreak/>
        <w:tab/>
        <w:t>(d)</w:t>
      </w:r>
      <w:r>
        <w:tab/>
        <w:t>the number of competent persons required to conduct inspections.</w:t>
      </w:r>
    </w:p>
    <w:p>
      <w:pPr>
        <w:pStyle w:val="Heading4"/>
      </w:pPr>
      <w:bookmarkStart w:id="921" w:name="_Toc200720425"/>
      <w:r>
        <w:t>Subdivision 2 — Air quality and monitoring</w:t>
      </w:r>
      <w:bookmarkEnd w:id="921"/>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mines see Division 4 Subdivision 2.</w:t>
      </w:r>
    </w:p>
    <w:p>
      <w:pPr>
        <w:pStyle w:val="PermNoteText"/>
      </w:pPr>
      <w:r>
        <w:tab/>
        <w:t>3.</w:t>
      </w:r>
      <w:r>
        <w:tab/>
        <w:t>In relation to underground coal mines see Division 4 Subdivision 3.</w:t>
      </w:r>
    </w:p>
    <w:p>
      <w:pPr>
        <w:pStyle w:val="PermNoteText"/>
      </w:pPr>
      <w:r>
        <w:tab/>
        <w:t>4.</w:t>
      </w:r>
      <w:r>
        <w:tab/>
        <w:t>See also Division 5 and Part 10.3 Division 1.</w:t>
      </w:r>
    </w:p>
    <w:p>
      <w:pPr>
        <w:pStyle w:val="Heading5"/>
      </w:pPr>
      <w:bookmarkStart w:id="922" w:name="_Toc200720426"/>
      <w:r>
        <w:rPr>
          <w:rStyle w:val="CharSectno"/>
        </w:rPr>
        <w:t>635</w:t>
      </w:r>
      <w:r>
        <w:t>.</w:t>
      </w:r>
      <w:r>
        <w:tab/>
        <w:t>Temperature and moisture content of air</w:t>
      </w:r>
      <w:bookmarkEnd w:id="922"/>
    </w:p>
    <w:p>
      <w:pPr>
        <w:pStyle w:val="Subsection"/>
        <w:keepNext/>
      </w:pPr>
      <w:r>
        <w:tab/>
      </w:r>
      <w:r>
        <w:tab/>
        <w:t xml:space="preserve">In complying with regulation 617, the mine operator of a mine must — </w:t>
      </w:r>
    </w:p>
    <w:p>
      <w:pPr>
        <w:pStyle w:val="Indenta"/>
      </w:pPr>
      <w:r>
        <w:tab/>
        <w:t>(a)</w:t>
      </w:r>
      <w:r>
        <w:tab/>
        <w:t>manage risks to health and safety associated with extremes of either or both the temperature and moisture content of air; and</w:t>
      </w:r>
    </w:p>
    <w:p>
      <w:pPr>
        <w:pStyle w:val="Indenta"/>
      </w:pPr>
      <w:r>
        <w:tab/>
        <w:t>(b)</w:t>
      </w:r>
      <w:r>
        <w:tab/>
        <w:t xml:space="preserve">if risks associated with extreme heat exist in an underground mine — implement control measures (including monitoring) to manage heat stress in places in the mine where — </w:t>
      </w:r>
    </w:p>
    <w:p>
      <w:pPr>
        <w:pStyle w:val="Indenti"/>
      </w:pPr>
      <w:r>
        <w:tab/>
        <w:t>(i)</w:t>
      </w:r>
      <w:r>
        <w:tab/>
        <w:t>persons work or travel; and</w:t>
      </w:r>
    </w:p>
    <w:p>
      <w:pPr>
        <w:pStyle w:val="Indenti"/>
      </w:pPr>
      <w:r>
        <w:tab/>
        <w:t>(ii)</w:t>
      </w:r>
      <w:r>
        <w:tab/>
        <w:t>the wet bulb temperature exceeds 27°C.</w:t>
      </w:r>
    </w:p>
    <w:p>
      <w:pPr>
        <w:pStyle w:val="PermNoteHeading"/>
      </w:pPr>
      <w:r>
        <w:tab/>
        <w:t>Note for this regulation:</w:t>
      </w:r>
    </w:p>
    <w:p>
      <w:pPr>
        <w:pStyle w:val="PermNoteText"/>
      </w:pPr>
      <w:r>
        <w:tab/>
      </w:r>
      <w:r>
        <w:tab/>
        <w:t>In relation to extreme heat and cold see also regulation 41A.</w:t>
      </w:r>
    </w:p>
    <w:p>
      <w:pPr>
        <w:pStyle w:val="Heading5"/>
      </w:pPr>
      <w:bookmarkStart w:id="923" w:name="_Toc200720427"/>
      <w:r>
        <w:rPr>
          <w:rStyle w:val="CharSectno"/>
        </w:rPr>
        <w:t>635A</w:t>
      </w:r>
      <w:r>
        <w:t>.</w:t>
      </w:r>
      <w:r>
        <w:tab/>
        <w:t>Airborne contaminants</w:t>
      </w:r>
      <w:bookmarkEnd w:id="923"/>
    </w:p>
    <w:p>
      <w:pPr>
        <w:pStyle w:val="Subsection"/>
      </w:pPr>
      <w:r>
        <w:tab/>
        <w:t>(1)</w:t>
      </w:r>
      <w:r>
        <w:tab/>
        <w:t>The mine operator of a mine must ensure that the concentration of any airborne contaminant (including any asphyxiant or explosive gas) at the mine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mine operator must comply with subregulation (1) — </w:t>
      </w:r>
    </w:p>
    <w:p>
      <w:pPr>
        <w:pStyle w:val="Indenta"/>
      </w:pPr>
      <w:r>
        <w:tab/>
        <w:t>(a)</w:t>
      </w:r>
      <w:r>
        <w:tab/>
        <w:t>so far as is reasonably practicable, by suppression or the installation of a ventilation or exhaust extraction system; or</w:t>
      </w:r>
    </w:p>
    <w:p>
      <w:pPr>
        <w:pStyle w:val="Indenta"/>
      </w:pPr>
      <w:r>
        <w:tab/>
        <w:t>(b)</w:t>
      </w:r>
      <w:r>
        <w:tab/>
        <w:t>so far as that is not reasonably practicable, by some other suitable means.</w:t>
      </w:r>
    </w:p>
    <w:p>
      <w:pPr>
        <w:pStyle w:val="Subsection"/>
      </w:pPr>
      <w:r>
        <w:tab/>
        <w:t>(3)</w:t>
      </w:r>
      <w:r>
        <w:tab/>
        <w:t xml:space="preserve">This regulation does not limit regulation 49. </w:t>
      </w:r>
    </w:p>
    <w:p>
      <w:pPr>
        <w:pStyle w:val="Heading5"/>
        <w:keepNext w:val="0"/>
      </w:pPr>
      <w:bookmarkStart w:id="924" w:name="_Toc200720428"/>
      <w:r>
        <w:t>636.</w:t>
      </w:r>
      <w:r>
        <w:tab/>
        <w:t>Not used</w:t>
      </w:r>
      <w:bookmarkEnd w:id="924"/>
    </w:p>
    <w:p>
      <w:pPr>
        <w:pStyle w:val="Heading5"/>
      </w:pPr>
      <w:bookmarkStart w:id="925" w:name="_Toc200720429"/>
      <w:r>
        <w:rPr>
          <w:rStyle w:val="CharSectno"/>
        </w:rPr>
        <w:t>637</w:t>
      </w:r>
      <w:r>
        <w:t>.</w:t>
      </w:r>
      <w:r>
        <w:tab/>
        <w:t>Monitoring airborne contaminant levels</w:t>
      </w:r>
      <w:bookmarkEnd w:id="925"/>
    </w:p>
    <w:p>
      <w:pPr>
        <w:pStyle w:val="Subsection"/>
      </w:pPr>
      <w:r>
        <w:tab/>
        <w:t>(1)</w:t>
      </w:r>
      <w:r>
        <w:tab/>
        <w:t xml:space="preserve">For the purposes of regulation 50(1), air monitoring at a mine must be carried out — </w:t>
      </w:r>
    </w:p>
    <w:p>
      <w:pPr>
        <w:pStyle w:val="Indenta"/>
      </w:pPr>
      <w:r>
        <w:tab/>
        <w:t>(a)</w:t>
      </w:r>
      <w:r>
        <w:tab/>
        <w:t xml:space="preserve">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Indenta"/>
      </w:pPr>
      <w:r>
        <w:tab/>
      </w:r>
      <w:r>
        <w:tab/>
        <w:t>and</w:t>
      </w:r>
    </w:p>
    <w:p>
      <w:pPr>
        <w:pStyle w:val="Indenta"/>
      </w:pPr>
      <w:r>
        <w:tab/>
        <w:t>(b)</w:t>
      </w:r>
      <w:r>
        <w:tab/>
        <w:t xml:space="preserve">at a frequency — </w:t>
      </w:r>
    </w:p>
    <w:p>
      <w:pPr>
        <w:pStyle w:val="Indenti"/>
      </w:pPr>
      <w:r>
        <w:tab/>
        <w:t>(i)</w:t>
      </w:r>
      <w:r>
        <w:tab/>
        <w:t>that reflects the risk of mixtures or substances that are likely to be in airborne concentrations at the mine, or a part of the mine, that exceed the exposure standard for the mixture or substance; and</w:t>
      </w:r>
    </w:p>
    <w:p>
      <w:pPr>
        <w:pStyle w:val="Indenti"/>
      </w:pPr>
      <w:r>
        <w:tab/>
        <w:t>(ii)</w:t>
      </w:r>
      <w:r>
        <w:tab/>
        <w:t>to ascertain whether the mixture or substance is in an airborne concentration that exceeds the exposure standard for the mixture or substance.</w:t>
      </w:r>
    </w:p>
    <w:p>
      <w:pPr>
        <w:pStyle w:val="Subsection"/>
      </w:pPr>
      <w:r>
        <w:tab/>
        <w:t>(2)</w:t>
      </w:r>
      <w:r>
        <w:tab/>
        <w:t xml:space="preserve">For the purposes of regulation 50(2), a record of air monitoring must include — </w:t>
      </w:r>
    </w:p>
    <w:p>
      <w:pPr>
        <w:pStyle w:val="Indenta"/>
      </w:pPr>
      <w:r>
        <w:tab/>
        <w:t>(a)</w:t>
      </w:r>
      <w:r>
        <w:tab/>
        <w:t>the results of the monitoring; and</w:t>
      </w:r>
    </w:p>
    <w:p>
      <w:pPr>
        <w:pStyle w:val="Indenta"/>
      </w:pPr>
      <w:r>
        <w:lastRenderedPageBreak/>
        <w:tab/>
        <w:t>(b)</w:t>
      </w:r>
      <w:r>
        <w:tab/>
        <w:t>details of the dates, location and frequency of the monitoring; and</w:t>
      </w:r>
    </w:p>
    <w:p>
      <w:pPr>
        <w:pStyle w:val="Indenta"/>
      </w:pPr>
      <w:r>
        <w:tab/>
        <w:t>(c)</w:t>
      </w:r>
      <w:r>
        <w:tab/>
        <w:t>the sampling method and equipment used.</w:t>
      </w:r>
    </w:p>
    <w:p>
      <w:pPr>
        <w:pStyle w:val="Heading5"/>
      </w:pPr>
      <w:bookmarkStart w:id="926" w:name="_Toc200720430"/>
      <w:r>
        <w:rPr>
          <w:rStyle w:val="CharSectno"/>
        </w:rPr>
        <w:t>637A</w:t>
      </w:r>
      <w:r>
        <w:t>.</w:t>
      </w:r>
      <w:r>
        <w:tab/>
        <w:t>Requirements if airborne exposure standard for mixture or substance exceeded</w:t>
      </w:r>
      <w:bookmarkEnd w:id="926"/>
      <w:r>
        <w:t xml:space="preserve"> </w:t>
      </w:r>
    </w:p>
    <w:p>
      <w:pPr>
        <w:pStyle w:val="Subsection"/>
      </w:pPr>
      <w:r>
        <w:tab/>
        <w:t>(1)</w:t>
      </w:r>
      <w:r>
        <w:tab/>
        <w:t>This regulation applies if a mixture or substance at a mine is in an airborne concentration that exceeds the exposure standard for the mixture or substance.</w:t>
      </w:r>
    </w:p>
    <w:p>
      <w:pPr>
        <w:pStyle w:val="Subsection"/>
      </w:pPr>
      <w:r>
        <w:tab/>
        <w:t>(2)</w:t>
      </w:r>
      <w:r>
        <w:tab/>
        <w:t xml:space="preserve">The mine operator of the mine must immediately notify the following persons that the exposure standard for the mixture or substance has been exceeded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mine must ensure that — </w:t>
      </w:r>
    </w:p>
    <w:p>
      <w:pPr>
        <w:pStyle w:val="Indenta"/>
      </w:pPr>
      <w:r>
        <w:tab/>
        <w:t>(a)</w:t>
      </w:r>
      <w:r>
        <w:tab/>
        <w:t>steps are taken to reduce the airborne concentration of the mixture or substance to below the exposure standard for the mixture or substance; and</w:t>
      </w:r>
    </w:p>
    <w:p>
      <w:pPr>
        <w:pStyle w:val="Indenta"/>
      </w:pPr>
      <w:r>
        <w:tab/>
        <w:t>(b)</w:t>
      </w:r>
      <w:r>
        <w:tab/>
        <w:t xml:space="preserve">air monitoring is carried out again as soon as practicable after the steps referred to in paragraph (a) are taken 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927" w:name="_Toc200720431"/>
      <w:r>
        <w:rPr>
          <w:rStyle w:val="CharSectno"/>
        </w:rPr>
        <w:t>638</w:t>
      </w:r>
      <w:r>
        <w:t>.</w:t>
      </w:r>
      <w:r>
        <w:tab/>
        <w:t>Use of devices for air monitoring</w:t>
      </w:r>
      <w:bookmarkEnd w:id="927"/>
    </w:p>
    <w:p>
      <w:pPr>
        <w:pStyle w:val="Subsection"/>
      </w:pPr>
      <w:r>
        <w:tab/>
      </w:r>
      <w:r>
        <w:tab/>
        <w:t xml:space="preserve">The mine operator of a mine who uses air monitoring devices to comply with air monitoring requirements under these regulations, including regulation 50, must ensure that the devices are — </w:t>
      </w:r>
    </w:p>
    <w:p>
      <w:pPr>
        <w:pStyle w:val="Indenta"/>
      </w:pPr>
      <w:r>
        <w:tab/>
        <w:t>(a)</w:t>
      </w:r>
      <w:r>
        <w:tab/>
        <w:t xml:space="preserve">suitable and effective having regard to — </w:t>
      </w:r>
    </w:p>
    <w:p>
      <w:pPr>
        <w:pStyle w:val="Indenti"/>
      </w:pPr>
      <w:r>
        <w:tab/>
        <w:t>(i)</w:t>
      </w:r>
      <w:r>
        <w:tab/>
        <w:t>the nature of the monitoring being carried out; and</w:t>
      </w:r>
    </w:p>
    <w:p>
      <w:pPr>
        <w:pStyle w:val="Indenti"/>
      </w:pPr>
      <w:r>
        <w:tab/>
        <w:t>(ii)</w:t>
      </w:r>
      <w:r>
        <w:tab/>
        <w:t>the mixture or substance being monitored;</w:t>
      </w:r>
    </w:p>
    <w:p>
      <w:pPr>
        <w:pStyle w:val="Indenta"/>
      </w:pPr>
      <w:r>
        <w:tab/>
      </w:r>
      <w:r>
        <w:tab/>
        <w:t>and</w:t>
      </w:r>
    </w:p>
    <w:p>
      <w:pPr>
        <w:pStyle w:val="Indenta"/>
      </w:pPr>
      <w:r>
        <w:tab/>
        <w:t>(b)</w:t>
      </w:r>
      <w:r>
        <w:tab/>
        <w:t>positioned to ensure that they work to best effect; and</w:t>
      </w:r>
    </w:p>
    <w:p>
      <w:pPr>
        <w:pStyle w:val="Indenta"/>
      </w:pPr>
      <w:r>
        <w:tab/>
        <w:t>(c)</w:t>
      </w:r>
      <w:r>
        <w:tab/>
        <w:t>maintained and calibrated to ensure they work to best effect.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28" w:name="_Toc200720432"/>
      <w:r>
        <w:rPr>
          <w:rStyle w:val="CharSectno"/>
        </w:rPr>
        <w:t>639</w:t>
      </w:r>
      <w:r>
        <w:t>.</w:t>
      </w:r>
      <w:r>
        <w:tab/>
        <w:t>Signage relating to air monitoring</w:t>
      </w:r>
      <w:bookmarkEnd w:id="928"/>
    </w:p>
    <w:p>
      <w:pPr>
        <w:pStyle w:val="Subsection"/>
      </w:pPr>
      <w:r>
        <w:tab/>
      </w:r>
      <w:r>
        <w:tab/>
        <w:t xml:space="preserve">The mine operator of a mine, in complying with air monitoring requirements under these regulations, including regulation 50, must ensure that signs are erected at the mine that explain — </w:t>
      </w:r>
    </w:p>
    <w:p>
      <w:pPr>
        <w:pStyle w:val="Indenta"/>
      </w:pPr>
      <w:r>
        <w:tab/>
        <w:t>(a)</w:t>
      </w:r>
      <w:r>
        <w:tab/>
        <w:t>the meaning of any warning produced by an air monitoring device; and</w:t>
      </w:r>
    </w:p>
    <w:p>
      <w:pPr>
        <w:pStyle w:val="Indenta"/>
      </w:pPr>
      <w:r>
        <w:tab/>
        <w:t>(b)</w:t>
      </w:r>
      <w:r>
        <w:tab/>
        <w:t>what persons must do in response to the warning.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929" w:name="_Toc200720433"/>
      <w:r>
        <w:lastRenderedPageBreak/>
        <w:t>Subdivision 3 — Fitness for work</w:t>
      </w:r>
      <w:bookmarkEnd w:id="929"/>
    </w:p>
    <w:p>
      <w:pPr>
        <w:pStyle w:val="Heading5"/>
      </w:pPr>
      <w:bookmarkStart w:id="930" w:name="_Toc200720434"/>
      <w:r>
        <w:rPr>
          <w:rStyle w:val="CharSectno"/>
        </w:rPr>
        <w:t>640</w:t>
      </w:r>
      <w:r>
        <w:t>.</w:t>
      </w:r>
      <w:r>
        <w:tab/>
        <w:t>Fatigue</w:t>
      </w:r>
      <w:bookmarkEnd w:id="930"/>
    </w:p>
    <w:p>
      <w:pPr>
        <w:pStyle w:val="Subsection"/>
      </w:pPr>
      <w:r>
        <w:tab/>
      </w:r>
      <w:r>
        <w:tab/>
        <w:t>In complying with regulation 617, the mine operator of a mine must manage risks to health and safety associated with worker fatigue.</w:t>
      </w:r>
    </w:p>
    <w:p>
      <w:pPr>
        <w:pStyle w:val="Heading5"/>
      </w:pPr>
      <w:bookmarkStart w:id="931" w:name="_Toc200720435"/>
      <w:r>
        <w:rPr>
          <w:rStyle w:val="CharSectno"/>
        </w:rPr>
        <w:t>641</w:t>
      </w:r>
      <w:r>
        <w:t>.</w:t>
      </w:r>
      <w:r>
        <w:tab/>
        <w:t>Alcohol and drugs</w:t>
      </w:r>
      <w:bookmarkEnd w:id="931"/>
    </w:p>
    <w:p>
      <w:pPr>
        <w:pStyle w:val="Subsection"/>
      </w:pPr>
      <w:r>
        <w:tab/>
        <w:t>(1)</w:t>
      </w:r>
      <w:r>
        <w:tab/>
        <w:t>In complying with regulation 617, the mine operator of a mine must manage risks to health and safety associated with the consumption of alcohol by workers at the mine.</w:t>
      </w:r>
    </w:p>
    <w:p>
      <w:pPr>
        <w:pStyle w:val="Subsection"/>
      </w:pPr>
      <w:r>
        <w:tab/>
        <w:t>(2)</w:t>
      </w:r>
      <w:r>
        <w:tab/>
        <w:t>In complying with regulation 617, the mine operator of a mine must manage risks to health and safety associated with the use of drugs by workers.</w:t>
      </w:r>
    </w:p>
    <w:p>
      <w:pPr>
        <w:pStyle w:val="Heading4"/>
      </w:pPr>
      <w:bookmarkStart w:id="932" w:name="_Toc200720436"/>
      <w:r>
        <w:t>Subdivision 3A — Electricity in mines</w:t>
      </w:r>
      <w:bookmarkEnd w:id="932"/>
    </w:p>
    <w:p>
      <w:pPr>
        <w:pStyle w:val="PermNoteHeading"/>
      </w:pPr>
      <w:r>
        <w:tab/>
        <w:t>Note for this Subdivision:</w:t>
      </w:r>
    </w:p>
    <w:p>
      <w:pPr>
        <w:pStyle w:val="PermNoteText"/>
      </w:pPr>
      <w:r>
        <w:tab/>
      </w:r>
      <w:r>
        <w:tab/>
        <w:t>This Subdivision applies in addition to the provisions of Part 4.7.</w:t>
      </w:r>
    </w:p>
    <w:p>
      <w:pPr>
        <w:pStyle w:val="Heading5"/>
      </w:pPr>
      <w:bookmarkStart w:id="933" w:name="_Toc200720437"/>
      <w:r>
        <w:rPr>
          <w:rStyle w:val="CharSectno"/>
        </w:rPr>
        <w:t>641A</w:t>
      </w:r>
      <w:r>
        <w:t>.</w:t>
      </w:r>
      <w:r>
        <w:tab/>
        <w:t>Managing risks due to electricity</w:t>
      </w:r>
      <w:bookmarkEnd w:id="933"/>
    </w:p>
    <w:p>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 xml:space="preserve">design, selection, installation, commissioning, operation, testing and maintenance of electrical equipment and electrical installations and use of electricity at the mine, including the following — </w:t>
      </w:r>
    </w:p>
    <w:p>
      <w:pPr>
        <w:pStyle w:val="Indenti"/>
      </w:pPr>
      <w:r>
        <w:tab/>
        <w:t>(i)</w:t>
      </w:r>
      <w:r>
        <w:tab/>
        <w:t>safe and secure location;</w:t>
      </w:r>
    </w:p>
    <w:p>
      <w:pPr>
        <w:pStyle w:val="Indenti"/>
      </w:pPr>
      <w:r>
        <w:lastRenderedPageBreak/>
        <w:tab/>
        <w:t>(ii)</w:t>
      </w:r>
      <w:r>
        <w:tab/>
        <w:t>rating;</w:t>
      </w:r>
    </w:p>
    <w:p>
      <w:pPr>
        <w:pStyle w:val="Indenti"/>
      </w:pPr>
      <w:r>
        <w:tab/>
        <w:t>(iii)</w:t>
      </w:r>
      <w:r>
        <w:tab/>
        <w:t>provision of appropriate switchgear;</w:t>
      </w:r>
    </w:p>
    <w:p>
      <w:pPr>
        <w:pStyle w:val="Indenti"/>
      </w:pPr>
      <w:r>
        <w:tab/>
        <w:t>(iv)</w:t>
      </w:r>
      <w:r>
        <w:tab/>
        <w:t>prospective electrical fault level;</w:t>
      </w:r>
    </w:p>
    <w:p>
      <w:pPr>
        <w:pStyle w:val="Indenti"/>
      </w:pPr>
      <w:r>
        <w:tab/>
        <w:t>(v)</w:t>
      </w:r>
      <w:r>
        <w:tab/>
        <w:t>arc fault control;</w:t>
      </w:r>
    </w:p>
    <w:p>
      <w:pPr>
        <w:pStyle w:val="Indenti"/>
      </w:pPr>
      <w:r>
        <w:tab/>
        <w:t>(vi)</w:t>
      </w:r>
      <w:r>
        <w:tab/>
        <w:t>minimising potential impacts from voltage rise due to lightning, static electricity, voltage surges and other transient voltages to within acceptable limits;</w:t>
      </w:r>
    </w:p>
    <w:p>
      <w:pPr>
        <w:pStyle w:val="Indenti"/>
      </w:pPr>
      <w:r>
        <w:tab/>
        <w:t>(vii)</w:t>
      </w:r>
      <w:r>
        <w:tab/>
        <w:t>reliable circuit interruption, under fault conditions, at all points in the mine’s electrical distribution system;</w:t>
      </w:r>
    </w:p>
    <w:p>
      <w:pPr>
        <w:pStyle w:val="Indenti"/>
      </w:pPr>
      <w:r>
        <w:tab/>
        <w:t>(viii)</w:t>
      </w:r>
      <w:r>
        <w:tab/>
        <w:t>electrical protective devices;</w:t>
      </w:r>
    </w:p>
    <w:p>
      <w:pPr>
        <w:pStyle w:val="Indenti"/>
      </w:pPr>
      <w:r>
        <w:tab/>
        <w:t>(ix)</w:t>
      </w:r>
      <w:r>
        <w:tab/>
        <w:t>hazardous atmosphere;</w:t>
      </w:r>
    </w:p>
    <w:p>
      <w:pPr>
        <w:pStyle w:val="Indenta"/>
      </w:pPr>
      <w:r>
        <w:tab/>
        <w:t>(b)</w:t>
      </w:r>
      <w:r>
        <w:tab/>
        <w:t>signage and warnings;</w:t>
      </w:r>
    </w:p>
    <w:p>
      <w:pPr>
        <w:pStyle w:val="Indenta"/>
      </w:pPr>
      <w:r>
        <w:tab/>
        <w:t>(c)</w:t>
      </w:r>
      <w:r>
        <w:tab/>
        <w:t>written procedures for critical operations and dealing with emergencies;</w:t>
      </w:r>
    </w:p>
    <w:p>
      <w:pPr>
        <w:pStyle w:val="Indenta"/>
      </w:pPr>
      <w:r>
        <w:tab/>
        <w:t>(d)</w:t>
      </w:r>
      <w:r>
        <w:tab/>
        <w:t>effective supervision and communication;</w:t>
      </w:r>
    </w:p>
    <w:p>
      <w:pPr>
        <w:pStyle w:val="Indenta"/>
      </w:pPr>
      <w:r>
        <w:tab/>
        <w:t>(e)</w:t>
      </w:r>
      <w:r>
        <w:tab/>
        <w:t>competencies of persons working with or near electrical equipment and installations.</w:t>
      </w:r>
    </w:p>
    <w:p>
      <w:pPr>
        <w:pStyle w:val="Heading5"/>
      </w:pPr>
      <w:bookmarkStart w:id="934" w:name="_Toc200720438"/>
      <w:r>
        <w:rPr>
          <w:rStyle w:val="CharSectno"/>
        </w:rPr>
        <w:t>641B</w:t>
      </w:r>
      <w:r>
        <w:t>.</w:t>
      </w:r>
      <w:r>
        <w:tab/>
        <w:t>Records to be kept relating to electricity at mine</w:t>
      </w:r>
      <w:bookmarkEnd w:id="934"/>
    </w:p>
    <w:p>
      <w:pPr>
        <w:pStyle w:val="Subsection"/>
      </w:pPr>
      <w:r>
        <w:tab/>
      </w:r>
      <w:r>
        <w:tab/>
        <w:t xml:space="preserve">The mine operator of a mine must ensure that the following are kept at the mine — </w:t>
      </w:r>
    </w:p>
    <w:p>
      <w:pPr>
        <w:pStyle w:val="Indenta"/>
      </w:pPr>
      <w:r>
        <w:tab/>
        <w:t>(a)</w:t>
      </w:r>
      <w:r>
        <w:tab/>
        <w:t xml:space="preserve">up to date plans showing the location and details of the following — </w:t>
      </w:r>
    </w:p>
    <w:p>
      <w:pPr>
        <w:pStyle w:val="Indenti"/>
      </w:pPr>
      <w:r>
        <w:tab/>
        <w:t>(i)</w:t>
      </w:r>
      <w:r>
        <w:tab/>
        <w:t>all low voltage and high voltage cabling and plant installed at the mine;</w:t>
      </w:r>
    </w:p>
    <w:p>
      <w:pPr>
        <w:pStyle w:val="Indenti"/>
      </w:pPr>
      <w:r>
        <w:tab/>
        <w:t>(ii)</w:t>
      </w:r>
      <w:r>
        <w:tab/>
        <w:t>all low voltage and high voltage cables installed in the ground at the mine;</w:t>
      </w:r>
    </w:p>
    <w:p>
      <w:pPr>
        <w:pStyle w:val="Indenti"/>
      </w:pPr>
      <w:r>
        <w:tab/>
        <w:t>(iii)</w:t>
      </w:r>
      <w:r>
        <w:tab/>
        <w:t>main switches provided at the mine;</w:t>
      </w:r>
    </w:p>
    <w:p>
      <w:pPr>
        <w:pStyle w:val="Indenta"/>
        <w:keepNext/>
      </w:pPr>
      <w:r>
        <w:lastRenderedPageBreak/>
        <w:tab/>
        <w:t>(b)</w:t>
      </w:r>
      <w:r>
        <w:tab/>
        <w:t>copies of any compliance and test certificates relating to plant used or installed in hazardous areas at the mine.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35" w:name="_Toc200720439"/>
      <w:r>
        <w:rPr>
          <w:rStyle w:val="CharSectno"/>
        </w:rPr>
        <w:t>641C</w:t>
      </w:r>
      <w:r>
        <w:t>.</w:t>
      </w:r>
      <w:r>
        <w:tab/>
        <w:t>Electrical log books</w:t>
      </w:r>
      <w:bookmarkEnd w:id="935"/>
    </w:p>
    <w:p>
      <w:pPr>
        <w:pStyle w:val="Subsection"/>
      </w:pPr>
      <w:r>
        <w:tab/>
      </w:r>
      <w:r>
        <w:tab/>
        <w:t xml:space="preserve">The mine operator of a mine must ensure that an electrical log book for the mine must be kept at the mine that — </w:t>
      </w:r>
    </w:p>
    <w:p>
      <w:pPr>
        <w:pStyle w:val="Indenta"/>
      </w:pPr>
      <w:r>
        <w:tab/>
        <w:t>(a)</w:t>
      </w:r>
      <w:r>
        <w:tab/>
        <w:t>is in the approved form; and</w:t>
      </w:r>
    </w:p>
    <w:p>
      <w:pPr>
        <w:pStyle w:val="Indenta"/>
      </w:pPr>
      <w:r>
        <w:tab/>
        <w:t>(b)</w:t>
      </w:r>
      <w:r>
        <w:tab/>
        <w:t xml:space="preserve">contains up to date — </w:t>
      </w:r>
    </w:p>
    <w:p>
      <w:pPr>
        <w:pStyle w:val="Indenti"/>
      </w:pPr>
      <w:r>
        <w:tab/>
        <w:t>(i)</w:t>
      </w:r>
      <w:r>
        <w:tab/>
        <w:t>details of inspections and testing of electrical equipment carried out under regulation 150; and</w:t>
      </w:r>
    </w:p>
    <w:p>
      <w:pPr>
        <w:pStyle w:val="Indenti"/>
      </w:pPr>
      <w:r>
        <w:tab/>
        <w:t>(ii)</w:t>
      </w:r>
      <w:r>
        <w:tab/>
        <w:t>details of the most recent test carried out under regulation 165 of in use residual current devices; and</w:t>
      </w:r>
    </w:p>
    <w:p>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pPr>
        <w:pStyle w:val="Indenti"/>
      </w:pPr>
      <w:r>
        <w:tab/>
        <w:t>(iv)</w:t>
      </w:r>
      <w:r>
        <w:tab/>
        <w:t>information about the matters referred to in Schedule 26 clause 5(3)(e)and (f); and</w:t>
      </w:r>
    </w:p>
    <w:p>
      <w:pPr>
        <w:pStyle w:val="Indenti"/>
      </w:pPr>
      <w:r>
        <w:tab/>
        <w:t>(v)</w:t>
      </w:r>
      <w:r>
        <w:tab/>
        <w:t>information about the incidents referred to in Schedule 26 clause 5(3)(g).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36" w:name="_Toc200720440"/>
      <w:r>
        <w:rPr>
          <w:rStyle w:val="CharSectno"/>
        </w:rPr>
        <w:t>641D</w:t>
      </w:r>
      <w:r>
        <w:t>.</w:t>
      </w:r>
      <w:r>
        <w:tab/>
        <w:t>Earthing systems</w:t>
      </w:r>
      <w:bookmarkEnd w:id="936"/>
    </w:p>
    <w:p>
      <w:pPr>
        <w:pStyle w:val="Subsection"/>
      </w:pPr>
      <w:r>
        <w:tab/>
        <w:t>(1)</w:t>
      </w:r>
      <w:r>
        <w:tab/>
        <w:t xml:space="preserve">The mine operator of a mine must ensure the following — </w:t>
      </w:r>
    </w:p>
    <w:p>
      <w:pPr>
        <w:pStyle w:val="Indenta"/>
      </w:pPr>
      <w:r>
        <w:tab/>
        <w:t>(a)</w:t>
      </w:r>
      <w:r>
        <w:tab/>
        <w:t xml:space="preserve">any earthing system installed in a quarry operation or an underground mine is connected to the earthing system </w:t>
      </w:r>
      <w:r>
        <w:lastRenderedPageBreak/>
        <w:t>established at the surface of the mine by means of a continuous earthing conductor;</w:t>
      </w:r>
    </w:p>
    <w:p>
      <w:pPr>
        <w:pStyle w:val="Indenta"/>
      </w:pPr>
      <w:r>
        <w:tab/>
        <w:t>(b)</w:t>
      </w:r>
      <w:r>
        <w:tab/>
        <w:t>no earthing electrode is installed in a quarry operation or an underground mine;</w:t>
      </w:r>
    </w:p>
    <w:p>
      <w:pPr>
        <w:pStyle w:val="Indenta"/>
      </w:pPr>
      <w:r>
        <w:tab/>
        <w:t>(c)</w:t>
      </w:r>
      <w:r>
        <w:tab/>
        <w:t>the neutral point of an alternating current electrical system is effectively earthed to the main earthing system;</w:t>
      </w:r>
    </w:p>
    <w:p>
      <w:pPr>
        <w:pStyle w:val="Indenta"/>
      </w:pPr>
      <w:r>
        <w:tab/>
        <w:t>(d)</w:t>
      </w:r>
      <w:r>
        <w:tab/>
        <w:t>an earthing system that incorporates an impedance complies with the requirements for protection against indirect contact in AS/NZS 3007:2013;</w:t>
      </w:r>
    </w:p>
    <w:p>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(1)(a), (b) and (e) do not apply to installations in any parts of quarry operations that are safe distances from places where electrical shot firing methods are employed.</w:t>
      </w:r>
    </w:p>
    <w:p>
      <w:pPr>
        <w:pStyle w:val="Heading5"/>
      </w:pPr>
      <w:bookmarkStart w:id="937" w:name="_Toc200720441"/>
      <w:r>
        <w:rPr>
          <w:rStyle w:val="CharSectno"/>
        </w:rPr>
        <w:t>641E</w:t>
      </w:r>
      <w:r>
        <w:t>.</w:t>
      </w:r>
      <w:r>
        <w:tab/>
        <w:t>Trailing cables and reeling cables</w:t>
      </w:r>
      <w:bookmarkEnd w:id="937"/>
    </w:p>
    <w:p>
      <w:pPr>
        <w:pStyle w:val="Subsection"/>
        <w:keepNext/>
      </w:pPr>
      <w:r>
        <w:tab/>
      </w:r>
      <w:r>
        <w:tab/>
        <w:t xml:space="preserve">The mine operator of a mine must ensure that any trailing cable and reeling cable at the mine — </w:t>
      </w:r>
    </w:p>
    <w:p>
      <w:pPr>
        <w:pStyle w:val="Indenta"/>
        <w:keepNext/>
      </w:pPr>
      <w:r>
        <w:tab/>
        <w:t>(a)</w:t>
      </w:r>
      <w:r>
        <w:tab/>
        <w:t>conforms to —</w:t>
      </w:r>
    </w:p>
    <w:p>
      <w:pPr>
        <w:pStyle w:val="Indenti"/>
      </w:pPr>
      <w:r>
        <w:tab/>
        <w:t>(i)</w:t>
      </w:r>
      <w:r>
        <w:tab/>
        <w:t xml:space="preserve">if the mine is an underground coal mine — AS/NZS 1802:2018; or </w:t>
      </w:r>
    </w:p>
    <w:p>
      <w:pPr>
        <w:pStyle w:val="Indenti"/>
      </w:pPr>
      <w:r>
        <w:tab/>
        <w:t>(ii)</w:t>
      </w:r>
      <w:r>
        <w:tab/>
        <w:t>otherwise — AS/NZS 2802:2000;</w:t>
      </w:r>
    </w:p>
    <w:p>
      <w:pPr>
        <w:pStyle w:val="Indenta"/>
      </w:pPr>
      <w:r>
        <w:tab/>
      </w:r>
      <w:r>
        <w:tab/>
        <w:t>and</w:t>
      </w:r>
    </w:p>
    <w:p>
      <w:pPr>
        <w:pStyle w:val="Indenta"/>
      </w:pPr>
      <w:r>
        <w:tab/>
        <w:t>(b)</w:t>
      </w:r>
      <w:r>
        <w:tab/>
        <w:t>incorporates a pilot core arranged to cut off the supply of electricity in the event of a break in the earthing circuit; and</w:t>
      </w:r>
    </w:p>
    <w:p>
      <w:pPr>
        <w:pStyle w:val="Indenta"/>
      </w:pPr>
      <w:r>
        <w:lastRenderedPageBreak/>
        <w:tab/>
        <w:t>(c)</w:t>
      </w:r>
      <w:r>
        <w:tab/>
        <w:t>is installed, located and used in a way that minimises the risk of damage to the cable and to any connecting or coupling device; and</w:t>
      </w:r>
    </w:p>
    <w:p>
      <w:pPr>
        <w:pStyle w:val="Indenta"/>
      </w:pPr>
      <w:r>
        <w:tab/>
        <w:t>(d)</w:t>
      </w:r>
      <w:r>
        <w:tab/>
        <w:t>is repaired and tested in accordance with AS/NZS 1747:2003.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38" w:name="_Toc200720442"/>
      <w:r>
        <w:rPr>
          <w:rStyle w:val="CharSectno"/>
        </w:rPr>
        <w:t>641F</w:t>
      </w:r>
      <w:r>
        <w:t>.</w:t>
      </w:r>
      <w:r>
        <w:tab/>
        <w:t>Earth continuity protection and monitoring</w:t>
      </w:r>
      <w:bookmarkEnd w:id="938"/>
    </w:p>
    <w:p>
      <w:pPr>
        <w:pStyle w:val="Subsection"/>
      </w:pPr>
      <w:r>
        <w:tab/>
        <w:t>(1)</w:t>
      </w:r>
      <w:r>
        <w:tab/>
        <w:t xml:space="preserve">This regulation applies to the following plant — </w:t>
      </w:r>
    </w:p>
    <w:p>
      <w:pPr>
        <w:pStyle w:val="Indenta"/>
      </w:pPr>
      <w:r>
        <w:tab/>
        <w:t>(a)</w:t>
      </w:r>
      <w:r>
        <w:tab/>
        <w:t>any mobile plant operating from either trailing cables or reeling cables;</w:t>
      </w:r>
    </w:p>
    <w:p>
      <w:pPr>
        <w:pStyle w:val="Indenta"/>
      </w:pPr>
      <w:r>
        <w:tab/>
        <w:t>(b)</w:t>
      </w:r>
      <w:r>
        <w:tab/>
        <w:t>any other plant for which the supply cable may be exposed to the risk of damage due to tension;</w:t>
      </w:r>
    </w:p>
    <w:p>
      <w:pPr>
        <w:pStyle w:val="Indenta"/>
      </w:pPr>
      <w:r>
        <w:tab/>
        <w:t>(c)</w:t>
      </w:r>
      <w:r>
        <w:tab/>
        <w:t>any equipment connected by restrained plugs and receptacles complying with AS/NZS 1299:2009.</w:t>
      </w:r>
    </w:p>
    <w:p>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39" w:name="_Toc200720443"/>
      <w:r>
        <w:rPr>
          <w:rStyle w:val="CharSectno"/>
        </w:rPr>
        <w:t>641G</w:t>
      </w:r>
      <w:r>
        <w:t>.</w:t>
      </w:r>
      <w:r>
        <w:tab/>
        <w:t>Electrical work to be carried out by licensed persons</w:t>
      </w:r>
      <w:bookmarkEnd w:id="939"/>
      <w:r>
        <w:t xml:space="preserve"> </w:t>
      </w:r>
    </w:p>
    <w:p>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w:t>
      </w:r>
      <w:r>
        <w:rPr>
          <w:snapToGrid w:val="0"/>
        </w:rPr>
        <w:lastRenderedPageBreak/>
        <w:t xml:space="preserve">licence or permit under the </w:t>
      </w:r>
      <w:r>
        <w:rPr>
          <w:i/>
          <w:snapToGrid w:val="0"/>
        </w:rPr>
        <w:t>Electricity (Licensing) Regulations 1991</w:t>
      </w:r>
      <w:r>
        <w:rPr>
          <w:snapToGrid w:val="0"/>
        </w:rPr>
        <w:t>.</w:t>
      </w:r>
    </w:p>
    <w:p>
      <w:pPr>
        <w:pStyle w:val="Penstart"/>
        <w:keepNext/>
      </w:pPr>
      <w:r>
        <w:tab/>
      </w: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5"/>
      </w:pPr>
      <w:bookmarkStart w:id="940" w:name="_Toc200720444"/>
      <w:r>
        <w:rPr>
          <w:rStyle w:val="CharSectno"/>
        </w:rPr>
        <w:t>641H</w:t>
      </w:r>
      <w:r>
        <w:t>.</w:t>
      </w:r>
      <w:r>
        <w:tab/>
        <w:t>Working in close proximity to uninsulated high voltage conductors or components</w:t>
      </w:r>
      <w:bookmarkEnd w:id="940"/>
      <w:r>
        <w:t xml:space="preserve"> </w:t>
      </w:r>
    </w:p>
    <w:p>
      <w:pPr>
        <w:pStyle w:val="Subsection"/>
        <w:rPr>
          <w:snapToGrid w:val="0"/>
        </w:rPr>
      </w:pPr>
      <w:r>
        <w:tab/>
      </w:r>
      <w:r>
        <w:tab/>
      </w:r>
      <w:r>
        <w:rPr>
          <w:snapToGrid w:val="0"/>
        </w:rPr>
        <w:t xml:space="preserve">The mine operator of a mine must ensure that — </w:t>
      </w:r>
    </w:p>
    <w:p>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pPr>
        <w:pStyle w:val="Indenta"/>
      </w:pPr>
      <w:r>
        <w:tab/>
        <w:t>(c)</w:t>
      </w:r>
      <w:r>
        <w:tab/>
        <w:t>those measures are carried out.</w:t>
      </w:r>
    </w:p>
    <w:p>
      <w:pPr>
        <w:pStyle w:val="Penstart"/>
      </w:pP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4"/>
      </w:pPr>
      <w:bookmarkStart w:id="941" w:name="_Toc200720445"/>
      <w:r>
        <w:t>Subdivision 3B — Radiation in mines</w:t>
      </w:r>
      <w:bookmarkEnd w:id="941"/>
    </w:p>
    <w:p>
      <w:pPr>
        <w:pStyle w:val="Heading5"/>
      </w:pPr>
      <w:bookmarkStart w:id="942" w:name="_Toc200720446"/>
      <w:r>
        <w:rPr>
          <w:rStyle w:val="CharSectno"/>
        </w:rPr>
        <w:t>641I</w:t>
      </w:r>
      <w:r>
        <w:t>.</w:t>
      </w:r>
      <w:r>
        <w:tab/>
        <w:t>Terms used</w:t>
      </w:r>
      <w:bookmarkEnd w:id="942"/>
    </w:p>
    <w:p>
      <w:pPr>
        <w:pStyle w:val="Subsection"/>
      </w:pPr>
      <w:r>
        <w:tab/>
        <w:t>(1)</w:t>
      </w:r>
      <w:r>
        <w:tab/>
        <w:t xml:space="preserve">In this Subdivision — </w:t>
      </w:r>
    </w:p>
    <w:p>
      <w:pPr>
        <w:pStyle w:val="Defstart"/>
      </w:pPr>
      <w:r>
        <w:tab/>
      </w:r>
      <w:r>
        <w:rPr>
          <w:rStyle w:val="CharDefText"/>
        </w:rPr>
        <w:t>designated worker</w:t>
      </w:r>
      <w:r>
        <w:t>, in relation to a mine, means a worker classified as a designated worker at the mine under regulation 641S(1)(a);</w:t>
      </w:r>
    </w:p>
    <w:p>
      <w:pPr>
        <w:pStyle w:val="Defstart"/>
      </w:pPr>
      <w:r>
        <w:tab/>
      </w:r>
      <w:r>
        <w:rPr>
          <w:rStyle w:val="CharDefText"/>
        </w:rPr>
        <w:t>radioactive material</w:t>
      </w:r>
      <w:r>
        <w:t xml:space="preserve"> has the meaning given in regulation 641K;</w:t>
      </w:r>
    </w:p>
    <w:p>
      <w:pPr>
        <w:pStyle w:val="Defstart"/>
      </w:pPr>
      <w:r>
        <w:tab/>
      </w:r>
      <w:r>
        <w:rPr>
          <w:rStyle w:val="CharDefText"/>
        </w:rPr>
        <w:t>relevant mine</w:t>
      </w:r>
      <w:r>
        <w:t xml:space="preserve"> has the meaning given in regulation 641L;</w:t>
      </w:r>
    </w:p>
    <w:p>
      <w:pPr>
        <w:pStyle w:val="Defstart"/>
      </w:pPr>
      <w:r>
        <w:lastRenderedPageBreak/>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pPr>
        <w:pStyle w:val="Defstart"/>
      </w:pPr>
      <w:r>
        <w:tab/>
      </w:r>
      <w:r>
        <w:rPr>
          <w:rStyle w:val="CharDefText"/>
        </w:rPr>
        <w:t>worker monitoring plan</w:t>
      </w:r>
      <w:r>
        <w:t xml:space="preserve"> means a plan referred to in regulation 641N(2)(a)(i) that is included in an approved radiation management plan for a mine.</w:t>
      </w:r>
    </w:p>
    <w:p>
      <w:pPr>
        <w:pStyle w:val="Subsection"/>
      </w:pPr>
      <w:r>
        <w:tab/>
        <w:t>(2)</w:t>
      </w:r>
      <w:r>
        <w:tab/>
        <w:t>A term used in this Subdivision has the same meaning as it has in the Glossary to the RPS</w:t>
      </w:r>
      <w:r>
        <w:noBreakHyphen/>
        <w:t>9.</w:t>
      </w:r>
    </w:p>
    <w:p>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pPr>
        <w:pStyle w:val="Heading5"/>
      </w:pPr>
      <w:bookmarkStart w:id="943" w:name="_Toc200720447"/>
      <w:r>
        <w:rPr>
          <w:rStyle w:val="CharSectno"/>
        </w:rPr>
        <w:t>641J</w:t>
      </w:r>
      <w:r>
        <w:t>.</w:t>
      </w:r>
      <w:r>
        <w:tab/>
        <w:t xml:space="preserve">Subdivision prevails over </w:t>
      </w:r>
      <w:r>
        <w:rPr>
          <w:i/>
        </w:rPr>
        <w:t>Radiation Safety (General) Regulations 1983</w:t>
      </w:r>
      <w:bookmarkEnd w:id="943"/>
      <w:r>
        <w:t xml:space="preserve"> </w:t>
      </w:r>
    </w:p>
    <w:p>
      <w:pPr>
        <w:pStyle w:val="Subsection"/>
      </w:pPr>
      <w:r>
        <w:tab/>
      </w:r>
      <w:r>
        <w:tab/>
        <w:t xml:space="preserve">This Subdivision prevails over the </w:t>
      </w:r>
      <w:r>
        <w:rPr>
          <w:i/>
        </w:rPr>
        <w:t>Radiation Safety (General) Regulations 1983</w:t>
      </w:r>
      <w:r>
        <w:t xml:space="preserve"> to the extent of any inconsistency.</w:t>
      </w:r>
    </w:p>
    <w:p>
      <w:pPr>
        <w:pStyle w:val="PermNoteHeading"/>
      </w:pPr>
      <w:r>
        <w:tab/>
        <w:t>Note for this regulation:</w:t>
      </w:r>
    </w:p>
    <w:p>
      <w:pPr>
        <w:pStyle w:val="PermNoteText"/>
      </w:pPr>
      <w:r>
        <w:tab/>
      </w:r>
      <w:r>
        <w:tab/>
        <w:t xml:space="preserve">See also the </w:t>
      </w:r>
      <w:r>
        <w:rPr>
          <w:i/>
        </w:rPr>
        <w:t>Radiation Safety (General) Regulations 1983</w:t>
      </w:r>
      <w:r>
        <w:t xml:space="preserve"> regulation 4.</w:t>
      </w:r>
    </w:p>
    <w:p>
      <w:pPr>
        <w:pStyle w:val="Heading5"/>
      </w:pPr>
      <w:bookmarkStart w:id="944" w:name="_Toc200720448"/>
      <w:r>
        <w:rPr>
          <w:rStyle w:val="CharSectno"/>
        </w:rPr>
        <w:t>641K</w:t>
      </w:r>
      <w:r>
        <w:t>.</w:t>
      </w:r>
      <w:r>
        <w:tab/>
        <w:t>Meaning of radioactive material</w:t>
      </w:r>
      <w:bookmarkEnd w:id="944"/>
    </w:p>
    <w:p>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pPr>
        <w:pStyle w:val="Subsection"/>
      </w:pPr>
      <w:r>
        <w:tab/>
        <w:t>(2)</w:t>
      </w:r>
      <w:r>
        <w:tab/>
        <w:t xml:space="preserve">The regulator may designate material to be </w:t>
      </w:r>
      <w:r>
        <w:rPr>
          <w:rStyle w:val="CharDefText"/>
        </w:rPr>
        <w:t>radioactive material</w:t>
      </w:r>
      <w:r>
        <w:t xml:space="preserve"> if — </w:t>
      </w:r>
    </w:p>
    <w:p>
      <w:pPr>
        <w:pStyle w:val="Indenta"/>
      </w:pPr>
      <w:r>
        <w:tab/>
        <w:t>(a)</w:t>
      </w:r>
      <w:r>
        <w:tab/>
        <w:t xml:space="preserve">the material — </w:t>
      </w:r>
    </w:p>
    <w:p>
      <w:pPr>
        <w:pStyle w:val="Indenti"/>
      </w:pPr>
      <w:r>
        <w:tab/>
        <w:t>(i)</w:t>
      </w:r>
      <w:r>
        <w:tab/>
        <w:t>exhibits radioactivity; or</w:t>
      </w:r>
    </w:p>
    <w:p>
      <w:pPr>
        <w:pStyle w:val="Indenti"/>
      </w:pPr>
      <w:r>
        <w:tab/>
        <w:t>(ii)</w:t>
      </w:r>
      <w:r>
        <w:tab/>
        <w:t>emits ionising radiation or particles; or</w:t>
      </w:r>
    </w:p>
    <w:p>
      <w:pPr>
        <w:pStyle w:val="Indenti"/>
      </w:pPr>
      <w:r>
        <w:lastRenderedPageBreak/>
        <w:tab/>
        <w:t>(iii)</w:t>
      </w:r>
      <w:r>
        <w:tab/>
        <w:t>contains radionuclides of natural origin;</w:t>
      </w:r>
    </w:p>
    <w:p>
      <w:pPr>
        <w:pStyle w:val="Indenta"/>
      </w:pPr>
      <w:r>
        <w:tab/>
      </w:r>
      <w:r>
        <w:tab/>
        <w:t>and</w:t>
      </w:r>
    </w:p>
    <w:p>
      <w:pPr>
        <w:pStyle w:val="Indenta"/>
      </w:pPr>
      <w:r>
        <w:tab/>
        <w:t>(b)</w:t>
      </w:r>
      <w:r>
        <w:tab/>
        <w:t>the activity concentration in the material exceeds 1 Bqg</w:t>
      </w:r>
      <w:r>
        <w:rPr>
          <w:vertAlign w:val="superscript"/>
        </w:rPr>
        <w:noBreakHyphen/>
        <w:t>1</w:t>
      </w:r>
      <w:r>
        <w:t>.</w:t>
      </w:r>
    </w:p>
    <w:p>
      <w:pPr>
        <w:pStyle w:val="Subsection"/>
      </w:pPr>
      <w:r>
        <w:tab/>
        <w:t>(3)</w:t>
      </w:r>
      <w:r>
        <w:tab/>
        <w:t xml:space="preserve">The regulator must give a person who is affected by a  designation made under subregulation (2) a written copy of the regulator’s designation. </w:t>
      </w:r>
    </w:p>
    <w:p>
      <w:pPr>
        <w:pStyle w:val="Heading5"/>
      </w:pPr>
      <w:bookmarkStart w:id="945" w:name="_Toc200720449"/>
      <w:r>
        <w:rPr>
          <w:rStyle w:val="CharSectno"/>
        </w:rPr>
        <w:t>641L</w:t>
      </w:r>
      <w:r>
        <w:t>.</w:t>
      </w:r>
      <w:r>
        <w:tab/>
        <w:t>Application of Subdivision</w:t>
      </w:r>
      <w:bookmarkEnd w:id="945"/>
    </w:p>
    <w:p>
      <w:pPr>
        <w:pStyle w:val="Subsection"/>
      </w:pPr>
      <w:r>
        <w:tab/>
      </w:r>
      <w:r>
        <w:tab/>
        <w:t xml:space="preserve">This Subdivision applies to a mine (a </w:t>
      </w:r>
      <w:r>
        <w:rPr>
          <w:rStyle w:val="CharDefText"/>
        </w:rPr>
        <w:t>relevant mine</w:t>
      </w:r>
      <w:r>
        <w:t xml:space="preserve">) if — </w:t>
      </w:r>
    </w:p>
    <w:p>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pPr>
        <w:pStyle w:val="Indenta"/>
      </w:pPr>
      <w:r>
        <w:tab/>
        <w:t>(b)</w:t>
      </w:r>
      <w:r>
        <w:tab/>
        <w:t xml:space="preserve">either — </w:t>
      </w:r>
    </w:p>
    <w:p>
      <w:pPr>
        <w:pStyle w:val="Indenti"/>
      </w:pPr>
      <w:r>
        <w:tab/>
        <w:t>(i)</w:t>
      </w:r>
      <w:r>
        <w:tab/>
        <w:t xml:space="preserve">workers at the mine are likely to receive doses of radiation, arising from mining operations at the mine, in excess of an effective dose of 1 millisievert per year; or </w:t>
      </w:r>
    </w:p>
    <w:p>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pPr>
        <w:pStyle w:val="Heading5"/>
      </w:pPr>
      <w:bookmarkStart w:id="946" w:name="_Toc200720450"/>
      <w:r>
        <w:rPr>
          <w:rStyle w:val="CharSectno"/>
        </w:rPr>
        <w:t>641M</w:t>
      </w:r>
      <w:r>
        <w:t>.</w:t>
      </w:r>
      <w:r>
        <w:tab/>
        <w:t>Pre</w:t>
      </w:r>
      <w:r>
        <w:noBreakHyphen/>
        <w:t>operational monitoring program</w:t>
      </w:r>
      <w:bookmarkEnd w:id="946"/>
    </w:p>
    <w:p>
      <w:pPr>
        <w:pStyle w:val="Subsection"/>
      </w:pPr>
      <w:r>
        <w:tab/>
        <w:t>(1)</w:t>
      </w:r>
      <w:r>
        <w:tab/>
        <w:t xml:space="preserve">The mine operator of a relevant mine must ensure that a mining operation does not commence at the mine unless — </w:t>
      </w:r>
    </w:p>
    <w:p>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pPr>
        <w:pStyle w:val="Indenta"/>
      </w:pPr>
      <w:r>
        <w:lastRenderedPageBreak/>
        <w:tab/>
        <w:t>(b)</w:t>
      </w:r>
      <w:r>
        <w:tab/>
        <w:t>the regulator approves the program under subregulation (2); and</w:t>
      </w:r>
    </w:p>
    <w:p>
      <w:pPr>
        <w:pStyle w:val="Indenta"/>
      </w:pPr>
      <w:r>
        <w:tab/>
        <w:t>(c)</w:t>
      </w:r>
      <w:r>
        <w:tab/>
        <w:t>the mine operator provides the results of the program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regulator may approve, by written notice, a pre</w:t>
      </w:r>
      <w:r>
        <w:noBreakHyphen/>
        <w:t>operational monitoring program for a mining operation at a mine if the program is appropriate.</w:t>
      </w:r>
    </w:p>
    <w:p>
      <w:pPr>
        <w:pStyle w:val="PermNoteHeading"/>
      </w:pPr>
      <w:r>
        <w:tab/>
        <w:t>Note for this subregulation:</w:t>
      </w:r>
    </w:p>
    <w:p>
      <w:pPr>
        <w:pStyle w:val="PermNoteText"/>
      </w:pPr>
      <w:r>
        <w:tab/>
      </w:r>
      <w:r>
        <w:tab/>
        <w:t>Not approving a pre</w:t>
      </w:r>
      <w:r>
        <w:noBreakHyphen/>
        <w:t>operational monitoring program for a mining operation under this subregulation is a reviewable decision (see regulation 676).</w:t>
      </w:r>
    </w:p>
    <w:p>
      <w:pPr>
        <w:pStyle w:val="Subsection"/>
      </w:pPr>
      <w:r>
        <w:tab/>
        <w:t>(3)</w:t>
      </w:r>
      <w:r>
        <w:tab/>
        <w:t xml:space="preserve">In making a decision under subregulation (2), the regulator may have regard to a guideline that is — </w:t>
      </w:r>
    </w:p>
    <w:p>
      <w:pPr>
        <w:pStyle w:val="Indenta"/>
      </w:pPr>
      <w:r>
        <w:tab/>
        <w:t>(a)</w:t>
      </w:r>
      <w:r>
        <w:tab/>
        <w:t>approved by the regulator for the purposes of this subregulation; and</w:t>
      </w:r>
    </w:p>
    <w:p>
      <w:pPr>
        <w:pStyle w:val="Indenta"/>
      </w:pPr>
      <w:r>
        <w:tab/>
        <w:t>(b)</w:t>
      </w:r>
      <w:r>
        <w:tab/>
        <w:t>published on the regulator’s website.</w:t>
      </w:r>
    </w:p>
    <w:p>
      <w:pPr>
        <w:pStyle w:val="Heading5"/>
      </w:pPr>
      <w:bookmarkStart w:id="947" w:name="_Toc200720451"/>
      <w:r>
        <w:rPr>
          <w:rStyle w:val="CharSectno"/>
        </w:rPr>
        <w:t>641N</w:t>
      </w:r>
      <w:r>
        <w:t>.</w:t>
      </w:r>
      <w:r>
        <w:tab/>
        <w:t>Radiation management plan</w:t>
      </w:r>
      <w:bookmarkEnd w:id="947"/>
    </w:p>
    <w:p>
      <w:pPr>
        <w:pStyle w:val="Subsection"/>
        <w:keepNext/>
      </w:pPr>
      <w:r>
        <w:tab/>
        <w:t>(1)</w:t>
      </w:r>
      <w:r>
        <w:tab/>
        <w:t xml:space="preserve">The mine operator of a relevant mine must ensure that a mining operation does not commence at the mine unless — </w:t>
      </w:r>
    </w:p>
    <w:p>
      <w:pPr>
        <w:pStyle w:val="Indenta"/>
      </w:pPr>
      <w:r>
        <w:tab/>
        <w:t>(a)</w:t>
      </w:r>
      <w:r>
        <w:tab/>
        <w:t>the mine operator submits a radiation management plan for the mining operation at the mine to the regulator; and</w:t>
      </w:r>
    </w:p>
    <w:p>
      <w:pPr>
        <w:pStyle w:val="Indenta"/>
      </w:pPr>
      <w:r>
        <w:tab/>
        <w:t>(b)</w:t>
      </w:r>
      <w:r>
        <w:tab/>
        <w:t>the regulator approves the plan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regulator may approve, in writing, a radiation management plan for a mining operation at a mine if the plan — </w:t>
      </w:r>
    </w:p>
    <w:p>
      <w:pPr>
        <w:pStyle w:val="Indenta"/>
      </w:pPr>
      <w:r>
        <w:tab/>
        <w:t>(a)</w:t>
      </w:r>
      <w:r>
        <w:tab/>
        <w:t xml:space="preserve">includes — </w:t>
      </w:r>
    </w:p>
    <w:p>
      <w:pPr>
        <w:pStyle w:val="Indenti"/>
      </w:pPr>
      <w:r>
        <w:tab/>
        <w:t>(i)</w:t>
      </w:r>
      <w:r>
        <w:tab/>
        <w:t>a plan for monitoring workers’ radiation exposure under clause 2.7.2(b) of RPS</w:t>
      </w:r>
      <w:r>
        <w:noBreakHyphen/>
        <w:t>9; and</w:t>
      </w:r>
    </w:p>
    <w:p>
      <w:pPr>
        <w:pStyle w:val="Indenti"/>
      </w:pPr>
      <w:r>
        <w:tab/>
        <w:t>(ii)</w:t>
      </w:r>
      <w:r>
        <w:tab/>
        <w:t>a plan for discharges of radioactive waste, including authorised limits for the discharge of the waste; and</w:t>
      </w:r>
    </w:p>
    <w:p>
      <w:pPr>
        <w:pStyle w:val="Indenti"/>
      </w:pPr>
      <w:r>
        <w:tab/>
        <w:t>(iii)</w:t>
      </w:r>
      <w:r>
        <w:tab/>
        <w:t>the incidents about which the mine operator must notify the regulator;</w:t>
      </w:r>
    </w:p>
    <w:p>
      <w:pPr>
        <w:pStyle w:val="Indenta"/>
      </w:pPr>
      <w:r>
        <w:tab/>
      </w:r>
      <w:r>
        <w:tab/>
        <w:t>and</w:t>
      </w:r>
    </w:p>
    <w:p>
      <w:pPr>
        <w:pStyle w:val="Indenta"/>
      </w:pPr>
      <w:r>
        <w:tab/>
        <w:t>(b)</w:t>
      </w:r>
      <w:r>
        <w:tab/>
        <w:t>otherwise complies with clause 2.7.2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keepNext/>
      </w:pPr>
      <w:r>
        <w:tab/>
        <w:t>(3)</w:t>
      </w:r>
      <w:r>
        <w:tab/>
        <w:t>The mine operator of a mine the subject of an approved radiation management plan must ensure that the plan is complied with.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radiation management plan for a mine is part of the mine safety management system for the mine.</w:t>
      </w:r>
    </w:p>
    <w:p>
      <w:pPr>
        <w:pStyle w:val="Heading5"/>
      </w:pPr>
      <w:bookmarkStart w:id="948" w:name="_Toc200720452"/>
      <w:r>
        <w:rPr>
          <w:rStyle w:val="CharSectno"/>
        </w:rPr>
        <w:t>641O</w:t>
      </w:r>
      <w:r>
        <w:t>.</w:t>
      </w:r>
      <w:r>
        <w:tab/>
        <w:t>Radioactive waste management plan</w:t>
      </w:r>
      <w:bookmarkEnd w:id="948"/>
    </w:p>
    <w:p>
      <w:pPr>
        <w:pStyle w:val="Subsection"/>
      </w:pPr>
      <w:r>
        <w:tab/>
        <w:t>(1)</w:t>
      </w:r>
      <w:r>
        <w:tab/>
        <w:t xml:space="preserve">The mine operator of a relevant mine must ensure that a mining operation does not commence at the mine unless — </w:t>
      </w:r>
    </w:p>
    <w:p>
      <w:pPr>
        <w:pStyle w:val="Indenta"/>
      </w:pPr>
      <w:r>
        <w:tab/>
        <w:t>(a)</w:t>
      </w:r>
      <w:r>
        <w:tab/>
        <w:t>the mine operator submits a radioactive waste management plan for the mine to the regulator; and</w:t>
      </w:r>
    </w:p>
    <w:p>
      <w:pPr>
        <w:pStyle w:val="Indenta"/>
        <w:keepNext/>
      </w:pPr>
      <w:r>
        <w:lastRenderedPageBreak/>
        <w:tab/>
        <w:t>(b)</w:t>
      </w:r>
      <w:r>
        <w:tab/>
        <w:t>the regulator approves the plan under subregulation (2).</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radioactive waste management plan for a mine if the plan — </w:t>
      </w:r>
    </w:p>
    <w:p>
      <w:pPr>
        <w:pStyle w:val="Indenta"/>
      </w:pPr>
      <w:r>
        <w:tab/>
        <w:t>(a)</w:t>
      </w:r>
      <w:r>
        <w:tab/>
        <w:t xml:space="preserve">includes — </w:t>
      </w:r>
    </w:p>
    <w:p>
      <w:pPr>
        <w:pStyle w:val="Indenti"/>
      </w:pPr>
      <w:r>
        <w:tab/>
        <w:t>(i)</w:t>
      </w:r>
      <w:r>
        <w:tab/>
        <w:t xml:space="preserve">a plan for discharges of radioactive waste, including the authorised limit of waste to be discharged under the plan; </w:t>
      </w:r>
    </w:p>
    <w:p>
      <w:pPr>
        <w:pStyle w:val="Indenti"/>
      </w:pPr>
      <w:r>
        <w:tab/>
        <w:t>(ii)</w:t>
      </w:r>
      <w:r>
        <w:tab/>
        <w:t>the incidents about which the mine operator must notify the regulator;</w:t>
      </w:r>
    </w:p>
    <w:p>
      <w:pPr>
        <w:pStyle w:val="Indenta"/>
      </w:pPr>
      <w:r>
        <w:tab/>
      </w:r>
      <w:r>
        <w:tab/>
        <w:t>and</w:t>
      </w:r>
    </w:p>
    <w:p>
      <w:pPr>
        <w:pStyle w:val="Indenta"/>
      </w:pPr>
      <w:r>
        <w:tab/>
        <w:t>(b)</w:t>
      </w:r>
      <w:r>
        <w:tab/>
        <w:t>otherwise complies with clause 2.8.2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pPr>
      <w:r>
        <w:tab/>
        <w:t>(3)</w:t>
      </w:r>
      <w:r>
        <w:tab/>
        <w:t>The mine operator of a mine the subject of an approved radioactive waste management plan must ensure that the plan is complied with.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radioactive waste management plan for a mine is part of the mine safety management system for the mine.</w:t>
      </w:r>
    </w:p>
    <w:p>
      <w:pPr>
        <w:pStyle w:val="Heading5"/>
      </w:pPr>
      <w:bookmarkStart w:id="949" w:name="_Toc200720453"/>
      <w:r>
        <w:rPr>
          <w:rStyle w:val="CharSectno"/>
        </w:rPr>
        <w:t>641P</w:t>
      </w:r>
      <w:r>
        <w:t>.</w:t>
      </w:r>
      <w:r>
        <w:tab/>
        <w:t>Dose limits</w:t>
      </w:r>
      <w:bookmarkEnd w:id="949"/>
    </w:p>
    <w:p>
      <w:pPr>
        <w:pStyle w:val="Subsection"/>
        <w:keepNext/>
      </w:pPr>
      <w:r>
        <w:tab/>
        <w:t>(1)</w:t>
      </w:r>
      <w:r>
        <w:tab/>
        <w:t xml:space="preserve">The mine operator of a relevant mine must ensure that a worker at the mine does not receive doses of radiation, arising from mining operations at the mine, that are in excess of the </w:t>
      </w:r>
      <w:r>
        <w:lastRenderedPageBreak/>
        <w:t>occupational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50" w:name="_Toc200720454"/>
      <w:r>
        <w:rPr>
          <w:rStyle w:val="CharSectno"/>
        </w:rPr>
        <w:t>641Q</w:t>
      </w:r>
      <w:r>
        <w:t>.</w:t>
      </w:r>
      <w:r>
        <w:tab/>
        <w:t>Assessment of doses</w:t>
      </w:r>
      <w:bookmarkEnd w:id="950"/>
    </w:p>
    <w:p>
      <w:pPr>
        <w:pStyle w:val="Subsection"/>
        <w:keepNext/>
      </w:pPr>
      <w:r>
        <w:tab/>
        <w:t>(1)</w:t>
      </w:r>
      <w:r>
        <w:tab/>
        <w:t xml:space="preserve">The mine operator of a relevant mine must ensure that any assessment of doses of radiation — </w:t>
      </w:r>
    </w:p>
    <w:p>
      <w:pPr>
        <w:pStyle w:val="Indenta"/>
      </w:pPr>
      <w:r>
        <w:tab/>
        <w:t>(a)</w:t>
      </w:r>
      <w:r>
        <w:tab/>
        <w:t>takes into account the results of the worker monitoring plan included in an approved radiation management plan for the mine; and</w:t>
      </w:r>
    </w:p>
    <w:p>
      <w:pPr>
        <w:pStyle w:val="Indenta"/>
      </w:pPr>
      <w:r>
        <w:tab/>
        <w:t>(b)</w:t>
      </w:r>
      <w:r>
        <w:tab/>
        <w:t>does not, without the approval of the regulator, take into account any protection factor for the use of protective clothing or respiratory protective equipment; and</w:t>
      </w:r>
    </w:p>
    <w:p>
      <w:pPr>
        <w:pStyle w:val="Indenta"/>
      </w:pPr>
      <w:r>
        <w:tab/>
        <w:t>(c)</w:t>
      </w:r>
      <w:r>
        <w:tab/>
        <w:t>is carried out in accordance with a procedure approved by the regulator under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The regulator may, in writing, approve a procedure to assess doses of radiation if the procedure aligns with the objective stated in clause 2.2 of RPS</w:t>
      </w:r>
      <w:r>
        <w:noBreakHyphen/>
        <w:t>9.</w:t>
      </w:r>
    </w:p>
    <w:p>
      <w:pPr>
        <w:pStyle w:val="Subsection"/>
      </w:pPr>
      <w:r>
        <w:tab/>
        <w:t>(3)</w:t>
      </w:r>
      <w:r>
        <w:tab/>
        <w:t xml:space="preserve">If the assessed effective dose to a person exceeds 10 millisievert per year, the mine operator of the mine must — </w:t>
      </w:r>
    </w:p>
    <w:p>
      <w:pPr>
        <w:pStyle w:val="Indenta"/>
      </w:pPr>
      <w:r>
        <w:tab/>
        <w:t>(a)</w:t>
      </w:r>
      <w:r>
        <w:tab/>
        <w:t>ensure that the control measures are reviewed and, if necessary, changed; and</w:t>
      </w:r>
    </w:p>
    <w:p>
      <w:pPr>
        <w:pStyle w:val="Indenta"/>
      </w:pPr>
      <w:r>
        <w:tab/>
        <w:t>(b)</w:t>
      </w:r>
      <w:r>
        <w:tab/>
        <w:t>so far as is practicable, reassess the effective dose after the review referred to in paragraph (a) is carried out by using more appropriate data as approved in writing by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1" w:name="_Toc200720455"/>
      <w:r>
        <w:rPr>
          <w:rStyle w:val="CharSectno"/>
        </w:rPr>
        <w:t>641R</w:t>
      </w:r>
      <w:r>
        <w:t>.</w:t>
      </w:r>
      <w:r>
        <w:tab/>
        <w:t>Controlled areas and supervised areas</w:t>
      </w:r>
      <w:bookmarkEnd w:id="951"/>
    </w:p>
    <w:p>
      <w:pPr>
        <w:pStyle w:val="Subsection"/>
        <w:keepNext/>
      </w:pPr>
      <w:r>
        <w:tab/>
        <w:t>(1)</w:t>
      </w:r>
      <w:r>
        <w:tab/>
        <w:t xml:space="preserve">The mine operator of a relevant mine must ensure that in any area designated in an approved radiation management plan for the mine as a controlled area — </w:t>
      </w:r>
    </w:p>
    <w:p>
      <w:pPr>
        <w:pStyle w:val="Indenta"/>
      </w:pPr>
      <w:r>
        <w:tab/>
        <w:t>(a)</w:t>
      </w:r>
      <w:r>
        <w:tab/>
        <w:t>access is limited to those persons who are required to work, or perform any duty under the Act, in the area; and</w:t>
      </w:r>
    </w:p>
    <w:p>
      <w:pPr>
        <w:pStyle w:val="Indenta"/>
      </w:pPr>
      <w:r>
        <w:tab/>
        <w:t>(b)</w:t>
      </w:r>
      <w:r>
        <w:tab/>
        <w:t>the boundaries of the area are clearly delineated and are made known to workers at the mine; and</w:t>
      </w:r>
    </w:p>
    <w:p>
      <w:pPr>
        <w:pStyle w:val="Indenta"/>
      </w:pPr>
      <w:r>
        <w:tab/>
        <w:t>(c)</w:t>
      </w:r>
      <w:r>
        <w:tab/>
        <w:t>any person entering the area has received appropriate instructions about the nature of the radiation hazards in the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mine operator of a relevant mine must ensure that in any area designated in an approved radiation management plan for the mine as a supervised area — </w:t>
      </w:r>
    </w:p>
    <w:p>
      <w:pPr>
        <w:pStyle w:val="Indenta"/>
      </w:pPr>
      <w:r>
        <w:tab/>
        <w:t>(a)</w:t>
      </w:r>
      <w:r>
        <w:tab/>
        <w:t>access by members of the public is supervised; and</w:t>
      </w:r>
    </w:p>
    <w:p>
      <w:pPr>
        <w:pStyle w:val="Indenta"/>
      </w:pPr>
      <w:r>
        <w:tab/>
        <w:t>(b)</w:t>
      </w:r>
      <w:r>
        <w:tab/>
        <w:t>the boundaries of the area are clearly delineated and are made known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2" w:name="_Toc200720456"/>
      <w:r>
        <w:rPr>
          <w:rStyle w:val="CharSectno"/>
        </w:rPr>
        <w:t>641S</w:t>
      </w:r>
      <w:r>
        <w:t>.</w:t>
      </w:r>
      <w:r>
        <w:tab/>
        <w:t>Designated workers</w:t>
      </w:r>
      <w:bookmarkEnd w:id="952"/>
    </w:p>
    <w:p>
      <w:pPr>
        <w:pStyle w:val="Subsection"/>
      </w:pPr>
      <w:r>
        <w:tab/>
        <w:t>(1)</w:t>
      </w:r>
      <w:r>
        <w:tab/>
        <w:t xml:space="preserve">The mine operator of a relevant mine must ensure that, before mining operations commence at the mine, each worker at the mine is classified as either — </w:t>
      </w:r>
    </w:p>
    <w:p>
      <w:pPr>
        <w:pStyle w:val="Indenta"/>
      </w:pPr>
      <w:r>
        <w:tab/>
        <w:t>(a)</w:t>
      </w:r>
      <w:r>
        <w:tab/>
        <w:t xml:space="preserve">if the worker works, or may work, under conditions so that the effective dose of radiation the worker receives may exceed 5 millisievert per year — a designated worker at the mine; or </w:t>
      </w:r>
    </w:p>
    <w:p>
      <w:pPr>
        <w:pStyle w:val="Indenta"/>
      </w:pPr>
      <w:r>
        <w:tab/>
        <w:t>(b)</w:t>
      </w:r>
      <w:r>
        <w:tab/>
        <w:t>otherwise — a non</w:t>
      </w:r>
      <w:r>
        <w:noBreakHyphen/>
        <w:t>designated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relevant mine must review the classification of workers under subregulation (1) at intervals of not more than 12 months or whenever their work activities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a relevant mine must, so far as is practicable, limit the number of designated workers at the mine </w:t>
      </w:r>
      <w:r>
        <w:lastRenderedPageBreak/>
        <w:t>to the minimum number necessary for the proper conduct of mining operations at the mine.</w:t>
      </w:r>
    </w:p>
    <w:p>
      <w:pPr>
        <w:pStyle w:val="Heading5"/>
      </w:pPr>
      <w:bookmarkStart w:id="953" w:name="_Toc200720457"/>
      <w:r>
        <w:rPr>
          <w:rStyle w:val="CharSectno"/>
        </w:rPr>
        <w:t>641T</w:t>
      </w:r>
      <w:r>
        <w:t>.</w:t>
      </w:r>
      <w:r>
        <w:tab/>
        <w:t>Pregnant designated workers</w:t>
      </w:r>
      <w:bookmarkEnd w:id="953"/>
      <w:r>
        <w:t xml:space="preserve"> </w:t>
      </w:r>
    </w:p>
    <w:p>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pPr>
        <w:pStyle w:val="Indenta"/>
      </w:pPr>
      <w:r>
        <w:tab/>
        <w:t>(a)</w:t>
      </w:r>
      <w:r>
        <w:tab/>
        <w:t>ceases to be a designated worker; and</w:t>
      </w:r>
    </w:p>
    <w:p>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rPr>
          <w:snapToGrid w:val="0"/>
        </w:rPr>
      </w:pPr>
      <w:bookmarkStart w:id="954" w:name="_Toc200720458"/>
      <w:r>
        <w:rPr>
          <w:rStyle w:val="CharSectno"/>
        </w:rPr>
        <w:t>641U</w:t>
      </w:r>
      <w:r>
        <w:t>.</w:t>
      </w:r>
      <w:r>
        <w:tab/>
      </w:r>
      <w:r>
        <w:rPr>
          <w:snapToGrid w:val="0"/>
        </w:rPr>
        <w:t>Notifying results of dose assessment of designated workers</w:t>
      </w:r>
      <w:bookmarkEnd w:id="954"/>
      <w:r>
        <w:rPr>
          <w:snapToGrid w:val="0"/>
        </w:rPr>
        <w:t xml:space="preserve"> </w:t>
      </w:r>
    </w:p>
    <w:p>
      <w:pPr>
        <w:pStyle w:val="Subsection"/>
        <w:keepNext/>
      </w:pPr>
      <w:r>
        <w:tab/>
      </w:r>
      <w:r>
        <w:tab/>
      </w:r>
      <w:r>
        <w:rPr>
          <w:snapToGrid w:val="0"/>
        </w:rPr>
        <w:t xml:space="preserve">The mine operator of a relevant mine must ensure that designated workers at the mine are notified of the results of </w:t>
      </w:r>
      <w:r>
        <w:t xml:space="preserve">any </w:t>
      </w:r>
      <w:r>
        <w:lastRenderedPageBreak/>
        <w:t>assessment of doses of radiation</w:t>
      </w:r>
      <w:r>
        <w:rPr>
          <w:snapToGrid w:val="0"/>
        </w:rPr>
        <w:t xml:space="preserve"> received by the worker as soon as practicable after the assessment is completed.</w:t>
      </w:r>
    </w:p>
    <w:p>
      <w:pPr>
        <w:pStyle w:val="Penstart"/>
        <w:keepNext/>
      </w:pPr>
      <w:r>
        <w:tab/>
        <w:t>Penalty for this subregulation:</w:t>
      </w:r>
    </w:p>
    <w:p>
      <w:pPr>
        <w:pStyle w:val="Penpara"/>
        <w:keepNext/>
      </w:pPr>
      <w:r>
        <w:tab/>
        <w:t>(a)</w:t>
      </w:r>
      <w:r>
        <w:tab/>
        <w:t>for an individual, a fine of $4 200;</w:t>
      </w:r>
    </w:p>
    <w:p>
      <w:pPr>
        <w:pStyle w:val="Penpara"/>
      </w:pPr>
      <w:r>
        <w:tab/>
        <w:t>(b)</w:t>
      </w:r>
      <w:r>
        <w:tab/>
        <w:t>for a body corporate, a fine of $21 000.</w:t>
      </w:r>
    </w:p>
    <w:p>
      <w:pPr>
        <w:pStyle w:val="Heading5"/>
      </w:pPr>
      <w:bookmarkStart w:id="955" w:name="_Toc200720459"/>
      <w:r>
        <w:rPr>
          <w:rStyle w:val="CharSectno"/>
        </w:rPr>
        <w:t>641V</w:t>
      </w:r>
      <w:r>
        <w:t>.</w:t>
      </w:r>
      <w:r>
        <w:tab/>
        <w:t>Approval to remove or dispose of radioactive material</w:t>
      </w:r>
      <w:bookmarkEnd w:id="955"/>
      <w:r>
        <w:t xml:space="preserve"> </w:t>
      </w:r>
    </w:p>
    <w:p>
      <w:pPr>
        <w:pStyle w:val="Subsection"/>
      </w:pPr>
      <w:r>
        <w:tab/>
      </w:r>
      <w:r>
        <w:tab/>
        <w:t>A person must not remove or dispose of any radioactive material obtained from mining operations at a relevant mine for use elsewhere in the State without the prior written approval of the regulator.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Not giving written approval under this regulation is a reviewable decision (see regulation 676).</w:t>
      </w:r>
    </w:p>
    <w:p>
      <w:pPr>
        <w:pStyle w:val="Heading5"/>
      </w:pPr>
      <w:bookmarkStart w:id="956" w:name="_Toc200720460"/>
      <w:r>
        <w:rPr>
          <w:rStyle w:val="CharSectno"/>
        </w:rPr>
        <w:t>641W</w:t>
      </w:r>
      <w:r>
        <w:t>.</w:t>
      </w:r>
      <w:r>
        <w:tab/>
        <w:t>Approval to use or treat imported radioactive minerals</w:t>
      </w:r>
      <w:bookmarkEnd w:id="956"/>
      <w:r>
        <w:t xml:space="preserve"> </w:t>
      </w:r>
    </w:p>
    <w:p>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person’s use or treatment of radioactive minerals in a mining operation at a relevant mine if — </w:t>
      </w:r>
    </w:p>
    <w:p>
      <w:pPr>
        <w:pStyle w:val="Indenta"/>
      </w:pPr>
      <w:r>
        <w:tab/>
        <w:t>(a)</w:t>
      </w:r>
      <w:r>
        <w:tab/>
        <w:t>there is an approved radiation management plan for the mine that regulates the use or treatment of the radioactive minerals; and</w:t>
      </w:r>
    </w:p>
    <w:p>
      <w:pPr>
        <w:pStyle w:val="Indenta"/>
      </w:pPr>
      <w:r>
        <w:lastRenderedPageBreak/>
        <w:tab/>
        <w:t>(b)</w:t>
      </w:r>
      <w:r>
        <w:tab/>
        <w:t>a radiation safety officer is appointed for the mine to, and who is sufficiently qualified to, supervise the use or treatment of the radioactive minerals.</w:t>
      </w:r>
    </w:p>
    <w:p>
      <w:pPr>
        <w:pStyle w:val="PermNoteHeading"/>
      </w:pPr>
      <w:r>
        <w:tab/>
        <w:t>Note for this subregulation:</w:t>
      </w:r>
    </w:p>
    <w:p>
      <w:pPr>
        <w:pStyle w:val="PermNoteText"/>
      </w:pPr>
      <w:r>
        <w:tab/>
      </w:r>
      <w:r>
        <w:tab/>
        <w:t>Not giving written approval under this subregulation is a reviewable decision (see regulation 676).</w:t>
      </w:r>
    </w:p>
    <w:p>
      <w:pPr>
        <w:pStyle w:val="Heading5"/>
      </w:pPr>
      <w:bookmarkStart w:id="957" w:name="_Toc200720461"/>
      <w:r>
        <w:rPr>
          <w:rStyle w:val="CharSectno"/>
        </w:rPr>
        <w:t>641X</w:t>
      </w:r>
      <w:r>
        <w:t>.</w:t>
      </w:r>
      <w:r>
        <w:tab/>
        <w:t>Discharges</w:t>
      </w:r>
      <w:bookmarkEnd w:id="957"/>
    </w:p>
    <w:p>
      <w:pPr>
        <w:pStyle w:val="Subsection"/>
      </w:pPr>
      <w:r>
        <w:tab/>
      </w:r>
      <w:r>
        <w:tab/>
        <w:t xml:space="preserve">The mine operator of a relevant mine must ensure the following — </w:t>
      </w:r>
    </w:p>
    <w:p>
      <w:pPr>
        <w:pStyle w:val="Indenta"/>
      </w:pPr>
      <w:r>
        <w:tab/>
        <w:t>(a)</w:t>
      </w:r>
      <w:r>
        <w:tab/>
        <w:t>that any discharges of radioactive waste at the mine are in accordance with the approved radiation management plan and approved radioactive waste management plan for the mine;</w:t>
      </w:r>
    </w:p>
    <w:p>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pPr>
        <w:pStyle w:val="Indenti"/>
      </w:pPr>
      <w:r>
        <w:tab/>
        <w:t>(i)</w:t>
      </w:r>
      <w:r>
        <w:tab/>
        <w:t>immediate action is taken to rectify the situation; and</w:t>
      </w:r>
    </w:p>
    <w:p>
      <w:pPr>
        <w:pStyle w:val="Indenti"/>
      </w:pPr>
      <w:r>
        <w:tab/>
        <w:t>(ii)</w:t>
      </w:r>
      <w:r>
        <w:tab/>
        <w:t>the regulator is notified of the situation as soon as practicable; and</w:t>
      </w:r>
    </w:p>
    <w:p>
      <w:pPr>
        <w:pStyle w:val="Indenti"/>
      </w:pPr>
      <w:r>
        <w:tab/>
        <w:t>(iii)</w:t>
      </w:r>
      <w:r>
        <w:tab/>
        <w:t>any directions given by the regulator to the mine operator in relation to the situation are complied with.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58" w:name="_Toc200720462"/>
      <w:r>
        <w:rPr>
          <w:rStyle w:val="CharSectno"/>
        </w:rPr>
        <w:lastRenderedPageBreak/>
        <w:t>641Y</w:t>
      </w:r>
      <w:r>
        <w:t>.</w:t>
      </w:r>
      <w:r>
        <w:tab/>
        <w:t>Notifications, reports and records</w:t>
      </w:r>
      <w:bookmarkEnd w:id="958"/>
    </w:p>
    <w:p>
      <w:pPr>
        <w:pStyle w:val="Subsection"/>
        <w:keepNext/>
      </w:pPr>
      <w:r>
        <w:tab/>
        <w:t>(1)</w:t>
      </w:r>
      <w:r>
        <w:tab/>
        <w:t xml:space="preserve">The mine operator of a relevant mine must ensure that the regulator is notified of the following as soon as practicable — </w:t>
      </w:r>
    </w:p>
    <w:p>
      <w:pPr>
        <w:pStyle w:val="Indenta"/>
      </w:pPr>
      <w:r>
        <w:tab/>
        <w:t>(a)</w:t>
      </w:r>
      <w:r>
        <w:tab/>
        <w:t>any dose of radiation in excess of dose limits, or any absorbed dose rates or contamination levels in excess of authorised limits;</w:t>
      </w:r>
    </w:p>
    <w:p>
      <w:pPr>
        <w:pStyle w:val="Indenta"/>
      </w:pPr>
      <w:r>
        <w:tab/>
        <w:t>(b)</w:t>
      </w:r>
      <w:r>
        <w:tab/>
        <w:t>the cause of the excessive dose, absorbed dose rates or contamination levels referred to in paragraph (a) and the action taken to reduce those levels;</w:t>
      </w:r>
    </w:p>
    <w:p>
      <w:pPr>
        <w:pStyle w:val="Indenta"/>
      </w:pPr>
      <w:r>
        <w:tab/>
        <w:t>(c)</w:t>
      </w:r>
      <w:r>
        <w:tab/>
        <w:t>any other incident of which the regulator is required to be notified under an approved radiation management plan or approved radioactive waste management plan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pPr>
        <w:pStyle w:val="Indenta"/>
      </w:pPr>
      <w:r>
        <w:tab/>
        <w:t>(a)</w:t>
      </w:r>
      <w:r>
        <w:tab/>
        <w:t>the results of the worker monitoring plan included in an approved radiation management plan for the mine;</w:t>
      </w:r>
    </w:p>
    <w:p>
      <w:pPr>
        <w:pStyle w:val="Indenta"/>
      </w:pPr>
      <w:r>
        <w:tab/>
        <w:t>(b)</w:t>
      </w:r>
      <w:r>
        <w:tab/>
        <w:t>the operation of an approved radiation management plan or approved radioactive waste management plan for the mine that forms part of the mine safety management system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mine operator of a relevant mine must ensure the following — </w:t>
      </w:r>
    </w:p>
    <w:p>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959" w:name="_Toc200720463"/>
      <w:r>
        <w:rPr>
          <w:rStyle w:val="CharDivNo"/>
        </w:rPr>
        <w:t>Division 4</w:t>
      </w:r>
      <w:r>
        <w:t> — </w:t>
      </w:r>
      <w:r>
        <w:rPr>
          <w:rStyle w:val="CharDivText"/>
        </w:rPr>
        <w:t>Specific control measures — underground mines</w:t>
      </w:r>
      <w:bookmarkEnd w:id="959"/>
    </w:p>
    <w:p>
      <w:pPr>
        <w:pStyle w:val="Heading4"/>
      </w:pPr>
      <w:bookmarkStart w:id="960" w:name="_Toc200720464"/>
      <w:r>
        <w:t>Subdivision 1 — All underground mines — operational controls</w:t>
      </w:r>
      <w:bookmarkEnd w:id="960"/>
    </w:p>
    <w:p>
      <w:pPr>
        <w:pStyle w:val="Heading5"/>
        <w:keepNext w:val="0"/>
      </w:pPr>
      <w:bookmarkStart w:id="961" w:name="_Toc200720465"/>
      <w:r>
        <w:t>642.</w:t>
      </w:r>
      <w:r>
        <w:tab/>
        <w:t>Not used</w:t>
      </w:r>
      <w:bookmarkEnd w:id="961"/>
    </w:p>
    <w:p>
      <w:pPr>
        <w:pStyle w:val="Heading5"/>
      </w:pPr>
      <w:bookmarkStart w:id="962" w:name="_Toc200720466"/>
      <w:r>
        <w:rPr>
          <w:rStyle w:val="CharSectno"/>
        </w:rPr>
        <w:t>642A</w:t>
      </w:r>
      <w:r>
        <w:t>.</w:t>
      </w:r>
      <w:r>
        <w:tab/>
        <w:t>Managing risks in underground operations</w:t>
      </w:r>
      <w:bookmarkEnd w:id="962"/>
    </w:p>
    <w:p>
      <w:pPr>
        <w:pStyle w:val="Subsection"/>
      </w:pPr>
      <w:r>
        <w:tab/>
        <w:t>(1)</w:t>
      </w:r>
      <w:r>
        <w:tab/>
        <w:t>In complying with regulation 617, the mine operator of an underground mine must manage risks to health and safety associated with underground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workers working alone;</w:t>
      </w:r>
    </w:p>
    <w:p>
      <w:pPr>
        <w:pStyle w:val="Indenta"/>
      </w:pPr>
      <w:r>
        <w:tab/>
        <w:t>(b)</w:t>
      </w:r>
      <w:r>
        <w:tab/>
        <w:t>accounting for workers at the end of their working shift;</w:t>
      </w:r>
    </w:p>
    <w:p>
      <w:pPr>
        <w:pStyle w:val="Indenta"/>
      </w:pPr>
      <w:r>
        <w:tab/>
        <w:t>(c)</w:t>
      </w:r>
      <w:r>
        <w:tab/>
        <w:t>communication systems between the surface and convenient places underground;</w:t>
      </w:r>
    </w:p>
    <w:p>
      <w:pPr>
        <w:pStyle w:val="Indenta"/>
      </w:pPr>
      <w:r>
        <w:tab/>
        <w:t>(d)</w:t>
      </w:r>
      <w:r>
        <w:tab/>
        <w:t>lack of illumination and poor visibility;</w:t>
      </w:r>
    </w:p>
    <w:p>
      <w:pPr>
        <w:pStyle w:val="Indenta"/>
      </w:pPr>
      <w:r>
        <w:lastRenderedPageBreak/>
        <w:tab/>
        <w:t>(e)</w:t>
      </w:r>
      <w:r>
        <w:tab/>
        <w:t>providing, installing, maintaining and using ladderways and footways;</w:t>
      </w:r>
    </w:p>
    <w:p>
      <w:pPr>
        <w:pStyle w:val="Indenta"/>
      </w:pPr>
      <w:r>
        <w:tab/>
        <w:t>(f)</w:t>
      </w:r>
      <w:r>
        <w:tab/>
        <w:t>design and use of travel ways;</w:t>
      </w:r>
    </w:p>
    <w:p>
      <w:pPr>
        <w:pStyle w:val="Indenta"/>
      </w:pPr>
      <w:r>
        <w:tab/>
        <w:t>(g)</w:t>
      </w:r>
      <w:r>
        <w:tab/>
        <w:t>overhead protection for underground mining plant;</w:t>
      </w:r>
    </w:p>
    <w:p>
      <w:pPr>
        <w:pStyle w:val="Indenta"/>
      </w:pPr>
      <w:r>
        <w:tab/>
        <w:t>(h)</w:t>
      </w:r>
      <w:r>
        <w:tab/>
        <w:t>work near vertical or steep openings;</w:t>
      </w:r>
    </w:p>
    <w:p>
      <w:pPr>
        <w:pStyle w:val="Indenta"/>
      </w:pPr>
      <w:r>
        <w:tab/>
        <w:t>(i)</w:t>
      </w:r>
      <w:r>
        <w:tab/>
        <w:t>means of escape.</w:t>
      </w:r>
    </w:p>
    <w:p>
      <w:pPr>
        <w:pStyle w:val="Heading5"/>
      </w:pPr>
      <w:bookmarkStart w:id="963" w:name="_Toc200720467"/>
      <w:r>
        <w:rPr>
          <w:rStyle w:val="CharSectno"/>
        </w:rPr>
        <w:t>643</w:t>
      </w:r>
      <w:r>
        <w:t>.</w:t>
      </w:r>
      <w:r>
        <w:tab/>
        <w:t>Connecting workings</w:t>
      </w:r>
      <w:bookmarkEnd w:id="963"/>
    </w:p>
    <w:p>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before connecting any underground mine workings to any other workings (including disused workings), must ensure — </w:t>
      </w:r>
    </w:p>
    <w:p>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pPr>
        <w:pStyle w:val="Indenta"/>
      </w:pPr>
      <w:r>
        <w:tab/>
        <w:t>(b)</w:t>
      </w:r>
      <w:r>
        <w:tab/>
        <w:t>otherwise — that all other reasonably practicable steps are taken to ascertain whether any of the hazards referred to in paragraph (a) exist.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4" w:name="_Toc200720468"/>
      <w:r>
        <w:rPr>
          <w:rStyle w:val="CharSectno"/>
        </w:rPr>
        <w:lastRenderedPageBreak/>
        <w:t>643A</w:t>
      </w:r>
      <w:r>
        <w:t>.</w:t>
      </w:r>
      <w:r>
        <w:tab/>
        <w:t>Underground fires</w:t>
      </w:r>
      <w:bookmarkEnd w:id="964"/>
    </w:p>
    <w:p>
      <w:pPr>
        <w:pStyle w:val="Subsection"/>
      </w:pPr>
      <w:r>
        <w:tab/>
        <w:t>(1)</w:t>
      </w:r>
      <w:r>
        <w:tab/>
        <w:t>In complying with regulation 617, the mine operator of an underground mine must manage risks to health and safety associated with underground fires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precautions in relation to the transportation, use and storage of combustible and flammable material;</w:t>
      </w:r>
    </w:p>
    <w:p>
      <w:pPr>
        <w:pStyle w:val="Indenta"/>
      </w:pPr>
      <w:r>
        <w:tab/>
        <w:t>(b)</w:t>
      </w:r>
      <w:r>
        <w:tab/>
        <w:t>precautions in relation to the selection, use and maintenance of plant;</w:t>
      </w:r>
    </w:p>
    <w:p>
      <w:pPr>
        <w:pStyle w:val="Indenta"/>
      </w:pPr>
      <w:r>
        <w:tab/>
        <w:t>(c)</w:t>
      </w:r>
      <w:r>
        <w:tab/>
        <w:t>precautions against spontaneous combustion;</w:t>
      </w:r>
    </w:p>
    <w:p>
      <w:pPr>
        <w:pStyle w:val="Indenta"/>
      </w:pPr>
      <w:r>
        <w:tab/>
        <w:t>(d)</w:t>
      </w:r>
      <w:r>
        <w:tab/>
        <w:t>measures for the management of ignition sources;</w:t>
      </w:r>
    </w:p>
    <w:p>
      <w:pPr>
        <w:pStyle w:val="Indenta"/>
      </w:pPr>
      <w:r>
        <w:tab/>
        <w:t>(e)</w:t>
      </w:r>
      <w:r>
        <w:tab/>
        <w:t>provision of fire warning systems;</w:t>
      </w:r>
    </w:p>
    <w:p>
      <w:pPr>
        <w:pStyle w:val="Indenta"/>
      </w:pPr>
      <w:r>
        <w:tab/>
        <w:t>(f)</w:t>
      </w:r>
      <w:r>
        <w:tab/>
        <w:t>provision of equipment and systems to mitigate fires;</w:t>
      </w:r>
    </w:p>
    <w:p>
      <w:pPr>
        <w:pStyle w:val="Indenta"/>
      </w:pPr>
      <w:r>
        <w:tab/>
        <w:t>(g)</w:t>
      </w:r>
      <w:r>
        <w:tab/>
        <w:t>measures for the availability and use of trained and competent persons.</w:t>
      </w:r>
    </w:p>
    <w:p>
      <w:pPr>
        <w:pStyle w:val="Heading5"/>
      </w:pPr>
      <w:bookmarkStart w:id="965" w:name="_Toc200720469"/>
      <w:r>
        <w:rPr>
          <w:rStyle w:val="CharSectno"/>
        </w:rPr>
        <w:t>644</w:t>
      </w:r>
      <w:r>
        <w:t>.</w:t>
      </w:r>
      <w:r>
        <w:tab/>
        <w:t>Winding systems</w:t>
      </w:r>
      <w:bookmarkEnd w:id="965"/>
    </w:p>
    <w:p>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pPr>
        <w:pStyle w:val="Indenta"/>
        <w:rPr>
          <w:color w:val="000000"/>
          <w:szCs w:val="24"/>
          <w:shd w:val="clear" w:color="auto" w:fill="FFFFFF"/>
        </w:rPr>
      </w:pPr>
      <w:r>
        <w:rPr>
          <w:szCs w:val="24"/>
        </w:rPr>
        <w:lastRenderedPageBreak/>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rPr>
          <w:color w:val="000000"/>
          <w:szCs w:val="24"/>
          <w:shd w:val="clear" w:color="auto" w:fill="FFFFFF"/>
        </w:rPr>
      </w:pPr>
      <w:r>
        <w:tab/>
        <w:t>(2)</w:t>
      </w:r>
      <w:r>
        <w:tab/>
      </w:r>
      <w:r>
        <w:rPr>
          <w:color w:val="000000"/>
          <w:szCs w:val="24"/>
          <w:shd w:val="clear" w:color="auto" w:fill="FFFFFF"/>
        </w:rPr>
        <w:t xml:space="preserve">The mine operator of an underground mine must ensure that the condition and performance of every winding system, and its </w:t>
      </w:r>
      <w:r>
        <w:rPr>
          <w:color w:val="000000"/>
          <w:szCs w:val="24"/>
          <w:shd w:val="clear" w:color="auto" w:fill="FFFFFF"/>
        </w:rPr>
        <w:lastRenderedPageBreak/>
        <w:t>components, are tested and monitored at intervals that ensure the safe performance of the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6" w:name="_Toc200720470"/>
      <w:r>
        <w:rPr>
          <w:rStyle w:val="CharSectno"/>
        </w:rPr>
        <w:t>644A</w:t>
      </w:r>
      <w:r>
        <w:t>.</w:t>
      </w:r>
      <w:r>
        <w:tab/>
        <w:t>Ropes</w:t>
      </w:r>
      <w:bookmarkEnd w:id="966"/>
    </w:p>
    <w:p>
      <w:pPr>
        <w:pStyle w:val="Subsection"/>
      </w:pPr>
      <w:r>
        <w:tab/>
      </w:r>
      <w:r>
        <w:tab/>
        <w:t xml:space="preserve">The mine operator of an underground mine must ensure the following — </w:t>
      </w:r>
    </w:p>
    <w:p>
      <w:pPr>
        <w:pStyle w:val="Indenta"/>
      </w:pPr>
      <w:r>
        <w:tab/>
        <w:t>(a)</w:t>
      </w:r>
      <w:r>
        <w:tab/>
        <w:t>that each rope used for the purposes of a winding system is regularly inspected and tested to ensure that it is safe for that use;</w:t>
      </w:r>
    </w:p>
    <w:p>
      <w:pPr>
        <w:pStyle w:val="Indenta"/>
      </w:pPr>
      <w:r>
        <w:tab/>
        <w:t>(b)</w:t>
      </w:r>
      <w:r>
        <w:tab/>
        <w:t>that criteria are established to determine when a rope is no longer suitable for any such use;</w:t>
      </w:r>
    </w:p>
    <w:p>
      <w:pPr>
        <w:pStyle w:val="Indenta"/>
      </w:pPr>
      <w:r>
        <w:tab/>
        <w:t>(c)</w:t>
      </w:r>
      <w:r>
        <w:tab/>
        <w:t>that rope is discarded when it does not comply with those criteria or is unsafe to use.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67" w:name="_Toc200720471"/>
      <w:r>
        <w:rPr>
          <w:rStyle w:val="CharSectno"/>
        </w:rPr>
        <w:lastRenderedPageBreak/>
        <w:t>645</w:t>
      </w:r>
      <w:r>
        <w:t>.</w:t>
      </w:r>
      <w:r>
        <w:tab/>
        <w:t>Operation of mine shaft conveyances</w:t>
      </w:r>
      <w:bookmarkEnd w:id="967"/>
    </w:p>
    <w:p>
      <w:pPr>
        <w:pStyle w:val="Subsection"/>
        <w:keepNext/>
      </w:pPr>
      <w:r>
        <w:tab/>
        <w:t>(1)</w:t>
      </w:r>
      <w:r>
        <w:tab/>
        <w:t xml:space="preserve">The mine operator of an underground mine must ensure that material or plant being carried in a mine shaft conveyance — </w:t>
      </w:r>
    </w:p>
    <w:p>
      <w:pPr>
        <w:pStyle w:val="Indenta"/>
      </w:pPr>
      <w:r>
        <w:tab/>
        <w:t>(a)</w:t>
      </w:r>
      <w:r>
        <w:tab/>
        <w:t>does not protrude from the conveyance, while it is moving, so as to contact a wall of the mine shaft or anything in the mine shaft; and</w:t>
      </w:r>
    </w:p>
    <w:p>
      <w:pPr>
        <w:pStyle w:val="Indenta"/>
      </w:pPr>
      <w:r>
        <w:tab/>
        <w:t>(b)</w:t>
      </w:r>
      <w:r>
        <w:tab/>
        <w:t>is so secured to the conveyance that it cannot leave the conveyance except by being deliberately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mine must ensure that persons being carried in a mine shaft conveyance are adequately protected from —</w:t>
      </w:r>
    </w:p>
    <w:p>
      <w:pPr>
        <w:pStyle w:val="Indenta"/>
      </w:pPr>
      <w:r>
        <w:tab/>
        <w:t>(a)</w:t>
      </w:r>
      <w:r>
        <w:tab/>
        <w:t xml:space="preserve">another mine shaft conveyance in the same mine shaft; and </w:t>
      </w:r>
    </w:p>
    <w:p>
      <w:pPr>
        <w:pStyle w:val="Indenta"/>
      </w:pPr>
      <w:r>
        <w:tab/>
        <w:t>(b)</w:t>
      </w:r>
      <w:r>
        <w:tab/>
        <w:t xml:space="preserve">any material or plant being carried in the other conveyance; and </w:t>
      </w:r>
    </w:p>
    <w:p>
      <w:pPr>
        <w:pStyle w:val="Indenta"/>
      </w:pPr>
      <w:r>
        <w:tab/>
        <w:t>(c)</w:t>
      </w:r>
      <w:r>
        <w:tab/>
        <w:t>the wall of the mine shaft or anything in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(4)</w:t>
      </w:r>
      <w:r>
        <w:tab/>
        <w:t>The mine operator of an underground mine must ensure that control measures are implemented to prevent a mine shaft conveyance from falling down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8" w:name="_Toc200720472"/>
      <w:r>
        <w:rPr>
          <w:rStyle w:val="CharSectno"/>
        </w:rPr>
        <w:t>646</w:t>
      </w:r>
      <w:r>
        <w:t>.</w:t>
      </w:r>
      <w:r>
        <w:tab/>
        <w:t>Gas or dust explosion</w:t>
      </w:r>
      <w:bookmarkEnd w:id="968"/>
    </w:p>
    <w:p>
      <w:pPr>
        <w:pStyle w:val="Subsection"/>
      </w:pPr>
      <w:r>
        <w:tab/>
        <w:t>(1)</w:t>
      </w:r>
      <w:r>
        <w:tab/>
        <w:t>In complying with regulation 617, the mine operator of an underground mine must manage risks to health and safety associated with explosions related to gas or dust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measures that minimise the chances of explosions;</w:t>
      </w:r>
    </w:p>
    <w:p>
      <w:pPr>
        <w:pStyle w:val="Indenta"/>
      </w:pPr>
      <w:r>
        <w:tab/>
        <w:t>(b)</w:t>
      </w:r>
      <w:r>
        <w:tab/>
        <w:t>in relation to explosions related to gas — measures that identify potential sources or causes of explosions, including measures to detect gas;</w:t>
      </w:r>
    </w:p>
    <w:p>
      <w:pPr>
        <w:pStyle w:val="Indenta"/>
      </w:pPr>
      <w:r>
        <w:tab/>
        <w:t>(c)</w:t>
      </w:r>
      <w:r>
        <w:tab/>
        <w:t xml:space="preserve">in relation to explosions related to dust — </w:t>
      </w:r>
    </w:p>
    <w:p>
      <w:pPr>
        <w:pStyle w:val="Indenti"/>
      </w:pPr>
      <w:r>
        <w:tab/>
        <w:t>(i)</w:t>
      </w:r>
      <w:r>
        <w:tab/>
        <w:t>measures that minimise the generation of potentially explosive dusts; and</w:t>
      </w:r>
    </w:p>
    <w:p>
      <w:pPr>
        <w:pStyle w:val="Indenti"/>
        <w:keepNext/>
      </w:pPr>
      <w:r>
        <w:lastRenderedPageBreak/>
        <w:tab/>
        <w:t>(ii)</w:t>
      </w:r>
      <w:r>
        <w:tab/>
        <w:t>measures that suppress, collect and remove potentially explosive dusts; and</w:t>
      </w:r>
    </w:p>
    <w:p>
      <w:pPr>
        <w:pStyle w:val="Indenti"/>
      </w:pPr>
      <w:r>
        <w:tab/>
        <w:t>(iii)</w:t>
      </w:r>
      <w:r>
        <w:tab/>
        <w:t xml:space="preserve">measures that suppress any explosion and restrict its propagation so that other areas are not affected; and </w:t>
      </w:r>
    </w:p>
    <w:p>
      <w:pPr>
        <w:pStyle w:val="Indenti"/>
      </w:pPr>
      <w:r>
        <w:tab/>
        <w:t>(iv)</w:t>
      </w:r>
      <w:r>
        <w:tab/>
        <w:t>measures that ensure that workers are not exposed to the effects of an explosion.</w:t>
      </w:r>
    </w:p>
    <w:p>
      <w:pPr>
        <w:pStyle w:val="Heading4"/>
      </w:pPr>
      <w:bookmarkStart w:id="969" w:name="_Toc200720473"/>
      <w:r>
        <w:t>Subdivision 2 — All underground mines — air quality and ventilation</w:t>
      </w:r>
      <w:bookmarkEnd w:id="969"/>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coal mines see Subdivision 3.</w:t>
      </w:r>
    </w:p>
    <w:p>
      <w:pPr>
        <w:pStyle w:val="PermNoteText"/>
      </w:pPr>
      <w:r>
        <w:tab/>
        <w:t>3.</w:t>
      </w:r>
      <w:r>
        <w:tab/>
        <w:t>See also Division 5 and Part 10.3 Division 1.</w:t>
      </w:r>
    </w:p>
    <w:p>
      <w:pPr>
        <w:pStyle w:val="Heading5"/>
      </w:pPr>
      <w:bookmarkStart w:id="970" w:name="_Toc200720474"/>
      <w:r>
        <w:t>647.</w:t>
      </w:r>
      <w:r>
        <w:tab/>
        <w:t>Not used</w:t>
      </w:r>
      <w:bookmarkEnd w:id="970"/>
    </w:p>
    <w:p>
      <w:pPr>
        <w:pStyle w:val="Heading5"/>
      </w:pPr>
      <w:bookmarkStart w:id="971" w:name="_Toc200720475"/>
      <w:r>
        <w:rPr>
          <w:rStyle w:val="CharSectno"/>
        </w:rPr>
        <w:t>648</w:t>
      </w:r>
      <w:r>
        <w:t>.</w:t>
      </w:r>
      <w:r>
        <w:tab/>
        <w:t>Air quality — minimum standards for ventilated air</w:t>
      </w:r>
      <w:bookmarkEnd w:id="971"/>
    </w:p>
    <w:p>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pPr>
        <w:pStyle w:val="Indenta"/>
      </w:pPr>
      <w:r>
        <w:tab/>
        <w:t>(a)</w:t>
      </w:r>
      <w:r>
        <w:tab/>
        <w:t>has a concentration of oxygen that is at least 19.5% by volume under normal atmospheric pressure; and</w:t>
      </w:r>
    </w:p>
    <w:p>
      <w:pPr>
        <w:pStyle w:val="Indenta"/>
      </w:pPr>
      <w:r>
        <w:tab/>
        <w:t>(b)</w:t>
      </w:r>
      <w:r>
        <w:tab/>
        <w:t xml:space="preserve">has levels of contaminants that — </w:t>
      </w:r>
    </w:p>
    <w:p>
      <w:pPr>
        <w:pStyle w:val="Indenti"/>
      </w:pPr>
      <w:r>
        <w:tab/>
        <w:t>(i)</w:t>
      </w:r>
      <w:r>
        <w:tab/>
        <w:t>are as low as is reasonably practicable; and</w:t>
      </w:r>
    </w:p>
    <w:p>
      <w:pPr>
        <w:pStyle w:val="Indenti"/>
      </w:pPr>
      <w:r>
        <w:tab/>
        <w:t>(ii)</w:t>
      </w:r>
      <w:r>
        <w:tab/>
        <w:t>do not exceed the relevant levels specified in regulation 49;</w:t>
      </w:r>
    </w:p>
    <w:p>
      <w:pPr>
        <w:pStyle w:val="Indenta"/>
      </w:pPr>
      <w:r>
        <w:tab/>
      </w:r>
      <w:r>
        <w:tab/>
        <w:t>and</w:t>
      </w:r>
    </w:p>
    <w:p>
      <w:pPr>
        <w:pStyle w:val="Indenta"/>
      </w:pPr>
      <w:r>
        <w:tab/>
        <w:t>(c)</w:t>
      </w:r>
      <w:r>
        <w:tab/>
        <w:t xml:space="preserve">if diesel engines are used underground — has a concentration of diesel particulates that — </w:t>
      </w:r>
    </w:p>
    <w:p>
      <w:pPr>
        <w:pStyle w:val="Indenti"/>
      </w:pPr>
      <w:r>
        <w:tab/>
        <w:t>(i)</w:t>
      </w:r>
      <w:r>
        <w:tab/>
        <w:t>is as low as is reasonably practicable; and</w:t>
      </w:r>
    </w:p>
    <w:p>
      <w:pPr>
        <w:pStyle w:val="Indenti"/>
        <w:keepNext/>
      </w:pPr>
      <w:r>
        <w:lastRenderedPageBreak/>
        <w:tab/>
        <w:t>(ii)</w:t>
      </w:r>
      <w:r>
        <w:tab/>
        <w:t>does not exceed the exposure standard specified in regulation 656B.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This regulation does not apply in relation to an area of a mine — </w:t>
      </w:r>
    </w:p>
    <w:p>
      <w:pPr>
        <w:pStyle w:val="Indenta"/>
      </w:pPr>
      <w:r>
        <w:tab/>
        <w:t>(a)</w:t>
      </w:r>
      <w:r>
        <w:tab/>
        <w:t>that is required to be entered in an emergency or for a mines rescue purpose; and</w:t>
      </w:r>
    </w:p>
    <w:p>
      <w:pPr>
        <w:pStyle w:val="Indenta"/>
      </w:pPr>
      <w:r>
        <w:tab/>
        <w:t>(b)</w:t>
      </w:r>
      <w:r>
        <w:tab/>
        <w:t>in which all persons are wearing self</w:t>
      </w:r>
      <w:r>
        <w:noBreakHyphen/>
        <w:t>contained breathing apparatus.</w:t>
      </w:r>
    </w:p>
    <w:p>
      <w:pPr>
        <w:pStyle w:val="Heading5"/>
      </w:pPr>
      <w:bookmarkStart w:id="972" w:name="_Toc200720476"/>
      <w:r>
        <w:rPr>
          <w:rStyle w:val="CharSectno"/>
        </w:rPr>
        <w:t>649</w:t>
      </w:r>
      <w:r>
        <w:t>.</w:t>
      </w:r>
      <w:r>
        <w:tab/>
        <w:t>Air quality — monitoring</w:t>
      </w:r>
      <w:bookmarkEnd w:id="972"/>
    </w:p>
    <w:p>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pPr>
        <w:pStyle w:val="Indenta"/>
      </w:pPr>
      <w:r>
        <w:tab/>
        <w:t>(a)</w:t>
      </w:r>
      <w:r>
        <w:tab/>
        <w:t>a mine air quality officer or underground ventilation officer; or</w:t>
      </w:r>
    </w:p>
    <w:p>
      <w:pPr>
        <w:pStyle w:val="Indenta"/>
      </w:pPr>
      <w:r>
        <w:tab/>
        <w:t>(b)</w:t>
      </w:r>
      <w:r>
        <w:tab/>
        <w:t>a competent person under the supervision of a mine air quality officer or underground ventilation officer.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3" w:name="_Toc200720477"/>
      <w:r>
        <w:rPr>
          <w:rStyle w:val="CharSectno"/>
        </w:rPr>
        <w:t>650</w:t>
      </w:r>
      <w:r>
        <w:t>.</w:t>
      </w:r>
      <w:r>
        <w:tab/>
        <w:t>Requirements if air quality requirements or exposure standards not complied with</w:t>
      </w:r>
      <w:bookmarkEnd w:id="973"/>
    </w:p>
    <w:p>
      <w:pPr>
        <w:pStyle w:val="Subsection"/>
      </w:pPr>
      <w:r>
        <w:tab/>
        <w:t>(1)</w:t>
      </w:r>
      <w:r>
        <w:tab/>
        <w:t xml:space="preserve">This regulation applies if air monitoring reveals in an underground mine that — </w:t>
      </w:r>
    </w:p>
    <w:p>
      <w:pPr>
        <w:pStyle w:val="Indenta"/>
      </w:pPr>
      <w:r>
        <w:tab/>
        <w:t>(a)</w:t>
      </w:r>
      <w:r>
        <w:tab/>
        <w:t>the oxygen concentration specified in regulation 648(1)(a) is not met; or</w:t>
      </w:r>
    </w:p>
    <w:p>
      <w:pPr>
        <w:pStyle w:val="Indenta"/>
      </w:pPr>
      <w:r>
        <w:lastRenderedPageBreak/>
        <w:tab/>
        <w:t>(b)</w:t>
      </w:r>
      <w:r>
        <w:tab/>
        <w:t>the level of contaminants referred to in regulation 49 is exceeded; or</w:t>
      </w:r>
    </w:p>
    <w:p>
      <w:pPr>
        <w:pStyle w:val="Indenta"/>
      </w:pPr>
      <w:r>
        <w:tab/>
        <w:t>(c)</w:t>
      </w:r>
      <w:r>
        <w:tab/>
        <w:t>the exposure standard for diesel particulates specified in regulation 656B is exceeded.</w:t>
      </w:r>
    </w:p>
    <w:p>
      <w:pPr>
        <w:pStyle w:val="Subsection"/>
      </w:pPr>
      <w:r>
        <w:tab/>
        <w:t>(2)</w:t>
      </w:r>
      <w:r>
        <w:tab/>
        <w:t xml:space="preserve">The mine operator of the underground mine must immediately notify the following persons of the relevant circumstance referred to in subregulation (1)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underground mine must ensure that — </w:t>
      </w:r>
    </w:p>
    <w:p>
      <w:pPr>
        <w:pStyle w:val="Indenta"/>
      </w:pPr>
      <w:r>
        <w:tab/>
        <w:t>(a)</w:t>
      </w:r>
      <w:r>
        <w:tab/>
        <w:t xml:space="preserve">the control measures to manage air quality are reviewed and, if necessary, changed; and </w:t>
      </w:r>
    </w:p>
    <w:p>
      <w:pPr>
        <w:pStyle w:val="Indenta"/>
      </w:pPr>
      <w:r>
        <w:tab/>
        <w:t>(b)</w:t>
      </w:r>
      <w:r>
        <w:tab/>
        <w:t xml:space="preserve">the air quality at the mine is retested — </w:t>
      </w:r>
    </w:p>
    <w:p>
      <w:pPr>
        <w:pStyle w:val="Indenti"/>
      </w:pPr>
      <w:r>
        <w:tab/>
        <w:t>(i)</w:t>
      </w:r>
      <w:r>
        <w:tab/>
        <w:t>by, or under the supervision of, a mine air quality officer or underground ventilation officer; and</w:t>
      </w:r>
    </w:p>
    <w:p>
      <w:pPr>
        <w:pStyle w:val="Indenti"/>
      </w:pPr>
      <w:r>
        <w:tab/>
        <w:t>(ii)</w:t>
      </w:r>
      <w:r>
        <w:tab/>
        <w:t xml:space="preserve">as soon as practicable after the steps are taken under paragraph (a).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974" w:name="_Toc200720478"/>
      <w:r>
        <w:t>651.</w:t>
      </w:r>
      <w:r>
        <w:tab/>
        <w:t>Not used</w:t>
      </w:r>
      <w:bookmarkEnd w:id="974"/>
    </w:p>
    <w:p>
      <w:pPr>
        <w:pStyle w:val="Heading5"/>
      </w:pPr>
      <w:bookmarkStart w:id="975" w:name="_Toc200720479"/>
      <w:r>
        <w:rPr>
          <w:rStyle w:val="CharSectno"/>
        </w:rPr>
        <w:lastRenderedPageBreak/>
        <w:t>652</w:t>
      </w:r>
      <w:r>
        <w:t>.</w:t>
      </w:r>
      <w:r>
        <w:tab/>
        <w:t>Ventilation system — further requirements</w:t>
      </w:r>
      <w:bookmarkEnd w:id="975"/>
    </w:p>
    <w:p>
      <w:pPr>
        <w:pStyle w:val="Subsection"/>
        <w:keepNext/>
      </w:pPr>
      <w:r>
        <w:tab/>
        <w:t>(1)</w:t>
      </w:r>
      <w:r>
        <w:tab/>
        <w:t>The mine operator of an underground mine must ensure that the air supplied to the ventilation system for the mine is obtained from the purest source available.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the following — </w:t>
      </w:r>
    </w:p>
    <w:p>
      <w:pPr>
        <w:pStyle w:val="Indenta"/>
      </w:pPr>
      <w:r>
        <w:tab/>
        <w:t>(a)</w:t>
      </w:r>
      <w:r>
        <w:tab/>
        <w:t>ventilation circuits at the mine do not allow uncontrolled recirculation of air;</w:t>
      </w:r>
    </w:p>
    <w:p>
      <w:pPr>
        <w:pStyle w:val="Indenta"/>
      </w:pPr>
      <w:r>
        <w:tab/>
        <w:t>(b)</w:t>
      </w:r>
      <w:r>
        <w:tab/>
        <w:t>plant and structures that regulate airflow are maintained in good working order;</w:t>
      </w:r>
    </w:p>
    <w:p>
      <w:pPr>
        <w:pStyle w:val="Indenta"/>
      </w:pPr>
      <w:r>
        <w:tab/>
        <w:t>(c)</w:t>
      </w:r>
      <w:r>
        <w:tab/>
        <w:t xml:space="preserve">unventilated headings are not entered unless — </w:t>
      </w:r>
    </w:p>
    <w:p>
      <w:pPr>
        <w:pStyle w:val="Indenti"/>
      </w:pPr>
      <w:r>
        <w:tab/>
        <w:t>(i)</w:t>
      </w:r>
      <w:r>
        <w:tab/>
        <w:t>the purpose of entry is to establish ventilation; and</w:t>
      </w:r>
    </w:p>
    <w:p>
      <w:pPr>
        <w:pStyle w:val="Indenti"/>
      </w:pPr>
      <w:r>
        <w:tab/>
        <w:t>(ii)</w:t>
      </w:r>
      <w:r>
        <w:tab/>
        <w:t>adequate auxiliary ventilation is provided to the person entering the heading.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76" w:name="_Toc200720480"/>
      <w:r>
        <w:rPr>
          <w:rStyle w:val="CharSectno"/>
        </w:rPr>
        <w:lastRenderedPageBreak/>
        <w:t>653</w:t>
      </w:r>
      <w:r>
        <w:t>.</w:t>
      </w:r>
      <w:r>
        <w:tab/>
        <w:t>Monitoring and testing of ventilation system</w:t>
      </w:r>
      <w:bookmarkEnd w:id="976"/>
    </w:p>
    <w:p>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an underground mine must keep a record of all monitoring and testing of the ventilation system for the mine for at least 7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an underground mine must make the record kept under subregulation (2) available for inspection to workers and other persons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77" w:name="_Toc200720481"/>
      <w:r>
        <w:rPr>
          <w:rStyle w:val="CharSectno"/>
        </w:rPr>
        <w:t>654</w:t>
      </w:r>
      <w:r>
        <w:t>.</w:t>
      </w:r>
      <w:r>
        <w:tab/>
        <w:t>Duty to prepare and implement underground ventilation control plan</w:t>
      </w:r>
      <w:bookmarkEnd w:id="977"/>
    </w:p>
    <w:p>
      <w:pPr>
        <w:pStyle w:val="Subsection"/>
      </w:pPr>
      <w:r>
        <w:tab/>
        <w:t>(1)</w:t>
      </w:r>
      <w:r>
        <w:tab/>
        <w:t>The mine operator of an underground mine must ensure that an underground ventilation control plan to provide for the management of all aspects of ventilation at the mine is prepared and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underground ventilation control plan must describe all control measures implemented in relation to ventilation at the mine.</w:t>
      </w:r>
    </w:p>
    <w:p>
      <w:pPr>
        <w:pStyle w:val="Subsection"/>
      </w:pPr>
      <w:r>
        <w:tab/>
        <w:t>(3)</w:t>
      </w:r>
      <w:r>
        <w:tab/>
        <w:t xml:space="preserve">Without limiting subregulation (2), the underground ventilation control plan must include a description of the following, if applicable to the mine — </w:t>
      </w:r>
    </w:p>
    <w:p>
      <w:pPr>
        <w:pStyle w:val="Indenta"/>
      </w:pPr>
      <w:r>
        <w:tab/>
        <w:t>(a)</w:t>
      </w:r>
      <w:r>
        <w:tab/>
        <w:t>the design, planning and operation of the ventilation system, including the standards applying to the placement, operation, maintenance and monitoring of ventilation plant;</w:t>
      </w:r>
    </w:p>
    <w:p>
      <w:pPr>
        <w:pStyle w:val="Indenta"/>
      </w:pPr>
      <w:r>
        <w:tab/>
        <w:t>(b)</w:t>
      </w:r>
      <w:r>
        <w:tab/>
        <w:t>identification of factors that may have an effect on the quantity and quality of air required for ventilation during normal operation and emergencies;</w:t>
      </w:r>
    </w:p>
    <w:p>
      <w:pPr>
        <w:pStyle w:val="Indenta"/>
      </w:pPr>
      <w:r>
        <w:tab/>
        <w:t>(c)</w:t>
      </w:r>
      <w:r>
        <w:tab/>
        <w:t>integration of the ventilation system with mine development and production schedules;</w:t>
      </w:r>
    </w:p>
    <w:p>
      <w:pPr>
        <w:pStyle w:val="Indenta"/>
      </w:pPr>
      <w:r>
        <w:tab/>
        <w:t>(d)</w:t>
      </w:r>
      <w:r>
        <w:tab/>
        <w:t>arrangements and procedures for inspecting, monitoring, maintaining and testing the ventilation system;</w:t>
      </w:r>
    </w:p>
    <w:p>
      <w:pPr>
        <w:pStyle w:val="Indenta"/>
      </w:pPr>
      <w:r>
        <w:tab/>
        <w:t>(e)</w:t>
      </w:r>
      <w:r>
        <w:tab/>
        <w:t>arrangements and procedures for managing auxiliary ventilation;</w:t>
      </w:r>
    </w:p>
    <w:p>
      <w:pPr>
        <w:pStyle w:val="Indenta"/>
      </w:pPr>
      <w:r>
        <w:tab/>
        <w:t>(f)</w:t>
      </w:r>
      <w:r>
        <w:tab/>
        <w:t>selection, maintenance and calibration of monitoring equipment;</w:t>
      </w:r>
    </w:p>
    <w:p>
      <w:pPr>
        <w:pStyle w:val="Indenta"/>
      </w:pPr>
      <w:r>
        <w:tab/>
        <w:t>(g)</w:t>
      </w:r>
      <w:r>
        <w:tab/>
        <w:t>appointment of underground ventilation officers and other competent persons for managing ventilation;</w:t>
      </w:r>
    </w:p>
    <w:p>
      <w:pPr>
        <w:pStyle w:val="Indenta"/>
      </w:pPr>
      <w:r>
        <w:tab/>
        <w:t>(h)</w:t>
      </w:r>
      <w:r>
        <w:tab/>
        <w:t>arrangements for managing risks to health and safety associated with potential sudden increase of airborne contaminants;</w:t>
      </w:r>
    </w:p>
    <w:p>
      <w:pPr>
        <w:pStyle w:val="Indenta"/>
      </w:pPr>
      <w:r>
        <w:tab/>
        <w:t>(i)</w:t>
      </w:r>
      <w:r>
        <w:tab/>
        <w:t>arrangements for an alternate and independent way of operating the main ventilation system in the event of a loss of power supply to the main ventilation system;</w:t>
      </w:r>
    </w:p>
    <w:p>
      <w:pPr>
        <w:pStyle w:val="Indenta"/>
      </w:pPr>
      <w:r>
        <w:tab/>
        <w:t>(j)</w:t>
      </w:r>
      <w:r>
        <w:tab/>
        <w:t>procedures to ensure the health and safety of persons at the mine in the event of a total or partial ventilation failure;</w:t>
      </w:r>
    </w:p>
    <w:p>
      <w:pPr>
        <w:pStyle w:val="Indenta"/>
      </w:pPr>
      <w:r>
        <w:lastRenderedPageBreak/>
        <w:tab/>
        <w:t>(k)</w:t>
      </w:r>
      <w:r>
        <w:tab/>
        <w:t>arrangements for managing isolated or fenced</w:t>
      </w:r>
      <w:r>
        <w:noBreakHyphen/>
        <w:t>off areas and stopping inadvertent entry to those areas;</w:t>
      </w:r>
    </w:p>
    <w:p>
      <w:pPr>
        <w:pStyle w:val="Indenta"/>
      </w:pPr>
      <w:r>
        <w:tab/>
        <w:t>(l)</w:t>
      </w:r>
      <w:r>
        <w:tab/>
        <w:t>modelling of the ventilation processes when a significant change is made to the ventilation arrangements;</w:t>
      </w:r>
    </w:p>
    <w:p>
      <w:pPr>
        <w:pStyle w:val="Indenta"/>
      </w:pPr>
      <w:r>
        <w:tab/>
        <w:t>(m)</w:t>
      </w:r>
      <w:r>
        <w:tab/>
        <w:t>procedures to withdraw persons in case of unsafe atmospheric conditions;</w:t>
      </w:r>
    </w:p>
    <w:p>
      <w:pPr>
        <w:pStyle w:val="Indenta"/>
      </w:pPr>
      <w:r>
        <w:tab/>
        <w:t>(n)</w:t>
      </w:r>
      <w:r>
        <w:tab/>
        <w:t xml:space="preserve">maintaining records, including the following — </w:t>
      </w:r>
    </w:p>
    <w:p>
      <w:pPr>
        <w:pStyle w:val="Indenti"/>
      </w:pPr>
      <w:r>
        <w:tab/>
        <w:t>(i)</w:t>
      </w:r>
      <w:r>
        <w:tab/>
        <w:t>design calculations;</w:t>
      </w:r>
    </w:p>
    <w:p>
      <w:pPr>
        <w:pStyle w:val="Indenti"/>
      </w:pPr>
      <w:r>
        <w:tab/>
        <w:t>(ii)</w:t>
      </w:r>
      <w:r>
        <w:tab/>
        <w:t>breakdowns and deficiencies noted in ventilation and details of corrective actions.</w:t>
      </w:r>
    </w:p>
    <w:p>
      <w:pPr>
        <w:pStyle w:val="Subsection"/>
      </w:pPr>
      <w:r>
        <w:tab/>
        <w:t>(4)</w:t>
      </w:r>
      <w:r>
        <w:tab/>
        <w:t>An underground ventilation control plan prepared for a mine is part of the mine safety management system for the mine.</w:t>
      </w:r>
    </w:p>
    <w:p>
      <w:pPr>
        <w:pStyle w:val="Heading5"/>
        <w:keepNext w:val="0"/>
      </w:pPr>
      <w:bookmarkStart w:id="978" w:name="_Toc200720482"/>
      <w:r>
        <w:t>655.</w:t>
      </w:r>
      <w:r>
        <w:tab/>
        <w:t>Not used</w:t>
      </w:r>
      <w:bookmarkEnd w:id="978"/>
    </w:p>
    <w:p>
      <w:pPr>
        <w:pStyle w:val="Heading5"/>
      </w:pPr>
      <w:bookmarkStart w:id="979" w:name="_Toc200720483"/>
      <w:r>
        <w:rPr>
          <w:rStyle w:val="CharSectno"/>
        </w:rPr>
        <w:t>656</w:t>
      </w:r>
      <w:r>
        <w:t>.</w:t>
      </w:r>
      <w:r>
        <w:tab/>
        <w:t>Ventilation plan</w:t>
      </w:r>
      <w:bookmarkEnd w:id="979"/>
      <w:r>
        <w:t xml:space="preserve"> </w:t>
      </w:r>
    </w:p>
    <w:p>
      <w:pPr>
        <w:pStyle w:val="Subsection"/>
      </w:pPr>
      <w:r>
        <w:tab/>
        <w:t>(1)</w:t>
      </w:r>
      <w:r>
        <w:tab/>
        <w:t>The mine operator of an underground mine must ensure that a plan of the ventilation system for the mine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ventilation plan must show the following — </w:t>
      </w:r>
    </w:p>
    <w:p>
      <w:pPr>
        <w:pStyle w:val="Indenta"/>
      </w:pPr>
      <w:r>
        <w:tab/>
        <w:t>(a)</w:t>
      </w:r>
      <w:r>
        <w:tab/>
        <w:t>the direction, course and volume of air currents;</w:t>
      </w:r>
    </w:p>
    <w:p>
      <w:pPr>
        <w:pStyle w:val="Indenta"/>
      </w:pPr>
      <w:r>
        <w:tab/>
        <w:t>(b)</w:t>
      </w:r>
      <w:r>
        <w:tab/>
        <w:t>the position of all air doors, stoppings, fans, regulators and other ventilation plant and structures and ventilation monitoring devices at the mine.</w:t>
      </w:r>
    </w:p>
    <w:p>
      <w:pPr>
        <w:pStyle w:val="Heading5"/>
      </w:pPr>
      <w:bookmarkStart w:id="980" w:name="_Toc200720484"/>
      <w:r>
        <w:rPr>
          <w:rStyle w:val="CharSectno"/>
        </w:rPr>
        <w:lastRenderedPageBreak/>
        <w:t>656A</w:t>
      </w:r>
      <w:r>
        <w:t>.</w:t>
      </w:r>
      <w:r>
        <w:tab/>
        <w:t>Diesel units</w:t>
      </w:r>
      <w:bookmarkEnd w:id="980"/>
    </w:p>
    <w:p>
      <w:pPr>
        <w:pStyle w:val="Subsection"/>
        <w:keepNext/>
      </w:pPr>
      <w:r>
        <w:tab/>
        <w:t>(1)</w:t>
      </w:r>
      <w:r>
        <w:tab/>
        <w:t xml:space="preserve">The mine operator of an underground mine must ensure the following if a diesel unit is operated underground at the mine — </w:t>
      </w:r>
    </w:p>
    <w:p>
      <w:pPr>
        <w:pStyle w:val="Indenta"/>
      </w:pPr>
      <w:r>
        <w:tab/>
        <w:t>(a)</w:t>
      </w:r>
      <w:r>
        <w:tab/>
        <w:t>that the design and construction of the diesel unit is suitable for use in underground conditions;</w:t>
      </w:r>
    </w:p>
    <w:p>
      <w:pPr>
        <w:pStyle w:val="Indenta"/>
      </w:pPr>
      <w:r>
        <w:tab/>
        <w:t>(b)</w:t>
      </w:r>
      <w:r>
        <w:tab/>
        <w:t xml:space="preserve">that the diesel unit is maintained in accordance with the original equipment manufacturer specifications for the unit to extent those specifications are relevant to both — </w:t>
      </w:r>
    </w:p>
    <w:p>
      <w:pPr>
        <w:pStyle w:val="Indenti"/>
      </w:pPr>
      <w:r>
        <w:tab/>
        <w:t>(i)</w:t>
      </w:r>
      <w:r>
        <w:tab/>
        <w:t>the operation of the unit underground; and</w:t>
      </w:r>
    </w:p>
    <w:p>
      <w:pPr>
        <w:pStyle w:val="Indenti"/>
      </w:pPr>
      <w:r>
        <w:tab/>
        <w:t>(ii)</w:t>
      </w:r>
      <w:r>
        <w:tab/>
        <w:t>the health and safety of persons;</w:t>
      </w:r>
    </w:p>
    <w:p>
      <w:pPr>
        <w:pStyle w:val="Indenta"/>
      </w:pPr>
      <w:r>
        <w:tab/>
        <w:t>(c)</w:t>
      </w:r>
      <w:r>
        <w:tab/>
        <w:t xml:space="preserve">that the exhaust gas emissions of the diesel unit, under any condition of engine speed or load, are as follows — </w:t>
      </w:r>
    </w:p>
    <w:p>
      <w:pPr>
        <w:pStyle w:val="Indenti"/>
      </w:pPr>
      <w:r>
        <w:tab/>
        <w:t>(i)</w:t>
      </w:r>
      <w:r>
        <w:tab/>
        <w:t>less than 1 000 ppm of oxides of nitrogen;</w:t>
      </w:r>
    </w:p>
    <w:p>
      <w:pPr>
        <w:pStyle w:val="Indenti"/>
      </w:pPr>
      <w:r>
        <w:tab/>
        <w:t>(ii)</w:t>
      </w:r>
      <w:r>
        <w:tab/>
        <w:t>less than 1 500 ppm of carbon monoxide;</w:t>
      </w:r>
    </w:p>
    <w:p>
      <w:pPr>
        <w:pStyle w:val="Indenta"/>
      </w:pPr>
      <w:r>
        <w:tab/>
        <w:t>(d)</w:t>
      </w:r>
      <w:r>
        <w:tab/>
        <w:t>that suitable fire suppression devices are provided on the diesel unit.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pPr>
        <w:pStyle w:val="Indenta"/>
      </w:pPr>
      <w:r>
        <w:tab/>
        <w:t>(a)</w:t>
      </w:r>
      <w:r>
        <w:tab/>
        <w:t>selecting and using suitable diesel fuel;</w:t>
      </w:r>
    </w:p>
    <w:p>
      <w:pPr>
        <w:pStyle w:val="Indenta"/>
      </w:pPr>
      <w:r>
        <w:tab/>
        <w:t>(b)</w:t>
      </w:r>
      <w:r>
        <w:tab/>
        <w:t>treating exhaust emissions;</w:t>
      </w:r>
    </w:p>
    <w:p>
      <w:pPr>
        <w:pStyle w:val="Indenta"/>
      </w:pPr>
      <w:r>
        <w:tab/>
        <w:t>(c)</w:t>
      </w:r>
      <w:r>
        <w:tab/>
        <w:t>properly maintaining and using diesel units.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81" w:name="_Toc200720485"/>
      <w:r>
        <w:rPr>
          <w:rStyle w:val="CharSectno"/>
        </w:rPr>
        <w:t>656B</w:t>
      </w:r>
      <w:r>
        <w:t>.</w:t>
      </w:r>
      <w:r>
        <w:tab/>
        <w:t>Exposure standard for diesel particulates</w:t>
      </w:r>
      <w:bookmarkEnd w:id="981"/>
    </w:p>
    <w:p>
      <w:pPr>
        <w:pStyle w:val="Subsection"/>
      </w:pPr>
      <w:r>
        <w:tab/>
        <w:t>(1)</w:t>
      </w:r>
      <w:r>
        <w:tab/>
        <w:t xml:space="preserve">In this regulation — </w:t>
      </w:r>
    </w:p>
    <w:p>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pPr>
        <w:pStyle w:val="Subsection"/>
      </w:pPr>
      <w:r>
        <w:tab/>
        <w:t>(2)</w:t>
      </w:r>
      <w:r>
        <w:tab/>
        <w:t>The exposure standard for diesel particulates is a TWA concentration of 0.1 mg per cubic metre of air (measured as sub</w:t>
      </w:r>
      <w:r>
        <w:noBreakHyphen/>
        <w:t>micron elemental carbon).</w:t>
      </w:r>
    </w:p>
    <w:p>
      <w:pPr>
        <w:pStyle w:val="Heading5"/>
      </w:pPr>
      <w:bookmarkStart w:id="982" w:name="_Toc200720486"/>
      <w:r>
        <w:rPr>
          <w:rStyle w:val="CharSectno"/>
        </w:rPr>
        <w:t>656C</w:t>
      </w:r>
      <w:r>
        <w:t>.</w:t>
      </w:r>
      <w:r>
        <w:tab/>
        <w:t>Additional ventilation requirements for diesel units</w:t>
      </w:r>
      <w:bookmarkEnd w:id="982"/>
      <w:r>
        <w:t xml:space="preserve"> </w:t>
      </w:r>
    </w:p>
    <w:p>
      <w:pPr>
        <w:pStyle w:val="Subsection"/>
      </w:pPr>
      <w:r>
        <w:tab/>
      </w:r>
      <w:r>
        <w:tab/>
        <w:t xml:space="preserve">If there is at least 1 diesel unit operating underground at an underground mine, the mine operator of the mine must ensure — </w:t>
      </w:r>
    </w:p>
    <w:p>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w:t>
      </w:r>
      <w:r>
        <w:lastRenderedPageBreak/>
        <w:t xml:space="preserve">for each of the individual diesel units under paragraph (a).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983" w:name="_Toc200720487"/>
      <w:r>
        <w:t>Subdivision 3 — Underground coal mines</w:t>
      </w:r>
      <w:bookmarkEnd w:id="983"/>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addition to the above provisions and this Subdivision, see Subdivision 2.</w:t>
      </w:r>
    </w:p>
    <w:p>
      <w:pPr>
        <w:pStyle w:val="PermNoteText"/>
      </w:pPr>
      <w:r>
        <w:tab/>
        <w:t>3.</w:t>
      </w:r>
      <w:r>
        <w:tab/>
        <w:t>See the rest of this Division in relation to underground mines.</w:t>
      </w:r>
    </w:p>
    <w:p>
      <w:pPr>
        <w:pStyle w:val="Heading5"/>
      </w:pPr>
      <w:bookmarkStart w:id="984" w:name="_Toc200720488"/>
      <w:r>
        <w:rPr>
          <w:rStyle w:val="CharSectno"/>
        </w:rPr>
        <w:t>657</w:t>
      </w:r>
      <w:r>
        <w:t>.</w:t>
      </w:r>
      <w:r>
        <w:tab/>
        <w:t>Coal dust explosion</w:t>
      </w:r>
      <w:bookmarkEnd w:id="984"/>
    </w:p>
    <w:p>
      <w:pPr>
        <w:pStyle w:val="Subsection"/>
      </w:pPr>
      <w:r>
        <w:tab/>
        <w:t>(1)</w:t>
      </w:r>
      <w:r>
        <w:tab/>
        <w:t xml:space="preserve">In this regulation — </w:t>
      </w:r>
    </w:p>
    <w:p>
      <w:pPr>
        <w:pStyle w:val="Defstart"/>
      </w:pPr>
      <w:r>
        <w:tab/>
      </w:r>
      <w:r>
        <w:rPr>
          <w:rStyle w:val="CharDefText"/>
        </w:rPr>
        <w:t>intake roadway</w:t>
      </w:r>
      <w:r>
        <w:t xml:space="preserve"> means a roadway used for the intake of air to mine workings;</w:t>
      </w:r>
    </w:p>
    <w:p>
      <w:pPr>
        <w:pStyle w:val="Defstart"/>
      </w:pPr>
      <w:r>
        <w:tab/>
      </w:r>
      <w:r>
        <w:rPr>
          <w:rStyle w:val="CharDefText"/>
        </w:rPr>
        <w:t>return roadway</w:t>
      </w:r>
      <w:r>
        <w:t xml:space="preserve"> means a roadway used for the removal of air and airborne contaminants from mine workings.</w:t>
      </w:r>
    </w:p>
    <w:p>
      <w:pPr>
        <w:pStyle w:val="Subsection"/>
      </w:pPr>
      <w:r>
        <w:tab/>
        <w:t>(2)</w:t>
      </w:r>
      <w:r>
        <w:tab/>
        <w:t xml:space="preserve">In complying with regulation 617 in relation to coal dust explosion, the mine operator of an underground coal mine must — </w:t>
      </w:r>
    </w:p>
    <w:p>
      <w:pPr>
        <w:pStyle w:val="Indenta"/>
      </w:pPr>
      <w:r>
        <w:tab/>
        <w:t>(a)</w:t>
      </w:r>
      <w:r>
        <w:tab/>
        <w:t>limit coal dust generation, including its generation by mining machines, coal crushers and coal conveyors and at conveyor transfer points; and</w:t>
      </w:r>
    </w:p>
    <w:p>
      <w:pPr>
        <w:pStyle w:val="Indenta"/>
      </w:pPr>
      <w:r>
        <w:tab/>
        <w:t>(b)</w:t>
      </w:r>
      <w:r>
        <w:tab/>
        <w:t>suppress, collect and remove airborne coal dust; and</w:t>
      </w:r>
    </w:p>
    <w:p>
      <w:pPr>
        <w:pStyle w:val="Indenta"/>
      </w:pPr>
      <w:r>
        <w:tab/>
        <w:t>(c)</w:t>
      </w:r>
      <w:r>
        <w:tab/>
        <w:t>remove excessive coal dust accumulations on roadways and other surfaces in mine roadways; and</w:t>
      </w:r>
    </w:p>
    <w:p>
      <w:pPr>
        <w:pStyle w:val="Indenta"/>
      </w:pPr>
      <w:r>
        <w:tab/>
        <w:t>(d)</w:t>
      </w:r>
      <w:r>
        <w:tab/>
        <w:t xml:space="preserve">limit coal dust accumulation on roadways and other surfaces in mine roadways to ensure that the amount of incombustible material contained in roadway dust at the </w:t>
      </w:r>
      <w:r>
        <w:lastRenderedPageBreak/>
        <w:t xml:space="preserve">mine is kept at or above the following concentration levels — </w:t>
      </w:r>
    </w:p>
    <w:p>
      <w:pPr>
        <w:pStyle w:val="Indenti"/>
      </w:pPr>
      <w:r>
        <w:tab/>
        <w:t>(i)</w:t>
      </w:r>
      <w:r>
        <w:tab/>
        <w:t>for dust in a panel roadway within 200 metres outbye the last completed line of cut-throughs in the panel — 85%;</w:t>
      </w:r>
    </w:p>
    <w:p>
      <w:pPr>
        <w:pStyle w:val="Indenti"/>
      </w:pPr>
      <w:r>
        <w:tab/>
        <w:t>(ii)</w:t>
      </w:r>
      <w:r>
        <w:tab/>
        <w:t>for dust in any 200 metres section of panel roadway within 400 metres of a longwall face — 85%;</w:t>
      </w:r>
    </w:p>
    <w:p>
      <w:pPr>
        <w:pStyle w:val="Indenti"/>
      </w:pPr>
      <w:r>
        <w:tab/>
        <w:t>(iii)</w:t>
      </w:r>
      <w:r>
        <w:tab/>
        <w:t>for dust in a panel roadway within 200 metres of the main roadway, if subparagraphs (i) and (ii) do not apply — 80%;</w:t>
      </w:r>
    </w:p>
    <w:p>
      <w:pPr>
        <w:pStyle w:val="Indenti"/>
      </w:pPr>
      <w:r>
        <w:tab/>
        <w:t>(iv)</w:t>
      </w:r>
      <w:r>
        <w:tab/>
        <w:t>for dust in a return roadway if subparagraphs (i) to (iii) do not apply — 80%;</w:t>
      </w:r>
    </w:p>
    <w:p>
      <w:pPr>
        <w:pStyle w:val="Indenti"/>
      </w:pPr>
      <w:r>
        <w:tab/>
        <w:t>(v)</w:t>
      </w:r>
      <w:r>
        <w:tab/>
        <w:t>for dust in an intake roadway if subparagraphs (i) to (iii) do not apply — 70%;</w:t>
      </w:r>
    </w:p>
    <w:p>
      <w:pPr>
        <w:pStyle w:val="Indenta"/>
      </w:pPr>
      <w:r>
        <w:tab/>
      </w:r>
      <w:r>
        <w:tab/>
        <w:t>and</w:t>
      </w:r>
    </w:p>
    <w:p>
      <w:pPr>
        <w:pStyle w:val="Indenta"/>
      </w:pPr>
      <w:r>
        <w:tab/>
        <w:t>(e)</w:t>
      </w:r>
      <w:r>
        <w:tab/>
        <w:t>determine the stonedust or other explosion inhibitor application rate necessary to minimise the risk of a coal dust explosion and apply that rate; and</w:t>
      </w:r>
    </w:p>
    <w:p>
      <w:pPr>
        <w:pStyle w:val="Indenta"/>
      </w:pPr>
      <w:r>
        <w:tab/>
        <w:t>(f)</w:t>
      </w:r>
      <w:r>
        <w:tab/>
        <w:t>restrict the propagation of any coal dust explosion so that other areas are not affected.</w:t>
      </w:r>
    </w:p>
    <w:p>
      <w:pPr>
        <w:pStyle w:val="PermNoteHeading"/>
      </w:pPr>
      <w:r>
        <w:tab/>
        <w:t>Example for this subregulation:</w:t>
      </w:r>
    </w:p>
    <w:p>
      <w:pPr>
        <w:pStyle w:val="PermNoteText"/>
      </w:pPr>
      <w:r>
        <w:tab/>
      </w:r>
      <w:r>
        <w:tab/>
        <w:t>Use of explosion barriers.</w:t>
      </w:r>
    </w:p>
    <w:p>
      <w:pPr>
        <w:pStyle w:val="PermNoteHeading"/>
      </w:pPr>
      <w:r>
        <w:tab/>
        <w:t>Note for this subregulation:</w:t>
      </w:r>
    </w:p>
    <w:p>
      <w:pPr>
        <w:pStyle w:val="PermNoteText"/>
      </w:pPr>
      <w:r>
        <w:tab/>
      </w:r>
      <w:r>
        <w:tab/>
        <w:t>See also regulation 646 in relation to gas and dust explosions in underground mines.</w:t>
      </w:r>
    </w:p>
    <w:p>
      <w:pPr>
        <w:pStyle w:val="Subsection"/>
      </w:pPr>
      <w:r>
        <w:tab/>
        <w:t>(3)</w:t>
      </w:r>
      <w:r>
        <w:tab/>
        <w:t>Subregulation (2)(d) does not apply in relation to dust in a roadway if there is sufficient natural make of water associated with the mining operations to prevent a coal dust explosion.</w:t>
      </w:r>
    </w:p>
    <w:p>
      <w:pPr>
        <w:pStyle w:val="Subsection"/>
        <w:keepNext/>
      </w:pPr>
      <w:r>
        <w:lastRenderedPageBreak/>
        <w:tab/>
        <w:t>(4)</w:t>
      </w:r>
      <w:r>
        <w:tab/>
        <w:t xml:space="preserve">The mine operator must also establish procedures in relation to the following — </w:t>
      </w:r>
    </w:p>
    <w:p>
      <w:pPr>
        <w:pStyle w:val="Indenta"/>
      </w:pPr>
      <w:r>
        <w:tab/>
        <w:t>(a)</w:t>
      </w:r>
      <w:r>
        <w:tab/>
        <w:t>the regular inspection, sampling and analysis of roadway dust layers, including laboratory analysis for incombustible material content;</w:t>
      </w:r>
    </w:p>
    <w:p>
      <w:pPr>
        <w:pStyle w:val="Indenta"/>
      </w:pPr>
      <w:r>
        <w:tab/>
        <w:t>(b)</w:t>
      </w:r>
      <w:r>
        <w:tab/>
        <w:t>the applying of stonedust or another explosion inhibitor for suppressing coal dust explosion;</w:t>
      </w:r>
    </w:p>
    <w:p>
      <w:pPr>
        <w:pStyle w:val="Indenta"/>
      </w:pPr>
      <w:r>
        <w:tab/>
        <w:t>(c)</w:t>
      </w:r>
      <w:r>
        <w:tab/>
        <w:t>the intervals at which dust sampling and analysis referred to in paragraph (a) must be carried out.</w:t>
      </w:r>
    </w:p>
    <w:p>
      <w:pPr>
        <w:pStyle w:val="Heading5"/>
      </w:pPr>
      <w:bookmarkStart w:id="985" w:name="_Toc200720489"/>
      <w:r>
        <w:rPr>
          <w:rStyle w:val="CharSectno"/>
        </w:rPr>
        <w:t>658</w:t>
      </w:r>
      <w:r>
        <w:t>.</w:t>
      </w:r>
      <w:r>
        <w:tab/>
        <w:t>Spontaneous combustion</w:t>
      </w:r>
      <w:bookmarkEnd w:id="985"/>
    </w:p>
    <w:p>
      <w:pPr>
        <w:pStyle w:val="Subsection"/>
      </w:pPr>
      <w:r>
        <w:tab/>
      </w:r>
      <w:r>
        <w:tab/>
        <w:t xml:space="preserve">In complying with regulation 617, the mine operator of an underground coal mine must — </w:t>
      </w:r>
    </w:p>
    <w:p>
      <w:pPr>
        <w:pStyle w:val="Indenta"/>
      </w:pPr>
      <w:r>
        <w:tab/>
        <w:t>(a)</w:t>
      </w:r>
      <w:r>
        <w:tab/>
        <w:t>manage risks to health and safety associated with spontaneous combustion at the mine; and</w:t>
      </w:r>
    </w:p>
    <w:p>
      <w:pPr>
        <w:pStyle w:val="Indenta"/>
      </w:pPr>
      <w:r>
        <w:tab/>
        <w:t>(b)</w:t>
      </w:r>
      <w:r>
        <w:tab/>
        <w:t>implement procedures to minimise the potential exposure of persons to airborne contaminants produced by spontaneous combustion.</w:t>
      </w:r>
    </w:p>
    <w:p>
      <w:pPr>
        <w:pStyle w:val="Heading5"/>
      </w:pPr>
      <w:bookmarkStart w:id="986" w:name="_Toc200720490"/>
      <w:r>
        <w:t>659.</w:t>
      </w:r>
      <w:r>
        <w:tab/>
        <w:t>Not used</w:t>
      </w:r>
      <w:bookmarkEnd w:id="986"/>
      <w:r>
        <w:t xml:space="preserve"> </w:t>
      </w:r>
    </w:p>
    <w:p>
      <w:pPr>
        <w:pStyle w:val="Heading5"/>
        <w:keepNext w:val="0"/>
      </w:pPr>
      <w:bookmarkStart w:id="987" w:name="_Toc200720491"/>
      <w:r>
        <w:t>660.</w:t>
      </w:r>
      <w:r>
        <w:tab/>
        <w:t>Not used</w:t>
      </w:r>
      <w:bookmarkEnd w:id="987"/>
      <w:r>
        <w:t xml:space="preserve"> </w:t>
      </w:r>
    </w:p>
    <w:p>
      <w:pPr>
        <w:pStyle w:val="Heading5"/>
        <w:keepNext w:val="0"/>
      </w:pPr>
      <w:bookmarkStart w:id="988" w:name="_Toc200720492"/>
      <w:r>
        <w:t>661.</w:t>
      </w:r>
      <w:r>
        <w:tab/>
        <w:t>Not used</w:t>
      </w:r>
      <w:bookmarkEnd w:id="988"/>
      <w:r>
        <w:t xml:space="preserve"> </w:t>
      </w:r>
    </w:p>
    <w:p>
      <w:pPr>
        <w:pStyle w:val="Heading5"/>
        <w:keepNext w:val="0"/>
      </w:pPr>
      <w:bookmarkStart w:id="989" w:name="_Toc200720493"/>
      <w:r>
        <w:t>662.</w:t>
      </w:r>
      <w:r>
        <w:tab/>
        <w:t>Not used</w:t>
      </w:r>
      <w:bookmarkEnd w:id="989"/>
      <w:r>
        <w:t xml:space="preserve"> </w:t>
      </w:r>
    </w:p>
    <w:p>
      <w:pPr>
        <w:pStyle w:val="Heading5"/>
      </w:pPr>
      <w:bookmarkStart w:id="990" w:name="_Toc200720494"/>
      <w:r>
        <w:rPr>
          <w:rStyle w:val="CharSectno"/>
        </w:rPr>
        <w:t>663</w:t>
      </w:r>
      <w:r>
        <w:t>.</w:t>
      </w:r>
      <w:r>
        <w:tab/>
        <w:t>Additional requirements relating to methane</w:t>
      </w:r>
      <w:bookmarkEnd w:id="990"/>
    </w:p>
    <w:p>
      <w:pPr>
        <w:pStyle w:val="Subsection"/>
      </w:pPr>
      <w:r>
        <w:tab/>
        <w:t>(1)</w:t>
      </w:r>
      <w:r>
        <w:tab/>
        <w:t xml:space="preserve">In this regulation — </w:t>
      </w:r>
    </w:p>
    <w:p>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pPr>
        <w:pStyle w:val="Subsection"/>
      </w:pPr>
      <w:r>
        <w:tab/>
        <w:t>(2)</w:t>
      </w:r>
      <w:r>
        <w:tab/>
        <w:t>This regulation applies to an underground coal mine.</w:t>
      </w:r>
    </w:p>
    <w:p>
      <w:pPr>
        <w:pStyle w:val="Subsection"/>
      </w:pPr>
      <w:r>
        <w:lastRenderedPageBreak/>
        <w:tab/>
        <w:t>(3)</w:t>
      </w:r>
      <w:r>
        <w:tab/>
        <w:t>The mine operator of the mine must ensure that the concentration of methane in intake air in the mine and at any entry to the mine does not exceed 0.25%.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the mine must ensure that arrangements are in place that cut the supply of electricity to a production area in which the concentration of methane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mine operator of the mine must ensure that arrangements are in place to ensure that persons are evacuated from a part of the mine in which the concentration of methane exceeds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lastRenderedPageBreak/>
        <w:tab/>
        <w:t>(7)</w:t>
      </w:r>
      <w:r>
        <w:tab/>
        <w:t xml:space="preserve">The mine operator of the mine must monitor the level of methane at the mine by using air monitoring devices that produce a visible or audible warning in each of the following circumstances — </w:t>
      </w:r>
    </w:p>
    <w:p>
      <w:pPr>
        <w:pStyle w:val="Indenta"/>
      </w:pPr>
      <w:r>
        <w:tab/>
        <w:t>(a)</w:t>
      </w:r>
      <w:r>
        <w:tab/>
        <w:t>the concentration of methane in intake air is 0.25% or more;</w:t>
      </w:r>
    </w:p>
    <w:p>
      <w:pPr>
        <w:pStyle w:val="Indenta"/>
      </w:pPr>
      <w:r>
        <w:tab/>
        <w:t>(b)</w:t>
      </w:r>
      <w:r>
        <w:tab/>
        <w:t>the concentration of methane in a production area is 1.25% or more;</w:t>
      </w:r>
    </w:p>
    <w:p>
      <w:pPr>
        <w:pStyle w:val="Indenta"/>
      </w:pPr>
      <w:r>
        <w:tab/>
        <w:t>(c)</w:t>
      </w:r>
      <w:r>
        <w:tab/>
        <w:t>the concentration of methane in return air is 2% or more.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91" w:name="_Toc200720495"/>
      <w:r>
        <w:rPr>
          <w:rStyle w:val="CharDivNo"/>
        </w:rPr>
        <w:t>Division 5</w:t>
      </w:r>
      <w:r>
        <w:t> — </w:t>
      </w:r>
      <w:r>
        <w:rPr>
          <w:rStyle w:val="CharDivText"/>
        </w:rPr>
        <w:t>Emergency management</w:t>
      </w:r>
      <w:bookmarkEnd w:id="991"/>
    </w:p>
    <w:p>
      <w:pPr>
        <w:pStyle w:val="PermNoteHeading"/>
      </w:pPr>
      <w:r>
        <w:tab/>
        <w:t>Note for this Division:</w:t>
      </w:r>
    </w:p>
    <w:p>
      <w:pPr>
        <w:pStyle w:val="PermNoteText"/>
      </w:pPr>
      <w:r>
        <w:tab/>
      </w:r>
      <w:r>
        <w:tab/>
        <w:t>The requirements of this Division are in addition to the requirements in relation to emergency plans under Part 3.2 Division 4.</w:t>
      </w:r>
    </w:p>
    <w:p>
      <w:pPr>
        <w:pStyle w:val="Heading4"/>
      </w:pPr>
      <w:bookmarkStart w:id="992" w:name="_Toc200720496"/>
      <w:r>
        <w:t>Subdivision 1 — Emergency plan — all mines</w:t>
      </w:r>
      <w:bookmarkEnd w:id="992"/>
    </w:p>
    <w:p>
      <w:pPr>
        <w:pStyle w:val="Heading5"/>
      </w:pPr>
      <w:bookmarkStart w:id="993" w:name="_Toc200720497"/>
      <w:r>
        <w:rPr>
          <w:rStyle w:val="CharSectno"/>
        </w:rPr>
        <w:t>664</w:t>
      </w:r>
      <w:r>
        <w:t>.</w:t>
      </w:r>
      <w:r>
        <w:tab/>
        <w:t>Duty to prepare emergency plan</w:t>
      </w:r>
      <w:bookmarkEnd w:id="993"/>
    </w:p>
    <w:p>
      <w:pPr>
        <w:pStyle w:val="Subsection"/>
      </w:pPr>
      <w:r>
        <w:tab/>
        <w:t>(1)</w:t>
      </w:r>
      <w:r>
        <w:tab/>
        <w:t xml:space="preserve">In addition to the matters required by regulation 43(1), the emergency plan for the mine must — </w:t>
      </w:r>
    </w:p>
    <w:p>
      <w:pPr>
        <w:pStyle w:val="Indenta"/>
      </w:pPr>
      <w:r>
        <w:tab/>
        <w:t>(a)</w:t>
      </w:r>
      <w:r>
        <w:tab/>
        <w:t xml:space="preserve">address all aspects of emergency response, including by ensuring — </w:t>
      </w:r>
    </w:p>
    <w:p>
      <w:pPr>
        <w:pStyle w:val="Indenti"/>
      </w:pPr>
      <w:r>
        <w:tab/>
        <w:t>(i)</w:t>
      </w:r>
      <w:r>
        <w:tab/>
        <w:t>the establishment of a system that enables all persons at the mine to be promptly located; and</w:t>
      </w:r>
    </w:p>
    <w:p>
      <w:pPr>
        <w:pStyle w:val="Indenti"/>
      </w:pPr>
      <w:r>
        <w:tab/>
        <w:t>(ii)</w:t>
      </w:r>
      <w:r>
        <w:tab/>
        <w:t>the provision of adequate rescue equipment; and</w:t>
      </w:r>
    </w:p>
    <w:p>
      <w:pPr>
        <w:pStyle w:val="Indenti"/>
      </w:pPr>
      <w:r>
        <w:tab/>
        <w:t>(iii)</w:t>
      </w:r>
      <w:r>
        <w:tab/>
        <w:t>that an adequate number of persons trained in the use of rescue equipment are available to respond effectively to the emergency if a person is working at the mine; and</w:t>
      </w:r>
    </w:p>
    <w:p>
      <w:pPr>
        <w:pStyle w:val="Indenti"/>
      </w:pPr>
      <w:r>
        <w:lastRenderedPageBreak/>
        <w:tab/>
        <w:t>(iv)</w:t>
      </w:r>
      <w:r>
        <w:tab/>
        <w:t>the provision of adequate patient transport if a person is working at a mine;</w:t>
      </w:r>
    </w:p>
    <w:p>
      <w:pPr>
        <w:pStyle w:val="Indenta"/>
      </w:pPr>
      <w:r>
        <w:tab/>
      </w:r>
      <w:r>
        <w:tab/>
        <w:t>and</w:t>
      </w:r>
    </w:p>
    <w:p>
      <w:pPr>
        <w:pStyle w:val="Indenta"/>
      </w:pPr>
      <w:r>
        <w:tab/>
        <w:t>(b)</w:t>
      </w:r>
      <w:r>
        <w:tab/>
        <w:t>include all matters specified in Schedule 22; and</w:t>
      </w:r>
    </w:p>
    <w:p>
      <w:pPr>
        <w:pStyle w:val="Indenta"/>
      </w:pPr>
      <w:r>
        <w:tab/>
        <w:t>(c)</w:t>
      </w:r>
      <w:r>
        <w:tab/>
        <w:t>so far as is reasonably practicable, be set out and expressed in a way that is readily understandable by persons who use it.</w:t>
      </w:r>
    </w:p>
    <w:p>
      <w:pPr>
        <w:pStyle w:val="Subsection"/>
      </w:pPr>
      <w:r>
        <w:tab/>
        <w:t>(2)</w:t>
      </w:r>
      <w:r>
        <w:tab/>
        <w:t xml:space="preserve">The emergency plan for the mine must comply with the matters in subregulation (1)(a) and (b) to the extent that the matters are applicable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 xml:space="preserve">The emergency plan for the mine must contain an appropriate level of detail about the matters set out in subregulation (1)(a) and (b) having regard to all relevant matters, including — </w:t>
      </w:r>
    </w:p>
    <w:p>
      <w:pPr>
        <w:pStyle w:val="Indenta"/>
      </w:pPr>
      <w:r>
        <w:tab/>
        <w:t>(a)</w:t>
      </w:r>
      <w:r>
        <w:tab/>
        <w:t>the scale, nature, complexity and location of the mining operations at the mine; and</w:t>
      </w:r>
    </w:p>
    <w:p>
      <w:pPr>
        <w:pStyle w:val="Indenta"/>
      </w:pPr>
      <w:r>
        <w:tab/>
        <w:t>(b)</w:t>
      </w:r>
      <w:r>
        <w:tab/>
        <w:t>the risks associated with those operations.</w:t>
      </w:r>
    </w:p>
    <w:p>
      <w:pPr>
        <w:pStyle w:val="Subsection"/>
      </w:pPr>
      <w:r>
        <w:tab/>
        <w:t>(4)</w:t>
      </w:r>
      <w:r>
        <w:tab/>
        <w:t>The emergency plan for the mine is part of the mine safety management system for the mine.</w:t>
      </w:r>
    </w:p>
    <w:p>
      <w:pPr>
        <w:pStyle w:val="Heading5"/>
      </w:pPr>
      <w:bookmarkStart w:id="994" w:name="_Toc200720498"/>
      <w:r>
        <w:rPr>
          <w:rStyle w:val="CharSectno"/>
        </w:rPr>
        <w:t>665</w:t>
      </w:r>
      <w:r>
        <w:t>.</w:t>
      </w:r>
      <w:r>
        <w:tab/>
        <w:t>Consultation in preparation of emergency plan</w:t>
      </w:r>
      <w:bookmarkEnd w:id="994"/>
    </w:p>
    <w:p>
      <w:pPr>
        <w:pStyle w:val="Subsection"/>
      </w:pPr>
      <w:r>
        <w:tab/>
        <w:t>(1)</w:t>
      </w:r>
      <w:r>
        <w:tab/>
        <w:t xml:space="preserve">In preparing an emergency plan for a mine, the mine operator must consult the following — </w:t>
      </w:r>
    </w:p>
    <w:p>
      <w:pPr>
        <w:pStyle w:val="Indenta"/>
      </w:pPr>
      <w:r>
        <w:tab/>
        <w:t>(a)</w:t>
      </w:r>
      <w:r>
        <w:tab/>
        <w:t xml:space="preserve">an emergency service organisation that may need to respond to an emergency at the mine; </w:t>
      </w:r>
    </w:p>
    <w:p>
      <w:pPr>
        <w:pStyle w:val="Indenta"/>
      </w:pPr>
      <w:r>
        <w:tab/>
        <w:t>(b)</w:t>
      </w:r>
      <w:r>
        <w:tab/>
        <w:t>mine emergency workers of any mine who may be required to participate in implementing the emergency plan;</w:t>
      </w:r>
    </w:p>
    <w:p>
      <w:pPr>
        <w:pStyle w:val="Indenta"/>
        <w:keepNext/>
        <w:keepLines/>
      </w:pPr>
      <w:r>
        <w:lastRenderedPageBreak/>
        <w:tab/>
        <w:t>(c)</w:t>
      </w:r>
      <w:r>
        <w:tab/>
        <w:t xml:space="preserve">in relation to the principal mining hazards that may cause or contribute to an incident that may adversely affect the health and safety of persons in the area surrounding the mine — </w:t>
      </w:r>
    </w:p>
    <w:p>
      <w:pPr>
        <w:pStyle w:val="Indenti"/>
      </w:pPr>
      <w:r>
        <w:tab/>
        <w:t>(i)</w:t>
      </w:r>
      <w:r>
        <w:tab/>
        <w:t xml:space="preserve">any local government in whose district the mine is located; and </w:t>
      </w:r>
    </w:p>
    <w:p>
      <w:pPr>
        <w:pStyle w:val="Indenti"/>
      </w:pPr>
      <w:r>
        <w:tab/>
        <w:t>(ii)</w:t>
      </w:r>
      <w:r>
        <w:tab/>
        <w:t xml:space="preserve">any regional local government established under the </w:t>
      </w:r>
      <w:r>
        <w:rPr>
          <w:i/>
        </w:rPr>
        <w:t>Local Government Act 1995</w:t>
      </w:r>
      <w:r>
        <w:t xml:space="preserve"> section 3.61 in whose region the mine is located.</w:t>
      </w:r>
    </w:p>
    <w:p>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pPr>
        <w:pStyle w:val="Indenta"/>
      </w:pPr>
      <w:r>
        <w:tab/>
        <w:t>(a)</w:t>
      </w:r>
      <w:r>
        <w:tab/>
        <w:t>the testing of the emergency plan, including the way in which it will be tested, the frequency of testing and whether or not the organisation will participate in the testing; and</w:t>
      </w:r>
    </w:p>
    <w:p>
      <w:pPr>
        <w:pStyle w:val="Indenta"/>
      </w:pPr>
      <w:r>
        <w:tab/>
        <w:t>(b)</w:t>
      </w:r>
      <w:r>
        <w:tab/>
        <w:t>what incidents or events at the mine should be notified to the organisation.</w:t>
      </w:r>
    </w:p>
    <w:p>
      <w:pPr>
        <w:pStyle w:val="Subsection"/>
      </w:pPr>
      <w:r>
        <w:tab/>
        <w:t>(3)</w:t>
      </w:r>
      <w:r>
        <w:tab/>
        <w:t>The mine operator must have regard to any other recommendation or advice given by a person consulted under subregulation (1).</w:t>
      </w:r>
    </w:p>
    <w:p>
      <w:pPr>
        <w:pStyle w:val="Heading5"/>
        <w:keepNext w:val="0"/>
      </w:pPr>
      <w:bookmarkStart w:id="995" w:name="_Toc200720499"/>
      <w:r>
        <w:t>666.</w:t>
      </w:r>
      <w:r>
        <w:tab/>
        <w:t>Not used</w:t>
      </w:r>
      <w:bookmarkEnd w:id="995"/>
    </w:p>
    <w:p>
      <w:pPr>
        <w:pStyle w:val="Heading5"/>
      </w:pPr>
      <w:bookmarkStart w:id="996" w:name="_Toc200720500"/>
      <w:r>
        <w:rPr>
          <w:rStyle w:val="CharSectno"/>
        </w:rPr>
        <w:t>667</w:t>
      </w:r>
      <w:r>
        <w:t>.</w:t>
      </w:r>
      <w:r>
        <w:tab/>
        <w:t>Copies of emergency plan to be kept and provided</w:t>
      </w:r>
      <w:bookmarkEnd w:id="996"/>
    </w:p>
    <w:p>
      <w:pPr>
        <w:pStyle w:val="Subsection"/>
      </w:pPr>
      <w:r>
        <w:tab/>
        <w:t>(1)</w:t>
      </w:r>
      <w:r>
        <w:tab/>
        <w:t>The mine operator of a mine must keep a copy of the emergency plan for the mine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keepLines/>
      </w:pPr>
      <w:r>
        <w:lastRenderedPageBreak/>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97" w:name="_Toc200720501"/>
      <w:r>
        <w:rPr>
          <w:rStyle w:val="CharSectno"/>
        </w:rPr>
        <w:t>668</w:t>
      </w:r>
      <w:r>
        <w:t>.</w:t>
      </w:r>
      <w:r>
        <w:tab/>
        <w:t>Resources for emergency plan</w:t>
      </w:r>
      <w:bookmarkEnd w:id="997"/>
      <w:r>
        <w:t xml:space="preserve"> </w:t>
      </w:r>
    </w:p>
    <w:p>
      <w:pPr>
        <w:pStyle w:val="Subsection"/>
      </w:pPr>
      <w:r>
        <w:tab/>
      </w:r>
      <w:r>
        <w:tab/>
        <w:t xml:space="preserve">The mine operator of a mine must ensure that — </w:t>
      </w:r>
    </w:p>
    <w:p>
      <w:pPr>
        <w:pStyle w:val="Indenta"/>
      </w:pPr>
      <w:r>
        <w:tab/>
        <w:t>(a)</w:t>
      </w:r>
      <w:r>
        <w:tab/>
        <w:t>all resources, including response and rescue equipment, specified in the emergency plan for the mine are provided in accordance with the plan; and</w:t>
      </w:r>
    </w:p>
    <w:p>
      <w:pPr>
        <w:pStyle w:val="Indenta"/>
      </w:pPr>
      <w:r>
        <w:tab/>
        <w:t>(b)</w:t>
      </w:r>
      <w:r>
        <w:tab/>
        <w:t>all equipment, including response and rescue equipment, specified in the emergency plan for the mine is maintained in good working order.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8" w:name="_Toc200720502"/>
      <w:r>
        <w:rPr>
          <w:rStyle w:val="CharSectno"/>
        </w:rPr>
        <w:t>669</w:t>
      </w:r>
      <w:r>
        <w:t>.</w:t>
      </w:r>
      <w:r>
        <w:tab/>
        <w:t>Testing of emergency plan</w:t>
      </w:r>
      <w:bookmarkEnd w:id="998"/>
    </w:p>
    <w:p>
      <w:pPr>
        <w:pStyle w:val="Subsection"/>
      </w:pPr>
      <w:r>
        <w:tab/>
      </w:r>
      <w:r>
        <w:tab/>
        <w:t xml:space="preserve">The mine operator of a mine must test the emergency plan for the mine — </w:t>
      </w:r>
    </w:p>
    <w:p>
      <w:pPr>
        <w:pStyle w:val="Indenta"/>
      </w:pPr>
      <w:r>
        <w:tab/>
        <w:t>(a)</w:t>
      </w:r>
      <w:r>
        <w:tab/>
        <w:t>at intervals of no more than 12 months, having regard to the recommendations made by the organisations consulted under regulation 665(1) in preparing the plan; and</w:t>
      </w:r>
    </w:p>
    <w:p>
      <w:pPr>
        <w:pStyle w:val="Indenta"/>
      </w:pPr>
      <w:r>
        <w:tab/>
        <w:t>(b)</w:t>
      </w:r>
      <w:r>
        <w:tab/>
        <w:t>in any event, as soon as is reasonably practicable after there has been a significant revision to the plan.</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PermNoteHeading"/>
      </w:pPr>
      <w:r>
        <w:tab/>
        <w:t>Note for this regulation:</w:t>
      </w:r>
    </w:p>
    <w:p>
      <w:pPr>
        <w:pStyle w:val="PermNoteText"/>
      </w:pPr>
      <w:r>
        <w:tab/>
      </w:r>
      <w:r>
        <w:tab/>
        <w:t>More frequent testing may be required—see regulation 43.</w:t>
      </w:r>
    </w:p>
    <w:p>
      <w:pPr>
        <w:pStyle w:val="Heading5"/>
      </w:pPr>
      <w:bookmarkStart w:id="999" w:name="_Toc200720503"/>
      <w:r>
        <w:rPr>
          <w:rStyle w:val="CharSectno"/>
        </w:rPr>
        <w:t>670</w:t>
      </w:r>
      <w:r>
        <w:t>.</w:t>
      </w:r>
      <w:r>
        <w:tab/>
        <w:t>Review of emergency plan</w:t>
      </w:r>
      <w:bookmarkEnd w:id="999"/>
    </w:p>
    <w:p>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0" w:name="_Toc200720504"/>
      <w:r>
        <w:rPr>
          <w:rStyle w:val="CharSectno"/>
        </w:rPr>
        <w:t>670A</w:t>
      </w:r>
      <w:r>
        <w:t>.</w:t>
      </w:r>
      <w:r>
        <w:tab/>
        <w:t>Training of workers</w:t>
      </w:r>
      <w:bookmarkEnd w:id="1000"/>
      <w:r>
        <w:t xml:space="preserve"> </w:t>
      </w:r>
    </w:p>
    <w:p>
      <w:pPr>
        <w:pStyle w:val="Subsection"/>
      </w:pPr>
      <w:r>
        <w:tab/>
      </w:r>
      <w:r>
        <w:tab/>
        <w:t xml:space="preserve">The mine operator of a mine must ensure that a worker at the mine is trained in relation to their responsibilities to implement the emergency plan for the mine — </w:t>
      </w:r>
    </w:p>
    <w:p>
      <w:pPr>
        <w:pStyle w:val="Indenta"/>
      </w:pPr>
      <w:r>
        <w:tab/>
        <w:t>(a)</w:t>
      </w:r>
      <w:r>
        <w:tab/>
        <w:t>before commencing work at the mine; and</w:t>
      </w:r>
    </w:p>
    <w:p>
      <w:pPr>
        <w:pStyle w:val="Indenta"/>
      </w:pPr>
      <w:r>
        <w:tab/>
        <w:t>(b)</w:t>
      </w:r>
      <w:r>
        <w:tab/>
        <w:t>as soon as is reasonably practicable after any significant revision to the plan.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01" w:name="_Toc200720505"/>
      <w:r>
        <w:t>Subdivision 1A — Mine emergency workers — all mines</w:t>
      </w:r>
      <w:bookmarkEnd w:id="1001"/>
    </w:p>
    <w:p>
      <w:pPr>
        <w:pStyle w:val="Heading5"/>
      </w:pPr>
      <w:bookmarkStart w:id="1002" w:name="_Toc200720506"/>
      <w:r>
        <w:rPr>
          <w:rStyle w:val="CharSectno"/>
        </w:rPr>
        <w:t>670B</w:t>
      </w:r>
      <w:r>
        <w:t>.</w:t>
      </w:r>
      <w:r>
        <w:tab/>
        <w:t>Mine emergency workers</w:t>
      </w:r>
      <w:bookmarkEnd w:id="1002"/>
    </w:p>
    <w:p>
      <w:pPr>
        <w:pStyle w:val="Subsection"/>
      </w:pPr>
      <w:r>
        <w:tab/>
      </w:r>
      <w:r>
        <w:tab/>
        <w:t xml:space="preserve">The site senior executive of a mine may appoint a competent person to be a mine emergency worker at the mine in relation to — </w:t>
      </w:r>
    </w:p>
    <w:p>
      <w:pPr>
        <w:pStyle w:val="Indenta"/>
      </w:pPr>
      <w:r>
        <w:tab/>
        <w:t>(a)</w:t>
      </w:r>
      <w:r>
        <w:tab/>
        <w:t xml:space="preserve">a particular emergency at the mine; or </w:t>
      </w:r>
    </w:p>
    <w:p>
      <w:pPr>
        <w:pStyle w:val="Indenta"/>
      </w:pPr>
      <w:r>
        <w:lastRenderedPageBreak/>
        <w:tab/>
        <w:t>(b)</w:t>
      </w:r>
      <w:r>
        <w:tab/>
        <w:t xml:space="preserve">all emergencies at the mine. </w:t>
      </w:r>
    </w:p>
    <w:p>
      <w:pPr>
        <w:pStyle w:val="Heading4"/>
      </w:pPr>
      <w:bookmarkStart w:id="1003" w:name="_Toc200720507"/>
      <w:r>
        <w:t>Subdivision 2 — Underground mines</w:t>
      </w:r>
      <w:bookmarkEnd w:id="1003"/>
    </w:p>
    <w:p>
      <w:pPr>
        <w:pStyle w:val="Heading5"/>
      </w:pPr>
      <w:bookmarkStart w:id="1004" w:name="_Toc200720508"/>
      <w:r>
        <w:rPr>
          <w:rStyle w:val="CharSectno"/>
        </w:rPr>
        <w:t>671</w:t>
      </w:r>
      <w:r>
        <w:t>.</w:t>
      </w:r>
      <w:r>
        <w:tab/>
        <w:t>Emergency exits</w:t>
      </w:r>
      <w:bookmarkEnd w:id="1004"/>
    </w:p>
    <w:p>
      <w:pPr>
        <w:pStyle w:val="Subsection"/>
      </w:pPr>
      <w:r>
        <w:tab/>
        <w:t>(1)</w:t>
      </w:r>
      <w:r>
        <w:tab/>
        <w:t>The mine operator of an underground mine must ensure that the mine has at least 2 trafficable exits to the surface that comply with subregulations (2) and (3).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Each exit must — </w:t>
      </w:r>
    </w:p>
    <w:p>
      <w:pPr>
        <w:pStyle w:val="Indenta"/>
      </w:pPr>
      <w:r>
        <w:tab/>
        <w:t>(a)</w:t>
      </w:r>
      <w:r>
        <w:tab/>
        <w:t>be accessible from each level in the mine in which coal extraction or stoping operations are being carried out; and</w:t>
      </w:r>
    </w:p>
    <w:p>
      <w:pPr>
        <w:pStyle w:val="Indenta"/>
      </w:pPr>
      <w:r>
        <w:tab/>
        <w:t>(b)</w:t>
      </w:r>
      <w:r>
        <w:tab/>
        <w:t>allow for the passage of rescue persons and rescue equipment; and</w:t>
      </w:r>
    </w:p>
    <w:p>
      <w:pPr>
        <w:pStyle w:val="Indenta"/>
      </w:pPr>
      <w:r>
        <w:tab/>
        <w:t>(c)</w:t>
      </w:r>
      <w:r>
        <w:tab/>
        <w:t>be marked or signposted so that it can be readily located in an emergency; and</w:t>
      </w:r>
    </w:p>
    <w:p>
      <w:pPr>
        <w:pStyle w:val="Indenta"/>
      </w:pPr>
      <w:r>
        <w:tab/>
        <w:t>(d)</w:t>
      </w:r>
      <w:r>
        <w:tab/>
        <w:t>be maintained so that it remains effective.</w:t>
      </w:r>
    </w:p>
    <w:p>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pPr>
        <w:pStyle w:val="Indenta"/>
      </w:pPr>
      <w:r>
        <w:tab/>
        <w:t>(a)</w:t>
      </w:r>
      <w:r>
        <w:tab/>
        <w:t>a single entry drive or mine shaft is being developed;</w:t>
      </w:r>
    </w:p>
    <w:p>
      <w:pPr>
        <w:pStyle w:val="Indenta"/>
        <w:keepNext/>
      </w:pPr>
      <w:r>
        <w:lastRenderedPageBreak/>
        <w:tab/>
        <w:t>(b)</w:t>
      </w:r>
      <w:r>
        <w:tab/>
        <w:t>the most distant area of the mine is no more than 250 metres from the mine entrance.</w:t>
      </w:r>
    </w:p>
    <w:p>
      <w:pPr>
        <w:pStyle w:val="Heading5"/>
      </w:pPr>
      <w:bookmarkStart w:id="1005" w:name="_Toc200720509"/>
      <w:r>
        <w:rPr>
          <w:rStyle w:val="CharSectno"/>
        </w:rPr>
        <w:t>672</w:t>
      </w:r>
      <w:r>
        <w:t>.</w:t>
      </w:r>
      <w:r>
        <w:tab/>
        <w:t>Communication, safe escape and refuge</w:t>
      </w:r>
      <w:bookmarkEnd w:id="1005"/>
    </w:p>
    <w:p>
      <w:pPr>
        <w:pStyle w:val="Subsection"/>
      </w:pPr>
      <w:r>
        <w:tab/>
        <w:t>(1)</w:t>
      </w:r>
      <w:r>
        <w:tab/>
        <w:t>The mine operator of an underground mine must provide adequate means of communicating with all affected persons when the emergency plan for the mine is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non</w:t>
      </w:r>
      <w:r>
        <w:noBreakHyphen/>
        <w:t xml:space="preserve">coal mine must provide — </w:t>
      </w:r>
    </w:p>
    <w:p>
      <w:pPr>
        <w:pStyle w:val="Indenta"/>
      </w:pPr>
      <w:r>
        <w:tab/>
        <w:t>(a)</w:t>
      </w:r>
      <w:r>
        <w:tab/>
        <w:t>adequate numbers of refuges in the mine to which persons can go during an emergency; and</w:t>
      </w:r>
    </w:p>
    <w:p>
      <w:pPr>
        <w:pStyle w:val="Indenta"/>
      </w:pPr>
      <w:r>
        <w:tab/>
        <w:t>(b)</w:t>
      </w:r>
      <w:r>
        <w:tab/>
        <w:t>adequate means of escape that enable persons to reach an exit or refuge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6" w:name="_Toc200720510"/>
      <w:r>
        <w:rPr>
          <w:rStyle w:val="CharSectno"/>
        </w:rPr>
        <w:lastRenderedPageBreak/>
        <w:t>673</w:t>
      </w:r>
      <w:r>
        <w:t>.</w:t>
      </w:r>
      <w:r>
        <w:tab/>
        <w:t>Signage for refuges</w:t>
      </w:r>
      <w:bookmarkEnd w:id="1006"/>
    </w:p>
    <w:p>
      <w:pPr>
        <w:pStyle w:val="Subsection"/>
        <w:keepNext/>
      </w:pPr>
      <w:r>
        <w:tab/>
      </w:r>
      <w:r>
        <w:tab/>
        <w:t>The mine operator of an underground mine that includes a refuge must ensure that signs are prominently displayed at the mine showing the location of the refuge.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07" w:name="_Toc200720511"/>
      <w:r>
        <w:rPr>
          <w:rStyle w:val="CharSectno"/>
        </w:rPr>
        <w:t>674</w:t>
      </w:r>
      <w:r>
        <w:t>.</w:t>
      </w:r>
      <w:r>
        <w:tab/>
        <w:t>Self</w:t>
      </w:r>
      <w:r>
        <w:noBreakHyphen/>
        <w:t>rescuers</w:t>
      </w:r>
      <w:bookmarkEnd w:id="1007"/>
    </w:p>
    <w:p>
      <w:pPr>
        <w:pStyle w:val="Subsection"/>
      </w:pPr>
      <w:r>
        <w:tab/>
        <w:t>(1)</w:t>
      </w:r>
      <w:r>
        <w:tab/>
        <w:t xml:space="preserve">In this regulation — </w:t>
      </w:r>
    </w:p>
    <w:p>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must ensure that the person is trained in the use of, and is able to use, the self</w:t>
      </w:r>
      <w:r>
        <w:noBreakHyphen/>
        <w:t>contained self</w:t>
      </w:r>
      <w:r>
        <w:noBreakHyphen/>
        <w:t>rescuer provided.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08" w:name="_Toc200720512"/>
      <w:r>
        <w:rPr>
          <w:rStyle w:val="CharSectno"/>
        </w:rPr>
        <w:lastRenderedPageBreak/>
        <w:t>674A</w:t>
      </w:r>
      <w:r>
        <w:t>.</w:t>
      </w:r>
      <w:r>
        <w:tab/>
        <w:t>First aid and rescue equipment</w:t>
      </w:r>
      <w:bookmarkEnd w:id="1008"/>
      <w:r>
        <w:t xml:space="preserve"> </w:t>
      </w:r>
    </w:p>
    <w:p>
      <w:pPr>
        <w:pStyle w:val="Subsection"/>
        <w:keepNext/>
        <w:spacing w:before="140"/>
      </w:pPr>
      <w:r>
        <w:tab/>
      </w:r>
      <w:r>
        <w:tab/>
        <w:t xml:space="preserve">The mine operator of an underground mine must ensure that — </w:t>
      </w:r>
    </w:p>
    <w:p>
      <w:pPr>
        <w:pStyle w:val="Indenta"/>
      </w:pPr>
      <w:r>
        <w:tab/>
        <w:t>(a)</w:t>
      </w:r>
      <w:r>
        <w:tab/>
        <w:t>there is adequate first aid and rescue equipment at the mine for emergencies, taking into account the size and nature of the mine; and</w:t>
      </w:r>
    </w:p>
    <w:p>
      <w:pPr>
        <w:pStyle w:val="Indenta"/>
        <w:keepNext/>
      </w:pPr>
      <w:r>
        <w:tab/>
        <w:t>(b)</w:t>
      </w:r>
      <w:r>
        <w:tab/>
        <w:t>any worker who might enter the mine to carry out first aid or rescue procedures in an emergency is trained in the use of, and is able to use, the equipment.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09" w:name="_Toc200720513"/>
      <w:r>
        <w:rPr>
          <w:rStyle w:val="CharSectno"/>
        </w:rPr>
        <w:t>675</w:t>
      </w:r>
      <w:r>
        <w:t>.</w:t>
      </w:r>
      <w:r>
        <w:tab/>
        <w:t>Personal protective equipment for emergencies</w:t>
      </w:r>
      <w:bookmarkEnd w:id="1009"/>
    </w:p>
    <w:p>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pPr>
        <w:pStyle w:val="Indenta"/>
      </w:pPr>
      <w:r>
        <w:tab/>
        <w:t>(a)</w:t>
      </w:r>
      <w:r>
        <w:tab/>
        <w:t>the concentration of oxygen falls below a safe oxygen level; or</w:t>
      </w:r>
    </w:p>
    <w:p>
      <w:pPr>
        <w:pStyle w:val="Indenta"/>
      </w:pPr>
      <w:r>
        <w:tab/>
        <w:t>(b)</w:t>
      </w:r>
      <w:r>
        <w:tab/>
        <w:t>the atmosphere in the mine has a harmful concentration of an airborne contaminant; or</w:t>
      </w:r>
    </w:p>
    <w:p>
      <w:pPr>
        <w:pStyle w:val="Indenta"/>
      </w:pPr>
      <w:r>
        <w:tab/>
        <w:t>(c)</w:t>
      </w:r>
      <w:r>
        <w:tab/>
        <w:t>there is a serious risk of the atmosphere in the mine becoming affected in the way referred to in paragraph (a) or (b) while the worker is in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spacing w:before="140"/>
      </w:pPr>
      <w:r>
        <w:tab/>
        <w:t>(2)</w:t>
      </w:r>
      <w:r>
        <w:tab/>
        <w:t>The mine operator must ensure, so far as is reasonably practicable, that the worker uses the personal protective equipment provided to them.</w:t>
      </w:r>
    </w:p>
    <w:p>
      <w:pPr>
        <w:pStyle w:val="Penstart"/>
        <w:keepNex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(3)</w:t>
      </w:r>
      <w:r>
        <w:tab/>
        <w:t>The mine operator must ensure that any worker to whom subregulation (1) might apply is trained in the use of, and is able to use, the oxygen respiratory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10" w:name="_Toc200720514"/>
      <w:r>
        <w:rPr>
          <w:rStyle w:val="CharSectno"/>
        </w:rPr>
        <w:t>675AA</w:t>
      </w:r>
      <w:r>
        <w:t>.</w:t>
      </w:r>
      <w:r>
        <w:tab/>
        <w:t>Competent persons at surface</w:t>
      </w:r>
      <w:bookmarkEnd w:id="1010"/>
      <w:r>
        <w:t xml:space="preserve"> </w:t>
      </w:r>
    </w:p>
    <w:p>
      <w:pPr>
        <w:pStyle w:val="Subsection"/>
      </w:pPr>
      <w:r>
        <w:tab/>
      </w:r>
      <w:r>
        <w:tab/>
        <w:t xml:space="preserve">The mine operator of an underground mine must ensure that at any time that persons are underground — </w:t>
      </w:r>
    </w:p>
    <w:p>
      <w:pPr>
        <w:pStyle w:val="Indenta"/>
      </w:pPr>
      <w:r>
        <w:tab/>
        <w:t>(a)</w:t>
      </w:r>
      <w:r>
        <w:tab/>
        <w:t xml:space="preserve">1 or more persons at the surface (the </w:t>
      </w:r>
      <w:r>
        <w:rPr>
          <w:rStyle w:val="CharDefText"/>
        </w:rPr>
        <w:t>surface contacts</w:t>
      </w:r>
      <w:r>
        <w:t>) is readily available to be contacted by the persons underground; and</w:t>
      </w:r>
    </w:p>
    <w:p>
      <w:pPr>
        <w:pStyle w:val="Indenta"/>
      </w:pPr>
      <w:r>
        <w:tab/>
        <w:t>(b)</w:t>
      </w:r>
      <w:r>
        <w:tab/>
        <w:t>1 or more of the surface contacts has the authority and competence, and is readily available, to activate the emergency plan for the mine as necessary.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011" w:name="_Toc200720515"/>
      <w:r>
        <w:rPr>
          <w:rStyle w:val="CharDivNo"/>
        </w:rPr>
        <w:t>Division 6</w:t>
      </w:r>
      <w:r>
        <w:t> — </w:t>
      </w:r>
      <w:r>
        <w:rPr>
          <w:rStyle w:val="CharDivText"/>
        </w:rPr>
        <w:t>Information, training and instruction</w:t>
      </w:r>
      <w:bookmarkEnd w:id="1011"/>
    </w:p>
    <w:p>
      <w:pPr>
        <w:pStyle w:val="Heading5"/>
      </w:pPr>
      <w:bookmarkStart w:id="1012" w:name="_Toc200720516"/>
      <w:r>
        <w:rPr>
          <w:rStyle w:val="CharSectno"/>
        </w:rPr>
        <w:t>675A</w:t>
      </w:r>
      <w:r>
        <w:t>.</w:t>
      </w:r>
      <w:r>
        <w:tab/>
        <w:t>Duty to inform workers about mine safety management system</w:t>
      </w:r>
      <w:bookmarkEnd w:id="1012"/>
      <w:r>
        <w:t xml:space="preserve"> </w:t>
      </w:r>
    </w:p>
    <w:p>
      <w:pPr>
        <w:pStyle w:val="Subsection"/>
        <w:keepNext/>
      </w:pPr>
      <w:r>
        <w:tab/>
        <w:t>(1)</w:t>
      </w:r>
      <w:r>
        <w:tab/>
        <w:t xml:space="preserve">The mine operator of a mine must ensure that, before a worker commences work at the mine — </w:t>
      </w:r>
    </w:p>
    <w:p>
      <w:pPr>
        <w:pStyle w:val="Indenta"/>
      </w:pPr>
      <w:r>
        <w:tab/>
        <w:t>(a)</w:t>
      </w:r>
      <w:r>
        <w:tab/>
        <w:t>the worker is given a summary of the mine safety management system for the mine that is relevant to the worker’s work at the mine; and</w:t>
      </w:r>
    </w:p>
    <w:p>
      <w:pPr>
        <w:pStyle w:val="Indenta"/>
        <w:keepNext/>
      </w:pPr>
      <w:r>
        <w:lastRenderedPageBreak/>
        <w:tab/>
        <w:t>(b)</w:t>
      </w:r>
      <w:r>
        <w:tab/>
        <w:t>the worker is informed of their right to see the mine safety management system for the mine under regulation 622(4)(a).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In relation to the provision of information to workers, see also regulation 39 and section 19(3)(f) of the Act.</w:t>
      </w:r>
    </w:p>
    <w:p>
      <w:pPr>
        <w:pStyle w:val="Heading5"/>
      </w:pPr>
      <w:bookmarkStart w:id="1013" w:name="_Toc200720517"/>
      <w:r>
        <w:rPr>
          <w:rStyle w:val="CharSectno"/>
        </w:rPr>
        <w:t>675B</w:t>
      </w:r>
      <w:r>
        <w:t>.</w:t>
      </w:r>
      <w:r>
        <w:tab/>
        <w:t>Duty to provide information, training and instruction</w:t>
      </w:r>
      <w:bookmarkEnd w:id="1013"/>
      <w:r>
        <w:t xml:space="preserve"> </w:t>
      </w:r>
    </w:p>
    <w:p>
      <w:pPr>
        <w:pStyle w:val="Subsection"/>
      </w:pPr>
      <w:r>
        <w:tab/>
        <w:t>(1)</w:t>
      </w:r>
      <w:r>
        <w:tab/>
        <w:t>This regulation applies in addition to regulation 39.</w:t>
      </w:r>
    </w:p>
    <w:p>
      <w:pPr>
        <w:pStyle w:val="Subsection"/>
        <w:keepNext/>
      </w:pPr>
      <w:r>
        <w:tab/>
        <w:t>(2)</w:t>
      </w:r>
      <w:r>
        <w:tab/>
        <w:t xml:space="preserve">The mine operator of a mine must ensure that each worker at the mine is given suitable and adequate information, training and instruction in relation to the following — </w:t>
      </w:r>
    </w:p>
    <w:p>
      <w:pPr>
        <w:pStyle w:val="Indenta"/>
      </w:pPr>
      <w:r>
        <w:tab/>
        <w:t>(a)</w:t>
      </w:r>
      <w:r>
        <w:tab/>
        <w:t>all hazards associated with the work being carried out by the worker;</w:t>
      </w:r>
    </w:p>
    <w:p>
      <w:pPr>
        <w:pStyle w:val="Indenta"/>
      </w:pPr>
      <w:r>
        <w:tab/>
        <w:t>(b)</w:t>
      </w:r>
      <w:r>
        <w:tab/>
        <w:t>the implementation of control measures relating to the work being carried out by the worker, including control measures in relation to fatigue, the consumption of alcohol and the use of drugs;</w:t>
      </w:r>
    </w:p>
    <w:p>
      <w:pPr>
        <w:pStyle w:val="Indenta"/>
      </w:pPr>
      <w:r>
        <w:tab/>
        <w:t>(c)</w:t>
      </w:r>
      <w:r>
        <w:tab/>
        <w:t>the content and implementation of the mine safety management system for the mine;</w:t>
      </w:r>
    </w:p>
    <w:p>
      <w:pPr>
        <w:pStyle w:val="Indenta"/>
        <w:keepNext/>
      </w:pPr>
      <w:r>
        <w:lastRenderedPageBreak/>
        <w:tab/>
        <w:t>(d)</w:t>
      </w:r>
      <w:r>
        <w:tab/>
        <w:t>the emergency plan for the mine.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1014" w:name="_Toc200720518"/>
      <w:r>
        <w:rPr>
          <w:rStyle w:val="CharSectno"/>
        </w:rPr>
        <w:t>675BA</w:t>
      </w:r>
      <w:r>
        <w:t>.</w:t>
      </w:r>
      <w:r>
        <w:tab/>
        <w:t>Site induction for new workers</w:t>
      </w:r>
      <w:bookmarkEnd w:id="1014"/>
      <w:r>
        <w:t xml:space="preserve"> </w:t>
      </w:r>
    </w:p>
    <w:p>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1015" w:name="_Toc200720519"/>
      <w:r>
        <w:rPr>
          <w:rStyle w:val="CharSectno"/>
        </w:rPr>
        <w:t>675BB</w:t>
      </w:r>
      <w:r>
        <w:t>.</w:t>
      </w:r>
      <w:r>
        <w:tab/>
        <w:t>Duty of persons conducting businesses or undertaking to ensure competency of workers</w:t>
      </w:r>
      <w:bookmarkEnd w:id="1015"/>
      <w:r>
        <w:t xml:space="preserve"> </w:t>
      </w:r>
    </w:p>
    <w:p>
      <w:pPr>
        <w:pStyle w:val="Subsection"/>
        <w:keepNext/>
      </w:pPr>
      <w:r>
        <w:tab/>
      </w:r>
      <w:r>
        <w:tab/>
        <w:t xml:space="preserve">A person conducting a business or undertaking at a mine must ensure that each worker who works for the person at the mine is — </w:t>
      </w:r>
    </w:p>
    <w:p>
      <w:pPr>
        <w:pStyle w:val="Indenta"/>
      </w:pPr>
      <w:r>
        <w:tab/>
        <w:t>(a)</w:t>
      </w:r>
      <w:r>
        <w:tab/>
        <w:t>given adequate information, training and instruction in safety procedures and systems of work and in the tasks required of the worker; and</w:t>
      </w:r>
    </w:p>
    <w:p>
      <w:pPr>
        <w:pStyle w:val="Indenta"/>
      </w:pPr>
      <w:r>
        <w:tab/>
        <w:t>(b)</w:t>
      </w:r>
      <w:r>
        <w:tab/>
        <w:t>assessed before commencing work at the mine to ensure that the worker is competent to perform the tasks required of them and to operate any plant the worker will be required to operate; and</w:t>
      </w:r>
    </w:p>
    <w:p>
      <w:pPr>
        <w:pStyle w:val="Indenta"/>
      </w:pPr>
      <w:r>
        <w:tab/>
        <w:t>(c)</w:t>
      </w:r>
      <w:r>
        <w:tab/>
        <w:t>retrained and reassessed whenever systems of work or plant are changed, or new systems of work or plant are introduced.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16" w:name="_Toc200720520"/>
      <w:r>
        <w:rPr>
          <w:rStyle w:val="CharSectno"/>
        </w:rPr>
        <w:lastRenderedPageBreak/>
        <w:t>675C</w:t>
      </w:r>
      <w:r>
        <w:t>.</w:t>
      </w:r>
      <w:r>
        <w:tab/>
        <w:t>Information for visitors</w:t>
      </w:r>
      <w:bookmarkEnd w:id="1016"/>
    </w:p>
    <w:p>
      <w:pPr>
        <w:pStyle w:val="Subsection"/>
        <w:keepNext/>
      </w:pPr>
      <w:r>
        <w:tab/>
      </w:r>
      <w:r>
        <w:tab/>
        <w:t xml:space="preserve">The mine operator of a mine must ensure that a visitor who enters the mine with the authority of the mine operator is, as soon as practicable, given — </w:t>
      </w:r>
    </w:p>
    <w:p>
      <w:pPr>
        <w:pStyle w:val="Indenta"/>
      </w:pPr>
      <w:r>
        <w:tab/>
        <w:t>(a)</w:t>
      </w:r>
      <w:r>
        <w:tab/>
        <w:t>information about risks associated with mining operations to which the visitor may be exposed at the mine; and</w:t>
      </w:r>
    </w:p>
    <w:p>
      <w:pPr>
        <w:pStyle w:val="Indenta"/>
      </w:pPr>
      <w:r>
        <w:tab/>
        <w:t>(b)</w:t>
      </w:r>
      <w:r>
        <w:tab/>
        <w:t>instructions in health and safety precautions the visitor should take at the mine; and</w:t>
      </w:r>
    </w:p>
    <w:p>
      <w:pPr>
        <w:pStyle w:val="Indenta"/>
        <w:keepNext/>
      </w:pPr>
      <w:r>
        <w:tab/>
        <w:t>(c)</w:t>
      </w:r>
      <w:r>
        <w:tab/>
        <w:t>instructions in the actions the visitor should take if the emergency plan for the mine is implemented while the visitor is at the mine.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17" w:name="_Toc200720521"/>
      <w:r>
        <w:rPr>
          <w:rStyle w:val="CharSectno"/>
        </w:rPr>
        <w:t>675D</w:t>
      </w:r>
      <w:r>
        <w:t>.</w:t>
      </w:r>
      <w:r>
        <w:tab/>
        <w:t>Review of information, training and instruction</w:t>
      </w:r>
      <w:bookmarkEnd w:id="1017"/>
    </w:p>
    <w:p>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pPr>
        <w:pStyle w:val="Penstart"/>
      </w:pPr>
      <w:r>
        <w:tab/>
        <w:t>Penalty:</w:t>
      </w:r>
    </w:p>
    <w:p>
      <w:pPr>
        <w:pStyle w:val="Penpara"/>
      </w:pPr>
      <w:r>
        <w:tab/>
        <w:t>(a)</w:t>
      </w:r>
      <w:r>
        <w:tab/>
        <w:t>for an individual, a fine of $4 200;</w:t>
      </w:r>
    </w:p>
    <w:p>
      <w:pPr>
        <w:pStyle w:val="Penpara"/>
      </w:pPr>
      <w:r>
        <w:tab/>
        <w:t>(b)</w:t>
      </w:r>
      <w:r>
        <w:tab/>
        <w:t xml:space="preserve">for a body corporate, a fine of $21 000. </w:t>
      </w:r>
    </w:p>
    <w:p>
      <w:pPr>
        <w:pStyle w:val="Heading5"/>
      </w:pPr>
      <w:bookmarkStart w:id="1018" w:name="_Toc200720522"/>
      <w:r>
        <w:rPr>
          <w:rStyle w:val="CharSectno"/>
        </w:rPr>
        <w:t>675E</w:t>
      </w:r>
      <w:r>
        <w:t>.</w:t>
      </w:r>
      <w:r>
        <w:tab/>
        <w:t>Records of training</w:t>
      </w:r>
      <w:bookmarkEnd w:id="1018"/>
      <w:r>
        <w:t xml:space="preserve"> </w:t>
      </w:r>
    </w:p>
    <w:p>
      <w:pPr>
        <w:pStyle w:val="Subsection"/>
        <w:keepNext/>
      </w:pPr>
      <w:r>
        <w:tab/>
        <w:t>(1)</w:t>
      </w:r>
      <w:r>
        <w:tab/>
        <w:t xml:space="preserve">The mine operator of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lastRenderedPageBreak/>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conducting a business or undertaking at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019" w:name="_Toc200720523"/>
      <w:r>
        <w:rPr>
          <w:rStyle w:val="CharPartNo"/>
        </w:rPr>
        <w:t>Part 10.3</w:t>
      </w:r>
      <w:r>
        <w:t> — </w:t>
      </w:r>
      <w:r>
        <w:rPr>
          <w:rStyle w:val="CharPartText"/>
        </w:rPr>
        <w:t>Health management and monitoring</w:t>
      </w:r>
      <w:bookmarkEnd w:id="1019"/>
    </w:p>
    <w:p>
      <w:pPr>
        <w:pStyle w:val="Heading4"/>
      </w:pPr>
      <w:bookmarkStart w:id="1020" w:name="_Toc200720524"/>
      <w:r>
        <w:rPr>
          <w:rStyle w:val="CharDivNo"/>
        </w:rPr>
        <w:t>Division 1</w:t>
      </w:r>
      <w:r>
        <w:t> — </w:t>
      </w:r>
      <w:r>
        <w:rPr>
          <w:rStyle w:val="CharDivText"/>
        </w:rPr>
        <w:t>Health management</w:t>
      </w:r>
      <w:bookmarkEnd w:id="1020"/>
    </w:p>
    <w:p>
      <w:pPr>
        <w:pStyle w:val="Heading5"/>
      </w:pPr>
      <w:bookmarkStart w:id="1021" w:name="_Toc200720525"/>
      <w:r>
        <w:rPr>
          <w:rStyle w:val="CharSectno"/>
        </w:rPr>
        <w:t>675EA</w:t>
      </w:r>
      <w:r>
        <w:t>.</w:t>
      </w:r>
      <w:r>
        <w:tab/>
        <w:t>Duty to prepare and implement health management plan</w:t>
      </w:r>
      <w:bookmarkEnd w:id="1021"/>
      <w:r>
        <w:t xml:space="preserve"> </w:t>
      </w:r>
    </w:p>
    <w:p>
      <w:pPr>
        <w:pStyle w:val="Subsection"/>
      </w:pPr>
      <w:r>
        <w:tab/>
        <w:t>(1)</w:t>
      </w:r>
      <w:r>
        <w:tab/>
        <w:t>In complying with regulation 617, the mine operator of a mine must manage risks to health and safety associated with health hazards arising from mining operations at the mine.</w:t>
      </w:r>
    </w:p>
    <w:p>
      <w:pPr>
        <w:pStyle w:val="Subsection"/>
        <w:keepNext/>
      </w:pPr>
      <w:r>
        <w:tab/>
        <w:t>(2)</w:t>
      </w:r>
      <w:r>
        <w:tab/>
        <w:t>In managing risks to health and safety as described in subregulation (1), the mine operator of a mine must prepare and implement a health management plan for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health management plan for a mine must —</w:t>
      </w:r>
    </w:p>
    <w:p>
      <w:pPr>
        <w:pStyle w:val="Indenta"/>
      </w:pPr>
      <w:r>
        <w:tab/>
        <w:t>(a)</w:t>
      </w:r>
      <w:r>
        <w:tab/>
        <w:t xml:space="preserve">identify and consider all health hazards arising from mining operations at the mine that may have an adverse effect on the health or safety of persons at the mine; and </w:t>
      </w:r>
    </w:p>
    <w:p>
      <w:pPr>
        <w:pStyle w:val="Indenta"/>
      </w:pPr>
      <w:r>
        <w:tab/>
        <w:t>(b)</w:t>
      </w:r>
      <w:r>
        <w:tab/>
        <w:t>provide details of control measures the mine operator will implement to manage associated risks in accordance with Part 3.1 and regulation 617.</w:t>
      </w:r>
    </w:p>
    <w:p>
      <w:pPr>
        <w:pStyle w:val="Subsection"/>
      </w:pPr>
      <w:r>
        <w:tab/>
        <w:t>(4)</w:t>
      </w:r>
      <w:r>
        <w:tab/>
        <w:t xml:space="preserve">In preparing and implementing the health management plan for a mine, the mine operator of the mine must have regard to all relevant matters, including the following — </w:t>
      </w:r>
    </w:p>
    <w:p>
      <w:pPr>
        <w:pStyle w:val="Indenta"/>
      </w:pPr>
      <w:r>
        <w:tab/>
        <w:t>(a)</w:t>
      </w:r>
      <w:r>
        <w:tab/>
        <w:t>heat, humidity and contaminants to which a person at the mine may be exposed;</w:t>
      </w:r>
    </w:p>
    <w:p>
      <w:pPr>
        <w:pStyle w:val="Indenta"/>
      </w:pPr>
      <w:r>
        <w:tab/>
        <w:t>(b)</w:t>
      </w:r>
      <w:r>
        <w:tab/>
        <w:t>any other health hazard, including noise and chronic exposure to musculoskeletal stressors;</w:t>
      </w:r>
    </w:p>
    <w:p>
      <w:pPr>
        <w:pStyle w:val="Indenta"/>
      </w:pPr>
      <w:r>
        <w:tab/>
        <w:t>(c)</w:t>
      </w:r>
      <w:r>
        <w:tab/>
        <w:t>assessment of risk due to identified health hazards;</w:t>
      </w:r>
    </w:p>
    <w:p>
      <w:pPr>
        <w:pStyle w:val="Indenta"/>
      </w:pPr>
      <w:r>
        <w:tab/>
        <w:t>(d)</w:t>
      </w:r>
      <w:r>
        <w:tab/>
        <w:t>control measures considered and implemented to minimise, so far as is reasonably practicable, the adverse effects of identified health hazards;</w:t>
      </w:r>
    </w:p>
    <w:p>
      <w:pPr>
        <w:pStyle w:val="Indenta"/>
      </w:pPr>
      <w:r>
        <w:tab/>
        <w:t>(e)</w:t>
      </w:r>
      <w:r>
        <w:tab/>
        <w:t>the establishment and implementation of a monitoring schedule to identify any new health hazard and to assess the effectiveness of controls implemented;</w:t>
      </w:r>
    </w:p>
    <w:p>
      <w:pPr>
        <w:pStyle w:val="Indenta"/>
      </w:pPr>
      <w:r>
        <w:tab/>
        <w:t>(f)</w:t>
      </w:r>
      <w:r>
        <w:tab/>
        <w:t>actions to be taken if monitoring indicates that implemented control measures are not effective;</w:t>
      </w:r>
    </w:p>
    <w:p>
      <w:pPr>
        <w:pStyle w:val="Indenta"/>
      </w:pPr>
      <w:r>
        <w:tab/>
        <w:t>(g)</w:t>
      </w:r>
      <w:r>
        <w:tab/>
        <w:t>risk</w:t>
      </w:r>
      <w:r>
        <w:noBreakHyphen/>
        <w:t>based biological and health monitoring of persons;</w:t>
      </w:r>
    </w:p>
    <w:p>
      <w:pPr>
        <w:pStyle w:val="Indenta"/>
      </w:pPr>
      <w:r>
        <w:tab/>
        <w:t>(h)</w:t>
      </w:r>
      <w:r>
        <w:tab/>
        <w:t>actions to be taken if biological or health monitoring indicates adverse effects on persons.</w:t>
      </w:r>
    </w:p>
    <w:p>
      <w:pPr>
        <w:pStyle w:val="Subsection"/>
      </w:pPr>
      <w:r>
        <w:tab/>
        <w:t>(5)</w:t>
      </w:r>
      <w:r>
        <w:tab/>
        <w:t>The health management plan is part of the mine safety management system for the mine.</w:t>
      </w:r>
    </w:p>
    <w:p>
      <w:pPr>
        <w:pStyle w:val="Heading5"/>
      </w:pPr>
      <w:bookmarkStart w:id="1022" w:name="_Toc200720526"/>
      <w:r>
        <w:rPr>
          <w:rStyle w:val="CharSectno"/>
        </w:rPr>
        <w:t>675EB</w:t>
      </w:r>
      <w:r>
        <w:t>.</w:t>
      </w:r>
      <w:r>
        <w:tab/>
        <w:t>Duty to provide information on health management plan</w:t>
      </w:r>
      <w:bookmarkEnd w:id="1022"/>
      <w:r>
        <w:t xml:space="preserve"> </w:t>
      </w:r>
    </w:p>
    <w:p>
      <w:pPr>
        <w:pStyle w:val="Subsection"/>
      </w:pPr>
      <w:r>
        <w:tab/>
        <w:t>(1)</w:t>
      </w:r>
      <w:r>
        <w:tab/>
        <w:t xml:space="preserve">This regulation applies to a worker at a mine if there is a risk of an adverse effect on the worker’s health because of the worker’s </w:t>
      </w:r>
      <w:r>
        <w:lastRenderedPageBreak/>
        <w:t>exposure to a hazard associated with mining operations at the mine.</w:t>
      </w:r>
    </w:p>
    <w:p>
      <w:pPr>
        <w:pStyle w:val="Subsection"/>
      </w:pPr>
      <w:r>
        <w:tab/>
        <w:t>(2)</w:t>
      </w:r>
      <w:r>
        <w:tab/>
        <w:t xml:space="preserve">The mine operator of the mine must give the worker the following information in accordance with subregulation (3) — </w:t>
      </w:r>
    </w:p>
    <w:p>
      <w:pPr>
        <w:pStyle w:val="Indenta"/>
      </w:pPr>
      <w:r>
        <w:tab/>
        <w:t>(a)</w:t>
      </w:r>
      <w:r>
        <w:tab/>
        <w:t>any likely adverse effects on the worker’s health due to mining operations at the mine;</w:t>
      </w:r>
    </w:p>
    <w:p>
      <w:pPr>
        <w:pStyle w:val="Indenta"/>
      </w:pPr>
      <w:r>
        <w:tab/>
        <w:t>(b)</w:t>
      </w:r>
      <w:r>
        <w:tab/>
        <w:t>necessary precautions to be taken by the worker;</w:t>
      </w:r>
    </w:p>
    <w:p>
      <w:pPr>
        <w:pStyle w:val="Indenta"/>
      </w:pPr>
      <w:r>
        <w:tab/>
        <w:t>(c)</w:t>
      </w:r>
      <w:r>
        <w:tab/>
        <w:t>other controls in place to prevent or minimise the adverse effect on the worker’s health.</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information must be provided, so far as is reasonably practicable, before the worker is exposed to the hazard associated with mining operations at the mine.</w:t>
      </w:r>
    </w:p>
    <w:p>
      <w:pPr>
        <w:pStyle w:val="Heading4"/>
      </w:pPr>
      <w:bookmarkStart w:id="1023" w:name="_Toc200720527"/>
      <w:r>
        <w:rPr>
          <w:rStyle w:val="CharDivNo"/>
        </w:rPr>
        <w:t>Division 2</w:t>
      </w:r>
      <w:r>
        <w:t> — </w:t>
      </w:r>
      <w:r>
        <w:rPr>
          <w:rStyle w:val="CharDivText"/>
        </w:rPr>
        <w:t>Health monitoring</w:t>
      </w:r>
      <w:bookmarkEnd w:id="1023"/>
    </w:p>
    <w:p>
      <w:pPr>
        <w:pStyle w:val="PermNoteHeading"/>
      </w:pPr>
      <w:r>
        <w:tab/>
        <w:t>Note for this Division:</w:t>
      </w:r>
    </w:p>
    <w:p>
      <w:pPr>
        <w:pStyle w:val="PermNoteText"/>
      </w:pPr>
      <w:r>
        <w:tab/>
      </w:r>
      <w:r>
        <w:tab/>
        <w:t>See also Part 3.2 Division 11, Part 7.1 Division 6, Part 7.2 Division 4 and Part 8.5 Division 1.</w:t>
      </w:r>
    </w:p>
    <w:p>
      <w:pPr>
        <w:pStyle w:val="Heading5"/>
      </w:pPr>
      <w:bookmarkStart w:id="1024" w:name="_Toc200720528"/>
      <w:r>
        <w:rPr>
          <w:rStyle w:val="CharSectno"/>
        </w:rPr>
        <w:t>675F</w:t>
      </w:r>
      <w:r>
        <w:t>.</w:t>
      </w:r>
      <w:r>
        <w:tab/>
        <w:t>Health monitoring of workers</w:t>
      </w:r>
      <w:bookmarkEnd w:id="1024"/>
    </w:p>
    <w:p>
      <w:pPr>
        <w:pStyle w:val="Subsection"/>
      </w:pPr>
      <w:r>
        <w:tab/>
      </w:r>
      <w:r>
        <w:tab/>
        <w:t xml:space="preserve">The mine operator of a mine must ensure that health monitoring is provided in accordance with this Division to a worker engaged to carry out work at the mine if — </w:t>
      </w:r>
    </w:p>
    <w:p>
      <w:pPr>
        <w:pStyle w:val="Indenta"/>
      </w:pPr>
      <w:r>
        <w:tab/>
        <w:t>(a)</w:t>
      </w:r>
      <w:r>
        <w:tab/>
        <w:t>there is a risk of an adverse effect on the worker’s health because of the worker’s exposure to a hazard associated with mining operations at the mine; and</w:t>
      </w:r>
    </w:p>
    <w:p>
      <w:pPr>
        <w:pStyle w:val="Indenta"/>
      </w:pPr>
      <w:r>
        <w:tab/>
        <w:t>(b)</w:t>
      </w:r>
      <w:r>
        <w:tab/>
        <w:t>valid techniques are available to detect that effect on the worker’s health.</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025" w:name="_Toc200720529"/>
      <w:r>
        <w:rPr>
          <w:rStyle w:val="CharSectno"/>
        </w:rPr>
        <w:t>675G</w:t>
      </w:r>
      <w:r>
        <w:t>.</w:t>
      </w:r>
      <w:r>
        <w:tab/>
        <w:t>Duty to inform of health monitoring</w:t>
      </w:r>
      <w:bookmarkEnd w:id="1025"/>
    </w:p>
    <w:p>
      <w:pPr>
        <w:pStyle w:val="Subsection"/>
      </w:pPr>
      <w:r>
        <w:tab/>
      </w:r>
      <w:r>
        <w:tab/>
        <w:t xml:space="preserve">The mine operator of a mine who is required to ensure that health monitoring is provided to a worker under regulation 675F must give information about the health monitoring requirements to — </w:t>
      </w:r>
    </w:p>
    <w:p>
      <w:pPr>
        <w:pStyle w:val="Indenta"/>
      </w:pPr>
      <w:r>
        <w:tab/>
        <w:t>(a)</w:t>
      </w:r>
      <w:r>
        <w:tab/>
        <w:t>a person who is likely to be engaged to carry out work at the mine that triggers the requirement for health monitoring; and</w:t>
      </w:r>
    </w:p>
    <w:p>
      <w:pPr>
        <w:pStyle w:val="Indenta"/>
      </w:pPr>
      <w:r>
        <w:tab/>
        <w:t>(b)</w:t>
      </w:r>
      <w:r>
        <w:tab/>
        <w:t>a worker engaged to carry out work at the mine that triggers the requirement for health monitoring, before the worker commences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26" w:name="_Toc200720530"/>
      <w:r>
        <w:rPr>
          <w:rStyle w:val="CharSectno"/>
        </w:rPr>
        <w:t>675H</w:t>
      </w:r>
      <w:r>
        <w:t>.</w:t>
      </w:r>
      <w:r>
        <w:tab/>
        <w:t>Duty to ensure health monitoring is carried out or supervised by registered medical practitioner with experience</w:t>
      </w:r>
      <w:bookmarkEnd w:id="1026"/>
      <w:r>
        <w:t xml:space="preserve"> </w:t>
      </w:r>
    </w:p>
    <w:p>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27" w:name="_Toc200720531"/>
      <w:r>
        <w:rPr>
          <w:rStyle w:val="CharSectno"/>
        </w:rPr>
        <w:lastRenderedPageBreak/>
        <w:t>675I</w:t>
      </w:r>
      <w:r>
        <w:t>.</w:t>
      </w:r>
      <w:r>
        <w:tab/>
        <w:t>Duty to pay costs of health monitoring</w:t>
      </w:r>
      <w:bookmarkEnd w:id="1027"/>
      <w:r>
        <w:t xml:space="preserve"> </w:t>
      </w:r>
    </w:p>
    <w:p>
      <w:pPr>
        <w:pStyle w:val="Subsection"/>
      </w:pPr>
      <w:r>
        <w:tab/>
        <w:t>(1)</w:t>
      </w:r>
      <w:r>
        <w:tab/>
        <w:t>The mine operator of a mine who engages a worker at the mine must pay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28" w:name="_Toc200720532"/>
      <w:r>
        <w:rPr>
          <w:rStyle w:val="CharSectno"/>
        </w:rPr>
        <w:t>675J</w:t>
      </w:r>
      <w:r>
        <w:t>.</w:t>
      </w:r>
      <w:r>
        <w:tab/>
        <w:t>Duty to provide registered medical practitioner with information</w:t>
      </w:r>
      <w:bookmarkEnd w:id="1028"/>
    </w:p>
    <w:p>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pPr>
        <w:pStyle w:val="Indenta"/>
      </w:pPr>
      <w:r>
        <w:tab/>
        <w:t>(a)</w:t>
      </w:r>
      <w:r>
        <w:tab/>
        <w:t>the name and address of the mine operator of the mine;</w:t>
      </w:r>
    </w:p>
    <w:p>
      <w:pPr>
        <w:pStyle w:val="Indenta"/>
      </w:pPr>
      <w:r>
        <w:tab/>
        <w:t>(b)</w:t>
      </w:r>
      <w:r>
        <w:tab/>
        <w:t>the name and date of birth of the worker;</w:t>
      </w:r>
    </w:p>
    <w:p>
      <w:pPr>
        <w:pStyle w:val="Indenta"/>
      </w:pPr>
      <w:r>
        <w:tab/>
        <w:t>(c)</w:t>
      </w:r>
      <w:r>
        <w:tab/>
        <w:t>the work that the worker is, or will be, carrying out that has triggered the requirement for monitoring;</w:t>
      </w:r>
    </w:p>
    <w:p>
      <w:pPr>
        <w:pStyle w:val="Indenta"/>
      </w:pPr>
      <w:r>
        <w:tab/>
        <w:t>(d)</w:t>
      </w:r>
      <w:r>
        <w:tab/>
        <w:t>if the worker has started the work — how long the worker has been carrying out the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29" w:name="_Toc200720533"/>
      <w:r>
        <w:rPr>
          <w:rStyle w:val="CharSectno"/>
        </w:rPr>
        <w:lastRenderedPageBreak/>
        <w:t>675K</w:t>
      </w:r>
      <w:r>
        <w:t>.</w:t>
      </w:r>
      <w:r>
        <w:tab/>
        <w:t>Health monitoring report</w:t>
      </w:r>
      <w:bookmarkEnd w:id="1029"/>
    </w:p>
    <w:p>
      <w:pPr>
        <w:pStyle w:val="Subsection"/>
      </w:pPr>
      <w:r>
        <w:tab/>
        <w:t>(1)</w:t>
      </w:r>
      <w:r>
        <w:tab/>
        <w:t>Health monitoring must be documented in a health monitoring report in an approved form.</w:t>
      </w:r>
    </w:p>
    <w:p>
      <w:pPr>
        <w:pStyle w:val="Subsection"/>
      </w:pPr>
      <w:r>
        <w:tab/>
        <w:t>(2)</w:t>
      </w:r>
      <w:r>
        <w:tab/>
        <w:t xml:space="preserve">The health monitoring report of a worker at a mine must include the following — </w:t>
      </w:r>
    </w:p>
    <w:p>
      <w:pPr>
        <w:pStyle w:val="Indenta"/>
      </w:pPr>
      <w:r>
        <w:tab/>
        <w:t>(a)</w:t>
      </w:r>
      <w:r>
        <w:tab/>
        <w:t>the name and date of birth of the worker;</w:t>
      </w:r>
    </w:p>
    <w:p>
      <w:pPr>
        <w:pStyle w:val="Indenta"/>
      </w:pPr>
      <w:r>
        <w:tab/>
        <w:t>(b)</w:t>
      </w:r>
      <w:r>
        <w:tab/>
        <w:t>the name and registration number of the registered medical practitioner carrying out or supervising the monitoring;</w:t>
      </w:r>
    </w:p>
    <w:p>
      <w:pPr>
        <w:pStyle w:val="Indenta"/>
      </w:pPr>
      <w:r>
        <w:tab/>
        <w:t>(c)</w:t>
      </w:r>
      <w:r>
        <w:tab/>
        <w:t xml:space="preserve">the name and address of — </w:t>
      </w:r>
    </w:p>
    <w:p>
      <w:pPr>
        <w:pStyle w:val="Indenti"/>
      </w:pPr>
      <w:r>
        <w:tab/>
        <w:t>(i)</w:t>
      </w:r>
      <w:r>
        <w:tab/>
        <w:t>the mine operator of the mine; and</w:t>
      </w:r>
    </w:p>
    <w:p>
      <w:pPr>
        <w:pStyle w:val="Indenti"/>
      </w:pPr>
      <w:r>
        <w:tab/>
        <w:t>(ii)</w:t>
      </w:r>
      <w:r>
        <w:tab/>
        <w:t>the person conducting a business or undertaking who commissioned the health monitoring;</w:t>
      </w:r>
    </w:p>
    <w:p>
      <w:pPr>
        <w:pStyle w:val="Indenta"/>
      </w:pPr>
      <w:r>
        <w:tab/>
        <w:t>(d)</w:t>
      </w:r>
      <w:r>
        <w:tab/>
        <w:t>the date of the health monitoring;</w:t>
      </w:r>
    </w:p>
    <w:p>
      <w:pPr>
        <w:pStyle w:val="Indenta"/>
      </w:pPr>
      <w:r>
        <w:tab/>
        <w:t>(e)</w:t>
      </w:r>
      <w:r>
        <w:tab/>
        <w:t>an explanation of the results;</w:t>
      </w:r>
    </w:p>
    <w:p>
      <w:pPr>
        <w:pStyle w:val="Indenta"/>
      </w:pPr>
      <w:r>
        <w:tab/>
        <w:t>(f)</w:t>
      </w:r>
      <w:r>
        <w:tab/>
        <w:t>any advice indicating an adverse health effect resulting from exposure to a risk associated with mining operations;</w:t>
      </w:r>
    </w:p>
    <w:p>
      <w:pPr>
        <w:pStyle w:val="Indenta"/>
      </w:pPr>
      <w:r>
        <w:tab/>
        <w:t>(g)</w:t>
      </w:r>
      <w:r>
        <w:tab/>
        <w:t>any recommendation that the mine operator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030" w:name="_Toc200720534"/>
      <w:r>
        <w:rPr>
          <w:rStyle w:val="CharSectno"/>
        </w:rPr>
        <w:t>675L</w:t>
      </w:r>
      <w:r>
        <w:t>.</w:t>
      </w:r>
      <w:r>
        <w:tab/>
        <w:t>Person conducting business or undertaking to obtain health monitoring report</w:t>
      </w:r>
      <w:bookmarkEnd w:id="1030"/>
    </w:p>
    <w:p>
      <w:pPr>
        <w:pStyle w:val="Subsection"/>
      </w:pPr>
      <w:r>
        <w:tab/>
      </w:r>
      <w:r>
        <w:tab/>
        <w:t xml:space="preserve">A person conducting a business or undertaking who commissions health monitoring of a worker must take all reasonable steps to obtain a health monitoring report from the registered medical practitioner who carried out or supervised the </w:t>
      </w:r>
      <w:r>
        <w:lastRenderedPageBreak/>
        <w:t>monitoring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1" w:name="_Toc200720535"/>
      <w:r>
        <w:rPr>
          <w:rStyle w:val="CharSectno"/>
        </w:rPr>
        <w:t>675M</w:t>
      </w:r>
      <w:r>
        <w:t>.</w:t>
      </w:r>
      <w:r>
        <w:tab/>
        <w:t>Person conducting business or undertaking to give health monitoring report to mine operator</w:t>
      </w:r>
      <w:bookmarkEnd w:id="1031"/>
    </w:p>
    <w:p>
      <w:pPr>
        <w:pStyle w:val="Subsection"/>
      </w:pPr>
      <w:r>
        <w:tab/>
      </w:r>
      <w:r>
        <w:tab/>
        <w:t>A person conducting a business or undertaking who commissions health monitoring of a worker must give a copy of the health monitoring report to the mine operator of any mine at which the worker carries out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2" w:name="_Toc200720536"/>
      <w:r>
        <w:rPr>
          <w:rStyle w:val="CharSectno"/>
        </w:rPr>
        <w:t>675N</w:t>
      </w:r>
      <w:r>
        <w:t>.</w:t>
      </w:r>
      <w:r>
        <w:tab/>
        <w:t>Duty to give health monitoring report to worker</w:t>
      </w:r>
      <w:bookmarkEnd w:id="1032"/>
      <w:r>
        <w:t xml:space="preserve"> </w:t>
      </w:r>
    </w:p>
    <w:p>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3" w:name="_Toc200720537"/>
      <w:r>
        <w:rPr>
          <w:rStyle w:val="CharSectno"/>
        </w:rPr>
        <w:t>675O</w:t>
      </w:r>
      <w:r>
        <w:t>.</w:t>
      </w:r>
      <w:r>
        <w:tab/>
        <w:t>Duty to give health monitoring report to regulator</w:t>
      </w:r>
      <w:bookmarkEnd w:id="1033"/>
    </w:p>
    <w:p>
      <w:pPr>
        <w:pStyle w:val="Subsection"/>
      </w:pPr>
      <w:r>
        <w:tab/>
      </w:r>
      <w:r>
        <w:tab/>
        <w:t>The registered medical practitioner who prepares a health monitoring report must give a copy of the report to the regulator as soon as practicable after it is prepared.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4" w:name="_Toc200720538"/>
      <w:r>
        <w:rPr>
          <w:rStyle w:val="CharSectno"/>
        </w:rPr>
        <w:lastRenderedPageBreak/>
        <w:t>675P</w:t>
      </w:r>
      <w:r>
        <w:t>.</w:t>
      </w:r>
      <w:r>
        <w:tab/>
        <w:t>Health monitoring reports kept as records</w:t>
      </w:r>
      <w:bookmarkEnd w:id="1034"/>
    </w:p>
    <w:p>
      <w:pPr>
        <w:pStyle w:val="Subsection"/>
      </w:pPr>
      <w:r>
        <w:tab/>
        <w:t>(1)</w:t>
      </w:r>
      <w:r>
        <w:tab/>
        <w:t xml:space="preserve">A person conducting a business or undertaking who commissions health monitoring of a worker at a mine must ensure that the health monitoring report is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not disclose the health monitoring report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Subregulation (2) does not apply if the health monitoring report is disclosed — </w:t>
      </w:r>
    </w:p>
    <w:p>
      <w:pPr>
        <w:pStyle w:val="Indenta"/>
      </w:pPr>
      <w:r>
        <w:tab/>
        <w:t>(a)</w:t>
      </w:r>
      <w:r>
        <w:tab/>
        <w:t>to a person who must keep the report confidential under a duty of professional confidentiality; or</w:t>
      </w:r>
    </w:p>
    <w:p>
      <w:pPr>
        <w:pStyle w:val="Indenta"/>
      </w:pPr>
      <w:r>
        <w:tab/>
        <w:t>(b)</w:t>
      </w:r>
      <w:r>
        <w:tab/>
        <w:t>under regulation 675M; or</w:t>
      </w:r>
    </w:p>
    <w:p>
      <w:pPr>
        <w:pStyle w:val="Indenta"/>
      </w:pPr>
      <w:r>
        <w:tab/>
        <w:t>(c)</w:t>
      </w:r>
      <w:r>
        <w:tab/>
        <w:t>under regulation 675O.</w:t>
      </w:r>
    </w:p>
    <w:p>
      <w:pPr>
        <w:pStyle w:val="Heading3"/>
      </w:pPr>
      <w:bookmarkStart w:id="1035" w:name="_Toc200720539"/>
      <w:r>
        <w:t>Part 10.4</w:t>
      </w:r>
      <w:r>
        <w:rPr>
          <w:rStyle w:val="CharDivNo"/>
        </w:rPr>
        <w:t> </w:t>
      </w:r>
      <w:r>
        <w:t>—</w:t>
      </w:r>
      <w:r>
        <w:rPr>
          <w:rStyle w:val="CharDivText"/>
        </w:rPr>
        <w:t> </w:t>
      </w:r>
      <w:r>
        <w:t>Not used</w:t>
      </w:r>
      <w:bookmarkEnd w:id="1035"/>
    </w:p>
    <w:p>
      <w:pPr>
        <w:pStyle w:val="Heading5"/>
      </w:pPr>
      <w:bookmarkStart w:id="1036" w:name="_Toc200720540"/>
      <w:r>
        <w:t>675Q.</w:t>
      </w:r>
      <w:r>
        <w:tab/>
        <w:t>Not used</w:t>
      </w:r>
      <w:bookmarkEnd w:id="1036"/>
    </w:p>
    <w:p>
      <w:pPr>
        <w:pStyle w:val="Heading5"/>
        <w:keepNext w:val="0"/>
      </w:pPr>
      <w:bookmarkStart w:id="1037" w:name="_Toc200720541"/>
      <w:r>
        <w:t>675R.</w:t>
      </w:r>
      <w:r>
        <w:tab/>
        <w:t>Not used</w:t>
      </w:r>
      <w:bookmarkEnd w:id="1037"/>
    </w:p>
    <w:p>
      <w:pPr>
        <w:pStyle w:val="Heading3"/>
      </w:pPr>
      <w:bookmarkStart w:id="1038" w:name="_Toc200720542"/>
      <w:r>
        <w:rPr>
          <w:rStyle w:val="CharPartNo"/>
        </w:rPr>
        <w:lastRenderedPageBreak/>
        <w:t>Part 10.5</w:t>
      </w:r>
      <w:r>
        <w:t> — </w:t>
      </w:r>
      <w:r>
        <w:rPr>
          <w:rStyle w:val="CharPartText"/>
        </w:rPr>
        <w:t>Mine survey plans</w:t>
      </w:r>
      <w:bookmarkEnd w:id="1038"/>
    </w:p>
    <w:p>
      <w:pPr>
        <w:pStyle w:val="Heading5"/>
      </w:pPr>
      <w:bookmarkStart w:id="1039" w:name="_Toc200720543"/>
      <w:r>
        <w:rPr>
          <w:rStyle w:val="CharSectno"/>
        </w:rPr>
        <w:t>675RA</w:t>
      </w:r>
      <w:r>
        <w:t>.</w:t>
      </w:r>
      <w:r>
        <w:tab/>
        <w:t>Meaning of mine survey plan</w:t>
      </w:r>
      <w:bookmarkEnd w:id="1039"/>
    </w:p>
    <w:p>
      <w:pPr>
        <w:pStyle w:val="Subsection"/>
        <w:keepNext/>
      </w:pPr>
      <w:r>
        <w:tab/>
      </w:r>
      <w:r>
        <w:tab/>
        <w:t xml:space="preserve">In this Part — </w:t>
      </w:r>
    </w:p>
    <w:p>
      <w:pPr>
        <w:pStyle w:val="Defstart"/>
      </w:pPr>
      <w:r>
        <w:tab/>
      </w:r>
      <w:r>
        <w:rPr>
          <w:rStyle w:val="CharDefText"/>
        </w:rPr>
        <w:t>mine survey plan</w:t>
      </w:r>
      <w:r>
        <w:t xml:space="preserve"> — </w:t>
      </w:r>
    </w:p>
    <w:p>
      <w:pPr>
        <w:pStyle w:val="Defpara"/>
      </w:pPr>
      <w:r>
        <w:tab/>
        <w:t>(a)</w:t>
      </w:r>
      <w:r>
        <w:tab/>
        <w:t>means a document that is a plan, cross</w:t>
      </w:r>
      <w:r>
        <w:noBreakHyphen/>
        <w:t>section or 3</w:t>
      </w:r>
      <w:r>
        <w:noBreakHyphen/>
        <w:t>dimensional plan of all or part of a mine; and</w:t>
      </w:r>
    </w:p>
    <w:p>
      <w:pPr>
        <w:pStyle w:val="Defpara"/>
      </w:pPr>
      <w:r>
        <w:tab/>
        <w:t>(b)</w:t>
      </w:r>
      <w:r>
        <w:tab/>
        <w:t>includes a document accompanying the plan or cross</w:t>
      </w:r>
      <w:r>
        <w:noBreakHyphen/>
        <w:t>section that is supporting data or control database.</w:t>
      </w:r>
    </w:p>
    <w:p>
      <w:pPr>
        <w:pStyle w:val="PermNoteHeading"/>
      </w:pPr>
      <w:r>
        <w:tab/>
        <w:t>Note for this regulation:</w:t>
      </w:r>
    </w:p>
    <w:p>
      <w:pPr>
        <w:pStyle w:val="PermNoteText"/>
      </w:pPr>
      <w:r>
        <w:tab/>
      </w:r>
      <w:r>
        <w:tab/>
        <w:t>A mine survey plan can be electronic or in paper form.</w:t>
      </w:r>
    </w:p>
    <w:p>
      <w:pPr>
        <w:pStyle w:val="Heading5"/>
      </w:pPr>
      <w:bookmarkStart w:id="1040" w:name="_Toc200720544"/>
      <w:r>
        <w:rPr>
          <w:rStyle w:val="CharSectno"/>
        </w:rPr>
        <w:t>675S</w:t>
      </w:r>
      <w:r>
        <w:t>.</w:t>
      </w:r>
      <w:r>
        <w:tab/>
        <w:t>Duty to prepare and maintain mine survey plan</w:t>
      </w:r>
      <w:bookmarkEnd w:id="1040"/>
    </w:p>
    <w:p>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may exempt particular quarry operations, or a class of quarry operations, from subregulation (1).</w:t>
      </w:r>
    </w:p>
    <w:p>
      <w:pPr>
        <w:pStyle w:val="Subsection"/>
      </w:pPr>
      <w:r>
        <w:lastRenderedPageBreak/>
        <w:tab/>
        <w:t>(4)</w:t>
      </w:r>
      <w:r>
        <w:tab/>
        <w:t>An exemption applies subject to any conditions specified by the regulator.</w:t>
      </w:r>
    </w:p>
    <w:p>
      <w:pPr>
        <w:pStyle w:val="Subsection"/>
      </w:pPr>
      <w:r>
        <w:tab/>
        <w:t>(5)</w:t>
      </w:r>
      <w:r>
        <w:tab/>
        <w:t>If the regulator has reason to believe that a mine survey plan is inaccurate or incomplete, the regulator may direct the mine operator to have a check survey conducted.</w:t>
      </w:r>
    </w:p>
    <w:p>
      <w:pPr>
        <w:pStyle w:val="Subsection"/>
      </w:pPr>
      <w:r>
        <w:tab/>
        <w:t>(6)</w:t>
      </w:r>
      <w:r>
        <w:tab/>
        <w:t>A mine operator of a mine who is given a direction under subregulation (5) must comply with the regulator’s direction without delay.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1041" w:name="_Toc200720545"/>
      <w:r>
        <w:t>675T.</w:t>
      </w:r>
      <w:r>
        <w:tab/>
        <w:t>Not used</w:t>
      </w:r>
      <w:bookmarkEnd w:id="1041"/>
    </w:p>
    <w:p>
      <w:pPr>
        <w:pStyle w:val="Heading5"/>
      </w:pPr>
      <w:bookmarkStart w:id="1042" w:name="_Toc200720546"/>
      <w:r>
        <w:rPr>
          <w:rStyle w:val="CharSectno"/>
        </w:rPr>
        <w:t>675TA</w:t>
      </w:r>
      <w:r>
        <w:t>.</w:t>
      </w:r>
      <w:r>
        <w:tab/>
        <w:t>Minimum requirements for mine survey plans where underground or quarry operations carried out</w:t>
      </w:r>
      <w:bookmarkEnd w:id="1042"/>
    </w:p>
    <w:p>
      <w:pPr>
        <w:pStyle w:val="Subsection"/>
      </w:pPr>
      <w:r>
        <w:tab/>
        <w:t>(1)</w:t>
      </w:r>
      <w:r>
        <w:tab/>
        <w:t xml:space="preserve">In this regulation — </w:t>
      </w:r>
    </w:p>
    <w:p>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pPr>
        <w:pStyle w:val="Defstart"/>
      </w:pPr>
      <w:r>
        <w:tab/>
      </w:r>
      <w:r>
        <w:rPr>
          <w:rStyle w:val="CharDefText"/>
        </w:rPr>
        <w:t>Geocentric Datum of Australia 2020</w:t>
      </w:r>
      <w:r>
        <w:t xml:space="preserve"> means the Reference Frame as defined in the </w:t>
      </w:r>
      <w:r>
        <w:rPr>
          <w:i/>
        </w:rPr>
        <w:t>National Measurement (Recognized</w:t>
      </w:r>
      <w:r>
        <w:rPr>
          <w:i/>
        </w:rPr>
        <w:noBreakHyphen/>
        <w:t>Value Standard of Measurement of Position) Determination 2017</w:t>
      </w:r>
      <w:r>
        <w:t xml:space="preserve"> (Commonwealth) Schedule 1;</w:t>
      </w:r>
    </w:p>
    <w:p>
      <w:pPr>
        <w:pStyle w:val="Defstart"/>
      </w:pPr>
      <w:r>
        <w:tab/>
      </w:r>
      <w:r>
        <w:rPr>
          <w:rStyle w:val="CharDefText"/>
        </w:rPr>
        <w:t>map coordinates</w:t>
      </w:r>
      <w:r>
        <w:t xml:space="preserve"> means the Map Grid of Australia 2020 rectangular coordinates derived from a Universal Transverse Mercator projection of latitudes and longitudes based on the Geocentric Datum of Australia 2020.</w:t>
      </w:r>
    </w:p>
    <w:p>
      <w:pPr>
        <w:pStyle w:val="Subsection"/>
      </w:pPr>
      <w:r>
        <w:tab/>
        <w:t>(2)</w:t>
      </w:r>
      <w:r>
        <w:tab/>
        <w:t>A mine survey plan of an underground mine must be prepared and maintained by or under the supervision of an authorised mine surveyor (underground).</w:t>
      </w:r>
    </w:p>
    <w:p>
      <w:pPr>
        <w:pStyle w:val="Subsection"/>
      </w:pPr>
      <w:r>
        <w:lastRenderedPageBreak/>
        <w:tab/>
        <w:t>(3)</w:t>
      </w:r>
      <w:r>
        <w:tab/>
        <w:t>A mine survey plan of a mine where a quarry operation is carried out must be prepared and maintained by or under the supervision of an authorised mine surveyor (quarry operation).</w:t>
      </w:r>
    </w:p>
    <w:p>
      <w:pPr>
        <w:pStyle w:val="Subsection"/>
      </w:pPr>
      <w:r>
        <w:tab/>
        <w:t>(4)</w:t>
      </w:r>
      <w:r>
        <w:tab/>
        <w:t xml:space="preserve">A survey carried out for the purpose of preparing a mine survey plan of a mine where an underground operation or quarry operation is carried out must be completed — </w:t>
      </w:r>
    </w:p>
    <w:p>
      <w:pPr>
        <w:pStyle w:val="Indenta"/>
      </w:pPr>
      <w:r>
        <w:tab/>
        <w:t>(a)</w:t>
      </w:r>
      <w:r>
        <w:tab/>
        <w:t>using instruments and technologies that are fit for purpose; and</w:t>
      </w:r>
    </w:p>
    <w:p>
      <w:pPr>
        <w:pStyle w:val="Indenta"/>
      </w:pPr>
      <w:r>
        <w:tab/>
        <w:t>(b)</w:t>
      </w:r>
      <w:r>
        <w:tab/>
        <w:t>to a standard that accords with good engineering practice and that is to an accuracy of not less than 1:5 000 or an accuracy permitted by the regulator.</w:t>
      </w:r>
    </w:p>
    <w:p>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pPr>
        <w:pStyle w:val="Subsection"/>
      </w:pPr>
      <w:r>
        <w:tab/>
        <w:t>(6)</w:t>
      </w:r>
      <w:r>
        <w:tab/>
        <w:t>The position of the datum station must be established in terms of the map coordinates and the Australian Height Datum.</w:t>
      </w:r>
    </w:p>
    <w:p>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pPr>
        <w:pStyle w:val="Subsection"/>
      </w:pPr>
      <w:r>
        <w:tab/>
        <w:t>(8)</w:t>
      </w:r>
      <w:r>
        <w:tab/>
        <w:t xml:space="preserve">The mine survey plan must show the following — </w:t>
      </w:r>
    </w:p>
    <w:p>
      <w:pPr>
        <w:pStyle w:val="Indenta"/>
      </w:pPr>
      <w:r>
        <w:tab/>
        <w:t>(a)</w:t>
      </w:r>
      <w:r>
        <w:tab/>
        <w:t>sufficient details of the workings and other features so that risk due to lack of information, so far as is reasonably practicable, is minimised;</w:t>
      </w:r>
    </w:p>
    <w:p>
      <w:pPr>
        <w:pStyle w:val="Indenta"/>
      </w:pPr>
      <w:r>
        <w:tab/>
        <w:t>(b)</w:t>
      </w:r>
      <w:r>
        <w:tab/>
        <w:t>all features, including boreholes, that are necessary to identify any hazard or are necessary to deal with an emergency;</w:t>
      </w:r>
    </w:p>
    <w:p>
      <w:pPr>
        <w:pStyle w:val="Indenta"/>
      </w:pPr>
      <w:r>
        <w:tab/>
        <w:t>(c)</w:t>
      </w:r>
      <w:r>
        <w:tab/>
        <w:t xml:space="preserve">a certification — </w:t>
      </w:r>
    </w:p>
    <w:p>
      <w:pPr>
        <w:pStyle w:val="Indenti"/>
      </w:pPr>
      <w:r>
        <w:lastRenderedPageBreak/>
        <w:tab/>
        <w:t>(i)</w:t>
      </w:r>
      <w:r>
        <w:tab/>
        <w:t>by the authorised mine surveyor who prepared the plan, or supervised the preparation of the plan, that the plan is correct; and</w:t>
      </w:r>
    </w:p>
    <w:p>
      <w:pPr>
        <w:pStyle w:val="Indenti"/>
      </w:pPr>
      <w:r>
        <w:tab/>
        <w:t>(ii)</w:t>
      </w:r>
      <w:r>
        <w:tab/>
        <w:t>that is in, and includes information required by, an approved form.</w:t>
      </w:r>
    </w:p>
    <w:p>
      <w:pPr>
        <w:pStyle w:val="Subsection"/>
      </w:pPr>
      <w:r>
        <w:tab/>
        <w:t>(9)</w:t>
      </w:r>
      <w:r>
        <w:tab/>
        <w:t>The mine operator of a mine must take all reasonable steps to obtain historical mine surveys of the mine to ensure the accuracy of the mine survey plan.</w:t>
      </w:r>
    </w:p>
    <w:p>
      <w:pPr>
        <w:pStyle w:val="Footnotesection"/>
      </w:pPr>
      <w:r>
        <w:tab/>
        <w:t>[Regulation 675TA amended: SL 2023/134 r. 16.]</w:t>
      </w:r>
    </w:p>
    <w:p>
      <w:pPr>
        <w:pStyle w:val="Heading5"/>
      </w:pPr>
      <w:bookmarkStart w:id="1043" w:name="_Toc200720547"/>
      <w:r>
        <w:rPr>
          <w:rStyle w:val="CharSectno"/>
        </w:rPr>
        <w:t>675U</w:t>
      </w:r>
      <w:r>
        <w:t>.</w:t>
      </w:r>
      <w:r>
        <w:tab/>
        <w:t>Mine survey plans to be available</w:t>
      </w:r>
      <w:bookmarkEnd w:id="1043"/>
      <w:r>
        <w:t xml:space="preserve"> </w:t>
      </w:r>
    </w:p>
    <w:p>
      <w:pPr>
        <w:pStyle w:val="Subsection"/>
      </w:pPr>
      <w:r>
        <w:tab/>
        <w:t>(1)</w:t>
      </w:r>
      <w:r>
        <w:tab/>
        <w:t xml:space="preserve">The mine operator of a mine must — </w:t>
      </w:r>
    </w:p>
    <w:p>
      <w:pPr>
        <w:pStyle w:val="Indenta"/>
      </w:pPr>
      <w:r>
        <w:tab/>
        <w:t>(a)</w:t>
      </w:r>
      <w:r>
        <w:tab/>
        <w:t>keep the current mine survey plan and all previous versions of the plan available for inspection under these regulations; and</w:t>
      </w:r>
    </w:p>
    <w:p>
      <w:pPr>
        <w:pStyle w:val="Indenta"/>
      </w:pPr>
      <w:r>
        <w:tab/>
        <w:t>(b)</w:t>
      </w:r>
      <w:r>
        <w:tab/>
        <w:t>as and when requested by an inspector, provide the inspector with a copy of the current mine survey plan or a previous version of the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mine must make the current mine survey plan available on request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44" w:name="_Toc200720548"/>
      <w:r>
        <w:rPr>
          <w:rStyle w:val="CharSectno"/>
        </w:rPr>
        <w:t>675UA</w:t>
      </w:r>
      <w:r>
        <w:t>.</w:t>
      </w:r>
      <w:r>
        <w:tab/>
        <w:t>Fatal accident site survey plan</w:t>
      </w:r>
      <w:bookmarkEnd w:id="1044"/>
      <w:r>
        <w:t xml:space="preserve"> </w:t>
      </w:r>
    </w:p>
    <w:p>
      <w:pPr>
        <w:pStyle w:val="Subsection"/>
      </w:pPr>
      <w:r>
        <w:tab/>
        <w:t>(1)</w:t>
      </w:r>
      <w:r>
        <w:tab/>
        <w:t xml:space="preserve">This regulation applies if a coroner as defined in the </w:t>
      </w:r>
      <w:r>
        <w:rPr>
          <w:i/>
        </w:rPr>
        <w:t>Coroners Act 1996</w:t>
      </w:r>
      <w:r>
        <w:t xml:space="preserve"> section 3 or an inspector requires a mine survey plan or a location plan to be prepared of the site of any fatal accident at a mine.</w:t>
      </w:r>
    </w:p>
    <w:p>
      <w:pPr>
        <w:pStyle w:val="Subsection"/>
      </w:pPr>
      <w:r>
        <w:lastRenderedPageBreak/>
        <w:tab/>
        <w:t>(2)</w:t>
      </w:r>
      <w:r>
        <w:tab/>
        <w:t xml:space="preserve">The mine operator must ensure that the mine survey plan or location plan is — </w:t>
      </w:r>
    </w:p>
    <w:p>
      <w:pPr>
        <w:pStyle w:val="Indenta"/>
      </w:pPr>
      <w:r>
        <w:tab/>
        <w:t>(a)</w:t>
      </w:r>
      <w:r>
        <w:tab/>
        <w:t xml:space="preserve">in accordance with the requirement of the coroner or inspector; and </w:t>
      </w:r>
    </w:p>
    <w:p>
      <w:pPr>
        <w:pStyle w:val="Indenta"/>
        <w:keepNext/>
      </w:pPr>
      <w:r>
        <w:tab/>
        <w:t>(b)</w:t>
      </w:r>
      <w:r>
        <w:tab/>
        <w:t xml:space="preserve">prepared — </w:t>
      </w:r>
    </w:p>
    <w:p>
      <w:pPr>
        <w:pStyle w:val="Indenti"/>
      </w:pPr>
      <w:r>
        <w:tab/>
        <w:t>(i)</w:t>
      </w:r>
      <w:r>
        <w:tab/>
        <w:t>if underground operations are carried out at the site — by or under the supervision of an authorised mine surveyor (underground); or</w:t>
      </w:r>
    </w:p>
    <w:p>
      <w:pPr>
        <w:pStyle w:val="Indenti"/>
      </w:pPr>
      <w:r>
        <w:tab/>
        <w:t>(ii)</w:t>
      </w:r>
      <w:r>
        <w:tab/>
        <w:t>if the site is where quarry operations are carried out — by or under the supervision of an authorised mine surveyor (quarry operation); or</w:t>
      </w:r>
    </w:p>
    <w:p>
      <w:pPr>
        <w:pStyle w:val="Indenti"/>
      </w:pPr>
      <w:r>
        <w:tab/>
        <w:t>(iii)</w:t>
      </w:r>
      <w:r>
        <w:tab/>
        <w:t>in any other case — by or under the supervision of an authorised mine surveyor (quarry operation) or a licensed surveyor.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45" w:name="_Toc200720549"/>
      <w:r>
        <w:rPr>
          <w:rStyle w:val="CharSectno"/>
        </w:rPr>
        <w:t>675UB</w:t>
      </w:r>
      <w:r>
        <w:t>.</w:t>
      </w:r>
      <w:r>
        <w:tab/>
        <w:t>Duty to provide mine survey plan when mine closed or suspended</w:t>
      </w:r>
      <w:bookmarkEnd w:id="1045"/>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 xml:space="preserve">This regulation applies to a mine if — </w:t>
      </w:r>
    </w:p>
    <w:p>
      <w:pPr>
        <w:pStyle w:val="Indenta"/>
      </w:pPr>
      <w:r>
        <w:tab/>
        <w:t>(a)</w:t>
      </w:r>
      <w:r>
        <w:tab/>
        <w:t>mining operations other than exploration operations are carried out at the mine; and</w:t>
      </w:r>
    </w:p>
    <w:p>
      <w:pPr>
        <w:pStyle w:val="Indenta"/>
      </w:pPr>
      <w:r>
        <w:tab/>
        <w:t>(b)</w:t>
      </w:r>
      <w:r>
        <w:tab/>
        <w:t xml:space="preserve">either of the following events will occur — </w:t>
      </w:r>
    </w:p>
    <w:p>
      <w:pPr>
        <w:pStyle w:val="Indenti"/>
      </w:pPr>
      <w:r>
        <w:lastRenderedPageBreak/>
        <w:tab/>
        <w:t>(i)</w:t>
      </w:r>
      <w:r>
        <w:tab/>
        <w:t xml:space="preserve">the operations carried out at the mine will be suspended; </w:t>
      </w:r>
    </w:p>
    <w:p>
      <w:pPr>
        <w:pStyle w:val="Indenti"/>
      </w:pPr>
      <w:r>
        <w:tab/>
        <w:t>(ii)</w:t>
      </w:r>
      <w:r>
        <w:tab/>
        <w:t>the mine will close.</w:t>
      </w:r>
    </w:p>
    <w:p>
      <w:pPr>
        <w:pStyle w:val="Subsection"/>
      </w:pPr>
      <w:r>
        <w:tab/>
        <w:t>(3)</w:t>
      </w:r>
      <w:r>
        <w:tab/>
        <w:t xml:space="preserve">Before the event occurs at the mine, the relevant person in relation to the mine must ensure that an accurate mine survey plan of where the operations are carried out at the time of the event is — </w:t>
      </w:r>
    </w:p>
    <w:p>
      <w:pPr>
        <w:pStyle w:val="Indenta"/>
      </w:pPr>
      <w:r>
        <w:tab/>
        <w:t>(a)</w:t>
      </w:r>
      <w:r>
        <w:tab/>
        <w:t>prepared in accordance with any requirements imposed by the regulator; and</w:t>
      </w:r>
    </w:p>
    <w:p>
      <w:pPr>
        <w:pStyle w:val="Indenta"/>
      </w:pPr>
      <w:r>
        <w:tab/>
        <w:t>(b)</w:t>
      </w:r>
      <w:r>
        <w:tab/>
        <w:t>provided to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46" w:name="_Toc200720550"/>
      <w:r>
        <w:rPr>
          <w:rStyle w:val="CharPartNo"/>
        </w:rPr>
        <w:t>Part 10.6</w:t>
      </w:r>
      <w:r>
        <w:t> — </w:t>
      </w:r>
      <w:r>
        <w:rPr>
          <w:rStyle w:val="CharPartText"/>
        </w:rPr>
        <w:t>Provision of information to regulator</w:t>
      </w:r>
      <w:bookmarkEnd w:id="1046"/>
    </w:p>
    <w:p>
      <w:pPr>
        <w:pStyle w:val="Heading5"/>
      </w:pPr>
      <w:bookmarkStart w:id="1047" w:name="_Toc200720551"/>
      <w:r>
        <w:rPr>
          <w:rStyle w:val="CharSectno"/>
        </w:rPr>
        <w:t>675UC</w:t>
      </w:r>
      <w:r>
        <w:t>.</w:t>
      </w:r>
      <w:r>
        <w:tab/>
        <w:t>Information about commencement of non</w:t>
      </w:r>
      <w:r>
        <w:noBreakHyphen/>
        <w:t>exploration mining operations</w:t>
      </w:r>
      <w:bookmarkEnd w:id="1047"/>
      <w:r>
        <w:t xml:space="preserve"> </w:t>
      </w:r>
    </w:p>
    <w:p>
      <w:pPr>
        <w:pStyle w:val="Subsection"/>
      </w:pPr>
      <w:r>
        <w:tab/>
        <w:t>(1)</w:t>
      </w:r>
      <w:r>
        <w:tab/>
        <w:t>This regulation does not apply to a mine where only exploration operations will be carried out.</w:t>
      </w:r>
    </w:p>
    <w:p>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mining operations will commence at the mine; </w:t>
      </w:r>
    </w:p>
    <w:p>
      <w:pPr>
        <w:pStyle w:val="Indenti"/>
      </w:pPr>
      <w:r>
        <w:tab/>
        <w:t>(ii)</w:t>
      </w:r>
      <w:r>
        <w:tab/>
        <w:t>a description of the mining operations;</w:t>
      </w:r>
    </w:p>
    <w:p>
      <w:pPr>
        <w:pStyle w:val="Indenti"/>
        <w:keepNext/>
      </w:pPr>
      <w:r>
        <w:lastRenderedPageBreak/>
        <w:tab/>
        <w:t>(iii)</w:t>
      </w:r>
      <w:r>
        <w:tab/>
        <w:t>any information or document relating to the mining operations that the regulator requires in an approved form and in a manner approved by the regulator.</w:t>
      </w:r>
    </w:p>
    <w:p>
      <w:pPr>
        <w:pStyle w:val="Subsection"/>
      </w:pPr>
      <w:r>
        <w:tab/>
        <w:t>(3)</w:t>
      </w:r>
      <w:r>
        <w:tab/>
        <w:t>If a person gives a mining commencement notice to the regulator under subregulation (2), the regulator must give the person a notice acknowledging receipt of the notice.</w:t>
      </w:r>
    </w:p>
    <w:p>
      <w:pPr>
        <w:pStyle w:val="Subsection"/>
      </w:pPr>
      <w:r>
        <w:tab/>
        <w:t>(4)</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person does not commit an offence under subregulation (4) if — </w:t>
      </w:r>
    </w:p>
    <w:p>
      <w:pPr>
        <w:pStyle w:val="Indenta"/>
      </w:pPr>
      <w:r>
        <w:tab/>
        <w:t>(a)</w:t>
      </w:r>
      <w:r>
        <w:tab/>
        <w:t>the person gives a mining commencement notice before the mining operations commence at the mine; and</w:t>
      </w:r>
    </w:p>
    <w:p>
      <w:pPr>
        <w:pStyle w:val="Indenta"/>
      </w:pPr>
      <w:r>
        <w:tab/>
        <w:t>(b)</w:t>
      </w:r>
      <w:r>
        <w:tab/>
        <w:t xml:space="preserve">the regulator is satisfied that — </w:t>
      </w:r>
    </w:p>
    <w:p>
      <w:pPr>
        <w:pStyle w:val="Indenti"/>
      </w:pPr>
      <w:r>
        <w:tab/>
        <w:t>(i)</w:t>
      </w:r>
      <w:r>
        <w:tab/>
        <w:t>the mine is, or will be when the mining operations commence, a very small mine; and</w:t>
      </w:r>
    </w:p>
    <w:p>
      <w:pPr>
        <w:pStyle w:val="Indenti"/>
      </w:pPr>
      <w:r>
        <w:tab/>
        <w:t>(ii)</w:t>
      </w:r>
      <w:r>
        <w:tab/>
        <w:t xml:space="preserve">it is reasonable in the circumstances for the person to give the mining commencement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mining commencement notice; and</w:t>
      </w:r>
    </w:p>
    <w:p>
      <w:pPr>
        <w:pStyle w:val="Indenta"/>
      </w:pPr>
      <w:r>
        <w:tab/>
        <w:t>(b)</w:t>
      </w:r>
      <w:r>
        <w:tab/>
        <w:t>stating the regulator’s decision under subregulation (5)(b) and the effect of the decision.</w:t>
      </w:r>
    </w:p>
    <w:p>
      <w:pPr>
        <w:pStyle w:val="Heading5"/>
      </w:pPr>
      <w:bookmarkStart w:id="1048" w:name="_Toc200720552"/>
      <w:r>
        <w:rPr>
          <w:rStyle w:val="CharSectno"/>
        </w:rPr>
        <w:lastRenderedPageBreak/>
        <w:t>675UD</w:t>
      </w:r>
      <w:r>
        <w:t>.</w:t>
      </w:r>
      <w:r>
        <w:tab/>
        <w:t>Information about commencement of additional mining operations</w:t>
      </w:r>
      <w:bookmarkEnd w:id="1048"/>
      <w:r>
        <w:t xml:space="preserve"> </w:t>
      </w:r>
    </w:p>
    <w:p>
      <w:pPr>
        <w:pStyle w:val="Subsection"/>
        <w:keepNext/>
      </w:pPr>
      <w:r>
        <w:tab/>
        <w:t>(1)</w:t>
      </w:r>
      <w:r>
        <w:tab/>
        <w:t xml:space="preserve">In this regulation — </w:t>
      </w:r>
    </w:p>
    <w:p>
      <w:pPr>
        <w:pStyle w:val="Defstart"/>
        <w:keepNext/>
      </w:pPr>
      <w:r>
        <w:tab/>
      </w:r>
      <w:r>
        <w:rPr>
          <w:rStyle w:val="CharDefText"/>
        </w:rPr>
        <w:t>additional mining operation</w:t>
      </w:r>
      <w:r>
        <w:t xml:space="preserve"> means a mining operation at a mine that — </w:t>
      </w:r>
    </w:p>
    <w:p>
      <w:pPr>
        <w:pStyle w:val="Defpara"/>
      </w:pPr>
      <w:r>
        <w:tab/>
        <w:t>(a)</w:t>
      </w:r>
      <w:r>
        <w:tab/>
        <w:t>is not an exploration operation; and</w:t>
      </w:r>
    </w:p>
    <w:p>
      <w:pPr>
        <w:pStyle w:val="Defpara"/>
      </w:pPr>
      <w:r>
        <w:tab/>
        <w:t>(b)</w:t>
      </w:r>
      <w:r>
        <w:tab/>
        <w:t>does not fall within a description provided to the regulator in respect of the mine under subregulation (2)(c)(ii) or regulation 675UC(2)(c)(ii); and</w:t>
      </w:r>
    </w:p>
    <w:p>
      <w:pPr>
        <w:pStyle w:val="Defpara"/>
      </w:pPr>
      <w:r>
        <w:tab/>
        <w:t>(c)</w:t>
      </w:r>
      <w:r>
        <w:tab/>
        <w:t xml:space="preserve">either — </w:t>
      </w:r>
    </w:p>
    <w:p>
      <w:pPr>
        <w:pStyle w:val="Defsubpara"/>
      </w:pPr>
      <w:r>
        <w:tab/>
        <w:t>(i)</w:t>
      </w:r>
      <w:r>
        <w:tab/>
        <w:t xml:space="preserve">is significantly different to the mining operations currently carried out at the mine; or </w:t>
      </w:r>
    </w:p>
    <w:p>
      <w:pPr>
        <w:pStyle w:val="Defsubpara"/>
      </w:pPr>
      <w:r>
        <w:tab/>
        <w:t>(ii)</w:t>
      </w:r>
      <w:r>
        <w:tab/>
        <w:t xml:space="preserve">will result in a significant expansion of the mining operations at the mine when compared to the mining operations currently carried out at the mine; </w:t>
      </w:r>
    </w:p>
    <w:p>
      <w:pPr>
        <w:pStyle w:val="Defpara"/>
      </w:pPr>
      <w:r>
        <w:tab/>
      </w:r>
      <w:r>
        <w:tab/>
        <w:t>and</w:t>
      </w:r>
    </w:p>
    <w:p>
      <w:pPr>
        <w:pStyle w:val="Defpara"/>
      </w:pPr>
      <w:r>
        <w:tab/>
        <w:t>(d)</w:t>
      </w:r>
      <w:r>
        <w:tab/>
        <w:t>introduces new or increased risks to health and safety associated with the mining operations at the mine.</w:t>
      </w:r>
    </w:p>
    <w:p>
      <w:pPr>
        <w:pStyle w:val="Subsection"/>
      </w:pPr>
      <w:r>
        <w:tab/>
        <w:t>(2)</w:t>
      </w:r>
      <w:r>
        <w:tab/>
        <w:t xml:space="preserve">No later than 30 days before the day on which an additional mining operation commences at a mine, the mine operator of the mine must give the regulator a notice (an </w:t>
      </w:r>
      <w:r>
        <w:rPr>
          <w:rStyle w:val="CharDefText"/>
        </w:rPr>
        <w:t>additional operations notice</w:t>
      </w:r>
      <w:r>
        <w:t xml:space="preserve">) about the additional mining operation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the additional mining operation will commence at the mine; </w:t>
      </w:r>
    </w:p>
    <w:p>
      <w:pPr>
        <w:pStyle w:val="Indenti"/>
      </w:pPr>
      <w:r>
        <w:tab/>
        <w:t>(ii)</w:t>
      </w:r>
      <w:r>
        <w:tab/>
        <w:t>a description of the additional mining operation;</w:t>
      </w:r>
    </w:p>
    <w:p>
      <w:pPr>
        <w:pStyle w:val="Indenti"/>
      </w:pPr>
      <w:r>
        <w:lastRenderedPageBreak/>
        <w:tab/>
        <w:t>(iii)</w:t>
      </w:r>
      <w:r>
        <w:tab/>
        <w:t>any information or document relating to the additional mining operation that the regulator requires in an approved form and in a manner approved by the regulator.</w:t>
      </w:r>
    </w:p>
    <w:p>
      <w:pPr>
        <w:pStyle w:val="Subsection"/>
      </w:pPr>
      <w:r>
        <w:tab/>
        <w:t>(3)</w:t>
      </w:r>
      <w:r>
        <w:tab/>
        <w:t>If a mine operator gives an additional operations notice to the regulator under subregulation (2), the regulator must give the person a notice acknowledging receipt of the notice.</w:t>
      </w:r>
    </w:p>
    <w:p>
      <w:pPr>
        <w:pStyle w:val="Subsection"/>
      </w:pPr>
      <w:r>
        <w:tab/>
        <w:t>(4)</w:t>
      </w:r>
      <w:r>
        <w:tab/>
        <w:t>The mine operator of a mine commits an offence if an additional mining operation commences at the mine without the mine operator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mine operator does not commit an offence under subregulation (4) if — </w:t>
      </w:r>
    </w:p>
    <w:p>
      <w:pPr>
        <w:pStyle w:val="Indenta"/>
      </w:pPr>
      <w:r>
        <w:tab/>
        <w:t>(a)</w:t>
      </w:r>
      <w:r>
        <w:tab/>
        <w:t>the mine operator gives an additional operations notice before the additional mining operation commences at the mine; and</w:t>
      </w:r>
    </w:p>
    <w:p>
      <w:pPr>
        <w:pStyle w:val="Indenta"/>
      </w:pPr>
      <w:r>
        <w:tab/>
        <w:t>(b)</w:t>
      </w:r>
      <w:r>
        <w:tab/>
        <w:t xml:space="preserve">the regulator is satisfied that — </w:t>
      </w:r>
    </w:p>
    <w:p>
      <w:pPr>
        <w:pStyle w:val="Indenti"/>
      </w:pPr>
      <w:r>
        <w:tab/>
        <w:t>(i)</w:t>
      </w:r>
      <w:r>
        <w:tab/>
        <w:t>the additional mining operation is not significant; and</w:t>
      </w:r>
    </w:p>
    <w:p>
      <w:pPr>
        <w:pStyle w:val="Indenti"/>
      </w:pPr>
      <w:r>
        <w:tab/>
        <w:t>(ii)</w:t>
      </w:r>
      <w:r>
        <w:tab/>
        <w:t xml:space="preserve">it is reasonable in the circumstances for the mine operator to give the additional operations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additional operations notice; and</w:t>
      </w:r>
    </w:p>
    <w:p>
      <w:pPr>
        <w:pStyle w:val="Indenta"/>
      </w:pPr>
      <w:r>
        <w:tab/>
        <w:t>(b)</w:t>
      </w:r>
      <w:r>
        <w:tab/>
        <w:t>stating the regulator’s decision under subregulation (5)(b) and the effect of the decision.</w:t>
      </w:r>
    </w:p>
    <w:p>
      <w:pPr>
        <w:pStyle w:val="Heading5"/>
      </w:pPr>
      <w:bookmarkStart w:id="1049" w:name="_Toc200720553"/>
      <w:r>
        <w:rPr>
          <w:rStyle w:val="CharSectno"/>
        </w:rPr>
        <w:lastRenderedPageBreak/>
        <w:t>675UE</w:t>
      </w:r>
      <w:r>
        <w:t>.</w:t>
      </w:r>
      <w:r>
        <w:tab/>
        <w:t>Request for further information about commencement of mining operations</w:t>
      </w:r>
      <w:bookmarkEnd w:id="1049"/>
    </w:p>
    <w:p>
      <w:pPr>
        <w:pStyle w:val="Subsection"/>
      </w:pPr>
      <w:r>
        <w:tab/>
        <w:t>(1)</w:t>
      </w:r>
      <w:r>
        <w:tab/>
        <w:t xml:space="preserve">This regulation applies if a person gives the regulator 1 of the following notices (each a </w:t>
      </w:r>
      <w:r>
        <w:rPr>
          <w:rStyle w:val="CharDefText"/>
        </w:rPr>
        <w:t>mining operation notice</w:t>
      </w:r>
      <w:r>
        <w:t xml:space="preserve">) — </w:t>
      </w:r>
    </w:p>
    <w:p>
      <w:pPr>
        <w:pStyle w:val="Indenta"/>
      </w:pPr>
      <w:r>
        <w:tab/>
        <w:t>(a)</w:t>
      </w:r>
      <w:r>
        <w:tab/>
        <w:t xml:space="preserve">a mining commencement notice under regulation 675UC(2); </w:t>
      </w:r>
    </w:p>
    <w:p>
      <w:pPr>
        <w:pStyle w:val="Indenta"/>
      </w:pPr>
      <w:r>
        <w:tab/>
        <w:t>(b)</w:t>
      </w:r>
      <w:r>
        <w:tab/>
        <w:t>an additional operations notice under regulation 675UD(2).</w:t>
      </w:r>
    </w:p>
    <w:p>
      <w:pPr>
        <w:pStyle w:val="Subsection"/>
      </w:pPr>
      <w:r>
        <w:tab/>
        <w:t>(2)</w:t>
      </w:r>
      <w:r>
        <w:tab/>
        <w:t xml:space="preserve">The regulator may give the person a written notice, in an approved form and in a manner approved by the regulator — </w:t>
      </w:r>
    </w:p>
    <w:p>
      <w:pPr>
        <w:pStyle w:val="Indenta"/>
      </w:pPr>
      <w:r>
        <w:tab/>
        <w:t>(a)</w:t>
      </w:r>
      <w:r>
        <w:tab/>
        <w:t xml:space="preserve">requiring the person to — </w:t>
      </w:r>
    </w:p>
    <w:p>
      <w:pPr>
        <w:pStyle w:val="Indenti"/>
      </w:pPr>
      <w:r>
        <w:tab/>
        <w:t>(i)</w:t>
      </w:r>
      <w:r>
        <w:tab/>
        <w:t xml:space="preserve">clarify the contents of the mining operation notice; or </w:t>
      </w:r>
    </w:p>
    <w:p>
      <w:pPr>
        <w:pStyle w:val="Indenti"/>
      </w:pPr>
      <w:r>
        <w:tab/>
        <w:t>(ii)</w:t>
      </w:r>
      <w:r>
        <w:tab/>
        <w:t>give supplementary information or documents in relation to the mining operation the subject of the mining operation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mining operation the subject of the mining operation notice commences; or </w:t>
      </w:r>
    </w:p>
    <w:p>
      <w:pPr>
        <w:pStyle w:val="Indenti"/>
      </w:pPr>
      <w:r>
        <w:tab/>
        <w:t>(ii)</w:t>
      </w:r>
      <w:r>
        <w:tab/>
        <w:t>otherwise — as soon as practicable after the mining operation the subject of the mining operation notice commences;</w:t>
      </w:r>
    </w:p>
    <w:p>
      <w:pPr>
        <w:pStyle w:val="Indenta"/>
      </w:pPr>
      <w:r>
        <w:tab/>
      </w:r>
      <w:r>
        <w:tab/>
        <w:t>and</w:t>
      </w:r>
    </w:p>
    <w:p>
      <w:pPr>
        <w:pStyle w:val="Indenta"/>
      </w:pPr>
      <w:r>
        <w:tab/>
        <w:t>(c)</w:t>
      </w:r>
      <w:r>
        <w:tab/>
        <w:t>stating that the person commits an offence if they fail to comply with the notice.</w:t>
      </w:r>
    </w:p>
    <w:p>
      <w:pPr>
        <w:pStyle w:val="Subsection"/>
        <w:keepNext/>
      </w:pPr>
      <w:r>
        <w:lastRenderedPageBreak/>
        <w:tab/>
        <w:t>(3)</w:t>
      </w:r>
      <w:r>
        <w:tab/>
        <w:t>A person who receives a written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pPr>
        <w:pStyle w:val="Heading5"/>
      </w:pPr>
      <w:bookmarkStart w:id="1050" w:name="_Toc200720554"/>
      <w:r>
        <w:rPr>
          <w:rStyle w:val="CharSectno"/>
        </w:rPr>
        <w:t>675UF</w:t>
      </w:r>
      <w:r>
        <w:t>.</w:t>
      </w:r>
      <w:r>
        <w:tab/>
        <w:t>Information about suspension and lifting of suspension</w:t>
      </w:r>
      <w:bookmarkEnd w:id="1050"/>
      <w:r>
        <w:t xml:space="preserve"> </w:t>
      </w:r>
    </w:p>
    <w:p>
      <w:pPr>
        <w:pStyle w:val="Subsection"/>
      </w:pPr>
      <w:r>
        <w:tab/>
        <w:t>(1)</w:t>
      </w:r>
      <w:r>
        <w:tab/>
        <w:t xml:space="preserve">In this regulation — </w:t>
      </w:r>
    </w:p>
    <w:p>
      <w:pPr>
        <w:pStyle w:val="Defstart"/>
      </w:pPr>
      <w:r>
        <w:tab/>
      </w:r>
      <w:r>
        <w:rPr>
          <w:rStyle w:val="CharDefText"/>
        </w:rPr>
        <w:t>lifted</w:t>
      </w:r>
      <w:r>
        <w:t>, in relation to a suspension at a mine, or a part of a mine —</w:t>
      </w:r>
    </w:p>
    <w:p>
      <w:pPr>
        <w:pStyle w:val="Defpara"/>
      </w:pPr>
      <w:r>
        <w:tab/>
        <w:t>(a)</w:t>
      </w:r>
      <w:r>
        <w:tab/>
        <w:t xml:space="preserve">means that — </w:t>
      </w:r>
    </w:p>
    <w:p>
      <w:pPr>
        <w:pStyle w:val="Defsubpara"/>
      </w:pPr>
      <w:r>
        <w:tab/>
        <w:t>(i)</w:t>
      </w:r>
      <w:r>
        <w:tab/>
        <w:t>mining operations are recommenced at the mine or part; or</w:t>
      </w:r>
    </w:p>
    <w:p>
      <w:pPr>
        <w:pStyle w:val="Defsubpara"/>
      </w:pPr>
      <w:r>
        <w:tab/>
        <w:t>(ii)</w:t>
      </w:r>
      <w:r>
        <w:tab/>
        <w:t>persons are again allowed to enter the mine or part;</w:t>
      </w:r>
    </w:p>
    <w:p>
      <w:pPr>
        <w:pStyle w:val="Defpara"/>
      </w:pPr>
      <w:r>
        <w:tab/>
      </w:r>
      <w:r>
        <w:tab/>
        <w:t>but</w:t>
      </w:r>
    </w:p>
    <w:p>
      <w:pPr>
        <w:pStyle w:val="Defpara"/>
      </w:pPr>
      <w:r>
        <w:tab/>
        <w:t>(b)</w:t>
      </w:r>
      <w:r>
        <w:tab/>
        <w:t>does not include the recommencing of mining operations or the entry of persons onto the mine during an emergency.</w:t>
      </w:r>
    </w:p>
    <w:p>
      <w:pPr>
        <w:pStyle w:val="Subsection"/>
      </w:pPr>
      <w:r>
        <w:tab/>
        <w:t>(2)</w:t>
      </w:r>
      <w:r>
        <w:tab/>
        <w:t xml:space="preserve">Before a suspension occurs at a mine, or a part of a mine, the mine operator of the mine must give the regulator notice of the suspension, including the following — </w:t>
      </w:r>
    </w:p>
    <w:p>
      <w:pPr>
        <w:pStyle w:val="Indenta"/>
      </w:pPr>
      <w:r>
        <w:tab/>
        <w:t>(a)</w:t>
      </w:r>
      <w:r>
        <w:tab/>
        <w:t>a description of what the suspension entails;</w:t>
      </w:r>
    </w:p>
    <w:p>
      <w:pPr>
        <w:pStyle w:val="Indenta"/>
      </w:pPr>
      <w:r>
        <w:tab/>
        <w:t>(b)</w:t>
      </w:r>
      <w:r>
        <w:tab/>
        <w:t>any information or document relating to the suspension that the regulator requires.</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pPr>
        <w:pStyle w:val="Indenta"/>
      </w:pPr>
      <w:r>
        <w:tab/>
        <w:t>(a)</w:t>
      </w:r>
      <w:r>
        <w:tab/>
        <w:t>a description of what the lifting of the suspension entails;</w:t>
      </w:r>
    </w:p>
    <w:p>
      <w:pPr>
        <w:pStyle w:val="Indenta"/>
      </w:pPr>
      <w:r>
        <w:tab/>
        <w:t>(b)</w:t>
      </w:r>
      <w:r>
        <w:tab/>
        <w:t>any information or document relating to the lifting of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pPr>
        <w:pStyle w:val="Subsection"/>
      </w:pPr>
      <w:r>
        <w:tab/>
        <w:t>(5)</w:t>
      </w:r>
      <w:r>
        <w:tab/>
        <w:t>If the regulator requires a mine operator to provide clarification, supplementary information or a document under subregulation (4), the person must provide the clarification, information or document —</w:t>
      </w:r>
    </w:p>
    <w:p>
      <w:pPr>
        <w:pStyle w:val="Indenta"/>
      </w:pPr>
      <w:r>
        <w:tab/>
        <w:t>(a)</w:t>
      </w:r>
      <w:r>
        <w:tab/>
        <w:t>before the suspension occurs or is lifted; or</w:t>
      </w:r>
    </w:p>
    <w:p>
      <w:pPr>
        <w:pStyle w:val="Indenta"/>
      </w:pPr>
      <w:r>
        <w:tab/>
        <w:t>(b)</w:t>
      </w:r>
      <w:r>
        <w:tab/>
        <w:t>if that is not practicable —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pPr>
        <w:pStyle w:val="Heading5"/>
      </w:pPr>
      <w:bookmarkStart w:id="1051" w:name="_Toc200720555"/>
      <w:r>
        <w:rPr>
          <w:rStyle w:val="CharSectno"/>
        </w:rPr>
        <w:lastRenderedPageBreak/>
        <w:t>675UG</w:t>
      </w:r>
      <w:r>
        <w:t>.</w:t>
      </w:r>
      <w:r>
        <w:tab/>
        <w:t>Duty of mine operator to ensure mine is safe and secure during suspension</w:t>
      </w:r>
      <w:bookmarkEnd w:id="1051"/>
    </w:p>
    <w:p>
      <w:pPr>
        <w:pStyle w:val="Subsection"/>
      </w:pPr>
      <w:r>
        <w:tab/>
        <w:t>(1)</w:t>
      </w:r>
      <w:r>
        <w:tab/>
        <w:t xml:space="preserve">In this regulation — </w:t>
      </w:r>
    </w:p>
    <w:p>
      <w:pPr>
        <w:pStyle w:val="Defstart"/>
      </w:pPr>
      <w:r>
        <w:tab/>
      </w:r>
      <w:r>
        <w:rPr>
          <w:rStyle w:val="CharDefText"/>
        </w:rPr>
        <w:t>warning notice</w:t>
      </w:r>
      <w:r>
        <w:t xml:space="preserve">, for a mine, or a part of a mine, means a notice stating that — </w:t>
      </w:r>
    </w:p>
    <w:p>
      <w:pPr>
        <w:pStyle w:val="Defpara"/>
      </w:pPr>
      <w:r>
        <w:tab/>
        <w:t>(a)</w:t>
      </w:r>
      <w:r>
        <w:tab/>
        <w:t xml:space="preserve">mining operations at the mine or part are suspended; and </w:t>
      </w:r>
    </w:p>
    <w:p>
      <w:pPr>
        <w:pStyle w:val="Defpara"/>
      </w:pPr>
      <w:r>
        <w:tab/>
        <w:t>(b)</w:t>
      </w:r>
      <w:r>
        <w:tab/>
        <w:t>unauthorised entry is prohibited to the mine or part unless there is an emergency requiring entry to the mine or part.</w:t>
      </w:r>
    </w:p>
    <w:p>
      <w:pPr>
        <w:pStyle w:val="Subsection"/>
      </w:pPr>
      <w:r>
        <w:tab/>
        <w:t>(2)</w:t>
      </w:r>
      <w:r>
        <w:tab/>
        <w:t xml:space="preserve">During the period when a suspension occurs at a mine, or a part of a mine, the mine operator of the mine must ensure that — </w:t>
      </w:r>
    </w:p>
    <w:p>
      <w:pPr>
        <w:pStyle w:val="Indenta"/>
      </w:pPr>
      <w:r>
        <w:tab/>
        <w:t>(a)</w:t>
      </w:r>
      <w:r>
        <w:tab/>
        <w:t>the mine or part is safe and secure; and</w:t>
      </w:r>
    </w:p>
    <w:p>
      <w:pPr>
        <w:pStyle w:val="Indenta"/>
      </w:pPr>
      <w:r>
        <w:tab/>
        <w:t>(b)</w:t>
      </w:r>
      <w:r>
        <w:tab/>
        <w:t xml:space="preserve">sufficient warning notices are placed at — </w:t>
      </w:r>
    </w:p>
    <w:p>
      <w:pPr>
        <w:pStyle w:val="Indenti"/>
      </w:pPr>
      <w:r>
        <w:tab/>
        <w:t>(i)</w:t>
      </w:r>
      <w:r>
        <w:tab/>
        <w:t xml:space="preserve">entrances to the mine or part; and </w:t>
      </w:r>
    </w:p>
    <w:p>
      <w:pPr>
        <w:pStyle w:val="Indenti"/>
      </w:pPr>
      <w:r>
        <w:tab/>
        <w:t>(ii)</w:t>
      </w:r>
      <w:r>
        <w:tab/>
        <w:t>other places necessary to ensure that the information is given to persons who may enter the mine or part.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2" w:name="_Toc200720556"/>
      <w:r>
        <w:rPr>
          <w:rStyle w:val="CharSectno"/>
        </w:rPr>
        <w:t>675UH</w:t>
      </w:r>
      <w:r>
        <w:t>.</w:t>
      </w:r>
      <w:r>
        <w:tab/>
        <w:t>Information about care and maintenance</w:t>
      </w:r>
      <w:bookmarkEnd w:id="1052"/>
    </w:p>
    <w:p>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pPr>
        <w:pStyle w:val="Indenta"/>
      </w:pPr>
      <w:r>
        <w:tab/>
        <w:t>(a)</w:t>
      </w:r>
      <w:r>
        <w:tab/>
        <w:t>the mine or part; or</w:t>
      </w:r>
    </w:p>
    <w:p>
      <w:pPr>
        <w:pStyle w:val="Indenta"/>
      </w:pPr>
      <w:r>
        <w:tab/>
        <w:t>(b)</w:t>
      </w:r>
      <w:r>
        <w:tab/>
        <w:t>plant at the mine or part.</w:t>
      </w:r>
    </w:p>
    <w:p>
      <w:pPr>
        <w:pStyle w:val="Subsection"/>
      </w:pPr>
      <w:r>
        <w:tab/>
        <w:t>(2)</w:t>
      </w:r>
      <w:r>
        <w:tab/>
        <w:t>This regulation does not apply to a mine where only exploration operations are carried out.</w:t>
      </w:r>
    </w:p>
    <w:p>
      <w:pPr>
        <w:pStyle w:val="Subsection"/>
      </w:pPr>
      <w:r>
        <w:lastRenderedPageBreak/>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pPr>
        <w:pStyle w:val="Indenta"/>
      </w:pPr>
      <w:r>
        <w:tab/>
        <w:t>(a)</w:t>
      </w:r>
      <w:r>
        <w:tab/>
        <w:t>a description of what the putting of the mine or part on care and maintenance entails;</w:t>
      </w:r>
    </w:p>
    <w:p>
      <w:pPr>
        <w:pStyle w:val="Indenta"/>
      </w:pPr>
      <w:r>
        <w:tab/>
        <w:t>(b)</w:t>
      </w:r>
      <w:r>
        <w:tab/>
        <w:t>any information or document relating to the putting of the mine or part on care and maintenance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mine operator gives a care and maintenance notice to the regulator, the regulator may give the person a written notice — </w:t>
      </w:r>
    </w:p>
    <w:p>
      <w:pPr>
        <w:pStyle w:val="Indenta"/>
      </w:pPr>
      <w:r>
        <w:tab/>
        <w:t>(a)</w:t>
      </w:r>
      <w:r>
        <w:tab/>
        <w:t xml:space="preserve">requiring the person to — </w:t>
      </w:r>
    </w:p>
    <w:p>
      <w:pPr>
        <w:pStyle w:val="Indenti"/>
      </w:pPr>
      <w:r>
        <w:tab/>
        <w:t>(i)</w:t>
      </w:r>
      <w:r>
        <w:tab/>
        <w:t xml:space="preserve">clarify the contents of the care and maintenance notice; or </w:t>
      </w:r>
    </w:p>
    <w:p>
      <w:pPr>
        <w:pStyle w:val="Indenti"/>
      </w:pPr>
      <w:r>
        <w:tab/>
        <w:t>(ii)</w:t>
      </w:r>
      <w:r>
        <w:tab/>
        <w:t>give supplementary information or documents in relation to the care and maintenance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mine or part is put on care and maintenance; or </w:t>
      </w:r>
    </w:p>
    <w:p>
      <w:pPr>
        <w:pStyle w:val="Indenti"/>
      </w:pPr>
      <w:r>
        <w:tab/>
        <w:t>(ii)</w:t>
      </w:r>
      <w:r>
        <w:tab/>
        <w:t>otherwise — as soon as practicable after the mine or part is put on care and maintenance;</w:t>
      </w:r>
    </w:p>
    <w:p>
      <w:pPr>
        <w:pStyle w:val="Indenta"/>
      </w:pPr>
      <w:r>
        <w:tab/>
      </w:r>
      <w:r>
        <w:tab/>
        <w:t>and</w:t>
      </w:r>
    </w:p>
    <w:p>
      <w:pPr>
        <w:pStyle w:val="Indenta"/>
      </w:pPr>
      <w:r>
        <w:tab/>
        <w:t>(c)</w:t>
      </w:r>
      <w:r>
        <w:tab/>
        <w:t>stating that the person commits an offence if they fail to comply with the notice.</w:t>
      </w:r>
    </w:p>
    <w:p>
      <w:pPr>
        <w:pStyle w:val="Subsection"/>
      </w:pPr>
      <w:r>
        <w:lastRenderedPageBreak/>
        <w:tab/>
        <w:t>(5)</w:t>
      </w:r>
      <w:r>
        <w:tab/>
        <w:t>A person who receives a written notice under subregulation (4)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pPr>
        <w:pStyle w:val="Heading5"/>
      </w:pPr>
      <w:bookmarkStart w:id="1053" w:name="_Toc200720557"/>
      <w:r>
        <w:rPr>
          <w:rStyle w:val="CharSectno"/>
        </w:rPr>
        <w:t>675UI</w:t>
      </w:r>
      <w:r>
        <w:t>.</w:t>
      </w:r>
      <w:r>
        <w:tab/>
        <w:t>Information about closure of mine</w:t>
      </w:r>
      <w:bookmarkEnd w:id="1053"/>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This regulation does not apply to a mine where only exploration operations are carried out.</w:t>
      </w:r>
    </w:p>
    <w:p>
      <w:pPr>
        <w:pStyle w:val="Subsection"/>
      </w:pPr>
      <w:r>
        <w:tab/>
        <w:t>(3)</w:t>
      </w:r>
      <w:r>
        <w:tab/>
        <w:t xml:space="preserve">If the mine, or a part of the mine, will close, the relevant person in relation to the mine must ensure that the mine or part is not closed unless — </w:t>
      </w:r>
    </w:p>
    <w:p>
      <w:pPr>
        <w:pStyle w:val="Indenta"/>
      </w:pPr>
      <w:r>
        <w:tab/>
        <w:t>(a)</w:t>
      </w:r>
      <w:r>
        <w:tab/>
        <w:t>measures are taken to ensure that, so far as is reasonably practicable, the mine or part is made safe and secure on a permanent basis; and</w:t>
      </w:r>
    </w:p>
    <w:p>
      <w:pPr>
        <w:pStyle w:val="Indenta"/>
      </w:pPr>
      <w:r>
        <w:tab/>
        <w:t>(b)</w:t>
      </w:r>
      <w:r>
        <w:tab/>
        <w:t xml:space="preserve">after the measures required under paragraph (a) are taken, the relevant person gives the regulator a written notice stating — </w:t>
      </w:r>
    </w:p>
    <w:p>
      <w:pPr>
        <w:pStyle w:val="Indenti"/>
      </w:pPr>
      <w:r>
        <w:tab/>
        <w:t>(i)</w:t>
      </w:r>
      <w:r>
        <w:tab/>
        <w:t>a description of the closure; and</w:t>
      </w:r>
    </w:p>
    <w:p>
      <w:pPr>
        <w:pStyle w:val="Indenti"/>
      </w:pPr>
      <w:r>
        <w:lastRenderedPageBreak/>
        <w:tab/>
        <w:t>(ii)</w:t>
      </w:r>
      <w:r>
        <w:tab/>
        <w:t>a description of the measures taken under paragraph (a); and</w:t>
      </w:r>
    </w:p>
    <w:p>
      <w:pPr>
        <w:pStyle w:val="Indenti"/>
      </w:pPr>
      <w:r>
        <w:tab/>
        <w:t>(iii)</w:t>
      </w:r>
      <w:r>
        <w:tab/>
        <w:t xml:space="preserve">any information or document relating to the closure that the regulator requires; </w:t>
      </w:r>
    </w:p>
    <w:p>
      <w:pPr>
        <w:pStyle w:val="Indenta"/>
      </w:pPr>
      <w:r>
        <w:tab/>
      </w:r>
      <w:r>
        <w:tab/>
        <w:t>and</w:t>
      </w:r>
    </w:p>
    <w:p>
      <w:pPr>
        <w:pStyle w:val="Indenta"/>
      </w:pPr>
      <w:r>
        <w:tab/>
        <w:t>(c)</w:t>
      </w:r>
      <w:r>
        <w:tab/>
        <w:t>the regulator has given the relevant person a notice under subregulation (6) authorising the closure.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pPr>
        <w:pStyle w:val="Indenta"/>
      </w:pPr>
      <w:r>
        <w:tab/>
        <w:t>(a)</w:t>
      </w:r>
      <w:r>
        <w:tab/>
        <w:t>provide the regulator with any clarification of the contents of the notice, or with any supplementary information or document, that the regulator requires; or</w:t>
      </w:r>
    </w:p>
    <w:p>
      <w:pPr>
        <w:pStyle w:val="Indenta"/>
      </w:pPr>
      <w:r>
        <w:tab/>
        <w:t>(b)</w:t>
      </w:r>
      <w:r>
        <w:tab/>
        <w:t>take further measures that the regulator is satisfied are necessary to ensure that, so far as is reasonably practicable, the mine or part is made safe and secure on a permanent basis.</w:t>
      </w:r>
    </w:p>
    <w:p>
      <w:pPr>
        <w:pStyle w:val="Subsection"/>
      </w:pPr>
      <w:r>
        <w:tab/>
        <w:t>(5)</w:t>
      </w:r>
      <w:r>
        <w:tab/>
        <w:t>If the regulator gives the relevant person in relation to a mine a notice under subregulation (4), the relevant person must comply with the notice.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regulator is satisfied that, so far as is reasonably practicable, the mine or part has been made safe and secure on a permanent basis, the regulator must give the relevant person in </w:t>
      </w:r>
      <w:r>
        <w:lastRenderedPageBreak/>
        <w:t>relation to the mine a notice authorising the closure of the mine or part.</w:t>
      </w:r>
    </w:p>
    <w:p>
      <w:pPr>
        <w:pStyle w:val="PermNoteHeading"/>
      </w:pPr>
      <w:r>
        <w:tab/>
        <w:t>Note for this subregulation:</w:t>
      </w:r>
    </w:p>
    <w:p>
      <w:pPr>
        <w:pStyle w:val="PermNoteText"/>
      </w:pPr>
      <w:r>
        <w:tab/>
      </w:r>
      <w:r>
        <w:tab/>
        <w:t>A decision not to give a notice under this subregulation is a reviewable decision (see regulation 676).</w:t>
      </w:r>
    </w:p>
    <w:p>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1054" w:name="_Toc200720558"/>
      <w:r>
        <w:rPr>
          <w:rStyle w:val="CharSectno"/>
        </w:rPr>
        <w:t>675UJ</w:t>
      </w:r>
      <w:r>
        <w:t>.</w:t>
      </w:r>
      <w:r>
        <w:tab/>
        <w:t>Information about commencement of exploration operations</w:t>
      </w:r>
      <w:bookmarkEnd w:id="1054"/>
    </w:p>
    <w:p>
      <w:pPr>
        <w:pStyle w:val="Subsection"/>
      </w:pPr>
      <w:r>
        <w:tab/>
        <w:t>(1)</w:t>
      </w:r>
      <w:r>
        <w:tab/>
        <w:t>This regulation applies to a mine where exploration operations will be carried out.</w:t>
      </w:r>
    </w:p>
    <w:p>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pPr>
        <w:pStyle w:val="Indenta"/>
      </w:pPr>
      <w:r>
        <w:tab/>
        <w:t>(a)</w:t>
      </w:r>
      <w:r>
        <w:tab/>
        <w:t>a description of the exploration operations;</w:t>
      </w:r>
    </w:p>
    <w:p>
      <w:pPr>
        <w:pStyle w:val="Indenta"/>
      </w:pPr>
      <w:r>
        <w:tab/>
        <w:t>(b)</w:t>
      </w:r>
      <w:r>
        <w:tab/>
        <w:t>any information or document relating to the exploration operations that the regulator requires.</w:t>
      </w:r>
    </w:p>
    <w:p>
      <w:pPr>
        <w:pStyle w:val="Subsection"/>
      </w:pPr>
      <w:r>
        <w:tab/>
        <w:t>(3)</w:t>
      </w:r>
      <w:r>
        <w:tab/>
        <w:t>The person who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pPr>
        <w:pStyle w:val="Subsection"/>
      </w:pPr>
      <w:r>
        <w:tab/>
        <w:t>(5)</w:t>
      </w:r>
      <w:r>
        <w:tab/>
        <w:t xml:space="preserve">A person who is required to provide the regulator with a clarification of the contents of the notice, or with any </w:t>
      </w:r>
      <w:r>
        <w:lastRenderedPageBreak/>
        <w:t xml:space="preserve">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1055" w:name="_Toc200720559"/>
      <w:r>
        <w:rPr>
          <w:rStyle w:val="CharSectno"/>
        </w:rPr>
        <w:t>675UK</w:t>
      </w:r>
      <w:r>
        <w:t>.</w:t>
      </w:r>
      <w:r>
        <w:tab/>
        <w:t>Information about high risk mining activities</w:t>
      </w:r>
      <w:bookmarkEnd w:id="1055"/>
      <w:r>
        <w:t xml:space="preserve"> </w:t>
      </w:r>
    </w:p>
    <w:p>
      <w:pPr>
        <w:pStyle w:val="Subsection"/>
      </w:pPr>
      <w:r>
        <w:tab/>
        <w:t>(1)</w:t>
      </w:r>
      <w:r>
        <w:tab/>
        <w:t xml:space="preserve">In this regulation — </w:t>
      </w:r>
    </w:p>
    <w:p>
      <w:pPr>
        <w:pStyle w:val="Defstart"/>
      </w:pPr>
      <w:r>
        <w:tab/>
      </w:r>
      <w:r>
        <w:rPr>
          <w:rStyle w:val="CharDefText"/>
        </w:rPr>
        <w:t>waiting period</w:t>
      </w:r>
      <w:r>
        <w:t xml:space="preserve">, in relation to a high risk mining activity, means — </w:t>
      </w:r>
    </w:p>
    <w:p>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pPr>
        <w:pStyle w:val="Defpara"/>
      </w:pPr>
      <w:r>
        <w:tab/>
        <w:t>(b)</w:t>
      </w:r>
      <w:r>
        <w:tab/>
        <w:t>if that period is waived or reduced under subregulation (6) — the waived or reduced period; or</w:t>
      </w:r>
    </w:p>
    <w:p>
      <w:pPr>
        <w:pStyle w:val="Defpara"/>
      </w:pPr>
      <w:r>
        <w:tab/>
        <w:t>(c)</w:t>
      </w:r>
      <w:r>
        <w:tab/>
        <w:t>if that period is extended under subregulation (7)(b) — the extended period.</w:t>
      </w:r>
    </w:p>
    <w:p>
      <w:pPr>
        <w:pStyle w:val="Subsection"/>
        <w:rPr>
          <w:color w:val="000000"/>
          <w:szCs w:val="24"/>
          <w:shd w:val="clear" w:color="auto" w:fill="FFFFFF"/>
        </w:rPr>
      </w:pPr>
      <w:r>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pPr>
        <w:pStyle w:val="Indenta"/>
      </w:pPr>
      <w:r>
        <w:tab/>
        <w:t>(a)</w:t>
      </w:r>
      <w:r>
        <w:tab/>
        <w:t xml:space="preserve">the mine operator has given the regulator a written notice under subregulation (4) that is acknowledged under regulation 675UL(1); and </w:t>
      </w:r>
    </w:p>
    <w:p>
      <w:pPr>
        <w:pStyle w:val="Indenta"/>
      </w:pPr>
      <w:r>
        <w:tab/>
        <w:t>(b)</w:t>
      </w:r>
      <w:r>
        <w:tab/>
        <w:t>the waiting period in relation to the activity has elapsed; and</w:t>
      </w:r>
    </w:p>
    <w:p>
      <w:pPr>
        <w:pStyle w:val="Indenta"/>
      </w:pPr>
      <w:r>
        <w:lastRenderedPageBreak/>
        <w:tab/>
        <w:t>(c)</w:t>
      </w:r>
      <w:r>
        <w:tab/>
        <w:t>the activity is carried out in the manner specified in the notice (or in the notice as amended under subregulation (7)).</w:t>
      </w:r>
    </w:p>
    <w:p>
      <w:pPr>
        <w:pStyle w:val="PermNoteHeading"/>
      </w:pPr>
      <w:r>
        <w:tab/>
        <w:t>Note for this subregulation:</w:t>
      </w:r>
    </w:p>
    <w:p>
      <w:pPr>
        <w:pStyle w:val="PermNoteText"/>
      </w:pPr>
      <w:r>
        <w:tab/>
      </w:r>
      <w:r>
        <w:tab/>
        <w:t>WHS Act — section 19 (see regulation 9).</w:t>
      </w:r>
    </w:p>
    <w:p>
      <w:pPr>
        <w:pStyle w:val="Subsection"/>
      </w:pPr>
      <w:r>
        <w:tab/>
        <w:t>(3)</w:t>
      </w:r>
      <w:r>
        <w:tab/>
        <w:t>Subregulation (2) does not apply if the information required under subregulation (4) is given in —</w:t>
      </w:r>
    </w:p>
    <w:p>
      <w:pPr>
        <w:pStyle w:val="Indenta"/>
      </w:pPr>
      <w:r>
        <w:tab/>
        <w:t>(a)</w:t>
      </w:r>
      <w:r>
        <w:tab/>
        <w:t>a mining commencement notice for the mining operation given to the regulator under regulation 675UC; or</w:t>
      </w:r>
    </w:p>
    <w:p>
      <w:pPr>
        <w:pStyle w:val="Indenta"/>
      </w:pPr>
      <w:r>
        <w:tab/>
        <w:t>(b)</w:t>
      </w:r>
      <w:r>
        <w:tab/>
        <w:t>an additional operations notice for an additional mining operation given to the regulator under regulation 675UD.</w:t>
      </w:r>
    </w:p>
    <w:p>
      <w:pPr>
        <w:pStyle w:val="Subsection"/>
      </w:pPr>
      <w:r>
        <w:tab/>
        <w:t>(4)</w:t>
      </w:r>
      <w:r>
        <w:tab/>
        <w:t xml:space="preserve">The mine operator of a mine where a high risk mining activity is proposed to be carried out must give the regulator a notice that — </w:t>
      </w:r>
    </w:p>
    <w:p>
      <w:pPr>
        <w:pStyle w:val="Indenta"/>
      </w:pPr>
      <w:r>
        <w:tab/>
        <w:t>(a)</w:t>
      </w:r>
      <w:r>
        <w:tab/>
        <w:t>is in the approved form and in a manner approved by the regulator; and</w:t>
      </w:r>
    </w:p>
    <w:p>
      <w:pPr>
        <w:pStyle w:val="Indenta"/>
      </w:pPr>
      <w:r>
        <w:tab/>
        <w:t>(b)</w:t>
      </w:r>
      <w:r>
        <w:tab/>
        <w:t xml:space="preserve">includes the following — </w:t>
      </w:r>
    </w:p>
    <w:p>
      <w:pPr>
        <w:pStyle w:val="Indenti"/>
      </w:pPr>
      <w:r>
        <w:tab/>
        <w:t>(i)</w:t>
      </w:r>
      <w:r>
        <w:tab/>
        <w:t>the nature of the proposed high risk mining activity, including particulars of how the activity is to be carried out;</w:t>
      </w:r>
    </w:p>
    <w:p>
      <w:pPr>
        <w:pStyle w:val="Indenti"/>
      </w:pPr>
      <w:r>
        <w:tab/>
        <w:t>(ii)</w:t>
      </w:r>
      <w:r>
        <w:tab/>
        <w:t>the proposed commencement date for the activity;</w:t>
      </w:r>
    </w:p>
    <w:p>
      <w:pPr>
        <w:pStyle w:val="Indenti"/>
      </w:pPr>
      <w:r>
        <w:tab/>
        <w:t>(iii)</w:t>
      </w:r>
      <w:r>
        <w:tab/>
        <w:t>the location of the activity;</w:t>
      </w:r>
    </w:p>
    <w:p>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pPr>
        <w:pStyle w:val="Indenti"/>
      </w:pPr>
      <w:r>
        <w:tab/>
        <w:t>(v)</w:t>
      </w:r>
      <w:r>
        <w:tab/>
        <w:t xml:space="preserve">the hazards identified as having the potential to arise from the activity; </w:t>
      </w:r>
    </w:p>
    <w:p>
      <w:pPr>
        <w:pStyle w:val="Indenti"/>
      </w:pPr>
      <w:r>
        <w:tab/>
        <w:t>(vi)</w:t>
      </w:r>
      <w:r>
        <w:tab/>
        <w:t xml:space="preserve">an assessment of the risks associated with the activity; </w:t>
      </w:r>
    </w:p>
    <w:p>
      <w:pPr>
        <w:pStyle w:val="Indenti"/>
      </w:pPr>
      <w:r>
        <w:lastRenderedPageBreak/>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pPr>
        <w:pStyle w:val="Subsection"/>
      </w:pPr>
      <w:r>
        <w:tab/>
        <w:t>(7)</w:t>
      </w:r>
      <w:r>
        <w:tab/>
        <w:t xml:space="preserve">If the mine operator amends a notice given under subregulation (4) — </w:t>
      </w:r>
    </w:p>
    <w:p>
      <w:pPr>
        <w:pStyle w:val="Indenta"/>
      </w:pPr>
      <w:r>
        <w:tab/>
        <w:t>(a)</w:t>
      </w:r>
      <w:r>
        <w:tab/>
        <w:t>the waiting period does not start again; but</w:t>
      </w:r>
    </w:p>
    <w:p>
      <w:pPr>
        <w:pStyle w:val="Indenta"/>
      </w:pPr>
      <w:r>
        <w:tab/>
        <w:t>(b)</w:t>
      </w:r>
      <w:r>
        <w:tab/>
        <w:t>the regulator may extend the waiting period by a reasonable time to allow the regulator to consider the amended notice.</w:t>
      </w:r>
    </w:p>
    <w:p>
      <w:pPr>
        <w:pStyle w:val="Heading5"/>
      </w:pPr>
      <w:bookmarkStart w:id="1056" w:name="_Toc200720560"/>
      <w:r>
        <w:rPr>
          <w:rStyle w:val="CharSectno"/>
        </w:rPr>
        <w:t>675UL</w:t>
      </w:r>
      <w:r>
        <w:t>.</w:t>
      </w:r>
      <w:r>
        <w:tab/>
        <w:t>Acknowledging notice about high risk mining activities</w:t>
      </w:r>
      <w:bookmarkEnd w:id="1056"/>
      <w:r>
        <w:t xml:space="preserve"> </w:t>
      </w:r>
    </w:p>
    <w:p>
      <w:pPr>
        <w:pStyle w:val="Subsection"/>
      </w:pPr>
      <w:r>
        <w:tab/>
        <w:t>(1)</w:t>
      </w:r>
      <w:r>
        <w:tab/>
        <w:t xml:space="preserve">The regulator must acknowledge a notice given under regulation 675UK(4) unless the regulator considers that the notice is incomplete. </w:t>
      </w:r>
    </w:p>
    <w:p>
      <w:pPr>
        <w:pStyle w:val="Subsection"/>
      </w:pPr>
      <w:r>
        <w:tab/>
        <w:t>(2)</w:t>
      </w:r>
      <w:r>
        <w:tab/>
        <w:t>If the regulator acknowledges the notice under subregulation (1), the regulator must give the mine operator a written notice acknowledging the notice.</w:t>
      </w:r>
    </w:p>
    <w:p>
      <w:pPr>
        <w:pStyle w:val="Subsection"/>
      </w:pPr>
      <w:r>
        <w:lastRenderedPageBreak/>
        <w:tab/>
        <w:t>(3)</w:t>
      </w:r>
      <w:r>
        <w:tab/>
        <w:t xml:space="preserve">If the regulator does not acknowledge the notice under subregulation (1), the regulator must give the mine operator a written notice stating that the notice — </w:t>
      </w:r>
    </w:p>
    <w:p>
      <w:pPr>
        <w:pStyle w:val="Indenta"/>
      </w:pPr>
      <w:r>
        <w:tab/>
        <w:t>(a)</w:t>
      </w:r>
      <w:r>
        <w:tab/>
        <w:t xml:space="preserve">is incomplete; and </w:t>
      </w:r>
    </w:p>
    <w:p>
      <w:pPr>
        <w:pStyle w:val="Indenta"/>
      </w:pPr>
      <w:r>
        <w:tab/>
        <w:t>(b)</w:t>
      </w:r>
      <w:r>
        <w:tab/>
        <w:t>must be completed and resubmitted before the proposed high risk mining activity can be carried out.</w:t>
      </w:r>
    </w:p>
    <w:p>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pPr>
        <w:pStyle w:val="Heading5"/>
      </w:pPr>
      <w:bookmarkStart w:id="1057" w:name="_Toc200720561"/>
      <w:r>
        <w:rPr>
          <w:rStyle w:val="CharSectno"/>
        </w:rPr>
        <w:t>675V</w:t>
      </w:r>
      <w:r>
        <w:t>.</w:t>
      </w:r>
      <w:r>
        <w:tab/>
        <w:t>Duty to notify regulator of reportable incidents</w:t>
      </w:r>
      <w:bookmarkEnd w:id="1057"/>
    </w:p>
    <w:p>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notification must — </w:t>
      </w:r>
    </w:p>
    <w:p>
      <w:pPr>
        <w:pStyle w:val="Indenta"/>
      </w:pPr>
      <w:r>
        <w:tab/>
        <w:t>(a)</w:t>
      </w:r>
      <w:r>
        <w:tab/>
        <w:t>be in writing; and</w:t>
      </w:r>
    </w:p>
    <w:p>
      <w:pPr>
        <w:pStyle w:val="Indenta"/>
      </w:pPr>
      <w:r>
        <w:tab/>
        <w:t>(b)</w:t>
      </w:r>
      <w:r>
        <w:tab/>
        <w:t>be in the approved form; and</w:t>
      </w:r>
    </w:p>
    <w:p>
      <w:pPr>
        <w:pStyle w:val="Indenta"/>
      </w:pPr>
      <w:r>
        <w:tab/>
        <w:t>(c)</w:t>
      </w:r>
      <w:r>
        <w:tab/>
        <w:t>if the incident results in an illness or injury — contain the information specified in Schedule 24.</w:t>
      </w:r>
    </w:p>
    <w:p>
      <w:pPr>
        <w:pStyle w:val="PermNoteHeading"/>
      </w:pPr>
      <w:r>
        <w:tab/>
        <w:t>Note for this regulation:</w:t>
      </w:r>
    </w:p>
    <w:p>
      <w:pPr>
        <w:pStyle w:val="PermNoteText"/>
      </w:pPr>
      <w:r>
        <w:tab/>
      </w:r>
      <w:r>
        <w:tab/>
        <w:t>See Part 3 of the Act in relation to notifiable incidents. This regulation is in addition to the provisions of that Part.</w:t>
      </w:r>
    </w:p>
    <w:p>
      <w:pPr>
        <w:pStyle w:val="Heading5"/>
      </w:pPr>
      <w:bookmarkStart w:id="1058" w:name="_Toc200720562"/>
      <w:r>
        <w:rPr>
          <w:rStyle w:val="CharSectno"/>
        </w:rPr>
        <w:lastRenderedPageBreak/>
        <w:t>675W</w:t>
      </w:r>
      <w:r>
        <w:t>.</w:t>
      </w:r>
      <w:r>
        <w:tab/>
        <w:t>Quarterly reports</w:t>
      </w:r>
      <w:bookmarkEnd w:id="1058"/>
      <w:r>
        <w:t xml:space="preserve"> </w:t>
      </w:r>
    </w:p>
    <w:p>
      <w:pPr>
        <w:pStyle w:val="Subsection"/>
      </w:pPr>
      <w:r>
        <w:tab/>
        <w:t>(1)</w:t>
      </w:r>
      <w:r>
        <w:tab/>
        <w:t>The mine operator of a mine must give the regulator a work health and safety report each quarter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report must — </w:t>
      </w:r>
    </w:p>
    <w:p>
      <w:pPr>
        <w:pStyle w:val="Indenta"/>
      </w:pPr>
      <w:r>
        <w:tab/>
        <w:t>(a)</w:t>
      </w:r>
      <w:r>
        <w:tab/>
        <w:t xml:space="preserve">be given as soon as practicable after the end of the quarter to which the report relates, but no later than 15 days after the end of the quarter; and </w:t>
      </w:r>
    </w:p>
    <w:p>
      <w:pPr>
        <w:pStyle w:val="Indenta"/>
      </w:pPr>
      <w:r>
        <w:tab/>
        <w:t>(b)</w:t>
      </w:r>
      <w:r>
        <w:tab/>
        <w:t>be given in the approved form and in the manner required by the regulator; and</w:t>
      </w:r>
    </w:p>
    <w:p>
      <w:pPr>
        <w:pStyle w:val="Indenta"/>
      </w:pPr>
      <w:r>
        <w:tab/>
        <w:t>(c)</w:t>
      </w:r>
      <w:r>
        <w:tab/>
        <w:t>contain the information specified in Schedule 25.</w:t>
      </w:r>
    </w:p>
    <w:p>
      <w:pPr>
        <w:pStyle w:val="Heading5"/>
      </w:pPr>
      <w:bookmarkStart w:id="1059" w:name="_Toc200720563"/>
      <w:r>
        <w:rPr>
          <w:rStyle w:val="CharSectno"/>
        </w:rPr>
        <w:t>675X</w:t>
      </w:r>
      <w:r>
        <w:t>.</w:t>
      </w:r>
      <w:r>
        <w:tab/>
        <w:t>Duty to notify mine operator of incidents</w:t>
      </w:r>
      <w:bookmarkEnd w:id="1059"/>
    </w:p>
    <w:p>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Section 38 of the Act requires a person conducting a business or undertaking to ensure that the regulator is notified about notifiable incidents.</w:t>
      </w:r>
    </w:p>
    <w:p>
      <w:pPr>
        <w:pStyle w:val="Subsection"/>
        <w:keepNext/>
      </w:pPr>
      <w:r>
        <w:tab/>
        <w:t>(2)</w:t>
      </w:r>
      <w:r>
        <w:tab/>
        <w:t xml:space="preserve">A person conducting a business or undertaking at a mine who is not the mine operator of the mine must ensure that the mine </w:t>
      </w:r>
      <w:r>
        <w:lastRenderedPageBreak/>
        <w:t>operator is notified as soon as practicable after any reportable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060" w:name="_Toc200720564"/>
      <w:r>
        <w:rPr>
          <w:rStyle w:val="CharPartNo"/>
        </w:rPr>
        <w:t>Part 10.7</w:t>
      </w:r>
      <w:r>
        <w:t> —</w:t>
      </w:r>
      <w:r>
        <w:rPr>
          <w:rStyle w:val="CharDivText"/>
        </w:rPr>
        <w:t> </w:t>
      </w:r>
      <w:r>
        <w:rPr>
          <w:rStyle w:val="CharPartText"/>
        </w:rPr>
        <w:t>Mine record</w:t>
      </w:r>
      <w:bookmarkEnd w:id="1060"/>
    </w:p>
    <w:p>
      <w:pPr>
        <w:pStyle w:val="Heading5"/>
      </w:pPr>
      <w:bookmarkStart w:id="1061" w:name="_Toc200720565"/>
      <w:r>
        <w:rPr>
          <w:rStyle w:val="CharSectno"/>
        </w:rPr>
        <w:t>675Y</w:t>
      </w:r>
      <w:r>
        <w:t>.</w:t>
      </w:r>
      <w:r>
        <w:tab/>
      </w:r>
      <w:r>
        <w:rPr>
          <w:spacing w:val="-2"/>
        </w:rPr>
        <w:t>Mine record</w:t>
      </w:r>
      <w:bookmarkEnd w:id="1061"/>
    </w:p>
    <w:p>
      <w:pPr>
        <w:pStyle w:val="Subsection"/>
      </w:pPr>
      <w:r>
        <w:rPr>
          <w:spacing w:val="-2"/>
        </w:rPr>
        <w:tab/>
        <w:t>(1)</w:t>
      </w:r>
      <w:r>
        <w:rPr>
          <w:spacing w:val="-2"/>
        </w:rPr>
        <w:tab/>
      </w:r>
      <w:r>
        <w:t>The mine operator of a mine must keep a mine record for the mine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record for the mine must contain the following records — </w:t>
      </w:r>
    </w:p>
    <w:p>
      <w:pPr>
        <w:pStyle w:val="Indenta"/>
      </w:pPr>
      <w:r>
        <w:tab/>
        <w:t>(a)</w:t>
      </w:r>
      <w:r>
        <w:tab/>
        <w:t xml:space="preserve">an inspection record given to the mine operator under regulation 675ZA; </w:t>
      </w:r>
    </w:p>
    <w:p>
      <w:pPr>
        <w:pStyle w:val="Indenta"/>
      </w:pPr>
      <w:r>
        <w:tab/>
        <w:t>(b)</w:t>
      </w:r>
      <w:r>
        <w:tab/>
        <w:t xml:space="preserve">a record of a notice issued in relation to the mine under Part 10 of the Act; </w:t>
      </w:r>
    </w:p>
    <w:p>
      <w:pPr>
        <w:pStyle w:val="Indenta"/>
      </w:pPr>
      <w:r>
        <w:tab/>
        <w:t>(c)</w:t>
      </w:r>
      <w:r>
        <w:tab/>
        <w:t xml:space="preserve">a record of a provisional improvement notice issued in relation to the mine under Part 5 Division 7 of the Act; </w:t>
      </w:r>
    </w:p>
    <w:p>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pPr>
        <w:pStyle w:val="Indenta"/>
      </w:pPr>
      <w:r>
        <w:tab/>
        <w:t>(e)</w:t>
      </w:r>
      <w:r>
        <w:tab/>
        <w:t xml:space="preserve">a record of every notifiable incident or reportable incident notified to the regulator; </w:t>
      </w:r>
    </w:p>
    <w:p>
      <w:pPr>
        <w:pStyle w:val="Indenta"/>
      </w:pPr>
      <w:r>
        <w:tab/>
        <w:t>(f)</w:t>
      </w:r>
      <w:r>
        <w:tab/>
        <w:t xml:space="preserve">a summary of all records kept under regulations 619 and 620; </w:t>
      </w:r>
    </w:p>
    <w:p>
      <w:pPr>
        <w:pStyle w:val="Indenta"/>
      </w:pPr>
      <w:r>
        <w:tab/>
        <w:t>(g)</w:t>
      </w:r>
      <w:r>
        <w:tab/>
        <w:t>the records referred to in regulation 675ZW.</w:t>
      </w:r>
    </w:p>
    <w:p>
      <w:pPr>
        <w:pStyle w:val="Subsection"/>
      </w:pPr>
      <w:r>
        <w:lastRenderedPageBreak/>
        <w:tab/>
        <w:t>(3)</w:t>
      </w:r>
      <w:r>
        <w:tab/>
        <w:t>However, the mine record must not contain a worker’s health records.</w:t>
      </w:r>
    </w:p>
    <w:p>
      <w:pPr>
        <w:pStyle w:val="Subsection"/>
      </w:pPr>
      <w:r>
        <w:tab/>
        <w:t>(4)</w:t>
      </w:r>
      <w:r>
        <w:tab/>
        <w:t xml:space="preserve">A person must not — </w:t>
      </w:r>
    </w:p>
    <w:p>
      <w:pPr>
        <w:pStyle w:val="Indenta"/>
      </w:pPr>
      <w:r>
        <w:tab/>
        <w:t>(a)</w:t>
      </w:r>
      <w:r>
        <w:tab/>
        <w:t>knowingly alter, destroy or deface a record contained in a mine record in order to make the record false or misleading in a material particular; or</w:t>
      </w:r>
    </w:p>
    <w:p>
      <w:pPr>
        <w:pStyle w:val="Indenta"/>
      </w:pPr>
      <w:r>
        <w:tab/>
        <w:t>(b)</w:t>
      </w:r>
      <w:r>
        <w:tab/>
        <w:t>enter information in a record contained in a mine record that the person knows to be false or misleading in a material particular.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1062" w:name="_Toc200720566"/>
      <w:r>
        <w:rPr>
          <w:rStyle w:val="CharSectno"/>
        </w:rPr>
        <w:t>675Z</w:t>
      </w:r>
      <w:r>
        <w:t>.</w:t>
      </w:r>
      <w:r>
        <w:tab/>
      </w:r>
      <w:r>
        <w:rPr>
          <w:spacing w:val="-2"/>
        </w:rPr>
        <w:t>Mine record must be kept and available</w:t>
      </w:r>
      <w:bookmarkEnd w:id="1062"/>
    </w:p>
    <w:p>
      <w:pPr>
        <w:pStyle w:val="Subsection"/>
      </w:pPr>
      <w:r>
        <w:rPr>
          <w:spacing w:val="-2"/>
        </w:rPr>
        <w:tab/>
        <w:t>(1)</w:t>
      </w:r>
      <w:r>
        <w:rPr>
          <w:spacing w:val="-2"/>
        </w:rPr>
        <w:tab/>
      </w:r>
      <w:r>
        <w:t xml:space="preserve">The mine operator of a mine must keep a record that forms part of the mine record for the mine under regulation 675Y for — </w:t>
      </w:r>
    </w:p>
    <w:p>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pPr>
        <w:pStyle w:val="Indenta"/>
      </w:pPr>
      <w:r>
        <w:tab/>
        <w:t>(b)</w:t>
      </w:r>
      <w:r>
        <w:tab/>
        <w:t>otherwise — 7 years from the date the record was made.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If the mine operator of a mine changes, the former mine operator of the mine must give the new mine operator the </w:t>
      </w:r>
      <w:r>
        <w:lastRenderedPageBreak/>
        <w:t>records that form part of the mine record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The mine operator of a mine must ensure that the mine record for the mine is kept or is available for inspection under the Act — </w:t>
      </w:r>
    </w:p>
    <w:p>
      <w:pPr>
        <w:pStyle w:val="Indenta"/>
      </w:pPr>
      <w:r>
        <w:tab/>
        <w:t>(a)</w:t>
      </w:r>
      <w:r>
        <w:tab/>
        <w:t>if the regulator authorises the mine record to be kept at a particular place — at that place; or</w:t>
      </w:r>
    </w:p>
    <w:p>
      <w:pPr>
        <w:pStyle w:val="Indenta"/>
      </w:pPr>
      <w:r>
        <w:tab/>
        <w:t>(b)</w:t>
      </w:r>
      <w:r>
        <w:tab/>
        <w:t xml:space="preserve">at — </w:t>
      </w:r>
    </w:p>
    <w:p>
      <w:pPr>
        <w:pStyle w:val="Indenti"/>
      </w:pPr>
      <w:r>
        <w:tab/>
        <w:t>(i)</w:t>
      </w:r>
      <w:r>
        <w:tab/>
        <w:t>for a mine where only exploration operations are carried out — an office within the State; or</w:t>
      </w:r>
    </w:p>
    <w:p>
      <w:pPr>
        <w:pStyle w:val="Indenti"/>
      </w:pPr>
      <w:r>
        <w:tab/>
        <w:t>(ii)</w:t>
      </w:r>
      <w:r>
        <w:tab/>
        <w:t>otherwise —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The mine operator of a mine must ensure that the mine record for the mine is available, on request, to any of the following persons — </w:t>
      </w:r>
    </w:p>
    <w:p>
      <w:pPr>
        <w:pStyle w:val="Indenta"/>
      </w:pPr>
      <w:r>
        <w:tab/>
        <w:t>(a)</w:t>
      </w:r>
      <w:r>
        <w:tab/>
        <w:t xml:space="preserve">an inspector; </w:t>
      </w:r>
    </w:p>
    <w:p>
      <w:pPr>
        <w:pStyle w:val="Indenta"/>
      </w:pPr>
      <w:r>
        <w:tab/>
        <w:t>(b)</w:t>
      </w:r>
      <w:r>
        <w:tab/>
        <w:t xml:space="preserve">a person approved by the regulator to inspect the mine record; </w:t>
      </w:r>
    </w:p>
    <w:p>
      <w:pPr>
        <w:pStyle w:val="Indenta"/>
      </w:pPr>
      <w:r>
        <w:lastRenderedPageBreak/>
        <w:tab/>
        <w:t>(c)</w:t>
      </w:r>
      <w:r>
        <w:tab/>
        <w:t xml:space="preserve">a member of the health and safety committee for the mine; </w:t>
      </w:r>
    </w:p>
    <w:p>
      <w:pPr>
        <w:pStyle w:val="Indenta"/>
      </w:pPr>
      <w:r>
        <w:tab/>
        <w:t>(d)</w:t>
      </w:r>
      <w:r>
        <w:tab/>
        <w:t xml:space="preserve">a health and safety representative for workers at the mine; </w:t>
      </w:r>
    </w:p>
    <w:p>
      <w:pPr>
        <w:pStyle w:val="Indenta"/>
      </w:pPr>
      <w:r>
        <w:tab/>
        <w:t>(e)</w:t>
      </w:r>
      <w:r>
        <w:tab/>
        <w:t xml:space="preserve">the regulator in the manner decided by the regulator.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For the purposes of subregulation (5) — </w:t>
      </w:r>
    </w:p>
    <w:p>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pPr>
        <w:pStyle w:val="Indenta"/>
      </w:pPr>
      <w:r>
        <w:tab/>
        <w:t>(b)</w:t>
      </w:r>
      <w:r>
        <w:tab/>
        <w:t>the manner decided by the regulator may include an electronic database or system.</w:t>
      </w:r>
    </w:p>
    <w:p>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Heading5"/>
      </w:pPr>
      <w:bookmarkStart w:id="1063" w:name="_Toc200720567"/>
      <w:r>
        <w:rPr>
          <w:rStyle w:val="CharSectno"/>
        </w:rPr>
        <w:t>675ZA</w:t>
      </w:r>
      <w:r>
        <w:t>.</w:t>
      </w:r>
      <w:r>
        <w:tab/>
        <w:t>Mine record to contain inspection records</w:t>
      </w:r>
      <w:bookmarkEnd w:id="1063"/>
      <w:r>
        <w:t xml:space="preserve"> </w:t>
      </w:r>
    </w:p>
    <w:p>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pPr>
        <w:pStyle w:val="Indenta"/>
      </w:pPr>
      <w:r>
        <w:tab/>
        <w:t>(a)</w:t>
      </w:r>
      <w:r>
        <w:tab/>
        <w:t>the parts of the mine inspected by the inspector; and</w:t>
      </w:r>
    </w:p>
    <w:p>
      <w:pPr>
        <w:pStyle w:val="Indenta"/>
      </w:pPr>
      <w:r>
        <w:tab/>
        <w:t>(b)</w:t>
      </w:r>
      <w:r>
        <w:tab/>
        <w:t>the nature of inspection; and</w:t>
      </w:r>
    </w:p>
    <w:p>
      <w:pPr>
        <w:pStyle w:val="Indenta"/>
      </w:pPr>
      <w:r>
        <w:lastRenderedPageBreak/>
        <w:tab/>
        <w:t>(c)</w:t>
      </w:r>
      <w:r>
        <w:tab/>
        <w:t xml:space="preserve">any defects in the state or condition of the parts of the mine that the inspector observed during the inspection; and </w:t>
      </w:r>
    </w:p>
    <w:p>
      <w:pPr>
        <w:pStyle w:val="Indenta"/>
      </w:pPr>
      <w:r>
        <w:tab/>
        <w:t>(d)</w:t>
      </w:r>
      <w:r>
        <w:tab/>
        <w:t>if the inspector issues a notice in relation to the mine under Part 10 of the Act because of the inspection — details of the notice.</w:t>
      </w:r>
    </w:p>
    <w:p>
      <w:pPr>
        <w:pStyle w:val="Subsection"/>
      </w:pPr>
      <w:r>
        <w:tab/>
        <w:t>(2)</w:t>
      </w:r>
      <w:r>
        <w:tab/>
        <w:t>The mine operator of a mine who receives an inspection record in relation to the mine must ensure that the mine record for the mine under regulation 675Y contains the inspection record.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064" w:name="_Toc200720568"/>
      <w:r>
        <w:rPr>
          <w:rStyle w:val="CharPartNo"/>
        </w:rPr>
        <w:t>Part 10.7A</w:t>
      </w:r>
      <w:r>
        <w:t> — </w:t>
      </w:r>
      <w:r>
        <w:rPr>
          <w:rStyle w:val="CharPartText"/>
        </w:rPr>
        <w:t>Positions in relation to mines</w:t>
      </w:r>
      <w:bookmarkEnd w:id="1064"/>
    </w:p>
    <w:p>
      <w:pPr>
        <w:pStyle w:val="Heading4"/>
      </w:pPr>
      <w:bookmarkStart w:id="1065" w:name="_Toc200720569"/>
      <w:r>
        <w:rPr>
          <w:rStyle w:val="CharDivNo"/>
        </w:rPr>
        <w:t>Division 1</w:t>
      </w:r>
      <w:r>
        <w:t> — </w:t>
      </w:r>
      <w:r>
        <w:rPr>
          <w:rStyle w:val="CharDivText"/>
        </w:rPr>
        <w:t>Duties to have persons carry out functions of statutory positions</w:t>
      </w:r>
      <w:bookmarkEnd w:id="1065"/>
    </w:p>
    <w:p>
      <w:pPr>
        <w:pStyle w:val="Heading5"/>
      </w:pPr>
      <w:bookmarkStart w:id="1066" w:name="_Toc200720570"/>
      <w:r>
        <w:rPr>
          <w:rStyle w:val="CharSectno"/>
        </w:rPr>
        <w:t>675ZB</w:t>
      </w:r>
      <w:r>
        <w:t>.</w:t>
      </w:r>
      <w:r>
        <w:tab/>
        <w:t>Duties of mine operators in relation to statutory positions at mines</w:t>
      </w:r>
      <w:bookmarkEnd w:id="1066"/>
    </w:p>
    <w:p>
      <w:pPr>
        <w:pStyle w:val="Subsection"/>
      </w:pPr>
      <w:r>
        <w:tab/>
        <w:t>(1)</w:t>
      </w:r>
      <w:r>
        <w:tab/>
        <w:t xml:space="preserve">The mine operator of a mine must ensure that a person does not carry out the functions of a statutory position unless — </w:t>
      </w:r>
    </w:p>
    <w:p>
      <w:pPr>
        <w:pStyle w:val="Indenta"/>
      </w:pPr>
      <w:r>
        <w:tab/>
        <w:t>(a)</w:t>
      </w:r>
      <w:r>
        <w:tab/>
        <w:t xml:space="preserve">the person — </w:t>
      </w:r>
    </w:p>
    <w:p>
      <w:pPr>
        <w:pStyle w:val="Indenti"/>
      </w:pPr>
      <w:r>
        <w:tab/>
        <w:t>(i)</w:t>
      </w:r>
      <w:r>
        <w:tab/>
        <w:t>if the person is the alternate for the site senior executive — meets the eligibility requirements set out in regulation 675ZR(1); or</w:t>
      </w:r>
    </w:p>
    <w:p>
      <w:pPr>
        <w:pStyle w:val="Indenti"/>
      </w:pPr>
      <w:r>
        <w:tab/>
        <w:t>(ii)</w:t>
      </w:r>
      <w:r>
        <w:tab/>
        <w:t>otherwise — is an appropriate person for the position;</w:t>
      </w:r>
    </w:p>
    <w:p>
      <w:pPr>
        <w:pStyle w:val="Indenta"/>
      </w:pPr>
      <w:r>
        <w:tab/>
      </w:r>
      <w:r>
        <w:tab/>
        <w:t xml:space="preserve"> and</w:t>
      </w:r>
    </w:p>
    <w:p>
      <w:pPr>
        <w:pStyle w:val="Indenta"/>
      </w:pPr>
      <w:r>
        <w:tab/>
        <w:t>(b)</w:t>
      </w:r>
      <w:r>
        <w:tab/>
        <w:t xml:space="preserve">the person — </w:t>
      </w:r>
    </w:p>
    <w:p>
      <w:pPr>
        <w:pStyle w:val="Indenti"/>
      </w:pPr>
      <w:r>
        <w:tab/>
        <w:t>(i)</w:t>
      </w:r>
      <w:r>
        <w:tab/>
        <w:t xml:space="preserve">if the position is a key statutory position — is an alternate for the key statutory position and the </w:t>
      </w:r>
      <w:r>
        <w:lastRenderedPageBreak/>
        <w:t>person appointed to the position is not carrying out the functions of the position; or</w:t>
      </w:r>
    </w:p>
    <w:p>
      <w:pPr>
        <w:pStyle w:val="Indenti"/>
      </w:pPr>
      <w:r>
        <w:tab/>
        <w:t>(ii)</w:t>
      </w:r>
      <w:r>
        <w:tab/>
        <w:t>otherwise — has been appointed to the position.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 </w:t>
      </w:r>
    </w:p>
    <w:p>
      <w:pPr>
        <w:pStyle w:val="Indenta"/>
      </w:pPr>
      <w:r>
        <w:tab/>
        <w:t>(a)</w:t>
      </w:r>
      <w:r>
        <w:tab/>
        <w:t xml:space="preserve">the person who has been appointed to the position or is an alternate for a key statutory position — </w:t>
      </w:r>
    </w:p>
    <w:p>
      <w:pPr>
        <w:pStyle w:val="Indenti"/>
      </w:pPr>
      <w:r>
        <w:tab/>
        <w:t>(i)</w:t>
      </w:r>
      <w:r>
        <w:tab/>
        <w:t xml:space="preserve">is not an appropriate person for the position; and </w:t>
      </w:r>
    </w:p>
    <w:p>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pPr>
        <w:pStyle w:val="Indenta"/>
      </w:pPr>
      <w:r>
        <w:tab/>
      </w:r>
      <w:r>
        <w:tab/>
        <w:t>and</w:t>
      </w:r>
    </w:p>
    <w:p>
      <w:pPr>
        <w:pStyle w:val="Indenta"/>
      </w:pPr>
      <w:r>
        <w:tab/>
        <w:t>(b)</w:t>
      </w:r>
      <w:r>
        <w:tab/>
        <w:t>the mine operator complies with regulation 675ZX.</w:t>
      </w:r>
    </w:p>
    <w:p>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7" w:name="_Toc200720571"/>
      <w:r>
        <w:rPr>
          <w:rStyle w:val="CharSectno"/>
        </w:rPr>
        <w:t>675ZC</w:t>
      </w:r>
      <w:r>
        <w:t>.</w:t>
      </w:r>
      <w:r>
        <w:tab/>
        <w:t>Sufficient persons must be appointed for statutory positions</w:t>
      </w:r>
      <w:bookmarkEnd w:id="1067"/>
      <w:r>
        <w:t xml:space="preserve"> </w:t>
      </w:r>
    </w:p>
    <w:p>
      <w:pPr>
        <w:pStyle w:val="Subsection"/>
      </w:pPr>
      <w:r>
        <w:tab/>
        <w:t>(1)</w:t>
      </w:r>
      <w:r>
        <w:tab/>
        <w:t xml:space="preserve">The mine operator of a mine must ensure that sufficient appropriate persons for the key statutory positions are appointed as alternates for the positions for the mine so that a person appointed to the key statutory position, or an alternate, is </w:t>
      </w:r>
      <w:r>
        <w:lastRenderedPageBreak/>
        <w:t>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68" w:name="_Toc200720572"/>
      <w:r>
        <w:rPr>
          <w:rStyle w:val="CharDivNo"/>
        </w:rPr>
        <w:t>Division 2</w:t>
      </w:r>
      <w:r>
        <w:t> — </w:t>
      </w:r>
      <w:r>
        <w:rPr>
          <w:rStyle w:val="CharDivText"/>
        </w:rPr>
        <w:t>Mine operator</w:t>
      </w:r>
      <w:bookmarkEnd w:id="1068"/>
    </w:p>
    <w:p>
      <w:pPr>
        <w:pStyle w:val="Heading5"/>
      </w:pPr>
      <w:bookmarkStart w:id="1069" w:name="_Toc200720573"/>
      <w:r>
        <w:rPr>
          <w:rStyle w:val="CharSectno"/>
        </w:rPr>
        <w:t>675ZD</w:t>
      </w:r>
      <w:r>
        <w:t>.</w:t>
      </w:r>
      <w:r>
        <w:tab/>
        <w:t>Information about mine operator</w:t>
      </w:r>
      <w:bookmarkEnd w:id="1069"/>
    </w:p>
    <w:p>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keepNext/>
        <w:rPr>
          <w:sz w:val="20"/>
        </w:rPr>
      </w:pPr>
      <w:r>
        <w:tab/>
        <w:t>(2)</w:t>
      </w:r>
      <w:r>
        <w:tab/>
        <w:t xml:space="preserve">The person who becomes the mine operator of a mine when mining operations commence at the mine commits an offence if </w:t>
      </w:r>
      <w:r>
        <w:lastRenderedPageBreak/>
        <w:t>the mining operations commence without the person having complied with subregulation (1).</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pPr>
        <w:pStyle w:val="Indenta"/>
      </w:pPr>
      <w:r>
        <w:tab/>
        <w:t>(a)</w:t>
      </w:r>
      <w:r>
        <w:tab/>
        <w:t>the person’s name and address;</w:t>
      </w:r>
    </w:p>
    <w:p>
      <w:pPr>
        <w:pStyle w:val="Indenta"/>
      </w:pPr>
      <w:r>
        <w:tab/>
        <w:t>(b)</w:t>
      </w:r>
      <w:r>
        <w:tab/>
        <w:t>the date of the change;</w:t>
      </w:r>
    </w:p>
    <w:p>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(d)</w:t>
      </w:r>
      <w:r>
        <w:tab/>
        <w:t>any other information or document relating to the person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pPr>
        <w:pStyle w:val="Subsection"/>
      </w:pPr>
      <w:r>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Subregulation (6) does not apply if the person ceases to be the mine operator of the mine.</w:t>
      </w:r>
    </w:p>
    <w:p>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pPr>
        <w:pStyle w:val="Heading5"/>
      </w:pPr>
      <w:bookmarkStart w:id="1070" w:name="_Toc200720574"/>
      <w:r>
        <w:rPr>
          <w:rStyle w:val="CharSectno"/>
        </w:rPr>
        <w:t>675ZE</w:t>
      </w:r>
      <w:r>
        <w:t>.</w:t>
      </w:r>
      <w:r>
        <w:tab/>
        <w:t>Duties of mine operator</w:t>
      </w:r>
      <w:bookmarkEnd w:id="1070"/>
      <w:r>
        <w:t xml:space="preserve"> </w:t>
      </w:r>
    </w:p>
    <w:p>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pPr>
        <w:pStyle w:val="Subsection"/>
      </w:pPr>
      <w:r>
        <w:tab/>
        <w:t>(2)</w:t>
      </w:r>
      <w:r>
        <w:tab/>
        <w:t xml:space="preserve">The mine operator of a mine must ensure, so far as is reasonably practicable, that there is minimum risk to the health and safety of persons from the mine and anything arising from the mine. </w:t>
      </w:r>
    </w:p>
    <w:p>
      <w:pPr>
        <w:pStyle w:val="Subsection"/>
      </w:pPr>
      <w:r>
        <w:tab/>
        <w:t>(3)</w:t>
      </w:r>
      <w:r>
        <w:tab/>
        <w:t xml:space="preserve">The duties imposed under subregulations (1) and (2) are not limited by other provisions of these regulations that impose duties on another person in relation to the operation of a mine. </w:t>
      </w:r>
    </w:p>
    <w:p>
      <w:pPr>
        <w:pStyle w:val="PermNoteHeading"/>
      </w:pPr>
      <w:r>
        <w:tab/>
        <w:t>Note for this subregulation:</w:t>
      </w:r>
    </w:p>
    <w:p>
      <w:pPr>
        <w:pStyle w:val="PermNoteText"/>
      </w:pPr>
      <w:r>
        <w:tab/>
      </w:r>
      <w:r>
        <w:tab/>
        <w:t>WHS Act — section 19 (see regulation 9).</w:t>
      </w:r>
    </w:p>
    <w:p>
      <w:pPr>
        <w:pStyle w:val="Heading5"/>
      </w:pPr>
      <w:bookmarkStart w:id="1071" w:name="_Toc200720575"/>
      <w:r>
        <w:rPr>
          <w:rStyle w:val="CharSectno"/>
        </w:rPr>
        <w:lastRenderedPageBreak/>
        <w:t>675ZF</w:t>
      </w:r>
      <w:r>
        <w:t>.</w:t>
      </w:r>
      <w:r>
        <w:tab/>
        <w:t>Duties of mine operator of exploration mine without workers</w:t>
      </w:r>
      <w:bookmarkEnd w:id="1071"/>
    </w:p>
    <w:p>
      <w:pPr>
        <w:pStyle w:val="Subsection"/>
        <w:keepNext/>
      </w:pPr>
      <w:r>
        <w:tab/>
        <w:t>(1)</w:t>
      </w:r>
      <w:r>
        <w:tab/>
        <w:t xml:space="preserve">This regulation applies if — </w:t>
      </w:r>
    </w:p>
    <w:p>
      <w:pPr>
        <w:pStyle w:val="Indenta"/>
      </w:pPr>
      <w:r>
        <w:tab/>
        <w:t>(a)</w:t>
      </w:r>
      <w:r>
        <w:tab/>
        <w:t>only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or exploration manager is appointed for the mine. </w:t>
      </w:r>
    </w:p>
    <w:p>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pPr>
        <w:pStyle w:val="Heading5"/>
      </w:pPr>
      <w:bookmarkStart w:id="1072" w:name="_Toc200720576"/>
      <w:r>
        <w:rPr>
          <w:rStyle w:val="CharSectno"/>
        </w:rPr>
        <w:t>675ZG</w:t>
      </w:r>
      <w:r>
        <w:t>.</w:t>
      </w:r>
      <w:r>
        <w:tab/>
        <w:t>Duties of mine operator of mine where non</w:t>
      </w:r>
      <w:r>
        <w:noBreakHyphen/>
        <w:t>exploration operations are carried out without workers</w:t>
      </w:r>
      <w:bookmarkEnd w:id="1072"/>
      <w:r>
        <w:t xml:space="preserve"> </w:t>
      </w:r>
    </w:p>
    <w:p>
      <w:pPr>
        <w:pStyle w:val="Subsection"/>
      </w:pPr>
      <w:r>
        <w:tab/>
        <w:t>(1)</w:t>
      </w:r>
      <w:r>
        <w:tab/>
        <w:t xml:space="preserve">This regulation applies if — </w:t>
      </w:r>
    </w:p>
    <w:p>
      <w:pPr>
        <w:pStyle w:val="Indenta"/>
      </w:pPr>
      <w:r>
        <w:tab/>
        <w:t>(a)</w:t>
      </w:r>
      <w:r>
        <w:tab/>
        <w:t>mining operations other than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is appointed for the mine. </w:t>
      </w:r>
    </w:p>
    <w:p>
      <w:pPr>
        <w:pStyle w:val="Subsection"/>
      </w:pPr>
      <w:r>
        <w:tab/>
        <w:t>(2)</w:t>
      </w:r>
      <w:r>
        <w:tab/>
        <w:t>Each person who is a partner of the partnership or member of the syndicate or other association is jointly and severally liable for carrying out the functions of a site senior executive at the mine.</w:t>
      </w:r>
    </w:p>
    <w:p>
      <w:pPr>
        <w:pStyle w:val="Heading4"/>
      </w:pPr>
      <w:bookmarkStart w:id="1073" w:name="_Toc200720577"/>
      <w:r>
        <w:rPr>
          <w:rStyle w:val="CharDivNo"/>
        </w:rPr>
        <w:lastRenderedPageBreak/>
        <w:t>Division 3</w:t>
      </w:r>
      <w:r>
        <w:t> — </w:t>
      </w:r>
      <w:r>
        <w:rPr>
          <w:rStyle w:val="CharDivText"/>
        </w:rPr>
        <w:t>Site senior executive</w:t>
      </w:r>
      <w:bookmarkEnd w:id="1073"/>
    </w:p>
    <w:p>
      <w:pPr>
        <w:pStyle w:val="Heading5"/>
      </w:pPr>
      <w:bookmarkStart w:id="1074" w:name="_Toc200720578"/>
      <w:r>
        <w:rPr>
          <w:rStyle w:val="CharSectno"/>
        </w:rPr>
        <w:t>675ZH</w:t>
      </w:r>
      <w:r>
        <w:t>.</w:t>
      </w:r>
      <w:r>
        <w:tab/>
        <w:t>Mine to have site senior executive</w:t>
      </w:r>
      <w:bookmarkEnd w:id="1074"/>
    </w:p>
    <w:p>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However, subregulation (1) does not apply if — </w:t>
      </w:r>
    </w:p>
    <w:p>
      <w:pPr>
        <w:pStyle w:val="Indenta"/>
      </w:pPr>
      <w:r>
        <w:tab/>
        <w:t>(a)</w:t>
      </w:r>
      <w:r>
        <w:tab/>
        <w:t>the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675ZG.</w:t>
      </w:r>
    </w:p>
    <w:p>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pPr>
        <w:pStyle w:val="Subsection"/>
      </w:pPr>
      <w:r>
        <w:tab/>
        <w:t>(4)</w:t>
      </w:r>
      <w:r>
        <w:tab/>
        <w:t xml:space="preserve">If the regulator requires the appointment of a site senior executive for a mine under subregulation (3), the regulator must give the mine operator for the mine a written notice stating — </w:t>
      </w:r>
    </w:p>
    <w:p>
      <w:pPr>
        <w:pStyle w:val="Indenta"/>
      </w:pPr>
      <w:r>
        <w:tab/>
        <w:t>(a)</w:t>
      </w:r>
      <w:r>
        <w:tab/>
        <w:t>that the mine operator must appoint a site senior executive for the mine; and</w:t>
      </w:r>
    </w:p>
    <w:p>
      <w:pPr>
        <w:pStyle w:val="Indenta"/>
      </w:pPr>
      <w:r>
        <w:tab/>
        <w:t>(b)</w:t>
      </w:r>
      <w:r>
        <w:tab/>
        <w:t>that failure to appoint a person is an offence under subregulation (5).</w:t>
      </w:r>
    </w:p>
    <w:p>
      <w:pPr>
        <w:pStyle w:val="Subsection"/>
      </w:pPr>
      <w:r>
        <w:tab/>
        <w:t>(5)</w:t>
      </w:r>
      <w:r>
        <w:tab/>
        <w:t xml:space="preserve">If the regulator requires the appointment under subregulation (3) of a site senior executive for a mine, the mine operator or prospective mine operator of the mine must, before the </w:t>
      </w:r>
      <w:r>
        <w:lastRenderedPageBreak/>
        <w:t>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See regulation 675ZK(2) in relation to a requirement to give the regulator notice about the site senior executive.</w:t>
      </w:r>
    </w:p>
    <w:p>
      <w:pPr>
        <w:pStyle w:val="PermNoteText"/>
      </w:pPr>
      <w:r>
        <w:tab/>
        <w:t>2.</w:t>
      </w:r>
      <w:r>
        <w:tab/>
        <w:t>See regulations 675ZB(3) and 675ZI(4) in relation to requirements about appointment of a site senior executive after mining operations commence at a mine.</w:t>
      </w:r>
    </w:p>
    <w:p>
      <w:pPr>
        <w:pStyle w:val="Heading5"/>
      </w:pPr>
      <w:bookmarkStart w:id="1075" w:name="_Toc200720579"/>
      <w:r>
        <w:rPr>
          <w:rStyle w:val="CharSectno"/>
        </w:rPr>
        <w:t>675ZI</w:t>
      </w:r>
      <w:r>
        <w:t>.</w:t>
      </w:r>
      <w:r>
        <w:tab/>
        <w:t>Appointment of site senior executive</w:t>
      </w:r>
      <w:bookmarkEnd w:id="1075"/>
      <w:r>
        <w:t xml:space="preserve"> </w:t>
      </w:r>
    </w:p>
    <w:p>
      <w:pPr>
        <w:pStyle w:val="Subsection"/>
      </w:pPr>
      <w:r>
        <w:tab/>
        <w:t>(1)</w:t>
      </w:r>
      <w:r>
        <w:tab/>
        <w:t xml:space="preserve">A person is eligible to be appointed as the site senior executive of a mine if the person — </w:t>
      </w:r>
    </w:p>
    <w:p>
      <w:pPr>
        <w:pStyle w:val="Indenta"/>
      </w:pPr>
      <w:r>
        <w:tab/>
        <w:t>(a)</w:t>
      </w:r>
      <w:r>
        <w:tab/>
        <w:t>is the most senior executive located at or near the mine; and</w:t>
      </w:r>
    </w:p>
    <w:p>
      <w:pPr>
        <w:pStyle w:val="Indenta"/>
      </w:pPr>
      <w:r>
        <w:tab/>
        <w:t>(b)</w:t>
      </w:r>
      <w:r>
        <w:tab/>
        <w:t>is able to carry out the functions of the site senior executive under regulation 675ZJ in relation to the mine; and</w:t>
      </w:r>
    </w:p>
    <w:p>
      <w:pPr>
        <w:pStyle w:val="Indenta"/>
      </w:pPr>
      <w:r>
        <w:tab/>
        <w:t>(c)</w:t>
      </w:r>
      <w:r>
        <w:tab/>
        <w:t>passes an applicable legislation examination for site senior executives; and</w:t>
      </w:r>
    </w:p>
    <w:p>
      <w:pPr>
        <w:pStyle w:val="Indenta"/>
      </w:pPr>
      <w:r>
        <w:tab/>
        <w:t>(d)</w:t>
      </w:r>
      <w:r>
        <w:tab/>
        <w:t>successfully completes an approved WHS risk management unit for site senior executives; and</w:t>
      </w:r>
    </w:p>
    <w:p>
      <w:pPr>
        <w:pStyle w:val="Indenta"/>
      </w:pPr>
      <w:r>
        <w:tab/>
        <w:t>(e)</w:t>
      </w:r>
      <w:r>
        <w:tab/>
        <w:t>works at a mine for at least 2 years.</w:t>
      </w:r>
    </w:p>
    <w:p>
      <w:pPr>
        <w:pStyle w:val="Subsection"/>
      </w:pPr>
      <w:r>
        <w:tab/>
        <w:t>(2)</w:t>
      </w:r>
      <w:r>
        <w:tab/>
        <w:t xml:space="preserve">The appointment of a person as the site senior executive of a mine must be in the approved form and in the manner approved by the regulator. </w:t>
      </w:r>
    </w:p>
    <w:p>
      <w:pPr>
        <w:pStyle w:val="Subsection"/>
      </w:pPr>
      <w:r>
        <w:tab/>
        <w:t>(3)</w:t>
      </w:r>
      <w:r>
        <w:tab/>
        <w:t>If a person appointed as the site senior executive of a mine ceases to meet the requirements of subregulation (1), the person ceases to be the site senior executive of the mine.</w:t>
      </w:r>
    </w:p>
    <w:p>
      <w:pPr>
        <w:pStyle w:val="Subsection"/>
      </w:pPr>
      <w:r>
        <w:tab/>
        <w:t>(4)</w:t>
      </w:r>
      <w:r>
        <w:tab/>
        <w:t xml:space="preserve">If a person ceases to be the site senior executive of a mine, the mine operator of the mine must appoint a person who meets the </w:t>
      </w:r>
      <w:r>
        <w:lastRenderedPageBreak/>
        <w:t>requirements of subregulation (1) as the site senior executive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1076" w:name="_Toc200720580"/>
      <w:r>
        <w:rPr>
          <w:rStyle w:val="CharSectno"/>
        </w:rPr>
        <w:t>675ZJ</w:t>
      </w:r>
      <w:r>
        <w:t>.</w:t>
      </w:r>
      <w:r>
        <w:tab/>
        <w:t>Functions of site senior executive</w:t>
      </w:r>
      <w:bookmarkEnd w:id="1076"/>
      <w:r>
        <w:t xml:space="preserve"> </w:t>
      </w:r>
    </w:p>
    <w:p>
      <w:pPr>
        <w:pStyle w:val="Subsection"/>
      </w:pPr>
      <w:r>
        <w:tab/>
      </w:r>
      <w:r>
        <w:tab/>
        <w:t xml:space="preserve">A site senior executive of a mine has the following functions — </w:t>
      </w:r>
    </w:p>
    <w:p>
      <w:pPr>
        <w:pStyle w:val="Indenta"/>
      </w:pPr>
      <w:r>
        <w:tab/>
        <w:t>(a)</w:t>
      </w:r>
      <w:r>
        <w:tab/>
        <w:t xml:space="preserve">providing control and management of the mine and mining operations at the mine under the Act; </w:t>
      </w:r>
    </w:p>
    <w:p>
      <w:pPr>
        <w:pStyle w:val="Indenta"/>
      </w:pPr>
      <w:r>
        <w:tab/>
        <w:t>(b)</w:t>
      </w:r>
      <w:r>
        <w:tab/>
        <w:t xml:space="preserve">managing and dealing with emergencies at the mine; </w:t>
      </w:r>
    </w:p>
    <w:p>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pPr>
        <w:pStyle w:val="Indenta"/>
      </w:pPr>
      <w:r>
        <w:tab/>
        <w:t>(e)</w:t>
      </w:r>
      <w:r>
        <w:tab/>
        <w:t>carrying out another function conferred on the site senior executive by a written law.</w:t>
      </w:r>
    </w:p>
    <w:p>
      <w:pPr>
        <w:pStyle w:val="Heading5"/>
      </w:pPr>
      <w:bookmarkStart w:id="1077" w:name="_Toc200720581"/>
      <w:r>
        <w:rPr>
          <w:rStyle w:val="CharSectno"/>
        </w:rPr>
        <w:t>675ZK</w:t>
      </w:r>
      <w:r>
        <w:t>.</w:t>
      </w:r>
      <w:r>
        <w:tab/>
        <w:t>Information about site senior executive</w:t>
      </w:r>
      <w:bookmarkEnd w:id="1077"/>
      <w:r>
        <w:t xml:space="preserve"> </w:t>
      </w:r>
    </w:p>
    <w:p>
      <w:pPr>
        <w:pStyle w:val="Subsection"/>
      </w:pPr>
      <w:r>
        <w:tab/>
        <w:t>(1)</w:t>
      </w:r>
      <w:r>
        <w:tab/>
        <w:t>This regulation applies to a mine where a site senior executive must be appointed.</w:t>
      </w:r>
    </w:p>
    <w:p>
      <w:pPr>
        <w:pStyle w:val="PermNoteHeading"/>
      </w:pPr>
      <w:r>
        <w:tab/>
        <w:t>Note for this subregulation:</w:t>
      </w:r>
    </w:p>
    <w:p>
      <w:pPr>
        <w:pStyle w:val="PermNoteText"/>
      </w:pPr>
      <w:r>
        <w:tab/>
      </w:r>
      <w:r>
        <w:tab/>
        <w:t>See regulation 675ZH in relation to when an offence is committed if a site senior executive is not appointed at a mine.</w:t>
      </w:r>
    </w:p>
    <w:p>
      <w:pPr>
        <w:pStyle w:val="Subsection"/>
      </w:pPr>
      <w:r>
        <w:lastRenderedPageBreak/>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pPr>
        <w:pStyle w:val="Subsection"/>
      </w:pPr>
      <w:r>
        <w:tab/>
        <w:t>(3)</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keepNext/>
      </w:pPr>
      <w:r>
        <w:tab/>
        <w:t>(6)</w:t>
      </w:r>
      <w:r>
        <w:tab/>
        <w:t xml:space="preserve">A person who is required to provide the regulator with a clarification of the contents of the notice, or with any supplementary information or document, under </w:t>
      </w:r>
      <w:r>
        <w:lastRenderedPageBreak/>
        <w:t xml:space="preserve">subregulation (5) must comply with the requirement as soon as practicable. </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1078" w:name="_Toc200720582"/>
      <w:r>
        <w:rPr>
          <w:rStyle w:val="CharDivNo"/>
        </w:rPr>
        <w:t>Division 4</w:t>
      </w:r>
      <w:r>
        <w:t> — </w:t>
      </w:r>
      <w:r>
        <w:rPr>
          <w:rStyle w:val="CharDivText"/>
        </w:rPr>
        <w:t>Exploration manager</w:t>
      </w:r>
      <w:bookmarkEnd w:id="1078"/>
    </w:p>
    <w:p>
      <w:pPr>
        <w:pStyle w:val="Heading5"/>
      </w:pPr>
      <w:bookmarkStart w:id="1079" w:name="_Toc200720583"/>
      <w:r>
        <w:rPr>
          <w:rStyle w:val="CharSectno"/>
        </w:rPr>
        <w:t>675ZL</w:t>
      </w:r>
      <w:r>
        <w:t>.</w:t>
      </w:r>
      <w:r>
        <w:tab/>
        <w:t>Exploration mine to have exploration manager</w:t>
      </w:r>
      <w:bookmarkEnd w:id="1079"/>
      <w:r>
        <w:t xml:space="preserve"> </w:t>
      </w:r>
    </w:p>
    <w:p>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However, subregulation (1) does not apply if — </w:t>
      </w:r>
    </w:p>
    <w:p>
      <w:pPr>
        <w:pStyle w:val="Indenta"/>
      </w:pPr>
      <w:r>
        <w:tab/>
        <w:t>(a)</w:t>
      </w:r>
      <w:r>
        <w:tab/>
        <w:t>the mine operator or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675ZF.</w:t>
      </w:r>
    </w:p>
    <w:p>
      <w:pPr>
        <w:pStyle w:val="Heading5"/>
      </w:pPr>
      <w:bookmarkStart w:id="1080" w:name="_Toc200720584"/>
      <w:r>
        <w:rPr>
          <w:rStyle w:val="CharSectno"/>
        </w:rPr>
        <w:t>675ZM</w:t>
      </w:r>
      <w:r>
        <w:t>.</w:t>
      </w:r>
      <w:r>
        <w:tab/>
        <w:t>Appointment of exploration manager</w:t>
      </w:r>
      <w:bookmarkEnd w:id="1080"/>
    </w:p>
    <w:p>
      <w:pPr>
        <w:pStyle w:val="Subsection"/>
      </w:pPr>
      <w:r>
        <w:tab/>
        <w:t>(1)</w:t>
      </w:r>
      <w:r>
        <w:tab/>
        <w:t xml:space="preserve">A person is eligible to be appointed as the exploration manager of a mine if the person — </w:t>
      </w:r>
    </w:p>
    <w:p>
      <w:pPr>
        <w:pStyle w:val="Indenta"/>
      </w:pPr>
      <w:r>
        <w:tab/>
        <w:t>(a)</w:t>
      </w:r>
      <w:r>
        <w:tab/>
        <w:t>passes an applicable legislation examination for exploration managers; and</w:t>
      </w:r>
    </w:p>
    <w:p>
      <w:pPr>
        <w:pStyle w:val="Indenta"/>
      </w:pPr>
      <w:r>
        <w:tab/>
        <w:t>(b)</w:t>
      </w:r>
      <w:r>
        <w:tab/>
        <w:t>successfully completes an approved WHS risk management unit; and</w:t>
      </w:r>
    </w:p>
    <w:p>
      <w:pPr>
        <w:pStyle w:val="Indenta"/>
      </w:pPr>
      <w:r>
        <w:tab/>
        <w:t>(c)</w:t>
      </w:r>
      <w:r>
        <w:tab/>
        <w:t>works at a mine or in mining exploration for at least 2 years.</w:t>
      </w:r>
    </w:p>
    <w:p>
      <w:pPr>
        <w:pStyle w:val="Subsection"/>
      </w:pPr>
      <w:r>
        <w:tab/>
        <w:t>(2)</w:t>
      </w:r>
      <w:r>
        <w:tab/>
        <w:t>The appointment of a person as the exploration manager of a mine must be in the approved form and in the manner approved by the regulator.</w:t>
      </w:r>
    </w:p>
    <w:p>
      <w:pPr>
        <w:pStyle w:val="Subsection"/>
      </w:pPr>
      <w:r>
        <w:tab/>
        <w:t>(3)</w:t>
      </w:r>
      <w:r>
        <w:tab/>
        <w:t>If a person ceases to be the exploration manager of a mine, the mine operator of the mine must appoint a person who meets the requirements of subregulation (1) as the exploration manager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1081" w:name="_Toc200720585"/>
      <w:r>
        <w:rPr>
          <w:rStyle w:val="CharSectno"/>
        </w:rPr>
        <w:lastRenderedPageBreak/>
        <w:t>675ZN</w:t>
      </w:r>
      <w:r>
        <w:t>.</w:t>
      </w:r>
      <w:r>
        <w:tab/>
        <w:t>Functions of exploration manager</w:t>
      </w:r>
      <w:bookmarkEnd w:id="1081"/>
      <w:r>
        <w:t xml:space="preserve"> </w:t>
      </w:r>
    </w:p>
    <w:p>
      <w:pPr>
        <w:pStyle w:val="Subsection"/>
      </w:pPr>
      <w:r>
        <w:tab/>
      </w:r>
      <w:r>
        <w:tab/>
        <w:t xml:space="preserve">The exploration manager of a mine has the following functions — </w:t>
      </w:r>
    </w:p>
    <w:p>
      <w:pPr>
        <w:pStyle w:val="Indenta"/>
      </w:pPr>
      <w:r>
        <w:tab/>
        <w:t>(a)</w:t>
      </w:r>
      <w:r>
        <w:tab/>
        <w:t>providing control and management of the exploration operations for the mine under the Act;</w:t>
      </w:r>
    </w:p>
    <w:p>
      <w:pPr>
        <w:pStyle w:val="Indenta"/>
      </w:pPr>
      <w:r>
        <w:tab/>
        <w:t>(b)</w:t>
      </w:r>
      <w:r>
        <w:tab/>
        <w:t>carrying out any functions conferred on an exploration manager of a mine under a written law.</w:t>
      </w:r>
    </w:p>
    <w:p>
      <w:pPr>
        <w:pStyle w:val="Heading5"/>
      </w:pPr>
      <w:bookmarkStart w:id="1082" w:name="_Toc200720586"/>
      <w:r>
        <w:rPr>
          <w:rStyle w:val="CharSectno"/>
        </w:rPr>
        <w:t>675ZO</w:t>
      </w:r>
      <w:r>
        <w:t>.</w:t>
      </w:r>
      <w:r>
        <w:tab/>
        <w:t>Information about exploration manager</w:t>
      </w:r>
      <w:bookmarkEnd w:id="1082"/>
    </w:p>
    <w:p>
      <w:pPr>
        <w:pStyle w:val="Subsection"/>
      </w:pPr>
      <w:r>
        <w:tab/>
        <w:t>(1)</w:t>
      </w:r>
      <w:r>
        <w:tab/>
        <w:t>This regulation applies to a mine where an exploration manager must be appointed.</w:t>
      </w:r>
    </w:p>
    <w:p>
      <w:pPr>
        <w:pStyle w:val="PermNoteHeading"/>
      </w:pPr>
      <w:r>
        <w:tab/>
        <w:t>Note for this subregulation:</w:t>
      </w:r>
    </w:p>
    <w:p>
      <w:pPr>
        <w:pStyle w:val="PermNoteText"/>
      </w:pPr>
      <w:r>
        <w:tab/>
      </w:r>
      <w:r>
        <w:tab/>
        <w:t>See regulation 675ZL in relation to when an offence is committed if an exploration manager is not appointed at a mine.</w:t>
      </w:r>
    </w:p>
    <w:p>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pPr>
        <w:pStyle w:val="Subsection"/>
      </w:pPr>
      <w:r>
        <w:tab/>
        <w:t>(3)</w:t>
      </w:r>
      <w:r>
        <w:tab/>
        <w:t>The person who is or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there is a change in the person who is the exploration manager of the mine, the mine operator must, no later than 7 days after the date of the change, give the regulator notice of the change, including any other information or document </w:t>
      </w:r>
      <w:r>
        <w:lastRenderedPageBreak/>
        <w:t>relating to the new exploration manager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1083" w:name="_Toc200720587"/>
      <w:r>
        <w:rPr>
          <w:rStyle w:val="CharDivNo"/>
        </w:rPr>
        <w:lastRenderedPageBreak/>
        <w:t>Division 5</w:t>
      </w:r>
      <w:r>
        <w:t> — </w:t>
      </w:r>
      <w:r>
        <w:rPr>
          <w:rStyle w:val="CharDivText"/>
        </w:rPr>
        <w:t>Schedule 26 positions</w:t>
      </w:r>
      <w:bookmarkEnd w:id="1083"/>
    </w:p>
    <w:p>
      <w:pPr>
        <w:pStyle w:val="Heading5"/>
      </w:pPr>
      <w:bookmarkStart w:id="1084" w:name="_Toc200720588"/>
      <w:r>
        <w:rPr>
          <w:rStyle w:val="CharSectno"/>
        </w:rPr>
        <w:t>675ZP</w:t>
      </w:r>
      <w:r>
        <w:t>.</w:t>
      </w:r>
      <w:r>
        <w:tab/>
        <w:t>Schedule 26 positions, functions and eligibility requirements</w:t>
      </w:r>
      <w:bookmarkEnd w:id="1084"/>
      <w:r>
        <w:t xml:space="preserve"> </w:t>
      </w:r>
    </w:p>
    <w:p>
      <w:pPr>
        <w:pStyle w:val="Subsection"/>
      </w:pPr>
      <w:r>
        <w:tab/>
      </w:r>
      <w:r>
        <w:tab/>
        <w:t xml:space="preserve">Schedule 26 sets out — </w:t>
      </w:r>
    </w:p>
    <w:p>
      <w:pPr>
        <w:pStyle w:val="Indenta"/>
      </w:pPr>
      <w:r>
        <w:tab/>
        <w:t>(a)</w:t>
      </w:r>
      <w:r>
        <w:tab/>
        <w:t xml:space="preserve">the positions (the </w:t>
      </w:r>
      <w:r>
        <w:rPr>
          <w:rStyle w:val="CharDefText"/>
        </w:rPr>
        <w:t>Schedule 26 positions</w:t>
      </w:r>
      <w:r>
        <w:t>) and the mines for which a person must be appointed to those positions; and</w:t>
      </w:r>
    </w:p>
    <w:p>
      <w:pPr>
        <w:pStyle w:val="Indenta"/>
      </w:pPr>
      <w:r>
        <w:tab/>
        <w:t>(b)</w:t>
      </w:r>
      <w:r>
        <w:tab/>
        <w:t>the functions a person appointed to a Schedule 26 position must carry out; and</w:t>
      </w:r>
    </w:p>
    <w:p>
      <w:pPr>
        <w:pStyle w:val="Indenta"/>
      </w:pPr>
      <w:r>
        <w:tab/>
        <w:t>(c)</w:t>
      </w:r>
      <w:r>
        <w:tab/>
        <w:t>the eligibility requirements for the Schedule 26 positions.</w:t>
      </w:r>
    </w:p>
    <w:p>
      <w:pPr>
        <w:pStyle w:val="PermNoteHeading"/>
      </w:pPr>
      <w:r>
        <w:tab/>
        <w:t>Note for this regulation:</w:t>
      </w:r>
    </w:p>
    <w:p>
      <w:pPr>
        <w:pStyle w:val="PermNoteText"/>
      </w:pPr>
      <w:r>
        <w:tab/>
      </w:r>
      <w:r>
        <w:tab/>
        <w:t>For the purposes of paragraph (b) see regulation 675ZY.</w:t>
      </w:r>
    </w:p>
    <w:p>
      <w:pPr>
        <w:pStyle w:val="Heading5"/>
      </w:pPr>
      <w:bookmarkStart w:id="1085" w:name="_Toc200720589"/>
      <w:r>
        <w:rPr>
          <w:rStyle w:val="CharSectno"/>
        </w:rPr>
        <w:t>675ZQ</w:t>
      </w:r>
      <w:r>
        <w:t>.</w:t>
      </w:r>
      <w:r>
        <w:tab/>
        <w:t>Appointment of persons to Schedule 26 positions</w:t>
      </w:r>
      <w:bookmarkEnd w:id="1085"/>
      <w:r>
        <w:t xml:space="preserve"> </w:t>
      </w:r>
    </w:p>
    <w:p>
      <w:pPr>
        <w:pStyle w:val="Subsection"/>
      </w:pPr>
      <w:r>
        <w:tab/>
        <w:t>(1)</w:t>
      </w:r>
      <w:r>
        <w:tab/>
        <w:t xml:space="preserve">The mine operator of a mine — </w:t>
      </w:r>
    </w:p>
    <w:p>
      <w:pPr>
        <w:pStyle w:val="Indenta"/>
      </w:pPr>
      <w:r>
        <w:tab/>
        <w:t>(a)</w:t>
      </w:r>
      <w:r>
        <w:tab/>
        <w:t>must appoint 1 appropriate person for each Schedule 26 position required to be appointed for the mine under Schedule 26; or</w:t>
      </w:r>
    </w:p>
    <w:p>
      <w:pPr>
        <w:pStyle w:val="Indenta"/>
      </w:pPr>
      <w:r>
        <w:tab/>
        <w:t>(b)</w:t>
      </w:r>
      <w:r>
        <w:tab/>
        <w:t xml:space="preserve">must — </w:t>
      </w:r>
    </w:p>
    <w:p>
      <w:pPr>
        <w:pStyle w:val="Indenti"/>
      </w:pPr>
      <w:r>
        <w:tab/>
        <w:t>(i)</w:t>
      </w:r>
      <w:r>
        <w:tab/>
        <w:t xml:space="preserve">authorise the site senior executive of the mine to appoint 1 appropriate person for each Schedule 26 position required to be appointed for the mine under Schedule 26; and </w:t>
      </w:r>
    </w:p>
    <w:p>
      <w:pPr>
        <w:pStyle w:val="Indenti"/>
      </w:pPr>
      <w:r>
        <w:tab/>
        <w:t>(ii)</w:t>
      </w:r>
      <w:r>
        <w:tab/>
        <w:t xml:space="preserve">ensure that 1 appropriate person is appointed to each Schedule 26 position required to be appointed for the mine. </w:t>
      </w:r>
    </w:p>
    <w:p>
      <w:pPr>
        <w:pStyle w:val="Subsection"/>
        <w:keepNext/>
      </w:pPr>
      <w:r>
        <w:tab/>
        <w:t>(2)</w:t>
      </w:r>
      <w:r>
        <w:tab/>
        <w:t xml:space="preserve">The mine operator of a mine may appoint, or authorise the site senior executive of the mine to appoint, more than 1 appropriate </w:t>
      </w:r>
      <w:r>
        <w:lastRenderedPageBreak/>
        <w:t>person to the same Schedule 26 position for the mine if the position is not a key statutory position.</w:t>
      </w:r>
    </w:p>
    <w:p>
      <w:pPr>
        <w:pStyle w:val="PermNoteHeading"/>
      </w:pPr>
      <w:r>
        <w:tab/>
        <w:t>Notes for this subregulation:</w:t>
      </w:r>
    </w:p>
    <w:p>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pPr>
        <w:pStyle w:val="PermNoteText"/>
      </w:pPr>
      <w:r>
        <w:tab/>
        <w:t>2.</w:t>
      </w:r>
      <w:r>
        <w:tab/>
        <w:t>See regulation 675ZC in relation to the mine operator’s obligations to ensure sufficient persons are available and able to carry out the statutory positions.</w:t>
      </w:r>
    </w:p>
    <w:p>
      <w:pPr>
        <w:pStyle w:val="Subsection"/>
      </w:pPr>
      <w:r>
        <w:tab/>
        <w:t>(3)</w:t>
      </w:r>
      <w:r>
        <w:tab/>
        <w:t>If a person appointed to a Schedule 26 position for a mine ceases to be an appropriate person for the position, the person ceases to be appointed to the position for the mine.</w:t>
      </w:r>
    </w:p>
    <w:p>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pPr>
        <w:pStyle w:val="Heading4"/>
      </w:pPr>
      <w:bookmarkStart w:id="1086" w:name="_Toc200720590"/>
      <w:r>
        <w:rPr>
          <w:rStyle w:val="CharDivNo"/>
        </w:rPr>
        <w:t>Division 6</w:t>
      </w:r>
      <w:r>
        <w:t> — </w:t>
      </w:r>
      <w:r>
        <w:rPr>
          <w:rStyle w:val="CharDivText"/>
        </w:rPr>
        <w:t>General provisions about statutory positions</w:t>
      </w:r>
      <w:bookmarkEnd w:id="1086"/>
    </w:p>
    <w:p>
      <w:pPr>
        <w:pStyle w:val="Heading5"/>
      </w:pPr>
      <w:bookmarkStart w:id="1087" w:name="_Toc200720591"/>
      <w:r>
        <w:rPr>
          <w:rStyle w:val="CharSectno"/>
        </w:rPr>
        <w:t>675ZR</w:t>
      </w:r>
      <w:r>
        <w:t>.</w:t>
      </w:r>
      <w:r>
        <w:tab/>
        <w:t>Appointment of alternates for key statutory positions</w:t>
      </w:r>
      <w:bookmarkEnd w:id="1087"/>
      <w:r>
        <w:t xml:space="preserve"> </w:t>
      </w:r>
    </w:p>
    <w:p>
      <w:pPr>
        <w:pStyle w:val="Subsection"/>
      </w:pPr>
      <w:r>
        <w:tab/>
        <w:t>(1)</w:t>
      </w:r>
      <w:r>
        <w:tab/>
        <w:t xml:space="preserve">The mine operator of a mine may appoint a person to be an alternate for the site senior executive of the mine if the person is — </w:t>
      </w:r>
    </w:p>
    <w:p>
      <w:pPr>
        <w:pStyle w:val="Indenta"/>
      </w:pPr>
      <w:r>
        <w:tab/>
        <w:t>(a)</w:t>
      </w:r>
      <w:r>
        <w:tab/>
        <w:t>a senior executive located at or near the mine; and</w:t>
      </w:r>
    </w:p>
    <w:p>
      <w:pPr>
        <w:pStyle w:val="Indenta"/>
      </w:pPr>
      <w:r>
        <w:tab/>
        <w:t>(b)</w:t>
      </w:r>
      <w:r>
        <w:tab/>
        <w:t>otherwise eligible for appointment as the site senior executive of the mine under regulation 675ZI(1)(b) to (e).</w:t>
      </w:r>
    </w:p>
    <w:p>
      <w:pPr>
        <w:pStyle w:val="Subsection"/>
      </w:pPr>
      <w:r>
        <w:tab/>
        <w:t>(2)</w:t>
      </w:r>
      <w:r>
        <w:tab/>
        <w:t>The mine operator of a mine may appoint a person to be an alternate for a key statutory position for the mine, other than a site senior executive, if the person is an appropriate person for the position.</w:t>
      </w:r>
    </w:p>
    <w:p>
      <w:pPr>
        <w:pStyle w:val="Subsection"/>
      </w:pPr>
      <w:r>
        <w:tab/>
        <w:t>(3)</w:t>
      </w:r>
      <w:r>
        <w:tab/>
        <w:t xml:space="preserve">If a person who has been appointed to a key statutory position for a mine is unable to carry out the functions of the position, an </w:t>
      </w:r>
      <w:r>
        <w:lastRenderedPageBreak/>
        <w:t>alternate for the position at the mine may temporarily carry out the functions of the position in the person’s place.</w:t>
      </w:r>
    </w:p>
    <w:p>
      <w:pPr>
        <w:pStyle w:val="Subsection"/>
      </w:pPr>
      <w:r>
        <w:tab/>
        <w:t>(4)</w:t>
      </w:r>
      <w:r>
        <w:tab/>
        <w:t>While an alternate is carrying out the functions of the key statutory position under subregulation (3), these regulations apply to the alternate as if the alternate were appointed to the position.</w:t>
      </w:r>
    </w:p>
    <w:p>
      <w:pPr>
        <w:pStyle w:val="Heading5"/>
      </w:pPr>
      <w:bookmarkStart w:id="1088" w:name="_Toc200720592"/>
      <w:r>
        <w:rPr>
          <w:rStyle w:val="CharSectno"/>
        </w:rPr>
        <w:t>675ZS</w:t>
      </w:r>
      <w:r>
        <w:t>.</w:t>
      </w:r>
      <w:r>
        <w:tab/>
        <w:t>Eligibility of persons in key statutory positions to be appointed to particular positions at other mines</w:t>
      </w:r>
      <w:bookmarkEnd w:id="1088"/>
    </w:p>
    <w:p>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pPr>
        <w:pStyle w:val="Indenta"/>
      </w:pPr>
      <w:r>
        <w:tab/>
        <w:t>(a)</w:t>
      </w:r>
      <w:r>
        <w:tab/>
        <w:t>the person ceases to be appointed to the key statutory position for the 1</w:t>
      </w:r>
      <w:r>
        <w:rPr>
          <w:vertAlign w:val="superscript"/>
        </w:rPr>
        <w:t>st</w:t>
      </w:r>
      <w:r>
        <w:t xml:space="preserve"> mine; or </w:t>
      </w:r>
    </w:p>
    <w:p>
      <w:pPr>
        <w:pStyle w:val="Indenta"/>
      </w:pPr>
      <w:r>
        <w:tab/>
        <w:t>(b)</w:t>
      </w:r>
      <w:r>
        <w:tab/>
        <w:t>the regulator approves the person’s appointment to the statutory position, or as an alternate for a key statutory position, for the other mine under subregulation (2).</w:t>
      </w:r>
    </w:p>
    <w:p>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pPr>
        <w:pStyle w:val="Heading5"/>
      </w:pPr>
      <w:bookmarkStart w:id="1089" w:name="_Toc200720593"/>
      <w:r>
        <w:rPr>
          <w:rStyle w:val="CharSectno"/>
        </w:rPr>
        <w:t>675ZT</w:t>
      </w:r>
      <w:r>
        <w:t>.</w:t>
      </w:r>
      <w:r>
        <w:tab/>
        <w:t>Exemption from requirement to make certain appointments for mine engaged in exploration operations only</w:t>
      </w:r>
      <w:bookmarkEnd w:id="1089"/>
    </w:p>
    <w:p>
      <w:pPr>
        <w:pStyle w:val="Subsection"/>
      </w:pPr>
      <w:r>
        <w:tab/>
        <w:t>(1)</w:t>
      </w:r>
      <w:r>
        <w:tab/>
        <w:t xml:space="preserve">This regulation applies to a mine where only exploration operations are carried out. </w:t>
      </w:r>
    </w:p>
    <w:p>
      <w:pPr>
        <w:pStyle w:val="Subsection"/>
      </w:pPr>
      <w:r>
        <w:tab/>
        <w:t>(2)</w:t>
      </w:r>
      <w:r>
        <w:tab/>
        <w:t>The regulator may, by written notice, exempt the mine operator of the mine from the requirement under regulation 675ZQ(1) to appoint a person to a Schedule 26 position for the mine.</w:t>
      </w:r>
    </w:p>
    <w:p>
      <w:pPr>
        <w:pStyle w:val="Subsection"/>
      </w:pPr>
      <w:r>
        <w:tab/>
        <w:t>(3)</w:t>
      </w:r>
      <w:r>
        <w:tab/>
        <w:t xml:space="preserve">Without limiting the matters that the regulator may take into account when considering whether to exempt under </w:t>
      </w:r>
      <w:r>
        <w:lastRenderedPageBreak/>
        <w:t>subregulation (2), the regulator may take into account the size and nature of the exploration operations at the mine.</w:t>
      </w:r>
    </w:p>
    <w:p>
      <w:pPr>
        <w:pStyle w:val="Heading5"/>
      </w:pPr>
      <w:bookmarkStart w:id="1090" w:name="_Toc200720594"/>
      <w:r>
        <w:rPr>
          <w:rStyle w:val="CharSectno"/>
        </w:rPr>
        <w:t>675ZU</w:t>
      </w:r>
      <w:r>
        <w:t>.</w:t>
      </w:r>
      <w:r>
        <w:tab/>
        <w:t>Only 1 person appointed to key statutory positions for a mine</w:t>
      </w:r>
      <w:bookmarkEnd w:id="1090"/>
    </w:p>
    <w:p>
      <w:pPr>
        <w:pStyle w:val="Subsection"/>
      </w:pPr>
      <w:r>
        <w:tab/>
      </w:r>
      <w:r>
        <w:tab/>
        <w:t xml:space="preserve">The mine operator of a mine must ensure that no more than 1 person is appointed to each key statutory position for the mine at the same time. </w:t>
      </w:r>
    </w:p>
    <w:p>
      <w:pPr>
        <w:pStyle w:val="PermNoteHeading"/>
      </w:pPr>
      <w:r>
        <w:tab/>
        <w:t>Note for this subregulation:</w:t>
      </w:r>
    </w:p>
    <w:p>
      <w:pPr>
        <w:pStyle w:val="PermNoteText"/>
      </w:pPr>
      <w:r>
        <w:tab/>
      </w:r>
      <w:r>
        <w:tab/>
        <w:t>The mine operator of a mine may appoint alternates for key statutory positions under regulation 675ZR.</w:t>
      </w:r>
    </w:p>
    <w:p>
      <w:pPr>
        <w:pStyle w:val="Heading5"/>
      </w:pPr>
      <w:bookmarkStart w:id="1091" w:name="_Toc200720595"/>
      <w:r>
        <w:rPr>
          <w:rStyle w:val="CharSectno"/>
        </w:rPr>
        <w:t>675ZV</w:t>
      </w:r>
      <w:r>
        <w:t>.</w:t>
      </w:r>
      <w:r>
        <w:tab/>
        <w:t>Accepting appointments under Part</w:t>
      </w:r>
      <w:bookmarkEnd w:id="1091"/>
    </w:p>
    <w:p>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92" w:name="_Toc200720596"/>
      <w:r>
        <w:rPr>
          <w:rStyle w:val="CharSectno"/>
        </w:rPr>
        <w:t>675ZW</w:t>
      </w:r>
      <w:r>
        <w:t>.</w:t>
      </w:r>
      <w:r>
        <w:tab/>
        <w:t>Recording appointment of persons to statutory positions</w:t>
      </w:r>
      <w:bookmarkEnd w:id="1092"/>
      <w:r>
        <w:t xml:space="preserve"> </w:t>
      </w:r>
    </w:p>
    <w:p>
      <w:pPr>
        <w:pStyle w:val="Subsection"/>
      </w:pPr>
      <w:r>
        <w:tab/>
      </w:r>
      <w:r>
        <w:tab/>
        <w:t xml:space="preserve">The mine operator of a mine must ensure that the mine record for the mine under regulation 675Y contains — </w:t>
      </w:r>
    </w:p>
    <w:p>
      <w:pPr>
        <w:pStyle w:val="Indenta"/>
      </w:pPr>
      <w:r>
        <w:tab/>
        <w:t>(a)</w:t>
      </w:r>
      <w:r>
        <w:tab/>
        <w:t>details of persons who are appointed to statutory positions for the mine or as alternates for key statutory positions for the mine; and</w:t>
      </w:r>
    </w:p>
    <w:p>
      <w:pPr>
        <w:pStyle w:val="Indenta"/>
        <w:keepNext/>
      </w:pPr>
      <w:r>
        <w:lastRenderedPageBreak/>
        <w:tab/>
        <w:t>(b)</w:t>
      </w:r>
      <w:r>
        <w:tab/>
        <w:t>each person’s acceptance of the appointment under regulation 675ZV(1).</w:t>
      </w:r>
    </w:p>
    <w:p>
      <w:pPr>
        <w:pStyle w:val="PermNoteHeading"/>
      </w:pPr>
      <w:r>
        <w:tab/>
        <w:t>Notes for this regulation:</w:t>
      </w:r>
    </w:p>
    <w:p>
      <w:pPr>
        <w:pStyle w:val="PermNoteText"/>
      </w:pPr>
      <w:r>
        <w:tab/>
        <w:t>1.</w:t>
      </w:r>
      <w:r>
        <w:tab/>
        <w:t>The details and responsibilities of persons appointed to a statutory position must form part of the mine safety management system for a mine under regulation 622(1)(e)(iv).</w:t>
      </w:r>
    </w:p>
    <w:p>
      <w:pPr>
        <w:pStyle w:val="PermNoteText"/>
      </w:pPr>
      <w:r>
        <w:tab/>
        <w:t>2.</w:t>
      </w:r>
      <w:r>
        <w:tab/>
        <w:t>See regulation 675Y in relation to the obligations to keep mine records.</w:t>
      </w:r>
    </w:p>
    <w:p>
      <w:pPr>
        <w:pStyle w:val="Heading5"/>
      </w:pPr>
      <w:bookmarkStart w:id="1093" w:name="_Toc200720597"/>
      <w:r>
        <w:rPr>
          <w:rStyle w:val="CharSectno"/>
        </w:rPr>
        <w:t>675ZX</w:t>
      </w:r>
      <w:r>
        <w:t>.</w:t>
      </w:r>
      <w:r>
        <w:tab/>
        <w:t>Giving false or misleading information or document about eligibility for statutory position</w:t>
      </w:r>
      <w:bookmarkEnd w:id="1093"/>
    </w:p>
    <w:p>
      <w:pPr>
        <w:pStyle w:val="Subsection"/>
      </w:pPr>
      <w:r>
        <w:tab/>
        <w:t>(1)</w:t>
      </w:r>
      <w:r>
        <w:tab/>
        <w:t xml:space="preserve">This regulation applies if a person — </w:t>
      </w:r>
    </w:p>
    <w:p>
      <w:pPr>
        <w:pStyle w:val="Indenta"/>
      </w:pPr>
      <w:r>
        <w:tab/>
        <w:t>(a)</w:t>
      </w:r>
      <w:r>
        <w:tab/>
        <w:t>is appointed to a statutory position, or as an alternate for a key statutory position, for a mine; and</w:t>
      </w:r>
    </w:p>
    <w:p>
      <w:pPr>
        <w:pStyle w:val="Indenta"/>
      </w:pPr>
      <w:r>
        <w:tab/>
        <w:t>(b)</w:t>
      </w:r>
      <w:r>
        <w:tab/>
        <w:t>is not an appropriate person for the statutory position or to be an alternate for the key statutory position; and</w:t>
      </w:r>
    </w:p>
    <w:p>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1094" w:name="_Toc200720598"/>
      <w:r>
        <w:rPr>
          <w:rStyle w:val="CharSectno"/>
        </w:rPr>
        <w:lastRenderedPageBreak/>
        <w:t>675ZY</w:t>
      </w:r>
      <w:r>
        <w:t>.</w:t>
      </w:r>
      <w:r>
        <w:tab/>
        <w:t>Statutory position</w:t>
      </w:r>
      <w:r>
        <w:noBreakHyphen/>
        <w:t>holder to carry out functions</w:t>
      </w:r>
      <w:bookmarkEnd w:id="1094"/>
    </w:p>
    <w:p>
      <w:pPr>
        <w:pStyle w:val="Subsection"/>
        <w:keepNext/>
      </w:pPr>
      <w:r>
        <w:tab/>
      </w:r>
      <w:r>
        <w:tab/>
        <w:t xml:space="preserve">A person appointed to a statutory position for a mine must — </w:t>
      </w:r>
    </w:p>
    <w:p>
      <w:pPr>
        <w:pStyle w:val="Indenta"/>
      </w:pPr>
      <w:r>
        <w:tab/>
        <w:t>(a)</w:t>
      </w:r>
      <w:r>
        <w:tab/>
        <w:t>carry out the functions of the position; or</w:t>
      </w:r>
    </w:p>
    <w:p>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095" w:name="_Toc200720599"/>
      <w:r>
        <w:rPr>
          <w:rStyle w:val="CharPartNo"/>
        </w:rPr>
        <w:t>Part 10.7B</w:t>
      </w:r>
      <w:r>
        <w:rPr>
          <w:rStyle w:val="CharDivNo"/>
        </w:rPr>
        <w:t> </w:t>
      </w:r>
      <w:r>
        <w:t>—</w:t>
      </w:r>
      <w:r>
        <w:rPr>
          <w:rStyle w:val="CharDivText"/>
        </w:rPr>
        <w:t> </w:t>
      </w:r>
      <w:r>
        <w:rPr>
          <w:rStyle w:val="CharPartText"/>
        </w:rPr>
        <w:t>Statutory certificates</w:t>
      </w:r>
      <w:bookmarkEnd w:id="1095"/>
    </w:p>
    <w:p>
      <w:pPr>
        <w:pStyle w:val="Heading5"/>
      </w:pPr>
      <w:bookmarkStart w:id="1096" w:name="_Toc200720600"/>
      <w:r>
        <w:rPr>
          <w:rStyle w:val="CharSectno"/>
        </w:rPr>
        <w:t>675ZZ</w:t>
      </w:r>
      <w:r>
        <w:t>.</w:t>
      </w:r>
      <w:r>
        <w:tab/>
        <w:t>Meaning of applicant</w:t>
      </w:r>
      <w:bookmarkEnd w:id="1096"/>
    </w:p>
    <w:p>
      <w:pPr>
        <w:pStyle w:val="Subsection"/>
      </w:pPr>
      <w:r>
        <w:tab/>
      </w:r>
      <w:r>
        <w:tab/>
        <w:t xml:space="preserve">In this Part — </w:t>
      </w:r>
    </w:p>
    <w:p>
      <w:pPr>
        <w:pStyle w:val="Defstart"/>
      </w:pPr>
      <w:r>
        <w:tab/>
      </w:r>
      <w:r>
        <w:rPr>
          <w:rStyle w:val="CharDefText"/>
        </w:rPr>
        <w:t>applicant</w:t>
      </w:r>
      <w:r>
        <w:t xml:space="preserve"> means a person who applies for a statutory certificate under regulation 675ZZB(1).</w:t>
      </w:r>
    </w:p>
    <w:p>
      <w:pPr>
        <w:pStyle w:val="Heading5"/>
      </w:pPr>
      <w:bookmarkStart w:id="1097" w:name="_Toc200720601"/>
      <w:r>
        <w:rPr>
          <w:rStyle w:val="CharSectno"/>
        </w:rPr>
        <w:t>675ZZA</w:t>
      </w:r>
      <w:r>
        <w:t>.</w:t>
      </w:r>
      <w:r>
        <w:tab/>
        <w:t>Schedule 27 sets out statutory certificates</w:t>
      </w:r>
      <w:bookmarkEnd w:id="1097"/>
    </w:p>
    <w:p>
      <w:pPr>
        <w:pStyle w:val="Subsection"/>
      </w:pPr>
      <w:r>
        <w:tab/>
      </w:r>
      <w:r>
        <w:tab/>
        <w:t xml:space="preserve">Schedule 27 sets out — </w:t>
      </w:r>
    </w:p>
    <w:p>
      <w:pPr>
        <w:pStyle w:val="Indenta"/>
      </w:pPr>
      <w:r>
        <w:tab/>
        <w:t>(a)</w:t>
      </w:r>
      <w:r>
        <w:tab/>
        <w:t xml:space="preserve">the certificates (the </w:t>
      </w:r>
      <w:r>
        <w:rPr>
          <w:rStyle w:val="CharDefText"/>
        </w:rPr>
        <w:t>statutory certificates</w:t>
      </w:r>
      <w:r>
        <w:t>) that may be granted to a person; and</w:t>
      </w:r>
    </w:p>
    <w:p>
      <w:pPr>
        <w:pStyle w:val="Indenta"/>
      </w:pPr>
      <w:r>
        <w:tab/>
        <w:t>(b)</w:t>
      </w:r>
      <w:r>
        <w:tab/>
        <w:t>the eligibility requirements for the statutory certificates.</w:t>
      </w:r>
    </w:p>
    <w:p>
      <w:pPr>
        <w:pStyle w:val="Heading5"/>
      </w:pPr>
      <w:bookmarkStart w:id="1098" w:name="_Toc200720602"/>
      <w:r>
        <w:rPr>
          <w:rStyle w:val="CharSectno"/>
        </w:rPr>
        <w:t>675ZZB</w:t>
      </w:r>
      <w:r>
        <w:t>.</w:t>
      </w:r>
      <w:r>
        <w:tab/>
        <w:t>Applications for statutory certificates</w:t>
      </w:r>
      <w:bookmarkEnd w:id="1098"/>
      <w:r>
        <w:t xml:space="preserve"> </w:t>
      </w:r>
    </w:p>
    <w:p>
      <w:pPr>
        <w:pStyle w:val="Subsection"/>
      </w:pPr>
      <w:r>
        <w:tab/>
        <w:t>(1)</w:t>
      </w:r>
      <w:r>
        <w:tab/>
        <w:t xml:space="preserve">A person may apply to the regulator for a statutory certificate. </w:t>
      </w:r>
    </w:p>
    <w:p>
      <w:pPr>
        <w:pStyle w:val="Subsection"/>
      </w:pPr>
      <w:r>
        <w:tab/>
        <w:t>(2)</w:t>
      </w:r>
      <w:r>
        <w:tab/>
        <w:t xml:space="preserve">The application must — </w:t>
      </w:r>
    </w:p>
    <w:p>
      <w:pPr>
        <w:pStyle w:val="Indenta"/>
      </w:pPr>
      <w:r>
        <w:tab/>
        <w:t>(a)</w:t>
      </w:r>
      <w:r>
        <w:tab/>
        <w:t xml:space="preserve">be in the approved form; and </w:t>
      </w:r>
    </w:p>
    <w:p>
      <w:pPr>
        <w:pStyle w:val="Indenta"/>
      </w:pPr>
      <w:r>
        <w:tab/>
        <w:t>(b)</w:t>
      </w:r>
      <w:r>
        <w:tab/>
        <w:t>be made in a manner approved by the regulator; and</w:t>
      </w:r>
    </w:p>
    <w:p>
      <w:pPr>
        <w:pStyle w:val="Indenta"/>
      </w:pPr>
      <w:r>
        <w:lastRenderedPageBreak/>
        <w:tab/>
        <w:t>(c)</w:t>
      </w:r>
      <w:r>
        <w:tab/>
        <w:t>include, or be accompanied by, information outlining whether the applicant meets the eligibility requirements for the certificate.</w:t>
      </w:r>
    </w:p>
    <w:p>
      <w:pPr>
        <w:pStyle w:val="Heading5"/>
      </w:pPr>
      <w:bookmarkStart w:id="1099" w:name="_Toc200720603"/>
      <w:r>
        <w:rPr>
          <w:rStyle w:val="CharSectno"/>
        </w:rPr>
        <w:t>675ZZC</w:t>
      </w:r>
      <w:r>
        <w:t>.</w:t>
      </w:r>
      <w:r>
        <w:tab/>
        <w:t>Grant of statutory certificate</w:t>
      </w:r>
      <w:bookmarkEnd w:id="1099"/>
    </w:p>
    <w:p>
      <w:pPr>
        <w:pStyle w:val="Subsection"/>
      </w:pPr>
      <w:r>
        <w:tab/>
        <w:t>(1)</w:t>
      </w:r>
      <w:r>
        <w:tab/>
        <w:t>The regulator may grant a statutory certificate to an applicant if the regulator is satisfied on reasonable grounds that the applicant meets the eligibility requirements for the certificate.</w:t>
      </w:r>
    </w:p>
    <w:p>
      <w:pPr>
        <w:pStyle w:val="PermNoteHeading"/>
      </w:pPr>
      <w:r>
        <w:tab/>
        <w:t>Note for this subregulation:</w:t>
      </w:r>
    </w:p>
    <w:p>
      <w:pPr>
        <w:pStyle w:val="PermNoteText"/>
      </w:pPr>
      <w:r>
        <w:tab/>
      </w:r>
      <w:r>
        <w:tab/>
        <w:t>Refusing to grant a statutory certificate to a person is a reviewable decision (see regulation 676).</w:t>
      </w:r>
    </w:p>
    <w:p>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pPr>
        <w:pStyle w:val="Subsection"/>
      </w:pPr>
      <w:r>
        <w:tab/>
        <w:t>(3)</w:t>
      </w:r>
      <w:r>
        <w:tab/>
        <w:t>The regulator may grant a statutory certificate unconditionally or subject to conditions.</w:t>
      </w:r>
    </w:p>
    <w:p>
      <w:pPr>
        <w:pStyle w:val="PermNoteHeading"/>
      </w:pPr>
      <w:r>
        <w:tab/>
        <w:t>Note for this subregulation:</w:t>
      </w:r>
    </w:p>
    <w:p>
      <w:pPr>
        <w:pStyle w:val="PermNoteText"/>
      </w:pPr>
      <w:r>
        <w:tab/>
      </w:r>
      <w:r>
        <w:tab/>
        <w:t>Granting a statutory certificate subject to conditions is a reviewable decision (see regulation 676).</w:t>
      </w:r>
    </w:p>
    <w:p>
      <w:pPr>
        <w:pStyle w:val="Subsection"/>
      </w:pPr>
      <w:r>
        <w:tab/>
        <w:t>(4)</w:t>
      </w:r>
      <w:r>
        <w:tab/>
        <w:t xml:space="preserve">If the regulator refuses to grant a statutory certificate, or grants a statutory certificate subject to conditions, the regulator must give the applicant written notice stating — </w:t>
      </w:r>
    </w:p>
    <w:p>
      <w:pPr>
        <w:pStyle w:val="Indenta"/>
      </w:pPr>
      <w:r>
        <w:tab/>
        <w:t>(a)</w:t>
      </w:r>
      <w:r>
        <w:tab/>
        <w:t>that the regulator refuses to grant the certificate, or grants the certificate subject to conditions; and</w:t>
      </w:r>
    </w:p>
    <w:p>
      <w:pPr>
        <w:pStyle w:val="Indenta"/>
      </w:pPr>
      <w:r>
        <w:tab/>
        <w:t>(b)</w:t>
      </w:r>
      <w:r>
        <w:tab/>
        <w:t>the reasons for the decision; and</w:t>
      </w:r>
    </w:p>
    <w:p>
      <w:pPr>
        <w:pStyle w:val="Indenta"/>
      </w:pPr>
      <w:r>
        <w:tab/>
        <w:t>(c)</w:t>
      </w:r>
      <w:r>
        <w:tab/>
        <w:t>that the applicant may apply for a review of the decision.</w:t>
      </w:r>
    </w:p>
    <w:p>
      <w:pPr>
        <w:pStyle w:val="Subsection"/>
      </w:pPr>
      <w:r>
        <w:tab/>
        <w:t>(5)</w:t>
      </w:r>
      <w:r>
        <w:tab/>
        <w:t xml:space="preserve">A person’s statutory certificate is subject to — </w:t>
      </w:r>
    </w:p>
    <w:p>
      <w:pPr>
        <w:pStyle w:val="Indenta"/>
      </w:pPr>
      <w:r>
        <w:tab/>
        <w:t>(a)</w:t>
      </w:r>
      <w:r>
        <w:tab/>
        <w:t xml:space="preserve">a condition that the person must, if required by the regulator by notice in writing, provide, within the time (if any) specified in the notice, specified information </w:t>
      </w:r>
      <w:r>
        <w:lastRenderedPageBreak/>
        <w:t>relating to the person’s competence or any other matter relating to the statutory certificate; and</w:t>
      </w:r>
    </w:p>
    <w:p>
      <w:pPr>
        <w:pStyle w:val="Indenta"/>
      </w:pPr>
      <w:r>
        <w:tab/>
        <w:t>(b)</w:t>
      </w:r>
      <w:r>
        <w:tab/>
        <w:t>any condition the regulator decides under subregulation (3).</w:t>
      </w:r>
    </w:p>
    <w:p>
      <w:pPr>
        <w:pStyle w:val="Heading5"/>
      </w:pPr>
      <w:bookmarkStart w:id="1100" w:name="_Toc200720604"/>
      <w:r>
        <w:rPr>
          <w:rStyle w:val="CharSectno"/>
        </w:rPr>
        <w:t>675ZZD</w:t>
      </w:r>
      <w:r>
        <w:t>.</w:t>
      </w:r>
      <w:r>
        <w:tab/>
        <w:t>Replacement statutory certificate</w:t>
      </w:r>
      <w:bookmarkEnd w:id="1100"/>
    </w:p>
    <w:p>
      <w:pPr>
        <w:pStyle w:val="Subsection"/>
      </w:pPr>
      <w:r>
        <w:tab/>
        <w:t>(1)</w:t>
      </w:r>
      <w:r>
        <w:tab/>
        <w:t xml:space="preserve">If a person has lost their statutory certificate, or the person’s statutory certificate is destroyed, the person may apply to the regulator for a replacement certificate. </w:t>
      </w:r>
    </w:p>
    <w:p>
      <w:pPr>
        <w:pStyle w:val="Subsection"/>
      </w:pPr>
      <w:r>
        <w:tab/>
        <w:t>(2)</w:t>
      </w:r>
      <w:r>
        <w:tab/>
        <w:t xml:space="preserve">The application must be — </w:t>
      </w:r>
    </w:p>
    <w:p>
      <w:pPr>
        <w:pStyle w:val="Indenta"/>
      </w:pPr>
      <w:r>
        <w:tab/>
        <w:t>(a)</w:t>
      </w:r>
      <w:r>
        <w:tab/>
        <w:t>in writing; and</w:t>
      </w:r>
    </w:p>
    <w:p>
      <w:pPr>
        <w:pStyle w:val="Indenta"/>
      </w:pPr>
      <w:r>
        <w:tab/>
        <w:t>(b)</w:t>
      </w:r>
      <w:r>
        <w:tab/>
        <w:t>accompanied by a statutory declaration stating that the person has lost their statutory certificate or it has been destroyed.</w:t>
      </w:r>
    </w:p>
    <w:p>
      <w:pPr>
        <w:pStyle w:val="Subsection"/>
      </w:pPr>
      <w:r>
        <w:tab/>
        <w:t>(3)</w:t>
      </w:r>
      <w:r>
        <w:tab/>
        <w:t>If the regulator is satisfied that the person has lost their statutory certificate, or it is destroyed, the regulator may issue a replacement certificate.</w:t>
      </w:r>
    </w:p>
    <w:p>
      <w:pPr>
        <w:pStyle w:val="Heading5"/>
      </w:pPr>
      <w:bookmarkStart w:id="1101" w:name="_Toc200720605"/>
      <w:r>
        <w:rPr>
          <w:rStyle w:val="CharSectno"/>
        </w:rPr>
        <w:t>675ZZE</w:t>
      </w:r>
      <w:r>
        <w:t>.</w:t>
      </w:r>
      <w:r>
        <w:tab/>
        <w:t>Suspending or cancelling statutory certificates</w:t>
      </w:r>
      <w:bookmarkEnd w:id="1101"/>
    </w:p>
    <w:p>
      <w:pPr>
        <w:pStyle w:val="Subsection"/>
      </w:pPr>
      <w:r>
        <w:tab/>
        <w:t>(1)</w:t>
      </w:r>
      <w:r>
        <w:tab/>
        <w:t xml:space="preserve">The regulator may suspend or cancel a person’s statutory certificate if satisfied that the person — </w:t>
      </w:r>
    </w:p>
    <w:p>
      <w:pPr>
        <w:pStyle w:val="Indenta"/>
      </w:pPr>
      <w:r>
        <w:tab/>
        <w:t>(a)</w:t>
      </w:r>
      <w:r>
        <w:tab/>
        <w:t>is not eligible to hold the certificate; or</w:t>
      </w:r>
    </w:p>
    <w:p>
      <w:pPr>
        <w:pStyle w:val="Indenta"/>
      </w:pPr>
      <w:r>
        <w:tab/>
        <w:t>(b)</w:t>
      </w:r>
      <w:r>
        <w:tab/>
        <w:t>has contravened a condition of the certificate; or</w:t>
      </w:r>
    </w:p>
    <w:p>
      <w:pPr>
        <w:pStyle w:val="Indenta"/>
      </w:pPr>
      <w:r>
        <w:tab/>
        <w:t>(c)</w:t>
      </w:r>
      <w:r>
        <w:tab/>
        <w:t>improperly obtained the certificate, whether on the basis of false or misleading information or otherwise; or</w:t>
      </w:r>
    </w:p>
    <w:p>
      <w:pPr>
        <w:pStyle w:val="Indenta"/>
      </w:pPr>
      <w:r>
        <w:tab/>
        <w:t>(d)</w:t>
      </w:r>
      <w:r>
        <w:tab/>
        <w:t xml:space="preserve">has been convicted of an offence against — </w:t>
      </w:r>
    </w:p>
    <w:p>
      <w:pPr>
        <w:pStyle w:val="Indenti"/>
      </w:pPr>
      <w:r>
        <w:tab/>
        <w:t>(i)</w:t>
      </w:r>
      <w:r>
        <w:tab/>
      </w:r>
      <w:r>
        <w:rPr>
          <w:shd w:val="clear" w:color="auto" w:fill="FFFFFF"/>
        </w:rPr>
        <w:t>mining safety legislation</w:t>
      </w:r>
      <w:r>
        <w:t>; or</w:t>
      </w:r>
    </w:p>
    <w:p>
      <w:pPr>
        <w:pStyle w:val="Indenti"/>
      </w:pPr>
      <w:r>
        <w:tab/>
        <w:t>(ii)</w:t>
      </w:r>
      <w:r>
        <w:tab/>
        <w:t>a corresponding WHS law.</w:t>
      </w:r>
    </w:p>
    <w:p>
      <w:pPr>
        <w:pStyle w:val="PermNoteHeading"/>
      </w:pPr>
      <w:r>
        <w:tab/>
        <w:t>Note for this subregulation:</w:t>
      </w:r>
    </w:p>
    <w:p>
      <w:pPr>
        <w:pStyle w:val="PermNoteText"/>
      </w:pPr>
      <w:r>
        <w:tab/>
      </w:r>
      <w:r>
        <w:tab/>
        <w:t>A decision to suspend or cancel a person’s statutory certificate under this subregulation is a reviewable decision (see regulation 676).</w:t>
      </w:r>
    </w:p>
    <w:p>
      <w:pPr>
        <w:pStyle w:val="Subsection"/>
      </w:pPr>
      <w:r>
        <w:lastRenderedPageBreak/>
        <w:tab/>
        <w:t>(2)</w:t>
      </w:r>
      <w:r>
        <w:tab/>
        <w:t xml:space="preserve">Before suspending or cancelling a person’s statutory certificate, the regulator must — </w:t>
      </w:r>
    </w:p>
    <w:p>
      <w:pPr>
        <w:pStyle w:val="Indenta"/>
      </w:pPr>
      <w:r>
        <w:tab/>
        <w:t>(a)</w:t>
      </w:r>
      <w:r>
        <w:tab/>
        <w:t xml:space="preserve">give the person a written notice stating that — </w:t>
      </w:r>
    </w:p>
    <w:p>
      <w:pPr>
        <w:pStyle w:val="Indenti"/>
      </w:pPr>
      <w:r>
        <w:tab/>
        <w:t>(i)</w:t>
      </w:r>
      <w:r>
        <w:tab/>
        <w:t>the regulator is considering suspending or cancelling the certificate; and</w:t>
      </w:r>
    </w:p>
    <w:p>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pPr>
        <w:pStyle w:val="Indenta"/>
      </w:pPr>
      <w:r>
        <w:tab/>
      </w:r>
      <w:r>
        <w:tab/>
        <w:t>and</w:t>
      </w:r>
    </w:p>
    <w:p>
      <w:pPr>
        <w:pStyle w:val="Indenta"/>
      </w:pPr>
      <w:r>
        <w:tab/>
        <w:t>(b)</w:t>
      </w:r>
      <w:r>
        <w:tab/>
        <w:t xml:space="preserve">have regard to any submissions made in accordance with the notice. </w:t>
      </w:r>
    </w:p>
    <w:p>
      <w:pPr>
        <w:pStyle w:val="Subsection"/>
      </w:pPr>
      <w:r>
        <w:tab/>
        <w:t>(3)</w:t>
      </w:r>
      <w:r>
        <w:tab/>
        <w:t xml:space="preserve">If the regulator suspends or cancels a person’s statutory certificate, the regulator must give the person a written notice stating — </w:t>
      </w:r>
    </w:p>
    <w:p>
      <w:pPr>
        <w:pStyle w:val="Indenta"/>
      </w:pPr>
      <w:r>
        <w:tab/>
        <w:t>(a)</w:t>
      </w:r>
      <w:r>
        <w:tab/>
        <w:t>that the person’s statutory certificate is suspended or cancelled; and</w:t>
      </w:r>
    </w:p>
    <w:p>
      <w:pPr>
        <w:pStyle w:val="Indenta"/>
      </w:pPr>
      <w:r>
        <w:tab/>
        <w:t>(b)</w:t>
      </w:r>
      <w:r>
        <w:tab/>
        <w:t xml:space="preserve">if the certificate is suspended — </w:t>
      </w:r>
    </w:p>
    <w:p>
      <w:pPr>
        <w:pStyle w:val="Indenti"/>
      </w:pPr>
      <w:r>
        <w:tab/>
        <w:t>(i)</w:t>
      </w:r>
      <w:r>
        <w:tab/>
        <w:t>the day on which the suspension takes effect, which must not be earlier than the day on which the person receives the notice; and</w:t>
      </w:r>
    </w:p>
    <w:p>
      <w:pPr>
        <w:pStyle w:val="Indenti"/>
      </w:pPr>
      <w:r>
        <w:tab/>
        <w:t>(ii)</w:t>
      </w:r>
      <w:r>
        <w:tab/>
        <w:t xml:space="preserve">the day on which the suspension ends, which must not be later than 3 months after the day on which the suspension takes effect; </w:t>
      </w:r>
    </w:p>
    <w:p>
      <w:pPr>
        <w:pStyle w:val="Indenta"/>
      </w:pPr>
      <w:r>
        <w:tab/>
      </w:r>
      <w:r>
        <w:tab/>
        <w:t>and</w:t>
      </w:r>
    </w:p>
    <w:p>
      <w:pPr>
        <w:pStyle w:val="Indenta"/>
      </w:pPr>
      <w:r>
        <w:tab/>
        <w:t>(c)</w:t>
      </w:r>
      <w:r>
        <w:tab/>
        <w:t>if the certificate is cancelled — the day on which the cancellation takes effect, which must not be earlier than the day on which the person receives the notice; and</w:t>
      </w:r>
    </w:p>
    <w:p>
      <w:pPr>
        <w:pStyle w:val="Indenta"/>
      </w:pPr>
      <w:r>
        <w:tab/>
        <w:t>(d)</w:t>
      </w:r>
      <w:r>
        <w:tab/>
        <w:t>the reasons the certificate is suspended or cancelled; and</w:t>
      </w:r>
    </w:p>
    <w:p>
      <w:pPr>
        <w:pStyle w:val="Indenta"/>
      </w:pPr>
      <w:r>
        <w:tab/>
        <w:t>(e)</w:t>
      </w:r>
      <w:r>
        <w:tab/>
        <w:t>that the person may apply for a review of the decision to suspend or cancel the certificate.</w:t>
      </w:r>
    </w:p>
    <w:p>
      <w:pPr>
        <w:pStyle w:val="Heading5"/>
      </w:pPr>
      <w:bookmarkStart w:id="1102" w:name="_Toc200720606"/>
      <w:r>
        <w:rPr>
          <w:rStyle w:val="CharSectno"/>
        </w:rPr>
        <w:lastRenderedPageBreak/>
        <w:t>675ZZF</w:t>
      </w:r>
      <w:r>
        <w:t>.</w:t>
      </w:r>
      <w:r>
        <w:tab/>
        <w:t>Register of statutory certificates</w:t>
      </w:r>
      <w:bookmarkEnd w:id="1102"/>
      <w:r>
        <w:t xml:space="preserve"> </w:t>
      </w:r>
    </w:p>
    <w:p>
      <w:pPr>
        <w:pStyle w:val="Subsection"/>
      </w:pPr>
      <w:r>
        <w:tab/>
        <w:t>(1)</w:t>
      </w:r>
      <w:r>
        <w:tab/>
        <w:t>The regulator must maintain a register of the statutory certificates granted under this Part.</w:t>
      </w:r>
    </w:p>
    <w:p>
      <w:pPr>
        <w:pStyle w:val="Subsection"/>
      </w:pPr>
      <w:r>
        <w:tab/>
        <w:t>(2)</w:t>
      </w:r>
      <w:r>
        <w:tab/>
        <w:t xml:space="preserve">The register must include — </w:t>
      </w:r>
    </w:p>
    <w:p>
      <w:pPr>
        <w:pStyle w:val="Indenta"/>
      </w:pPr>
      <w:r>
        <w:tab/>
        <w:t>(a)</w:t>
      </w:r>
      <w:r>
        <w:tab/>
        <w:t>the names of the persons who hold a statutory certificate; and</w:t>
      </w:r>
    </w:p>
    <w:p>
      <w:pPr>
        <w:pStyle w:val="Indenta"/>
      </w:pPr>
      <w:r>
        <w:tab/>
        <w:t>(b)</w:t>
      </w:r>
      <w:r>
        <w:tab/>
        <w:t>the person’s gender; and</w:t>
      </w:r>
    </w:p>
    <w:p>
      <w:pPr>
        <w:pStyle w:val="Indenta"/>
      </w:pPr>
      <w:r>
        <w:tab/>
        <w:t>(c)</w:t>
      </w:r>
      <w:r>
        <w:tab/>
        <w:t>the person’s place and date of birth; and</w:t>
      </w:r>
    </w:p>
    <w:p>
      <w:pPr>
        <w:pStyle w:val="Indenta"/>
      </w:pPr>
      <w:r>
        <w:tab/>
        <w:t>(d)</w:t>
      </w:r>
      <w:r>
        <w:tab/>
        <w:t>whether the statutory certificate is suspended or cancelled.</w:t>
      </w:r>
    </w:p>
    <w:p>
      <w:pPr>
        <w:pStyle w:val="Heading3"/>
      </w:pPr>
      <w:bookmarkStart w:id="1103" w:name="_Toc200720607"/>
      <w:r>
        <w:rPr>
          <w:rStyle w:val="CharPartNo"/>
        </w:rPr>
        <w:t>Part 10.7C</w:t>
      </w:r>
      <w:r>
        <w:t> — </w:t>
      </w:r>
      <w:r>
        <w:rPr>
          <w:rStyle w:val="CharPartText"/>
        </w:rPr>
        <w:t>Assessments and courses for statutory positions and certificates</w:t>
      </w:r>
      <w:bookmarkEnd w:id="1103"/>
    </w:p>
    <w:p>
      <w:pPr>
        <w:pStyle w:val="Heading5"/>
      </w:pPr>
      <w:bookmarkStart w:id="1104" w:name="_Toc200720608"/>
      <w:r>
        <w:rPr>
          <w:rStyle w:val="CharSectno"/>
        </w:rPr>
        <w:t>675ZZG</w:t>
      </w:r>
      <w:r>
        <w:t>.</w:t>
      </w:r>
      <w:r>
        <w:tab/>
        <w:t>Regulator to make determination about mining safety legislation for examinations</w:t>
      </w:r>
      <w:bookmarkEnd w:id="1104"/>
    </w:p>
    <w:p>
      <w:pPr>
        <w:pStyle w:val="Subsection"/>
      </w:pPr>
      <w:r>
        <w:tab/>
        <w:t>(1)</w:t>
      </w:r>
      <w:r>
        <w:tab/>
        <w:t xml:space="preserve">The regulator may determine — </w:t>
      </w:r>
    </w:p>
    <w:p>
      <w:pPr>
        <w:pStyle w:val="Indenta"/>
      </w:pPr>
      <w:r>
        <w:tab/>
        <w:t>(a)</w:t>
      </w:r>
      <w:r>
        <w:tab/>
        <w:t>what part of mining safety legislation is applicable for an examination to be taken in relation to a statutory position or statutory certificate; and</w:t>
      </w:r>
    </w:p>
    <w:p>
      <w:pPr>
        <w:pStyle w:val="Indenta"/>
      </w:pPr>
      <w:r>
        <w:tab/>
        <w:t>(b)</w:t>
      </w:r>
      <w:r>
        <w:tab/>
        <w:t xml:space="preserve">whether the examination is to be an oral, practical or written examination, or a combination of those types of examination. </w:t>
      </w:r>
    </w:p>
    <w:p>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pPr>
        <w:pStyle w:val="Subsection"/>
      </w:pPr>
      <w:r>
        <w:tab/>
        <w:t>(3)</w:t>
      </w:r>
      <w:r>
        <w:tab/>
        <w:t xml:space="preserve">If the regulator makes a determination under subregulation (1), the regulator must publish a document on the regulator’s website setting out — </w:t>
      </w:r>
    </w:p>
    <w:p>
      <w:pPr>
        <w:pStyle w:val="Indenta"/>
      </w:pPr>
      <w:r>
        <w:tab/>
        <w:t>(a)</w:t>
      </w:r>
      <w:r>
        <w:tab/>
        <w:t>the determination; and</w:t>
      </w:r>
    </w:p>
    <w:p>
      <w:pPr>
        <w:pStyle w:val="Indenta"/>
      </w:pPr>
      <w:r>
        <w:lastRenderedPageBreak/>
        <w:tab/>
        <w:t>(b)</w:t>
      </w:r>
      <w:r>
        <w:tab/>
        <w:t xml:space="preserve">the details of the applicable part of the mining safety legislation the subject of the determination. </w:t>
      </w:r>
    </w:p>
    <w:p>
      <w:pPr>
        <w:pStyle w:val="Heading5"/>
      </w:pPr>
      <w:bookmarkStart w:id="1105" w:name="_Toc200720609"/>
      <w:r>
        <w:rPr>
          <w:rStyle w:val="CharSectno"/>
        </w:rPr>
        <w:t>675ZZH</w:t>
      </w:r>
      <w:r>
        <w:t>.</w:t>
      </w:r>
      <w:r>
        <w:tab/>
        <w:t>Applicable legislation examinations</w:t>
      </w:r>
      <w:bookmarkEnd w:id="1105"/>
    </w:p>
    <w:p>
      <w:pPr>
        <w:pStyle w:val="Subsection"/>
        <w:rPr>
          <w:snapToGrid w:val="0"/>
        </w:rPr>
      </w:pPr>
      <w:r>
        <w:tab/>
        <w:t>(1)</w:t>
      </w:r>
      <w:r>
        <w:tab/>
      </w:r>
      <w:r>
        <w:rPr>
          <w:snapToGrid w:val="0"/>
        </w:rPr>
        <w:t>Notice of intention to conduct an applicable legislation examination must be published on the regulator’s website.</w:t>
      </w:r>
    </w:p>
    <w:p>
      <w:pPr>
        <w:pStyle w:val="Subsection"/>
      </w:pPr>
      <w:r>
        <w:tab/>
        <w:t>(2)</w:t>
      </w:r>
      <w:r>
        <w:tab/>
        <w:t xml:space="preserve">A person may apply to the regulator to take an applicable legislation examination for a statutory position or statutory certificate. </w:t>
      </w:r>
    </w:p>
    <w:p>
      <w:pPr>
        <w:pStyle w:val="Subsection"/>
      </w:pPr>
      <w:r>
        <w:tab/>
        <w:t>(3)</w:t>
      </w:r>
      <w:r>
        <w:tab/>
        <w:t>The application must be in the approved form.</w:t>
      </w:r>
    </w:p>
    <w:p>
      <w:pPr>
        <w:pStyle w:val="Subsection"/>
      </w:pPr>
      <w:r>
        <w:tab/>
        <w:t>(4)</w:t>
      </w:r>
      <w:r>
        <w:tab/>
        <w:t xml:space="preserve">The regulator may — </w:t>
      </w:r>
    </w:p>
    <w:p>
      <w:pPr>
        <w:pStyle w:val="Indenta"/>
      </w:pPr>
      <w:r>
        <w:tab/>
        <w:t>(a)</w:t>
      </w:r>
      <w:r>
        <w:tab/>
        <w:t xml:space="preserve">conduct an applicable legislation examination for a statutory position or statutory certificate; or </w:t>
      </w:r>
    </w:p>
    <w:p>
      <w:pPr>
        <w:pStyle w:val="Indenta"/>
      </w:pPr>
      <w:r>
        <w:tab/>
        <w:t>(b)</w:t>
      </w:r>
      <w:r>
        <w:tab/>
        <w:t>appoint an examiner to conduct an applicable legislation examination for a statutory position or statutory certificate.</w:t>
      </w:r>
    </w:p>
    <w:p>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pPr>
        <w:pStyle w:val="Subsection"/>
      </w:pPr>
      <w:r>
        <w:tab/>
        <w:t>(6)</w:t>
      </w:r>
      <w:r>
        <w:tab/>
        <w:t xml:space="preserve">If a person takes an applicable legislation examination —  </w:t>
      </w:r>
    </w:p>
    <w:p>
      <w:pPr>
        <w:pStyle w:val="Indenta"/>
      </w:pPr>
      <w:r>
        <w:tab/>
        <w:t>(a)</w:t>
      </w:r>
      <w:r>
        <w:tab/>
        <w:t xml:space="preserve">if an examiner is appointed under subregulation (4)(b) — the examiner must notify the regulator whether the person fails or passes the examination; and </w:t>
      </w:r>
    </w:p>
    <w:p>
      <w:pPr>
        <w:pStyle w:val="Indenta"/>
      </w:pPr>
      <w:r>
        <w:tab/>
        <w:t>(b)</w:t>
      </w:r>
      <w:r>
        <w:tab/>
        <w:t xml:space="preserve">the regulator must give the person a document stating whether the person fails or passes the examination. </w:t>
      </w:r>
    </w:p>
    <w:p>
      <w:pPr>
        <w:pStyle w:val="Heading5"/>
      </w:pPr>
      <w:bookmarkStart w:id="1106" w:name="_Toc200720610"/>
      <w:r>
        <w:rPr>
          <w:rStyle w:val="CharSectno"/>
        </w:rPr>
        <w:lastRenderedPageBreak/>
        <w:t>675ZZI</w:t>
      </w:r>
      <w:r>
        <w:t>.</w:t>
      </w:r>
      <w:r>
        <w:tab/>
        <w:t>Register of persons who pass applicable legislation examinations</w:t>
      </w:r>
      <w:bookmarkEnd w:id="1106"/>
    </w:p>
    <w:p>
      <w:pPr>
        <w:pStyle w:val="Subsection"/>
      </w:pPr>
      <w:r>
        <w:tab/>
        <w:t>(1)</w:t>
      </w:r>
      <w:r>
        <w:tab/>
        <w:t>The regulator must maintain a register of persons who pass applicable legislation examinations for a statutory position or statutory certificate.</w:t>
      </w:r>
    </w:p>
    <w:p>
      <w:pPr>
        <w:pStyle w:val="Subsection"/>
      </w:pPr>
      <w:r>
        <w:tab/>
        <w:t>(2)</w:t>
      </w:r>
      <w:r>
        <w:tab/>
        <w:t xml:space="preserve">The register must include the following details of each person who passes an applicable legislation examination — </w:t>
      </w:r>
    </w:p>
    <w:p>
      <w:pPr>
        <w:pStyle w:val="Indenta"/>
      </w:pPr>
      <w:r>
        <w:tab/>
        <w:t>(a)</w:t>
      </w:r>
      <w:r>
        <w:tab/>
        <w:t xml:space="preserve">the person’s name; </w:t>
      </w:r>
    </w:p>
    <w:p>
      <w:pPr>
        <w:pStyle w:val="Indenta"/>
      </w:pPr>
      <w:r>
        <w:tab/>
        <w:t>(b)</w:t>
      </w:r>
      <w:r>
        <w:tab/>
        <w:t xml:space="preserve">the statutory position or statutory certificate for which the applicable legislation examination is taken and passed; </w:t>
      </w:r>
    </w:p>
    <w:p>
      <w:pPr>
        <w:pStyle w:val="Indenta"/>
      </w:pPr>
      <w:r>
        <w:tab/>
        <w:t>(c)</w:t>
      </w:r>
      <w:r>
        <w:tab/>
        <w:t xml:space="preserve">the person’s gender; </w:t>
      </w:r>
    </w:p>
    <w:p>
      <w:pPr>
        <w:pStyle w:val="Indenta"/>
      </w:pPr>
      <w:r>
        <w:tab/>
        <w:t>(d)</w:t>
      </w:r>
      <w:r>
        <w:tab/>
        <w:t xml:space="preserve">the person’s place and date of birth. </w:t>
      </w:r>
    </w:p>
    <w:p>
      <w:pPr>
        <w:pStyle w:val="Heading5"/>
      </w:pPr>
      <w:bookmarkStart w:id="1107" w:name="_Toc200720611"/>
      <w:r>
        <w:rPr>
          <w:rStyle w:val="CharSectno"/>
        </w:rPr>
        <w:t>675ZZJ</w:t>
      </w:r>
      <w:r>
        <w:t>.</w:t>
      </w:r>
      <w:r>
        <w:tab/>
        <w:t>Approving WHS risk management units for statutory positions and certificates</w:t>
      </w:r>
      <w:bookmarkEnd w:id="1107"/>
    </w:p>
    <w:p>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pPr>
        <w:pStyle w:val="Indenta"/>
      </w:pPr>
      <w:r>
        <w:tab/>
        <w:t>(a)</w:t>
      </w:r>
      <w:r>
        <w:tab/>
        <w:t xml:space="preserve">a unit that is — </w:t>
      </w:r>
    </w:p>
    <w:p>
      <w:pPr>
        <w:pStyle w:val="Indenti"/>
      </w:pPr>
      <w:r>
        <w:tab/>
        <w:t>(i)</w:t>
      </w:r>
      <w:r>
        <w:tab/>
        <w:t>in health and safety risk management; and</w:t>
      </w:r>
    </w:p>
    <w:p>
      <w:pPr>
        <w:pStyle w:val="Indenti"/>
      </w:pPr>
      <w:r>
        <w:tab/>
        <w:t>(ii)</w:t>
      </w:r>
      <w:r>
        <w:tab/>
        <w:t xml:space="preserve">included on the National Register established under the </w:t>
      </w:r>
      <w:r>
        <w:rPr>
          <w:i/>
        </w:rPr>
        <w:t>National Vocational Education and Training Regulator Act 2011</w:t>
      </w:r>
      <w:r>
        <w:t xml:space="preserve"> (Commonwealth);</w:t>
      </w:r>
    </w:p>
    <w:p>
      <w:pPr>
        <w:pStyle w:val="Indenta"/>
      </w:pPr>
      <w:r>
        <w:tab/>
      </w:r>
      <w:r>
        <w:tab/>
        <w:t>and</w:t>
      </w:r>
    </w:p>
    <w:p>
      <w:pPr>
        <w:pStyle w:val="Indenta"/>
      </w:pPr>
      <w:r>
        <w:tab/>
        <w:t>(b)</w:t>
      </w:r>
      <w:r>
        <w:tab/>
        <w:t xml:space="preserve">approved as suitable for the statutory position or certificate by — </w:t>
      </w:r>
    </w:p>
    <w:p>
      <w:pPr>
        <w:pStyle w:val="Indenti"/>
      </w:pPr>
      <w:r>
        <w:tab/>
        <w:t>(i)</w:t>
      </w:r>
      <w:r>
        <w:tab/>
        <w:t>if the unit is in relation to a statutory surveyor certificate or statutory surveyor position — the Surveyors Competence Advisory Committee; or</w:t>
      </w:r>
    </w:p>
    <w:p>
      <w:pPr>
        <w:pStyle w:val="Indenti"/>
      </w:pPr>
      <w:r>
        <w:tab/>
        <w:t>(ii)</w:t>
      </w:r>
      <w:r>
        <w:tab/>
        <w:t>otherwise — the Mining Competence Advisory Committee.</w:t>
      </w:r>
    </w:p>
    <w:p>
      <w:pPr>
        <w:pStyle w:val="Subsection"/>
      </w:pPr>
      <w:r>
        <w:lastRenderedPageBreak/>
        <w:tab/>
        <w:t>(2)</w:t>
      </w:r>
      <w:r>
        <w:tab/>
        <w:t>The regulator must publish a list of approved WHS risk management units on the regulator’s website.</w:t>
      </w:r>
    </w:p>
    <w:p>
      <w:pPr>
        <w:pStyle w:val="Footnotesection"/>
      </w:pPr>
      <w:r>
        <w:tab/>
        <w:t>[Regulation 675ZZJ amended: SL 2023/134 r. 17.]</w:t>
      </w:r>
    </w:p>
    <w:p>
      <w:pPr>
        <w:pStyle w:val="Heading5"/>
      </w:pPr>
      <w:bookmarkStart w:id="1108" w:name="_Toc200720612"/>
      <w:r>
        <w:rPr>
          <w:rStyle w:val="CharSectno"/>
        </w:rPr>
        <w:t>675ZZK</w:t>
      </w:r>
      <w:r>
        <w:t>.</w:t>
      </w:r>
      <w:r>
        <w:tab/>
        <w:t>Regulator may approve courses for particular statutory positions</w:t>
      </w:r>
      <w:bookmarkEnd w:id="1108"/>
    </w:p>
    <w:p>
      <w:pPr>
        <w:pStyle w:val="Subsection"/>
      </w:pPr>
      <w:r>
        <w:tab/>
        <w:t>(1)</w:t>
      </w:r>
      <w:r>
        <w:tab/>
        <w:t xml:space="preserve">The regulator may approve — </w:t>
      </w:r>
    </w:p>
    <w:p>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pPr>
        <w:pStyle w:val="Indenta"/>
      </w:pPr>
      <w:r>
        <w:tab/>
        <w:t>(b)</w:t>
      </w:r>
      <w:r>
        <w:tab/>
        <w:t>for the purposes of Schedule 26 clause 2(3)(a), a course about measuring and managing noise the regulator considers is suitable for noise officers; and</w:t>
      </w:r>
    </w:p>
    <w:p>
      <w:pPr>
        <w:pStyle w:val="Indenta"/>
      </w:pPr>
      <w:r>
        <w:tab/>
        <w:t>(c)</w:t>
      </w:r>
      <w:r>
        <w:tab/>
        <w:t>for the purposes of Schedule 26 clause 4(3)(a), a course about sampling and assessing airborne contaminants the regulator considers is suitable for mine air quality officers; and</w:t>
      </w:r>
    </w:p>
    <w:p>
      <w:pPr>
        <w:pStyle w:val="Indenta"/>
      </w:pPr>
      <w:r>
        <w:tab/>
        <w:t>(d)</w:t>
      </w:r>
      <w:r>
        <w:tab/>
        <w:t>for the purposes of Schedule 26 clause 6(3)(a), a high voltage operator training course the regulator considers is suitable for high voltage operators.</w:t>
      </w:r>
    </w:p>
    <w:p>
      <w:pPr>
        <w:pStyle w:val="Subsection"/>
      </w:pPr>
      <w:r>
        <w:tab/>
        <w:t>(2)</w:t>
      </w:r>
      <w:r>
        <w:tab/>
        <w:t>The regulator must publish a list of courses approved under subregulation (1) on the regulator’s website.</w:t>
      </w:r>
    </w:p>
    <w:p>
      <w:pPr>
        <w:pStyle w:val="Heading5"/>
      </w:pPr>
      <w:bookmarkStart w:id="1109" w:name="_Toc200720613"/>
      <w:r>
        <w:rPr>
          <w:rStyle w:val="CharSectno"/>
        </w:rPr>
        <w:t>675ZZL</w:t>
      </w:r>
      <w:r>
        <w:t>.</w:t>
      </w:r>
      <w:r>
        <w:tab/>
        <w:t>Referral of application for statutory certificate to relevant competence committee</w:t>
      </w:r>
      <w:bookmarkEnd w:id="1109"/>
    </w:p>
    <w:p>
      <w:pPr>
        <w:pStyle w:val="Subsection"/>
      </w:pPr>
      <w:r>
        <w:tab/>
        <w:t>(1)</w:t>
      </w:r>
      <w:r>
        <w:tab/>
        <w:t xml:space="preserve">The regulator must refer an applicant’s application for a statutory certificate under regulation 675ZZB(1) to the relevant competence committee for the certificate for an assessment. </w:t>
      </w:r>
    </w:p>
    <w:p>
      <w:pPr>
        <w:pStyle w:val="Subsection"/>
      </w:pPr>
      <w:r>
        <w:tab/>
        <w:t>(2)</w:t>
      </w:r>
      <w:r>
        <w:tab/>
        <w:t>The relevant competence committee for the certificate must assess whether the applicant is eligible to hold the statutory certificate, having regard to —</w:t>
      </w:r>
    </w:p>
    <w:p>
      <w:pPr>
        <w:pStyle w:val="Indenta"/>
      </w:pPr>
      <w:r>
        <w:tab/>
        <w:t>(a)</w:t>
      </w:r>
      <w:r>
        <w:tab/>
        <w:t>the eligibility requirements for the certificate; and</w:t>
      </w:r>
    </w:p>
    <w:p>
      <w:pPr>
        <w:pStyle w:val="Indenta"/>
      </w:pPr>
      <w:r>
        <w:lastRenderedPageBreak/>
        <w:tab/>
        <w:t>(b)</w:t>
      </w:r>
      <w:r>
        <w:tab/>
        <w:t>whether the work undertaken by the applicant is sufficient experience to entitle the applicant to obtain the statutory certificate.</w:t>
      </w:r>
    </w:p>
    <w:p>
      <w:pPr>
        <w:pStyle w:val="Subsection"/>
      </w:pPr>
      <w:r>
        <w:tab/>
        <w:t>(3)</w:t>
      </w:r>
      <w:r>
        <w:tab/>
        <w:t xml:space="preserve">The relevant competence committee for the certificate may give the applicant a written notice — </w:t>
      </w:r>
    </w:p>
    <w:p>
      <w:pPr>
        <w:pStyle w:val="Indenta"/>
      </w:pPr>
      <w:r>
        <w:tab/>
        <w:t>(a)</w:t>
      </w:r>
      <w:r>
        <w:tab/>
        <w:t>requiring the applicant to, within the reasonable period stated in the notice, give the committee documents or information for the purposes of its assessment; and</w:t>
      </w:r>
    </w:p>
    <w:p>
      <w:pPr>
        <w:pStyle w:val="Indenta"/>
      </w:pPr>
      <w:r>
        <w:tab/>
        <w:t>(b)</w:t>
      </w:r>
      <w:r>
        <w:tab/>
        <w:t>stating that, if the applicant fails to comply with the notice, the committee may decide that the applicant is not eligible for the statutory certificate.</w:t>
      </w:r>
    </w:p>
    <w:p>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pPr>
        <w:pStyle w:val="Heading5"/>
      </w:pPr>
      <w:bookmarkStart w:id="1110" w:name="_Toc200720614"/>
      <w:r>
        <w:rPr>
          <w:rStyle w:val="CharSectno"/>
        </w:rPr>
        <w:t>675ZZM</w:t>
      </w:r>
      <w:r>
        <w:t>.</w:t>
      </w:r>
      <w:r>
        <w:tab/>
        <w:t>Relevant competence committee to make determination about mining practice examinations</w:t>
      </w:r>
      <w:bookmarkEnd w:id="1110"/>
      <w:r>
        <w:t xml:space="preserve"> </w:t>
      </w:r>
    </w:p>
    <w:p>
      <w:pPr>
        <w:pStyle w:val="Subsection"/>
      </w:pPr>
      <w:r>
        <w:tab/>
        <w:t>(1)</w:t>
      </w:r>
      <w:r>
        <w:tab/>
        <w:t xml:space="preserve">The relevant competence committee for a statutory certificate may determine — </w:t>
      </w:r>
    </w:p>
    <w:p>
      <w:pPr>
        <w:pStyle w:val="Indenta"/>
      </w:pPr>
      <w:r>
        <w:tab/>
        <w:t>(a)</w:t>
      </w:r>
      <w:r>
        <w:tab/>
        <w:t>the practical knowledge that is relevant to the certificate for the mining practice examination for the certificate; and</w:t>
      </w:r>
    </w:p>
    <w:p>
      <w:pPr>
        <w:pStyle w:val="Indenta"/>
      </w:pPr>
      <w:r>
        <w:tab/>
        <w:t>(b)</w:t>
      </w:r>
      <w:r>
        <w:tab/>
        <w:t xml:space="preserve">whether the mining practice examination for the certificate is to be an oral, practical or written examination, or a combination of those types of examination. </w:t>
      </w:r>
    </w:p>
    <w:p>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pPr>
        <w:pStyle w:val="Indenta"/>
      </w:pPr>
      <w:r>
        <w:tab/>
        <w:t>(a)</w:t>
      </w:r>
      <w:r>
        <w:tab/>
        <w:t>the determination; and</w:t>
      </w:r>
    </w:p>
    <w:p>
      <w:pPr>
        <w:pStyle w:val="Indenta"/>
      </w:pPr>
      <w:r>
        <w:lastRenderedPageBreak/>
        <w:tab/>
        <w:t>(b)</w:t>
      </w:r>
      <w:r>
        <w:tab/>
        <w:t>the details of the practical knowledge for the mining practice examination the subject of the determination.</w:t>
      </w:r>
    </w:p>
    <w:p>
      <w:pPr>
        <w:pStyle w:val="Heading5"/>
      </w:pPr>
      <w:bookmarkStart w:id="1111" w:name="_Toc200720615"/>
      <w:r>
        <w:rPr>
          <w:rStyle w:val="CharSectno"/>
        </w:rPr>
        <w:t>675ZZN</w:t>
      </w:r>
      <w:r>
        <w:t>.</w:t>
      </w:r>
      <w:r>
        <w:tab/>
        <w:t>Mining practice examinations</w:t>
      </w:r>
      <w:bookmarkEnd w:id="1111"/>
    </w:p>
    <w:p>
      <w:pPr>
        <w:pStyle w:val="Subsection"/>
        <w:rPr>
          <w:snapToGrid w:val="0"/>
        </w:rPr>
      </w:pPr>
      <w:r>
        <w:tab/>
        <w:t>(1)</w:t>
      </w:r>
      <w:r>
        <w:tab/>
      </w:r>
      <w:r>
        <w:rPr>
          <w:snapToGrid w:val="0"/>
        </w:rPr>
        <w:t>Notice of intention to conduct a mining practice examination must be published on the regulator’s website.</w:t>
      </w:r>
    </w:p>
    <w:p>
      <w:pPr>
        <w:pStyle w:val="Subsection"/>
      </w:pPr>
      <w:r>
        <w:tab/>
        <w:t>(2)</w:t>
      </w:r>
      <w:r>
        <w:tab/>
        <w:t xml:space="preserve">A person may apply to the regulator to take a mining practice examination for the certificate. </w:t>
      </w:r>
    </w:p>
    <w:p>
      <w:pPr>
        <w:pStyle w:val="Subsection"/>
      </w:pPr>
      <w:r>
        <w:tab/>
        <w:t>(3)</w:t>
      </w:r>
      <w:r>
        <w:tab/>
        <w:t xml:space="preserve">The application must be in the approved form. </w:t>
      </w:r>
    </w:p>
    <w:p>
      <w:pPr>
        <w:pStyle w:val="Subsection"/>
      </w:pPr>
      <w:r>
        <w:tab/>
        <w:t>(4)</w:t>
      </w:r>
      <w:r>
        <w:tab/>
        <w:t xml:space="preserve">The regulator may — </w:t>
      </w:r>
    </w:p>
    <w:p>
      <w:pPr>
        <w:pStyle w:val="Indenta"/>
      </w:pPr>
      <w:r>
        <w:tab/>
        <w:t>(a)</w:t>
      </w:r>
      <w:r>
        <w:tab/>
        <w:t xml:space="preserve">conduct a mining practice examination for a certificate; or </w:t>
      </w:r>
    </w:p>
    <w:p>
      <w:pPr>
        <w:pStyle w:val="Indenta"/>
      </w:pPr>
      <w:r>
        <w:tab/>
        <w:t>(b)</w:t>
      </w:r>
      <w:r>
        <w:tab/>
        <w:t>appoint an examiner to conduct a mining practice examination for a certificate.</w:t>
      </w:r>
    </w:p>
    <w:p>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pPr>
        <w:pStyle w:val="Subsection"/>
      </w:pPr>
      <w:r>
        <w:tab/>
        <w:t>(6)</w:t>
      </w:r>
      <w:r>
        <w:tab/>
        <w:t xml:space="preserve">If a person takes a mining practice examination for a statutory certificate — </w:t>
      </w:r>
    </w:p>
    <w:p>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pPr>
        <w:pStyle w:val="Indenta"/>
      </w:pPr>
      <w:r>
        <w:tab/>
        <w:t>(b)</w:t>
      </w:r>
      <w:r>
        <w:tab/>
        <w:t xml:space="preserve">the regulator must give the person a document stating whether the person who takes the examination fails or passes the examination. </w:t>
      </w:r>
    </w:p>
    <w:p>
      <w:pPr>
        <w:pStyle w:val="Heading2"/>
      </w:pPr>
      <w:bookmarkStart w:id="1112" w:name="_Toc200720616"/>
      <w:r>
        <w:lastRenderedPageBreak/>
        <w:t>Chapter 11 — General</w:t>
      </w:r>
      <w:bookmarkEnd w:id="1112"/>
    </w:p>
    <w:p>
      <w:pPr>
        <w:pStyle w:val="Heading3"/>
      </w:pPr>
      <w:bookmarkStart w:id="1113" w:name="_Toc200720617"/>
      <w:r>
        <w:rPr>
          <w:rStyle w:val="CharPartNo"/>
        </w:rPr>
        <w:t>Part 11.1</w:t>
      </w:r>
      <w:r>
        <w:t> — </w:t>
      </w:r>
      <w:r>
        <w:rPr>
          <w:rStyle w:val="CharPartText"/>
        </w:rPr>
        <w:t>Review of decisions under these regulations</w:t>
      </w:r>
      <w:bookmarkEnd w:id="1113"/>
    </w:p>
    <w:p>
      <w:pPr>
        <w:pStyle w:val="Heading4"/>
      </w:pPr>
      <w:bookmarkStart w:id="1114" w:name="_Toc200720618"/>
      <w:r>
        <w:rPr>
          <w:rStyle w:val="CharDivNo"/>
        </w:rPr>
        <w:t>Division 1</w:t>
      </w:r>
      <w:r>
        <w:t> — </w:t>
      </w:r>
      <w:r>
        <w:rPr>
          <w:rStyle w:val="CharDivText"/>
        </w:rPr>
        <w:t>Reviewable decisions</w:t>
      </w:r>
      <w:bookmarkEnd w:id="1114"/>
    </w:p>
    <w:p>
      <w:pPr>
        <w:pStyle w:val="Heading5"/>
      </w:pPr>
      <w:bookmarkStart w:id="1115" w:name="_Toc200720619"/>
      <w:r>
        <w:rPr>
          <w:rStyle w:val="CharSectno"/>
        </w:rPr>
        <w:t>676</w:t>
      </w:r>
      <w:r>
        <w:t>.</w:t>
      </w:r>
      <w:r>
        <w:tab/>
        <w:t>Which decisions under these regulations are reviewable</w:t>
      </w:r>
      <w:bookmarkEnd w:id="1115"/>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2A.</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2B.</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keepNext/>
            </w:pPr>
            <w:r>
              <w:lastRenderedPageBreak/>
              <w:t>3.</w:t>
            </w:r>
          </w:p>
        </w:tc>
        <w:tc>
          <w:tcPr>
            <w:tcW w:w="2679" w:type="dxa"/>
            <w:noWrap/>
          </w:tcPr>
          <w:p>
            <w:pPr>
              <w:pStyle w:val="TableNAm"/>
              <w:keepNext/>
            </w:pPr>
            <w:r>
              <w:rPr>
                <w:i/>
              </w:rPr>
              <w:t>[not used]</w:t>
            </w:r>
          </w:p>
        </w:tc>
        <w:tc>
          <w:tcPr>
            <w:tcW w:w="2679" w:type="dxa"/>
            <w:noWrap/>
          </w:tcPr>
          <w:p>
            <w:pPr>
              <w:pStyle w:val="TableNAm"/>
              <w:keepNext/>
            </w:pPr>
          </w:p>
        </w:tc>
      </w:tr>
      <w:tr>
        <w:tc>
          <w:tcPr>
            <w:tcW w:w="709" w:type="dxa"/>
            <w:noWrap/>
          </w:tcPr>
          <w:p>
            <w:pPr>
              <w:pStyle w:val="TableNAm"/>
            </w:pPr>
            <w:r>
              <w:t>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lastRenderedPageBreak/>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16D.</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16E.</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16F.</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16G.</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16H.</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16I.</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16J.</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16K.</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16L.</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lastRenderedPageBreak/>
              <w:t>Registration of plant designs</w:t>
            </w:r>
          </w:p>
        </w:tc>
      </w:tr>
      <w:tr>
        <w:tc>
          <w:tcPr>
            <w:tcW w:w="709" w:type="dxa"/>
            <w:noWrap/>
          </w:tcPr>
          <w:p>
            <w:pPr>
              <w:pStyle w:val="TableNAm"/>
            </w:pPr>
            <w:r>
              <w:t>17.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19.</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lastRenderedPageBreak/>
              <w:t>30.</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Hazardous chemicals and lead</w:t>
            </w:r>
          </w:p>
        </w:tc>
      </w:tr>
      <w:t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45.</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rPr>
                <w:b/>
              </w:rPr>
            </w:pPr>
            <w:r>
              <w:rPr>
                <w:b/>
              </w:rPr>
              <w:t>Mines</w:t>
            </w:r>
          </w:p>
        </w:tc>
      </w:tr>
      <w:tr>
        <w:tc>
          <w:tcPr>
            <w:tcW w:w="709" w:type="dxa"/>
            <w:noWrap/>
          </w:tcPr>
          <w:p>
            <w:pPr>
              <w:pStyle w:val="TableNAm"/>
            </w:pPr>
            <w:r>
              <w:t>46.</w:t>
            </w:r>
          </w:p>
        </w:tc>
        <w:tc>
          <w:tcPr>
            <w:tcW w:w="2679" w:type="dxa"/>
            <w:noWrap/>
          </w:tcPr>
          <w:p>
            <w:pPr>
              <w:pStyle w:val="TableNAm"/>
            </w:pPr>
            <w:r>
              <w:t>r. 625(6) — Giving notice to review</w:t>
            </w:r>
          </w:p>
        </w:tc>
        <w:tc>
          <w:tcPr>
            <w:tcW w:w="2679" w:type="dxa"/>
            <w:noWrap/>
          </w:tcPr>
          <w:p>
            <w:pPr>
              <w:pStyle w:val="TableNAm"/>
            </w:pPr>
            <w:r>
              <w:t>The mine operator to whom the notice is given</w:t>
            </w:r>
          </w:p>
        </w:tc>
      </w:tr>
      <w:tr>
        <w:tc>
          <w:tcPr>
            <w:tcW w:w="709" w:type="dxa"/>
            <w:noWrap/>
          </w:tcPr>
          <w:p>
            <w:pPr>
              <w:pStyle w:val="TableNAm"/>
            </w:pPr>
            <w:r>
              <w:t>47.</w:t>
            </w:r>
          </w:p>
        </w:tc>
        <w:tc>
          <w:tcPr>
            <w:tcW w:w="2679" w:type="dxa"/>
            <w:noWrap/>
          </w:tcPr>
          <w:p>
            <w:pPr>
              <w:pStyle w:val="TableNAm"/>
            </w:pPr>
            <w:r>
              <w:t>r. 641M(2) — Not approving a pre</w:t>
            </w:r>
            <w:r>
              <w:noBreakHyphen/>
              <w:t xml:space="preserve">operational monitoring program </w:t>
            </w:r>
          </w:p>
        </w:tc>
        <w:tc>
          <w:tcPr>
            <w:tcW w:w="2679" w:type="dxa"/>
            <w:noWrap/>
          </w:tcPr>
          <w:p>
            <w:pPr>
              <w:pStyle w:val="TableNAm"/>
            </w:pPr>
            <w:r>
              <w:t>The mine operator who submits the program to the regulator</w:t>
            </w:r>
          </w:p>
        </w:tc>
      </w:tr>
      <w:tr>
        <w:tc>
          <w:tcPr>
            <w:tcW w:w="709" w:type="dxa"/>
            <w:noWrap/>
          </w:tcPr>
          <w:p>
            <w:pPr>
              <w:pStyle w:val="TableNAm"/>
            </w:pPr>
            <w:r>
              <w:lastRenderedPageBreak/>
              <w:t>48.</w:t>
            </w:r>
          </w:p>
        </w:tc>
        <w:tc>
          <w:tcPr>
            <w:tcW w:w="2679" w:type="dxa"/>
            <w:noWrap/>
          </w:tcPr>
          <w:p>
            <w:pPr>
              <w:pStyle w:val="TableNAm"/>
            </w:pPr>
            <w:r>
              <w:t xml:space="preserve">r. 641N(2) — Not approving a radiation management plan </w:t>
            </w:r>
          </w:p>
        </w:tc>
        <w:tc>
          <w:tcPr>
            <w:tcW w:w="2679" w:type="dxa"/>
            <w:noWrap/>
          </w:tcPr>
          <w:p>
            <w:pPr>
              <w:pStyle w:val="TableNAm"/>
            </w:pPr>
            <w:r>
              <w:t>The mine operator who submits the plan to the regulator</w:t>
            </w:r>
          </w:p>
        </w:tc>
      </w:tr>
      <w:tr>
        <w:tc>
          <w:tcPr>
            <w:tcW w:w="709" w:type="dxa"/>
            <w:noWrap/>
          </w:tcPr>
          <w:p>
            <w:pPr>
              <w:pStyle w:val="TableNAm"/>
            </w:pPr>
            <w:r>
              <w:t>49.</w:t>
            </w:r>
          </w:p>
        </w:tc>
        <w:tc>
          <w:tcPr>
            <w:tcW w:w="2679" w:type="dxa"/>
            <w:noWrap/>
          </w:tcPr>
          <w:p>
            <w:pPr>
              <w:pStyle w:val="TableNAm"/>
            </w:pPr>
            <w:r>
              <w:t>r. 641O(2) — Not approving a radioactive waste management plan</w:t>
            </w:r>
          </w:p>
        </w:tc>
        <w:tc>
          <w:tcPr>
            <w:tcW w:w="2679" w:type="dxa"/>
            <w:noWrap/>
          </w:tcPr>
          <w:p>
            <w:pPr>
              <w:pStyle w:val="TableNAm"/>
            </w:pPr>
            <w:r>
              <w:t>The mine operator who submits the plan to the regulator</w:t>
            </w:r>
          </w:p>
        </w:tc>
      </w:tr>
      <w:tr>
        <w:tc>
          <w:tcPr>
            <w:tcW w:w="709" w:type="dxa"/>
            <w:noWrap/>
          </w:tcPr>
          <w:p>
            <w:pPr>
              <w:pStyle w:val="TableNAm"/>
            </w:pPr>
            <w:r>
              <w:t>50.</w:t>
            </w:r>
          </w:p>
        </w:tc>
        <w:tc>
          <w:tcPr>
            <w:tcW w:w="2679" w:type="dxa"/>
            <w:noWrap/>
          </w:tcPr>
          <w:p>
            <w:pPr>
              <w:pStyle w:val="TableNAm"/>
            </w:pPr>
            <w:r>
              <w:t>r. 641V — Not giving written approval to remove or dispose of radioactive material</w:t>
            </w:r>
          </w:p>
        </w:tc>
        <w:tc>
          <w:tcPr>
            <w:tcW w:w="2679" w:type="dxa"/>
            <w:noWrap/>
          </w:tcPr>
          <w:p>
            <w:pPr>
              <w:pStyle w:val="TableNAm"/>
            </w:pPr>
            <w:r>
              <w:t>The person who sought the written approval</w:t>
            </w:r>
          </w:p>
        </w:tc>
      </w:tr>
      <w:tr>
        <w:tc>
          <w:tcPr>
            <w:tcW w:w="709" w:type="dxa"/>
            <w:noWrap/>
          </w:tcPr>
          <w:p>
            <w:pPr>
              <w:pStyle w:val="TableNAm"/>
            </w:pPr>
            <w:r>
              <w:t>51.</w:t>
            </w:r>
          </w:p>
        </w:tc>
        <w:tc>
          <w:tcPr>
            <w:tcW w:w="2679" w:type="dxa"/>
            <w:noWrap/>
          </w:tcPr>
          <w:p>
            <w:pPr>
              <w:pStyle w:val="TableNAm"/>
            </w:pPr>
            <w:r>
              <w:t>r. 641W(2) — Not giving written approval to use or treat radioactive minerals</w:t>
            </w:r>
          </w:p>
        </w:tc>
        <w:tc>
          <w:tcPr>
            <w:tcW w:w="2679" w:type="dxa"/>
            <w:noWrap/>
          </w:tcPr>
          <w:p>
            <w:pPr>
              <w:pStyle w:val="TableNAm"/>
            </w:pPr>
            <w:r>
              <w:t>The person who sought the written approval</w:t>
            </w:r>
          </w:p>
        </w:tc>
      </w:tr>
      <w:tr>
        <w:tc>
          <w:tcPr>
            <w:tcW w:w="709" w:type="dxa"/>
            <w:noWrap/>
          </w:tcPr>
          <w:p>
            <w:pPr>
              <w:pStyle w:val="TableNAm"/>
            </w:pPr>
            <w:r>
              <w:t>52.</w:t>
            </w:r>
          </w:p>
        </w:tc>
        <w:tc>
          <w:tcPr>
            <w:tcW w:w="2679" w:type="dxa"/>
            <w:noWrap/>
          </w:tcPr>
          <w:p>
            <w:pPr>
              <w:pStyle w:val="TableNAm"/>
            </w:pPr>
            <w:r>
              <w:t>r. 675UI(6) — Not giving a notice authorising closure of the mine or a part of the mine</w:t>
            </w:r>
          </w:p>
        </w:tc>
        <w:tc>
          <w:tcPr>
            <w:tcW w:w="2679" w:type="dxa"/>
            <w:noWrap/>
          </w:tcPr>
          <w:p>
            <w:pPr>
              <w:pStyle w:val="TableNAm"/>
            </w:pPr>
            <w:r>
              <w:t>The mine operator of the mine</w:t>
            </w:r>
          </w:p>
        </w:tc>
      </w:tr>
      <w:tr>
        <w:tc>
          <w:tcPr>
            <w:tcW w:w="709" w:type="dxa"/>
            <w:noWrap/>
          </w:tcPr>
          <w:p>
            <w:pPr>
              <w:pStyle w:val="TableNAm"/>
            </w:pPr>
            <w:r>
              <w:t>53.</w:t>
            </w:r>
          </w:p>
        </w:tc>
        <w:tc>
          <w:tcPr>
            <w:tcW w:w="2679" w:type="dxa"/>
            <w:noWrap/>
          </w:tcPr>
          <w:p>
            <w:pPr>
              <w:pStyle w:val="TableNAm"/>
            </w:pPr>
            <w:r>
              <w:t xml:space="preserve">r. 675ZZC(1) — Refusing to grant a statutory certificate </w:t>
            </w:r>
          </w:p>
        </w:tc>
        <w:tc>
          <w:tcPr>
            <w:tcW w:w="2679" w:type="dxa"/>
            <w:noWrap/>
          </w:tcPr>
          <w:p>
            <w:pPr>
              <w:pStyle w:val="TableNAm"/>
            </w:pPr>
            <w:r>
              <w:t>The applicant for the statutory certificate</w:t>
            </w:r>
          </w:p>
        </w:tc>
      </w:tr>
      <w:tr>
        <w:tc>
          <w:tcPr>
            <w:tcW w:w="709" w:type="dxa"/>
            <w:noWrap/>
          </w:tcPr>
          <w:p>
            <w:pPr>
              <w:pStyle w:val="TableNAm"/>
            </w:pPr>
            <w:r>
              <w:t>54.</w:t>
            </w:r>
          </w:p>
        </w:tc>
        <w:tc>
          <w:tcPr>
            <w:tcW w:w="2679" w:type="dxa"/>
            <w:noWrap/>
          </w:tcPr>
          <w:p>
            <w:pPr>
              <w:pStyle w:val="TableNAm"/>
            </w:pPr>
            <w:r>
              <w:t>r. 675ZZC(3) — Granting a statutory certificate subject to conditions</w:t>
            </w:r>
          </w:p>
        </w:tc>
        <w:tc>
          <w:tcPr>
            <w:tcW w:w="2679" w:type="dxa"/>
            <w:noWrap/>
          </w:tcPr>
          <w:p>
            <w:pPr>
              <w:pStyle w:val="TableNAm"/>
            </w:pPr>
            <w:r>
              <w:t>The person who receives the statutory certificate</w:t>
            </w:r>
          </w:p>
        </w:tc>
      </w:tr>
      <w:tr>
        <w:tc>
          <w:tcPr>
            <w:tcW w:w="709" w:type="dxa"/>
            <w:noWrap/>
          </w:tcPr>
          <w:p>
            <w:pPr>
              <w:pStyle w:val="TableNAm"/>
            </w:pPr>
            <w:r>
              <w:lastRenderedPageBreak/>
              <w:t>54A.</w:t>
            </w:r>
          </w:p>
        </w:tc>
        <w:tc>
          <w:tcPr>
            <w:tcW w:w="2679" w:type="dxa"/>
            <w:noWrap/>
          </w:tcPr>
          <w:p>
            <w:pPr>
              <w:pStyle w:val="TableNAm"/>
            </w:pPr>
            <w:r>
              <w:t>r. 675ZZE(1) — Suspending a person’s statutory certificate</w:t>
            </w:r>
          </w:p>
        </w:tc>
        <w:tc>
          <w:tcPr>
            <w:tcW w:w="2679" w:type="dxa"/>
            <w:noWrap/>
          </w:tcPr>
          <w:p>
            <w:pPr>
              <w:pStyle w:val="TableNAm"/>
            </w:pPr>
            <w:r>
              <w:t>The person whose statutory certificate is suspended</w:t>
            </w:r>
          </w:p>
        </w:tc>
      </w:tr>
      <w:tr>
        <w:tc>
          <w:tcPr>
            <w:tcW w:w="709" w:type="dxa"/>
            <w:noWrap/>
          </w:tcPr>
          <w:p>
            <w:pPr>
              <w:pStyle w:val="TableNAm"/>
            </w:pPr>
            <w:r>
              <w:t>54B.</w:t>
            </w:r>
          </w:p>
        </w:tc>
        <w:tc>
          <w:tcPr>
            <w:tcW w:w="2679" w:type="dxa"/>
            <w:noWrap/>
          </w:tcPr>
          <w:p>
            <w:pPr>
              <w:pStyle w:val="TableNAm"/>
            </w:pPr>
            <w:r>
              <w:t>r. 675ZZE(1) —Cancelling a person’s statutory certificate</w:t>
            </w:r>
          </w:p>
        </w:tc>
        <w:tc>
          <w:tcPr>
            <w:tcW w:w="2679" w:type="dxa"/>
            <w:noWrap/>
          </w:tcPr>
          <w:p>
            <w:pPr>
              <w:pStyle w:val="TableNAm"/>
            </w:pPr>
            <w:r>
              <w:t>The person whose statutory certificate is cancelled</w:t>
            </w:r>
          </w:p>
        </w:tc>
      </w:tr>
      <w:tr>
        <w:tc>
          <w:tcPr>
            <w:tcW w:w="709" w:type="dxa"/>
            <w:noWrap/>
          </w:tcPr>
          <w:p>
            <w:pPr>
              <w:pStyle w:val="TableNAm"/>
            </w:pPr>
            <w:r>
              <w:t>55.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lastRenderedPageBreak/>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lastRenderedPageBreak/>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10.]</w:t>
      </w:r>
    </w:p>
    <w:p>
      <w:pPr>
        <w:pStyle w:val="Heading4"/>
      </w:pPr>
      <w:bookmarkStart w:id="1116" w:name="_Toc200720620"/>
      <w:r>
        <w:rPr>
          <w:rStyle w:val="CharDivNo"/>
        </w:rPr>
        <w:t>Division 2</w:t>
      </w:r>
      <w:r>
        <w:t> — </w:t>
      </w:r>
      <w:r>
        <w:rPr>
          <w:rStyle w:val="CharDivText"/>
        </w:rPr>
        <w:t>Internal review</w:t>
      </w:r>
      <w:bookmarkEnd w:id="1116"/>
    </w:p>
    <w:p>
      <w:pPr>
        <w:pStyle w:val="Heading5"/>
      </w:pPr>
      <w:bookmarkStart w:id="1117" w:name="_Toc200720621"/>
      <w:r>
        <w:rPr>
          <w:rStyle w:val="CharSectno"/>
        </w:rPr>
        <w:t>677</w:t>
      </w:r>
      <w:r>
        <w:t>.</w:t>
      </w:r>
      <w:r>
        <w:tab/>
        <w:t>Application</w:t>
      </w:r>
      <w:bookmarkEnd w:id="1117"/>
    </w:p>
    <w:p>
      <w:pPr>
        <w:pStyle w:val="Subsection"/>
      </w:pPr>
      <w:r>
        <w:tab/>
      </w:r>
      <w:r>
        <w:tab/>
        <w:t>This Division does not apply to a reviewable decision made under Part 11.2.</w:t>
      </w:r>
    </w:p>
    <w:p>
      <w:pPr>
        <w:pStyle w:val="Heading5"/>
      </w:pPr>
      <w:bookmarkStart w:id="1118" w:name="_Toc200720622"/>
      <w:r>
        <w:rPr>
          <w:rStyle w:val="CharSectno"/>
        </w:rPr>
        <w:t>678</w:t>
      </w:r>
      <w:r>
        <w:t>.</w:t>
      </w:r>
      <w:r>
        <w:tab/>
        <w:t>Application for internal review</w:t>
      </w:r>
      <w:bookmarkEnd w:id="1118"/>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approved form and in the manner required by the regulator.</w:t>
      </w:r>
    </w:p>
    <w:p>
      <w:pPr>
        <w:pStyle w:val="Heading5"/>
      </w:pPr>
      <w:bookmarkStart w:id="1119" w:name="_Toc200720623"/>
      <w:r>
        <w:rPr>
          <w:rStyle w:val="CharSectno"/>
        </w:rPr>
        <w:lastRenderedPageBreak/>
        <w:t>679</w:t>
      </w:r>
      <w:r>
        <w:t>.</w:t>
      </w:r>
      <w:r>
        <w:tab/>
        <w:t>Internal reviewer</w:t>
      </w:r>
      <w:bookmarkEnd w:id="1119"/>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1120" w:name="_Toc200720624"/>
      <w:r>
        <w:rPr>
          <w:rStyle w:val="CharSectno"/>
        </w:rPr>
        <w:t>680</w:t>
      </w:r>
      <w:r>
        <w:t>.</w:t>
      </w:r>
      <w:r>
        <w:tab/>
        <w:t>Decision of internal reviewer</w:t>
      </w:r>
      <w:bookmarkEnd w:id="1120"/>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121" w:name="_Toc200720625"/>
      <w:r>
        <w:rPr>
          <w:rStyle w:val="CharSectno"/>
        </w:rPr>
        <w:lastRenderedPageBreak/>
        <w:t>681</w:t>
      </w:r>
      <w:r>
        <w:t>.</w:t>
      </w:r>
      <w:r>
        <w:tab/>
        <w:t>Decision on internal review</w:t>
      </w:r>
      <w:bookmarkEnd w:id="1121"/>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122" w:name="_Toc200720626"/>
      <w:r>
        <w:rPr>
          <w:rStyle w:val="CharSectno"/>
        </w:rPr>
        <w:t>682</w:t>
      </w:r>
      <w:r>
        <w:t>.</w:t>
      </w:r>
      <w:r>
        <w:tab/>
        <w:t>Internal review: reviewable decision continues</w:t>
      </w:r>
      <w:bookmarkEnd w:id="1122"/>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1123" w:name="_Toc200720627"/>
      <w:r>
        <w:rPr>
          <w:rStyle w:val="CharDivNo"/>
        </w:rPr>
        <w:t>Division 3</w:t>
      </w:r>
      <w:r>
        <w:t> — </w:t>
      </w:r>
      <w:r>
        <w:rPr>
          <w:rStyle w:val="CharDivText"/>
        </w:rPr>
        <w:t>External review</w:t>
      </w:r>
      <w:bookmarkEnd w:id="1123"/>
    </w:p>
    <w:p>
      <w:pPr>
        <w:pStyle w:val="Heading5"/>
      </w:pPr>
      <w:bookmarkStart w:id="1124" w:name="_Toc200720628"/>
      <w:r>
        <w:rPr>
          <w:rStyle w:val="CharSectno"/>
        </w:rPr>
        <w:t>683</w:t>
      </w:r>
      <w:r>
        <w:t>.</w:t>
      </w:r>
      <w:r>
        <w:tab/>
        <w:t>Application for external review</w:t>
      </w:r>
      <w:bookmarkEnd w:id="1124"/>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125" w:name="_Toc200720629"/>
      <w:r>
        <w:rPr>
          <w:rStyle w:val="CharPartNo"/>
        </w:rPr>
        <w:lastRenderedPageBreak/>
        <w:t>Part 11.2</w:t>
      </w:r>
      <w:r>
        <w:t> — </w:t>
      </w:r>
      <w:r>
        <w:rPr>
          <w:rStyle w:val="CharPartText"/>
        </w:rPr>
        <w:t>Exemptions</w:t>
      </w:r>
      <w:bookmarkEnd w:id="1125"/>
    </w:p>
    <w:p>
      <w:pPr>
        <w:pStyle w:val="Heading4"/>
      </w:pPr>
      <w:bookmarkStart w:id="1126" w:name="_Toc200720630"/>
      <w:r>
        <w:rPr>
          <w:rStyle w:val="CharDivNo"/>
        </w:rPr>
        <w:t>Division 1</w:t>
      </w:r>
      <w:r>
        <w:t> — </w:t>
      </w:r>
      <w:r>
        <w:rPr>
          <w:rStyle w:val="CharDivText"/>
        </w:rPr>
        <w:t>General</w:t>
      </w:r>
      <w:bookmarkEnd w:id="1126"/>
    </w:p>
    <w:p>
      <w:pPr>
        <w:pStyle w:val="Heading5"/>
      </w:pPr>
      <w:bookmarkStart w:id="1127" w:name="_Toc200720631"/>
      <w:r>
        <w:rPr>
          <w:rStyle w:val="CharSectno"/>
        </w:rPr>
        <w:t>684</w:t>
      </w:r>
      <w:r>
        <w:t>.</w:t>
      </w:r>
      <w:r>
        <w:tab/>
        <w:t>General power to grant exemptions</w:t>
      </w:r>
      <w:bookmarkEnd w:id="1127"/>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128" w:name="_Toc200720632"/>
      <w:r>
        <w:rPr>
          <w:rStyle w:val="CharSectno"/>
        </w:rPr>
        <w:t>685</w:t>
      </w:r>
      <w:r>
        <w:t>.</w:t>
      </w:r>
      <w:r>
        <w:tab/>
        <w:t>Matters to be considered in granting exemptions</w:t>
      </w:r>
      <w:bookmarkEnd w:id="1128"/>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 xml:space="preserve">if the proposed exemption relates to a particular thing — whether the regulator is satisfied that the risk associated </w:t>
      </w:r>
      <w:r>
        <w:lastRenderedPageBreak/>
        <w:t>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129" w:name="_Toc200720633"/>
      <w:r>
        <w:rPr>
          <w:rStyle w:val="CharDivNo"/>
        </w:rPr>
        <w:t>Division 2</w:t>
      </w:r>
      <w:r>
        <w:t> — </w:t>
      </w:r>
      <w:r>
        <w:rPr>
          <w:rStyle w:val="CharDivText"/>
        </w:rPr>
        <w:t>High risk work licences</w:t>
      </w:r>
      <w:bookmarkEnd w:id="1129"/>
    </w:p>
    <w:p>
      <w:pPr>
        <w:pStyle w:val="Heading5"/>
      </w:pPr>
      <w:bookmarkStart w:id="1130" w:name="_Toc200720634"/>
      <w:r>
        <w:rPr>
          <w:rStyle w:val="CharSectno"/>
        </w:rPr>
        <w:t>686</w:t>
      </w:r>
      <w:r>
        <w:t>.</w:t>
      </w:r>
      <w:r>
        <w:tab/>
        <w:t>High risk work licence: exemption</w:t>
      </w:r>
      <w:bookmarkEnd w:id="1130"/>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131" w:name="_Toc200720635"/>
      <w:r>
        <w:rPr>
          <w:rStyle w:val="CharSectno"/>
        </w:rPr>
        <w:t>687</w:t>
      </w:r>
      <w:r>
        <w:t>.</w:t>
      </w:r>
      <w:r>
        <w:tab/>
        <w:t>High risk work licence: regulator to be satisfied about certain matters</w:t>
      </w:r>
      <w:bookmarkEnd w:id="1131"/>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1132" w:name="_Toc200720636"/>
      <w:r>
        <w:lastRenderedPageBreak/>
        <w:t>Division 3 — Not used</w:t>
      </w:r>
      <w:bookmarkEnd w:id="1132"/>
    </w:p>
    <w:p>
      <w:pPr>
        <w:pStyle w:val="Heading5"/>
        <w:keepNext w:val="0"/>
      </w:pPr>
      <w:bookmarkStart w:id="1133" w:name="_Toc200720637"/>
      <w:r>
        <w:t>688.</w:t>
      </w:r>
      <w:r>
        <w:tab/>
        <w:t>Not used</w:t>
      </w:r>
      <w:bookmarkEnd w:id="1133"/>
    </w:p>
    <w:p>
      <w:pPr>
        <w:pStyle w:val="Heading5"/>
        <w:keepNext w:val="0"/>
      </w:pPr>
      <w:bookmarkStart w:id="1134" w:name="_Toc200720638"/>
      <w:r>
        <w:t>689.</w:t>
      </w:r>
      <w:r>
        <w:tab/>
        <w:t>Not used</w:t>
      </w:r>
      <w:bookmarkEnd w:id="1134"/>
    </w:p>
    <w:p>
      <w:pPr>
        <w:pStyle w:val="Heading4"/>
      </w:pPr>
      <w:bookmarkStart w:id="1135" w:name="_Toc200720639"/>
      <w:r>
        <w:rPr>
          <w:rStyle w:val="CharDivNo"/>
        </w:rPr>
        <w:t>Division 4</w:t>
      </w:r>
      <w:r>
        <w:t> — </w:t>
      </w:r>
      <w:r>
        <w:rPr>
          <w:rStyle w:val="CharDivText"/>
        </w:rPr>
        <w:t>Exemption process</w:t>
      </w:r>
      <w:bookmarkEnd w:id="1135"/>
    </w:p>
    <w:p>
      <w:pPr>
        <w:pStyle w:val="Heading5"/>
      </w:pPr>
      <w:bookmarkStart w:id="1136" w:name="_Toc200720640"/>
      <w:r>
        <w:rPr>
          <w:rStyle w:val="CharSectno"/>
        </w:rPr>
        <w:t>690</w:t>
      </w:r>
      <w:r>
        <w:t>.</w:t>
      </w:r>
      <w:r>
        <w:tab/>
        <w:t>Application for exemption</w:t>
      </w:r>
      <w:bookmarkEnd w:id="1136"/>
    </w:p>
    <w:p>
      <w:pPr>
        <w:pStyle w:val="Subsection"/>
      </w:pPr>
      <w:r>
        <w:tab/>
      </w:r>
      <w:r>
        <w:tab/>
        <w:t>An application for an exemption must be made in the approved form and in the manner approved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1137" w:name="_Toc200720641"/>
      <w:r>
        <w:rPr>
          <w:rStyle w:val="CharSectno"/>
        </w:rPr>
        <w:t>691</w:t>
      </w:r>
      <w:r>
        <w:t>.</w:t>
      </w:r>
      <w:r>
        <w:tab/>
        <w:t>Conditions of exemption</w:t>
      </w:r>
      <w:bookmarkEnd w:id="1137"/>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1138" w:name="_Toc200720642"/>
      <w:r>
        <w:rPr>
          <w:rStyle w:val="CharSectno"/>
        </w:rPr>
        <w:lastRenderedPageBreak/>
        <w:t>692</w:t>
      </w:r>
      <w:r>
        <w:t>.</w:t>
      </w:r>
      <w:r>
        <w:tab/>
        <w:t>Form of exemption document</w:t>
      </w:r>
      <w:bookmarkEnd w:id="1138"/>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1139" w:name="_Toc200720643"/>
      <w:r>
        <w:rPr>
          <w:rStyle w:val="CharSectno"/>
        </w:rPr>
        <w:t>693</w:t>
      </w:r>
      <w:r>
        <w:t>.</w:t>
      </w:r>
      <w:r>
        <w:tab/>
        <w:t>Compliance with conditions of exemption</w:t>
      </w:r>
      <w:bookmarkEnd w:id="1139"/>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140" w:name="_Toc200720644"/>
      <w:r>
        <w:rPr>
          <w:rStyle w:val="CharSectno"/>
        </w:rPr>
        <w:t>694</w:t>
      </w:r>
      <w:r>
        <w:t>.</w:t>
      </w:r>
      <w:r>
        <w:tab/>
        <w:t>Notice of decision in relation to exemption</w:t>
      </w:r>
      <w:bookmarkEnd w:id="1140"/>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1141" w:name="_Toc200720645"/>
      <w:r>
        <w:rPr>
          <w:rStyle w:val="CharSectno"/>
        </w:rPr>
        <w:lastRenderedPageBreak/>
        <w:t>695</w:t>
      </w:r>
      <w:r>
        <w:t>.</w:t>
      </w:r>
      <w:r>
        <w:tab/>
        <w:t>Publication of notice of exemption</w:t>
      </w:r>
      <w:bookmarkEnd w:id="1141"/>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1142" w:name="_Toc200720646"/>
      <w:r>
        <w:rPr>
          <w:rStyle w:val="CharSectno"/>
        </w:rPr>
        <w:t>696</w:t>
      </w:r>
      <w:r>
        <w:t>.</w:t>
      </w:r>
      <w:r>
        <w:tab/>
        <w:t>Notice of refusal of exemption</w:t>
      </w:r>
      <w:bookmarkEnd w:id="1142"/>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1143" w:name="_Toc200720647"/>
      <w:r>
        <w:rPr>
          <w:rStyle w:val="CharSectno"/>
        </w:rPr>
        <w:t>697</w:t>
      </w:r>
      <w:r>
        <w:t>.</w:t>
      </w:r>
      <w:r>
        <w:tab/>
        <w:t>Amendment or cancellation of exemption</w:t>
      </w:r>
      <w:bookmarkEnd w:id="1143"/>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1144" w:name="_Toc200720648"/>
      <w:r>
        <w:rPr>
          <w:rStyle w:val="CharSectno"/>
        </w:rPr>
        <w:t>698</w:t>
      </w:r>
      <w:r>
        <w:t>.</w:t>
      </w:r>
      <w:r>
        <w:tab/>
        <w:t>Notice of amendment or cancellation</w:t>
      </w:r>
      <w:bookmarkEnd w:id="1144"/>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lastRenderedPageBreak/>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1145" w:name="_Toc200720649"/>
      <w:r>
        <w:rPr>
          <w:rStyle w:val="CharPartNo"/>
        </w:rPr>
        <w:t>Part 11.2A</w:t>
      </w:r>
      <w:r>
        <w:t> — </w:t>
      </w:r>
      <w:r>
        <w:rPr>
          <w:rStyle w:val="CharPartText"/>
        </w:rPr>
        <w:t>Competence Advisory Committees</w:t>
      </w:r>
      <w:bookmarkEnd w:id="1145"/>
    </w:p>
    <w:p>
      <w:pPr>
        <w:pStyle w:val="Heading4"/>
      </w:pPr>
      <w:bookmarkStart w:id="1146" w:name="_Toc200720650"/>
      <w:r>
        <w:rPr>
          <w:rStyle w:val="CharDivNo"/>
        </w:rPr>
        <w:t>Division 1</w:t>
      </w:r>
      <w:r>
        <w:t> — </w:t>
      </w:r>
      <w:r>
        <w:rPr>
          <w:rStyle w:val="CharDivText"/>
        </w:rPr>
        <w:t>Preliminary</w:t>
      </w:r>
      <w:bookmarkEnd w:id="1146"/>
    </w:p>
    <w:p>
      <w:pPr>
        <w:pStyle w:val="Heading5"/>
      </w:pPr>
      <w:bookmarkStart w:id="1147" w:name="_Toc200720651"/>
      <w:r>
        <w:rPr>
          <w:rStyle w:val="CharSectno"/>
        </w:rPr>
        <w:t>698A</w:t>
      </w:r>
      <w:r>
        <w:t>.</w:t>
      </w:r>
      <w:r>
        <w:tab/>
        <w:t>Terms used</w:t>
      </w:r>
      <w:bookmarkEnd w:id="1147"/>
    </w:p>
    <w:p>
      <w:pPr>
        <w:pStyle w:val="Subsection"/>
      </w:pPr>
      <w:r>
        <w:tab/>
      </w:r>
      <w:r>
        <w:tab/>
        <w:t xml:space="preserve">In this Part — </w:t>
      </w:r>
    </w:p>
    <w:p>
      <w:pPr>
        <w:pStyle w:val="Defstart"/>
      </w:pPr>
      <w:r>
        <w:tab/>
      </w:r>
      <w:r>
        <w:rPr>
          <w:rStyle w:val="CharDefText"/>
        </w:rPr>
        <w:t>appointed member</w:t>
      </w:r>
      <w:r>
        <w:t xml:space="preserve"> means — </w:t>
      </w:r>
    </w:p>
    <w:p>
      <w:pPr>
        <w:pStyle w:val="Defpara"/>
      </w:pPr>
      <w:r>
        <w:tab/>
        <w:t>(a)</w:t>
      </w:r>
      <w:r>
        <w:tab/>
        <w:t>in relation to the Mining Competence Advisory Committee — a member of the Committee appointed under regulation 698D(b); or</w:t>
      </w:r>
    </w:p>
    <w:p>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pPr>
        <w:pStyle w:val="Defstart"/>
      </w:pPr>
      <w:r>
        <w:tab/>
      </w:r>
      <w:r>
        <w:rPr>
          <w:rStyle w:val="CharDefText"/>
        </w:rPr>
        <w:t>member</w:t>
      </w:r>
      <w:r>
        <w:t xml:space="preserve"> means — </w:t>
      </w:r>
    </w:p>
    <w:p>
      <w:pPr>
        <w:pStyle w:val="Defpara"/>
      </w:pPr>
      <w:r>
        <w:tab/>
        <w:t>(a)</w:t>
      </w:r>
      <w:r>
        <w:tab/>
        <w:t>in relation to the Mining Competence Advisory Committee — a member of the Committee under regulation 698D; or</w:t>
      </w:r>
    </w:p>
    <w:p>
      <w:pPr>
        <w:pStyle w:val="Defpara"/>
      </w:pPr>
      <w:r>
        <w:lastRenderedPageBreak/>
        <w:tab/>
        <w:t>(b)</w:t>
      </w:r>
      <w:r>
        <w:tab/>
        <w:t>in relation to the Surveyors Competence Advisory Committee — a member of the Committee under regulation 698E(2);</w:t>
      </w:r>
    </w:p>
    <w:p>
      <w:pPr>
        <w:pStyle w:val="Heading4"/>
      </w:pPr>
      <w:bookmarkStart w:id="1148" w:name="_Toc200720652"/>
      <w:r>
        <w:rPr>
          <w:rStyle w:val="CharDivNo"/>
        </w:rPr>
        <w:t>Division 2</w:t>
      </w:r>
      <w:r>
        <w:t> — </w:t>
      </w:r>
      <w:r>
        <w:rPr>
          <w:rStyle w:val="CharDivText"/>
        </w:rPr>
        <w:t>Establishment and functions</w:t>
      </w:r>
      <w:bookmarkEnd w:id="1148"/>
    </w:p>
    <w:p>
      <w:pPr>
        <w:pStyle w:val="Heading5"/>
      </w:pPr>
      <w:bookmarkStart w:id="1149" w:name="_Toc200720653"/>
      <w:r>
        <w:rPr>
          <w:rStyle w:val="CharSectno"/>
        </w:rPr>
        <w:t>698B</w:t>
      </w:r>
      <w:r>
        <w:t>.</w:t>
      </w:r>
      <w:r>
        <w:tab/>
        <w:t>Establishment</w:t>
      </w:r>
      <w:bookmarkEnd w:id="1149"/>
    </w:p>
    <w:p>
      <w:pPr>
        <w:pStyle w:val="Subsection"/>
      </w:pPr>
      <w:r>
        <w:tab/>
        <w:t>(1)</w:t>
      </w:r>
      <w:r>
        <w:tab/>
        <w:t xml:space="preserve">The Mining Competence Advisory Committee is established. </w:t>
      </w:r>
    </w:p>
    <w:p>
      <w:pPr>
        <w:pStyle w:val="Subsection"/>
      </w:pPr>
      <w:r>
        <w:tab/>
        <w:t>(2)</w:t>
      </w:r>
      <w:r>
        <w:tab/>
        <w:t xml:space="preserve">The </w:t>
      </w:r>
      <w:r>
        <w:rPr>
          <w:rStyle w:val="CharDivText"/>
        </w:rPr>
        <w:t xml:space="preserve">Surveyors </w:t>
      </w:r>
      <w:r>
        <w:t>Competence Advisory Committee is established.</w:t>
      </w:r>
    </w:p>
    <w:p>
      <w:pPr>
        <w:pStyle w:val="Heading5"/>
      </w:pPr>
      <w:bookmarkStart w:id="1150" w:name="_Toc200720654"/>
      <w:r>
        <w:rPr>
          <w:rStyle w:val="CharSectno"/>
        </w:rPr>
        <w:t>698C</w:t>
      </w:r>
      <w:r>
        <w:t>.</w:t>
      </w:r>
      <w:r>
        <w:tab/>
        <w:t>Functions</w:t>
      </w:r>
      <w:bookmarkEnd w:id="1150"/>
    </w:p>
    <w:p>
      <w:pPr>
        <w:pStyle w:val="Subsection"/>
      </w:pPr>
      <w:r>
        <w:tab/>
      </w:r>
      <w:r>
        <w:tab/>
        <w:t>The Mining Competence Advisory Committee and the Surveyors Competence Advisory Committee have the functions conferred on them by these regulations or another written law.</w:t>
      </w:r>
    </w:p>
    <w:p>
      <w:pPr>
        <w:pStyle w:val="Heading4"/>
      </w:pPr>
      <w:bookmarkStart w:id="1151" w:name="_Toc200720655"/>
      <w:r>
        <w:rPr>
          <w:rStyle w:val="CharDivNo"/>
        </w:rPr>
        <w:t>Division 3</w:t>
      </w:r>
      <w:r>
        <w:t> — </w:t>
      </w:r>
      <w:r>
        <w:rPr>
          <w:rStyle w:val="CharDivText"/>
        </w:rPr>
        <w:t>Membership</w:t>
      </w:r>
      <w:bookmarkEnd w:id="1151"/>
    </w:p>
    <w:p>
      <w:pPr>
        <w:pStyle w:val="Heading5"/>
      </w:pPr>
      <w:bookmarkStart w:id="1152" w:name="_Toc200720656"/>
      <w:r>
        <w:rPr>
          <w:rStyle w:val="CharSectno"/>
        </w:rPr>
        <w:t>698D</w:t>
      </w:r>
      <w:r>
        <w:t>.</w:t>
      </w:r>
      <w:r>
        <w:tab/>
        <w:t>Membership of Mining Competence Advisory Committee</w:t>
      </w:r>
      <w:bookmarkEnd w:id="1152"/>
      <w:r>
        <w:t xml:space="preserve"> </w:t>
      </w:r>
    </w:p>
    <w:p>
      <w:pPr>
        <w:pStyle w:val="Subsection"/>
      </w:pPr>
      <w:r>
        <w:tab/>
      </w:r>
      <w:r>
        <w:tab/>
        <w:t xml:space="preserve">The Mining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 xml:space="preserve">an inspector nominated by the Chief Inspector of Mines; </w:t>
      </w:r>
    </w:p>
    <w:p>
      <w:pPr>
        <w:pStyle w:val="Indenti"/>
      </w:pPr>
      <w:r>
        <w:tab/>
        <w:t>(ii)</w:t>
      </w:r>
      <w:r>
        <w:tab/>
        <w:t xml:space="preserve">a person who teaches mining engineering at a university established under a written law of the State; </w:t>
      </w:r>
    </w:p>
    <w:p>
      <w:pPr>
        <w:pStyle w:val="Indenti"/>
        <w:keepNext/>
      </w:pPr>
      <w:r>
        <w:tab/>
        <w:t>(iii)</w:t>
      </w:r>
      <w:r>
        <w:tab/>
        <w:t xml:space="preserve">a person who is employed in the department of the Public Service principally assisting in the administration of the </w:t>
      </w:r>
      <w:r>
        <w:rPr>
          <w:i/>
        </w:rPr>
        <w:t xml:space="preserve">Vocational Education and </w:t>
      </w:r>
      <w:r>
        <w:rPr>
          <w:i/>
        </w:rPr>
        <w:lastRenderedPageBreak/>
        <w:t>Training Act 1996</w:t>
      </w:r>
      <w:r>
        <w:t xml:space="preserve"> and nominated by the chief executive officer of that department;</w:t>
      </w:r>
    </w:p>
    <w:p>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pPr>
        <w:pStyle w:val="Heading5"/>
      </w:pPr>
      <w:bookmarkStart w:id="1153" w:name="_Toc200720657"/>
      <w:r>
        <w:rPr>
          <w:rStyle w:val="CharSectno"/>
        </w:rPr>
        <w:t>698E</w:t>
      </w:r>
      <w:r>
        <w:t>.</w:t>
      </w:r>
      <w:r>
        <w:tab/>
        <w:t>Membership of Surveyors Competence Advisory Committee</w:t>
      </w:r>
      <w:bookmarkEnd w:id="1153"/>
      <w:r>
        <w:t xml:space="preserve"> </w:t>
      </w:r>
    </w:p>
    <w:p>
      <w:pPr>
        <w:pStyle w:val="Subsection"/>
      </w:pPr>
      <w:r>
        <w:tab/>
        <w:t>(1)</w:t>
      </w:r>
      <w:r>
        <w:tab/>
        <w:t xml:space="preserve">In this regulation — </w:t>
      </w:r>
    </w:p>
    <w:p>
      <w:pPr>
        <w:pStyle w:val="Defstart"/>
      </w:pPr>
      <w:r>
        <w:tab/>
      </w:r>
      <w:r>
        <w:rPr>
          <w:rStyle w:val="CharDefText"/>
        </w:rPr>
        <w:t>Surveyor General</w:t>
      </w:r>
      <w:r>
        <w:t xml:space="preserve"> has the meaning given in the </w:t>
      </w:r>
      <w:r>
        <w:rPr>
          <w:i/>
        </w:rPr>
        <w:t>Licensed Surveyors Act 1909</w:t>
      </w:r>
      <w:r>
        <w:t xml:space="preserve"> section 3(1).</w:t>
      </w:r>
    </w:p>
    <w:p>
      <w:pPr>
        <w:pStyle w:val="Subsection"/>
      </w:pPr>
      <w:r>
        <w:tab/>
        <w:t>(2)</w:t>
      </w:r>
      <w:r>
        <w:tab/>
        <w:t xml:space="preserve">The Surveyors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2 persons who hold an authorised mine surveyor’s certificate (grade 1) or authorised mine surveyor’s certificate (grade 2) and are nominated by the Western Australian Institution of Surveyors Inc. ABN 24 620 230 357;</w:t>
      </w:r>
    </w:p>
    <w:p>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pPr>
        <w:pStyle w:val="Indenti"/>
      </w:pPr>
      <w:r>
        <w:tab/>
        <w:t>(iii)</w:t>
      </w:r>
      <w:r>
        <w:tab/>
        <w:t>1 person nominated by the Surveyor General;</w:t>
      </w:r>
    </w:p>
    <w:p>
      <w:pPr>
        <w:pStyle w:val="Indenti"/>
        <w:keepLines/>
      </w:pPr>
      <w:r>
        <w:lastRenderedPageBreak/>
        <w:tab/>
        <w:t>(iv)</w:t>
      </w:r>
      <w:r>
        <w:tab/>
        <w:t>1 person who is a licensed surveyor, holds an authorised mine surveyor’s certificate (grade 1) and is nominated by the Western Australian Institution of Surveyors Inc. ABN 24 620 230 357.</w:t>
      </w:r>
    </w:p>
    <w:p>
      <w:pPr>
        <w:pStyle w:val="Heading5"/>
      </w:pPr>
      <w:bookmarkStart w:id="1154" w:name="_Toc200720658"/>
      <w:r>
        <w:rPr>
          <w:rStyle w:val="CharSectno"/>
        </w:rPr>
        <w:t>698F</w:t>
      </w:r>
      <w:r>
        <w:t>.</w:t>
      </w:r>
      <w:r>
        <w:tab/>
        <w:t>Term of appointment</w:t>
      </w:r>
      <w:bookmarkEnd w:id="1154"/>
      <w:r>
        <w:t xml:space="preserve"> </w:t>
      </w:r>
    </w:p>
    <w:p>
      <w:pPr>
        <w:pStyle w:val="Subsection"/>
      </w:pPr>
      <w:r>
        <w:tab/>
      </w:r>
      <w:r>
        <w:tab/>
        <w:t xml:space="preserve">An appointed member — </w:t>
      </w:r>
    </w:p>
    <w:p>
      <w:pPr>
        <w:pStyle w:val="Indenta"/>
      </w:pPr>
      <w:r>
        <w:tab/>
        <w:t>(a)</w:t>
      </w:r>
      <w:r>
        <w:tab/>
        <w:t>holds office for the period, which must not be longer than 3 years, stated in the appointment; and</w:t>
      </w:r>
    </w:p>
    <w:p>
      <w:pPr>
        <w:pStyle w:val="Indenta"/>
      </w:pPr>
      <w:r>
        <w:tab/>
        <w:t>(b)</w:t>
      </w:r>
      <w:r>
        <w:tab/>
        <w:t xml:space="preserve">is eligible for reappointment. </w:t>
      </w:r>
    </w:p>
    <w:p>
      <w:pPr>
        <w:pStyle w:val="Heading5"/>
      </w:pPr>
      <w:bookmarkStart w:id="1155" w:name="_Toc200720659"/>
      <w:r>
        <w:rPr>
          <w:rStyle w:val="CharSectno"/>
        </w:rPr>
        <w:t>698G</w:t>
      </w:r>
      <w:r>
        <w:t>.</w:t>
      </w:r>
      <w:r>
        <w:tab/>
        <w:t>Nominations</w:t>
      </w:r>
      <w:bookmarkEnd w:id="1155"/>
      <w:r>
        <w:t xml:space="preserve"> </w:t>
      </w:r>
    </w:p>
    <w:p>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pPr>
        <w:pStyle w:val="Indenta"/>
      </w:pPr>
      <w:r>
        <w:tab/>
        <w:t>(a)</w:t>
      </w:r>
      <w:r>
        <w:tab/>
        <w:t>requesting that the nominating person nominate a person to be an appointed member; and</w:t>
      </w:r>
    </w:p>
    <w:p>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pPr>
        <w:pStyle w:val="Indenta"/>
        <w:rPr>
          <w:snapToGrid w:val="0"/>
        </w:rPr>
      </w:pPr>
      <w:r>
        <w:tab/>
        <w:t>(a)</w:t>
      </w:r>
      <w:r>
        <w:tab/>
        <w:t>the regulator gives the nominating person</w:t>
      </w:r>
      <w:r>
        <w:rPr>
          <w:snapToGrid w:val="0"/>
        </w:rPr>
        <w:t xml:space="preserve"> a written notice under subregulation (1); and</w:t>
      </w:r>
    </w:p>
    <w:p>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pPr>
        <w:pStyle w:val="Subsection"/>
        <w:rPr>
          <w:snapToGrid w:val="0"/>
        </w:rPr>
      </w:pPr>
      <w:r>
        <w:rPr>
          <w:snapToGrid w:val="0"/>
        </w:rPr>
        <w:lastRenderedPageBreak/>
        <w:tab/>
        <w:t>(3)</w:t>
      </w:r>
      <w:r>
        <w:rPr>
          <w:snapToGrid w:val="0"/>
        </w:rPr>
        <w:tab/>
        <w:t>A person appointed as provided under subregulation (2) is taken to have been nominated under the relevant regulation.</w:t>
      </w:r>
    </w:p>
    <w:p>
      <w:pPr>
        <w:pStyle w:val="Heading5"/>
      </w:pPr>
      <w:bookmarkStart w:id="1156" w:name="_Toc200720660"/>
      <w:r>
        <w:rPr>
          <w:rStyle w:val="CharSectno"/>
        </w:rPr>
        <w:t>698H</w:t>
      </w:r>
      <w:r>
        <w:t>.</w:t>
      </w:r>
      <w:r>
        <w:tab/>
        <w:t>Vacation of office</w:t>
      </w:r>
      <w:bookmarkEnd w:id="1156"/>
    </w:p>
    <w:p>
      <w:pPr>
        <w:pStyle w:val="Subsection"/>
        <w:keepNext/>
        <w:rPr>
          <w:snapToGrid w:val="0"/>
        </w:rPr>
      </w:pPr>
      <w:r>
        <w:rPr>
          <w:snapToGrid w:val="0"/>
        </w:rPr>
        <w:tab/>
      </w:r>
      <w:r>
        <w:rPr>
          <w:snapToGrid w:val="0"/>
        </w:rPr>
        <w:tab/>
        <w:t>The office of an appointed member of a relevant competence committee becomes vacant if — </w:t>
      </w:r>
    </w:p>
    <w:p>
      <w:pPr>
        <w:pStyle w:val="Indenta"/>
        <w:rPr>
          <w:snapToGrid w:val="0"/>
        </w:rPr>
      </w:pPr>
      <w:r>
        <w:rPr>
          <w:snapToGrid w:val="0"/>
        </w:rPr>
        <w:tab/>
        <w:t>(a)</w:t>
      </w:r>
      <w:r>
        <w:rPr>
          <w:snapToGrid w:val="0"/>
        </w:rPr>
        <w:tab/>
        <w:t>the member resigns from office by notice in writing given to the regulator; or</w:t>
      </w:r>
    </w:p>
    <w:p>
      <w:pPr>
        <w:pStyle w:val="Indenta"/>
        <w:rPr>
          <w:snapToGrid w:val="0"/>
        </w:rPr>
      </w:pPr>
      <w:r>
        <w:rPr>
          <w:snapToGrid w:val="0"/>
        </w:rPr>
        <w:tab/>
        <w:t>(b)</w:t>
      </w:r>
      <w:r>
        <w:rPr>
          <w:snapToGrid w:val="0"/>
        </w:rPr>
        <w:tab/>
        <w:t>the member’s appointment expires or is terminated by the regulator; or</w:t>
      </w:r>
    </w:p>
    <w:p>
      <w:pPr>
        <w:pStyle w:val="Indenta"/>
        <w:rPr>
          <w:snapToGrid w:val="0"/>
        </w:rPr>
      </w:pPr>
      <w:r>
        <w:rPr>
          <w:snapToGrid w:val="0"/>
        </w:rPr>
        <w:tab/>
        <w:t>(c)</w:t>
      </w:r>
      <w:r>
        <w:rPr>
          <w:snapToGrid w:val="0"/>
        </w:rPr>
        <w:tab/>
        <w:t>the person who nominated the member withdraws that nomination by notice in writing given to the regulator.</w:t>
      </w:r>
    </w:p>
    <w:p>
      <w:pPr>
        <w:pStyle w:val="Heading5"/>
      </w:pPr>
      <w:bookmarkStart w:id="1157" w:name="_Toc200720661"/>
      <w:r>
        <w:rPr>
          <w:rStyle w:val="CharSectno"/>
        </w:rPr>
        <w:t>698I</w:t>
      </w:r>
      <w:r>
        <w:t>.</w:t>
      </w:r>
      <w:r>
        <w:tab/>
        <w:t>Deputies</w:t>
      </w:r>
      <w:bookmarkEnd w:id="1157"/>
    </w:p>
    <w:p>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pPr>
        <w:pStyle w:val="Heading4"/>
      </w:pPr>
      <w:bookmarkStart w:id="1158" w:name="_Toc200720662"/>
      <w:r>
        <w:rPr>
          <w:rStyle w:val="CharDivNo"/>
        </w:rPr>
        <w:t>Division 4</w:t>
      </w:r>
      <w:r>
        <w:t> — </w:t>
      </w:r>
      <w:r>
        <w:rPr>
          <w:rStyle w:val="CharDivText"/>
        </w:rPr>
        <w:t>Practice and procedure</w:t>
      </w:r>
      <w:bookmarkEnd w:id="1158"/>
    </w:p>
    <w:p>
      <w:pPr>
        <w:pStyle w:val="Heading5"/>
      </w:pPr>
      <w:bookmarkStart w:id="1159" w:name="_Toc200720663"/>
      <w:r>
        <w:rPr>
          <w:rStyle w:val="CharSectno"/>
        </w:rPr>
        <w:t>698J</w:t>
      </w:r>
      <w:r>
        <w:t>.</w:t>
      </w:r>
      <w:r>
        <w:tab/>
        <w:t>Quorum</w:t>
      </w:r>
      <w:bookmarkEnd w:id="1159"/>
    </w:p>
    <w:p>
      <w:pPr>
        <w:pStyle w:val="Subsection"/>
      </w:pPr>
      <w:r>
        <w:tab/>
        <w:t>(1)</w:t>
      </w:r>
      <w:r>
        <w:tab/>
        <w:t>A quorum for a meeting of the Mining Competence Advisory Committee is the chairperson and 3 other members of the committee, other than the member appointed under regulation 698D(b)(i).</w:t>
      </w:r>
    </w:p>
    <w:p>
      <w:pPr>
        <w:pStyle w:val="Subsection"/>
      </w:pPr>
      <w:r>
        <w:tab/>
        <w:t>(2)</w:t>
      </w:r>
      <w:r>
        <w:tab/>
        <w:t>A quorum for a meeting of the Surveyors Competence Advisory Committee is the chairperson and 3 other members of the committee.</w:t>
      </w:r>
    </w:p>
    <w:p>
      <w:pPr>
        <w:pStyle w:val="Heading5"/>
      </w:pPr>
      <w:bookmarkStart w:id="1160" w:name="_Toc200720664"/>
      <w:r>
        <w:rPr>
          <w:rStyle w:val="CharSectno"/>
        </w:rPr>
        <w:lastRenderedPageBreak/>
        <w:t>698K</w:t>
      </w:r>
      <w:r>
        <w:t>.</w:t>
      </w:r>
      <w:r>
        <w:tab/>
        <w:t>Meetings</w:t>
      </w:r>
      <w:bookmarkEnd w:id="1160"/>
      <w:r>
        <w:t xml:space="preserve"> </w:t>
      </w:r>
    </w:p>
    <w:p>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pPr>
        <w:pStyle w:val="Subsection"/>
      </w:pPr>
      <w:r>
        <w:tab/>
        <w:t>(2)</w:t>
      </w:r>
      <w:r>
        <w:tab/>
        <w:t>Without limiting subregulation (1), meetings of the committee may be convened by electronic means.</w:t>
      </w:r>
    </w:p>
    <w:p>
      <w:pPr>
        <w:pStyle w:val="Heading5"/>
      </w:pPr>
      <w:bookmarkStart w:id="1161" w:name="_Toc200720665"/>
      <w:r>
        <w:rPr>
          <w:rStyle w:val="CharSectno"/>
        </w:rPr>
        <w:t>698L</w:t>
      </w:r>
      <w:r>
        <w:t>.</w:t>
      </w:r>
      <w:r>
        <w:tab/>
        <w:t>Voting</w:t>
      </w:r>
      <w:bookmarkEnd w:id="1161"/>
      <w:r>
        <w:t xml:space="preserve"> </w:t>
      </w:r>
    </w:p>
    <w:p>
      <w:pPr>
        <w:pStyle w:val="Subsection"/>
      </w:pPr>
      <w:r>
        <w:tab/>
        <w:t>(1)</w:t>
      </w:r>
      <w:r>
        <w:tab/>
        <w:t>Each member of a relevant competence committee at a meeting of the committee has 1 vote.</w:t>
      </w:r>
    </w:p>
    <w:p>
      <w:pPr>
        <w:pStyle w:val="Subsection"/>
      </w:pPr>
      <w:r>
        <w:tab/>
        <w:t>(2)</w:t>
      </w:r>
      <w:r>
        <w:tab/>
        <w:t>All questions at a meeting of the relevant competence committee must be decided by a majority of the votes of the members present.</w:t>
      </w:r>
    </w:p>
    <w:p>
      <w:pPr>
        <w:pStyle w:val="Subsection"/>
      </w:pPr>
      <w:r>
        <w:tab/>
        <w:t>(3)</w:t>
      </w:r>
      <w:r>
        <w:tab/>
        <w:t>In the case of an equality of votes, the chairperson has a casting vote in addition to a deliberative vote.</w:t>
      </w:r>
    </w:p>
    <w:p>
      <w:pPr>
        <w:pStyle w:val="Heading5"/>
      </w:pPr>
      <w:bookmarkStart w:id="1162" w:name="_Toc200720666"/>
      <w:r>
        <w:rPr>
          <w:rStyle w:val="CharSectno"/>
        </w:rPr>
        <w:t>698M</w:t>
      </w:r>
      <w:r>
        <w:t>.</w:t>
      </w:r>
      <w:r>
        <w:tab/>
        <w:t>Procedures</w:t>
      </w:r>
      <w:bookmarkEnd w:id="1162"/>
      <w:r>
        <w:t xml:space="preserve"> </w:t>
      </w:r>
    </w:p>
    <w:p>
      <w:pPr>
        <w:pStyle w:val="Subsection"/>
      </w:pPr>
      <w:r>
        <w:tab/>
      </w:r>
      <w:r>
        <w:tab/>
        <w:t>Subject to these regulations, a relevant competence committee may determine its own procedures.</w:t>
      </w:r>
    </w:p>
    <w:p>
      <w:pPr>
        <w:pStyle w:val="Heading3"/>
      </w:pPr>
      <w:bookmarkStart w:id="1163" w:name="_Toc200720667"/>
      <w:r>
        <w:rPr>
          <w:rStyle w:val="CharPartNo"/>
        </w:rPr>
        <w:t>Part 11.2B</w:t>
      </w:r>
      <w:r>
        <w:rPr>
          <w:rStyle w:val="CharDivNo"/>
        </w:rPr>
        <w:t> </w:t>
      </w:r>
      <w:r>
        <w:t>—</w:t>
      </w:r>
      <w:r>
        <w:rPr>
          <w:rStyle w:val="CharDivText"/>
        </w:rPr>
        <w:t> </w:t>
      </w:r>
      <w:r>
        <w:rPr>
          <w:rStyle w:val="CharPartText"/>
        </w:rPr>
        <w:t>Mining and Petroleum Advisory Committee</w:t>
      </w:r>
      <w:bookmarkEnd w:id="1163"/>
    </w:p>
    <w:p>
      <w:pPr>
        <w:pStyle w:val="Heading5"/>
      </w:pPr>
      <w:bookmarkStart w:id="1164" w:name="_Toc200720668"/>
      <w:r>
        <w:rPr>
          <w:rStyle w:val="CharSectno"/>
        </w:rPr>
        <w:t>698N</w:t>
      </w:r>
      <w:r>
        <w:t>.</w:t>
      </w:r>
      <w:r>
        <w:tab/>
        <w:t>Prescribed bodies (Act, Sch. 1 cl. 23)</w:t>
      </w:r>
      <w:bookmarkEnd w:id="1164"/>
    </w:p>
    <w:p>
      <w:pPr>
        <w:pStyle w:val="Subsection"/>
      </w:pPr>
      <w:r>
        <w:tab/>
      </w:r>
      <w:r>
        <w:tab/>
        <w:t xml:space="preserve">For the purposes of Schedule 1 clause 23 of the Act, the prescribed bodies are — </w:t>
      </w:r>
    </w:p>
    <w:p>
      <w:pPr>
        <w:pStyle w:val="Indenta"/>
      </w:pPr>
      <w:r>
        <w:tab/>
        <w:t>(a)</w:t>
      </w:r>
      <w:r>
        <w:tab/>
        <w:t>The Chamber of Minerals and Energy of Western Australia Inc. ABN 82 738 249 529; and</w:t>
      </w:r>
    </w:p>
    <w:p>
      <w:pPr>
        <w:pStyle w:val="Indenta"/>
      </w:pPr>
      <w:r>
        <w:tab/>
        <w:t>(b)</w:t>
      </w:r>
      <w:r>
        <w:tab/>
        <w:t>the Association of Mining and Exploration Companies Inc. ABN 33 362 864 696; and</w:t>
      </w:r>
    </w:p>
    <w:p>
      <w:pPr>
        <w:pStyle w:val="Indenta"/>
      </w:pPr>
      <w:r>
        <w:tab/>
        <w:t>(c)</w:t>
      </w:r>
      <w:r>
        <w:tab/>
        <w:t>the Australian Petroleum Production and Exploration Association Limited ACN 000 292 713; and</w:t>
      </w:r>
    </w:p>
    <w:p>
      <w:pPr>
        <w:pStyle w:val="Indenta"/>
        <w:keepNext/>
      </w:pPr>
      <w:r>
        <w:lastRenderedPageBreak/>
        <w:tab/>
        <w:t>(d)</w:t>
      </w:r>
      <w:r>
        <w:tab/>
        <w:t>the Australian Pipelines and Gas Association Limited ACN 098 754 324; and</w:t>
      </w:r>
    </w:p>
    <w:p>
      <w:pPr>
        <w:pStyle w:val="Indenta"/>
      </w:pPr>
      <w:r>
        <w:tab/>
        <w:t>(e)</w:t>
      </w:r>
      <w:r>
        <w:tab/>
        <w:t>UnionsWA Incorporated ABN 64 950 883 305.</w:t>
      </w:r>
    </w:p>
    <w:p>
      <w:pPr>
        <w:pStyle w:val="Heading5"/>
      </w:pPr>
      <w:bookmarkStart w:id="1165" w:name="_Toc200720669"/>
      <w:r>
        <w:rPr>
          <w:rStyle w:val="CharSectno"/>
        </w:rPr>
        <w:t>698O</w:t>
      </w:r>
      <w:r>
        <w:t>.</w:t>
      </w:r>
      <w:r>
        <w:tab/>
        <w:t>Functions of Mining and Petroleum Advisory Committee relating to mining industry (Act, Sch. 1 cl. 24)</w:t>
      </w:r>
      <w:bookmarkEnd w:id="1165"/>
    </w:p>
    <w:p>
      <w:pPr>
        <w:pStyle w:val="Subsection"/>
        <w:keepNext/>
      </w:pPr>
      <w:r>
        <w:tab/>
      </w:r>
      <w:r>
        <w:tab/>
        <w:t xml:space="preserve">The Mining and Petroleum Advisory Committee has the following functions in relation to the mining industry — </w:t>
      </w:r>
    </w:p>
    <w:p>
      <w:pPr>
        <w:pStyle w:val="Indenta"/>
      </w:pPr>
      <w:r>
        <w:tab/>
        <w:t>(a)</w:t>
      </w:r>
      <w:r>
        <w:tab/>
        <w:t xml:space="preserve">advising the Minister on matters that relate to work health and safety issues relating to the mining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pPr>
        <w:pStyle w:val="Indenta"/>
      </w:pPr>
      <w:r>
        <w:tab/>
        <w:t>(c)</w:t>
      </w:r>
      <w:r>
        <w:tab/>
        <w:t>advising on education, training and publications in relation to work health and safety issues relating to the mining industry.</w:t>
      </w:r>
    </w:p>
    <w:p>
      <w:pPr>
        <w:pStyle w:val="PermNoteHeading"/>
      </w:pPr>
      <w:r>
        <w:tab/>
        <w:t>Note for this regulation:</w:t>
      </w:r>
    </w:p>
    <w:p>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pPr>
        <w:pStyle w:val="Heading3"/>
      </w:pPr>
      <w:bookmarkStart w:id="1166" w:name="_Toc200720670"/>
      <w:r>
        <w:rPr>
          <w:rStyle w:val="CharPartNo"/>
        </w:rPr>
        <w:lastRenderedPageBreak/>
        <w:t>Part 11.3</w:t>
      </w:r>
      <w:r>
        <w:rPr>
          <w:rStyle w:val="CharDivNo"/>
        </w:rPr>
        <w:t> </w:t>
      </w:r>
      <w:r>
        <w:t>—</w:t>
      </w:r>
      <w:r>
        <w:rPr>
          <w:rStyle w:val="CharDivText"/>
        </w:rPr>
        <w:t> </w:t>
      </w:r>
      <w:r>
        <w:rPr>
          <w:rStyle w:val="CharPartText"/>
        </w:rPr>
        <w:t>Miscellaneous</w:t>
      </w:r>
      <w:bookmarkEnd w:id="1166"/>
    </w:p>
    <w:p>
      <w:pPr>
        <w:pStyle w:val="Heading5"/>
      </w:pPr>
      <w:bookmarkStart w:id="1167" w:name="_Toc200720671"/>
      <w:r>
        <w:rPr>
          <w:rStyle w:val="CharSectno"/>
        </w:rPr>
        <w:t>699</w:t>
      </w:r>
      <w:r>
        <w:t>.</w:t>
      </w:r>
      <w:r>
        <w:tab/>
        <w:t>Incident notification: prescribed serious illnesses</w:t>
      </w:r>
      <w:bookmarkEnd w:id="1167"/>
    </w:p>
    <w:p>
      <w:pPr>
        <w:pStyle w:val="Subsection"/>
        <w:keepNext/>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1168" w:name="_Toc200720672"/>
      <w:r>
        <w:rPr>
          <w:rStyle w:val="CharSectno"/>
        </w:rPr>
        <w:lastRenderedPageBreak/>
        <w:t>700</w:t>
      </w:r>
      <w:r>
        <w:t>.</w:t>
      </w:r>
      <w:r>
        <w:tab/>
        <w:t>Inspectors’ identity cards</w:t>
      </w:r>
      <w:bookmarkEnd w:id="1168"/>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1169" w:name="_Toc200720673"/>
      <w:r>
        <w:rPr>
          <w:rStyle w:val="CharSectno"/>
        </w:rPr>
        <w:t>701</w:t>
      </w:r>
      <w:r>
        <w:t>.</w:t>
      </w:r>
      <w:r>
        <w:tab/>
        <w:t>Entry warrant</w:t>
      </w:r>
      <w:bookmarkEnd w:id="1169"/>
      <w:r>
        <w:t xml:space="preserve"> </w:t>
      </w:r>
    </w:p>
    <w:p>
      <w:pPr>
        <w:pStyle w:val="Subsection"/>
      </w:pPr>
      <w:r>
        <w:tab/>
      </w:r>
      <w:r>
        <w:tab/>
        <w:t>For the purposes of section 167(6) of the Act, the prescribed form for an entry warrant is Schedule 18A Form 1.</w:t>
      </w:r>
    </w:p>
    <w:p>
      <w:pPr>
        <w:pStyle w:val="Heading5"/>
        <w:keepNext w:val="0"/>
      </w:pPr>
      <w:bookmarkStart w:id="1170" w:name="_Toc200720674"/>
      <w:r>
        <w:rPr>
          <w:rStyle w:val="CharSectno"/>
        </w:rPr>
        <w:t>702</w:t>
      </w:r>
      <w:r>
        <w:t>.</w:t>
      </w:r>
      <w:r>
        <w:tab/>
        <w:t>Not used</w:t>
      </w:r>
      <w:bookmarkEnd w:id="1170"/>
    </w:p>
    <w:p>
      <w:pPr>
        <w:pStyle w:val="Heading5"/>
      </w:pPr>
      <w:bookmarkStart w:id="1171" w:name="_Toc200720675"/>
      <w:r>
        <w:rPr>
          <w:rStyle w:val="CharSectno"/>
        </w:rPr>
        <w:lastRenderedPageBreak/>
        <w:t>703</w:t>
      </w:r>
      <w:r>
        <w:t>.</w:t>
      </w:r>
      <w:r>
        <w:tab/>
        <w:t>Review of decisions under the Act: stay of decision</w:t>
      </w:r>
      <w:bookmarkEnd w:id="1171"/>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1172" w:name="_Toc200720676"/>
      <w:r>
        <w:rPr>
          <w:rStyle w:val="CharSectno"/>
        </w:rPr>
        <w:t>704</w:t>
      </w:r>
      <w:r>
        <w:t>.</w:t>
      </w:r>
      <w:r>
        <w:tab/>
        <w:t>Confidentiality of information: exception relating to administration or enforcement of other laws</w:t>
      </w:r>
      <w:bookmarkEnd w:id="1172"/>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lastRenderedPageBreak/>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1173" w:name="_Toc200720677"/>
      <w:r>
        <w:rPr>
          <w:rStyle w:val="CharPartNo"/>
        </w:rPr>
        <w:t>Part 11.4</w:t>
      </w:r>
      <w:r>
        <w:t> — </w:t>
      </w:r>
      <w:r>
        <w:rPr>
          <w:rStyle w:val="CharPartText"/>
        </w:rPr>
        <w:t xml:space="preserve">Transitional and savings provisions for </w:t>
      </w:r>
      <w:r>
        <w:rPr>
          <w:rStyle w:val="CharPartText"/>
          <w:i/>
        </w:rPr>
        <w:t>Work Health and Safety (Mines) Regulations 2022</w:t>
      </w:r>
      <w:bookmarkEnd w:id="1173"/>
    </w:p>
    <w:p>
      <w:pPr>
        <w:pStyle w:val="Footnoteheading"/>
      </w:pPr>
      <w:r>
        <w:tab/>
        <w:t>[Heading amended: SL 2023/134 r. 18.]</w:t>
      </w:r>
    </w:p>
    <w:p>
      <w:pPr>
        <w:pStyle w:val="Heading5"/>
      </w:pPr>
      <w:bookmarkStart w:id="1174" w:name="_Toc200720678"/>
      <w:r>
        <w:rPr>
          <w:rStyle w:val="CharSectno"/>
        </w:rPr>
        <w:t>705</w:t>
      </w:r>
      <w:r>
        <w:t>.</w:t>
      </w:r>
      <w:r>
        <w:tab/>
        <w:t>Terms used</w:t>
      </w:r>
      <w:bookmarkEnd w:id="1174"/>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MSIA</w:t>
      </w:r>
      <w:r>
        <w:t xml:space="preserve"> means the </w:t>
      </w:r>
      <w:r>
        <w:rPr>
          <w:i/>
        </w:rPr>
        <w:t>Mines Safety and Inspection Act 1994</w:t>
      </w:r>
      <w:r>
        <w:t xml:space="preserve"> as in force immediately before commencement day;</w:t>
      </w:r>
    </w:p>
    <w:p>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pPr>
        <w:pStyle w:val="Defstart"/>
      </w:pPr>
      <w:r>
        <w:tab/>
      </w:r>
      <w:r>
        <w:rPr>
          <w:rStyle w:val="CharDefText"/>
        </w:rPr>
        <w:t>registered manager</w:t>
      </w:r>
      <w:r>
        <w:t xml:space="preserve">, of a mine, means a person appointed as a registered manager of the mine under the MSIA section 33; </w:t>
      </w:r>
    </w:p>
    <w:p>
      <w:pPr>
        <w:pStyle w:val="Defstart"/>
      </w:pPr>
      <w:r>
        <w:tab/>
      </w:r>
      <w:r>
        <w:rPr>
          <w:rStyle w:val="CharDefText"/>
        </w:rPr>
        <w:t>shorter transitional period</w:t>
      </w:r>
      <w:r>
        <w:t xml:space="preserve"> means the period of 12 months beginning on commencement day.</w:t>
      </w:r>
    </w:p>
    <w:p>
      <w:pPr>
        <w:pStyle w:val="Heading5"/>
      </w:pPr>
      <w:bookmarkStart w:id="1175" w:name="_Toc200720679"/>
      <w:r>
        <w:rPr>
          <w:rStyle w:val="CharSectno"/>
        </w:rPr>
        <w:t>706</w:t>
      </w:r>
      <w:r>
        <w:t>.</w:t>
      </w:r>
      <w:r>
        <w:tab/>
        <w:t>Applications pending determination</w:t>
      </w:r>
      <w:bookmarkEnd w:id="1175"/>
    </w:p>
    <w:p>
      <w:pPr>
        <w:pStyle w:val="Subsection"/>
      </w:pPr>
      <w:r>
        <w:tab/>
      </w:r>
      <w:r>
        <w:tab/>
        <w:t xml:space="preserve">Subject to regulation 707, the following under the MSIR pending determination immediately before commencement day are, on and after commencement day, to be determined under the MSIR — </w:t>
      </w:r>
    </w:p>
    <w:p>
      <w:pPr>
        <w:pStyle w:val="Indenta"/>
      </w:pPr>
      <w:r>
        <w:tab/>
        <w:t>(a)</w:t>
      </w:r>
      <w:r>
        <w:tab/>
        <w:t>an application for a certificate of competency under the MSIR regulation 2.30;</w:t>
      </w:r>
    </w:p>
    <w:p>
      <w:pPr>
        <w:pStyle w:val="Indenta"/>
      </w:pPr>
      <w:r>
        <w:tab/>
        <w:t>(b)</w:t>
      </w:r>
      <w:r>
        <w:tab/>
        <w:t>an application for registration of plant under the MSIR regulation 6.34;</w:t>
      </w:r>
    </w:p>
    <w:p>
      <w:pPr>
        <w:pStyle w:val="Indenta"/>
      </w:pPr>
      <w:r>
        <w:lastRenderedPageBreak/>
        <w:tab/>
        <w:t>(c)</w:t>
      </w:r>
      <w:r>
        <w:tab/>
        <w:t xml:space="preserve">an application for approval of a plan for the safe management of radiation at the mine under the MSIR regulation 16.7(3); </w:t>
      </w:r>
    </w:p>
    <w:p>
      <w:pPr>
        <w:pStyle w:val="Indenta"/>
      </w:pPr>
      <w:r>
        <w:tab/>
        <w:t>(d)</w:t>
      </w:r>
      <w:r>
        <w:tab/>
        <w:t xml:space="preserve">an application for approval of an amendment of a plan for the safe management of radiation at the mine under the MSIR regulation 16.7(6); </w:t>
      </w:r>
    </w:p>
    <w:p>
      <w:pPr>
        <w:pStyle w:val="Indenta"/>
      </w:pPr>
      <w:r>
        <w:tab/>
        <w:t>(e)</w:t>
      </w:r>
      <w:r>
        <w:tab/>
        <w:t>an application for approval of the removal or disposal of radioactive material under the MSIR regulation 16.27;</w:t>
      </w:r>
    </w:p>
    <w:p>
      <w:pPr>
        <w:pStyle w:val="Indenta"/>
      </w:pPr>
      <w:r>
        <w:tab/>
        <w:t>(f)</w:t>
      </w:r>
      <w:r>
        <w:tab/>
        <w:t>an application for approval to use or treat radioactive materials imported into the State under the MSIR regulation 16.28;</w:t>
      </w:r>
    </w:p>
    <w:p>
      <w:pPr>
        <w:pStyle w:val="Indenta"/>
      </w:pPr>
      <w:r>
        <w:tab/>
        <w:t>(g)</w:t>
      </w:r>
      <w:r>
        <w:tab/>
        <w:t>an application for approval of a plan for the final management of radiation at a mine under the MSIR regulation 16.35.</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730(2)).</w:t>
      </w:r>
    </w:p>
    <w:p>
      <w:pPr>
        <w:pStyle w:val="Heading5"/>
      </w:pPr>
      <w:bookmarkStart w:id="1176" w:name="_Toc200720680"/>
      <w:r>
        <w:rPr>
          <w:rStyle w:val="CharSectno"/>
        </w:rPr>
        <w:t>707</w:t>
      </w:r>
      <w:r>
        <w:t>.</w:t>
      </w:r>
      <w:r>
        <w:tab/>
        <w:t>Continuation of Board of Examiners in relation to applications for certificates of competency</w:t>
      </w:r>
      <w:bookmarkEnd w:id="1176"/>
    </w:p>
    <w:p>
      <w:pPr>
        <w:pStyle w:val="Subsection"/>
      </w:pPr>
      <w:r>
        <w:tab/>
        <w:t>(1)</w:t>
      </w:r>
      <w:r>
        <w:tab/>
        <w:t xml:space="preserve">In this regulation — </w:t>
      </w:r>
    </w:p>
    <w:p>
      <w:pPr>
        <w:pStyle w:val="Defstart"/>
      </w:pPr>
      <w:r>
        <w:tab/>
      </w:r>
      <w:r>
        <w:rPr>
          <w:rStyle w:val="CharDefText"/>
        </w:rPr>
        <w:t>Board of Examiners</w:t>
      </w:r>
      <w:r>
        <w:t xml:space="preserve"> means the Board of Examiners established under the MSIA section 48;</w:t>
      </w:r>
    </w:p>
    <w:p>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w:t>
      </w:r>
      <w:r>
        <w:lastRenderedPageBreak/>
        <w:t xml:space="preserve">period (the </w:t>
      </w:r>
      <w:r>
        <w:rPr>
          <w:rStyle w:val="CharDefText"/>
        </w:rPr>
        <w:t>finalisation period</w:t>
      </w:r>
      <w:r>
        <w:t>) of 6 months beginning on commencement day.</w:t>
      </w:r>
    </w:p>
    <w:p>
      <w:pPr>
        <w:pStyle w:val="Subsection"/>
      </w:pPr>
      <w:r>
        <w:tab/>
        <w:t>(3)</w:t>
      </w:r>
      <w:r>
        <w:tab/>
        <w:t>If a pre</w:t>
      </w:r>
      <w:r>
        <w:noBreakHyphen/>
        <w:t xml:space="preserve">commencement certificate application has not been determined by the end of the finalisation period — </w:t>
      </w:r>
    </w:p>
    <w:p>
      <w:pPr>
        <w:pStyle w:val="Indenta"/>
      </w:pPr>
      <w:r>
        <w:tab/>
        <w:t>(a)</w:t>
      </w:r>
      <w:r>
        <w:tab/>
        <w:t>the regulator may make a determination about the pre</w:t>
      </w:r>
      <w:r>
        <w:noBreakHyphen/>
        <w:t>commencement certificate application under the MSIR as continued under regulation 706(a); and</w:t>
      </w:r>
    </w:p>
    <w:p>
      <w:pPr>
        <w:pStyle w:val="Indenta"/>
      </w:pPr>
      <w:r>
        <w:tab/>
        <w:t>(b)</w:t>
      </w:r>
      <w:r>
        <w:tab/>
        <w:t>for the purposes of paragraph (a), references in the MSIR to the Board of Examiners are taken to be references to the regulator.</w:t>
      </w:r>
    </w:p>
    <w:p>
      <w:pPr>
        <w:pStyle w:val="Heading5"/>
      </w:pPr>
      <w:bookmarkStart w:id="1177" w:name="_Toc200720681"/>
      <w:r>
        <w:rPr>
          <w:rStyle w:val="CharSectno"/>
        </w:rPr>
        <w:t>708</w:t>
      </w:r>
      <w:r>
        <w:t>.</w:t>
      </w:r>
      <w:r>
        <w:tab/>
        <w:t>References to convictions or findings of guilt</w:t>
      </w:r>
      <w:bookmarkEnd w:id="1177"/>
    </w:p>
    <w:p>
      <w:pPr>
        <w:pStyle w:val="Subsection"/>
      </w:pPr>
      <w:r>
        <w:tab/>
      </w:r>
      <w:r>
        <w:tab/>
        <w:t>A reference in these regulations to a conviction or finding of guilt of any offence under a law includes a reference to any conviction or finding of guilt of any offence under the MSIA or MSIR.</w:t>
      </w:r>
    </w:p>
    <w:p>
      <w:pPr>
        <w:pStyle w:val="Heading5"/>
      </w:pPr>
      <w:bookmarkStart w:id="1178" w:name="_Toc200720682"/>
      <w:r>
        <w:rPr>
          <w:rStyle w:val="CharSectno"/>
        </w:rPr>
        <w:t>709</w:t>
      </w:r>
      <w:r>
        <w:t>.</w:t>
      </w:r>
      <w:r>
        <w:tab/>
        <w:t>Emergency plans</w:t>
      </w:r>
      <w:bookmarkEnd w:id="1178"/>
    </w:p>
    <w:p>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pPr>
        <w:pStyle w:val="Heading5"/>
      </w:pPr>
      <w:bookmarkStart w:id="1179" w:name="_Toc200720683"/>
      <w:r>
        <w:rPr>
          <w:rStyle w:val="CharSectno"/>
        </w:rPr>
        <w:t>710</w:t>
      </w:r>
      <w:r>
        <w:t>.</w:t>
      </w:r>
      <w:r>
        <w:tab/>
        <w:t>Tobacco smoke underground in underground non</w:t>
      </w:r>
      <w:r>
        <w:noBreakHyphen/>
        <w:t>coal mines</w:t>
      </w:r>
      <w:bookmarkEnd w:id="1179"/>
    </w:p>
    <w:p>
      <w:pPr>
        <w:pStyle w:val="Subsection"/>
      </w:pPr>
      <w:r>
        <w:tab/>
      </w:r>
      <w:r>
        <w:tab/>
        <w:t>During the longer transitional period, Part 3.2 Division 7A does not apply to an underground workplace at an underground non</w:t>
      </w:r>
      <w:r>
        <w:noBreakHyphen/>
        <w:t xml:space="preserve">coal mine. </w:t>
      </w:r>
    </w:p>
    <w:p>
      <w:pPr>
        <w:pStyle w:val="Heading5"/>
      </w:pPr>
      <w:bookmarkStart w:id="1180" w:name="_Toc200720684"/>
      <w:r>
        <w:rPr>
          <w:rStyle w:val="CharSectno"/>
        </w:rPr>
        <w:lastRenderedPageBreak/>
        <w:t>711</w:t>
      </w:r>
      <w:r>
        <w:t>.</w:t>
      </w:r>
      <w:r>
        <w:tab/>
        <w:t>Materials hoists</w:t>
      </w:r>
      <w:bookmarkEnd w:id="1180"/>
    </w:p>
    <w:p>
      <w:pPr>
        <w:pStyle w:val="Subsection"/>
        <w:keepLines/>
      </w:pPr>
      <w:r>
        <w:tab/>
      </w:r>
      <w:r>
        <w:tab/>
        <w:t xml:space="preserve">During the longer transitional period, regulation 81 does not apply to work of a class specified in Schedule 3 item 19 if the vertical movement of the materials hoist’s car, bucket or platform is 11 metres or less. </w:t>
      </w:r>
    </w:p>
    <w:p>
      <w:pPr>
        <w:pStyle w:val="Footnotesection"/>
      </w:pPr>
      <w:r>
        <w:tab/>
        <w:t>[Regulation 711 amended: SL 2023/22 r. 11.]</w:t>
      </w:r>
    </w:p>
    <w:p>
      <w:pPr>
        <w:pStyle w:val="Heading5"/>
      </w:pPr>
      <w:bookmarkStart w:id="1181" w:name="_Toc200720685"/>
      <w:r>
        <w:rPr>
          <w:rStyle w:val="CharSectno"/>
        </w:rPr>
        <w:t>712</w:t>
      </w:r>
      <w:r>
        <w:t>.</w:t>
      </w:r>
      <w:r>
        <w:tab/>
        <w:t>Concrete placing booms</w:t>
      </w:r>
      <w:bookmarkEnd w:id="1181"/>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712 amended: SL 2023/22 r. 12.]</w:t>
      </w:r>
    </w:p>
    <w:p>
      <w:pPr>
        <w:pStyle w:val="Heading5"/>
      </w:pPr>
      <w:bookmarkStart w:id="1182" w:name="_Toc200720686"/>
      <w:r>
        <w:rPr>
          <w:rStyle w:val="CharSectno"/>
        </w:rPr>
        <w:t>713</w:t>
      </w:r>
      <w:r>
        <w:t>.</w:t>
      </w:r>
      <w:r>
        <w:tab/>
        <w:t>Reach stackers</w:t>
      </w:r>
      <w:bookmarkEnd w:id="1182"/>
    </w:p>
    <w:p>
      <w:pPr>
        <w:pStyle w:val="Subsection"/>
      </w:pPr>
      <w:r>
        <w:tab/>
      </w:r>
      <w:r>
        <w:tab/>
        <w:t>During the period of 3 years beginning on commencement day, regulation 81 does not apply to work of a class specified in Schedule 3 item 23.</w:t>
      </w:r>
    </w:p>
    <w:p>
      <w:pPr>
        <w:pStyle w:val="Footnotesection"/>
      </w:pPr>
      <w:r>
        <w:tab/>
        <w:t>[Regulation 713 amended: SL 2023/22 r. 13.]</w:t>
      </w:r>
    </w:p>
    <w:p>
      <w:pPr>
        <w:pStyle w:val="Heading5"/>
      </w:pPr>
      <w:bookmarkStart w:id="1183" w:name="_Toc200720687"/>
      <w:r>
        <w:rPr>
          <w:rStyle w:val="CharSectno"/>
        </w:rPr>
        <w:t>714</w:t>
      </w:r>
      <w:r>
        <w:t>.</w:t>
      </w:r>
      <w:r>
        <w:tab/>
        <w:t>Demolition</w:t>
      </w:r>
      <w:bookmarkEnd w:id="1183"/>
    </w:p>
    <w:p>
      <w:pPr>
        <w:pStyle w:val="Subsection"/>
      </w:pPr>
      <w:r>
        <w:tab/>
      </w:r>
      <w:r>
        <w:tab/>
        <w:t xml:space="preserve">During the shorter transitional period — </w:t>
      </w:r>
    </w:p>
    <w:p>
      <w:pPr>
        <w:pStyle w:val="Indenta"/>
      </w:pPr>
      <w:r>
        <w:tab/>
        <w:t>(a)</w:t>
      </w:r>
      <w:r>
        <w:tab/>
        <w:t xml:space="preserve">Parts 4.6 and 4.6A do not apply; and </w:t>
      </w:r>
    </w:p>
    <w:p>
      <w:pPr>
        <w:pStyle w:val="Indenta"/>
      </w:pPr>
      <w:r>
        <w:tab/>
        <w:t>(b)</w:t>
      </w:r>
      <w:r>
        <w:tab/>
        <w:t xml:space="preserve">the MSIR Part 4 Division 2 continues to apply to construction work as defined in the MSIR regulation 4.18 that is demolition work. </w:t>
      </w:r>
    </w:p>
    <w:p>
      <w:pPr>
        <w:pStyle w:val="Heading5"/>
      </w:pPr>
      <w:bookmarkStart w:id="1184" w:name="_Toc200720688"/>
      <w:r>
        <w:rPr>
          <w:rStyle w:val="CharSectno"/>
        </w:rPr>
        <w:t>715</w:t>
      </w:r>
      <w:r>
        <w:t>.</w:t>
      </w:r>
      <w:r>
        <w:tab/>
        <w:t>Residual current devices</w:t>
      </w:r>
      <w:bookmarkEnd w:id="1184"/>
      <w:r>
        <w:t xml:space="preserve"> </w:t>
      </w:r>
    </w:p>
    <w:p>
      <w:pPr>
        <w:pStyle w:val="Subsection"/>
      </w:pPr>
      <w:r>
        <w:tab/>
      </w:r>
      <w:r>
        <w:tab/>
        <w:t xml:space="preserve">During the shorter transitional period — </w:t>
      </w:r>
    </w:p>
    <w:p>
      <w:pPr>
        <w:pStyle w:val="Indenta"/>
      </w:pPr>
      <w:r>
        <w:tab/>
        <w:t>(a)</w:t>
      </w:r>
      <w:r>
        <w:tab/>
        <w:t xml:space="preserve">a person conducting a business or undertaking at a workplace does not contravene regulation 164(2) in relation to the use of an appropriate residual current </w:t>
      </w:r>
      <w:r>
        <w:lastRenderedPageBreak/>
        <w:t>device if there is an earth leakage protection device under the MSIR regulation 5.24(2) at the workplace; and</w:t>
      </w:r>
    </w:p>
    <w:p>
      <w:pPr>
        <w:pStyle w:val="Indenta"/>
      </w:pPr>
      <w:r>
        <w:tab/>
        <w:t>(b)</w:t>
      </w:r>
      <w:r>
        <w:tab/>
        <w:t>an earth leakage protection device at a workplace that complies with the MSIR regulation 5.24(2) is taken to comply with regulation 164(3).</w:t>
      </w:r>
    </w:p>
    <w:p>
      <w:pPr>
        <w:pStyle w:val="Heading5"/>
      </w:pPr>
      <w:bookmarkStart w:id="1185" w:name="_Toc200720689"/>
      <w:r>
        <w:rPr>
          <w:rStyle w:val="CharSectno"/>
        </w:rPr>
        <w:t>716</w:t>
      </w:r>
      <w:r>
        <w:t>.</w:t>
      </w:r>
      <w:r>
        <w:tab/>
        <w:t>Plant registered under MSIR</w:t>
      </w:r>
      <w:bookmarkEnd w:id="1185"/>
    </w:p>
    <w:p>
      <w:pPr>
        <w:pStyle w:val="Subsection"/>
        <w:keepNext/>
      </w:pPr>
      <w:r>
        <w:tab/>
        <w:t>(1)</w:t>
      </w:r>
      <w:r>
        <w:tab/>
        <w:t xml:space="preserve">In this regulation — </w:t>
      </w:r>
    </w:p>
    <w:p>
      <w:pPr>
        <w:pStyle w:val="Defstart"/>
      </w:pPr>
      <w:r>
        <w:tab/>
      </w:r>
      <w:r>
        <w:rPr>
          <w:rStyle w:val="CharDefText"/>
        </w:rPr>
        <w:t>registrable plant</w:t>
      </w:r>
      <w:r>
        <w:t xml:space="preserve"> means an item of plant, or the design of an item of plant, that is required to be registered under Part 5.3 on and after commencement day.</w:t>
      </w:r>
    </w:p>
    <w:p>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pPr>
        <w:pStyle w:val="Heading5"/>
      </w:pPr>
      <w:bookmarkStart w:id="1186" w:name="_Toc200720690"/>
      <w:r>
        <w:rPr>
          <w:rStyle w:val="CharSectno"/>
        </w:rPr>
        <w:t>717</w:t>
      </w:r>
      <w:r>
        <w:t>.</w:t>
      </w:r>
      <w:r>
        <w:tab/>
        <w:t>Plant designs and items of plant not registered under MSIR</w:t>
      </w:r>
      <w:bookmarkEnd w:id="1186"/>
    </w:p>
    <w:p>
      <w:pPr>
        <w:pStyle w:val="Subsection"/>
      </w:pPr>
      <w:r>
        <w:tab/>
      </w:r>
      <w:r>
        <w:tab/>
        <w:t xml:space="preserve">Part 5.3 does not apply to an item of plant that was not required to be registered under the MSIR regulation 6.34 and that — </w:t>
      </w:r>
    </w:p>
    <w:p>
      <w:pPr>
        <w:pStyle w:val="Indenta"/>
      </w:pPr>
      <w:r>
        <w:tab/>
        <w:t>(a)</w:t>
      </w:r>
      <w:r>
        <w:tab/>
        <w:t>immediately before commencement day, was completed or manufactured (as the case requires); or</w:t>
      </w:r>
    </w:p>
    <w:p>
      <w:pPr>
        <w:pStyle w:val="Indenta"/>
      </w:pPr>
      <w:r>
        <w:tab/>
        <w:t>(b)</w:t>
      </w:r>
      <w:r>
        <w:tab/>
        <w:t>on and after commencement day, is completed or manufactured (as the case requires) before the end of the longer transitional period.</w:t>
      </w:r>
    </w:p>
    <w:p>
      <w:pPr>
        <w:pStyle w:val="Heading5"/>
      </w:pPr>
      <w:bookmarkStart w:id="1187" w:name="_Toc200720691"/>
      <w:r>
        <w:rPr>
          <w:rStyle w:val="CharSectno"/>
        </w:rPr>
        <w:lastRenderedPageBreak/>
        <w:t>718</w:t>
      </w:r>
      <w:r>
        <w:t>.</w:t>
      </w:r>
      <w:r>
        <w:tab/>
        <w:t>Continuation of exemptions from requirements to register plant</w:t>
      </w:r>
      <w:bookmarkEnd w:id="1187"/>
    </w:p>
    <w:p>
      <w:pPr>
        <w:pStyle w:val="Subsection"/>
        <w:keepNext/>
      </w:pPr>
      <w:r>
        <w:tab/>
        <w:t>(1)</w:t>
      </w:r>
      <w:r>
        <w:tab/>
        <w:t xml:space="preserve">In this regulation — </w:t>
      </w:r>
    </w:p>
    <w:p>
      <w:pPr>
        <w:pStyle w:val="Defstart"/>
      </w:pPr>
      <w:r>
        <w:tab/>
      </w:r>
      <w:r>
        <w:rPr>
          <w:rStyle w:val="CharDefText"/>
        </w:rPr>
        <w:t>last MSIR inspection</w:t>
      </w:r>
      <w:r>
        <w:t>, in relation to plant, means the last inspection of the plant under the MSIR regulation 6.40;</w:t>
      </w:r>
    </w:p>
    <w:p>
      <w:pPr>
        <w:pStyle w:val="Defstart"/>
        <w:keepNext/>
      </w:pPr>
      <w:r>
        <w:tab/>
      </w:r>
      <w:r>
        <w:rPr>
          <w:rStyle w:val="CharDefText"/>
        </w:rPr>
        <w:t>registrable plant</w:t>
      </w:r>
      <w:r>
        <w:t xml:space="preserve"> means the following items of plant — </w:t>
      </w:r>
    </w:p>
    <w:p>
      <w:pPr>
        <w:pStyle w:val="Defpara"/>
      </w:pPr>
      <w:r>
        <w:tab/>
        <w:t>(a)</w:t>
      </w:r>
      <w:r>
        <w:tab/>
        <w:t>boilers referred to in Schedule 5 clause 3(1);</w:t>
      </w:r>
    </w:p>
    <w:p>
      <w:pPr>
        <w:pStyle w:val="Defpara"/>
        <w:keepNext/>
      </w:pPr>
      <w:r>
        <w:tab/>
        <w:t>(b)</w:t>
      </w:r>
      <w:r>
        <w:tab/>
        <w:t>building maintenance units;</w:t>
      </w:r>
    </w:p>
    <w:p>
      <w:pPr>
        <w:pStyle w:val="Defpara"/>
        <w:keepNext/>
      </w:pPr>
      <w:r>
        <w:tab/>
        <w:t>(c)</w:t>
      </w:r>
      <w:r>
        <w:tab/>
        <w:t>lifts;</w:t>
      </w:r>
    </w:p>
    <w:p>
      <w:pPr>
        <w:pStyle w:val="Defpara"/>
      </w:pPr>
      <w:r>
        <w:tab/>
        <w:t>(d)</w:t>
      </w:r>
      <w:r>
        <w:tab/>
        <w:t>mobile cranes with a safe working load greater than 10 tonnes;</w:t>
      </w:r>
    </w:p>
    <w:p>
      <w:pPr>
        <w:pStyle w:val="Defpara"/>
      </w:pPr>
      <w:r>
        <w:tab/>
        <w:t>(e)</w:t>
      </w:r>
      <w:r>
        <w:tab/>
        <w:t>powered tower cranes;</w:t>
      </w:r>
    </w:p>
    <w:p>
      <w:pPr>
        <w:pStyle w:val="Defpara"/>
      </w:pPr>
      <w:r>
        <w:tab/>
        <w:t>(f)</w:t>
      </w:r>
      <w:r>
        <w:tab/>
        <w:t xml:space="preserve">relevant pressure vessels; </w:t>
      </w:r>
    </w:p>
    <w:p>
      <w:pPr>
        <w:pStyle w:val="Defstart"/>
      </w:pPr>
      <w:r>
        <w:tab/>
      </w:r>
      <w:r>
        <w:rPr>
          <w:rStyle w:val="CharDefText"/>
        </w:rPr>
        <w:t>relevant pressure vessels</w:t>
      </w:r>
      <w:r>
        <w:t xml:space="preserve"> means pressure vessels referred to in Schedule 5 clause 3(2).</w:t>
      </w:r>
    </w:p>
    <w:p>
      <w:pPr>
        <w:pStyle w:val="Subsection"/>
      </w:pPr>
      <w:r>
        <w:tab/>
        <w:t>(2)</w:t>
      </w:r>
      <w:r>
        <w:tab/>
        <w:t xml:space="preserve">This regulation applies if — </w:t>
      </w:r>
    </w:p>
    <w:p>
      <w:pPr>
        <w:pStyle w:val="Indenta"/>
      </w:pPr>
      <w:r>
        <w:tab/>
        <w:t>(a)</w:t>
      </w:r>
      <w:r>
        <w:tab/>
        <w:t xml:space="preserve">an item of registrable plant was — </w:t>
      </w:r>
    </w:p>
    <w:p>
      <w:pPr>
        <w:pStyle w:val="Indenti"/>
        <w:spacing w:before="60"/>
      </w:pPr>
      <w:r>
        <w:tab/>
        <w:t>(i)</w:t>
      </w:r>
      <w:r>
        <w:tab/>
        <w:t>completed or manufactured (as the case requires) immediately before commencement day; and</w:t>
      </w:r>
    </w:p>
    <w:p>
      <w:pPr>
        <w:pStyle w:val="Indenti"/>
        <w:spacing w:before="60"/>
      </w:pPr>
      <w:r>
        <w:tab/>
        <w:t>(ii)</w:t>
      </w:r>
      <w:r>
        <w:tab/>
        <w:t xml:space="preserve">required to be registered under the MSIR regulation 6.34 immediately before commencement day; </w:t>
      </w:r>
    </w:p>
    <w:p>
      <w:pPr>
        <w:pStyle w:val="Indenta"/>
      </w:pPr>
      <w:r>
        <w:tab/>
      </w:r>
      <w:r>
        <w:tab/>
        <w:t>and</w:t>
      </w:r>
    </w:p>
    <w:p>
      <w:pPr>
        <w:pStyle w:val="Indenta"/>
      </w:pPr>
      <w:r>
        <w:tab/>
        <w:t>(b)</w:t>
      </w:r>
      <w:r>
        <w:tab/>
        <w:t>immediately before commencement day, an exemption under the MSIR regulation 1.4 or 1.5 from the requirement to register the item under the MSIR regulation 6.34 was in force; and</w:t>
      </w:r>
    </w:p>
    <w:p>
      <w:pPr>
        <w:pStyle w:val="Indenta"/>
      </w:pPr>
      <w:r>
        <w:tab/>
        <w:t>(c)</w:t>
      </w:r>
      <w:r>
        <w:tab/>
        <w:t>on and after commencement day, the item of registrable plant must be registered under Part 5.3.</w:t>
      </w:r>
    </w:p>
    <w:p>
      <w:pPr>
        <w:pStyle w:val="Subsection"/>
        <w:keepNext/>
      </w:pPr>
      <w:r>
        <w:tab/>
        <w:t>(3)</w:t>
      </w:r>
      <w:r>
        <w:tab/>
        <w:t xml:space="preserve">The exemption in relation to the item of registrable plant is taken to be an exemption under Part 11.2 from the requirement </w:t>
      </w:r>
      <w:r>
        <w:lastRenderedPageBreak/>
        <w:t xml:space="preserve">to register the plant under Part 5.3 during the period (the </w:t>
      </w:r>
      <w:r>
        <w:rPr>
          <w:rStyle w:val="CharDefText"/>
        </w:rPr>
        <w:t>exemption period</w:t>
      </w:r>
      <w:r>
        <w:t xml:space="preserve">) beginning on commencement day until the earlier of the following — </w:t>
      </w:r>
    </w:p>
    <w:p>
      <w:pPr>
        <w:pStyle w:val="Indenta"/>
      </w:pPr>
      <w:r>
        <w:tab/>
        <w:t>(a)</w:t>
      </w:r>
      <w:r>
        <w:tab/>
        <w:t>the day on which the exemption is cancelled;</w:t>
      </w:r>
    </w:p>
    <w:p>
      <w:pPr>
        <w:pStyle w:val="Indenta"/>
      </w:pPr>
      <w:r>
        <w:tab/>
        <w:t>(b)</w:t>
      </w:r>
      <w:r>
        <w:tab/>
        <w:t xml:space="preserve">the day on which the exemption ends in the written notice given under the MSIR regulation 1.4 or 1.5; </w:t>
      </w:r>
    </w:p>
    <w:p>
      <w:pPr>
        <w:pStyle w:val="Indenta"/>
        <w:keepNext/>
      </w:pPr>
      <w:r>
        <w:tab/>
        <w:t>(c)</w:t>
      </w:r>
      <w:r>
        <w:tab/>
        <w:t xml:space="preserve">otherwise — the end of the period listed opposite the item of registrable plant in the Table. </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Column 1</w:t>
            </w:r>
          </w:p>
          <w:p>
            <w:pPr>
              <w:pStyle w:val="TableNAm"/>
              <w:jc w:val="center"/>
              <w:rPr>
                <w:b/>
                <w:bCs/>
              </w:rPr>
            </w:pPr>
            <w:r>
              <w:rPr>
                <w:b/>
                <w:bCs/>
              </w:rPr>
              <w:t>Registrable plant</w:t>
            </w:r>
          </w:p>
        </w:tc>
        <w:tc>
          <w:tcPr>
            <w:tcW w:w="3034" w:type="dxa"/>
          </w:tcPr>
          <w:p>
            <w:pPr>
              <w:pStyle w:val="TableNAm"/>
              <w:jc w:val="center"/>
              <w:rPr>
                <w:b/>
                <w:bCs/>
              </w:rPr>
            </w:pPr>
            <w:r>
              <w:rPr>
                <w:b/>
                <w:bCs/>
              </w:rPr>
              <w:t>Column 2</w:t>
            </w:r>
          </w:p>
          <w:p>
            <w:pPr>
              <w:pStyle w:val="TableNAm"/>
              <w:jc w:val="center"/>
              <w:rPr>
                <w:b/>
                <w:bCs/>
              </w:rPr>
            </w:pPr>
            <w:r>
              <w:rPr>
                <w:b/>
                <w:bCs/>
              </w:rPr>
              <w:t>Period</w:t>
            </w:r>
          </w:p>
        </w:tc>
      </w:tr>
      <w:tr>
        <w:tc>
          <w:tcPr>
            <w:tcW w:w="3033" w:type="dxa"/>
          </w:tcPr>
          <w:p>
            <w:pPr>
              <w:pStyle w:val="TableNAm"/>
            </w:pPr>
            <w:r>
              <w:t>Boilers categorised as hazard level A according to criteria in Section 2.1 of AS 4343:2014 (Pressure equipment — Hazard levels)</w:t>
            </w:r>
          </w:p>
        </w:tc>
        <w:tc>
          <w:tcPr>
            <w:tcW w:w="3034" w:type="dxa"/>
          </w:tcPr>
          <w:p>
            <w:pPr>
              <w:pStyle w:val="TableNAm"/>
            </w:pPr>
            <w:r>
              <w:t>1 year beginning on commencement day</w:t>
            </w:r>
          </w:p>
        </w:tc>
      </w:tr>
      <w:tr>
        <w:tc>
          <w:tcPr>
            <w:tcW w:w="3033" w:type="dxa"/>
          </w:tcPr>
          <w:p>
            <w:pPr>
              <w:pStyle w:val="TableNAm"/>
            </w:pPr>
            <w:r>
              <w:t>Boilers categorised as hazard level B according to criteria in Section 2.1 of AS 4343:2014 (Pressure equipment — Hazard levels)</w:t>
            </w:r>
          </w:p>
        </w:tc>
        <w:tc>
          <w:tcPr>
            <w:tcW w:w="3034" w:type="dxa"/>
          </w:tcPr>
          <w:p>
            <w:pPr>
              <w:pStyle w:val="TableNAm"/>
            </w:pPr>
            <w:r>
              <w:t>2 years beginning on commencement day</w:t>
            </w:r>
          </w:p>
        </w:tc>
      </w:tr>
      <w:tr>
        <w:tc>
          <w:tcPr>
            <w:tcW w:w="3033" w:type="dxa"/>
          </w:tcPr>
          <w:p>
            <w:pPr>
              <w:pStyle w:val="TableNAm"/>
            </w:pPr>
            <w:r>
              <w:t>Boilers categorised as hazard level C according to criteria in Section 2.1 of AS 4343:2014 (Pressure equipment — Hazard levels)</w:t>
            </w:r>
          </w:p>
        </w:tc>
        <w:tc>
          <w:tcPr>
            <w:tcW w:w="3034" w:type="dxa"/>
          </w:tcPr>
          <w:p>
            <w:pPr>
              <w:pStyle w:val="TableNAm"/>
            </w:pPr>
            <w:r>
              <w:t>3 years beginning on commencement day</w:t>
            </w:r>
          </w:p>
        </w:tc>
      </w:tr>
      <w:tr>
        <w:tc>
          <w:tcPr>
            <w:tcW w:w="3033" w:type="dxa"/>
          </w:tcPr>
          <w:p>
            <w:pPr>
              <w:pStyle w:val="TableNAm"/>
            </w:pPr>
            <w:r>
              <w:t>Building maintenance units</w:t>
            </w:r>
          </w:p>
        </w:tc>
        <w:tc>
          <w:tcPr>
            <w:tcW w:w="3034" w:type="dxa"/>
          </w:tcPr>
          <w:p>
            <w:pPr>
              <w:pStyle w:val="TableNAm"/>
            </w:pPr>
            <w:r>
              <w:t>2 years beginning on commencement day</w:t>
            </w:r>
          </w:p>
        </w:tc>
      </w:tr>
      <w:tr>
        <w:tc>
          <w:tcPr>
            <w:tcW w:w="3033" w:type="dxa"/>
          </w:tcPr>
          <w:p>
            <w:pPr>
              <w:pStyle w:val="TableNAm"/>
            </w:pPr>
            <w:r>
              <w:lastRenderedPageBreak/>
              <w:t>Lifts</w:t>
            </w:r>
          </w:p>
        </w:tc>
        <w:tc>
          <w:tcPr>
            <w:tcW w:w="3034" w:type="dxa"/>
          </w:tcPr>
          <w:p>
            <w:pPr>
              <w:pStyle w:val="TableNAm"/>
            </w:pPr>
            <w:r>
              <w:t>2 years beginning on commencement day</w:t>
            </w:r>
          </w:p>
        </w:tc>
      </w:tr>
      <w:tr>
        <w:tc>
          <w:tcPr>
            <w:tcW w:w="3033" w:type="dxa"/>
          </w:tcPr>
          <w:p>
            <w:pPr>
              <w:pStyle w:val="TableNAm"/>
              <w:keepNext/>
            </w:pPr>
            <w:r>
              <w:t>Mobile cranes with a safe working load greater than 10 tonnes</w:t>
            </w:r>
          </w:p>
        </w:tc>
        <w:tc>
          <w:tcPr>
            <w:tcW w:w="3034" w:type="dxa"/>
          </w:tcPr>
          <w:p>
            <w:pPr>
              <w:pStyle w:val="TableNAm"/>
              <w:keepNext/>
            </w:pPr>
            <w:r>
              <w:t>2 years beginning on commencement day</w:t>
            </w:r>
          </w:p>
        </w:tc>
      </w:tr>
      <w:tr>
        <w:tc>
          <w:tcPr>
            <w:tcW w:w="3033" w:type="dxa"/>
          </w:tcPr>
          <w:p>
            <w:pPr>
              <w:pStyle w:val="TableNAm"/>
              <w:keepNext/>
            </w:pPr>
            <w:r>
              <w:t>Powered tower cranes</w:t>
            </w:r>
          </w:p>
        </w:tc>
        <w:tc>
          <w:tcPr>
            <w:tcW w:w="3034" w:type="dxa"/>
          </w:tcPr>
          <w:p>
            <w:pPr>
              <w:pStyle w:val="TableNAm"/>
              <w:keepNext/>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1 year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3 years beginning on commencement day</w:t>
            </w:r>
          </w:p>
        </w:tc>
      </w:tr>
    </w:tbl>
    <w:p>
      <w:pPr>
        <w:pStyle w:val="Subsection"/>
        <w:keepNext/>
        <w:keepLines/>
      </w:pPr>
      <w:r>
        <w:lastRenderedPageBreak/>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Registrable plant</w:t>
            </w:r>
          </w:p>
        </w:tc>
        <w:tc>
          <w:tcPr>
            <w:tcW w:w="3034" w:type="dxa"/>
            <w:noWrap/>
          </w:tcPr>
          <w:p>
            <w:pPr>
              <w:pStyle w:val="TableNAm"/>
              <w:jc w:val="center"/>
              <w:rPr>
                <w:b/>
                <w:bCs/>
              </w:rPr>
            </w:pPr>
            <w:r>
              <w:rPr>
                <w:b/>
                <w:bCs/>
              </w:rPr>
              <w:t>Column 2</w:t>
            </w:r>
          </w:p>
          <w:p>
            <w:pPr>
              <w:pStyle w:val="TableNAm"/>
              <w:jc w:val="center"/>
              <w:rPr>
                <w:b/>
                <w:bCs/>
              </w:rPr>
            </w:pPr>
            <w:r>
              <w:rPr>
                <w:b/>
                <w:bCs/>
              </w:rPr>
              <w:t>Period</w:t>
            </w:r>
          </w:p>
        </w:tc>
      </w:tr>
      <w:tr>
        <w:tc>
          <w:tcPr>
            <w:tcW w:w="3033" w:type="dxa"/>
            <w:noWrap/>
          </w:tcPr>
          <w:p>
            <w:pPr>
              <w:pStyle w:val="TableNAm"/>
            </w:pPr>
            <w:r>
              <w:t xml:space="preserve">Boilers </w:t>
            </w:r>
          </w:p>
        </w:tc>
        <w:tc>
          <w:tcPr>
            <w:tcW w:w="3034" w:type="dxa"/>
            <w:noWrap/>
          </w:tcPr>
          <w:p>
            <w:pPr>
              <w:pStyle w:val="TableNAm"/>
            </w:pPr>
            <w:r>
              <w:t>2 years since the last MSIR inspection</w:t>
            </w:r>
          </w:p>
        </w:tc>
      </w:tr>
      <w:tr>
        <w:tc>
          <w:tcPr>
            <w:tcW w:w="3033" w:type="dxa"/>
            <w:noWrap/>
          </w:tcPr>
          <w:p>
            <w:pPr>
              <w:pStyle w:val="TableNAm"/>
            </w:pPr>
            <w:r>
              <w:t>Lifts</w:t>
            </w:r>
          </w:p>
        </w:tc>
        <w:tc>
          <w:tcPr>
            <w:tcW w:w="3034" w:type="dxa"/>
            <w:noWrap/>
          </w:tcPr>
          <w:p>
            <w:pPr>
              <w:pStyle w:val="TableNAm"/>
            </w:pPr>
            <w:r>
              <w:t>2 years since the last MSIR inspection</w:t>
            </w:r>
          </w:p>
        </w:tc>
      </w:tr>
      <w:tr>
        <w:tc>
          <w:tcPr>
            <w:tcW w:w="3033" w:type="dxa"/>
            <w:noWrap/>
          </w:tcPr>
          <w:p>
            <w:pPr>
              <w:pStyle w:val="TableNAm"/>
            </w:pPr>
            <w:r>
              <w:t>Mobile cranes with a safe working load greater than 10 tonnes</w:t>
            </w:r>
          </w:p>
        </w:tc>
        <w:tc>
          <w:tcPr>
            <w:tcW w:w="3034" w:type="dxa"/>
            <w:noWrap/>
          </w:tcPr>
          <w:p>
            <w:pPr>
              <w:pStyle w:val="TableNAm"/>
            </w:pPr>
            <w:r>
              <w:t>2 years since the last MSIR inspection</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3 years since the last MSIR inspection</w:t>
            </w:r>
          </w:p>
        </w:tc>
      </w:tr>
    </w:tbl>
    <w:p>
      <w:pPr>
        <w:pStyle w:val="Subsection"/>
      </w:pPr>
      <w:r>
        <w:tab/>
        <w:t>(5)</w:t>
      </w:r>
      <w:r>
        <w:tab/>
        <w:t xml:space="preserve">The mine operator of a mine must ensure that the item of the registrable plant — </w:t>
      </w:r>
    </w:p>
    <w:p>
      <w:pPr>
        <w:pStyle w:val="Indenta"/>
      </w:pPr>
      <w:r>
        <w:tab/>
        <w:t>(a)</w:t>
      </w:r>
      <w:r>
        <w:tab/>
        <w:t>is inspected by a competent person; 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manufacturer of a building maintenance unit at a mine that is the subject of an exemption under subregulation (3) </w:t>
      </w:r>
      <w:r>
        <w:lastRenderedPageBreak/>
        <w:t>recommends that the unit be inspected at regular intervals, the mine operator of the mine must ensure that the unit —</w:t>
      </w:r>
    </w:p>
    <w:p>
      <w:pPr>
        <w:pStyle w:val="Indenta"/>
        <w:keepNext/>
      </w:pPr>
      <w:r>
        <w:tab/>
        <w:t>(a)</w:t>
      </w:r>
      <w:r>
        <w:tab/>
        <w:t xml:space="preserve">is inspected during the exemption period by a competent person — </w:t>
      </w:r>
    </w:p>
    <w:p>
      <w:pPr>
        <w:pStyle w:val="Indenti"/>
      </w:pPr>
      <w:r>
        <w:tab/>
        <w:t>(i)</w:t>
      </w:r>
      <w:r>
        <w:tab/>
        <w:t>if the unit has been previously inspected — at the end of each interval that occurs during the exemption period; or</w:t>
      </w:r>
    </w:p>
    <w:p>
      <w:pPr>
        <w:pStyle w:val="Indenti"/>
      </w:pPr>
      <w:r>
        <w:tab/>
        <w:t>(ii)</w:t>
      </w:r>
      <w:r>
        <w:tab/>
        <w:t>otherwise — as soon as practicable after commencement day;</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The mine operator of a mine must ensure that a powered tower crane the subject of an exemption under subregulation (3) — </w:t>
      </w:r>
    </w:p>
    <w:p>
      <w:pPr>
        <w:pStyle w:val="Indenta"/>
      </w:pPr>
      <w:r>
        <w:tab/>
        <w:t>(a)</w:t>
      </w:r>
      <w:r>
        <w:tab/>
        <w:t xml:space="preserve">is inspected during the exemption period by a competent person — </w:t>
      </w:r>
    </w:p>
    <w:p>
      <w:pPr>
        <w:pStyle w:val="Indenti"/>
      </w:pPr>
      <w:r>
        <w:tab/>
        <w:t>(i)</w:t>
      </w:r>
      <w:r>
        <w:tab/>
        <w:t>if a crane jump occurs during the exemption period — before the crane is first used after the jump; or</w:t>
      </w:r>
    </w:p>
    <w:p>
      <w:pPr>
        <w:pStyle w:val="Indenti"/>
      </w:pPr>
      <w:r>
        <w:tab/>
        <w:t>(ii)</w:t>
      </w:r>
      <w:r>
        <w:tab/>
        <w:t>if the crane has not been inspected for a period of 1 year since the last inspection — at the end of the 1 year period;</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88" w:name="_Toc200720692"/>
      <w:r>
        <w:rPr>
          <w:rStyle w:val="CharSectno"/>
        </w:rPr>
        <w:lastRenderedPageBreak/>
        <w:t>719</w:t>
      </w:r>
      <w:r>
        <w:t>.</w:t>
      </w:r>
      <w:r>
        <w:tab/>
        <w:t>Safe work method statements for high risk construction work</w:t>
      </w:r>
      <w:bookmarkEnd w:id="1188"/>
    </w:p>
    <w:p>
      <w:pPr>
        <w:pStyle w:val="Subsection"/>
      </w:pPr>
      <w:r>
        <w:tab/>
      </w:r>
      <w:r>
        <w:tab/>
        <w:t xml:space="preserve">During the shorter transitional period, Part 6.3 Division 2 does not apply. </w:t>
      </w:r>
    </w:p>
    <w:p>
      <w:pPr>
        <w:pStyle w:val="Heading5"/>
      </w:pPr>
      <w:bookmarkStart w:id="1189" w:name="_Toc200720693"/>
      <w:r>
        <w:rPr>
          <w:rStyle w:val="CharSectno"/>
        </w:rPr>
        <w:t>720</w:t>
      </w:r>
      <w:r>
        <w:t>.</w:t>
      </w:r>
      <w:r>
        <w:tab/>
        <w:t>Tilt up concrete and precast concrete elements</w:t>
      </w:r>
      <w:bookmarkEnd w:id="1189"/>
    </w:p>
    <w:p>
      <w:pPr>
        <w:pStyle w:val="Subsection"/>
      </w:pPr>
      <w:r>
        <w:tab/>
      </w:r>
      <w:r>
        <w:tab/>
        <w:t xml:space="preserve">During the shorter transitional period, Part 6.3 Division 4 does not apply. </w:t>
      </w:r>
    </w:p>
    <w:p>
      <w:pPr>
        <w:pStyle w:val="Heading5"/>
      </w:pPr>
      <w:bookmarkStart w:id="1190" w:name="_Toc200720694"/>
      <w:r>
        <w:rPr>
          <w:rStyle w:val="CharSectno"/>
        </w:rPr>
        <w:t>721</w:t>
      </w:r>
      <w:r>
        <w:t>.</w:t>
      </w:r>
      <w:r>
        <w:tab/>
        <w:t>Additional duties of principal contractors</w:t>
      </w:r>
      <w:bookmarkEnd w:id="1190"/>
    </w:p>
    <w:p>
      <w:pPr>
        <w:pStyle w:val="Subsection"/>
      </w:pPr>
      <w:r>
        <w:tab/>
      </w:r>
      <w:r>
        <w:tab/>
        <w:t xml:space="preserve">During the shorter transitional period, Part 6.4 does not apply. </w:t>
      </w:r>
    </w:p>
    <w:p>
      <w:pPr>
        <w:pStyle w:val="Heading5"/>
      </w:pPr>
      <w:bookmarkStart w:id="1191" w:name="_Toc200720695"/>
      <w:r>
        <w:rPr>
          <w:rStyle w:val="CharSectno"/>
        </w:rPr>
        <w:t>722</w:t>
      </w:r>
      <w:r>
        <w:t>.</w:t>
      </w:r>
      <w:r>
        <w:tab/>
        <w:t>General construction induction training</w:t>
      </w:r>
      <w:bookmarkEnd w:id="1191"/>
    </w:p>
    <w:p>
      <w:pPr>
        <w:pStyle w:val="Subsection"/>
      </w:pPr>
      <w:r>
        <w:tab/>
      </w:r>
      <w:r>
        <w:tab/>
        <w:t xml:space="preserve">During the shorter transitional period, Part 6.5 does not apply. </w:t>
      </w:r>
    </w:p>
    <w:p>
      <w:pPr>
        <w:pStyle w:val="Heading5"/>
      </w:pPr>
      <w:bookmarkStart w:id="1192" w:name="_Toc200720696"/>
      <w:r>
        <w:rPr>
          <w:rStyle w:val="CharSectno"/>
        </w:rPr>
        <w:t>723</w:t>
      </w:r>
      <w:r>
        <w:t>.</w:t>
      </w:r>
      <w:r>
        <w:tab/>
        <w:t>Asbestos register</w:t>
      </w:r>
      <w:bookmarkEnd w:id="1192"/>
      <w:r>
        <w:t xml:space="preserve"> </w:t>
      </w:r>
    </w:p>
    <w:p>
      <w:pPr>
        <w:pStyle w:val="Subsection"/>
      </w:pPr>
      <w:r>
        <w:tab/>
        <w:t>(1)</w:t>
      </w:r>
      <w:r>
        <w:tab/>
        <w:t>Regulation 425(1) does not apply to a person with management or control of a workplace at a mine until the end of the shorter transitional period.</w:t>
      </w:r>
    </w:p>
    <w:p>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pPr>
        <w:pStyle w:val="Heading5"/>
      </w:pPr>
      <w:bookmarkStart w:id="1193" w:name="_Toc200720697"/>
      <w:r>
        <w:rPr>
          <w:rStyle w:val="CharSectno"/>
        </w:rPr>
        <w:t>724</w:t>
      </w:r>
      <w:r>
        <w:t>.</w:t>
      </w:r>
      <w:r>
        <w:tab/>
        <w:t>Undertaking asbestos removal work without licence</w:t>
      </w:r>
      <w:bookmarkEnd w:id="1193"/>
      <w:r>
        <w:t xml:space="preserve"> </w:t>
      </w:r>
    </w:p>
    <w:p>
      <w:pPr>
        <w:pStyle w:val="Subsection"/>
      </w:pPr>
      <w:r>
        <w:tab/>
      </w:r>
      <w:r>
        <w:tab/>
        <w:t xml:space="preserve">During the shorter transitional period, a person who is carrying out asbestos removal work at a mine is taken to be licensed to carry out that work at the mine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1194" w:name="_Toc200720698"/>
      <w:r>
        <w:rPr>
          <w:rStyle w:val="CharSectno"/>
        </w:rPr>
        <w:lastRenderedPageBreak/>
        <w:t>725</w:t>
      </w:r>
      <w:r>
        <w:t>.</w:t>
      </w:r>
      <w:r>
        <w:tab/>
        <w:t>Licensed asbestos assessors</w:t>
      </w:r>
      <w:bookmarkEnd w:id="1194"/>
      <w:r>
        <w:t xml:space="preserve"> </w:t>
      </w:r>
    </w:p>
    <w:p>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1195" w:name="_Toc200720699"/>
      <w:r>
        <w:rPr>
          <w:rStyle w:val="CharSectno"/>
        </w:rPr>
        <w:t>726</w:t>
      </w:r>
      <w:r>
        <w:t>.</w:t>
      </w:r>
      <w:r>
        <w:tab/>
        <w:t>Information about commencing or recommencing mining operations given before commencement day</w:t>
      </w:r>
      <w:bookmarkEnd w:id="1195"/>
      <w:r>
        <w:t xml:space="preserve"> </w:t>
      </w:r>
    </w:p>
    <w:p>
      <w:pPr>
        <w:pStyle w:val="Subsection"/>
      </w:pPr>
      <w:r>
        <w:tab/>
        <w:t>(1)</w:t>
      </w:r>
      <w:r>
        <w:tab/>
        <w:t xml:space="preserve">In this regulation — </w:t>
      </w:r>
    </w:p>
    <w:p>
      <w:pPr>
        <w:pStyle w:val="Defstart"/>
      </w:pPr>
      <w:r>
        <w:tab/>
      </w:r>
      <w:r>
        <w:rPr>
          <w:rStyle w:val="CharDefText"/>
        </w:rPr>
        <w:t>commencement notice</w:t>
      </w:r>
      <w:r>
        <w:t xml:space="preserve"> means a notice given under the MSIA section 42(1) in relation to — </w:t>
      </w:r>
    </w:p>
    <w:p>
      <w:pPr>
        <w:pStyle w:val="Defpara"/>
      </w:pPr>
      <w:r>
        <w:tab/>
        <w:t>(a)</w:t>
      </w:r>
      <w:r>
        <w:tab/>
        <w:t xml:space="preserve">the commencement of mining operations at a mine; or </w:t>
      </w:r>
    </w:p>
    <w:p>
      <w:pPr>
        <w:pStyle w:val="Defpara"/>
      </w:pPr>
      <w:r>
        <w:tab/>
        <w:t>(b)</w:t>
      </w:r>
      <w:r>
        <w:tab/>
        <w:t>the recommencement of mining operations at a mine after their suspension.</w:t>
      </w:r>
    </w:p>
    <w:p>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pPr>
        <w:pStyle w:val="Heading5"/>
      </w:pPr>
      <w:bookmarkStart w:id="1196" w:name="_Toc200720700"/>
      <w:r>
        <w:rPr>
          <w:rStyle w:val="CharSectno"/>
        </w:rPr>
        <w:t>727</w:t>
      </w:r>
      <w:r>
        <w:t>.</w:t>
      </w:r>
      <w:r>
        <w:tab/>
        <w:t>Information about suspending mining operations given before commencement day</w:t>
      </w:r>
      <w:bookmarkEnd w:id="1196"/>
      <w:r>
        <w:t xml:space="preserve"> </w:t>
      </w:r>
    </w:p>
    <w:p>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pPr>
        <w:pStyle w:val="Heading5"/>
      </w:pPr>
      <w:bookmarkStart w:id="1197" w:name="_Toc200720701"/>
      <w:r>
        <w:rPr>
          <w:rStyle w:val="CharSectno"/>
        </w:rPr>
        <w:lastRenderedPageBreak/>
        <w:t>728</w:t>
      </w:r>
      <w:r>
        <w:t>.</w:t>
      </w:r>
      <w:r>
        <w:tab/>
        <w:t>Information about abandoning mining operations given before commencement day</w:t>
      </w:r>
      <w:bookmarkEnd w:id="1197"/>
      <w:r>
        <w:t xml:space="preserve"> </w:t>
      </w:r>
    </w:p>
    <w:p>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pPr>
        <w:pStyle w:val="Indenta"/>
      </w:pPr>
      <w:r>
        <w:tab/>
        <w:t>(a)</w:t>
      </w:r>
      <w:r>
        <w:tab/>
        <w:t>the notice is taken to have been given under regulation 675UI(3)(b); and</w:t>
      </w:r>
    </w:p>
    <w:p>
      <w:pPr>
        <w:pStyle w:val="Indenta"/>
      </w:pPr>
      <w:r>
        <w:tab/>
        <w:t>(b)</w:t>
      </w:r>
      <w:r>
        <w:tab/>
        <w:t>the mine operator of the mine is taken to have complied with regulation 675UI(3) if the regulator gives the relevant person a notice under regulation 675UI(6) authorising the closure.</w:t>
      </w:r>
    </w:p>
    <w:p>
      <w:pPr>
        <w:pStyle w:val="Heading5"/>
      </w:pPr>
      <w:bookmarkStart w:id="1198" w:name="_Toc200720702"/>
      <w:r>
        <w:rPr>
          <w:rStyle w:val="CharSectno"/>
        </w:rPr>
        <w:t>729</w:t>
      </w:r>
      <w:r>
        <w:t>.</w:t>
      </w:r>
      <w:r>
        <w:tab/>
        <w:t>Exploration operations</w:t>
      </w:r>
      <w:bookmarkEnd w:id="1198"/>
    </w:p>
    <w:p>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pPr>
        <w:pStyle w:val="Heading5"/>
      </w:pPr>
      <w:bookmarkStart w:id="1199" w:name="_Toc200720703"/>
      <w:r>
        <w:rPr>
          <w:rStyle w:val="CharSectno"/>
        </w:rPr>
        <w:t>730</w:t>
      </w:r>
      <w:r>
        <w:t>.</w:t>
      </w:r>
      <w:r>
        <w:tab/>
        <w:t>Continuation of approvals under MSIR</w:t>
      </w:r>
      <w:bookmarkEnd w:id="1199"/>
      <w:r>
        <w:t xml:space="preserve"> </w:t>
      </w:r>
    </w:p>
    <w:p>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MSIR approval</w:t>
            </w:r>
          </w:p>
        </w:tc>
        <w:tc>
          <w:tcPr>
            <w:tcW w:w="3034" w:type="dxa"/>
            <w:noWrap/>
          </w:tcPr>
          <w:p>
            <w:pPr>
              <w:pStyle w:val="TableNAm"/>
              <w:jc w:val="center"/>
              <w:rPr>
                <w:b/>
                <w:bCs/>
              </w:rPr>
            </w:pPr>
            <w:r>
              <w:rPr>
                <w:b/>
                <w:bCs/>
              </w:rPr>
              <w:t>Column 2</w:t>
            </w:r>
          </w:p>
          <w:p>
            <w:pPr>
              <w:pStyle w:val="TableNAm"/>
              <w:jc w:val="center"/>
              <w:rPr>
                <w:b/>
                <w:bCs/>
              </w:rPr>
            </w:pPr>
            <w:r>
              <w:rPr>
                <w:b/>
                <w:bCs/>
              </w:rPr>
              <w:t>Approval under these regulations</w:t>
            </w:r>
          </w:p>
        </w:tc>
      </w:tr>
      <w:tr>
        <w:tc>
          <w:tcPr>
            <w:tcW w:w="3033" w:type="dxa"/>
            <w:noWrap/>
          </w:tcPr>
          <w:p>
            <w:pPr>
              <w:pStyle w:val="TableNAm"/>
            </w:pPr>
            <w:r>
              <w:t>An approval of a plan for the safe management of radiation at the mine under the MSIR regulation 16.7(7) submitted under the MSIR regulation 16.7(3)</w:t>
            </w:r>
          </w:p>
        </w:tc>
        <w:tc>
          <w:tcPr>
            <w:tcW w:w="3034" w:type="dxa"/>
            <w:noWrap/>
          </w:tcPr>
          <w:p>
            <w:pPr>
              <w:pStyle w:val="TableNAm"/>
            </w:pPr>
            <w:r>
              <w:t>An approval of a radiation management plan at the mine under regulation 641N(2)</w:t>
            </w:r>
          </w:p>
        </w:tc>
      </w:tr>
      <w:tr>
        <w:tc>
          <w:tcPr>
            <w:tcW w:w="3033" w:type="dxa"/>
            <w:noWrap/>
          </w:tcPr>
          <w:p>
            <w:pPr>
              <w:pStyle w:val="TableNAm"/>
            </w:pPr>
            <w:r>
              <w:t>An approval of an amended plan for the safe management of radiation at the mine under the MSIR regulation 16.7(7) submitted under the MSIR regulation 16.7(6)</w:t>
            </w:r>
          </w:p>
        </w:tc>
        <w:tc>
          <w:tcPr>
            <w:tcW w:w="3034" w:type="dxa"/>
            <w:noWrap/>
          </w:tcPr>
          <w:p>
            <w:pPr>
              <w:pStyle w:val="TableNAm"/>
            </w:pPr>
            <w:r>
              <w:t>An approval of a radiation management plan under regulation 641N(2) as amended</w:t>
            </w:r>
          </w:p>
        </w:tc>
      </w:tr>
      <w:tr>
        <w:tc>
          <w:tcPr>
            <w:tcW w:w="3033" w:type="dxa"/>
            <w:noWrap/>
          </w:tcPr>
          <w:p>
            <w:pPr>
              <w:pStyle w:val="TableNAm"/>
            </w:pPr>
            <w:r>
              <w:t>An approval of the removal or disposal of radioactive material under the MSIR regulation 16.27</w:t>
            </w:r>
          </w:p>
        </w:tc>
        <w:tc>
          <w:tcPr>
            <w:tcW w:w="3034" w:type="dxa"/>
            <w:noWrap/>
          </w:tcPr>
          <w:p>
            <w:pPr>
              <w:pStyle w:val="TableNAm"/>
            </w:pPr>
            <w:r>
              <w:t>An approval of the removal or disposal of radioactive material under regulation 641V</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regulation 641W(2)</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of a radioactive waste management plan under regulation 641O(2)</w:t>
            </w:r>
          </w:p>
        </w:tc>
      </w:tr>
    </w:tbl>
    <w:p>
      <w:pPr>
        <w:pStyle w:val="Heading5"/>
      </w:pPr>
      <w:bookmarkStart w:id="1200" w:name="_Toc200720704"/>
      <w:r>
        <w:rPr>
          <w:rStyle w:val="CharSectno"/>
        </w:rPr>
        <w:lastRenderedPageBreak/>
        <w:t>731</w:t>
      </w:r>
      <w:r>
        <w:t>.</w:t>
      </w:r>
      <w:r>
        <w:tab/>
        <w:t>Establishing and implementing mine safety management system for mines</w:t>
      </w:r>
      <w:bookmarkEnd w:id="1200"/>
      <w:r>
        <w:t xml:space="preserve"> </w:t>
      </w:r>
    </w:p>
    <w:p>
      <w:pPr>
        <w:pStyle w:val="Subsection"/>
      </w:pPr>
      <w:r>
        <w:tab/>
        <w:t>(1)</w:t>
      </w:r>
      <w:r>
        <w:tab/>
        <w:t xml:space="preserve">Regulation 621(1) and (3) does not apply to the mine operator of a mine during the shorter transitional period. </w:t>
      </w:r>
    </w:p>
    <w:p>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pPr>
        <w:pStyle w:val="Heading5"/>
      </w:pPr>
      <w:bookmarkStart w:id="1201" w:name="_Toc200720705"/>
      <w:r>
        <w:rPr>
          <w:rStyle w:val="CharSectno"/>
        </w:rPr>
        <w:t>732</w:t>
      </w:r>
      <w:r>
        <w:t>.</w:t>
      </w:r>
      <w:r>
        <w:tab/>
        <w:t>Contractor’s health and safety management plans</w:t>
      </w:r>
      <w:bookmarkEnd w:id="1201"/>
      <w:r>
        <w:t xml:space="preserve"> </w:t>
      </w:r>
    </w:p>
    <w:p>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pPr>
        <w:pStyle w:val="Indenta"/>
      </w:pPr>
      <w:r>
        <w:tab/>
        <w:t>(a)</w:t>
      </w:r>
      <w:r>
        <w:tab/>
        <w:t xml:space="preserve">the contractor — </w:t>
      </w:r>
    </w:p>
    <w:p>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pPr>
        <w:pStyle w:val="Indenta"/>
        <w:rPr>
          <w:shd w:val="clear" w:color="auto" w:fill="FFFFFF"/>
        </w:rPr>
      </w:pPr>
      <w:r>
        <w:tab/>
      </w:r>
      <w:r>
        <w:tab/>
      </w:r>
      <w:r>
        <w:rPr>
          <w:shd w:val="clear" w:color="auto" w:fill="FFFFFF"/>
        </w:rPr>
        <w:t>or</w:t>
      </w:r>
    </w:p>
    <w:p>
      <w:pPr>
        <w:pStyle w:val="Indenta"/>
      </w:pPr>
      <w:r>
        <w:tab/>
        <w:t>(b)</w:t>
      </w:r>
      <w:r>
        <w:tab/>
        <w:t xml:space="preserve">the contractor — </w:t>
      </w:r>
    </w:p>
    <w:p>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 xml:space="preserve">relevant parts of the mine safety management </w:t>
      </w:r>
      <w:r>
        <w:rPr>
          <w:color w:val="000000"/>
          <w:szCs w:val="24"/>
          <w:shd w:val="clear" w:color="auto" w:fill="FFFFFF"/>
        </w:rPr>
        <w:lastRenderedPageBreak/>
        <w:t>system that will apply to the contractor by the compliance day.</w:t>
      </w:r>
    </w:p>
    <w:p>
      <w:pPr>
        <w:pStyle w:val="PermNoteHeading"/>
      </w:pPr>
      <w:r>
        <w:tab/>
        <w:t>Note for this subregulation:</w:t>
      </w:r>
    </w:p>
    <w:p>
      <w:pPr>
        <w:pStyle w:val="PermNoteText"/>
      </w:pPr>
      <w:r>
        <w:tab/>
      </w:r>
      <w:r>
        <w:tab/>
        <w:t>For the purposes of paragraph (b)(i) see also regulation 731(2) in relation to the delayed operation of regulation 621(1).</w:t>
      </w:r>
    </w:p>
    <w:p>
      <w:pPr>
        <w:pStyle w:val="Subsection"/>
      </w:pPr>
      <w:r>
        <w:tab/>
        <w:t>(2)</w:t>
      </w:r>
      <w:r>
        <w:tab/>
        <w:t>The mine operator of a mine is taken to have complied with regulation 625D(2) if the contractor complies with subregulation (1).</w:t>
      </w:r>
    </w:p>
    <w:p>
      <w:pPr>
        <w:pStyle w:val="Heading5"/>
      </w:pPr>
      <w:bookmarkStart w:id="1202" w:name="_Toc200720706"/>
      <w:r>
        <w:rPr>
          <w:rStyle w:val="CharSectno"/>
        </w:rPr>
        <w:t>733</w:t>
      </w:r>
      <w:r>
        <w:t>.</w:t>
      </w:r>
      <w:r>
        <w:tab/>
        <w:t>Principal mining hazard management plans</w:t>
      </w:r>
      <w:bookmarkEnd w:id="1202"/>
    </w:p>
    <w:p>
      <w:pPr>
        <w:pStyle w:val="Subsection"/>
      </w:pPr>
      <w:r>
        <w:tab/>
      </w:r>
      <w:r>
        <w:tab/>
        <w:t>During the shorter transitional period, Part 10.2 Division 2 does not apply.</w:t>
      </w:r>
    </w:p>
    <w:p>
      <w:pPr>
        <w:pStyle w:val="Heading5"/>
      </w:pPr>
      <w:bookmarkStart w:id="1203" w:name="_Toc200720707"/>
      <w:r>
        <w:rPr>
          <w:rStyle w:val="CharSectno"/>
        </w:rPr>
        <w:t>734</w:t>
      </w:r>
      <w:r>
        <w:t>.</w:t>
      </w:r>
      <w:r>
        <w:tab/>
        <w:t>Underground ventilation control plans</w:t>
      </w:r>
      <w:bookmarkEnd w:id="1203"/>
    </w:p>
    <w:p>
      <w:pPr>
        <w:pStyle w:val="Subsection"/>
      </w:pPr>
      <w:r>
        <w:tab/>
      </w:r>
      <w:r>
        <w:tab/>
        <w:t>During the shorter transitional period, regulation 654 does not apply.</w:t>
      </w:r>
    </w:p>
    <w:p>
      <w:pPr>
        <w:pStyle w:val="Heading5"/>
      </w:pPr>
      <w:bookmarkStart w:id="1204" w:name="_Toc200720708"/>
      <w:r>
        <w:rPr>
          <w:rStyle w:val="CharSectno"/>
        </w:rPr>
        <w:t>735</w:t>
      </w:r>
      <w:r>
        <w:t>.</w:t>
      </w:r>
      <w:r>
        <w:tab/>
        <w:t>Health management plans</w:t>
      </w:r>
      <w:bookmarkEnd w:id="1204"/>
    </w:p>
    <w:p>
      <w:pPr>
        <w:pStyle w:val="Subsection"/>
      </w:pPr>
      <w:r>
        <w:tab/>
      </w:r>
      <w:r>
        <w:tab/>
        <w:t>During the shorter transitional period, Part 10.3 Division 1 does not apply.</w:t>
      </w:r>
    </w:p>
    <w:p>
      <w:pPr>
        <w:pStyle w:val="Heading5"/>
      </w:pPr>
      <w:bookmarkStart w:id="1205" w:name="_Toc200720709"/>
      <w:r>
        <w:rPr>
          <w:rStyle w:val="CharSectno"/>
        </w:rPr>
        <w:t>736</w:t>
      </w:r>
      <w:r>
        <w:t>.</w:t>
      </w:r>
      <w:r>
        <w:tab/>
        <w:t>Application of MSIR Parts 11, 12 and 14 to mines</w:t>
      </w:r>
      <w:bookmarkEnd w:id="1205"/>
    </w:p>
    <w:p>
      <w:pPr>
        <w:pStyle w:val="Subsection"/>
      </w:pPr>
      <w:r>
        <w:tab/>
        <w:t>(1)</w:t>
      </w:r>
      <w:r>
        <w:tab/>
        <w:t xml:space="preserve">The MSIR Parts 11, 12 and 14 (other than the MSIR regulations 11.4, 12.4, 14.3 and 14.4) apply to a mine until the earlier of the following — </w:t>
      </w:r>
    </w:p>
    <w:p>
      <w:pPr>
        <w:pStyle w:val="Indenta"/>
      </w:pPr>
      <w:r>
        <w:tab/>
        <w:t>(a)</w:t>
      </w:r>
      <w:r>
        <w:tab/>
        <w:t>a mine safety management system is prepared under regulation 621(1) dealing with winding systems, mine shaft sinking and use of dredges;</w:t>
      </w:r>
    </w:p>
    <w:p>
      <w:pPr>
        <w:pStyle w:val="Indenta"/>
      </w:pPr>
      <w:r>
        <w:tab/>
        <w:t>(b)</w:t>
      </w:r>
      <w:r>
        <w:tab/>
        <w:t>the end of the shorter transitional period.</w:t>
      </w:r>
    </w:p>
    <w:p>
      <w:pPr>
        <w:pStyle w:val="PermNoteHeading"/>
      </w:pPr>
      <w:r>
        <w:tab/>
        <w:t>Note for this subregulation:</w:t>
      </w:r>
    </w:p>
    <w:p>
      <w:pPr>
        <w:pStyle w:val="PermNoteText"/>
      </w:pPr>
      <w:r>
        <w:tab/>
      </w:r>
      <w:r>
        <w:tab/>
        <w:t>Regulation 675UK(2) applies in relation to the matters for which approvals are required under the MSIR regulations 11.4, 12.4, 14.3 and 14.4.</w:t>
      </w:r>
    </w:p>
    <w:p>
      <w:pPr>
        <w:pStyle w:val="Subsection"/>
      </w:pPr>
      <w:r>
        <w:lastRenderedPageBreak/>
        <w:tab/>
        <w:t>(2)</w:t>
      </w:r>
      <w:r>
        <w:tab/>
        <w:t>However, if a provision of the MSIR Parts 11, 12 and 14 that apply under subregulation (1) are inconsistent with a provision of these regulations, these regulations apply to the extent of any inconsistency.</w:t>
      </w:r>
    </w:p>
    <w:p>
      <w:pPr>
        <w:pStyle w:val="Heading5"/>
      </w:pPr>
      <w:bookmarkStart w:id="1206" w:name="_Toc200720710"/>
      <w:r>
        <w:rPr>
          <w:rStyle w:val="CharSectno"/>
        </w:rPr>
        <w:t>737</w:t>
      </w:r>
      <w:r>
        <w:t>.</w:t>
      </w:r>
      <w:r>
        <w:tab/>
        <w:t>Notices of high risk mining activity</w:t>
      </w:r>
      <w:bookmarkEnd w:id="1206"/>
      <w:r>
        <w:t xml:space="preserve"> </w:t>
      </w:r>
    </w:p>
    <w:p>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yTableNAm"/>
              <w:jc w:val="center"/>
              <w:rPr>
                <w:b/>
                <w:bCs/>
              </w:rPr>
            </w:pPr>
            <w:r>
              <w:rPr>
                <w:b/>
                <w:bCs/>
              </w:rPr>
              <w:t>Column 1</w:t>
            </w:r>
          </w:p>
          <w:p>
            <w:pPr>
              <w:pStyle w:val="TableNAm"/>
              <w:jc w:val="center"/>
              <w:rPr>
                <w:b/>
                <w:bCs/>
              </w:rPr>
            </w:pPr>
            <w:r>
              <w:rPr>
                <w:b/>
                <w:bCs/>
              </w:rPr>
              <w:t>High risk mining activity</w:t>
            </w:r>
          </w:p>
        </w:tc>
        <w:tc>
          <w:tcPr>
            <w:tcW w:w="3034" w:type="dxa"/>
            <w:noWrap/>
          </w:tcPr>
          <w:p>
            <w:pPr>
              <w:pStyle w:val="TableNAm"/>
              <w:jc w:val="center"/>
              <w:rPr>
                <w:b/>
                <w:bCs/>
              </w:rPr>
            </w:pPr>
            <w:r>
              <w:rPr>
                <w:b/>
                <w:bCs/>
              </w:rPr>
              <w:t>Column 2</w:t>
            </w:r>
          </w:p>
          <w:p>
            <w:pPr>
              <w:pStyle w:val="TableNAm"/>
              <w:jc w:val="center"/>
              <w:rPr>
                <w:b/>
                <w:bCs/>
              </w:rPr>
            </w:pPr>
            <w:r>
              <w:rPr>
                <w:b/>
                <w:bCs/>
              </w:rPr>
              <w:t>Action under MSIA</w:t>
            </w:r>
          </w:p>
        </w:tc>
      </w:tr>
      <w:tr>
        <w:trPr>
          <w:cantSplit/>
        </w:trPr>
        <w:tc>
          <w:tcPr>
            <w:tcW w:w="3033" w:type="dxa"/>
            <w:noWrap/>
          </w:tcPr>
          <w:p>
            <w:pPr>
              <w:pStyle w:val="TableNAm"/>
            </w:pPr>
            <w:r>
              <w:t>Schedule 23</w:t>
            </w:r>
            <w:r>
              <w:rPr>
                <w:szCs w:val="24"/>
              </w:rPr>
              <w:t xml:space="preserve"> item 1</w:t>
            </w:r>
          </w:p>
        </w:tc>
        <w:tc>
          <w:tcPr>
            <w:tcW w:w="3034" w:type="dxa"/>
            <w:noWrap/>
          </w:tcPr>
          <w:p>
            <w:pPr>
              <w:pStyle w:val="TableNAm"/>
            </w:pPr>
            <w:r>
              <w:t>Written notification was provided under the MSIR regulation 12.3(1) in relation to the mine shaft</w:t>
            </w:r>
          </w:p>
        </w:tc>
      </w:tr>
      <w:tr>
        <w:trPr>
          <w:cantSplit/>
        </w:trPr>
        <w:tc>
          <w:tcPr>
            <w:tcW w:w="3033" w:type="dxa"/>
            <w:noWrap/>
          </w:tcPr>
          <w:p>
            <w:pPr>
              <w:pStyle w:val="TableNAm"/>
            </w:pPr>
            <w:r>
              <w:t>Schedule 23</w:t>
            </w:r>
            <w:r>
              <w:rPr>
                <w:szCs w:val="24"/>
              </w:rPr>
              <w:t xml:space="preserve"> item 2</w:t>
            </w:r>
            <w:r>
              <w:t xml:space="preserve"> in relation to installing a winding system </w:t>
            </w:r>
          </w:p>
        </w:tc>
        <w:tc>
          <w:tcPr>
            <w:tcW w:w="3034" w:type="dxa"/>
            <w:noWrap/>
          </w:tcPr>
          <w:p>
            <w:pPr>
              <w:pStyle w:val="TableNAm"/>
            </w:pPr>
            <w:r>
              <w:t>Written notification was provided under the MSIR regulation 11.3(1) in relation to the winding system</w:t>
            </w:r>
          </w:p>
        </w:tc>
      </w:tr>
      <w:tr>
        <w:trPr>
          <w:cantSplit/>
        </w:trPr>
        <w:tc>
          <w:tcPr>
            <w:tcW w:w="3033" w:type="dxa"/>
            <w:noWrap/>
          </w:tcPr>
          <w:p>
            <w:pPr>
              <w:pStyle w:val="TableNAm"/>
            </w:pPr>
            <w:r>
              <w:t>Schedule 23</w:t>
            </w:r>
            <w:r>
              <w:rPr>
                <w:szCs w:val="24"/>
              </w:rPr>
              <w:t xml:space="preserve"> item 2</w:t>
            </w:r>
            <w:r>
              <w:t xml:space="preserve"> in relation to making major changes to an already installed winding system</w:t>
            </w:r>
          </w:p>
        </w:tc>
        <w:tc>
          <w:tcPr>
            <w:tcW w:w="3034" w:type="dxa"/>
            <w:noWrap/>
          </w:tcPr>
          <w:p>
            <w:pPr>
              <w:pStyle w:val="TableNAm"/>
            </w:pPr>
            <w:r>
              <w:t>Written notification was provided under the MSIR regulation 11.6(1) in relation to the modification of the winding system</w:t>
            </w:r>
          </w:p>
        </w:tc>
      </w:tr>
      <w:tr>
        <w:trPr>
          <w:cantSplit/>
        </w:trPr>
        <w:tc>
          <w:tcPr>
            <w:tcW w:w="3033" w:type="dxa"/>
            <w:noWrap/>
          </w:tcPr>
          <w:p>
            <w:pPr>
              <w:pStyle w:val="TableNAm"/>
            </w:pPr>
            <w:r>
              <w:lastRenderedPageBreak/>
              <w:t>Schedule 23</w:t>
            </w:r>
            <w:r>
              <w:rPr>
                <w:szCs w:val="24"/>
              </w:rPr>
              <w:t xml:space="preserve"> item 3</w:t>
            </w:r>
          </w:p>
        </w:tc>
        <w:tc>
          <w:tcPr>
            <w:tcW w:w="3034" w:type="dxa"/>
            <w:noWrap/>
          </w:tcPr>
          <w:p>
            <w:pPr>
              <w:pStyle w:val="Subsection"/>
              <w:tabs>
                <w:tab w:val="clear" w:pos="879"/>
                <w:tab w:val="left" w:pos="0"/>
              </w:tabs>
              <w:ind w:left="0" w:firstLine="0"/>
              <w:rPr>
                <w:b/>
                <w:i/>
                <w:sz w:val="20"/>
              </w:rPr>
            </w:pPr>
            <w:r>
              <w:t>The winding system was approved under the MSIR regulation 11.4 and tested under the MSIR regulation 11.5</w:t>
            </w:r>
          </w:p>
        </w:tc>
      </w:tr>
      <w:tr>
        <w:trPr>
          <w:cantSplit/>
        </w:trPr>
        <w:tc>
          <w:tcPr>
            <w:tcW w:w="3033" w:type="dxa"/>
            <w:noWrap/>
          </w:tcPr>
          <w:p>
            <w:pPr>
              <w:pStyle w:val="TableNAm"/>
            </w:pPr>
            <w:r>
              <w:t>Schedule 23</w:t>
            </w:r>
            <w:r>
              <w:rPr>
                <w:szCs w:val="24"/>
              </w:rPr>
              <w:t xml:space="preserve"> item 4</w:t>
            </w:r>
          </w:p>
        </w:tc>
        <w:tc>
          <w:tcPr>
            <w:tcW w:w="3034" w:type="dxa"/>
            <w:noWrap/>
          </w:tcPr>
          <w:p>
            <w:pPr>
              <w:pStyle w:val="TableNAm"/>
            </w:pPr>
            <w:r>
              <w:t>The method was approved by the senior inspector under the MSIR regulation 10.21(1)</w:t>
            </w:r>
          </w:p>
        </w:tc>
      </w:tr>
      <w:tr>
        <w:trPr>
          <w:cantSplit/>
        </w:trPr>
        <w:tc>
          <w:tcPr>
            <w:tcW w:w="3033" w:type="dxa"/>
            <w:noWrap/>
          </w:tcPr>
          <w:p>
            <w:pPr>
              <w:pStyle w:val="TableNAm"/>
            </w:pPr>
            <w:r>
              <w:t>Schedule 23</w:t>
            </w:r>
            <w:r>
              <w:rPr>
                <w:szCs w:val="24"/>
              </w:rPr>
              <w:t xml:space="preserve"> item 7</w:t>
            </w:r>
          </w:p>
        </w:tc>
        <w:tc>
          <w:tcPr>
            <w:tcW w:w="3034" w:type="dxa"/>
            <w:noWrap/>
          </w:tcPr>
          <w:p>
            <w:pPr>
              <w:pStyle w:val="TableNAm"/>
            </w:pPr>
            <w:r>
              <w:t xml:space="preserve">Written advice was provided to the district inspector under the MSIR regulation 10.19(2)(a) in relation to the construction </w:t>
            </w:r>
          </w:p>
        </w:tc>
      </w:tr>
      <w:tr>
        <w:trPr>
          <w:cantSplit/>
        </w:trPr>
        <w:tc>
          <w:tcPr>
            <w:tcW w:w="3033" w:type="dxa"/>
            <w:noWrap/>
          </w:tcPr>
          <w:p>
            <w:pPr>
              <w:pStyle w:val="TableNAm"/>
            </w:pPr>
            <w:r>
              <w:t>Schedule 23</w:t>
            </w:r>
            <w:r>
              <w:rPr>
                <w:szCs w:val="24"/>
              </w:rPr>
              <w:t xml:space="preserve"> item 8</w:t>
            </w:r>
          </w:p>
        </w:tc>
        <w:tc>
          <w:tcPr>
            <w:tcW w:w="3034" w:type="dxa"/>
            <w:noWrap/>
          </w:tcPr>
          <w:p>
            <w:pPr>
              <w:pStyle w:val="TableNAm"/>
            </w:pPr>
            <w:r>
              <w:t>Written notification of the fuel storage or refuelling facility was provided under the MSIR regulation 10.58(1)</w:t>
            </w:r>
          </w:p>
        </w:tc>
      </w:tr>
      <w:tr>
        <w:trPr>
          <w:cantSplit/>
        </w:trPr>
        <w:tc>
          <w:tcPr>
            <w:tcW w:w="3033" w:type="dxa"/>
            <w:noWrap/>
          </w:tcPr>
          <w:p>
            <w:pPr>
              <w:pStyle w:val="TableNAm"/>
            </w:pPr>
            <w:r>
              <w:t>Schedule 23</w:t>
            </w:r>
            <w:r>
              <w:rPr>
                <w:szCs w:val="24"/>
              </w:rPr>
              <w:t xml:space="preserve"> item 10</w:t>
            </w:r>
          </w:p>
        </w:tc>
        <w:tc>
          <w:tcPr>
            <w:tcW w:w="3034" w:type="dxa"/>
            <w:noWrap/>
          </w:tcPr>
          <w:p>
            <w:pPr>
              <w:pStyle w:val="TableNAm"/>
            </w:pPr>
            <w:r>
              <w:t>Application for approval for the use of the dredge was sought under the MSIR regulation 14.4(5)</w:t>
            </w:r>
          </w:p>
        </w:tc>
      </w:tr>
      <w:tr>
        <w:trPr>
          <w:cantSplit/>
        </w:trPr>
        <w:tc>
          <w:tcPr>
            <w:tcW w:w="3033" w:type="dxa"/>
            <w:noWrap/>
          </w:tcPr>
          <w:p>
            <w:pPr>
              <w:pStyle w:val="TableNAm"/>
            </w:pPr>
            <w:r>
              <w:lastRenderedPageBreak/>
              <w:t>Schedule 23</w:t>
            </w:r>
            <w:r>
              <w:rPr>
                <w:szCs w:val="24"/>
              </w:rPr>
              <w:t xml:space="preserve"> item 11</w:t>
            </w:r>
            <w:r>
              <w:t xml:space="preserve"> </w:t>
            </w:r>
          </w:p>
        </w:tc>
        <w:tc>
          <w:tcPr>
            <w:tcW w:w="3034" w:type="dxa"/>
            <w:noWrap/>
          </w:tcPr>
          <w:p>
            <w:pPr>
              <w:pStyle w:val="TableNAm"/>
            </w:pPr>
            <w:r>
              <w:t>Approval of the commencement of mining operations was sought under the MSIA section 42 in relation to the tailing storage facility</w:t>
            </w:r>
          </w:p>
        </w:tc>
      </w:tr>
      <w:tr>
        <w:trPr>
          <w:cantSplit/>
        </w:trPr>
        <w:tc>
          <w:tcPr>
            <w:tcW w:w="3033" w:type="dxa"/>
            <w:noWrap/>
          </w:tcPr>
          <w:p>
            <w:pPr>
              <w:pStyle w:val="TableNAm"/>
            </w:pPr>
            <w:r>
              <w:t>Schedule 23</w:t>
            </w:r>
            <w:r>
              <w:rPr>
                <w:szCs w:val="24"/>
              </w:rPr>
              <w:t xml:space="preserve"> item 12(a)</w:t>
            </w:r>
          </w:p>
        </w:tc>
        <w:tc>
          <w:tcPr>
            <w:tcW w:w="3034" w:type="dxa"/>
            <w:noWrap/>
          </w:tcPr>
          <w:p>
            <w:pPr>
              <w:pStyle w:val="TableNAm"/>
            </w:pPr>
            <w:r>
              <w:t>Notification of the use of the explosives in reactive ground was given under the MSIR regulation 8.55(2)</w:t>
            </w:r>
          </w:p>
        </w:tc>
      </w:tr>
      <w:tr>
        <w:trPr>
          <w:cantSplit/>
        </w:trPr>
        <w:tc>
          <w:tcPr>
            <w:tcW w:w="3033" w:type="dxa"/>
            <w:noWrap/>
          </w:tcPr>
          <w:p>
            <w:pPr>
              <w:pStyle w:val="TableNAm"/>
            </w:pPr>
            <w:r>
              <w:t>Schedule 23</w:t>
            </w:r>
            <w:r>
              <w:rPr>
                <w:szCs w:val="24"/>
              </w:rPr>
              <w:t xml:space="preserve"> item 12(b)</w:t>
            </w:r>
          </w:p>
        </w:tc>
        <w:tc>
          <w:tcPr>
            <w:tcW w:w="3034" w:type="dxa"/>
            <w:noWrap/>
          </w:tcPr>
          <w:p>
            <w:pPr>
              <w:pStyle w:val="TableNAm"/>
            </w:pPr>
            <w:r>
              <w:t>Notification of the use of the explosives in hot ground was given under the MSIR regulation 8.54(3)</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Approval of the commencement of mining operations was sought under the MSIA section 42 in relation to the mobile plant or production drilling plant</w:t>
            </w:r>
          </w:p>
        </w:tc>
      </w:tr>
      <w:tr>
        <w:trPr>
          <w:cantSplit/>
        </w:trPr>
        <w:tc>
          <w:tcPr>
            <w:tcW w:w="3033" w:type="dxa"/>
            <w:noWrap/>
          </w:tcPr>
          <w:p>
            <w:pPr>
              <w:pStyle w:val="TableNAm"/>
            </w:pPr>
            <w:r>
              <w:t>Schedule 23</w:t>
            </w:r>
            <w:r>
              <w:rPr>
                <w:szCs w:val="24"/>
              </w:rPr>
              <w:t xml:space="preserve"> item 14</w:t>
            </w:r>
          </w:p>
        </w:tc>
        <w:tc>
          <w:tcPr>
            <w:tcW w:w="3034" w:type="dxa"/>
            <w:noWrap/>
          </w:tcPr>
          <w:p>
            <w:pPr>
              <w:pStyle w:val="TableNAm"/>
            </w:pPr>
            <w:r>
              <w:t>Provision of complete details of the high voltage installation occurred under the MSIR regulation 5.18(2)(a)</w:t>
            </w:r>
          </w:p>
        </w:tc>
      </w:tr>
    </w:tbl>
    <w:p>
      <w:pPr>
        <w:pStyle w:val="Heading5"/>
      </w:pPr>
      <w:bookmarkStart w:id="1207" w:name="_Toc200720711"/>
      <w:r>
        <w:rPr>
          <w:rStyle w:val="CharSectno"/>
        </w:rPr>
        <w:lastRenderedPageBreak/>
        <w:t>738</w:t>
      </w:r>
      <w:r>
        <w:t>.</w:t>
      </w:r>
      <w:r>
        <w:tab/>
        <w:t>References to GHS</w:t>
      </w:r>
      <w:bookmarkEnd w:id="1207"/>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1208" w:name="_Toc200720712"/>
      <w:r>
        <w:rPr>
          <w:rStyle w:val="CharSectno"/>
        </w:rPr>
        <w:t>739</w:t>
      </w:r>
      <w:r>
        <w:t>.</w:t>
      </w:r>
      <w:r>
        <w:tab/>
        <w:t>Principal employers under MSIA taken to be mine operators</w:t>
      </w:r>
      <w:bookmarkEnd w:id="1208"/>
      <w:r>
        <w:t xml:space="preserve"> </w:t>
      </w:r>
    </w:p>
    <w:p>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pPr>
        <w:pStyle w:val="Indenta"/>
      </w:pPr>
      <w:r>
        <w:tab/>
        <w:t>(a)</w:t>
      </w:r>
      <w:r>
        <w:tab/>
        <w:t>a notice is given under subregulation (2);</w:t>
      </w:r>
    </w:p>
    <w:p>
      <w:pPr>
        <w:pStyle w:val="Indenta"/>
      </w:pPr>
      <w:r>
        <w:tab/>
        <w:t>(b)</w:t>
      </w:r>
      <w:r>
        <w:tab/>
        <w:t>the period of 6 months beginning on commencement day.</w:t>
      </w:r>
    </w:p>
    <w:p>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rPr>
          <w:sz w:val="20"/>
        </w:rPr>
      </w:pPr>
      <w:r>
        <w:lastRenderedPageBreak/>
        <w:tab/>
        <w:t>(3)</w:t>
      </w:r>
      <w:r>
        <w:tab/>
        <w:t>The mine operator of a mine commits an offence if the person has not complied with subregulation (2) by the end of the period of 6 months beginning on commencement day.</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Heading5"/>
      </w:pPr>
      <w:bookmarkStart w:id="1209" w:name="_Toc200720713"/>
      <w:r>
        <w:rPr>
          <w:rStyle w:val="CharSectno"/>
        </w:rPr>
        <w:t>740</w:t>
      </w:r>
      <w:r>
        <w:t>.</w:t>
      </w:r>
      <w:r>
        <w:tab/>
        <w:t>Site senior executives</w:t>
      </w:r>
      <w:bookmarkEnd w:id="1209"/>
      <w:r>
        <w:t xml:space="preserve"> </w:t>
      </w:r>
    </w:p>
    <w:p>
      <w:pPr>
        <w:pStyle w:val="Subsection"/>
      </w:pPr>
      <w:r>
        <w:tab/>
        <w:t>(1)</w:t>
      </w:r>
      <w:r>
        <w:tab/>
        <w:t>If, immediately before commencement day, a person was the registered manager of a mine, the person is, on commencement day, taken to be appointed as the site senior executive of the mine.</w:t>
      </w:r>
    </w:p>
    <w:p>
      <w:pPr>
        <w:pStyle w:val="Subsection"/>
      </w:pPr>
      <w:r>
        <w:tab/>
        <w:t>(2)</w:t>
      </w:r>
      <w:r>
        <w:tab/>
        <w:t>During the period of 3 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pPr>
        <w:pStyle w:val="Indenta"/>
      </w:pPr>
      <w:r>
        <w:tab/>
        <w:t>(a)</w:t>
      </w:r>
      <w:r>
        <w:tab/>
        <w:t>the day on which the person becomes an appropriate person for the position under regulation 675ZI(1);</w:t>
      </w:r>
    </w:p>
    <w:p>
      <w:pPr>
        <w:pStyle w:val="Indenta"/>
      </w:pPr>
      <w:r>
        <w:tab/>
        <w:t>(b)</w:t>
      </w:r>
      <w:r>
        <w:tab/>
        <w:t>at the end of the period of 3 years beginning on commencement day.</w:t>
      </w:r>
    </w:p>
    <w:p>
      <w:pPr>
        <w:pStyle w:val="PermNoteHeading"/>
      </w:pPr>
      <w:r>
        <w:tab/>
        <w:t>Note for this regulation:</w:t>
      </w:r>
    </w:p>
    <w:p>
      <w:pPr>
        <w:pStyle w:val="PermNoteText"/>
      </w:pPr>
      <w:r>
        <w:tab/>
      </w:r>
      <w:r>
        <w:tab/>
        <w:t>Under regulation 675ZI(3) a person ceases to be the site senior executive of a mine if the person ceases to be an appropriate person for the position.</w:t>
      </w:r>
    </w:p>
    <w:p>
      <w:pPr>
        <w:pStyle w:val="Heading5"/>
      </w:pPr>
      <w:bookmarkStart w:id="1210" w:name="_Toc200720714"/>
      <w:r>
        <w:rPr>
          <w:rStyle w:val="CharSectno"/>
        </w:rPr>
        <w:lastRenderedPageBreak/>
        <w:t>741</w:t>
      </w:r>
      <w:r>
        <w:t>.</w:t>
      </w:r>
      <w:r>
        <w:tab/>
        <w:t>Exploration managers</w:t>
      </w:r>
      <w:bookmarkEnd w:id="1210"/>
      <w:r>
        <w:t xml:space="preserve"> </w:t>
      </w:r>
    </w:p>
    <w:p>
      <w:pPr>
        <w:pStyle w:val="Subsection"/>
        <w:keepNext/>
      </w:pPr>
      <w:r>
        <w:tab/>
        <w:t>(1)</w:t>
      </w:r>
      <w:r>
        <w:tab/>
        <w:t xml:space="preserve">In this regulation — </w:t>
      </w:r>
    </w:p>
    <w:p>
      <w:pPr>
        <w:pStyle w:val="Defstart"/>
      </w:pPr>
      <w:r>
        <w:tab/>
      </w:r>
      <w:r>
        <w:rPr>
          <w:rStyle w:val="CharDefText"/>
        </w:rPr>
        <w:t>exploration operations</w:t>
      </w:r>
      <w:r>
        <w:t xml:space="preserve"> has the meaning given in the MSIA section 4(1).</w:t>
      </w:r>
    </w:p>
    <w:p>
      <w:pPr>
        <w:pStyle w:val="Subsection"/>
      </w:pPr>
      <w:r>
        <w:tab/>
        <w:t>(2)</w:t>
      </w:r>
      <w:r>
        <w:tab/>
        <w:t xml:space="preserve">This regulation applies to a mine where — </w:t>
      </w:r>
    </w:p>
    <w:p>
      <w:pPr>
        <w:pStyle w:val="Indenta"/>
      </w:pPr>
      <w:r>
        <w:tab/>
        <w:t>(a)</w:t>
      </w:r>
      <w:r>
        <w:tab/>
        <w:t>exploration operations are carried out at the mine; and</w:t>
      </w:r>
    </w:p>
    <w:p>
      <w:pPr>
        <w:pStyle w:val="Indenta"/>
      </w:pPr>
      <w:r>
        <w:tab/>
        <w:t>(b)</w:t>
      </w:r>
      <w:r>
        <w:tab/>
        <w:t>a registered manager was not appointed for the mine.</w:t>
      </w:r>
    </w:p>
    <w:p>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pPr>
        <w:pStyle w:val="Subsection"/>
      </w:pPr>
      <w:r>
        <w:tab/>
        <w:t>(4)</w:t>
      </w:r>
      <w:r>
        <w:tab/>
        <w:t xml:space="preserve">If there is more than 1 exploration manager for the mine under the MSIA section 46A —  </w:t>
      </w:r>
    </w:p>
    <w:p>
      <w:pPr>
        <w:pStyle w:val="Indenta"/>
      </w:pPr>
      <w:r>
        <w:tab/>
        <w:t>(a)</w:t>
      </w:r>
      <w:r>
        <w:tab/>
        <w:t xml:space="preserve">the person appointed earliest is, on commencement day, taken to be appointed by the mine operator of the mine to be the exploration manager of the mine under regulation 675ZM; and </w:t>
      </w:r>
    </w:p>
    <w:p>
      <w:pPr>
        <w:pStyle w:val="Indenta"/>
      </w:pPr>
      <w:r>
        <w:tab/>
        <w:t>(b)</w:t>
      </w:r>
      <w:r>
        <w:tab/>
        <w:t>the other persons appointed are, on commencement day, taken to be appointed as alternates for the exploration manager of the mine under regulation 675ZR.</w:t>
      </w:r>
    </w:p>
    <w:p>
      <w:pPr>
        <w:pStyle w:val="Subsection"/>
      </w:pPr>
      <w:r>
        <w:tab/>
        <w:t>(5)</w:t>
      </w:r>
      <w:r>
        <w:tab/>
        <w:t>During the period of 3 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w:t>
      </w:r>
      <w:r>
        <w:lastRenderedPageBreak/>
        <w:t xml:space="preserve">appropriate person for the position until the earlier of the following — </w:t>
      </w:r>
    </w:p>
    <w:p>
      <w:pPr>
        <w:pStyle w:val="Indenta"/>
      </w:pPr>
      <w:r>
        <w:tab/>
        <w:t>(a)</w:t>
      </w:r>
      <w:r>
        <w:tab/>
        <w:t xml:space="preserve">the day on which the person becomes an appropriate person for the position under regulation 675ZM(1); </w:t>
      </w:r>
    </w:p>
    <w:p>
      <w:pPr>
        <w:pStyle w:val="Indenta"/>
      </w:pPr>
      <w:r>
        <w:tab/>
        <w:t>(b)</w:t>
      </w:r>
      <w:r>
        <w:tab/>
        <w:t>the day that is 3 years after commencement day.</w:t>
      </w:r>
    </w:p>
    <w:p>
      <w:pPr>
        <w:pStyle w:val="Subsection"/>
      </w:pPr>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pPr>
        <w:pStyle w:val="Heading5"/>
      </w:pPr>
      <w:bookmarkStart w:id="1211" w:name="_Toc200720715"/>
      <w:r>
        <w:rPr>
          <w:rStyle w:val="CharSectno"/>
        </w:rPr>
        <w:t>742</w:t>
      </w:r>
      <w:r>
        <w:t>.</w:t>
      </w:r>
      <w:r>
        <w:tab/>
        <w:t>Persons appointed to positions under MSIA taken to be appointed to equivalent Schedule 26 positions</w:t>
      </w:r>
      <w:bookmarkEnd w:id="1211"/>
      <w:r>
        <w:t xml:space="preserve"> </w:t>
      </w:r>
    </w:p>
    <w:p>
      <w:pPr>
        <w:pStyle w:val="Subsection"/>
      </w:pPr>
      <w:r>
        <w:tab/>
        <w:t>(1)</w:t>
      </w:r>
      <w:r>
        <w:tab/>
        <w:t xml:space="preserve">In this regulation — </w:t>
      </w:r>
    </w:p>
    <w:p>
      <w:pPr>
        <w:pStyle w:val="Defstart"/>
      </w:pPr>
      <w:r>
        <w:tab/>
      </w:r>
      <w:r>
        <w:rPr>
          <w:rStyle w:val="CharDefText"/>
        </w:rPr>
        <w:t>equivalent position</w:t>
      </w:r>
      <w:r>
        <w:t>, in relation to an MSIA position, means the Schedule 26 position listed opposite the MSIA position in column 2 of the Table;</w:t>
      </w:r>
    </w:p>
    <w:p>
      <w:pPr>
        <w:pStyle w:val="Defstart"/>
      </w:pPr>
      <w:r>
        <w:tab/>
      </w:r>
      <w:r>
        <w:rPr>
          <w:rStyle w:val="CharDefText"/>
        </w:rPr>
        <w:t>key equivalent position</w:t>
      </w:r>
      <w:r>
        <w:t xml:space="preserve"> means an equivalent position that is a key statutory position;</w:t>
      </w:r>
    </w:p>
    <w:p>
      <w:pPr>
        <w:pStyle w:val="Defstart"/>
      </w:pPr>
      <w:r>
        <w:tab/>
      </w:r>
      <w:r>
        <w:rPr>
          <w:rStyle w:val="CharDefText"/>
        </w:rPr>
        <w:t>MSIA position</w:t>
      </w:r>
      <w:r>
        <w:t xml:space="preserve"> means a position under the MSIA that is described in column 1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highlight w:val="yellow"/>
              </w:rPr>
            </w:pPr>
            <w:r>
              <w:rPr>
                <w:b/>
                <w:bCs/>
              </w:rPr>
              <w:t>MSIA position</w:t>
            </w:r>
          </w:p>
        </w:tc>
        <w:tc>
          <w:tcPr>
            <w:tcW w:w="3034" w:type="dxa"/>
            <w:noWrap/>
          </w:tcPr>
          <w:p>
            <w:pPr>
              <w:pStyle w:val="TableNAm"/>
              <w:jc w:val="center"/>
              <w:rPr>
                <w:b/>
                <w:bCs/>
              </w:rPr>
            </w:pPr>
            <w:r>
              <w:rPr>
                <w:b/>
                <w:bCs/>
              </w:rPr>
              <w:t>Column 2</w:t>
            </w:r>
          </w:p>
          <w:p>
            <w:pPr>
              <w:pStyle w:val="TableNAm"/>
              <w:jc w:val="center"/>
              <w:rPr>
                <w:b/>
                <w:bCs/>
              </w:rPr>
            </w:pPr>
            <w:r>
              <w:rPr>
                <w:b/>
                <w:bCs/>
              </w:rPr>
              <w:t xml:space="preserve">Equivalent position </w:t>
            </w:r>
          </w:p>
        </w:tc>
      </w:tr>
      <w:tr>
        <w:tc>
          <w:tcPr>
            <w:tcW w:w="3033" w:type="dxa"/>
            <w:noWrap/>
          </w:tcPr>
          <w:p>
            <w:pPr>
              <w:pStyle w:val="TableNAm"/>
            </w:pPr>
            <w:r>
              <w:t>Underground manager at an underground coal mine</w:t>
            </w:r>
          </w:p>
        </w:tc>
        <w:tc>
          <w:tcPr>
            <w:tcW w:w="3034" w:type="dxa"/>
            <w:noWrap/>
          </w:tcPr>
          <w:p>
            <w:pPr>
              <w:pStyle w:val="TableNAm"/>
            </w:pPr>
            <w:r>
              <w:t>Underground manager (coal)</w:t>
            </w:r>
          </w:p>
        </w:tc>
      </w:tr>
      <w:tr>
        <w:tc>
          <w:tcPr>
            <w:tcW w:w="3033" w:type="dxa"/>
            <w:noWrap/>
          </w:tcPr>
          <w:p>
            <w:pPr>
              <w:pStyle w:val="TableNAm"/>
            </w:pPr>
            <w:r>
              <w:t>Underground manager at an underground non</w:t>
            </w:r>
            <w:r>
              <w:noBreakHyphen/>
              <w:t>coal mine</w:t>
            </w:r>
          </w:p>
        </w:tc>
        <w:tc>
          <w:tcPr>
            <w:tcW w:w="3034" w:type="dxa"/>
            <w:noWrap/>
          </w:tcPr>
          <w:p>
            <w:pPr>
              <w:pStyle w:val="TableNAm"/>
            </w:pPr>
            <w:r>
              <w:t>Underground manager (non</w:t>
            </w:r>
            <w:r>
              <w:noBreakHyphen/>
              <w:t>coal)</w:t>
            </w:r>
          </w:p>
        </w:tc>
      </w:tr>
      <w:tr>
        <w:tc>
          <w:tcPr>
            <w:tcW w:w="3033" w:type="dxa"/>
            <w:noWrap/>
          </w:tcPr>
          <w:p>
            <w:pPr>
              <w:pStyle w:val="TableNAm"/>
            </w:pPr>
            <w:r>
              <w:lastRenderedPageBreak/>
              <w:t>Supervisor at an underground coal mine</w:t>
            </w:r>
          </w:p>
        </w:tc>
        <w:tc>
          <w:tcPr>
            <w:tcW w:w="3034" w:type="dxa"/>
            <w:noWrap/>
          </w:tcPr>
          <w:p>
            <w:pPr>
              <w:pStyle w:val="TableNAm"/>
            </w:pPr>
            <w:r>
              <w:t>Underground supervisor —coal</w:t>
            </w:r>
          </w:p>
        </w:tc>
      </w:tr>
      <w:tr>
        <w:tc>
          <w:tcPr>
            <w:tcW w:w="3033" w:type="dxa"/>
            <w:noWrap/>
          </w:tcPr>
          <w:p>
            <w:pPr>
              <w:pStyle w:val="TableNAm"/>
            </w:pPr>
            <w:r>
              <w:t>Supervisor at an underground non</w:t>
            </w:r>
            <w:r>
              <w:noBreakHyphen/>
              <w:t>coal mine</w:t>
            </w:r>
          </w:p>
        </w:tc>
        <w:tc>
          <w:tcPr>
            <w:tcW w:w="3034" w:type="dxa"/>
            <w:noWrap/>
          </w:tcPr>
          <w:p>
            <w:pPr>
              <w:pStyle w:val="TableNAm"/>
            </w:pPr>
            <w:r>
              <w:t>Underground supervisor (non</w:t>
            </w:r>
            <w:r>
              <w:noBreakHyphen/>
              <w:t xml:space="preserve">coal) </w:t>
            </w:r>
          </w:p>
        </w:tc>
      </w:tr>
      <w:tr>
        <w:tc>
          <w:tcPr>
            <w:tcW w:w="3033" w:type="dxa"/>
            <w:noWrap/>
          </w:tcPr>
          <w:p>
            <w:pPr>
              <w:pStyle w:val="TableNAm"/>
            </w:pPr>
            <w:r>
              <w:t>Quarry manager</w:t>
            </w:r>
          </w:p>
        </w:tc>
        <w:tc>
          <w:tcPr>
            <w:tcW w:w="3034" w:type="dxa"/>
            <w:noWrap/>
          </w:tcPr>
          <w:p>
            <w:pPr>
              <w:pStyle w:val="TableNAm"/>
            </w:pPr>
            <w:r>
              <w:t>Quarry manager</w:t>
            </w:r>
          </w:p>
        </w:tc>
      </w:tr>
      <w:tr>
        <w:tc>
          <w:tcPr>
            <w:tcW w:w="3033" w:type="dxa"/>
            <w:noWrap/>
          </w:tcPr>
          <w:p>
            <w:pPr>
              <w:pStyle w:val="TableNAm"/>
            </w:pPr>
            <w:r>
              <w:t>A person who holds an authorised mine surveyor’s certificate and who works as a surveyor at an underground mine</w:t>
            </w:r>
          </w:p>
        </w:tc>
        <w:tc>
          <w:tcPr>
            <w:tcW w:w="3034" w:type="dxa"/>
            <w:noWrap/>
          </w:tcPr>
          <w:p>
            <w:pPr>
              <w:pStyle w:val="TableNAm"/>
            </w:pPr>
            <w:r>
              <w:t>Authorised mine surveyor (underground)</w:t>
            </w:r>
          </w:p>
        </w:tc>
      </w:tr>
      <w:tr>
        <w:tc>
          <w:tcPr>
            <w:tcW w:w="3033" w:type="dxa"/>
            <w:noWrap/>
          </w:tcPr>
          <w:p>
            <w:pPr>
              <w:pStyle w:val="TableNAm"/>
              <w:rPr>
                <w:highlight w:val="yellow"/>
              </w:rPr>
            </w:pPr>
            <w:r>
              <w:t>A person who holds an authorised mine surveyor’s certificate and who works as a surveyor at a quarry</w:t>
            </w:r>
          </w:p>
        </w:tc>
        <w:tc>
          <w:tcPr>
            <w:tcW w:w="3034" w:type="dxa"/>
            <w:noWrap/>
          </w:tcPr>
          <w:p>
            <w:pPr>
              <w:pStyle w:val="TableNAm"/>
            </w:pPr>
            <w:r>
              <w:t>Authorised mine surveyor (quarry operation)</w:t>
            </w:r>
          </w:p>
        </w:tc>
      </w:tr>
      <w:tr>
        <w:tc>
          <w:tcPr>
            <w:tcW w:w="3033" w:type="dxa"/>
            <w:noWrap/>
          </w:tcPr>
          <w:p>
            <w:pPr>
              <w:pStyle w:val="TableNAm"/>
              <w:rPr>
                <w:highlight w:val="yellow"/>
              </w:rPr>
            </w:pPr>
            <w:r>
              <w:t>Ventilation officer who works at an underground mine</w:t>
            </w:r>
          </w:p>
        </w:tc>
        <w:tc>
          <w:tcPr>
            <w:tcW w:w="3034" w:type="dxa"/>
            <w:noWrap/>
          </w:tcPr>
          <w:p>
            <w:pPr>
              <w:pStyle w:val="TableNAm"/>
            </w:pPr>
            <w:r>
              <w:t>Underground ventilation officer</w:t>
            </w:r>
          </w:p>
        </w:tc>
      </w:tr>
      <w:tr>
        <w:tc>
          <w:tcPr>
            <w:tcW w:w="3033" w:type="dxa"/>
            <w:noWrap/>
          </w:tcPr>
          <w:p>
            <w:pPr>
              <w:pStyle w:val="TableNAm"/>
              <w:rPr>
                <w:highlight w:val="yellow"/>
              </w:rPr>
            </w:pPr>
            <w:r>
              <w:t xml:space="preserve">Ventilation officer who works at a surface mining operation </w:t>
            </w:r>
          </w:p>
        </w:tc>
        <w:tc>
          <w:tcPr>
            <w:tcW w:w="3034" w:type="dxa"/>
            <w:noWrap/>
          </w:tcPr>
          <w:p>
            <w:pPr>
              <w:pStyle w:val="TableNAm"/>
            </w:pPr>
            <w:r>
              <w:t>Mine air quality officer</w:t>
            </w:r>
          </w:p>
        </w:tc>
      </w:tr>
      <w:tr>
        <w:tc>
          <w:tcPr>
            <w:tcW w:w="3033" w:type="dxa"/>
            <w:noWrap/>
          </w:tcPr>
          <w:p>
            <w:pPr>
              <w:pStyle w:val="TableNAm"/>
              <w:rPr>
                <w:highlight w:val="yellow"/>
              </w:rPr>
            </w:pPr>
            <w:r>
              <w:t>Noise officer</w:t>
            </w:r>
          </w:p>
        </w:tc>
        <w:tc>
          <w:tcPr>
            <w:tcW w:w="3034" w:type="dxa"/>
            <w:noWrap/>
          </w:tcPr>
          <w:p>
            <w:pPr>
              <w:pStyle w:val="TableNAm"/>
            </w:pPr>
            <w:r>
              <w:t>Noise officer</w:t>
            </w:r>
          </w:p>
        </w:tc>
      </w:tr>
      <w:tr>
        <w:tc>
          <w:tcPr>
            <w:tcW w:w="3033" w:type="dxa"/>
            <w:noWrap/>
          </w:tcPr>
          <w:p>
            <w:pPr>
              <w:pStyle w:val="TableNAm"/>
              <w:rPr>
                <w:highlight w:val="yellow"/>
              </w:rPr>
            </w:pPr>
            <w:r>
              <w:t>Radiation safety officer</w:t>
            </w:r>
          </w:p>
        </w:tc>
        <w:tc>
          <w:tcPr>
            <w:tcW w:w="3034" w:type="dxa"/>
            <w:noWrap/>
          </w:tcPr>
          <w:p>
            <w:pPr>
              <w:pStyle w:val="TableNAm"/>
            </w:pPr>
            <w:r>
              <w:t>Radiation safety officer</w:t>
            </w:r>
          </w:p>
        </w:tc>
      </w:tr>
      <w:tr>
        <w:tc>
          <w:tcPr>
            <w:tcW w:w="3033" w:type="dxa"/>
            <w:noWrap/>
          </w:tcPr>
          <w:p>
            <w:pPr>
              <w:pStyle w:val="TableNAm"/>
              <w:rPr>
                <w:highlight w:val="yellow"/>
              </w:rPr>
            </w:pPr>
            <w:r>
              <w:t>Electrical supervisor</w:t>
            </w:r>
          </w:p>
        </w:tc>
        <w:tc>
          <w:tcPr>
            <w:tcW w:w="3034" w:type="dxa"/>
            <w:noWrap/>
          </w:tcPr>
          <w:p>
            <w:pPr>
              <w:pStyle w:val="TableNAm"/>
            </w:pPr>
            <w:r>
              <w:t>Electrical supervisor</w:t>
            </w:r>
          </w:p>
        </w:tc>
      </w:tr>
      <w:tr>
        <w:tc>
          <w:tcPr>
            <w:tcW w:w="3033" w:type="dxa"/>
            <w:noWrap/>
          </w:tcPr>
          <w:p>
            <w:pPr>
              <w:pStyle w:val="TableNAm"/>
              <w:rPr>
                <w:highlight w:val="yellow"/>
              </w:rPr>
            </w:pPr>
            <w:r>
              <w:t>High voltage operator</w:t>
            </w:r>
          </w:p>
        </w:tc>
        <w:tc>
          <w:tcPr>
            <w:tcW w:w="3034" w:type="dxa"/>
            <w:noWrap/>
          </w:tcPr>
          <w:p>
            <w:pPr>
              <w:pStyle w:val="TableNAm"/>
            </w:pPr>
            <w:r>
              <w:t>High voltage operator</w:t>
            </w:r>
          </w:p>
        </w:tc>
      </w:tr>
    </w:tbl>
    <w:p>
      <w:pPr>
        <w:pStyle w:val="Subsection"/>
      </w:pPr>
      <w:r>
        <w:lastRenderedPageBreak/>
        <w:tab/>
        <w:t>(2)</w:t>
      </w:r>
      <w:r>
        <w:tab/>
        <w:t>If, immediately before commencement day, a person held an MSIA position at a mine, the person is, on commencement day, taken to be appointed under these regulations to the equivalent position to the MSIA position at the mine.</w:t>
      </w:r>
    </w:p>
    <w:p>
      <w:pPr>
        <w:pStyle w:val="Subsection"/>
      </w:pPr>
      <w:r>
        <w:tab/>
        <w:t>(3)</w:t>
      </w:r>
      <w:r>
        <w:tab/>
        <w:t>During the period of 3 years beginning on commencement day, a person who is eligible to be appointed to an MSIA position may be appointed to the equivalent position to the MSIA position at a mine, whether or not the person is an appropriate person for the equivalent position.</w:t>
      </w:r>
    </w:p>
    <w:p>
      <w:pPr>
        <w:pStyle w:val="Subsection"/>
      </w:pPr>
      <w:r>
        <w:tab/>
        <w:t>(4)</w:t>
      </w:r>
      <w:r>
        <w:tab/>
        <w:t>During the period of 3 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pPr>
        <w:pStyle w:val="Indenta"/>
      </w:pPr>
      <w:r>
        <w:tab/>
        <w:t>(a)</w:t>
      </w:r>
      <w:r>
        <w:tab/>
        <w:t>the day on which the person becomes an appropriate person for the position under these regulations;</w:t>
      </w:r>
    </w:p>
    <w:p>
      <w:pPr>
        <w:pStyle w:val="Indenta"/>
      </w:pPr>
      <w:r>
        <w:tab/>
        <w:t>(b)</w:t>
      </w:r>
      <w:r>
        <w:tab/>
        <w:t>the day that is 3 years after commencement day.</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1212" w:name="_Toc200720716"/>
      <w:r>
        <w:rPr>
          <w:rStyle w:val="CharSectno"/>
        </w:rPr>
        <w:t>743</w:t>
      </w:r>
      <w:r>
        <w:t>.</w:t>
      </w:r>
      <w:r>
        <w:tab/>
        <w:t>Statutory supervisors</w:t>
      </w:r>
      <w:bookmarkEnd w:id="1212"/>
      <w:r>
        <w:t xml:space="preserve"> </w:t>
      </w:r>
    </w:p>
    <w:p>
      <w:pPr>
        <w:pStyle w:val="Subsection"/>
      </w:pPr>
      <w:r>
        <w:tab/>
        <w:t>(1)</w:t>
      </w:r>
      <w:r>
        <w:tab/>
        <w:t xml:space="preserve">Regulations 675ZB(1) and 675ZC(2) do not apply during the period of 3 months beginning on commencement day in relation to the appointment of statutory supervisors for places at a mine. </w:t>
      </w:r>
    </w:p>
    <w:p>
      <w:pPr>
        <w:pStyle w:val="Subsection"/>
      </w:pPr>
      <w:r>
        <w:lastRenderedPageBreak/>
        <w:tab/>
        <w:t>(2)</w:t>
      </w:r>
      <w:r>
        <w:tab/>
        <w:t xml:space="preserve">A person is taken to be an appropriate person as a statutory supervisor for the period of 3 years beginning on commencement day if the person is a competent person to carry out the functions of the position. </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1213" w:name="_Toc200720717"/>
      <w:r>
        <w:rPr>
          <w:rStyle w:val="CharSectno"/>
        </w:rPr>
        <w:t>744</w:t>
      </w:r>
      <w:r>
        <w:t>.</w:t>
      </w:r>
      <w:r>
        <w:tab/>
        <w:t>Agreements that underground managers need not be appointed</w:t>
      </w:r>
      <w:bookmarkEnd w:id="1213"/>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agreed in writing that an appointment of an underground manager need not be made in relation to mining operations at a mine under the MSIA section 35(4); and</w:t>
      </w:r>
    </w:p>
    <w:p>
      <w:pPr>
        <w:pStyle w:val="Indenta"/>
      </w:pPr>
      <w:r>
        <w:tab/>
        <w:t>(b)</w:t>
      </w:r>
      <w:r>
        <w:tab/>
        <w:t>the agreement is in force immediately before commencement day.</w:t>
      </w:r>
    </w:p>
    <w:p>
      <w:pPr>
        <w:pStyle w:val="Subsection"/>
      </w:pPr>
      <w:r>
        <w:tab/>
        <w:t>(3)</w:t>
      </w:r>
      <w:r>
        <w:tab/>
        <w:t xml:space="preserve">During the operative period, a mine operator of the mine does not commit an offence against regulation 675ZB(1) if, in accordance with the agreement — </w:t>
      </w:r>
    </w:p>
    <w:p>
      <w:pPr>
        <w:pStyle w:val="Indenta"/>
      </w:pPr>
      <w:r>
        <w:tab/>
        <w:t>(a)</w:t>
      </w:r>
      <w:r>
        <w:tab/>
        <w:t>if the mine is an underground coal mine — a person who is not an underground manager (coal) performs the functions of the position at the mine; or</w:t>
      </w:r>
    </w:p>
    <w:p>
      <w:pPr>
        <w:pStyle w:val="Indenta"/>
      </w:pPr>
      <w:r>
        <w:lastRenderedPageBreak/>
        <w:tab/>
        <w:t>(b)</w:t>
      </w:r>
      <w:r>
        <w:tab/>
        <w:t>if the mine is an underground non-coal mine — a person who is not an underground manager (non-coal) performs the functions of the position at the mine.</w:t>
      </w:r>
    </w:p>
    <w:p>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pPr>
        <w:pStyle w:val="Indenta"/>
      </w:pPr>
      <w:r>
        <w:tab/>
        <w:t>(a)</w:t>
      </w:r>
      <w:r>
        <w:tab/>
        <w:t>if the mine is an underground coal mine — an underground manager (coal); or</w:t>
      </w:r>
    </w:p>
    <w:p>
      <w:pPr>
        <w:pStyle w:val="Indenta"/>
      </w:pPr>
      <w:r>
        <w:tab/>
        <w:t>(b)</w:t>
      </w:r>
      <w:r>
        <w:tab/>
        <w:t>if the mine is an underground non-coal mine — an underground manager (non-coal).</w:t>
      </w:r>
    </w:p>
    <w:p>
      <w:pPr>
        <w:pStyle w:val="Heading5"/>
      </w:pPr>
      <w:bookmarkStart w:id="1214" w:name="_Toc200720718"/>
      <w:r>
        <w:rPr>
          <w:rStyle w:val="CharSectno"/>
        </w:rPr>
        <w:t>745</w:t>
      </w:r>
      <w:r>
        <w:t>.</w:t>
      </w:r>
      <w:r>
        <w:tab/>
        <w:t>Agreements that quarry managers need not be appointed</w:t>
      </w:r>
      <w:bookmarkEnd w:id="1214"/>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 xml:space="preserve">either — </w:t>
      </w:r>
    </w:p>
    <w:p>
      <w:pPr>
        <w:pStyle w:val="Indenti"/>
      </w:pPr>
      <w:r>
        <w:tab/>
        <w:t>(i)</w:t>
      </w:r>
      <w:r>
        <w:tab/>
        <w:t xml:space="preserve">a district inspector agreed that an appointment of a quarry manager need not be made at a mine under the MSIA section 37(4)(a); or </w:t>
      </w:r>
    </w:p>
    <w:p>
      <w:pPr>
        <w:pStyle w:val="Indenti"/>
      </w:pPr>
      <w:r>
        <w:tab/>
        <w:t>(ii)</w:t>
      </w:r>
      <w:r>
        <w:tab/>
        <w:t xml:space="preserve">the State mining engineer agreed in writing that an appointment of a quarry manager need not be made in relation to quarry operations at a mine under the MSIA section 37(4)(b); </w:t>
      </w:r>
    </w:p>
    <w:p>
      <w:pPr>
        <w:pStyle w:val="Indenta"/>
      </w:pPr>
      <w:r>
        <w:tab/>
      </w:r>
      <w:r>
        <w:tab/>
        <w:t>and</w:t>
      </w:r>
    </w:p>
    <w:p>
      <w:pPr>
        <w:pStyle w:val="Indenta"/>
      </w:pPr>
      <w:r>
        <w:lastRenderedPageBreak/>
        <w:tab/>
        <w:t>(b)</w:t>
      </w:r>
      <w:r>
        <w:tab/>
        <w:t>the agreement is in force immediately before commencement day; and</w:t>
      </w:r>
    </w:p>
    <w:p>
      <w:pPr>
        <w:pStyle w:val="Indenta"/>
      </w:pPr>
      <w:r>
        <w:tab/>
        <w:t>(c)</w:t>
      </w:r>
      <w:r>
        <w:tab/>
        <w:t>the mine is a mine where a quarry manager must be appointed under Schedule 26 clause 14(1).</w:t>
      </w:r>
    </w:p>
    <w:p>
      <w:pPr>
        <w:pStyle w:val="Subsection"/>
      </w:pPr>
      <w:r>
        <w:tab/>
        <w:t>(3)</w:t>
      </w:r>
      <w:r>
        <w:tab/>
        <w:t xml:space="preserve">During the operative period, the site senior executive of a mine where a quarry manager must be appointed under Schedule 26 clause 14(1) has the functions of the quarry manager for the mine. </w:t>
      </w:r>
    </w:p>
    <w:p>
      <w:pPr>
        <w:pStyle w:val="Heading5"/>
      </w:pPr>
      <w:bookmarkStart w:id="1215" w:name="_Toc200720719"/>
      <w:r>
        <w:rPr>
          <w:rStyle w:val="CharSectno"/>
        </w:rPr>
        <w:t>746</w:t>
      </w:r>
      <w:r>
        <w:t>.</w:t>
      </w:r>
      <w:r>
        <w:tab/>
        <w:t>Written directives exempting mines from requirement to appoint ventilation officers</w:t>
      </w:r>
      <w:bookmarkEnd w:id="1215"/>
      <w:r>
        <w:t xml:space="preserve"> </w:t>
      </w:r>
    </w:p>
    <w:p>
      <w:pPr>
        <w:pStyle w:val="Subsection"/>
      </w:pPr>
      <w:r>
        <w:tab/>
        <w:t>(1)</w:t>
      </w:r>
      <w:r>
        <w:tab/>
        <w:t xml:space="preserve">In this regulation — </w:t>
      </w:r>
    </w:p>
    <w:p>
      <w:pPr>
        <w:pStyle w:val="Defstart"/>
      </w:pPr>
      <w:r>
        <w:tab/>
      </w:r>
      <w:r>
        <w:rPr>
          <w:rStyle w:val="CharDefText"/>
        </w:rPr>
        <w:t>operative period</w:t>
      </w:r>
      <w:r>
        <w:t xml:space="preserve"> means the period beginning on commencement day and ending on the earlier of the following — </w:t>
      </w:r>
    </w:p>
    <w:p>
      <w:pPr>
        <w:pStyle w:val="Defpara"/>
      </w:pPr>
      <w:r>
        <w:tab/>
        <w:t>(a)</w:t>
      </w:r>
      <w:r>
        <w:tab/>
        <w:t>if the directive made in relation to a mine under the MSIR regulation 9.3(4)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issued a written directive exempting, under the MSIR regulation 9.3(4), a mine from the requirement to appoint a ventilation officer under the MSIR regulation 9.3; and</w:t>
      </w:r>
    </w:p>
    <w:p>
      <w:pPr>
        <w:pStyle w:val="Indenta"/>
      </w:pPr>
      <w:r>
        <w:tab/>
        <w:t>(b)</w:t>
      </w:r>
      <w:r>
        <w:tab/>
        <w:t xml:space="preserve">the exemption is in force immediately before commencement day. </w:t>
      </w:r>
    </w:p>
    <w:p>
      <w:pPr>
        <w:pStyle w:val="Subsection"/>
      </w:pPr>
      <w:r>
        <w:tab/>
        <w:t>(3)</w:t>
      </w:r>
      <w:r>
        <w:tab/>
        <w:t xml:space="preserve">During the operative period, the mine operator of the mine does not commit an offence against regulation 675ZB(1) if, in accordance with the directive — </w:t>
      </w:r>
    </w:p>
    <w:p>
      <w:pPr>
        <w:pStyle w:val="Indenta"/>
      </w:pPr>
      <w:r>
        <w:tab/>
        <w:t>(a)</w:t>
      </w:r>
      <w:r>
        <w:tab/>
        <w:t>if the mine is an underground mine — a person who is not an underground ventilation officer performs the functions of the position at the mine; and</w:t>
      </w:r>
    </w:p>
    <w:p>
      <w:pPr>
        <w:pStyle w:val="Indenta"/>
      </w:pPr>
      <w:r>
        <w:lastRenderedPageBreak/>
        <w:tab/>
        <w:t>(b)</w:t>
      </w:r>
      <w:r>
        <w:tab/>
        <w:t>if a mine air quality officer must be appointed for the mine under Schedule 26 clause 4(1) — a person who is not a mine air quality officer performs the functions of the position in relation to the surface mining operation at the mine.</w:t>
      </w:r>
    </w:p>
    <w:p>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pPr>
        <w:pStyle w:val="Indenta"/>
      </w:pPr>
      <w:r>
        <w:tab/>
        <w:t>(a)</w:t>
      </w:r>
      <w:r>
        <w:tab/>
        <w:t>if the mine is an underground mine — an underground ventilation officer; and</w:t>
      </w:r>
    </w:p>
    <w:p>
      <w:pPr>
        <w:pStyle w:val="Indenta"/>
      </w:pPr>
      <w:r>
        <w:tab/>
        <w:t>(b)</w:t>
      </w:r>
      <w:r>
        <w:tab/>
        <w:t>if a mine air quality officer must be appointed for the mine under Schedule 26 clause 4(1) — a mine air quality officer.</w:t>
      </w:r>
    </w:p>
    <w:p>
      <w:pPr>
        <w:pStyle w:val="Heading5"/>
      </w:pPr>
      <w:bookmarkStart w:id="1216" w:name="_Toc200720720"/>
      <w:r>
        <w:rPr>
          <w:rStyle w:val="CharSectno"/>
        </w:rPr>
        <w:t>747</w:t>
      </w:r>
      <w:r>
        <w:t>.</w:t>
      </w:r>
      <w:r>
        <w:tab/>
        <w:t>Competency certificates</w:t>
      </w:r>
      <w:bookmarkEnd w:id="1216"/>
      <w:r>
        <w:t xml:space="preserve"> </w:t>
      </w:r>
    </w:p>
    <w:p>
      <w:pPr>
        <w:pStyle w:val="Subsection"/>
      </w:pPr>
      <w:r>
        <w:tab/>
        <w:t>(1)</w:t>
      </w:r>
      <w:r>
        <w:tab/>
        <w:t xml:space="preserve">In this regulation — </w:t>
      </w:r>
    </w:p>
    <w:p>
      <w:pPr>
        <w:pStyle w:val="Defstart"/>
      </w:pPr>
      <w:r>
        <w:tab/>
      </w:r>
      <w:r>
        <w:rPr>
          <w:rStyle w:val="CharDefText"/>
        </w:rPr>
        <w:t>competency certificate</w:t>
      </w:r>
      <w:r>
        <w:t xml:space="preserve"> means a certificate of competency under the MSIR that is listed in column 1 of the Table;</w:t>
      </w:r>
    </w:p>
    <w:p>
      <w:pPr>
        <w:pStyle w:val="Defstart"/>
      </w:pPr>
      <w:r>
        <w:tab/>
      </w:r>
      <w:r>
        <w:rPr>
          <w:rStyle w:val="CharDefText"/>
        </w:rPr>
        <w:t>equivalent certificate</w:t>
      </w:r>
      <w:r>
        <w:t>, in relation to a competency certificate, means the statutory certificate listed opposite the competency certificate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Competency certificate</w:t>
            </w:r>
          </w:p>
        </w:tc>
        <w:tc>
          <w:tcPr>
            <w:tcW w:w="3034" w:type="dxa"/>
            <w:noWrap/>
          </w:tcPr>
          <w:p>
            <w:pPr>
              <w:pStyle w:val="TableNAm"/>
              <w:jc w:val="center"/>
              <w:rPr>
                <w:b/>
                <w:bCs/>
              </w:rPr>
            </w:pPr>
            <w:r>
              <w:rPr>
                <w:b/>
                <w:bCs/>
              </w:rPr>
              <w:t>Column 2</w:t>
            </w:r>
          </w:p>
          <w:p>
            <w:pPr>
              <w:pStyle w:val="TableNAm"/>
              <w:jc w:val="center"/>
              <w:rPr>
                <w:b/>
                <w:bCs/>
              </w:rPr>
            </w:pPr>
            <w:r>
              <w:rPr>
                <w:b/>
                <w:bCs/>
              </w:rPr>
              <w:t>Equivalent certificate</w:t>
            </w:r>
          </w:p>
        </w:tc>
      </w:tr>
      <w:tr>
        <w:trPr>
          <w:cantSplit/>
        </w:trPr>
        <w:tc>
          <w:tcPr>
            <w:tcW w:w="3033" w:type="dxa"/>
            <w:noWrap/>
          </w:tcPr>
          <w:p>
            <w:pPr>
              <w:pStyle w:val="TableNAm"/>
              <w:rPr>
                <w:highlight w:val="yellow"/>
              </w:rPr>
            </w:pPr>
            <w:r>
              <w:t>Authorised mine surveyor’s certificate (grade 1)</w:t>
            </w:r>
          </w:p>
        </w:tc>
        <w:tc>
          <w:tcPr>
            <w:tcW w:w="3034" w:type="dxa"/>
            <w:noWrap/>
          </w:tcPr>
          <w:p>
            <w:pPr>
              <w:pStyle w:val="TableNAm"/>
            </w:pPr>
            <w:r>
              <w:t>Authorised mine surveyor’s certificate (grade 1)</w:t>
            </w:r>
          </w:p>
        </w:tc>
      </w:tr>
      <w:tr>
        <w:trPr>
          <w:cantSplit/>
        </w:trPr>
        <w:tc>
          <w:tcPr>
            <w:tcW w:w="3033" w:type="dxa"/>
            <w:noWrap/>
          </w:tcPr>
          <w:p>
            <w:pPr>
              <w:pStyle w:val="TableNAm"/>
              <w:rPr>
                <w:highlight w:val="yellow"/>
              </w:rPr>
            </w:pPr>
            <w:r>
              <w:t>Authorised mine surveyor’s certificate (grade 2)</w:t>
            </w:r>
          </w:p>
        </w:tc>
        <w:tc>
          <w:tcPr>
            <w:tcW w:w="3034" w:type="dxa"/>
            <w:noWrap/>
          </w:tcPr>
          <w:p>
            <w:pPr>
              <w:pStyle w:val="TableNAm"/>
            </w:pPr>
            <w:r>
              <w:t>Authorised mine surveyor’s certificate (grade 2)</w:t>
            </w:r>
          </w:p>
        </w:tc>
      </w:tr>
      <w:tr>
        <w:trPr>
          <w:cantSplit/>
        </w:trPr>
        <w:tc>
          <w:tcPr>
            <w:tcW w:w="3033" w:type="dxa"/>
            <w:noWrap/>
          </w:tcPr>
          <w:p>
            <w:pPr>
              <w:pStyle w:val="TableNAm"/>
            </w:pPr>
            <w:r>
              <w:lastRenderedPageBreak/>
              <w:t xml:space="preserve">Deputy’s certificate </w:t>
            </w:r>
          </w:p>
        </w:tc>
        <w:tc>
          <w:tcPr>
            <w:tcW w:w="3034" w:type="dxa"/>
            <w:noWrap/>
          </w:tcPr>
          <w:p>
            <w:pPr>
              <w:pStyle w:val="TableNAm"/>
            </w:pPr>
            <w:r>
              <w:t>Deputy’s certificate for underground coal mines</w:t>
            </w:r>
          </w:p>
        </w:tc>
      </w:tr>
      <w:tr>
        <w:trPr>
          <w:cantSplit/>
        </w:trPr>
        <w:tc>
          <w:tcPr>
            <w:tcW w:w="3033" w:type="dxa"/>
            <w:noWrap/>
          </w:tcPr>
          <w:p>
            <w:pPr>
              <w:pStyle w:val="TableNAm"/>
              <w:rPr>
                <w:highlight w:val="yellow"/>
              </w:rPr>
            </w:pPr>
            <w:r>
              <w:t>First class mine manager’s certificate for underground coal mines</w:t>
            </w:r>
          </w:p>
        </w:tc>
        <w:tc>
          <w:tcPr>
            <w:tcW w:w="3034" w:type="dxa"/>
            <w:noWrap/>
          </w:tcPr>
          <w:p>
            <w:pPr>
              <w:pStyle w:val="TableNAm"/>
              <w:rPr>
                <w:highlight w:val="yellow"/>
              </w:rPr>
            </w:pPr>
            <w:r>
              <w:t>First class mine manager’s certificate for coal mines</w:t>
            </w:r>
          </w:p>
        </w:tc>
      </w:tr>
      <w:tr>
        <w:trPr>
          <w:cantSplit/>
        </w:trPr>
        <w:tc>
          <w:tcPr>
            <w:tcW w:w="3033" w:type="dxa"/>
            <w:noWrap/>
          </w:tcPr>
          <w:p>
            <w:pPr>
              <w:pStyle w:val="TableNAm"/>
              <w:rPr>
                <w:highlight w:val="yellow"/>
              </w:rPr>
            </w:pPr>
            <w:r>
              <w:t>First class mine manager’s certificate other than for underground coal mines</w:t>
            </w:r>
          </w:p>
        </w:tc>
        <w:tc>
          <w:tcPr>
            <w:tcW w:w="3034" w:type="dxa"/>
            <w:noWrap/>
          </w:tcPr>
          <w:p>
            <w:pPr>
              <w:pStyle w:val="TableNAm"/>
              <w:rPr>
                <w:highlight w:val="yellow"/>
              </w:rPr>
            </w:pPr>
            <w:r>
              <w:t>First class mine manager’s certificate for non</w:t>
            </w:r>
            <w:r>
              <w:noBreakHyphen/>
              <w:t>coal mines</w:t>
            </w:r>
          </w:p>
        </w:tc>
      </w:tr>
      <w:tr>
        <w:trPr>
          <w:cantSplit/>
        </w:trPr>
        <w:tc>
          <w:tcPr>
            <w:tcW w:w="3033" w:type="dxa"/>
            <w:noWrap/>
          </w:tcPr>
          <w:p>
            <w:pPr>
              <w:pStyle w:val="TableNAm"/>
            </w:pPr>
            <w:r>
              <w:t xml:space="preserve">Quarry manager’s certificate </w:t>
            </w:r>
          </w:p>
        </w:tc>
        <w:tc>
          <w:tcPr>
            <w:tcW w:w="3034" w:type="dxa"/>
            <w:noWrap/>
          </w:tcPr>
          <w:p>
            <w:pPr>
              <w:pStyle w:val="TableNAm"/>
            </w:pPr>
            <w:r>
              <w:t>Quarry manager’s certificate</w:t>
            </w:r>
          </w:p>
        </w:tc>
      </w:tr>
      <w:tr>
        <w:trPr>
          <w:cantSplit/>
        </w:trPr>
        <w:tc>
          <w:tcPr>
            <w:tcW w:w="3033" w:type="dxa"/>
            <w:noWrap/>
          </w:tcPr>
          <w:p>
            <w:pPr>
              <w:pStyle w:val="TableNAm"/>
            </w:pPr>
            <w:r>
              <w:t xml:space="preserve">Restricted quarry manager’s certificate </w:t>
            </w:r>
          </w:p>
        </w:tc>
        <w:tc>
          <w:tcPr>
            <w:tcW w:w="3034" w:type="dxa"/>
            <w:noWrap/>
          </w:tcPr>
          <w:p>
            <w:pPr>
              <w:pStyle w:val="TableNAm"/>
            </w:pPr>
            <w:r>
              <w:t>Restricted quarry manager’s certificate</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r>
    </w:tbl>
    <w:p>
      <w:pPr>
        <w:pStyle w:val="Subsection"/>
      </w:pPr>
      <w:r>
        <w:tab/>
        <w:t>(2)</w:t>
      </w:r>
      <w:r>
        <w:tab/>
        <w:t>If, immediately before commencement day, a person held a competency certificate, the person is taken to hold the equivalent certificate in relation to the competency certificate.</w:t>
      </w:r>
    </w:p>
    <w:p>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pPr>
        <w:pStyle w:val="Subsection"/>
        <w:keepNext/>
      </w:pPr>
      <w:r>
        <w:tab/>
        <w:t>(4)</w:t>
      </w:r>
      <w:r>
        <w:tab/>
        <w:t xml:space="preserve">The equivalent certificate in relation to the competency certificate under subregulation (2) or (3) expires at the end of </w:t>
      </w:r>
      <w:r>
        <w:lastRenderedPageBreak/>
        <w:t xml:space="preserve">the period of 3 years beginning on commencement day unless, at the end of the period, the person who holds the certificate — </w:t>
      </w:r>
    </w:p>
    <w:p>
      <w:pPr>
        <w:pStyle w:val="Indenta"/>
      </w:pPr>
      <w:r>
        <w:tab/>
        <w:t>(a)</w:t>
      </w:r>
      <w:r>
        <w:tab/>
        <w:t>has passed an applicable legislation examination for the certificate; and</w:t>
      </w:r>
    </w:p>
    <w:p>
      <w:pPr>
        <w:pStyle w:val="Indenta"/>
      </w:pPr>
      <w:r>
        <w:tab/>
        <w:t>(b)</w:t>
      </w:r>
      <w:r>
        <w:tab/>
        <w:t>if an eligibility requirement for the certificate is that the person successfully completes an approved WHS risk management unit for the certificate — has successfully completed the unit for the certificate.</w:t>
      </w:r>
    </w:p>
    <w:p>
      <w:pPr>
        <w:pStyle w:val="Subsection"/>
      </w:pPr>
      <w:r>
        <w:tab/>
        <w:t>(5)</w:t>
      </w:r>
      <w:r>
        <w:tab/>
        <w:t>If a decision is made to refuse to grant the competency certificate under the MSIR as continued under regulation 706(a), the decision is taken to have been made under regulation 675ZZC(1).</w:t>
      </w:r>
    </w:p>
    <w:p>
      <w:pPr>
        <w:pStyle w:val="PermNoteHeading"/>
      </w:pPr>
      <w:r>
        <w:tab/>
        <w:t>Note for this subregulation:</w:t>
      </w:r>
    </w:p>
    <w:p>
      <w:pPr>
        <w:pStyle w:val="PermNoteText"/>
      </w:pPr>
      <w:r>
        <w:tab/>
      </w:r>
      <w:r>
        <w:tab/>
        <w:t>Refusing to grant a statutory certificate to a person under regulation 675ZZC(1) is a reviewable decision (see regulation 676).</w:t>
      </w:r>
    </w:p>
    <w:p>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pPr>
        <w:pStyle w:val="PermNoteHeading"/>
      </w:pPr>
      <w:r>
        <w:tab/>
        <w:t>Note for this subregulation:</w:t>
      </w:r>
    </w:p>
    <w:p>
      <w:pPr>
        <w:pStyle w:val="PermNoteText"/>
      </w:pPr>
      <w:r>
        <w:tab/>
      </w:r>
      <w:r>
        <w:tab/>
        <w:t>Granting a statutory certificate subject to conditions under regulation 675ZZC(3) is a reviewable decision (see regulation 676).</w:t>
      </w:r>
    </w:p>
    <w:p>
      <w:pPr>
        <w:pStyle w:val="Heading5"/>
      </w:pPr>
      <w:bookmarkStart w:id="1217" w:name="_Toc200720721"/>
      <w:r>
        <w:rPr>
          <w:rStyle w:val="CharSectno"/>
        </w:rPr>
        <w:t>748</w:t>
      </w:r>
      <w:r>
        <w:t>.</w:t>
      </w:r>
      <w:r>
        <w:tab/>
        <w:t>Winding engine driver’s certificates</w:t>
      </w:r>
      <w:bookmarkEnd w:id="1217"/>
    </w:p>
    <w:p>
      <w:pPr>
        <w:pStyle w:val="Subsection"/>
      </w:pPr>
      <w:r>
        <w:tab/>
        <w:t>(1)</w:t>
      </w:r>
      <w:r>
        <w:tab/>
        <w:t xml:space="preserve">A person who, immediately before commencement day, held a winding engine driver’s certificate issued under the MSIR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lastRenderedPageBreak/>
        <w:tab/>
        <w:t>(b)</w:t>
      </w:r>
      <w:r>
        <w:tab/>
        <w:t>if the certificate is a Class II winding engine driver’s certificate — a winding engine driver for a class 2 engine at an underground mine under Schedule 26 clause 13(5).</w:t>
      </w:r>
    </w:p>
    <w:p>
      <w:pPr>
        <w:pStyle w:val="Subsection"/>
      </w:pPr>
      <w:r>
        <w:tab/>
        <w:t>(2)</w:t>
      </w:r>
      <w:r>
        <w:tab/>
        <w:t xml:space="preserve">A person who was issued a winding engine driver’s certificate under the MSIR as continued under regulation 706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Heading5"/>
      </w:pPr>
      <w:bookmarkStart w:id="1218" w:name="_Toc200720722"/>
      <w:r>
        <w:rPr>
          <w:rStyle w:val="CharSectno"/>
        </w:rPr>
        <w:t>749</w:t>
      </w:r>
      <w:r>
        <w:t>.</w:t>
      </w:r>
      <w:r>
        <w:tab/>
        <w:t>Exemptions generally</w:t>
      </w:r>
      <w:bookmarkEnd w:id="1218"/>
    </w:p>
    <w:p>
      <w:pPr>
        <w:pStyle w:val="Subsection"/>
      </w:pPr>
      <w:r>
        <w:tab/>
        <w:t>(1)</w:t>
      </w:r>
      <w:r>
        <w:tab/>
        <w:t>This regulation applies to an exemption under the MSIR regulation 1.4 or 1.5 that was in effect immediately before commencement day, other than an exemption in relation to the registration of plant.</w:t>
      </w:r>
    </w:p>
    <w:p>
      <w:pPr>
        <w:pStyle w:val="PermNoteHeading"/>
      </w:pPr>
      <w:r>
        <w:tab/>
        <w:t>Note for this subregulation:</w:t>
      </w:r>
    </w:p>
    <w:p>
      <w:pPr>
        <w:pStyle w:val="PermNoteText"/>
      </w:pPr>
      <w:r>
        <w:tab/>
      </w:r>
      <w:r>
        <w:tab/>
        <w:t>See regulation 718 for exemptions in relation to the registration of plant.</w:t>
      </w:r>
    </w:p>
    <w:p>
      <w:pPr>
        <w:pStyle w:val="Subsection"/>
      </w:pPr>
      <w:r>
        <w:tab/>
        <w:t>(2)</w:t>
      </w:r>
      <w:r>
        <w:tab/>
        <w:t xml:space="preserve">The exemption is, on and after commencement day, taken to be an exemption under Part 11.2 until the earlier of the following — </w:t>
      </w:r>
    </w:p>
    <w:p>
      <w:pPr>
        <w:pStyle w:val="Indenta"/>
      </w:pPr>
      <w:r>
        <w:tab/>
        <w:t>(a)</w:t>
      </w:r>
      <w:r>
        <w:tab/>
        <w:t xml:space="preserve">the day on which the exemption is cancelled; </w:t>
      </w:r>
    </w:p>
    <w:p>
      <w:pPr>
        <w:pStyle w:val="Indenta"/>
      </w:pPr>
      <w:r>
        <w:tab/>
        <w:t>(b)</w:t>
      </w:r>
      <w:r>
        <w:tab/>
        <w:t xml:space="preserve">the day on which the exemption ends in the written notice given under the MSIR regulation 1.4 or 1.5; </w:t>
      </w:r>
    </w:p>
    <w:p>
      <w:pPr>
        <w:pStyle w:val="Indenta"/>
      </w:pPr>
      <w:r>
        <w:tab/>
        <w:t>(c)</w:t>
      </w:r>
      <w:r>
        <w:tab/>
        <w:t>the end of the longer transitional period.</w:t>
      </w:r>
    </w:p>
    <w:p>
      <w:pPr>
        <w:pStyle w:val="Subsection"/>
      </w:pPr>
      <w:r>
        <w:lastRenderedPageBreak/>
        <w:tab/>
        <w:t>(3)</w:t>
      </w:r>
      <w:r>
        <w:tab/>
        <w:t xml:space="preserve">If the exemption under the MSIR regulation 1.4 or 1.5 specifies a condition in the exemption, the person having the benefit of the exemption must not contravene the condition.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219" w:name="_Toc200720723"/>
      <w:r>
        <w:rPr>
          <w:rStyle w:val="CharPartNo"/>
        </w:rPr>
        <w:t>Part 11.5</w:t>
      </w:r>
      <w:r>
        <w:t> — </w:t>
      </w:r>
      <w:r>
        <w:rPr>
          <w:rStyle w:val="CharPartText"/>
        </w:rPr>
        <w:t xml:space="preserve">Transitional and savings provisions for </w:t>
      </w:r>
      <w:r>
        <w:rPr>
          <w:rStyle w:val="CharPartText"/>
          <w:i/>
        </w:rPr>
        <w:t>Work Health and Safety Regulations Amendment Regulations (No. 2) 2023</w:t>
      </w:r>
      <w:bookmarkEnd w:id="1219"/>
    </w:p>
    <w:p>
      <w:pPr>
        <w:pStyle w:val="Footnoteheading"/>
      </w:pPr>
      <w:r>
        <w:tab/>
        <w:t>[Heading inserted: SL 2023/134 r. 19.]</w:t>
      </w:r>
    </w:p>
    <w:p>
      <w:pPr>
        <w:pStyle w:val="Heading5"/>
      </w:pPr>
      <w:bookmarkStart w:id="1220" w:name="_Toc200720724"/>
      <w:r>
        <w:rPr>
          <w:rStyle w:val="CharSectno"/>
        </w:rPr>
        <w:t>750</w:t>
      </w:r>
      <w:r>
        <w:t>.</w:t>
      </w:r>
      <w:r>
        <w:tab/>
        <w:t>Delayed application of Schedule 3 items 14A and 15A</w:t>
      </w:r>
      <w:bookmarkEnd w:id="1220"/>
    </w:p>
    <w:p>
      <w:pPr>
        <w:pStyle w:val="Subsection"/>
      </w:pPr>
      <w:r>
        <w:tab/>
      </w:r>
      <w:r>
        <w:tab/>
        <w:t xml:space="preserve">During the period of 2 years beginning on the day on which the </w:t>
      </w:r>
      <w:r>
        <w:rPr>
          <w:i/>
        </w:rPr>
        <w:t>Work Health and Safety Regulations Amendment Regulations (No. 2) 2023</w:t>
      </w:r>
      <w:r>
        <w:t xml:space="preserve"> regulation 19 comes into operation, Schedule 3 items 14A and 15A do not apply.</w:t>
      </w:r>
    </w:p>
    <w:p>
      <w:pPr>
        <w:pStyle w:val="Footnotesection"/>
      </w:pPr>
      <w:r>
        <w:tab/>
        <w:t>[Section 750 inserted: SL 2023/134 r. 19.]</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221" w:name="_Toc200720725"/>
      <w:r>
        <w:rPr>
          <w:rStyle w:val="CharSchNo"/>
        </w:rPr>
        <w:lastRenderedPageBreak/>
        <w:t>Schedule 1</w:t>
      </w:r>
      <w:r>
        <w:rPr>
          <w:rStyle w:val="CharSDivNo"/>
        </w:rPr>
        <w:t> </w:t>
      </w:r>
      <w:r>
        <w:t>—</w:t>
      </w:r>
      <w:r>
        <w:rPr>
          <w:rStyle w:val="CharSDivText"/>
        </w:rPr>
        <w:t> </w:t>
      </w:r>
      <w:r>
        <w:rPr>
          <w:rStyle w:val="CharSchText"/>
        </w:rPr>
        <w:t>Not used</w:t>
      </w:r>
      <w:bookmarkEnd w:id="1221"/>
    </w:p>
    <w:p>
      <w:pPr>
        <w:pStyle w:val="yScheduleHeading"/>
        <w:pageBreakBefore w:val="0"/>
        <w:spacing w:before="220"/>
      </w:pPr>
      <w:bookmarkStart w:id="1222" w:name="_Toc200720726"/>
      <w:r>
        <w:rPr>
          <w:rStyle w:val="CharSchNo"/>
        </w:rPr>
        <w:t>Schedule 2</w:t>
      </w:r>
      <w:r>
        <w:rPr>
          <w:rStyle w:val="CharSDivNo"/>
        </w:rPr>
        <w:t> </w:t>
      </w:r>
      <w:r>
        <w:t>—</w:t>
      </w:r>
      <w:r>
        <w:rPr>
          <w:rStyle w:val="CharSDivText"/>
        </w:rPr>
        <w:t> </w:t>
      </w:r>
      <w:r>
        <w:rPr>
          <w:rStyle w:val="CharSchText"/>
        </w:rPr>
        <w:t>Not used</w:t>
      </w:r>
      <w:bookmarkEnd w:id="1222"/>
    </w:p>
    <w:p>
      <w:pPr>
        <w:pStyle w:val="yScheduleHeading"/>
      </w:pPr>
      <w:bookmarkStart w:id="1223" w:name="_Toc200720727"/>
      <w:r>
        <w:rPr>
          <w:rStyle w:val="CharSchNo"/>
        </w:rPr>
        <w:lastRenderedPageBreak/>
        <w:t>Schedule 3</w:t>
      </w:r>
      <w:r>
        <w:rPr>
          <w:rStyle w:val="CharSDivNo"/>
          <w:sz w:val="28"/>
        </w:rPr>
        <w:t> </w:t>
      </w:r>
      <w:r>
        <w:t>—</w:t>
      </w:r>
      <w:r>
        <w:rPr>
          <w:rStyle w:val="CharSDivText"/>
          <w:sz w:val="28"/>
        </w:rPr>
        <w:t> </w:t>
      </w:r>
      <w:r>
        <w:rPr>
          <w:rStyle w:val="CharSchText"/>
        </w:rPr>
        <w:t>High risk work licences and classes of high risk work</w:t>
      </w:r>
      <w:bookmarkEnd w:id="1223"/>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 xml:space="preserve">Use of a vehicle loading crane with a capacity of 10 metre tonnes or more, excluding the application of load </w:t>
            </w:r>
            <w:r>
              <w:lastRenderedPageBreak/>
              <w:t>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lastRenderedPageBreak/>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lastRenderedPageBreak/>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20(1) and (2).]</w:t>
      </w:r>
    </w:p>
    <w:p>
      <w:pPr>
        <w:pStyle w:val="yHeading5"/>
      </w:pPr>
      <w:bookmarkStart w:id="1224" w:name="_Toc200720728"/>
      <w:r>
        <w:rPr>
          <w:rStyle w:val="CharSClsNo"/>
        </w:rPr>
        <w:t>1</w:t>
      </w:r>
      <w:r>
        <w:t>.</w:t>
      </w:r>
      <w:r>
        <w:tab/>
        <w:t>Boom</w:t>
      </w:r>
      <w:r>
        <w:noBreakHyphen/>
        <w:t>type elevating work platform</w:t>
      </w:r>
      <w:bookmarkEnd w:id="1224"/>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20(3).]</w:t>
      </w:r>
    </w:p>
    <w:p>
      <w:pPr>
        <w:pStyle w:val="ySubsection"/>
        <w:sectPr>
          <w:headerReference w:type="even" r:id="rId24"/>
          <w:headerReference w:type="default" r:id="rId25"/>
          <w:pgSz w:w="11907" w:h="16840" w:code="9"/>
          <w:pgMar w:top="2381" w:right="2410" w:bottom="3544" w:left="2410" w:header="720" w:footer="3544" w:gutter="0"/>
          <w:cols w:space="720"/>
        </w:sectPr>
      </w:pPr>
    </w:p>
    <w:p>
      <w:pPr>
        <w:pStyle w:val="yScheduleHeading"/>
        <w:pageBreakBefore w:val="0"/>
      </w:pPr>
      <w:bookmarkStart w:id="1225" w:name="_Toc200720729"/>
      <w:r>
        <w:rPr>
          <w:rStyle w:val="CharSchNo"/>
        </w:rPr>
        <w:lastRenderedPageBreak/>
        <w:t>Schedule 4</w:t>
      </w:r>
      <w:r>
        <w:rPr>
          <w:rStyle w:val="CharSDivNo"/>
        </w:rPr>
        <w:t> </w:t>
      </w:r>
      <w:r>
        <w:t>—</w:t>
      </w:r>
      <w:r>
        <w:rPr>
          <w:rStyle w:val="CharSDivText"/>
        </w:rPr>
        <w:t> </w:t>
      </w:r>
      <w:r>
        <w:rPr>
          <w:rStyle w:val="CharSchText"/>
        </w:rPr>
        <w:t>High risk work licences: competency requirements</w:t>
      </w:r>
      <w:bookmarkEnd w:id="1225"/>
    </w:p>
    <w:p>
      <w:pPr>
        <w:pStyle w:val="yShoulderClause"/>
      </w:pPr>
      <w:r>
        <w:t>[r. 81]</w:t>
      </w:r>
    </w:p>
    <w:p>
      <w:pPr>
        <w:pStyle w:val="yHeading5"/>
      </w:pPr>
      <w:bookmarkStart w:id="1226" w:name="_Toc200720730"/>
      <w:r>
        <w:rPr>
          <w:rStyle w:val="CharSClsNo"/>
        </w:rPr>
        <w:t>1</w:t>
      </w:r>
      <w:r>
        <w:t>.</w:t>
      </w:r>
      <w:r>
        <w:tab/>
        <w:t>Purpose of Schedule</w:t>
      </w:r>
      <w:bookmarkEnd w:id="1226"/>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227" w:name="_Toc200720731"/>
      <w:r>
        <w:rPr>
          <w:rStyle w:val="CharSchNo"/>
        </w:rPr>
        <w:lastRenderedPageBreak/>
        <w:t>Schedule 5</w:t>
      </w:r>
      <w:r>
        <w:t> — </w:t>
      </w:r>
      <w:r>
        <w:rPr>
          <w:rStyle w:val="CharSchText"/>
        </w:rPr>
        <w:t>Registration of plant and plant designs</w:t>
      </w:r>
      <w:bookmarkEnd w:id="1227"/>
    </w:p>
    <w:p>
      <w:pPr>
        <w:pStyle w:val="yShoulderClause"/>
      </w:pPr>
      <w:r>
        <w:t>[r. 243 and 246]</w:t>
      </w:r>
    </w:p>
    <w:p>
      <w:pPr>
        <w:pStyle w:val="yHeading3"/>
      </w:pPr>
      <w:bookmarkStart w:id="1228" w:name="_Toc200720732"/>
      <w:r>
        <w:rPr>
          <w:rStyle w:val="CharSDivNo"/>
        </w:rPr>
        <w:t>Division 1</w:t>
      </w:r>
      <w:r>
        <w:t> — </w:t>
      </w:r>
      <w:r>
        <w:rPr>
          <w:rStyle w:val="CharSDivText"/>
        </w:rPr>
        <w:t>Plant requiring registration of design</w:t>
      </w:r>
      <w:bookmarkEnd w:id="1228"/>
    </w:p>
    <w:p>
      <w:pPr>
        <w:pStyle w:val="yHeading5"/>
      </w:pPr>
      <w:bookmarkStart w:id="1229" w:name="_Toc200720733"/>
      <w:r>
        <w:rPr>
          <w:rStyle w:val="CharSClsNo"/>
        </w:rPr>
        <w:t>1</w:t>
      </w:r>
      <w:r>
        <w:t>.</w:t>
      </w:r>
      <w:r>
        <w:tab/>
        <w:t>Items of plant requiring registration of design</w:t>
      </w:r>
      <w:bookmarkEnd w:id="1229"/>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rPr>
          <w:i/>
        </w:rPr>
      </w:pPr>
      <w:r>
        <w:tab/>
        <w:t>(8)</w:t>
      </w:r>
      <w:r>
        <w:tab/>
      </w:r>
      <w:r>
        <w:rPr>
          <w:i/>
        </w:rPr>
        <w:t>[not used]</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1230" w:name="_Toc200720734"/>
      <w:r>
        <w:rPr>
          <w:rStyle w:val="CharSClsNo"/>
        </w:rPr>
        <w:lastRenderedPageBreak/>
        <w:t>2</w:t>
      </w:r>
      <w:r>
        <w:t>.</w:t>
      </w:r>
      <w:r>
        <w:tab/>
        <w:t>Exceptions</w:t>
      </w:r>
      <w:bookmarkEnd w:id="1230"/>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r>
      <w:r>
        <w:rPr>
          <w:i/>
        </w:rPr>
        <w:t>[not used]</w:t>
      </w:r>
    </w:p>
    <w:p>
      <w:pPr>
        <w:pStyle w:val="yHeading3"/>
      </w:pPr>
      <w:bookmarkStart w:id="1231" w:name="_Toc200720735"/>
      <w:r>
        <w:rPr>
          <w:rStyle w:val="CharSDivNo"/>
        </w:rPr>
        <w:t>Division 2</w:t>
      </w:r>
      <w:r>
        <w:t> — </w:t>
      </w:r>
      <w:r>
        <w:rPr>
          <w:rStyle w:val="CharSDivText"/>
        </w:rPr>
        <w:t>Items of plant requiring registration</w:t>
      </w:r>
      <w:bookmarkEnd w:id="1231"/>
    </w:p>
    <w:p>
      <w:pPr>
        <w:pStyle w:val="yHeading5"/>
      </w:pPr>
      <w:bookmarkStart w:id="1232" w:name="_Toc200720736"/>
      <w:r>
        <w:rPr>
          <w:rStyle w:val="CharSClsNo"/>
        </w:rPr>
        <w:t>3</w:t>
      </w:r>
      <w:r>
        <w:t>.</w:t>
      </w:r>
      <w:r>
        <w:tab/>
        <w:t>Items of plant requiring registration</w:t>
      </w:r>
      <w:bookmarkEnd w:id="1232"/>
    </w:p>
    <w:p>
      <w:pPr>
        <w:pStyle w:val="ySubsection"/>
      </w:pPr>
      <w:r>
        <w:tab/>
        <w:t>(1)</w:t>
      </w:r>
      <w:r>
        <w:tab/>
        <w:t>Boilers categorised as hazard level A, B or C according to criteria in Section 2.1 of AS 4343:2014 (Pressure equipment — Hazard levels).</w:t>
      </w:r>
    </w:p>
    <w:p>
      <w:pPr>
        <w:pStyle w:val="ySubsection"/>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r>
      <w:r>
        <w:rPr>
          <w:i/>
        </w:rPr>
        <w:t>[not used]</w:t>
      </w:r>
    </w:p>
    <w:p>
      <w:pPr>
        <w:pStyle w:val="ySubsection"/>
      </w:pPr>
      <w:r>
        <w:tab/>
        <w:t>(7)</w:t>
      </w:r>
      <w:r>
        <w:tab/>
        <w:t>Concrete placing booms.</w:t>
      </w:r>
    </w:p>
    <w:p>
      <w:pPr>
        <w:pStyle w:val="ySubsection"/>
      </w:pPr>
      <w:r>
        <w:lastRenderedPageBreak/>
        <w:tab/>
        <w:t>(8)</w:t>
      </w:r>
      <w:r>
        <w:tab/>
        <w:t>Mobile cranes with a rated capacity of greater than 10 tonnes.</w:t>
      </w:r>
    </w:p>
    <w:p>
      <w:pPr>
        <w:pStyle w:val="yHeading5"/>
      </w:pPr>
      <w:bookmarkStart w:id="1233" w:name="_Toc200720737"/>
      <w:r>
        <w:rPr>
          <w:rStyle w:val="CharSClsNo"/>
        </w:rPr>
        <w:t>4</w:t>
      </w:r>
      <w:r>
        <w:t>.</w:t>
      </w:r>
      <w:r>
        <w:tab/>
        <w:t>Exceptions</w:t>
      </w:r>
      <w:bookmarkEnd w:id="1233"/>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r>
      <w:r>
        <w:rPr>
          <w:i/>
        </w:rPr>
        <w:t>[not used]</w:t>
      </w:r>
    </w:p>
    <w:p>
      <w:pPr>
        <w:pStyle w:val="yScheduleHeading"/>
      </w:pPr>
      <w:bookmarkStart w:id="1234" w:name="_Toc200720738"/>
      <w:r>
        <w:rPr>
          <w:rStyle w:val="CharSchNo"/>
        </w:rPr>
        <w:lastRenderedPageBreak/>
        <w:t>Schedule 6</w:t>
      </w:r>
      <w:r>
        <w:rPr>
          <w:rStyle w:val="CharSDivNo"/>
        </w:rPr>
        <w:t> </w:t>
      </w:r>
      <w:r>
        <w:t>—</w:t>
      </w:r>
      <w:r>
        <w:rPr>
          <w:rStyle w:val="CharSDivText"/>
        </w:rPr>
        <w:t> </w:t>
      </w:r>
      <w:r>
        <w:rPr>
          <w:rStyle w:val="CharSchText"/>
        </w:rPr>
        <w:t>Classification of mixtures</w:t>
      </w:r>
      <w:bookmarkEnd w:id="1234"/>
    </w:p>
    <w:p>
      <w:pPr>
        <w:pStyle w:val="yShoulderClause"/>
      </w:pPr>
      <w:r>
        <w:t>[r. 5]</w:t>
      </w:r>
    </w:p>
    <w:p>
      <w:pPr>
        <w:pStyle w:val="yHeading5"/>
      </w:pPr>
      <w:bookmarkStart w:id="1235" w:name="_Toc200720739"/>
      <w:r>
        <w:rPr>
          <w:rStyle w:val="CharSClsNo"/>
        </w:rPr>
        <w:t>1</w:t>
      </w:r>
      <w:r>
        <w:t>.</w:t>
      </w:r>
      <w:r>
        <w:tab/>
        <w:t>Purpose of Schedule</w:t>
      </w:r>
      <w:bookmarkEnd w:id="1235"/>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842" w:type="dxa"/>
            <w:vMerge w:val="restart"/>
            <w:noWrap/>
          </w:tcPr>
          <w:p>
            <w:pPr>
              <w:pStyle w:val="yTableNAm"/>
              <w:jc w:val="center"/>
              <w:rPr>
                <w:b/>
                <w:bCs/>
              </w:rPr>
            </w:pPr>
          </w:p>
        </w:tc>
        <w:tc>
          <w:tcPr>
            <w:tcW w:w="1418" w:type="dxa"/>
            <w:noWrap/>
          </w:tcPr>
          <w:p>
            <w:pPr>
              <w:pStyle w:val="yTableNAm"/>
              <w:jc w:val="center"/>
              <w:rPr>
                <w:b/>
                <w:bCs/>
              </w:rPr>
            </w:pPr>
            <w:r>
              <w:rPr>
                <w:b/>
                <w:bCs/>
              </w:rPr>
              <w:t>Skin sensitiser Category 1</w:t>
            </w:r>
          </w:p>
        </w:tc>
        <w:tc>
          <w:tcPr>
            <w:tcW w:w="2806"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842" w:type="dxa"/>
            <w:vMerge/>
            <w:noWrap/>
          </w:tcPr>
          <w:p>
            <w:pPr>
              <w:pStyle w:val="yTableNAm"/>
              <w:jc w:val="center"/>
              <w:rPr>
                <w:b/>
                <w:bCs/>
              </w:rPr>
            </w:pPr>
          </w:p>
        </w:tc>
        <w:tc>
          <w:tcPr>
            <w:tcW w:w="1418" w:type="dxa"/>
            <w:noWrap/>
          </w:tcPr>
          <w:p>
            <w:pPr>
              <w:pStyle w:val="yTableNAm"/>
              <w:jc w:val="center"/>
              <w:rPr>
                <w:b/>
                <w:bCs/>
              </w:rPr>
            </w:pPr>
            <w:r>
              <w:rPr>
                <w:b/>
                <w:bCs/>
              </w:rPr>
              <w:t>All physical states</w:t>
            </w:r>
          </w:p>
        </w:tc>
        <w:tc>
          <w:tcPr>
            <w:tcW w:w="1417" w:type="dxa"/>
            <w:noWrap/>
          </w:tcPr>
          <w:p>
            <w:pPr>
              <w:pStyle w:val="yTableNAm"/>
              <w:jc w:val="center"/>
              <w:rPr>
                <w:b/>
                <w:bCs/>
              </w:rPr>
            </w:pPr>
            <w:r>
              <w:rPr>
                <w:b/>
                <w:bCs/>
              </w:rPr>
              <w:t>Solid/liquid</w:t>
            </w:r>
          </w:p>
        </w:tc>
        <w:tc>
          <w:tcPr>
            <w:tcW w:w="1389" w:type="dxa"/>
            <w:noWrap/>
          </w:tcPr>
          <w:p>
            <w:pPr>
              <w:pStyle w:val="yTableNAm"/>
              <w:jc w:val="center"/>
              <w:rPr>
                <w:b/>
                <w:bCs/>
              </w:rPr>
            </w:pPr>
            <w:r>
              <w:rPr>
                <w:b/>
                <w:bCs/>
              </w:rPr>
              <w:t>Gas</w:t>
            </w:r>
          </w:p>
        </w:tc>
      </w:tr>
      <w:tr>
        <w:tc>
          <w:tcPr>
            <w:tcW w:w="738" w:type="dxa"/>
            <w:noWrap/>
          </w:tcPr>
          <w:p>
            <w:pPr>
              <w:pStyle w:val="yTableNAm"/>
            </w:pPr>
            <w:r>
              <w:t>1.</w:t>
            </w:r>
          </w:p>
        </w:tc>
        <w:tc>
          <w:tcPr>
            <w:tcW w:w="1842" w:type="dxa"/>
            <w:noWrap/>
          </w:tcPr>
          <w:p>
            <w:pPr>
              <w:pStyle w:val="yTableNAm"/>
            </w:pPr>
            <w:r>
              <w:t>Skin sensitiser Category 1</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2.</w:t>
            </w:r>
          </w:p>
        </w:tc>
        <w:tc>
          <w:tcPr>
            <w:tcW w:w="1842" w:type="dxa"/>
            <w:noWrap/>
          </w:tcPr>
          <w:p>
            <w:pPr>
              <w:pStyle w:val="yTableNAm"/>
            </w:pPr>
            <w:r>
              <w:t>Skin sensitiser Sub category 1A</w:t>
            </w:r>
          </w:p>
        </w:tc>
        <w:tc>
          <w:tcPr>
            <w:tcW w:w="1418" w:type="dxa"/>
            <w:noWrap/>
          </w:tcPr>
          <w:p>
            <w:pPr>
              <w:pStyle w:val="yTableNAm"/>
            </w:pPr>
            <w:r>
              <w:t>≥ 0.1%</w:t>
            </w:r>
          </w:p>
        </w:tc>
        <w:tc>
          <w:tcPr>
            <w:tcW w:w="1417" w:type="dxa"/>
            <w:noWrap/>
          </w:tcPr>
          <w:p>
            <w:pPr>
              <w:pStyle w:val="yTableNAm"/>
            </w:pPr>
          </w:p>
        </w:tc>
        <w:tc>
          <w:tcPr>
            <w:tcW w:w="1389" w:type="dxa"/>
            <w:noWrap/>
          </w:tcPr>
          <w:p>
            <w:pPr>
              <w:pStyle w:val="yTableNAm"/>
            </w:pPr>
          </w:p>
        </w:tc>
      </w:tr>
      <w:tr>
        <w:tc>
          <w:tcPr>
            <w:tcW w:w="738" w:type="dxa"/>
            <w:noWrap/>
          </w:tcPr>
          <w:p>
            <w:pPr>
              <w:pStyle w:val="yTableNAm"/>
            </w:pPr>
            <w:r>
              <w:t>3.</w:t>
            </w:r>
          </w:p>
        </w:tc>
        <w:tc>
          <w:tcPr>
            <w:tcW w:w="1842" w:type="dxa"/>
            <w:noWrap/>
          </w:tcPr>
          <w:p>
            <w:pPr>
              <w:pStyle w:val="yTableNAm"/>
            </w:pPr>
            <w:r>
              <w:t>Skin sensitiser Sub</w:t>
            </w:r>
            <w:r>
              <w:noBreakHyphen/>
              <w:t>category 1B</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4.</w:t>
            </w:r>
          </w:p>
        </w:tc>
        <w:tc>
          <w:tcPr>
            <w:tcW w:w="1842" w:type="dxa"/>
            <w:noWrap/>
          </w:tcPr>
          <w:p>
            <w:pPr>
              <w:pStyle w:val="yTableNAm"/>
            </w:pPr>
            <w:r>
              <w:t>Respiratory sensitiser Category 1</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r>
        <w:tc>
          <w:tcPr>
            <w:tcW w:w="738" w:type="dxa"/>
            <w:noWrap/>
          </w:tcPr>
          <w:p>
            <w:pPr>
              <w:pStyle w:val="yTableNAm"/>
            </w:pPr>
            <w:r>
              <w:lastRenderedPageBreak/>
              <w:t>5.</w:t>
            </w:r>
          </w:p>
        </w:tc>
        <w:tc>
          <w:tcPr>
            <w:tcW w:w="1842" w:type="dxa"/>
            <w:noWrap/>
          </w:tcPr>
          <w:p>
            <w:pPr>
              <w:pStyle w:val="yTableNAm"/>
            </w:pPr>
            <w:r>
              <w:t>Respiratory sensitiser Sub</w:t>
            </w:r>
            <w:r>
              <w:noBreakHyphen/>
              <w:t>category 1A</w:t>
            </w:r>
          </w:p>
        </w:tc>
        <w:tc>
          <w:tcPr>
            <w:tcW w:w="1418" w:type="dxa"/>
            <w:noWrap/>
          </w:tcPr>
          <w:p>
            <w:pPr>
              <w:pStyle w:val="yTableNAm"/>
            </w:pPr>
          </w:p>
        </w:tc>
        <w:tc>
          <w:tcPr>
            <w:tcW w:w="1417" w:type="dxa"/>
            <w:noWrap/>
          </w:tcPr>
          <w:p>
            <w:pPr>
              <w:pStyle w:val="yTableNAm"/>
            </w:pPr>
            <w:r>
              <w:t>≥ 0.1%</w:t>
            </w:r>
          </w:p>
        </w:tc>
        <w:tc>
          <w:tcPr>
            <w:tcW w:w="1389" w:type="dxa"/>
            <w:noWrap/>
          </w:tcPr>
          <w:p>
            <w:pPr>
              <w:pStyle w:val="yTableNAm"/>
            </w:pPr>
            <w:r>
              <w:t>≥ 0.1%</w:t>
            </w:r>
          </w:p>
        </w:tc>
      </w:tr>
      <w:tr>
        <w:tc>
          <w:tcPr>
            <w:tcW w:w="738" w:type="dxa"/>
            <w:noWrap/>
          </w:tcPr>
          <w:p>
            <w:pPr>
              <w:pStyle w:val="yTableNAm"/>
            </w:pPr>
            <w:r>
              <w:t>6.</w:t>
            </w:r>
          </w:p>
        </w:tc>
        <w:tc>
          <w:tcPr>
            <w:tcW w:w="1842" w:type="dxa"/>
            <w:noWrap/>
          </w:tcPr>
          <w:p>
            <w:pPr>
              <w:pStyle w:val="yTableNAm"/>
            </w:pPr>
            <w:r>
              <w:t>Respiratory sensitiser Sub</w:t>
            </w:r>
            <w:r>
              <w:noBreakHyphen/>
              <w:t>category 1B</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842" w:type="dxa"/>
            <w:noWrap/>
          </w:tcPr>
          <w:p>
            <w:pPr>
              <w:pStyle w:val="yTableNAm"/>
              <w:jc w:val="center"/>
              <w:rPr>
                <w:b/>
                <w:bCs/>
              </w:rPr>
            </w:pPr>
          </w:p>
        </w:tc>
        <w:tc>
          <w:tcPr>
            <w:tcW w:w="2112" w:type="dxa"/>
            <w:noWrap/>
          </w:tcPr>
          <w:p>
            <w:pPr>
              <w:pStyle w:val="yTableNAm"/>
              <w:jc w:val="center"/>
              <w:rPr>
                <w:b/>
                <w:bCs/>
              </w:rPr>
            </w:pPr>
            <w:r>
              <w:rPr>
                <w:b/>
                <w:bCs/>
              </w:rPr>
              <w:t>Category 1 carcinogen</w:t>
            </w:r>
          </w:p>
        </w:tc>
        <w:tc>
          <w:tcPr>
            <w:tcW w:w="2112" w:type="dxa"/>
            <w:noWrap/>
          </w:tcPr>
          <w:p>
            <w:pPr>
              <w:pStyle w:val="yTableNAm"/>
              <w:jc w:val="center"/>
              <w:rPr>
                <w:b/>
                <w:bCs/>
              </w:rPr>
            </w:pPr>
            <w:r>
              <w:rPr>
                <w:b/>
                <w:bCs/>
              </w:rPr>
              <w:t>Category 2 carcinogen</w:t>
            </w:r>
          </w:p>
        </w:tc>
      </w:tr>
      <w:tr>
        <w:tc>
          <w:tcPr>
            <w:tcW w:w="738" w:type="dxa"/>
            <w:noWrap/>
          </w:tcPr>
          <w:p>
            <w:pPr>
              <w:pStyle w:val="yTableNAm"/>
            </w:pPr>
            <w:r>
              <w:t>1.</w:t>
            </w:r>
          </w:p>
        </w:tc>
        <w:tc>
          <w:tcPr>
            <w:tcW w:w="1842" w:type="dxa"/>
            <w:noWrap/>
          </w:tcPr>
          <w:p>
            <w:pPr>
              <w:pStyle w:val="yTableNAm"/>
            </w:pPr>
            <w:r>
              <w:t>Category 1 carcinogen</w:t>
            </w:r>
          </w:p>
        </w:tc>
        <w:tc>
          <w:tcPr>
            <w:tcW w:w="2112" w:type="dxa"/>
            <w:noWrap/>
          </w:tcPr>
          <w:p>
            <w:pPr>
              <w:pStyle w:val="yTableNAm"/>
            </w:pPr>
            <w:r>
              <w:t>≥ 0.1%</w:t>
            </w:r>
          </w:p>
        </w:tc>
        <w:tc>
          <w:tcPr>
            <w:tcW w:w="2112" w:type="dxa"/>
            <w:noWrap/>
          </w:tcPr>
          <w:p>
            <w:pPr>
              <w:pStyle w:val="yTableNAm"/>
            </w:pPr>
          </w:p>
        </w:tc>
      </w:tr>
      <w:tr>
        <w:tc>
          <w:tcPr>
            <w:tcW w:w="738" w:type="dxa"/>
            <w:noWrap/>
          </w:tcPr>
          <w:p>
            <w:pPr>
              <w:pStyle w:val="yTableNAm"/>
            </w:pPr>
            <w:r>
              <w:t>2.</w:t>
            </w:r>
          </w:p>
        </w:tc>
        <w:tc>
          <w:tcPr>
            <w:tcW w:w="1842" w:type="dxa"/>
            <w:noWrap/>
          </w:tcPr>
          <w:p>
            <w:pPr>
              <w:pStyle w:val="yTableNAm"/>
            </w:pPr>
            <w:r>
              <w:t>Category 2 carcinogen</w:t>
            </w:r>
          </w:p>
        </w:tc>
        <w:tc>
          <w:tcPr>
            <w:tcW w:w="2112" w:type="dxa"/>
            <w:noWrap/>
          </w:tcPr>
          <w:p>
            <w:pPr>
              <w:pStyle w:val="yTableNAm"/>
            </w:pPr>
          </w:p>
        </w:tc>
        <w:tc>
          <w:tcPr>
            <w:tcW w:w="2112"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lastRenderedPageBreak/>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1455" w:type="dxa"/>
            <w:noWrap/>
          </w:tcPr>
          <w:p>
            <w:pPr>
              <w:pStyle w:val="yTableNAm"/>
              <w:jc w:val="center"/>
              <w:rPr>
                <w:b/>
                <w:bCs/>
              </w:rPr>
            </w:pPr>
            <w:r>
              <w:rPr>
                <w:b/>
                <w:bCs/>
              </w:rPr>
              <w:t>Category 1 reproductive toxicant</w:t>
            </w:r>
          </w:p>
        </w:tc>
        <w:tc>
          <w:tcPr>
            <w:tcW w:w="1455" w:type="dxa"/>
            <w:noWrap/>
          </w:tcPr>
          <w:p>
            <w:pPr>
              <w:pStyle w:val="yTableNAm"/>
              <w:jc w:val="center"/>
              <w:rPr>
                <w:b/>
                <w:bCs/>
              </w:rPr>
            </w:pPr>
            <w:r>
              <w:rPr>
                <w:b/>
                <w:bCs/>
              </w:rPr>
              <w:t>Category 2 reproductive toxicant</w:t>
            </w:r>
          </w:p>
        </w:tc>
        <w:tc>
          <w:tcPr>
            <w:tcW w:w="1455" w:type="dxa"/>
            <w:noWrap/>
          </w:tcPr>
          <w:p>
            <w:pPr>
              <w:pStyle w:val="yTableNAm"/>
              <w:jc w:val="center"/>
              <w:rPr>
                <w:b/>
                <w:bCs/>
              </w:rPr>
            </w:pPr>
            <w:r>
              <w:rPr>
                <w:b/>
                <w:bCs/>
              </w:rPr>
              <w:t>Additional category for effects on or via lactation</w:t>
            </w:r>
          </w:p>
        </w:tc>
      </w:tr>
      <w:tr>
        <w:trPr>
          <w:cantSplit/>
        </w:trPr>
        <w:tc>
          <w:tcPr>
            <w:tcW w:w="738" w:type="dxa"/>
            <w:noWrap/>
          </w:tcPr>
          <w:p>
            <w:pPr>
              <w:pStyle w:val="yTableNAm"/>
            </w:pPr>
            <w:r>
              <w:t>1.</w:t>
            </w:r>
          </w:p>
        </w:tc>
        <w:tc>
          <w:tcPr>
            <w:tcW w:w="1701" w:type="dxa"/>
            <w:noWrap/>
          </w:tcPr>
          <w:p>
            <w:pPr>
              <w:pStyle w:val="yTableNAm"/>
            </w:pPr>
            <w:r>
              <w:t>Category 1 reproductive toxicant</w:t>
            </w:r>
          </w:p>
        </w:tc>
        <w:tc>
          <w:tcPr>
            <w:tcW w:w="1455" w:type="dxa"/>
            <w:noWrap/>
          </w:tcPr>
          <w:p>
            <w:pPr>
              <w:pStyle w:val="yTableNAm"/>
            </w:pPr>
            <w:r>
              <w:t>≥ 0.3%</w:t>
            </w:r>
          </w:p>
        </w:tc>
        <w:tc>
          <w:tcPr>
            <w:tcW w:w="1455" w:type="dxa"/>
            <w:noWrap/>
          </w:tcPr>
          <w:p>
            <w:pPr>
              <w:pStyle w:val="yTableNAm"/>
            </w:pPr>
          </w:p>
        </w:tc>
        <w:tc>
          <w:tcPr>
            <w:tcW w:w="1455" w:type="dxa"/>
            <w:noWrap/>
          </w:tcPr>
          <w:p>
            <w:pPr>
              <w:pStyle w:val="yTableNAm"/>
            </w:pPr>
          </w:p>
        </w:tc>
      </w:tr>
      <w:tr>
        <w:trPr>
          <w:cantSplit/>
        </w:trPr>
        <w:tc>
          <w:tcPr>
            <w:tcW w:w="738" w:type="dxa"/>
            <w:noWrap/>
          </w:tcPr>
          <w:p>
            <w:pPr>
              <w:pStyle w:val="yTableNAm"/>
            </w:pPr>
            <w:r>
              <w:t>2.</w:t>
            </w:r>
          </w:p>
        </w:tc>
        <w:tc>
          <w:tcPr>
            <w:tcW w:w="1701" w:type="dxa"/>
            <w:noWrap/>
          </w:tcPr>
          <w:p>
            <w:pPr>
              <w:pStyle w:val="yTableNAm"/>
            </w:pPr>
            <w:r>
              <w:t>Category 2 reproductive toxicant</w:t>
            </w:r>
          </w:p>
        </w:tc>
        <w:tc>
          <w:tcPr>
            <w:tcW w:w="1455" w:type="dxa"/>
            <w:noWrap/>
          </w:tcPr>
          <w:p>
            <w:pPr>
              <w:pStyle w:val="yTableNAm"/>
            </w:pPr>
          </w:p>
        </w:tc>
        <w:tc>
          <w:tcPr>
            <w:tcW w:w="1455" w:type="dxa"/>
            <w:noWrap/>
          </w:tcPr>
          <w:p>
            <w:pPr>
              <w:pStyle w:val="yTableNAm"/>
            </w:pPr>
            <w:r>
              <w:t>≥ 3.0%</w:t>
            </w:r>
          </w:p>
        </w:tc>
        <w:tc>
          <w:tcPr>
            <w:tcW w:w="1455" w:type="dxa"/>
            <w:noWrap/>
          </w:tcPr>
          <w:p>
            <w:pPr>
              <w:pStyle w:val="yTableNAm"/>
            </w:pPr>
          </w:p>
        </w:tc>
      </w:tr>
      <w:tr>
        <w:trPr>
          <w:cantSplit/>
        </w:trPr>
        <w:tc>
          <w:tcPr>
            <w:tcW w:w="738" w:type="dxa"/>
            <w:noWrap/>
          </w:tcPr>
          <w:p>
            <w:pPr>
              <w:pStyle w:val="yTableNAm"/>
              <w:keepNext/>
            </w:pPr>
            <w:r>
              <w:t>3.</w:t>
            </w:r>
          </w:p>
        </w:tc>
        <w:tc>
          <w:tcPr>
            <w:tcW w:w="1701" w:type="dxa"/>
            <w:noWrap/>
          </w:tcPr>
          <w:p>
            <w:pPr>
              <w:pStyle w:val="yTableNAm"/>
              <w:keepNext/>
            </w:pPr>
            <w:r>
              <w:t>Additional category for effects on or via lactation</w:t>
            </w:r>
          </w:p>
        </w:tc>
        <w:tc>
          <w:tcPr>
            <w:tcW w:w="1455" w:type="dxa"/>
            <w:noWrap/>
          </w:tcPr>
          <w:p>
            <w:pPr>
              <w:pStyle w:val="yTableNAm"/>
              <w:keepNext/>
            </w:pPr>
          </w:p>
        </w:tc>
        <w:tc>
          <w:tcPr>
            <w:tcW w:w="1455" w:type="dxa"/>
            <w:noWrap/>
          </w:tcPr>
          <w:p>
            <w:pPr>
              <w:pStyle w:val="yTableNAm"/>
              <w:keepNext/>
            </w:pPr>
          </w:p>
        </w:tc>
        <w:tc>
          <w:tcPr>
            <w:tcW w:w="1455" w:type="dxa"/>
            <w:noWrap/>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keepNext/>
            </w:pPr>
            <w:r>
              <w:t>2.</w:t>
            </w:r>
          </w:p>
        </w:tc>
        <w:tc>
          <w:tcPr>
            <w:tcW w:w="1471" w:type="dxa"/>
            <w:noWrap/>
          </w:tcPr>
          <w:p>
            <w:pPr>
              <w:pStyle w:val="yTableNAm"/>
              <w:keepNext/>
            </w:pPr>
            <w:r>
              <w:t>Category 2 specific target organ toxicant</w:t>
            </w:r>
          </w:p>
        </w:tc>
        <w:tc>
          <w:tcPr>
            <w:tcW w:w="2297" w:type="dxa"/>
            <w:noWrap/>
          </w:tcPr>
          <w:p>
            <w:pPr>
              <w:pStyle w:val="yTableNAm"/>
              <w:keepNext/>
            </w:pPr>
          </w:p>
        </w:tc>
        <w:tc>
          <w:tcPr>
            <w:tcW w:w="2298" w:type="dxa"/>
            <w:noWrap/>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cantSplit/>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lastRenderedPageBreak/>
              <w:t>2.</w:t>
            </w:r>
          </w:p>
        </w:tc>
        <w:tc>
          <w:tcPr>
            <w:tcW w:w="1471" w:type="dxa"/>
            <w:noWrap/>
          </w:tcPr>
          <w:p>
            <w:pPr>
              <w:pStyle w:val="yTableNAm"/>
            </w:pPr>
            <w:r>
              <w:t>Category 2 specific target organ toxicant</w:t>
            </w:r>
          </w:p>
        </w:tc>
        <w:tc>
          <w:tcPr>
            <w:tcW w:w="229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236" w:name="_Toc200720740"/>
      <w:r>
        <w:rPr>
          <w:rStyle w:val="CharSchNo"/>
        </w:rPr>
        <w:lastRenderedPageBreak/>
        <w:t>Schedule 7</w:t>
      </w:r>
      <w:r>
        <w:rPr>
          <w:rStyle w:val="CharSDivNo"/>
        </w:rPr>
        <w:t> </w:t>
      </w:r>
      <w:r>
        <w:t>—</w:t>
      </w:r>
      <w:r>
        <w:rPr>
          <w:rStyle w:val="CharSDivText"/>
        </w:rPr>
        <w:t> </w:t>
      </w:r>
      <w:r>
        <w:rPr>
          <w:rStyle w:val="CharSchText"/>
        </w:rPr>
        <w:t>Safety data sheets</w:t>
      </w:r>
      <w:bookmarkEnd w:id="1236"/>
    </w:p>
    <w:p>
      <w:pPr>
        <w:pStyle w:val="yShoulderClause"/>
      </w:pPr>
      <w:r>
        <w:t>[r. 330 and 331]</w:t>
      </w:r>
    </w:p>
    <w:p>
      <w:pPr>
        <w:pStyle w:val="yHeading5"/>
      </w:pPr>
      <w:bookmarkStart w:id="1237" w:name="_Toc200720741"/>
      <w:r>
        <w:rPr>
          <w:rStyle w:val="CharSClsNo"/>
        </w:rPr>
        <w:t>1</w:t>
      </w:r>
      <w:r>
        <w:t>.</w:t>
      </w:r>
      <w:r>
        <w:tab/>
        <w:t>Safety data sheets: content</w:t>
      </w:r>
      <w:bookmarkEnd w:id="1237"/>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keepNext/>
      </w:pPr>
      <w:r>
        <w:lastRenderedPageBreak/>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238" w:name="_Toc200720742"/>
      <w:r>
        <w:rPr>
          <w:rStyle w:val="CharSClsNo"/>
        </w:rPr>
        <w:t>2</w:t>
      </w:r>
      <w:r>
        <w:t>.</w:t>
      </w:r>
      <w:r>
        <w:tab/>
        <w:t>Safety data sheets: research chemical, waste product or sample for analysis</w:t>
      </w:r>
      <w:bookmarkEnd w:id="1238"/>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239" w:name="_Toc200720743"/>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239"/>
    </w:p>
    <w:p>
      <w:pPr>
        <w:pStyle w:val="yShoulderClause"/>
      </w:pPr>
      <w:r>
        <w:t>[Sch. 7 cl. 1(2)(c) and Sch. 9 cl. 3(1)(c)]</w:t>
      </w:r>
    </w:p>
    <w:p>
      <w:pPr>
        <w:pStyle w:val="yHeading5"/>
      </w:pPr>
      <w:bookmarkStart w:id="1240" w:name="_Toc200720744"/>
      <w:r>
        <w:rPr>
          <w:rStyle w:val="CharSClsNo"/>
        </w:rPr>
        <w:t>1</w:t>
      </w:r>
      <w:r>
        <w:t>.</w:t>
      </w:r>
      <w:r>
        <w:tab/>
        <w:t>Purpose of Schedule</w:t>
      </w:r>
      <w:bookmarkEnd w:id="1240"/>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241" w:name="_Toc200720745"/>
      <w:r>
        <w:rPr>
          <w:rStyle w:val="CharSClsNo"/>
        </w:rPr>
        <w:t>2</w:t>
      </w:r>
      <w:r>
        <w:t>.</w:t>
      </w:r>
      <w:r>
        <w:tab/>
        <w:t>Identity of ingredients to be disclosed</w:t>
      </w:r>
      <w:bookmarkEnd w:id="1241"/>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rPr>
          <w:cantSplit/>
        </w:trPr>
        <w:tc>
          <w:tcPr>
            <w:tcW w:w="738" w:type="dxa"/>
            <w:noWrap/>
          </w:tcPr>
          <w:p>
            <w:pPr>
              <w:pStyle w:val="yTableNAm"/>
              <w:keepNext/>
            </w:pPr>
            <w:r>
              <w:lastRenderedPageBreak/>
              <w:t>11.</w:t>
            </w:r>
          </w:p>
        </w:tc>
        <w:tc>
          <w:tcPr>
            <w:tcW w:w="2353" w:type="dxa"/>
            <w:noWrap/>
          </w:tcPr>
          <w:p>
            <w:pPr>
              <w:pStyle w:val="yTableNAm"/>
              <w:keepNext/>
            </w:pPr>
            <w:r>
              <w:t>Aspiration hazards</w:t>
            </w:r>
          </w:p>
        </w:tc>
        <w:tc>
          <w:tcPr>
            <w:tcW w:w="3713" w:type="dxa"/>
            <w:noWrap/>
          </w:tcPr>
          <w:p>
            <w:pPr>
              <w:pStyle w:val="yTableNAm"/>
              <w:keepNext/>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242" w:name="_Toc200720746"/>
      <w:r>
        <w:rPr>
          <w:rStyle w:val="CharSClsNo"/>
        </w:rPr>
        <w:t>3</w:t>
      </w:r>
      <w:r>
        <w:t>.</w:t>
      </w:r>
      <w:r>
        <w:tab/>
        <w:t>Generic names used to disclose identity of ingredients</w:t>
      </w:r>
      <w:bookmarkEnd w:id="1242"/>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cantSplit/>
          <w:tblHeader/>
        </w:trPr>
        <w:tc>
          <w:tcPr>
            <w:tcW w:w="738" w:type="dxa"/>
            <w:noWrap/>
          </w:tcPr>
          <w:p>
            <w:pPr>
              <w:pStyle w:val="yTableNAm"/>
              <w:jc w:val="center"/>
              <w:rPr>
                <w:b/>
                <w:bCs/>
              </w:rPr>
            </w:pPr>
            <w:r>
              <w:rPr>
                <w:b/>
                <w:bCs/>
              </w:rPr>
              <w:t>Item</w:t>
            </w:r>
          </w:p>
        </w:tc>
        <w:tc>
          <w:tcPr>
            <w:tcW w:w="6066" w:type="dxa"/>
            <w:noWrap/>
          </w:tcPr>
          <w:p>
            <w:pPr>
              <w:pStyle w:val="yTableNAm"/>
              <w:jc w:val="center"/>
              <w:rPr>
                <w:b/>
                <w:bCs/>
              </w:rPr>
            </w:pPr>
            <w:r>
              <w:rPr>
                <w:b/>
                <w:bCs/>
              </w:rPr>
              <w:t>Hazard class and hazard category</w:t>
            </w:r>
          </w:p>
        </w:tc>
      </w:tr>
      <w:tr>
        <w:trPr>
          <w:cantSplit/>
        </w:trPr>
        <w:tc>
          <w:tcPr>
            <w:tcW w:w="738" w:type="dxa"/>
            <w:noWrap/>
          </w:tcPr>
          <w:p>
            <w:pPr>
              <w:pStyle w:val="yTableNAm"/>
            </w:pPr>
            <w:r>
              <w:t>1.</w:t>
            </w:r>
          </w:p>
        </w:tc>
        <w:tc>
          <w:tcPr>
            <w:tcW w:w="6066" w:type="dxa"/>
            <w:noWrap/>
          </w:tcPr>
          <w:p>
            <w:pPr>
              <w:pStyle w:val="yTableNAm"/>
            </w:pPr>
            <w:r>
              <w:t>Acute toxicity (category 4)</w:t>
            </w:r>
          </w:p>
        </w:tc>
      </w:tr>
      <w:tr>
        <w:trPr>
          <w:cantSplit/>
        </w:trPr>
        <w:tc>
          <w:tcPr>
            <w:tcW w:w="738" w:type="dxa"/>
            <w:noWrap/>
          </w:tcPr>
          <w:p>
            <w:pPr>
              <w:pStyle w:val="yTableNAm"/>
            </w:pPr>
            <w:r>
              <w:t>2.</w:t>
            </w:r>
          </w:p>
        </w:tc>
        <w:tc>
          <w:tcPr>
            <w:tcW w:w="6066" w:type="dxa"/>
            <w:noWrap/>
          </w:tcPr>
          <w:p>
            <w:pPr>
              <w:pStyle w:val="yTableNAm"/>
            </w:pPr>
            <w:r>
              <w:t>Aspiration hazard (category 1)</w:t>
            </w:r>
          </w:p>
        </w:tc>
      </w:tr>
      <w:tr>
        <w:trPr>
          <w:cantSplit/>
        </w:trPr>
        <w:tc>
          <w:tcPr>
            <w:tcW w:w="738" w:type="dxa"/>
            <w:noWrap/>
          </w:tcPr>
          <w:p>
            <w:pPr>
              <w:pStyle w:val="yTableNAm"/>
            </w:pPr>
            <w:r>
              <w:t>3.</w:t>
            </w:r>
          </w:p>
        </w:tc>
        <w:tc>
          <w:tcPr>
            <w:tcW w:w="6066" w:type="dxa"/>
            <w:noWrap/>
          </w:tcPr>
          <w:p>
            <w:pPr>
              <w:pStyle w:val="yTableNAm"/>
            </w:pPr>
            <w:r>
              <w:t>Serious eye damage or eye irritation (category 2)</w:t>
            </w:r>
          </w:p>
        </w:tc>
      </w:tr>
      <w:tr>
        <w:trPr>
          <w:cantSplit/>
        </w:trPr>
        <w:tc>
          <w:tcPr>
            <w:tcW w:w="738" w:type="dxa"/>
            <w:noWrap/>
          </w:tcPr>
          <w:p>
            <w:pPr>
              <w:pStyle w:val="yTableNAm"/>
            </w:pPr>
            <w:r>
              <w:t>4.</w:t>
            </w:r>
          </w:p>
        </w:tc>
        <w:tc>
          <w:tcPr>
            <w:tcW w:w="6066" w:type="dxa"/>
            <w:noWrap/>
          </w:tcPr>
          <w:p>
            <w:pPr>
              <w:pStyle w:val="yTableNAm"/>
            </w:pPr>
            <w:r>
              <w:t>Skin corrosion or irritation (category 2)</w:t>
            </w:r>
          </w:p>
        </w:tc>
      </w:tr>
      <w:tr>
        <w:trPr>
          <w:cantSplit/>
        </w:trP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243" w:name="_Toc200720747"/>
      <w:r>
        <w:rPr>
          <w:rStyle w:val="CharSClsNo"/>
        </w:rPr>
        <w:t>4</w:t>
      </w:r>
      <w:r>
        <w:t>.</w:t>
      </w:r>
      <w:r>
        <w:tab/>
        <w:t>Disclosing proportions of ingredients</w:t>
      </w:r>
      <w:bookmarkEnd w:id="1243"/>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244" w:name="_Toc200720748"/>
      <w:r>
        <w:rPr>
          <w:rStyle w:val="CharSchNo"/>
        </w:rPr>
        <w:lastRenderedPageBreak/>
        <w:t>Schedule 9</w:t>
      </w:r>
      <w:r>
        <w:t> — </w:t>
      </w:r>
      <w:r>
        <w:rPr>
          <w:rStyle w:val="CharSchText"/>
        </w:rPr>
        <w:t>Classification, packaging and labelling requirements</w:t>
      </w:r>
      <w:bookmarkEnd w:id="1244"/>
    </w:p>
    <w:p>
      <w:pPr>
        <w:pStyle w:val="yShoulderClause"/>
      </w:pPr>
      <w:r>
        <w:t>[r. 329, 334 and 335]</w:t>
      </w:r>
    </w:p>
    <w:p>
      <w:pPr>
        <w:pStyle w:val="yHeading3"/>
      </w:pPr>
      <w:bookmarkStart w:id="1245" w:name="_Toc200720749"/>
      <w:r>
        <w:rPr>
          <w:rStyle w:val="CharSDivNo"/>
        </w:rPr>
        <w:t>Division 1</w:t>
      </w:r>
      <w:r>
        <w:t> — </w:t>
      </w:r>
      <w:r>
        <w:rPr>
          <w:rStyle w:val="CharSDivText"/>
        </w:rPr>
        <w:t>Correct classification</w:t>
      </w:r>
      <w:bookmarkEnd w:id="1245"/>
    </w:p>
    <w:p>
      <w:pPr>
        <w:pStyle w:val="yHeading5"/>
      </w:pPr>
      <w:bookmarkStart w:id="1246" w:name="_Toc200720750"/>
      <w:r>
        <w:rPr>
          <w:rStyle w:val="CharSClsNo"/>
        </w:rPr>
        <w:t>1</w:t>
      </w:r>
      <w:r>
        <w:t>.</w:t>
      </w:r>
      <w:r>
        <w:tab/>
        <w:t>Correct classification of a substance, mixture or article</w:t>
      </w:r>
      <w:bookmarkEnd w:id="1246"/>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247" w:name="_Toc200720751"/>
      <w:r>
        <w:rPr>
          <w:rStyle w:val="CharSDivNo"/>
        </w:rPr>
        <w:t>Division 2</w:t>
      </w:r>
      <w:r>
        <w:t> — </w:t>
      </w:r>
      <w:r>
        <w:rPr>
          <w:rStyle w:val="CharSDivText"/>
        </w:rPr>
        <w:t>Correct packing</w:t>
      </w:r>
      <w:bookmarkEnd w:id="1247"/>
    </w:p>
    <w:p>
      <w:pPr>
        <w:pStyle w:val="yHeading5"/>
      </w:pPr>
      <w:bookmarkStart w:id="1248" w:name="_Toc200720752"/>
      <w:r>
        <w:rPr>
          <w:rStyle w:val="CharSClsNo"/>
        </w:rPr>
        <w:t>2</w:t>
      </w:r>
      <w:r>
        <w:t>.</w:t>
      </w:r>
      <w:r>
        <w:tab/>
        <w:t>Correctly packing hazardous chemicals</w:t>
      </w:r>
      <w:bookmarkEnd w:id="1248"/>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249" w:name="_Toc200720753"/>
      <w:r>
        <w:rPr>
          <w:rStyle w:val="CharSDivNo"/>
        </w:rPr>
        <w:t>Division 3</w:t>
      </w:r>
      <w:r>
        <w:t> — </w:t>
      </w:r>
      <w:r>
        <w:rPr>
          <w:rStyle w:val="CharSDivText"/>
        </w:rPr>
        <w:t>Correct labelling</w:t>
      </w:r>
      <w:bookmarkEnd w:id="1249"/>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250" w:name="_Toc200720754"/>
      <w:r>
        <w:rPr>
          <w:rStyle w:val="CharSClsNo"/>
        </w:rPr>
        <w:t>3</w:t>
      </w:r>
      <w:r>
        <w:t>.</w:t>
      </w:r>
      <w:r>
        <w:tab/>
        <w:t>Labelling hazardous chemicals: general</w:t>
      </w:r>
      <w:bookmarkEnd w:id="1250"/>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251" w:name="_Toc200720755"/>
      <w:r>
        <w:rPr>
          <w:rStyle w:val="CharSClsNo"/>
        </w:rPr>
        <w:t>4</w:t>
      </w:r>
      <w:r>
        <w:t>.</w:t>
      </w:r>
      <w:r>
        <w:tab/>
        <w:t>Labelling hazardous chemicals: small container</w:t>
      </w:r>
      <w:bookmarkEnd w:id="1251"/>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252" w:name="_Toc200720756"/>
      <w:r>
        <w:rPr>
          <w:rStyle w:val="CharSClsNo"/>
        </w:rPr>
        <w:t>5</w:t>
      </w:r>
      <w:r>
        <w:t>.</w:t>
      </w:r>
      <w:r>
        <w:tab/>
        <w:t>Labelling hazardous chemicals: research chemicals or samples for analysis</w:t>
      </w:r>
      <w:bookmarkEnd w:id="1252"/>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253" w:name="_Toc200720757"/>
      <w:r>
        <w:rPr>
          <w:rStyle w:val="CharSClsNo"/>
        </w:rPr>
        <w:t>6</w:t>
      </w:r>
      <w:r>
        <w:t>.</w:t>
      </w:r>
      <w:r>
        <w:tab/>
        <w:t>Labelling hazardous chemicals: decanted or transferred chemicals</w:t>
      </w:r>
      <w:bookmarkEnd w:id="1253"/>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254" w:name="_Toc200720758"/>
      <w:r>
        <w:rPr>
          <w:rStyle w:val="CharSClsNo"/>
        </w:rPr>
        <w:t>7</w:t>
      </w:r>
      <w:r>
        <w:t>.</w:t>
      </w:r>
      <w:r>
        <w:tab/>
        <w:t>Labelling hazardous chemicals: known hazards</w:t>
      </w:r>
      <w:bookmarkEnd w:id="1254"/>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255" w:name="_Toc200720759"/>
      <w:r>
        <w:rPr>
          <w:rStyle w:val="CharSClsNo"/>
        </w:rPr>
        <w:lastRenderedPageBreak/>
        <w:t>8</w:t>
      </w:r>
      <w:r>
        <w:t>.</w:t>
      </w:r>
      <w:r>
        <w:tab/>
        <w:t>Labelling hazardous chemicals: waste products</w:t>
      </w:r>
      <w:bookmarkEnd w:id="1255"/>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256" w:name="_Toc200720760"/>
      <w:r>
        <w:rPr>
          <w:rStyle w:val="CharSClsNo"/>
        </w:rPr>
        <w:t>9</w:t>
      </w:r>
      <w:r>
        <w:t>.</w:t>
      </w:r>
      <w:r>
        <w:tab/>
        <w:t>Labelling hazardous chemicals: explosives</w:t>
      </w:r>
      <w:bookmarkEnd w:id="1256"/>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257" w:name="_Toc200720761"/>
      <w:r>
        <w:rPr>
          <w:rStyle w:val="CharSClsNo"/>
        </w:rPr>
        <w:lastRenderedPageBreak/>
        <w:t>10</w:t>
      </w:r>
      <w:r>
        <w:t>.</w:t>
      </w:r>
      <w:r>
        <w:tab/>
        <w:t>Labelling hazardous chemicals: agricultural and veterinary chemicals</w:t>
      </w:r>
      <w:bookmarkEnd w:id="1257"/>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258" w:name="_Toc200720762"/>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258"/>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c>
          <w:tcPr>
            <w:tcW w:w="1187" w:type="dxa"/>
            <w:noWrap/>
          </w:tcPr>
          <w:p>
            <w:pPr>
              <w:pStyle w:val="yTableNAm"/>
            </w:pPr>
            <w:r>
              <w:t>2.</w:t>
            </w:r>
          </w:p>
        </w:tc>
        <w:tc>
          <w:tcPr>
            <w:tcW w:w="5617" w:type="dxa"/>
            <w:noWrap/>
          </w:tcPr>
          <w:p>
            <w:pPr>
              <w:pStyle w:val="yTableNAm"/>
            </w:pPr>
            <w:r>
              <w:t>Aflatoxins</w:t>
            </w:r>
          </w:p>
        </w:tc>
      </w:tr>
      <w:t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keepNext w:val="0"/>
        <w:spacing w:before="220"/>
      </w:pPr>
      <w:bookmarkStart w:id="1259" w:name="_Toc200720763"/>
      <w:r>
        <w:rPr>
          <w:rStyle w:val="CharSchNo"/>
        </w:rPr>
        <w:lastRenderedPageBreak/>
        <w:t>Schedule 11</w:t>
      </w:r>
      <w:r>
        <w:rPr>
          <w:rStyle w:val="CharSDivNo"/>
        </w:rPr>
        <w:t> </w:t>
      </w:r>
      <w:r>
        <w:t>—</w:t>
      </w:r>
      <w:r>
        <w:rPr>
          <w:rStyle w:val="CharSDivText"/>
        </w:rPr>
        <w:t> </w:t>
      </w:r>
      <w:r>
        <w:rPr>
          <w:rStyle w:val="CharSchText"/>
        </w:rPr>
        <w:t>Not used</w:t>
      </w:r>
      <w:bookmarkEnd w:id="1259"/>
    </w:p>
    <w:p>
      <w:pPr>
        <w:pStyle w:val="yScheduleHeading"/>
        <w:pageBreakBefore w:val="0"/>
        <w:spacing w:before="240"/>
      </w:pPr>
      <w:bookmarkStart w:id="1260" w:name="_Toc200720764"/>
      <w:r>
        <w:t>Schedule 12</w:t>
      </w:r>
      <w:r>
        <w:rPr>
          <w:rStyle w:val="CharSDivNo"/>
        </w:rPr>
        <w:t> </w:t>
      </w:r>
      <w:r>
        <w:t>—</w:t>
      </w:r>
      <w:r>
        <w:rPr>
          <w:rStyle w:val="CharSDivText"/>
        </w:rPr>
        <w:t> </w:t>
      </w:r>
      <w:r>
        <w:t>Not used</w:t>
      </w:r>
      <w:bookmarkEnd w:id="1260"/>
    </w:p>
    <w:p>
      <w:pPr>
        <w:pStyle w:val="yScheduleHeading"/>
        <w:keepNext w:val="0"/>
        <w:pageBreakBefore w:val="0"/>
        <w:spacing w:before="240"/>
      </w:pPr>
      <w:bookmarkStart w:id="1261" w:name="_Toc200720765"/>
      <w:r>
        <w:t>Schedule 13</w:t>
      </w:r>
      <w:r>
        <w:rPr>
          <w:rStyle w:val="CharSDivNo"/>
        </w:rPr>
        <w:t> </w:t>
      </w:r>
      <w:r>
        <w:t>—</w:t>
      </w:r>
      <w:r>
        <w:rPr>
          <w:rStyle w:val="CharSDivText"/>
        </w:rPr>
        <w:t> </w:t>
      </w:r>
      <w:r>
        <w:t>Not used</w:t>
      </w:r>
      <w:bookmarkEnd w:id="1261"/>
    </w:p>
    <w:p>
      <w:pPr>
        <w:pStyle w:val="yScheduleHeading"/>
        <w:spacing w:before="240"/>
      </w:pPr>
      <w:bookmarkStart w:id="1262" w:name="_Toc200720766"/>
      <w:r>
        <w:rPr>
          <w:rStyle w:val="CharSchNo"/>
        </w:rPr>
        <w:lastRenderedPageBreak/>
        <w:t>Schedule 14</w:t>
      </w:r>
      <w:r>
        <w:rPr>
          <w:rStyle w:val="CharSDivNo"/>
        </w:rPr>
        <w:t> </w:t>
      </w:r>
      <w:r>
        <w:t>—</w:t>
      </w:r>
      <w:r>
        <w:rPr>
          <w:rStyle w:val="CharSDivText"/>
        </w:rPr>
        <w:t> </w:t>
      </w:r>
      <w:r>
        <w:rPr>
          <w:rStyle w:val="CharSchText"/>
        </w:rPr>
        <w:t>Requirements for health monitoring</w:t>
      </w:r>
      <w:bookmarkEnd w:id="1262"/>
    </w:p>
    <w:p>
      <w:pPr>
        <w:pStyle w:val="yShoulderClause"/>
        <w:keepNext/>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1263" w:name="_Toc200720767"/>
      <w:r>
        <w:rPr>
          <w:rStyle w:val="CharSchNo"/>
        </w:rPr>
        <w:lastRenderedPageBreak/>
        <w:t>Schedule 15</w:t>
      </w:r>
      <w:r>
        <w:rPr>
          <w:rStyle w:val="CharSDivNo"/>
        </w:rPr>
        <w:t> </w:t>
      </w:r>
      <w:r>
        <w:t>—</w:t>
      </w:r>
      <w:r>
        <w:rPr>
          <w:rStyle w:val="CharSDivText"/>
        </w:rPr>
        <w:t> </w:t>
      </w:r>
      <w:r>
        <w:rPr>
          <w:rStyle w:val="CharSchText"/>
        </w:rPr>
        <w:t>Not used</w:t>
      </w:r>
      <w:bookmarkEnd w:id="1263"/>
    </w:p>
    <w:p>
      <w:pPr>
        <w:pStyle w:val="yScheduleHeading"/>
        <w:pageBreakBefore w:val="0"/>
        <w:spacing w:before="240"/>
      </w:pPr>
      <w:bookmarkStart w:id="1264" w:name="_Toc200720768"/>
      <w:r>
        <w:t>Schedule 16</w:t>
      </w:r>
      <w:r>
        <w:rPr>
          <w:rStyle w:val="CharSDivNo"/>
        </w:rPr>
        <w:t> </w:t>
      </w:r>
      <w:r>
        <w:t>—</w:t>
      </w:r>
      <w:r>
        <w:rPr>
          <w:rStyle w:val="CharSDivText"/>
        </w:rPr>
        <w:t> </w:t>
      </w:r>
      <w:r>
        <w:t>Not used</w:t>
      </w:r>
      <w:bookmarkEnd w:id="1264"/>
    </w:p>
    <w:p>
      <w:pPr>
        <w:pStyle w:val="yScheduleHeading"/>
        <w:pageBreakBefore w:val="0"/>
        <w:spacing w:before="240"/>
      </w:pPr>
      <w:bookmarkStart w:id="1265" w:name="_Toc200720769"/>
      <w:r>
        <w:t>Schedule 17</w:t>
      </w:r>
      <w:r>
        <w:rPr>
          <w:rStyle w:val="CharSDivNo"/>
        </w:rPr>
        <w:t> </w:t>
      </w:r>
      <w:r>
        <w:t>—</w:t>
      </w:r>
      <w:r>
        <w:rPr>
          <w:rStyle w:val="CharSDivText"/>
        </w:rPr>
        <w:t> </w:t>
      </w:r>
      <w:r>
        <w:t>Not used</w:t>
      </w:r>
      <w:bookmarkEnd w:id="1265"/>
    </w:p>
    <w:p>
      <w:pPr>
        <w:pStyle w:val="yScheduleHeading"/>
        <w:pageBreakBefore w:val="0"/>
        <w:spacing w:before="240"/>
      </w:pPr>
      <w:bookmarkStart w:id="1266" w:name="_Toc200720770"/>
      <w:r>
        <w:t>Schedule 18 — Not used</w:t>
      </w:r>
      <w:bookmarkEnd w:id="1266"/>
    </w:p>
    <w:p>
      <w:pPr>
        <w:pStyle w:val="yScheduleHeading"/>
      </w:pPr>
      <w:bookmarkStart w:id="1267" w:name="_Toc200720771"/>
      <w:r>
        <w:rPr>
          <w:rStyle w:val="CharSchNo"/>
        </w:rPr>
        <w:lastRenderedPageBreak/>
        <w:t>Schedule 18A</w:t>
      </w:r>
      <w:r>
        <w:rPr>
          <w:rStyle w:val="CharSDivNo"/>
        </w:rPr>
        <w:t> </w:t>
      </w:r>
      <w:r>
        <w:t>—</w:t>
      </w:r>
      <w:r>
        <w:rPr>
          <w:rStyle w:val="CharSDivText"/>
        </w:rPr>
        <w:t> </w:t>
      </w:r>
      <w:r>
        <w:rPr>
          <w:rStyle w:val="CharSchText"/>
        </w:rPr>
        <w:t>Forms</w:t>
      </w:r>
      <w:bookmarkEnd w:id="1267"/>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lastRenderedPageBreak/>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ySubsection"/>
        <w:sectPr>
          <w:headerReference w:type="even" r:id="rId28"/>
          <w:headerReference w:type="default" r:id="rId29"/>
          <w:pgSz w:w="11907" w:h="16840" w:code="9"/>
          <w:pgMar w:top="2381" w:right="2410" w:bottom="3544" w:left="2410" w:header="720" w:footer="3544" w:gutter="0"/>
          <w:cols w:space="720"/>
        </w:sectPr>
      </w:pPr>
    </w:p>
    <w:p>
      <w:pPr>
        <w:pStyle w:val="yScheduleHeading"/>
        <w:outlineLvl w:val="0"/>
      </w:pPr>
      <w:bookmarkStart w:id="1268" w:name="_Toc200720772"/>
      <w:r>
        <w:rPr>
          <w:rStyle w:val="CharSchNo"/>
        </w:rPr>
        <w:lastRenderedPageBreak/>
        <w:t>Schedule 19</w:t>
      </w:r>
      <w:r>
        <w:rPr>
          <w:rStyle w:val="CharSDivNo"/>
        </w:rPr>
        <w:t> </w:t>
      </w:r>
      <w:r>
        <w:t>—</w:t>
      </w:r>
      <w:r>
        <w:rPr>
          <w:rStyle w:val="CharSDivText"/>
        </w:rPr>
        <w:t> </w:t>
      </w:r>
      <w:r>
        <w:rPr>
          <w:rStyle w:val="CharSchText"/>
        </w:rPr>
        <w:t>Principal mining hazard management plans — matters to be considered</w:t>
      </w:r>
      <w:bookmarkEnd w:id="1268"/>
    </w:p>
    <w:p>
      <w:pPr>
        <w:pStyle w:val="yShoulderClause"/>
      </w:pPr>
      <w:r>
        <w:t>[r. 628]</w:t>
      </w:r>
    </w:p>
    <w:p>
      <w:pPr>
        <w:pStyle w:val="yHeading5"/>
      </w:pPr>
      <w:bookmarkStart w:id="1269" w:name="_Toc200720773"/>
      <w:r>
        <w:rPr>
          <w:rStyle w:val="CharSClsNo"/>
        </w:rPr>
        <w:t>1</w:t>
      </w:r>
      <w:r>
        <w:t>.</w:t>
      </w:r>
      <w:r>
        <w:tab/>
        <w:t>Geotechnical structure instability</w:t>
      </w:r>
      <w:bookmarkEnd w:id="1269"/>
    </w:p>
    <w:p>
      <w:pPr>
        <w:pStyle w:val="ySubsection"/>
      </w:pPr>
      <w:r>
        <w:tab/>
      </w:r>
      <w:r>
        <w:tab/>
        <w:t xml:space="preserve">The following matters must be considered in developing control measures to manage the risks of geotechnical structure instability — </w:t>
      </w:r>
    </w:p>
    <w:p>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pPr>
        <w:pStyle w:val="yIndenta"/>
        <w:rPr>
          <w:szCs w:val="22"/>
        </w:rPr>
      </w:pPr>
      <w:r>
        <w:tab/>
        <w:t>(b)</w:t>
      </w:r>
      <w:r>
        <w:tab/>
        <w:t>e</w:t>
      </w:r>
      <w:r>
        <w:rPr>
          <w:szCs w:val="22"/>
        </w:rPr>
        <w:t xml:space="preserve">ffects of time, water and oxidation on </w:t>
      </w:r>
      <w:r>
        <w:t xml:space="preserve">geotechnical </w:t>
      </w:r>
      <w:r>
        <w:rPr>
          <w:szCs w:val="22"/>
        </w:rPr>
        <w:t>properties;</w:t>
      </w:r>
    </w:p>
    <w:p>
      <w:pPr>
        <w:pStyle w:val="yIndenta"/>
      </w:pPr>
      <w:r>
        <w:tab/>
        <w:t>(c)</w:t>
      </w:r>
      <w:r>
        <w:tab/>
        <w:t xml:space="preserve">the hydrological and hydrogeological environment, including surface and ground water and their effect on the stability of </w:t>
      </w:r>
      <w:r>
        <w:rPr>
          <w:szCs w:val="22"/>
        </w:rPr>
        <w:t>geological structures;</w:t>
      </w:r>
    </w:p>
    <w:p>
      <w:pPr>
        <w:pStyle w:val="yIndenta"/>
      </w:pPr>
      <w:r>
        <w:tab/>
        <w:t>(d)</w:t>
      </w:r>
      <w:r>
        <w:tab/>
        <w:t>site selection for waste, tailings and water storage</w:t>
      </w:r>
      <w:r>
        <w:rPr>
          <w:szCs w:val="22"/>
        </w:rPr>
        <w:t>;</w:t>
      </w:r>
    </w:p>
    <w:p>
      <w:pPr>
        <w:pStyle w:val="yIndenta"/>
        <w:rPr>
          <w:szCs w:val="22"/>
        </w:rPr>
      </w:pPr>
      <w:r>
        <w:tab/>
        <w:t>(e)</w:t>
      </w:r>
      <w:r>
        <w:tab/>
        <w:t>the effect of size, slope and geometry of openings and pillars left as support</w:t>
      </w:r>
      <w:r>
        <w:rPr>
          <w:szCs w:val="22"/>
        </w:rPr>
        <w:t>;</w:t>
      </w:r>
    </w:p>
    <w:p>
      <w:pPr>
        <w:pStyle w:val="yIndenta"/>
      </w:pPr>
      <w:r>
        <w:tab/>
        <w:t>(f)</w:t>
      </w:r>
      <w:r>
        <w:tab/>
        <w:t>design life of geotechnical structures</w:t>
      </w:r>
      <w:r>
        <w:rPr>
          <w:szCs w:val="22"/>
        </w:rPr>
        <w:t>;</w:t>
      </w:r>
    </w:p>
    <w:p>
      <w:pPr>
        <w:pStyle w:val="yIndenta"/>
      </w:pPr>
      <w:r>
        <w:tab/>
        <w:t>(g)</w:t>
      </w:r>
      <w:r>
        <w:tab/>
        <w:t xml:space="preserve">method, sequence and rate of extraction of ground; </w:t>
      </w:r>
    </w:p>
    <w:p>
      <w:pPr>
        <w:pStyle w:val="yIndenta"/>
      </w:pPr>
      <w:r>
        <w:tab/>
        <w:t>(h)</w:t>
      </w:r>
      <w:r>
        <w:tab/>
        <w:t>placement of any filling material</w:t>
      </w:r>
      <w:r>
        <w:rPr>
          <w:szCs w:val="22"/>
        </w:rPr>
        <w:t>;</w:t>
      </w:r>
    </w:p>
    <w:p>
      <w:pPr>
        <w:pStyle w:val="yIndenta"/>
      </w:pPr>
      <w:r>
        <w:tab/>
        <w:t>(i)</w:t>
      </w:r>
      <w:r>
        <w:tab/>
        <w:t>design, installation (including time of installation), monitoring, maintenance, longevity and quality control of ground support and reinforcement;</w:t>
      </w:r>
    </w:p>
    <w:p>
      <w:pPr>
        <w:pStyle w:val="yIndenta"/>
      </w:pPr>
      <w:r>
        <w:tab/>
        <w:t>(j)</w:t>
      </w:r>
      <w:r>
        <w:tab/>
        <w:t>managing and minimising adverse effects of blasting, old workings and dynamic loading</w:t>
      </w:r>
      <w:r>
        <w:rPr>
          <w:szCs w:val="22"/>
        </w:rPr>
        <w:t>;</w:t>
      </w:r>
    </w:p>
    <w:p>
      <w:pPr>
        <w:pStyle w:val="yIndenta"/>
      </w:pPr>
      <w:r>
        <w:tab/>
        <w:t>(k)</w:t>
      </w:r>
      <w:r>
        <w:tab/>
        <w:t>use of appropriate equipment for scaling of ground and installing ground support and reinforcement</w:t>
      </w:r>
      <w:r>
        <w:rPr>
          <w:szCs w:val="22"/>
        </w:rPr>
        <w:t>;</w:t>
      </w:r>
    </w:p>
    <w:p>
      <w:pPr>
        <w:pStyle w:val="yIndenta"/>
      </w:pPr>
      <w:r>
        <w:tab/>
        <w:t>(l)</w:t>
      </w:r>
      <w:r>
        <w:tab/>
        <w:t xml:space="preserve">seismic activity, including — </w:t>
      </w:r>
    </w:p>
    <w:p>
      <w:pPr>
        <w:pStyle w:val="yIndenti0"/>
      </w:pPr>
      <w:r>
        <w:tab/>
        <w:t>(i)</w:t>
      </w:r>
      <w:r>
        <w:tab/>
        <w:t>assessing the likelihood of potential seismic activity; and</w:t>
      </w:r>
    </w:p>
    <w:p>
      <w:pPr>
        <w:pStyle w:val="yIndenti0"/>
      </w:pPr>
      <w:r>
        <w:tab/>
        <w:t>(ii)</w:t>
      </w:r>
      <w:r>
        <w:tab/>
        <w:t>monitoring for seismic activity; and</w:t>
      </w:r>
    </w:p>
    <w:p>
      <w:pPr>
        <w:pStyle w:val="yIndenti0"/>
      </w:pPr>
      <w:r>
        <w:tab/>
        <w:t>(iii)</w:t>
      </w:r>
      <w:r>
        <w:tab/>
        <w:t xml:space="preserve">how data collected during the monitoring for seismic activity will be analysed; and </w:t>
      </w:r>
    </w:p>
    <w:p>
      <w:pPr>
        <w:pStyle w:val="yIndenti0"/>
      </w:pPr>
      <w:r>
        <w:lastRenderedPageBreak/>
        <w:tab/>
        <w:t>(iv)</w:t>
      </w:r>
      <w:r>
        <w:tab/>
        <w:t>precautions taken to eliminate or minimise the adverse effects of seismic activity</w:t>
      </w:r>
      <w:r>
        <w:rPr>
          <w:szCs w:val="22"/>
        </w:rPr>
        <w:t>;</w:t>
      </w:r>
    </w:p>
    <w:p>
      <w:pPr>
        <w:pStyle w:val="yIndenta"/>
      </w:pPr>
      <w:r>
        <w:tab/>
        <w:t>(m)</w:t>
      </w:r>
      <w:r>
        <w:tab/>
        <w:t>design and construction of foundations of structures</w:t>
      </w:r>
      <w:r>
        <w:rPr>
          <w:szCs w:val="22"/>
        </w:rPr>
        <w:t>;</w:t>
      </w:r>
    </w:p>
    <w:p>
      <w:pPr>
        <w:pStyle w:val="yIndenta"/>
      </w:pPr>
      <w:r>
        <w:tab/>
        <w:t>(n)</w:t>
      </w:r>
      <w:r>
        <w:tab/>
        <w:t>procedures for dealing with emergencies due to instability or ground failure</w:t>
      </w:r>
      <w:r>
        <w:rPr>
          <w:szCs w:val="22"/>
        </w:rPr>
        <w:t>;</w:t>
      </w:r>
    </w:p>
    <w:p>
      <w:pPr>
        <w:pStyle w:val="yIndenta"/>
      </w:pPr>
      <w:r>
        <w:tab/>
        <w:t>(o)</w:t>
      </w:r>
      <w:r>
        <w:tab/>
        <w:t xml:space="preserve">inspecting and monitoring geotechnical structures, including — </w:t>
      </w:r>
    </w:p>
    <w:p>
      <w:pPr>
        <w:pStyle w:val="yIndenti0"/>
      </w:pPr>
      <w:r>
        <w:tab/>
        <w:t>(i)</w:t>
      </w:r>
      <w:r>
        <w:tab/>
        <w:t>how data is collected and analysed; and</w:t>
      </w:r>
    </w:p>
    <w:p>
      <w:pPr>
        <w:pStyle w:val="yIndenti0"/>
      </w:pPr>
      <w:r>
        <w:tab/>
        <w:t>(ii)</w:t>
      </w:r>
      <w:r>
        <w:tab/>
        <w:t>if corrective action is required, how that action will be carried out;</w:t>
      </w:r>
    </w:p>
    <w:p>
      <w:pPr>
        <w:pStyle w:val="yIndenta"/>
      </w:pPr>
      <w:r>
        <w:tab/>
        <w:t>(p)</w:t>
      </w:r>
      <w:r>
        <w:tab/>
        <w:t>competency of designers, planners, supervisors and operators</w:t>
      </w:r>
      <w:r>
        <w:rPr>
          <w:szCs w:val="22"/>
        </w:rPr>
        <w:t>;</w:t>
      </w:r>
    </w:p>
    <w:p>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pPr>
        <w:pStyle w:val="yHeading5"/>
      </w:pPr>
      <w:bookmarkStart w:id="1270" w:name="_Toc200720774"/>
      <w:r>
        <w:rPr>
          <w:rStyle w:val="CharSClsNo"/>
        </w:rPr>
        <w:t>2</w:t>
      </w:r>
      <w:r>
        <w:t>.</w:t>
      </w:r>
      <w:r>
        <w:tab/>
        <w:t>Inrush of any substance</w:t>
      </w:r>
      <w:bookmarkEnd w:id="1270"/>
    </w:p>
    <w:p>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pPr>
        <w:pStyle w:val="yIndenta"/>
      </w:pPr>
      <w:r>
        <w:tab/>
        <w:t>(a)</w:t>
      </w:r>
      <w:r>
        <w:tab/>
        <w:t xml:space="preserve">identifying potential sources of water and other substances that may be the source of material causing unplanned inrush at the mine, including — </w:t>
      </w:r>
    </w:p>
    <w:p>
      <w:pPr>
        <w:pStyle w:val="yIndenti0"/>
      </w:pPr>
      <w:r>
        <w:tab/>
        <w:t>(i)</w:t>
      </w:r>
      <w:r>
        <w:tab/>
        <w:t>where water or other material that may cause inrush is stored, and where those places are in relation to workplaces; and</w:t>
      </w:r>
    </w:p>
    <w:p>
      <w:pPr>
        <w:pStyle w:val="yIndenti0"/>
      </w:pPr>
      <w:r>
        <w:tab/>
        <w:t>(ii)</w:t>
      </w:r>
      <w:r>
        <w:tab/>
        <w:t>natural surface water bodies and systems; and</w:t>
      </w:r>
    </w:p>
    <w:p>
      <w:pPr>
        <w:pStyle w:val="yIndenti0"/>
      </w:pPr>
      <w:r>
        <w:tab/>
        <w:t>(iii)</w:t>
      </w:r>
      <w:r>
        <w:tab/>
        <w:t>surface or underground workings, including workings in adjoining mines, that contain or may contain water, slurry or other materials; and</w:t>
      </w:r>
    </w:p>
    <w:p>
      <w:pPr>
        <w:pStyle w:val="yIndenti0"/>
      </w:pPr>
      <w:r>
        <w:tab/>
        <w:t>(iv)</w:t>
      </w:r>
      <w:r>
        <w:tab/>
        <w:t>inaccessible underground voids with unknown boundaries; and</w:t>
      </w:r>
    </w:p>
    <w:p>
      <w:pPr>
        <w:pStyle w:val="yIndenti0"/>
      </w:pPr>
      <w:r>
        <w:tab/>
        <w:t>(v)</w:t>
      </w:r>
      <w:r>
        <w:tab/>
        <w:t>subsurface water bodies and systems; and</w:t>
      </w:r>
    </w:p>
    <w:p>
      <w:pPr>
        <w:pStyle w:val="yIndenti0"/>
      </w:pPr>
      <w:r>
        <w:tab/>
        <w:t>(vi)</w:t>
      </w:r>
      <w:r>
        <w:tab/>
        <w:t>natural events that may result in excess water; and</w:t>
      </w:r>
    </w:p>
    <w:p>
      <w:pPr>
        <w:pStyle w:val="yIndenti0"/>
      </w:pPr>
      <w:r>
        <w:tab/>
        <w:t>(vii)</w:t>
      </w:r>
      <w:r>
        <w:tab/>
        <w:t>tailings, waste and rock storage facilities; and</w:t>
      </w:r>
    </w:p>
    <w:p>
      <w:pPr>
        <w:pStyle w:val="yIndenti0"/>
      </w:pPr>
      <w:r>
        <w:lastRenderedPageBreak/>
        <w:tab/>
        <w:t>(viii)</w:t>
      </w:r>
      <w:r>
        <w:tab/>
        <w:t>loss of containment while backfilling, or loss of containment of backfilled material; and</w:t>
      </w:r>
    </w:p>
    <w:p>
      <w:pPr>
        <w:pStyle w:val="yIndenti0"/>
      </w:pPr>
      <w:r>
        <w:tab/>
        <w:t>(ix)</w:t>
      </w:r>
      <w:r>
        <w:tab/>
        <w:t>ore and waste passes and draw points;</w:t>
      </w:r>
    </w:p>
    <w:p>
      <w:pPr>
        <w:pStyle w:val="yIndenta"/>
      </w:pPr>
      <w:r>
        <w:tab/>
        <w:t>(b)</w:t>
      </w:r>
      <w:r>
        <w:tab/>
        <w:t xml:space="preserve">identifying possible paths or failure modes by which inrush could occur, including — </w:t>
      </w:r>
    </w:p>
    <w:p>
      <w:pPr>
        <w:pStyle w:val="yIndenti0"/>
      </w:pPr>
      <w:r>
        <w:tab/>
        <w:t>(i)</w:t>
      </w:r>
      <w:r>
        <w:tab/>
        <w:t>openings from underground to surface; and</w:t>
      </w:r>
    </w:p>
    <w:p>
      <w:pPr>
        <w:pStyle w:val="yIndenti0"/>
      </w:pPr>
      <w:r>
        <w:tab/>
        <w:t>(ii)</w:t>
      </w:r>
      <w:r>
        <w:tab/>
        <w:t>boreholes connecting to water bodies; and</w:t>
      </w:r>
    </w:p>
    <w:p>
      <w:pPr>
        <w:pStyle w:val="yIndenti0"/>
      </w:pPr>
      <w:r>
        <w:tab/>
        <w:t>(iii)</w:t>
      </w:r>
      <w:r>
        <w:tab/>
        <w:t>potential accidental breakthrough into current or old voids; and</w:t>
      </w:r>
    </w:p>
    <w:p>
      <w:pPr>
        <w:pStyle w:val="yIndenti0"/>
      </w:pPr>
      <w:r>
        <w:tab/>
        <w:t>(iv)</w:t>
      </w:r>
      <w:r>
        <w:tab/>
        <w:t>potential failure of barriers, including walls, bunds, plugs, dams, barricades, levies and rock barriers; and</w:t>
      </w:r>
    </w:p>
    <w:p>
      <w:pPr>
        <w:pStyle w:val="yIndenti0"/>
      </w:pPr>
      <w:r>
        <w:tab/>
        <w:t>(v)</w:t>
      </w:r>
      <w:r>
        <w:tab/>
        <w:t>geological structures and weaknesses; and</w:t>
      </w:r>
    </w:p>
    <w:p>
      <w:pPr>
        <w:pStyle w:val="yIndenti0"/>
      </w:pPr>
      <w:r>
        <w:tab/>
        <w:t>(vi)</w:t>
      </w:r>
      <w:r>
        <w:tab/>
        <w:t>sink holes and caving of workings; and</w:t>
      </w:r>
    </w:p>
    <w:p>
      <w:pPr>
        <w:pStyle w:val="yIndenti0"/>
      </w:pPr>
      <w:r>
        <w:tab/>
        <w:t>(vii)</w:t>
      </w:r>
      <w:r>
        <w:tab/>
        <w:t xml:space="preserve">liquefaction; </w:t>
      </w:r>
    </w:p>
    <w:p>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pPr>
        <w:pStyle w:val="yIndenti0"/>
      </w:pPr>
      <w:r>
        <w:tab/>
        <w:t>(i)</w:t>
      </w:r>
      <w:r>
        <w:tab/>
        <w:t xml:space="preserve">where water, or other material that may cause inrush, is stored to avoid inrush occurring in relation to workplaces; </w:t>
      </w:r>
    </w:p>
    <w:p>
      <w:pPr>
        <w:pStyle w:val="yIndenti0"/>
      </w:pPr>
      <w:r>
        <w:tab/>
        <w:t>(ii)</w:t>
      </w:r>
      <w:r>
        <w:tab/>
        <w:t xml:space="preserve">designing, constructing and maintaining barriers, including walls, bunds, plugs, dams, barricades, levies and rock barriers; </w:t>
      </w:r>
    </w:p>
    <w:p>
      <w:pPr>
        <w:pStyle w:val="yIndenti0"/>
      </w:pPr>
      <w:r>
        <w:tab/>
        <w:t>(iii)</w:t>
      </w:r>
      <w:r>
        <w:tab/>
        <w:t xml:space="preserve">inspecting current or old workings, if possible, before breaking through; </w:t>
      </w:r>
    </w:p>
    <w:p>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pPr>
        <w:pStyle w:val="yIndenti0"/>
      </w:pPr>
      <w:r>
        <w:tab/>
        <w:t>(v)</w:t>
      </w:r>
      <w:r>
        <w:tab/>
        <w:t xml:space="preserve">developing a process for drilling probe holes that allows for the detection and controlled release of any water encountered; </w:t>
      </w:r>
    </w:p>
    <w:p>
      <w:pPr>
        <w:pStyle w:val="yIndenti0"/>
      </w:pPr>
      <w:r>
        <w:tab/>
        <w:t>(vi)</w:t>
      </w:r>
      <w:r>
        <w:tab/>
        <w:t xml:space="preserve">extreme weather conditions, including by monitoring and responding to those conditions; </w:t>
      </w:r>
    </w:p>
    <w:p>
      <w:pPr>
        <w:pStyle w:val="yIndenti0"/>
      </w:pPr>
      <w:r>
        <w:lastRenderedPageBreak/>
        <w:tab/>
        <w:t>(vii)</w:t>
      </w:r>
      <w:r>
        <w:tab/>
        <w:t xml:space="preserve">potential inrush sources, including by marking danger zones around the sources; </w:t>
      </w:r>
    </w:p>
    <w:p>
      <w:pPr>
        <w:pStyle w:val="yIndenti0"/>
      </w:pPr>
      <w:r>
        <w:tab/>
        <w:t>(viii)</w:t>
      </w:r>
      <w:r>
        <w:tab/>
        <w:t xml:space="preserve">workers working near or approaching areas that contain or may contain water or slurry; </w:t>
      </w:r>
    </w:p>
    <w:p>
      <w:pPr>
        <w:pStyle w:val="yIndenti0"/>
      </w:pPr>
      <w:r>
        <w:tab/>
        <w:t>(ix)</w:t>
      </w:r>
      <w:r>
        <w:tab/>
        <w:t xml:space="preserve">drawing ore or waste from passes or draw points; </w:t>
      </w:r>
    </w:p>
    <w:p>
      <w:pPr>
        <w:pStyle w:val="yIndenti0"/>
      </w:pPr>
      <w:r>
        <w:tab/>
        <w:t>(x)</w:t>
      </w:r>
      <w:r>
        <w:tab/>
        <w:t xml:space="preserve">draining of workings, if practicable, that contain or may contain water or slurry before workers work near or approach the workings; </w:t>
      </w:r>
    </w:p>
    <w:p>
      <w:pPr>
        <w:pStyle w:val="yIndenti0"/>
      </w:pPr>
      <w:r>
        <w:tab/>
        <w:t>(xi)</w:t>
      </w:r>
      <w:r>
        <w:tab/>
        <w:t xml:space="preserve">backfilling operations, including working near backfilled workings; </w:t>
      </w:r>
    </w:p>
    <w:p>
      <w:pPr>
        <w:pStyle w:val="yIndenti0"/>
      </w:pPr>
      <w:r>
        <w:tab/>
        <w:t>(xii)</w:t>
      </w:r>
      <w:r>
        <w:tab/>
        <w:t>withdrawing workers and other persons from any area if there is a risk of an imminent inrush.</w:t>
      </w:r>
    </w:p>
    <w:p>
      <w:pPr>
        <w:pStyle w:val="yHeading5"/>
      </w:pPr>
      <w:bookmarkStart w:id="1271" w:name="_Toc200720775"/>
      <w:r>
        <w:rPr>
          <w:rStyle w:val="CharSClsNo"/>
        </w:rPr>
        <w:t>3</w:t>
      </w:r>
      <w:r>
        <w:t>.</w:t>
      </w:r>
      <w:r>
        <w:tab/>
        <w:t>Mine shafts and winding systems</w:t>
      </w:r>
      <w:bookmarkEnd w:id="1271"/>
    </w:p>
    <w:p>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pPr>
        <w:pStyle w:val="yIndenta"/>
        <w:rPr>
          <w:szCs w:val="22"/>
        </w:rPr>
      </w:pPr>
      <w:r>
        <w:tab/>
        <w:t>(a)</w:t>
      </w:r>
      <w:r>
        <w:tab/>
      </w:r>
      <w:r>
        <w:rPr>
          <w:szCs w:val="22"/>
        </w:rPr>
        <w:t>the stability and integrity of mine shafts;</w:t>
      </w:r>
    </w:p>
    <w:p>
      <w:pPr>
        <w:pStyle w:val="yIndenta"/>
      </w:pPr>
      <w:r>
        <w:tab/>
        <w:t>(b)</w:t>
      </w:r>
      <w:r>
        <w:tab/>
        <w:t xml:space="preserve">the ventilation arrangement for sinking a mine shaft in which people will enter to carry out work; </w:t>
      </w:r>
    </w:p>
    <w:p>
      <w:pPr>
        <w:pStyle w:val="yIndenta"/>
      </w:pPr>
      <w:r>
        <w:tab/>
        <w:t>(c)</w:t>
      </w:r>
      <w:r>
        <w:tab/>
      </w:r>
      <w:r>
        <w:rPr>
          <w:szCs w:val="22"/>
        </w:rPr>
        <w:t>the potential for fires in underground operations, mine shafts or winder areas;</w:t>
      </w:r>
    </w:p>
    <w:p>
      <w:pPr>
        <w:pStyle w:val="yIndenta"/>
      </w:pPr>
      <w:r>
        <w:tab/>
        <w:t>(d)</w:t>
      </w:r>
      <w:r>
        <w:tab/>
      </w:r>
      <w:r>
        <w:rPr>
          <w:szCs w:val="22"/>
        </w:rPr>
        <w:t>the potential for any unintended or uncontrolled movement of the conveyances within mine shafts;</w:t>
      </w:r>
    </w:p>
    <w:p>
      <w:pPr>
        <w:pStyle w:val="yIndenta"/>
      </w:pPr>
      <w:r>
        <w:tab/>
        <w:t>(e)</w:t>
      </w:r>
      <w:r>
        <w:tab/>
      </w:r>
      <w:r>
        <w:rPr>
          <w:szCs w:val="22"/>
        </w:rPr>
        <w:t>the potential for a detached conveyance to fall down a mine shaft;</w:t>
      </w:r>
    </w:p>
    <w:p>
      <w:pPr>
        <w:pStyle w:val="yIndenta"/>
      </w:pPr>
      <w:r>
        <w:tab/>
        <w:t>(f)</w:t>
      </w:r>
      <w:r>
        <w:tab/>
      </w:r>
      <w:r>
        <w:rPr>
          <w:szCs w:val="22"/>
        </w:rPr>
        <w:t>the potential for persons, equipment, materials or support structure to fall into or within mine shafts;</w:t>
      </w:r>
    </w:p>
    <w:p>
      <w:pPr>
        <w:pStyle w:val="yIndenta"/>
        <w:rPr>
          <w:szCs w:val="22"/>
        </w:rPr>
      </w:pPr>
      <w:r>
        <w:tab/>
        <w:t>(g)</w:t>
      </w:r>
      <w:r>
        <w:tab/>
      </w:r>
      <w:r>
        <w:rPr>
          <w:szCs w:val="22"/>
        </w:rPr>
        <w:t xml:space="preserve">the potential for failure of, or damage to, health and safety related equipment and controls, including the following — </w:t>
      </w:r>
    </w:p>
    <w:p>
      <w:pPr>
        <w:pStyle w:val="yIndenti0"/>
      </w:pPr>
      <w:r>
        <w:tab/>
        <w:t>(i)</w:t>
      </w:r>
      <w:r>
        <w:tab/>
      </w:r>
      <w:r>
        <w:rPr>
          <w:szCs w:val="22"/>
        </w:rPr>
        <w:t>ropes bearing the weight of the shaft conveyance;</w:t>
      </w:r>
    </w:p>
    <w:p>
      <w:pPr>
        <w:pStyle w:val="yIndenti0"/>
      </w:pPr>
      <w:r>
        <w:tab/>
        <w:t>(ii)</w:t>
      </w:r>
      <w:r>
        <w:tab/>
      </w:r>
      <w:r>
        <w:rPr>
          <w:szCs w:val="22"/>
        </w:rPr>
        <w:t>controls and limiting devices to prevent overwind, overrun, overspeed and the exceeding of other selected limits;</w:t>
      </w:r>
    </w:p>
    <w:p>
      <w:pPr>
        <w:pStyle w:val="yIndenti0"/>
      </w:pPr>
      <w:r>
        <w:lastRenderedPageBreak/>
        <w:tab/>
        <w:t>(iii)</w:t>
      </w:r>
      <w:r>
        <w:tab/>
      </w:r>
      <w:r>
        <w:rPr>
          <w:szCs w:val="22"/>
        </w:rPr>
        <w:t>equipment and controls to detect, prevent or cause the winder to stop in the event of slack rope, drum slip or tail rope malfunctions;</w:t>
      </w:r>
    </w:p>
    <w:p>
      <w:pPr>
        <w:pStyle w:val="yIndenti0"/>
        <w:rPr>
          <w:szCs w:val="22"/>
        </w:rPr>
      </w:pPr>
      <w:r>
        <w:tab/>
        <w:t>(iv)</w:t>
      </w:r>
      <w:r>
        <w:tab/>
      </w:r>
      <w:r>
        <w:rPr>
          <w:szCs w:val="22"/>
        </w:rPr>
        <w:t>braking systems, including emergency brakes and systems for preventing the free­fall of a conveyance;</w:t>
      </w:r>
    </w:p>
    <w:p>
      <w:pPr>
        <w:pStyle w:val="yIndenti0"/>
      </w:pPr>
      <w:r>
        <w:tab/>
        <w:t>(v)</w:t>
      </w:r>
      <w:r>
        <w:tab/>
      </w:r>
      <w:r>
        <w:rPr>
          <w:szCs w:val="22"/>
        </w:rPr>
        <w:t>warning systems for any emergency in mine shafts;</w:t>
      </w:r>
    </w:p>
    <w:p>
      <w:pPr>
        <w:pStyle w:val="yIndenti0"/>
        <w:rPr>
          <w:szCs w:val="22"/>
        </w:rPr>
      </w:pPr>
      <w:r>
        <w:tab/>
        <w:t>(vi)</w:t>
      </w:r>
      <w:r>
        <w:tab/>
      </w:r>
      <w:r>
        <w:rPr>
          <w:szCs w:val="22"/>
        </w:rPr>
        <w:t>communication systems;</w:t>
      </w:r>
    </w:p>
    <w:p>
      <w:pPr>
        <w:pStyle w:val="yIndenta"/>
      </w:pPr>
      <w:r>
        <w:tab/>
        <w:t>(h)</w:t>
      </w:r>
      <w:r>
        <w:tab/>
      </w:r>
      <w:r>
        <w:rPr>
          <w:szCs w:val="22"/>
        </w:rPr>
        <w:t>the potential for injury to persons in a conveyance from material being carried in the conveyance or falling from another conveyance;</w:t>
      </w:r>
    </w:p>
    <w:p>
      <w:pPr>
        <w:pStyle w:val="yIndenta"/>
      </w:pPr>
      <w:r>
        <w:tab/>
        <w:t>(i)</w:t>
      </w:r>
      <w:r>
        <w:tab/>
      </w:r>
      <w:r>
        <w:rPr>
          <w:szCs w:val="22"/>
        </w:rPr>
        <w:t>measures to enable persons to escape from a stalled conveyance;</w:t>
      </w:r>
    </w:p>
    <w:p>
      <w:pPr>
        <w:pStyle w:val="yIndenta"/>
        <w:rPr>
          <w:szCs w:val="22"/>
        </w:rPr>
      </w:pPr>
      <w:r>
        <w:tab/>
        <w:t>(j)</w:t>
      </w:r>
      <w:r>
        <w:tab/>
      </w:r>
      <w:r>
        <w:rPr>
          <w:szCs w:val="22"/>
        </w:rPr>
        <w:t>competencies of winder operators.</w:t>
      </w:r>
    </w:p>
    <w:p>
      <w:pPr>
        <w:pStyle w:val="yHeading5"/>
        <w:rPr>
          <w:szCs w:val="22"/>
        </w:rPr>
      </w:pPr>
      <w:bookmarkStart w:id="1272" w:name="_Toc200720776"/>
      <w:r>
        <w:rPr>
          <w:rStyle w:val="CharSClsNo"/>
        </w:rPr>
        <w:t>4</w:t>
      </w:r>
      <w:r>
        <w:t>.</w:t>
      </w:r>
      <w:r>
        <w:tab/>
        <w:t xml:space="preserve">Roads </w:t>
      </w:r>
      <w:r>
        <w:rPr>
          <w:szCs w:val="22"/>
        </w:rPr>
        <w:t>and other areas where mobile plant operate</w:t>
      </w:r>
      <w:bookmarkEnd w:id="1272"/>
      <w:r>
        <w:rPr>
          <w:szCs w:val="22"/>
        </w:rPr>
        <w:t xml:space="preserve"> </w:t>
      </w:r>
    </w:p>
    <w:p>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pPr>
        <w:pStyle w:val="yIndenta"/>
        <w:rPr>
          <w:szCs w:val="22"/>
        </w:rPr>
      </w:pPr>
      <w:r>
        <w:tab/>
        <w:t>(a)</w:t>
      </w:r>
      <w:r>
        <w:tab/>
      </w:r>
      <w:r>
        <w:rPr>
          <w:szCs w:val="22"/>
        </w:rPr>
        <w:t xml:space="preserve">the impact of road design and characteristics, including — </w:t>
      </w:r>
    </w:p>
    <w:p>
      <w:pPr>
        <w:pStyle w:val="yIndenti0"/>
      </w:pPr>
      <w:r>
        <w:tab/>
        <w:t>(i)</w:t>
      </w:r>
      <w:r>
        <w:tab/>
        <w:t>the road layout; and</w:t>
      </w:r>
    </w:p>
    <w:p>
      <w:pPr>
        <w:pStyle w:val="yIndenti0"/>
      </w:pPr>
      <w:r>
        <w:tab/>
        <w:t>(ii)</w:t>
      </w:r>
      <w:r>
        <w:tab/>
        <w:t>the road width; and</w:t>
      </w:r>
    </w:p>
    <w:p>
      <w:pPr>
        <w:pStyle w:val="yIndenti0"/>
      </w:pPr>
      <w:r>
        <w:tab/>
        <w:t>(iii)</w:t>
      </w:r>
      <w:r>
        <w:tab/>
        <w:t>the road gradient, including the change of gradient and the road’s cross slope; and</w:t>
      </w:r>
    </w:p>
    <w:p>
      <w:pPr>
        <w:pStyle w:val="yIndenti0"/>
      </w:pPr>
      <w:r>
        <w:tab/>
        <w:t>(iv)</w:t>
      </w:r>
      <w:r>
        <w:tab/>
        <w:t>drainage; and</w:t>
      </w:r>
    </w:p>
    <w:p>
      <w:pPr>
        <w:pStyle w:val="yIndenti0"/>
      </w:pPr>
      <w:r>
        <w:tab/>
        <w:t>(v)</w:t>
      </w:r>
      <w:r>
        <w:tab/>
        <w:t>lighting; and</w:t>
      </w:r>
    </w:p>
    <w:p>
      <w:pPr>
        <w:pStyle w:val="yIndenti0"/>
      </w:pPr>
      <w:r>
        <w:tab/>
        <w:t>(vi)</w:t>
      </w:r>
      <w:r>
        <w:tab/>
        <w:t>the road guide; and</w:t>
      </w:r>
    </w:p>
    <w:p>
      <w:pPr>
        <w:pStyle w:val="yIndenti0"/>
      </w:pPr>
      <w:r>
        <w:tab/>
        <w:t>(vii)</w:t>
      </w:r>
      <w:r>
        <w:tab/>
        <w:t>the road surface and subsurface; and</w:t>
      </w:r>
    </w:p>
    <w:p>
      <w:pPr>
        <w:pStyle w:val="yIndenti0"/>
      </w:pPr>
      <w:r>
        <w:tab/>
        <w:t>(viii)</w:t>
      </w:r>
      <w:r>
        <w:tab/>
        <w:t>the road’s construction material; and</w:t>
      </w:r>
    </w:p>
    <w:p>
      <w:pPr>
        <w:pStyle w:val="yIndenti0"/>
      </w:pPr>
      <w:r>
        <w:tab/>
        <w:t>(ix)</w:t>
      </w:r>
      <w:r>
        <w:tab/>
        <w:t xml:space="preserve">the load bearing capacity of the road; and </w:t>
      </w:r>
    </w:p>
    <w:p>
      <w:pPr>
        <w:pStyle w:val="yIndenti0"/>
      </w:pPr>
      <w:r>
        <w:tab/>
        <w:t>(x)</w:t>
      </w:r>
      <w:r>
        <w:tab/>
        <w:t>the driver line of sight when using the road; and</w:t>
      </w:r>
    </w:p>
    <w:p>
      <w:pPr>
        <w:pStyle w:val="yIndenti0"/>
      </w:pPr>
      <w:r>
        <w:tab/>
        <w:t>(xi)</w:t>
      </w:r>
      <w:r>
        <w:tab/>
        <w:t>the radius of the curvature of the road; and</w:t>
      </w:r>
    </w:p>
    <w:p>
      <w:pPr>
        <w:pStyle w:val="yIndenti0"/>
      </w:pPr>
      <w:r>
        <w:tab/>
        <w:t>(xii)</w:t>
      </w:r>
      <w:r>
        <w:tab/>
        <w:t>the road guides, markers and reflectors; and</w:t>
      </w:r>
    </w:p>
    <w:p>
      <w:pPr>
        <w:pStyle w:val="yIndenti0"/>
      </w:pPr>
      <w:r>
        <w:tab/>
        <w:t>(xiii)</w:t>
      </w:r>
      <w:r>
        <w:tab/>
        <w:t>the side treatments of roads;</w:t>
      </w:r>
    </w:p>
    <w:p>
      <w:pPr>
        <w:pStyle w:val="yIndenta"/>
      </w:pPr>
      <w:r>
        <w:lastRenderedPageBreak/>
        <w:tab/>
        <w:t>(b)</w:t>
      </w:r>
      <w:r>
        <w:tab/>
        <w:t xml:space="preserve">design of </w:t>
      </w:r>
      <w:r>
        <w:rPr>
          <w:szCs w:val="22"/>
        </w:rPr>
        <w:t xml:space="preserve">areas where </w:t>
      </w:r>
      <w:r>
        <w:t xml:space="preserve">mobile plant </w:t>
      </w:r>
      <w:r>
        <w:rPr>
          <w:szCs w:val="22"/>
        </w:rPr>
        <w:t>operates</w:t>
      </w:r>
      <w:r>
        <w:t xml:space="preserve">, including — </w:t>
      </w:r>
    </w:p>
    <w:p>
      <w:pPr>
        <w:pStyle w:val="yIndenti0"/>
      </w:pPr>
      <w:r>
        <w:tab/>
        <w:t>(i)</w:t>
      </w:r>
      <w:r>
        <w:tab/>
        <w:t>parking areas; and</w:t>
      </w:r>
    </w:p>
    <w:p>
      <w:pPr>
        <w:pStyle w:val="yIndenti0"/>
      </w:pPr>
      <w:r>
        <w:tab/>
        <w:t>(ii)</w:t>
      </w:r>
      <w:r>
        <w:tab/>
        <w:t>the proximity of roads to overhead power lines and buildings and other structures; and</w:t>
      </w:r>
    </w:p>
    <w:p>
      <w:pPr>
        <w:pStyle w:val="yIndenti0"/>
      </w:pPr>
      <w:r>
        <w:tab/>
        <w:t>(iii)</w:t>
      </w:r>
      <w:r>
        <w:tab/>
        <w:t>maintenance workshops; and</w:t>
      </w:r>
    </w:p>
    <w:p>
      <w:pPr>
        <w:pStyle w:val="yIndenti0"/>
      </w:pPr>
      <w:r>
        <w:tab/>
        <w:t>(iv)</w:t>
      </w:r>
      <w:r>
        <w:tab/>
        <w:t>intersections; and</w:t>
      </w:r>
    </w:p>
    <w:p>
      <w:pPr>
        <w:pStyle w:val="yIndenti0"/>
      </w:pPr>
      <w:r>
        <w:tab/>
        <w:t>(v)</w:t>
      </w:r>
      <w:r>
        <w:tab/>
        <w:t xml:space="preserve">interaction with public roads and railways; </w:t>
      </w:r>
    </w:p>
    <w:p>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pPr>
        <w:pStyle w:val="yIndenta"/>
      </w:pPr>
      <w:r>
        <w:tab/>
        <w:t>(e)</w:t>
      </w:r>
      <w:r>
        <w:tab/>
        <w:t xml:space="preserve">maintenance of mobile plant, including — </w:t>
      </w:r>
    </w:p>
    <w:p>
      <w:pPr>
        <w:pStyle w:val="yIndenti0"/>
      </w:pPr>
      <w:r>
        <w:tab/>
        <w:t>(i)</w:t>
      </w:r>
      <w:r>
        <w:tab/>
        <w:t xml:space="preserve">preventative maintenance; and </w:t>
      </w:r>
    </w:p>
    <w:p>
      <w:pPr>
        <w:pStyle w:val="yIndenti0"/>
      </w:pPr>
      <w:r>
        <w:tab/>
        <w:t>(ii)</w:t>
      </w:r>
      <w:r>
        <w:tab/>
        <w:t xml:space="preserve">a system for reporting of early defects; and </w:t>
      </w:r>
    </w:p>
    <w:p>
      <w:pPr>
        <w:pStyle w:val="yIndenti0"/>
      </w:pPr>
      <w:r>
        <w:tab/>
        <w:t>(iii)</w:t>
      </w:r>
      <w:r>
        <w:tab/>
        <w:t xml:space="preserve">a system for corrective actions; </w:t>
      </w:r>
    </w:p>
    <w:p>
      <w:pPr>
        <w:pStyle w:val="yIndenta"/>
      </w:pPr>
      <w:r>
        <w:tab/>
        <w:t>(f)</w:t>
      </w:r>
      <w:r>
        <w:tab/>
        <w:t xml:space="preserve">traffic management, including dealing with — </w:t>
      </w:r>
    </w:p>
    <w:p>
      <w:pPr>
        <w:pStyle w:val="yIndenti0"/>
      </w:pPr>
      <w:r>
        <w:tab/>
        <w:t>(i)</w:t>
      </w:r>
      <w:r>
        <w:tab/>
        <w:t>the interaction between heavy and light mobile plant; and</w:t>
      </w:r>
    </w:p>
    <w:p>
      <w:pPr>
        <w:pStyle w:val="yIndenti0"/>
      </w:pPr>
      <w:r>
        <w:tab/>
        <w:t>(ii)</w:t>
      </w:r>
      <w:r>
        <w:tab/>
        <w:t>pedestrians and mobile plant, including heavy mobile plant; and</w:t>
      </w:r>
    </w:p>
    <w:p>
      <w:pPr>
        <w:pStyle w:val="yIndenti0"/>
      </w:pPr>
      <w:r>
        <w:tab/>
        <w:t>(iii)</w:t>
      </w:r>
      <w:r>
        <w:tab/>
        <w:t>temporary obstructions; and</w:t>
      </w:r>
    </w:p>
    <w:p>
      <w:pPr>
        <w:pStyle w:val="yIndenti0"/>
      </w:pPr>
      <w:r>
        <w:tab/>
        <w:t>(iv)</w:t>
      </w:r>
      <w:r>
        <w:tab/>
        <w:t>changes in operating conditions; and</w:t>
      </w:r>
    </w:p>
    <w:p>
      <w:pPr>
        <w:pStyle w:val="yIndenti0"/>
      </w:pPr>
      <w:r>
        <w:tab/>
        <w:t>(v)</w:t>
      </w:r>
      <w:r>
        <w:tab/>
        <w:t>blind spots; and</w:t>
      </w:r>
    </w:p>
    <w:p>
      <w:pPr>
        <w:pStyle w:val="yIndenti0"/>
      </w:pPr>
      <w:r>
        <w:tab/>
        <w:t>(vi)</w:t>
      </w:r>
      <w:r>
        <w:tab/>
        <w:t>visibility issues caused by dust, haze or a lack of light; and</w:t>
      </w:r>
    </w:p>
    <w:p>
      <w:pPr>
        <w:pStyle w:val="yIndenti0"/>
      </w:pPr>
      <w:r>
        <w:tab/>
        <w:t>(vii)</w:t>
      </w:r>
      <w:r>
        <w:tab/>
        <w:t>interaction between externally</w:t>
      </w:r>
      <w:r>
        <w:noBreakHyphen/>
        <w:t>controlled plant with other plant and pedestrians; and</w:t>
      </w:r>
    </w:p>
    <w:p>
      <w:pPr>
        <w:pStyle w:val="yIndenti0"/>
      </w:pPr>
      <w:r>
        <w:tab/>
        <w:t>(viii)</w:t>
      </w:r>
      <w:r>
        <w:tab/>
        <w:t>communication;</w:t>
      </w:r>
    </w:p>
    <w:p>
      <w:pPr>
        <w:pStyle w:val="yIndenta"/>
      </w:pPr>
      <w:r>
        <w:tab/>
        <w:t>(g)</w:t>
      </w:r>
      <w:r>
        <w:tab/>
        <w:t xml:space="preserve">operating procedures, including in relation to — </w:t>
      </w:r>
    </w:p>
    <w:p>
      <w:pPr>
        <w:pStyle w:val="yIndenti0"/>
      </w:pPr>
      <w:r>
        <w:tab/>
        <w:t>(i)</w:t>
      </w:r>
      <w:r>
        <w:tab/>
        <w:t>parking mobile plant on slopes and in production areas; and</w:t>
      </w:r>
    </w:p>
    <w:p>
      <w:pPr>
        <w:pStyle w:val="yIndenti0"/>
      </w:pPr>
      <w:r>
        <w:lastRenderedPageBreak/>
        <w:tab/>
        <w:t>(ii)</w:t>
      </w:r>
      <w:r>
        <w:tab/>
        <w:t>driving in hazardous areas; and</w:t>
      </w:r>
    </w:p>
    <w:p>
      <w:pPr>
        <w:pStyle w:val="yIndenti0"/>
      </w:pPr>
      <w:r>
        <w:tab/>
        <w:t>(iii)</w:t>
      </w:r>
      <w:r>
        <w:tab/>
        <w:t>issuing a warning before reversing or moving; and</w:t>
      </w:r>
    </w:p>
    <w:p>
      <w:pPr>
        <w:pStyle w:val="yIndenti0"/>
      </w:pPr>
      <w:r>
        <w:tab/>
        <w:t>(iv)</w:t>
      </w:r>
      <w:r>
        <w:tab/>
        <w:t>dumping material from a height;</w:t>
      </w:r>
    </w:p>
    <w:p>
      <w:pPr>
        <w:pStyle w:val="yIndenta"/>
      </w:pPr>
      <w:r>
        <w:tab/>
        <w:t>(h)</w:t>
      </w:r>
      <w:r>
        <w:tab/>
        <w:t>training and competence of persons carrying out maintenance on mobile plant;</w:t>
      </w:r>
    </w:p>
    <w:p>
      <w:pPr>
        <w:pStyle w:val="yIndenta"/>
      </w:pPr>
      <w:r>
        <w:tab/>
        <w:t>(i)</w:t>
      </w:r>
      <w:r>
        <w:tab/>
        <w:t xml:space="preserve">training and competence of persons using roads and </w:t>
      </w:r>
      <w:r>
        <w:rPr>
          <w:szCs w:val="22"/>
        </w:rPr>
        <w:t>areas where mobile plant operate</w:t>
      </w:r>
      <w:r>
        <w:t xml:space="preserve">, including — </w:t>
      </w:r>
    </w:p>
    <w:p>
      <w:pPr>
        <w:pStyle w:val="yIndenti0"/>
      </w:pPr>
      <w:r>
        <w:tab/>
        <w:t>(i)</w:t>
      </w:r>
      <w:r>
        <w:tab/>
        <w:t>training on the use of mine roads; and</w:t>
      </w:r>
    </w:p>
    <w:p>
      <w:pPr>
        <w:pStyle w:val="yIndenti0"/>
      </w:pPr>
      <w:r>
        <w:tab/>
        <w:t>(ii)</w:t>
      </w:r>
      <w:r>
        <w:tab/>
        <w:t>training on rules for using roads at the mine; and</w:t>
      </w:r>
    </w:p>
    <w:p>
      <w:pPr>
        <w:pStyle w:val="yIndenti0"/>
      </w:pPr>
      <w:r>
        <w:tab/>
        <w:t>(iii)</w:t>
      </w:r>
      <w:r>
        <w:tab/>
        <w:t xml:space="preserve">authorisations to operate specific mobile plant in all or part of the mine; </w:t>
      </w:r>
    </w:p>
    <w:p>
      <w:pPr>
        <w:pStyle w:val="yIndenta"/>
      </w:pPr>
      <w:r>
        <w:tab/>
        <w:t>(j)</w:t>
      </w:r>
      <w:r>
        <w:tab/>
        <w:t xml:space="preserve">providing and maintaining hazard and traffic control signs; </w:t>
      </w:r>
    </w:p>
    <w:p>
      <w:pPr>
        <w:pStyle w:val="yIndenta"/>
      </w:pPr>
      <w:r>
        <w:tab/>
        <w:t>(k)</w:t>
      </w:r>
      <w:r>
        <w:tab/>
        <w:t xml:space="preserve">the interaction between mobile plant at an underground mine or quarry, including — </w:t>
      </w:r>
    </w:p>
    <w:p>
      <w:pPr>
        <w:pStyle w:val="yIndenti0"/>
      </w:pPr>
      <w:r>
        <w:tab/>
        <w:t>(i)</w:t>
      </w:r>
      <w:r>
        <w:tab/>
        <w:t>side and top clearance from workings; and</w:t>
      </w:r>
    </w:p>
    <w:p>
      <w:pPr>
        <w:pStyle w:val="yIndenti0"/>
      </w:pPr>
      <w:r>
        <w:tab/>
        <w:t>(ii)</w:t>
      </w:r>
      <w:r>
        <w:tab/>
        <w:t>clearance from rock support, power lines, pipes, vent bags and other overhead items; and</w:t>
      </w:r>
    </w:p>
    <w:p>
      <w:pPr>
        <w:pStyle w:val="yIndenti0"/>
      </w:pPr>
      <w:r>
        <w:tab/>
        <w:t>(iii)</w:t>
      </w:r>
      <w:r>
        <w:tab/>
        <w:t>hazards arising from using mobile plant near open holes or voids with a steep fall; and</w:t>
      </w:r>
    </w:p>
    <w:p>
      <w:pPr>
        <w:pStyle w:val="yIndenti0"/>
      </w:pPr>
      <w:r>
        <w:tab/>
        <w:t>(iv)</w:t>
      </w:r>
      <w:r>
        <w:tab/>
        <w:t>control of traffic near sharp bends or narrow openings;</w:t>
      </w:r>
    </w:p>
    <w:p>
      <w:pPr>
        <w:pStyle w:val="yIndenta"/>
      </w:pPr>
      <w:r>
        <w:tab/>
        <w:t>(l)</w:t>
      </w:r>
      <w:r>
        <w:tab/>
        <w:t xml:space="preserve">changes in operating conditions. </w:t>
      </w:r>
    </w:p>
    <w:p>
      <w:pPr>
        <w:pStyle w:val="yHeading5"/>
      </w:pPr>
      <w:bookmarkStart w:id="1273" w:name="_Toc200720777"/>
      <w:r>
        <w:rPr>
          <w:rStyle w:val="CharSClsNo"/>
        </w:rPr>
        <w:t>5</w:t>
      </w:r>
      <w:r>
        <w:t>.</w:t>
      </w:r>
      <w:r>
        <w:tab/>
        <w:t>Fire and explosion</w:t>
      </w:r>
      <w:bookmarkEnd w:id="1273"/>
    </w:p>
    <w:p>
      <w:pPr>
        <w:pStyle w:val="ySubsection"/>
        <w:rPr>
          <w:szCs w:val="22"/>
        </w:rPr>
      </w:pPr>
      <w:r>
        <w:tab/>
      </w:r>
      <w:r>
        <w:tab/>
      </w:r>
      <w:r>
        <w:rPr>
          <w:szCs w:val="22"/>
        </w:rPr>
        <w:t xml:space="preserve">The following matters must be considered in developing control measures to manage the risks of fire and explosion — </w:t>
      </w:r>
    </w:p>
    <w:p>
      <w:pPr>
        <w:pStyle w:val="yIndenta"/>
      </w:pPr>
      <w:r>
        <w:tab/>
        <w:t>(a)</w:t>
      </w:r>
      <w:r>
        <w:tab/>
      </w:r>
      <w:r>
        <w:rPr>
          <w:szCs w:val="22"/>
        </w:rPr>
        <w:t>the potential sources of flammable, combustible and explosive substances and materials, both natural and introduced, including gas, dust, fuels, solvents and timber;</w:t>
      </w:r>
    </w:p>
    <w:p>
      <w:pPr>
        <w:pStyle w:val="yIndenta"/>
      </w:pPr>
      <w:r>
        <w:tab/>
        <w:t>(b)</w:t>
      </w:r>
      <w:r>
        <w:tab/>
      </w:r>
      <w:r>
        <w:rPr>
          <w:szCs w:val="22"/>
        </w:rPr>
        <w:t>the potential sources of ignition, fire or explosion, including plant, electricity, static electricity, spontaneous combustion, lightning, hot work and other work practices;</w:t>
      </w:r>
    </w:p>
    <w:p>
      <w:pPr>
        <w:pStyle w:val="yIndenta"/>
        <w:keepNext/>
        <w:rPr>
          <w:szCs w:val="22"/>
        </w:rPr>
      </w:pPr>
      <w:r>
        <w:lastRenderedPageBreak/>
        <w:tab/>
        <w:t>(c)</w:t>
      </w:r>
      <w:r>
        <w:tab/>
      </w:r>
      <w:r>
        <w:rPr>
          <w:szCs w:val="22"/>
        </w:rPr>
        <w:t>the potential for propagation of fire or explosion to other parts of the mine;</w:t>
      </w:r>
    </w:p>
    <w:p>
      <w:pPr>
        <w:pStyle w:val="yIndenta"/>
      </w:pPr>
      <w:r>
        <w:tab/>
        <w:t>(d)</w:t>
      </w:r>
      <w:r>
        <w:tab/>
        <w:t xml:space="preserve">for an underground mine — </w:t>
      </w:r>
    </w:p>
    <w:p>
      <w:pPr>
        <w:pStyle w:val="yIndenti0"/>
      </w:pPr>
      <w:r>
        <w:tab/>
        <w:t>(i)</w:t>
      </w:r>
      <w:r>
        <w:tab/>
        <w:t>the use of diesel engine operated plant, including selecting and maintaining the plant, the plant’s auto</w:t>
      </w:r>
      <w:r>
        <w:noBreakHyphen/>
        <w:t>fire</w:t>
      </w:r>
      <w:r>
        <w:noBreakHyphen/>
        <w:t>suppression system and refuelling; and</w:t>
      </w:r>
    </w:p>
    <w:p>
      <w:pPr>
        <w:pStyle w:val="yIndenti0"/>
      </w:pPr>
      <w:r>
        <w:tab/>
        <w:t>(ii)</w:t>
      </w:r>
      <w:r>
        <w:tab/>
        <w:t>the use of conveyors, compressors and explosives; and</w:t>
      </w:r>
    </w:p>
    <w:p>
      <w:pPr>
        <w:pStyle w:val="yIndenti0"/>
      </w:pPr>
      <w:r>
        <w:tab/>
        <w:t>(iii)</w:t>
      </w:r>
      <w:r>
        <w:tab/>
        <w:t>the hot work and welding; and</w:t>
      </w:r>
    </w:p>
    <w:p>
      <w:pPr>
        <w:pStyle w:val="yIndenti0"/>
      </w:pPr>
      <w:r>
        <w:tab/>
        <w:t>(iv)</w:t>
      </w:r>
      <w:r>
        <w:tab/>
        <w:t>the storage and transportation of diesel, explosives, combustible and flammable substances; and</w:t>
      </w:r>
    </w:p>
    <w:p>
      <w:pPr>
        <w:pStyle w:val="yIndenti0"/>
      </w:pPr>
      <w:r>
        <w:tab/>
        <w:t>(v)</w:t>
      </w:r>
      <w:r>
        <w:tab/>
        <w:t>the spontaneous combustion; and</w:t>
      </w:r>
    </w:p>
    <w:p>
      <w:pPr>
        <w:pStyle w:val="yIndenti0"/>
      </w:pPr>
      <w:r>
        <w:tab/>
        <w:t>(vi)</w:t>
      </w:r>
      <w:r>
        <w:tab/>
        <w:t>the coal, sulphide and other dust explosions; and</w:t>
      </w:r>
    </w:p>
    <w:p>
      <w:pPr>
        <w:pStyle w:val="yIndenti0"/>
      </w:pPr>
      <w:r>
        <w:tab/>
        <w:t>(vii)</w:t>
      </w:r>
      <w:r>
        <w:tab/>
        <w:t>the emission of methane and other explosive gases; and</w:t>
      </w:r>
    </w:p>
    <w:p>
      <w:pPr>
        <w:pStyle w:val="yIndenti0"/>
      </w:pPr>
      <w:r>
        <w:tab/>
        <w:t>(viii)</w:t>
      </w:r>
      <w:r>
        <w:tab/>
        <w:t>the monitoring and early warning system for failure of controls and fire; and</w:t>
      </w:r>
    </w:p>
    <w:p>
      <w:pPr>
        <w:pStyle w:val="yIndenti0"/>
      </w:pPr>
      <w:r>
        <w:tab/>
        <w:t>(ix)</w:t>
      </w:r>
      <w:r>
        <w:tab/>
        <w:t xml:space="preserve">the integration of fire and explosion measures with underground ventilation and emergency plans; </w:t>
      </w:r>
    </w:p>
    <w:p>
      <w:pPr>
        <w:pStyle w:val="yIndenta"/>
      </w:pPr>
      <w:r>
        <w:tab/>
        <w:t>(e)</w:t>
      </w:r>
      <w:r>
        <w:tab/>
        <w:t xml:space="preserve">for an underground coal mine — </w:t>
      </w:r>
    </w:p>
    <w:p>
      <w:pPr>
        <w:pStyle w:val="yIndenti0"/>
      </w:pPr>
      <w:r>
        <w:tab/>
        <w:t>(i)</w:t>
      </w:r>
      <w:r>
        <w:tab/>
        <w:t>the use of light metal alloys; and</w:t>
      </w:r>
    </w:p>
    <w:p>
      <w:pPr>
        <w:pStyle w:val="yIndenti0"/>
      </w:pPr>
      <w:r>
        <w:tab/>
        <w:t>(ii)</w:t>
      </w:r>
      <w:r>
        <w:tab/>
        <w:t>the use of barriers against explosion; and</w:t>
      </w:r>
    </w:p>
    <w:p>
      <w:pPr>
        <w:pStyle w:val="yIndenti0"/>
      </w:pPr>
      <w:r>
        <w:tab/>
        <w:t>(iii)</w:t>
      </w:r>
      <w:r>
        <w:tab/>
        <w:t>the use of fire</w:t>
      </w:r>
      <w:r>
        <w:noBreakHyphen/>
        <w:t>protected or explosion</w:t>
      </w:r>
      <w:r>
        <w:noBreakHyphen/>
        <w:t>protected internal combustion</w:t>
      </w:r>
      <w:r>
        <w:noBreakHyphen/>
        <w:t>compression engines; and</w:t>
      </w:r>
    </w:p>
    <w:p>
      <w:pPr>
        <w:pStyle w:val="yIndenti0"/>
      </w:pPr>
      <w:r>
        <w:tab/>
        <w:t>(iv)</w:t>
      </w:r>
      <w:r>
        <w:tab/>
        <w:t>the selection, use and maintenance of conveyor belts; and</w:t>
      </w:r>
    </w:p>
    <w:p>
      <w:pPr>
        <w:pStyle w:val="yIndenti0"/>
      </w:pPr>
      <w:r>
        <w:tab/>
        <w:t>(v)</w:t>
      </w:r>
      <w:r>
        <w:tab/>
        <w:t>the selection, use and maintenance of remote</w:t>
      </w:r>
      <w:r>
        <w:noBreakHyphen/>
        <w:t>controlled plant; and</w:t>
      </w:r>
    </w:p>
    <w:p>
      <w:pPr>
        <w:pStyle w:val="yIndenti0"/>
      </w:pPr>
      <w:r>
        <w:tab/>
        <w:t>(vi)</w:t>
      </w:r>
      <w:r>
        <w:tab/>
        <w:t>the selection and use of electrical cables, remote</w:t>
      </w:r>
      <w:r>
        <w:noBreakHyphen/>
        <w:t>controlled plant and other plant.</w:t>
      </w:r>
    </w:p>
    <w:p>
      <w:pPr>
        <w:pStyle w:val="yHeading5"/>
      </w:pPr>
      <w:bookmarkStart w:id="1274" w:name="_Toc200720778"/>
      <w:r>
        <w:rPr>
          <w:rStyle w:val="CharSClsNo"/>
        </w:rPr>
        <w:lastRenderedPageBreak/>
        <w:t>6</w:t>
      </w:r>
      <w:r>
        <w:t>.</w:t>
      </w:r>
      <w:r>
        <w:tab/>
        <w:t>Gas outbursts at underground coal mines</w:t>
      </w:r>
      <w:bookmarkEnd w:id="1274"/>
    </w:p>
    <w:p>
      <w:pPr>
        <w:pStyle w:val="ySubsection"/>
        <w:keepNext/>
      </w:pPr>
      <w:r>
        <w:tab/>
      </w:r>
      <w:r>
        <w:tab/>
        <w:t xml:space="preserve">The following matters must be considered in developing control measures to manage the risks of gas outbursts at an underground coal mine — </w:t>
      </w:r>
    </w:p>
    <w:p>
      <w:pPr>
        <w:pStyle w:val="yIndenta"/>
      </w:pPr>
      <w:r>
        <w:tab/>
        <w:t>(a)</w:t>
      </w:r>
      <w:r>
        <w:tab/>
        <w:t>the potential for gas release into the working area of a mine from both natural and introduced sources in a concentration that could lead to fire, explosion or asphyxiation;</w:t>
      </w:r>
    </w:p>
    <w:p>
      <w:pPr>
        <w:pStyle w:val="yIndenta"/>
      </w:pPr>
      <w:r>
        <w:tab/>
        <w:t>(b)</w:t>
      </w:r>
      <w:r>
        <w:tab/>
        <w:t>the potential for accumulation of gases in working areas and inactive or unventilated areas of the mine;</w:t>
      </w:r>
    </w:p>
    <w:p>
      <w:pPr>
        <w:pStyle w:val="yIndenta"/>
      </w:pPr>
      <w:r>
        <w:tab/>
        <w:t>(c)</w:t>
      </w:r>
      <w:r>
        <w:tab/>
        <w:t>the nature of the gas that could be released;</w:t>
      </w:r>
    </w:p>
    <w:p>
      <w:pPr>
        <w:pStyle w:val="yIndenta"/>
      </w:pPr>
      <w:r>
        <w:tab/>
        <w:t>(d)</w:t>
      </w:r>
      <w:r>
        <w:tab/>
        <w:t>the gas levels in the material being mined;</w:t>
      </w:r>
    </w:p>
    <w:p>
      <w:pPr>
        <w:pStyle w:val="yIndenta"/>
      </w:pPr>
      <w:r>
        <w:tab/>
        <w:t>(e)</w:t>
      </w:r>
      <w:r>
        <w:tab/>
        <w:t>gas seam pressures.</w:t>
      </w:r>
    </w:p>
    <w:p>
      <w:pPr>
        <w:pStyle w:val="yHeading5"/>
      </w:pPr>
      <w:bookmarkStart w:id="1275" w:name="_Toc200720779"/>
      <w:r>
        <w:rPr>
          <w:rStyle w:val="CharSClsNo"/>
        </w:rPr>
        <w:t>7</w:t>
      </w:r>
      <w:r>
        <w:t>.</w:t>
      </w:r>
      <w:r>
        <w:tab/>
        <w:t>Spontaneous combustion at underground coal mines</w:t>
      </w:r>
      <w:bookmarkEnd w:id="1275"/>
    </w:p>
    <w:p>
      <w:pPr>
        <w:pStyle w:val="ySubsection"/>
      </w:pPr>
      <w:r>
        <w:tab/>
      </w:r>
      <w:r>
        <w:tab/>
        <w:t xml:space="preserve">The following matters must be considered in developing control measures to manage the risks of spontaneous combustion at an underground coal mine — </w:t>
      </w:r>
    </w:p>
    <w:p>
      <w:pPr>
        <w:pStyle w:val="yIndenta"/>
      </w:pPr>
      <w:r>
        <w:tab/>
        <w:t>(a)</w:t>
      </w:r>
      <w:r>
        <w:tab/>
        <w:t xml:space="preserve">the potential for spontaneous combustion to occur in the coal being mined, including by — </w:t>
      </w:r>
    </w:p>
    <w:p>
      <w:pPr>
        <w:pStyle w:val="yIndenti0"/>
      </w:pPr>
      <w:r>
        <w:tab/>
        <w:t>(i)</w:t>
      </w:r>
      <w:r>
        <w:tab/>
        <w:t>evaluating the history of the mine in relation to spontaneous combustion; and</w:t>
      </w:r>
    </w:p>
    <w:p>
      <w:pPr>
        <w:pStyle w:val="yIndenti0"/>
      </w:pPr>
      <w:r>
        <w:tab/>
        <w:t>(ii)</w:t>
      </w:r>
      <w:r>
        <w:tab/>
        <w:t>evaluating any adjacent or previous mining operations in the same seam; and</w:t>
      </w:r>
    </w:p>
    <w:p>
      <w:pPr>
        <w:pStyle w:val="yIndenti0"/>
      </w:pPr>
      <w:r>
        <w:tab/>
        <w:t>(iii)</w:t>
      </w:r>
      <w:r>
        <w:tab/>
        <w:t>the conduct of scientific testing;</w:t>
      </w:r>
    </w:p>
    <w:p>
      <w:pPr>
        <w:pStyle w:val="yIndenta"/>
      </w:pPr>
      <w:r>
        <w:tab/>
        <w:t>(b)</w:t>
      </w:r>
      <w:r>
        <w:tab/>
        <w:t>mine ventilation practices;</w:t>
      </w:r>
    </w:p>
    <w:p>
      <w:pPr>
        <w:pStyle w:val="yIndenta"/>
      </w:pPr>
      <w:r>
        <w:tab/>
        <w:t>(c)</w:t>
      </w:r>
      <w:r>
        <w:tab/>
        <w:t>the design of the mine;</w:t>
      </w:r>
    </w:p>
    <w:p>
      <w:pPr>
        <w:pStyle w:val="yIndenta"/>
      </w:pPr>
      <w:r>
        <w:tab/>
        <w:t>(d)</w:t>
      </w:r>
      <w:r>
        <w:tab/>
        <w:t>the impact of gases generated by spontaneous combustion on mine environmental conditions.</w:t>
      </w:r>
    </w:p>
    <w:p>
      <w:pPr>
        <w:pStyle w:val="Subsection"/>
        <w:outlineLvl w:val="0"/>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1276" w:name="_Toc200720780"/>
      <w:r>
        <w:rPr>
          <w:rStyle w:val="CharSchNo"/>
        </w:rPr>
        <w:lastRenderedPageBreak/>
        <w:t>Schedule 20</w:t>
      </w:r>
      <w:r>
        <w:t> — </w:t>
      </w:r>
      <w:r>
        <w:rPr>
          <w:rStyle w:val="CharSchText"/>
        </w:rPr>
        <w:t>Prohibited uses in mines</w:t>
      </w:r>
      <w:bookmarkEnd w:id="1276"/>
    </w:p>
    <w:p>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trPr>
          <w:tblHeader/>
        </w:trPr>
        <w:tc>
          <w:tcPr>
            <w:tcW w:w="3657" w:type="dxa"/>
            <w:tcBorders>
              <w:right w:val="single" w:sz="4" w:space="0" w:color="auto"/>
            </w:tcBorders>
            <w:noWrap/>
          </w:tcPr>
          <w:p>
            <w:pPr>
              <w:pStyle w:val="yTableNAm"/>
              <w:jc w:val="center"/>
              <w:rPr>
                <w:b/>
                <w:bCs/>
              </w:rPr>
            </w:pPr>
            <w:r>
              <w:rPr>
                <w:b/>
                <w:bCs/>
              </w:rPr>
              <w:t>Column 1</w:t>
            </w:r>
          </w:p>
          <w:p>
            <w:pPr>
              <w:pStyle w:val="yTableNAm"/>
              <w:jc w:val="center"/>
              <w:rPr>
                <w:b/>
                <w:bCs/>
              </w:rPr>
            </w:pPr>
            <w:r>
              <w:rPr>
                <w:b/>
                <w:bCs/>
              </w:rPr>
              <w:t>Item and substance</w:t>
            </w:r>
          </w:p>
        </w:tc>
        <w:tc>
          <w:tcPr>
            <w:tcW w:w="3402" w:type="dxa"/>
            <w:tcBorders>
              <w:left w:val="single" w:sz="4" w:space="0" w:color="auto"/>
            </w:tcBorders>
            <w:noWrap/>
          </w:tcPr>
          <w:p>
            <w:pPr>
              <w:pStyle w:val="yTableNAm"/>
              <w:jc w:val="center"/>
              <w:rPr>
                <w:b/>
                <w:bCs/>
              </w:rPr>
            </w:pPr>
            <w:r>
              <w:rPr>
                <w:b/>
                <w:bCs/>
              </w:rPr>
              <w:t>Column 2</w:t>
            </w:r>
          </w:p>
          <w:p>
            <w:pPr>
              <w:pStyle w:val="yTableNAm"/>
              <w:jc w:val="center"/>
              <w:rPr>
                <w:b/>
                <w:bCs/>
              </w:rPr>
            </w:pPr>
            <w:r>
              <w:rPr>
                <w:b/>
                <w:bCs/>
              </w:rPr>
              <w:t>Prohibited Use</w:t>
            </w:r>
          </w:p>
        </w:tc>
      </w:tr>
      <w:tr>
        <w:tc>
          <w:tcPr>
            <w:tcW w:w="3657" w:type="dxa"/>
            <w:tcBorders>
              <w:right w:val="single" w:sz="4" w:space="0" w:color="auto"/>
            </w:tcBorders>
            <w:noWrap/>
          </w:tcPr>
          <w:p>
            <w:pPr>
              <w:pStyle w:val="yTableNAm"/>
            </w:pPr>
            <w:r>
              <w:t>Internal combustion engine (other than a compression ignition engine)</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Compressed natural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Hydrogen</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Liquid petroleum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Petrol</w:t>
            </w:r>
          </w:p>
        </w:tc>
        <w:tc>
          <w:tcPr>
            <w:tcW w:w="3402" w:type="dxa"/>
            <w:tcBorders>
              <w:left w:val="single" w:sz="4" w:space="0" w:color="auto"/>
            </w:tcBorders>
            <w:noWrap/>
          </w:tcPr>
          <w:p>
            <w:pPr>
              <w:pStyle w:val="yTableNAm"/>
            </w:pPr>
            <w:r>
              <w:t xml:space="preserve">In an underground mine in an internal or external combustion engine </w:t>
            </w:r>
          </w:p>
        </w:tc>
      </w:tr>
      <w:tr>
        <w:tc>
          <w:tcPr>
            <w:tcW w:w="3657" w:type="dxa"/>
            <w:tcBorders>
              <w:right w:val="single" w:sz="4" w:space="0" w:color="auto"/>
            </w:tcBorders>
            <w:noWrap/>
          </w:tcPr>
          <w:p>
            <w:pPr>
              <w:pStyle w:val="yTableNAm"/>
            </w:pPr>
            <w:r>
              <w:t>Ignition sources</w:t>
            </w:r>
          </w:p>
          <w:p>
            <w:pPr>
              <w:pStyle w:val="PermNoteHeading"/>
              <w:keepNext w:val="0"/>
            </w:pPr>
            <w:r>
              <w:t>Examples:</w:t>
            </w:r>
          </w:p>
          <w:p>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pPr>
              <w:pStyle w:val="yTableNAm"/>
            </w:pPr>
            <w:r>
              <w:t>All uses in an underground coal mine</w:t>
            </w:r>
          </w:p>
          <w:p>
            <w:pPr>
              <w:pStyle w:val="yTableNAm"/>
            </w:pPr>
            <w:r>
              <w:t>While carrying, handling or using any explosive or initiating system or within 8 metres of any explosive or initiating system at a mine</w:t>
            </w:r>
          </w:p>
          <w:p>
            <w:pPr>
              <w:pStyle w:val="yTableNAm"/>
            </w:pPr>
            <w:r>
              <w:t>All uses at a work area at a mine where solvents are used</w:t>
            </w:r>
          </w:p>
          <w:p>
            <w:pPr>
              <w:pStyle w:val="yTableNAm"/>
            </w:pPr>
            <w:r>
              <w:lastRenderedPageBreak/>
              <w:t>All uses at a work area at a mine where flammable vapours are present</w:t>
            </w:r>
          </w:p>
          <w:p>
            <w:pPr>
              <w:pStyle w:val="yTableNAm"/>
            </w:pPr>
            <w:r>
              <w:t xml:space="preserve">All uses in a shaft conveyance at a mine </w:t>
            </w:r>
          </w:p>
          <w:p>
            <w:pPr>
              <w:pStyle w:val="yTableNAm"/>
            </w:pPr>
            <w:r>
              <w:t>All uses in a refuge at a mine during an emergency</w:t>
            </w:r>
          </w:p>
        </w:tc>
      </w:tr>
      <w:tr>
        <w:tc>
          <w:tcPr>
            <w:tcW w:w="3657" w:type="dxa"/>
            <w:tcBorders>
              <w:right w:val="single" w:sz="4" w:space="0" w:color="auto"/>
            </w:tcBorders>
            <w:noWrap/>
          </w:tcPr>
          <w:p>
            <w:pPr>
              <w:pStyle w:val="yTableNAm"/>
            </w:pPr>
            <w:r>
              <w:lastRenderedPageBreak/>
              <w:t>Explosive power tools</w:t>
            </w:r>
          </w:p>
        </w:tc>
        <w:tc>
          <w:tcPr>
            <w:tcW w:w="3402" w:type="dxa"/>
            <w:tcBorders>
              <w:left w:val="single" w:sz="4" w:space="0" w:color="auto"/>
            </w:tcBorders>
            <w:noWrap/>
          </w:tcPr>
          <w:p>
            <w:pPr>
              <w:pStyle w:val="yTableNAm"/>
            </w:pPr>
            <w:r>
              <w:t>All uses in an underground coal mine</w:t>
            </w:r>
          </w:p>
        </w:tc>
      </w:tr>
      <w:tr>
        <w:tc>
          <w:tcPr>
            <w:tcW w:w="3657" w:type="dxa"/>
            <w:tcBorders>
              <w:right w:val="single" w:sz="4" w:space="0" w:color="auto"/>
            </w:tcBorders>
            <w:noWrap/>
          </w:tcPr>
          <w:p>
            <w:pPr>
              <w:pStyle w:val="yTableNAm"/>
            </w:pPr>
            <w:r>
              <w:t>Explosives, detonators and exploders (excluding explosive power tools)</w:t>
            </w:r>
          </w:p>
        </w:tc>
        <w:tc>
          <w:tcPr>
            <w:tcW w:w="3402" w:type="dxa"/>
            <w:tcBorders>
              <w:left w:val="single" w:sz="4" w:space="0" w:color="auto"/>
            </w:tcBorders>
            <w:noWrap/>
          </w:tcPr>
          <w:p>
            <w:pPr>
              <w:pStyle w:val="yTableNAm"/>
            </w:pPr>
            <w:r>
              <w:t>All uses at a mine, unless for the purpose of shotfiring</w:t>
            </w:r>
          </w:p>
        </w:tc>
      </w:tr>
      <w:tr>
        <w:tc>
          <w:tcPr>
            <w:tcW w:w="3657" w:type="dxa"/>
            <w:tcBorders>
              <w:right w:val="single" w:sz="4" w:space="0" w:color="auto"/>
            </w:tcBorders>
            <w:noWrap/>
          </w:tcPr>
          <w:p>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pPr>
              <w:pStyle w:val="yTableNAm"/>
            </w:pPr>
            <w:r>
              <w:t>In an underground coal mine in ventilation plant and conveyor belts and accessories</w:t>
            </w:r>
          </w:p>
        </w:tc>
      </w:tr>
    </w:tbl>
    <w:p>
      <w:pPr>
        <w:pStyle w:val="yScheduleHeading"/>
        <w:outlineLvl w:val="0"/>
      </w:pPr>
      <w:bookmarkStart w:id="1277" w:name="_Toc200720781"/>
      <w:r>
        <w:rPr>
          <w:rStyle w:val="CharSchNo"/>
        </w:rPr>
        <w:lastRenderedPageBreak/>
        <w:t>Schedule 21</w:t>
      </w:r>
      <w:r>
        <w:rPr>
          <w:rStyle w:val="CharSDivNo"/>
        </w:rPr>
        <w:t> </w:t>
      </w:r>
      <w:r>
        <w:t>—</w:t>
      </w:r>
      <w:r>
        <w:rPr>
          <w:rStyle w:val="CharSDivText"/>
        </w:rPr>
        <w:t> </w:t>
      </w:r>
      <w:r>
        <w:rPr>
          <w:rStyle w:val="CharSchText"/>
        </w:rPr>
        <w:t>Not used</w:t>
      </w:r>
      <w:bookmarkEnd w:id="1277"/>
    </w:p>
    <w:p>
      <w:pPr>
        <w:pStyle w:val="yScheduleHeading"/>
        <w:spacing w:before="360"/>
      </w:pPr>
      <w:bookmarkStart w:id="1278" w:name="_Toc200720782"/>
      <w:r>
        <w:rPr>
          <w:rStyle w:val="CharSchNo"/>
        </w:rPr>
        <w:lastRenderedPageBreak/>
        <w:t>Schedule 22</w:t>
      </w:r>
      <w:r>
        <w:rPr>
          <w:rStyle w:val="CharSDivNo"/>
          <w:sz w:val="28"/>
        </w:rPr>
        <w:t> </w:t>
      </w:r>
      <w:r>
        <w:t>—</w:t>
      </w:r>
      <w:r>
        <w:rPr>
          <w:rStyle w:val="CharSDivText"/>
          <w:sz w:val="28"/>
        </w:rPr>
        <w:t> </w:t>
      </w:r>
      <w:r>
        <w:rPr>
          <w:rStyle w:val="CharSchText"/>
        </w:rPr>
        <w:t>Matters to be included in emergency plan for a mine</w:t>
      </w:r>
      <w:bookmarkEnd w:id="1278"/>
    </w:p>
    <w:p>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Site and hazard detail</w:t>
            </w:r>
          </w:p>
        </w:tc>
      </w:tr>
      <w:tr>
        <w:tc>
          <w:tcPr>
            <w:tcW w:w="7059" w:type="dxa"/>
            <w:noWrap/>
          </w:tcPr>
          <w:p>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pPr>
              <w:pStyle w:val="PermNoteHeading"/>
              <w:spacing w:before="120"/>
              <w:ind w:left="602" w:firstLine="0"/>
            </w:pPr>
            <w:r>
              <w:t>Note for this item:</w:t>
            </w:r>
          </w:p>
          <w:p>
            <w:pPr>
              <w:pStyle w:val="PermNoteText"/>
            </w:pPr>
            <w:r>
              <w:tab/>
              <w:t>Sufficient detail must be provided to enable a person not familiar with the site to find it.</w:t>
            </w:r>
          </w:p>
        </w:tc>
      </w:tr>
      <w:tr>
        <w:tc>
          <w:tcPr>
            <w:tcW w:w="7059" w:type="dxa"/>
            <w:noWrap/>
          </w:tcPr>
          <w:p>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tc>
          <w:tcPr>
            <w:tcW w:w="7059" w:type="dxa"/>
            <w:noWrap/>
          </w:tcPr>
          <w:p>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tc>
          <w:tcPr>
            <w:tcW w:w="7059" w:type="dxa"/>
            <w:noWrap/>
          </w:tcPr>
          <w:p>
            <w:pPr>
              <w:pStyle w:val="yTableNAm"/>
              <w:tabs>
                <w:tab w:val="clear" w:pos="567"/>
                <w:tab w:val="left" w:pos="602"/>
              </w:tabs>
              <w:ind w:left="602" w:hanging="567"/>
            </w:pPr>
            <w:r>
              <w:t>1.4</w:t>
            </w:r>
            <w:r>
              <w:tab/>
              <w:t>The maximum number of persons, including workers, likely to be present at the mine on a normal working day.</w:t>
            </w:r>
          </w:p>
        </w:tc>
      </w:tr>
      <w:tr>
        <w:tc>
          <w:tcPr>
            <w:tcW w:w="7059" w:type="dxa"/>
            <w:noWrap/>
          </w:tcPr>
          <w:p>
            <w:pPr>
              <w:pStyle w:val="yTableNAm"/>
              <w:tabs>
                <w:tab w:val="clear" w:pos="567"/>
                <w:tab w:val="left" w:pos="602"/>
              </w:tabs>
              <w:ind w:left="602" w:hanging="567"/>
            </w:pPr>
            <w:r>
              <w:t>1.5</w:t>
            </w:r>
            <w:r>
              <w:tab/>
              <w:t>The emergency planning assumptions for different emergencies, and areas likely to be affected.</w:t>
            </w:r>
          </w:p>
        </w:tc>
      </w:tr>
      <w:tr>
        <w:tc>
          <w:tcPr>
            <w:tcW w:w="7059" w:type="dxa"/>
            <w:noWrap/>
          </w:tcPr>
          <w:p>
            <w:pPr>
              <w:pStyle w:val="yTableNAm"/>
              <w:tabs>
                <w:tab w:val="clear" w:pos="567"/>
                <w:tab w:val="left" w:pos="602"/>
              </w:tabs>
              <w:ind w:left="602" w:hanging="567"/>
            </w:pPr>
            <w:r>
              <w:t>1.6</w:t>
            </w:r>
            <w:r>
              <w:tab/>
              <w:t>The protective resources available to control an incident that could result in an emergency.</w:t>
            </w:r>
          </w:p>
        </w:tc>
      </w:tr>
      <w:tr>
        <w:tc>
          <w:tcPr>
            <w:tcW w:w="7059" w:type="dxa"/>
            <w:noWrap/>
          </w:tcPr>
          <w:p>
            <w:pPr>
              <w:pStyle w:val="yTableNAm"/>
              <w:tabs>
                <w:tab w:val="clear" w:pos="567"/>
                <w:tab w:val="left" w:pos="602"/>
              </w:tabs>
              <w:ind w:left="602" w:hanging="567"/>
            </w:pPr>
            <w:r>
              <w:t>1.7</w:t>
            </w:r>
            <w:r>
              <w:tab/>
              <w:t>The emergency response procedures, including procedures for isolating areas of the mine in an emergency.</w:t>
            </w:r>
          </w:p>
        </w:tc>
      </w:tr>
      <w:tr>
        <w:tc>
          <w:tcPr>
            <w:tcW w:w="7059" w:type="dxa"/>
            <w:noWrap/>
          </w:tcPr>
          <w:p>
            <w:pPr>
              <w:pStyle w:val="yTableNAm"/>
              <w:tabs>
                <w:tab w:val="clear" w:pos="567"/>
                <w:tab w:val="left" w:pos="602"/>
              </w:tabs>
              <w:ind w:left="602" w:hanging="567"/>
            </w:pPr>
            <w:r>
              <w:t>1.8</w:t>
            </w:r>
            <w:r>
              <w:tab/>
              <w:t>The infrastructure likely to be affected by an emergency.</w:t>
            </w:r>
          </w:p>
        </w:tc>
      </w:tr>
      <w:tr>
        <w:tc>
          <w:tcPr>
            <w:tcW w:w="7059" w:type="dxa"/>
            <w:noWrap/>
          </w:tcPr>
          <w:p>
            <w:pPr>
              <w:pStyle w:val="yTableNAm"/>
              <w:keepNext/>
              <w:rPr>
                <w:b/>
              </w:rPr>
            </w:pPr>
            <w:r>
              <w:rPr>
                <w:rStyle w:val="CharSClsNo"/>
                <w:b/>
              </w:rPr>
              <w:t>2</w:t>
            </w:r>
            <w:r>
              <w:rPr>
                <w:b/>
              </w:rPr>
              <w:tab/>
              <w:t>Command structure and site personnel</w:t>
            </w:r>
          </w:p>
        </w:tc>
      </w:tr>
      <w:tr>
        <w:tc>
          <w:tcPr>
            <w:tcW w:w="7059" w:type="dxa"/>
            <w:noWrap/>
          </w:tcPr>
          <w:p>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tc>
          <w:tcPr>
            <w:tcW w:w="7059" w:type="dxa"/>
            <w:noWrap/>
          </w:tcPr>
          <w:p>
            <w:pPr>
              <w:pStyle w:val="yTableNAm"/>
              <w:tabs>
                <w:tab w:val="clear" w:pos="567"/>
                <w:tab w:val="left" w:pos="602"/>
              </w:tabs>
              <w:ind w:left="602" w:hanging="567"/>
            </w:pPr>
            <w:r>
              <w:t>2.2</w:t>
            </w:r>
            <w:r>
              <w:tab/>
              <w:t>Details of the person who can clarify the content of the emergency plan if necessary.</w:t>
            </w:r>
          </w:p>
        </w:tc>
      </w:tr>
      <w:tr>
        <w:tc>
          <w:tcPr>
            <w:tcW w:w="7059" w:type="dxa"/>
            <w:noWrap/>
          </w:tcPr>
          <w:p>
            <w:pPr>
              <w:pStyle w:val="yTableNAm"/>
              <w:tabs>
                <w:tab w:val="clear" w:pos="567"/>
                <w:tab w:val="left" w:pos="602"/>
              </w:tabs>
              <w:ind w:left="602" w:hanging="567"/>
            </w:pPr>
            <w:r>
              <w:lastRenderedPageBreak/>
              <w:t>2.3</w:t>
            </w:r>
            <w:r>
              <w:tab/>
              <w:t>The contact details of, and the means of contacting, the persons at the mine responsible for liaising with emergency services.</w:t>
            </w:r>
          </w:p>
        </w:tc>
      </w:tr>
      <w:tr>
        <w:tc>
          <w:tcPr>
            <w:tcW w:w="7059" w:type="dxa"/>
            <w:noWrap/>
          </w:tcPr>
          <w:p>
            <w:pPr>
              <w:pStyle w:val="yTableNAm"/>
              <w:tabs>
                <w:tab w:val="clear" w:pos="567"/>
                <w:tab w:val="left" w:pos="602"/>
              </w:tabs>
              <w:ind w:left="602" w:hanging="567"/>
            </w:pPr>
            <w:r>
              <w:t>2.4</w:t>
            </w:r>
            <w:r>
              <w:tab/>
              <w:t>A list of 24</w:t>
            </w:r>
            <w:r>
              <w:noBreakHyphen/>
              <w:t>hour emergency contacts.</w:t>
            </w:r>
          </w:p>
        </w:tc>
      </w:tr>
      <w:tr>
        <w:tc>
          <w:tcPr>
            <w:tcW w:w="7059" w:type="dxa"/>
            <w:noWrap/>
          </w:tcPr>
          <w:p>
            <w:pPr>
              <w:pStyle w:val="yTableNAm"/>
              <w:tabs>
                <w:tab w:val="clear" w:pos="567"/>
                <w:tab w:val="left" w:pos="602"/>
              </w:tabs>
              <w:ind w:left="602" w:hanging="567"/>
            </w:pPr>
            <w:r>
              <w:t>2.5</w:t>
            </w:r>
            <w:r>
              <w:tab/>
              <w:t>Arrangements for assisting emergency services.</w:t>
            </w:r>
          </w:p>
        </w:tc>
      </w:tr>
      <w:tr>
        <w:tc>
          <w:tcPr>
            <w:tcW w:w="7059" w:type="dxa"/>
            <w:noWrap/>
          </w:tcPr>
          <w:p>
            <w:pPr>
              <w:pStyle w:val="yTableNAm"/>
              <w:keepNext/>
              <w:rPr>
                <w:b/>
              </w:rPr>
            </w:pPr>
            <w:r>
              <w:rPr>
                <w:b/>
              </w:rPr>
              <w:t>3</w:t>
            </w:r>
            <w:r>
              <w:rPr>
                <w:b/>
              </w:rPr>
              <w:tab/>
              <w:t>Notifications</w:t>
            </w:r>
          </w:p>
        </w:tc>
      </w:tr>
      <w:tr>
        <w:tc>
          <w:tcPr>
            <w:tcW w:w="7059" w:type="dxa"/>
            <w:noWrap/>
          </w:tcPr>
          <w:p>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pPr>
              <w:pStyle w:val="yTableNAm"/>
              <w:tabs>
                <w:tab w:val="clear" w:pos="567"/>
                <w:tab w:val="left" w:pos="1315"/>
              </w:tabs>
              <w:spacing w:before="80"/>
              <w:ind w:left="1174" w:hanging="567"/>
            </w:pPr>
            <w:r>
              <w:t>(a)</w:t>
            </w:r>
            <w:r>
              <w:tab/>
              <w:t xml:space="preserve">any person whose health or safety may be affected, even if — </w:t>
            </w:r>
          </w:p>
          <w:p>
            <w:pPr>
              <w:pStyle w:val="yTableNAm"/>
              <w:tabs>
                <w:tab w:val="clear" w:pos="567"/>
                <w:tab w:val="right" w:pos="1364"/>
              </w:tabs>
              <w:spacing w:before="60"/>
              <w:ind w:left="1598" w:hanging="1559"/>
            </w:pPr>
            <w:r>
              <w:tab/>
              <w:t>(i)</w:t>
            </w:r>
            <w:r>
              <w:tab/>
              <w:t>the person is located underground; or</w:t>
            </w:r>
          </w:p>
          <w:p>
            <w:pPr>
              <w:pStyle w:val="yTableNAm"/>
              <w:tabs>
                <w:tab w:val="clear" w:pos="567"/>
                <w:tab w:val="right" w:pos="1364"/>
              </w:tabs>
              <w:spacing w:before="60"/>
              <w:ind w:left="1598" w:hanging="1559"/>
            </w:pPr>
            <w:r>
              <w:tab/>
              <w:t>(ii)</w:t>
            </w:r>
            <w:r>
              <w:tab/>
              <w:t>there is no electrical power that can be used for the notification;</w:t>
            </w:r>
          </w:p>
          <w:p>
            <w:pPr>
              <w:pStyle w:val="yTableNAm"/>
              <w:tabs>
                <w:tab w:val="clear" w:pos="567"/>
              </w:tabs>
              <w:spacing w:before="60"/>
              <w:ind w:left="1173" w:hanging="567"/>
            </w:pPr>
            <w:r>
              <w:tab/>
              <w:t>and</w:t>
            </w:r>
          </w:p>
          <w:p>
            <w:pPr>
              <w:pStyle w:val="yTableNAm"/>
              <w:tabs>
                <w:tab w:val="clear" w:pos="567"/>
                <w:tab w:val="left" w:pos="1315"/>
              </w:tabs>
              <w:spacing w:before="80"/>
              <w:ind w:left="1174" w:hanging="567"/>
            </w:pPr>
            <w:r>
              <w:t>(b)</w:t>
            </w:r>
            <w:r>
              <w:tab/>
              <w:t>the emergency services in circumstances in which emergency services are required.</w:t>
            </w:r>
          </w:p>
        </w:tc>
      </w:tr>
      <w:tr>
        <w:tc>
          <w:tcPr>
            <w:tcW w:w="7059" w:type="dxa"/>
            <w:noWrap/>
          </w:tcPr>
          <w:p>
            <w:pPr>
              <w:pStyle w:val="yTableNAm"/>
              <w:tabs>
                <w:tab w:val="clear" w:pos="567"/>
                <w:tab w:val="left" w:pos="602"/>
              </w:tabs>
              <w:ind w:left="602" w:hanging="567"/>
            </w:pPr>
            <w:r>
              <w:t>3.2</w:t>
            </w:r>
            <w:r>
              <w:tab/>
              <w:t>On</w:t>
            </w:r>
            <w:r>
              <w:noBreakHyphen/>
              <w:t>site and off</w:t>
            </w:r>
            <w:r>
              <w:noBreakHyphen/>
              <w:t>site warning systems.</w:t>
            </w:r>
          </w:p>
        </w:tc>
      </w:tr>
      <w:tr>
        <w:tc>
          <w:tcPr>
            <w:tcW w:w="7059" w:type="dxa"/>
            <w:noWrap/>
          </w:tcPr>
          <w:p>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tc>
          <w:tcPr>
            <w:tcW w:w="7059" w:type="dxa"/>
            <w:noWrap/>
          </w:tcPr>
          <w:p>
            <w:pPr>
              <w:pStyle w:val="yTableNAm"/>
              <w:tabs>
                <w:tab w:val="clear" w:pos="567"/>
                <w:tab w:val="left" w:pos="602"/>
              </w:tabs>
              <w:ind w:left="602" w:hanging="567"/>
            </w:pPr>
            <w:r>
              <w:t>3.4</w:t>
            </w:r>
            <w:r>
              <w:tab/>
              <w:t>On</w:t>
            </w:r>
            <w:r>
              <w:noBreakHyphen/>
              <w:t>site communication systems.</w:t>
            </w:r>
          </w:p>
        </w:tc>
      </w:tr>
      <w:tr>
        <w:tc>
          <w:tcPr>
            <w:tcW w:w="7059" w:type="dxa"/>
            <w:noWrap/>
          </w:tcPr>
          <w:p>
            <w:pPr>
              <w:pStyle w:val="yTableNAm"/>
              <w:keepNext/>
              <w:rPr>
                <w:b/>
              </w:rPr>
            </w:pPr>
            <w:r>
              <w:rPr>
                <w:b/>
              </w:rPr>
              <w:t>4</w:t>
            </w:r>
            <w:r>
              <w:rPr>
                <w:b/>
              </w:rPr>
              <w:tab/>
              <w:t>Resources and equipment</w:t>
            </w:r>
          </w:p>
        </w:tc>
      </w:tr>
      <w:tr>
        <w:tc>
          <w:tcPr>
            <w:tcW w:w="7059" w:type="dxa"/>
            <w:noWrap/>
          </w:tcPr>
          <w:p>
            <w:pPr>
              <w:pStyle w:val="yTableNAm"/>
              <w:tabs>
                <w:tab w:val="clear" w:pos="567"/>
                <w:tab w:val="left" w:pos="602"/>
              </w:tabs>
              <w:ind w:left="602" w:hanging="567"/>
            </w:pPr>
            <w:r>
              <w:t>4.1</w:t>
            </w:r>
            <w:r>
              <w:tab/>
              <w:t>On</w:t>
            </w:r>
            <w:r>
              <w:noBreakHyphen/>
              <w:t xml:space="preserve">site emergency resources, including — </w:t>
            </w:r>
          </w:p>
          <w:p>
            <w:pPr>
              <w:pStyle w:val="yTableNAm"/>
              <w:tabs>
                <w:tab w:val="clear" w:pos="567"/>
                <w:tab w:val="left" w:pos="1315"/>
              </w:tabs>
              <w:spacing w:before="80"/>
              <w:ind w:left="1174" w:hanging="567"/>
            </w:pPr>
            <w:r>
              <w:t>(a)</w:t>
            </w:r>
            <w:r>
              <w:tab/>
              <w:t>first aid equipment, facilities, services and personnel; and</w:t>
            </w:r>
          </w:p>
          <w:p>
            <w:pPr>
              <w:pStyle w:val="yTableNAm"/>
              <w:tabs>
                <w:tab w:val="clear" w:pos="567"/>
                <w:tab w:val="left" w:pos="1315"/>
              </w:tabs>
              <w:spacing w:before="80"/>
              <w:ind w:left="1174" w:hanging="567"/>
            </w:pPr>
            <w:r>
              <w:t>(b)</w:t>
            </w:r>
            <w:r>
              <w:tab/>
              <w:t>emergency equipment and personnel; and</w:t>
            </w:r>
          </w:p>
          <w:p>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tc>
          <w:tcPr>
            <w:tcW w:w="7059" w:type="dxa"/>
            <w:noWrap/>
          </w:tcPr>
          <w:p>
            <w:pPr>
              <w:pStyle w:val="yTableNAm"/>
              <w:tabs>
                <w:tab w:val="clear" w:pos="567"/>
                <w:tab w:val="left" w:pos="602"/>
              </w:tabs>
              <w:ind w:left="602" w:hanging="567"/>
            </w:pPr>
            <w:r>
              <w:lastRenderedPageBreak/>
              <w:t>4.2</w:t>
            </w:r>
            <w:r>
              <w:tab/>
              <w:t>Off</w:t>
            </w:r>
            <w:r>
              <w:noBreakHyphen/>
              <w:t>site emergency resources, including arrangements for obtaining additional external resources (specific to the likely incidents), including mines rescue services, as necessary.</w:t>
            </w:r>
          </w:p>
        </w:tc>
      </w:tr>
      <w:tr>
        <w:tc>
          <w:tcPr>
            <w:tcW w:w="7059" w:type="dxa"/>
            <w:noWrap/>
          </w:tcPr>
          <w:p>
            <w:pPr>
              <w:pStyle w:val="yTableNAm"/>
              <w:tabs>
                <w:tab w:val="clear" w:pos="567"/>
                <w:tab w:val="left" w:pos="602"/>
              </w:tabs>
              <w:ind w:left="602" w:hanging="567"/>
            </w:pPr>
            <w:r>
              <w:t>4.3</w:t>
            </w:r>
            <w:r>
              <w:tab/>
              <w:t xml:space="preserve">Arrangements for mines rescue that state the following — </w:t>
            </w:r>
          </w:p>
          <w:p>
            <w:pPr>
              <w:pStyle w:val="yTableNAm"/>
              <w:tabs>
                <w:tab w:val="clear" w:pos="567"/>
                <w:tab w:val="left" w:pos="1315"/>
              </w:tabs>
              <w:spacing w:before="80"/>
              <w:ind w:left="1174" w:hanging="567"/>
            </w:pPr>
            <w:r>
              <w:t>(a)</w:t>
            </w:r>
            <w:r>
              <w:tab/>
              <w:t>the minimum mines rescue training to be provided;</w:t>
            </w:r>
          </w:p>
          <w:p>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pPr>
              <w:pStyle w:val="yTableNAm"/>
              <w:tabs>
                <w:tab w:val="clear" w:pos="567"/>
                <w:tab w:val="left" w:pos="1315"/>
              </w:tabs>
              <w:spacing w:before="80"/>
              <w:ind w:left="1174" w:hanging="567"/>
            </w:pPr>
            <w:r>
              <w:t>(c)</w:t>
            </w:r>
            <w:r>
              <w:tab/>
              <w:t>how inertisation equipment is to be used;</w:t>
            </w:r>
          </w:p>
          <w:p>
            <w:pPr>
              <w:pStyle w:val="yTableNAm"/>
              <w:tabs>
                <w:tab w:val="clear" w:pos="567"/>
                <w:tab w:val="left" w:pos="1315"/>
              </w:tabs>
              <w:spacing w:before="80"/>
              <w:ind w:left="1174" w:hanging="567"/>
            </w:pPr>
            <w:r>
              <w:t>(d)</w:t>
            </w:r>
            <w:r>
              <w:tab/>
              <w:t>the procedures to be followed in carrying out mines rescue.</w:t>
            </w:r>
          </w:p>
        </w:tc>
      </w:tr>
      <w:tr>
        <w:tc>
          <w:tcPr>
            <w:tcW w:w="7059" w:type="dxa"/>
            <w:noWrap/>
          </w:tcPr>
          <w:p>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tc>
          <w:tcPr>
            <w:tcW w:w="7059" w:type="dxa"/>
            <w:noWrap/>
          </w:tcPr>
          <w:p>
            <w:pPr>
              <w:pStyle w:val="yTableNAm"/>
              <w:tabs>
                <w:tab w:val="clear" w:pos="567"/>
                <w:tab w:val="left" w:pos="602"/>
              </w:tabs>
              <w:ind w:left="602" w:hanging="567"/>
            </w:pPr>
            <w:r>
              <w:t>4.5</w:t>
            </w:r>
            <w:r>
              <w:tab/>
              <w:t xml:space="preserve">For an underground mine — </w:t>
            </w:r>
          </w:p>
          <w:p>
            <w:pPr>
              <w:pStyle w:val="yTableNAm"/>
              <w:tabs>
                <w:tab w:val="clear" w:pos="567"/>
                <w:tab w:val="left" w:pos="1315"/>
              </w:tabs>
              <w:spacing w:before="80"/>
              <w:ind w:left="1174" w:hanging="567"/>
            </w:pPr>
            <w:r>
              <w:t>(a)</w:t>
            </w:r>
            <w:r>
              <w:tab/>
              <w:t xml:space="preserve">the type, number and location of refuges; and </w:t>
            </w:r>
          </w:p>
          <w:p>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tc>
          <w:tcPr>
            <w:tcW w:w="7059" w:type="dxa"/>
            <w:noWrap/>
          </w:tcPr>
          <w:p>
            <w:pPr>
              <w:pStyle w:val="yTableNAm"/>
              <w:keepNext/>
              <w:rPr>
                <w:b/>
              </w:rPr>
            </w:pPr>
            <w:r>
              <w:rPr>
                <w:b/>
              </w:rPr>
              <w:t>5</w:t>
            </w:r>
            <w:r>
              <w:rPr>
                <w:b/>
              </w:rPr>
              <w:tab/>
              <w:t>Procedures</w:t>
            </w:r>
          </w:p>
        </w:tc>
      </w:tr>
      <w:tr>
        <w:tc>
          <w:tcPr>
            <w:tcW w:w="7059" w:type="dxa"/>
            <w:noWrap/>
          </w:tcPr>
          <w:p>
            <w:pPr>
              <w:pStyle w:val="yTableNAm"/>
              <w:tabs>
                <w:tab w:val="clear" w:pos="567"/>
                <w:tab w:val="left" w:pos="602"/>
              </w:tabs>
              <w:ind w:left="602" w:hanging="567"/>
            </w:pPr>
            <w:r>
              <w:t>5.1</w:t>
            </w:r>
            <w:r>
              <w:tab/>
              <w:t>Procedures for the safe evacuation of, and accounting for, all persons at the mine.</w:t>
            </w:r>
          </w:p>
        </w:tc>
      </w:tr>
      <w:tr>
        <w:tc>
          <w:tcPr>
            <w:tcW w:w="7059" w:type="dxa"/>
            <w:noWrap/>
          </w:tcPr>
          <w:p>
            <w:pPr>
              <w:pStyle w:val="yTableNAm"/>
              <w:tabs>
                <w:tab w:val="clear" w:pos="567"/>
                <w:tab w:val="left" w:pos="602"/>
              </w:tabs>
              <w:ind w:left="602" w:hanging="567"/>
            </w:pPr>
            <w:r>
              <w:t>5.2</w:t>
            </w:r>
            <w:r>
              <w:tab/>
              <w:t>Procedures and control points for utilities, including gas, water and electricity.</w:t>
            </w:r>
          </w:p>
        </w:tc>
      </w:tr>
      <w:tr>
        <w:tc>
          <w:tcPr>
            <w:tcW w:w="7059" w:type="dxa"/>
            <w:noWrap/>
          </w:tcPr>
          <w:p>
            <w:pPr>
              <w:pStyle w:val="yTableNAm"/>
              <w:tabs>
                <w:tab w:val="clear" w:pos="567"/>
                <w:tab w:val="left" w:pos="602"/>
              </w:tabs>
              <w:ind w:left="602" w:hanging="567"/>
            </w:pPr>
            <w:r>
              <w:t>5.3</w:t>
            </w:r>
            <w:r>
              <w:tab/>
              <w:t>Procedures in the event of the ventilation system for the mine failing totally or for more than 30 minutes.</w:t>
            </w:r>
          </w:p>
        </w:tc>
      </w:tr>
      <w:tr>
        <w:tc>
          <w:tcPr>
            <w:tcW w:w="7059" w:type="dxa"/>
            <w:noWrap/>
          </w:tcPr>
          <w:p>
            <w:pPr>
              <w:pStyle w:val="yTableNAm"/>
              <w:tabs>
                <w:tab w:val="clear" w:pos="567"/>
                <w:tab w:val="left" w:pos="602"/>
              </w:tabs>
              <w:ind w:left="602" w:hanging="567"/>
            </w:pPr>
            <w:r>
              <w:t>5.4</w:t>
            </w:r>
            <w:r>
              <w:tab/>
              <w:t>Procedures for maintaining refuges and other equipment required for emergencies.</w:t>
            </w:r>
          </w:p>
        </w:tc>
      </w:tr>
      <w:tr>
        <w:tc>
          <w:tcPr>
            <w:tcW w:w="7059" w:type="dxa"/>
            <w:noWrap/>
          </w:tcPr>
          <w:p>
            <w:pPr>
              <w:pStyle w:val="yTableNAm"/>
              <w:keepNext/>
              <w:rPr>
                <w:b/>
              </w:rPr>
            </w:pPr>
            <w:r>
              <w:rPr>
                <w:b/>
              </w:rPr>
              <w:lastRenderedPageBreak/>
              <w:t>6</w:t>
            </w:r>
            <w:r>
              <w:rPr>
                <w:b/>
              </w:rPr>
              <w:tab/>
              <w:t>Training and competence</w:t>
            </w:r>
          </w:p>
        </w:tc>
      </w:tr>
      <w:tr>
        <w:tc>
          <w:tcPr>
            <w:tcW w:w="7059" w:type="dxa"/>
            <w:noWrap/>
          </w:tcPr>
          <w:p>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tc>
          <w:tcPr>
            <w:tcW w:w="7059" w:type="dxa"/>
            <w:noWrap/>
          </w:tcPr>
          <w:p>
            <w:pPr>
              <w:pStyle w:val="yTableNAm"/>
              <w:tabs>
                <w:tab w:val="clear" w:pos="567"/>
                <w:tab w:val="left" w:pos="602"/>
              </w:tabs>
              <w:ind w:left="602" w:hanging="567"/>
            </w:pPr>
            <w:r>
              <w:t>6.2</w:t>
            </w:r>
            <w:r>
              <w:tab/>
              <w:t>Training, and conducting emergency drills, for all workers.</w:t>
            </w:r>
          </w:p>
        </w:tc>
      </w:tr>
    </w:tbl>
    <w:p>
      <w:pPr>
        <w:pStyle w:val="yScheduleHeading"/>
      </w:pPr>
      <w:bookmarkStart w:id="1279" w:name="_Toc200720783"/>
      <w:r>
        <w:rPr>
          <w:rStyle w:val="CharSchNo"/>
        </w:rPr>
        <w:lastRenderedPageBreak/>
        <w:t>Schedule 23</w:t>
      </w:r>
      <w:r>
        <w:rPr>
          <w:rStyle w:val="CharSDivNo"/>
        </w:rPr>
        <w:t> </w:t>
      </w:r>
      <w:r>
        <w:t>—</w:t>
      </w:r>
      <w:r>
        <w:rPr>
          <w:rStyle w:val="CharSDivText"/>
        </w:rPr>
        <w:t> </w:t>
      </w:r>
      <w:r>
        <w:rPr>
          <w:rStyle w:val="CharSchText"/>
        </w:rPr>
        <w:t>High risk mining activities</w:t>
      </w:r>
      <w:bookmarkEnd w:id="1279"/>
    </w:p>
    <w:p>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trPr>
          <w:cantSplit/>
          <w:trHeight w:val="193"/>
          <w:tblHeader/>
        </w:trPr>
        <w:tc>
          <w:tcPr>
            <w:tcW w:w="1271" w:type="dxa"/>
            <w:noWrap/>
          </w:tcPr>
          <w:p>
            <w:pPr>
              <w:pStyle w:val="yTableNAm"/>
              <w:jc w:val="center"/>
              <w:rPr>
                <w:b/>
                <w:bCs/>
              </w:rPr>
            </w:pPr>
            <w:r>
              <w:rPr>
                <w:b/>
                <w:bCs/>
              </w:rPr>
              <w:t>Column 1</w:t>
            </w:r>
          </w:p>
          <w:p>
            <w:pPr>
              <w:pStyle w:val="yTableNAm"/>
              <w:jc w:val="center"/>
              <w:rPr>
                <w:b/>
                <w:bCs/>
              </w:rPr>
            </w:pPr>
            <w:r>
              <w:rPr>
                <w:b/>
                <w:bCs/>
              </w:rPr>
              <w:t>Item</w:t>
            </w:r>
          </w:p>
        </w:tc>
        <w:tc>
          <w:tcPr>
            <w:tcW w:w="2415" w:type="dxa"/>
            <w:noWrap/>
          </w:tcPr>
          <w:p>
            <w:pPr>
              <w:pStyle w:val="yTableNAm"/>
              <w:jc w:val="center"/>
              <w:rPr>
                <w:b/>
                <w:bCs/>
              </w:rPr>
            </w:pPr>
            <w:r>
              <w:rPr>
                <w:b/>
                <w:bCs/>
              </w:rPr>
              <w:t>Column 2</w:t>
            </w:r>
          </w:p>
          <w:p>
            <w:pPr>
              <w:pStyle w:val="yTableNAm"/>
              <w:jc w:val="center"/>
              <w:rPr>
                <w:b/>
                <w:bCs/>
              </w:rPr>
            </w:pPr>
            <w:r>
              <w:rPr>
                <w:b/>
                <w:bCs/>
              </w:rPr>
              <w:t>High risk mining activity</w:t>
            </w:r>
          </w:p>
        </w:tc>
        <w:tc>
          <w:tcPr>
            <w:tcW w:w="992" w:type="dxa"/>
            <w:noWrap/>
          </w:tcPr>
          <w:p>
            <w:pPr>
              <w:pStyle w:val="yTableNAm"/>
              <w:tabs>
                <w:tab w:val="clear" w:pos="567"/>
              </w:tabs>
              <w:ind w:left="-108"/>
              <w:jc w:val="center"/>
              <w:rPr>
                <w:b/>
                <w:bCs/>
              </w:rPr>
            </w:pPr>
            <w:r>
              <w:rPr>
                <w:b/>
                <w:bCs/>
              </w:rPr>
              <w:t>Column 3</w:t>
            </w:r>
          </w:p>
          <w:p>
            <w:pPr>
              <w:pStyle w:val="yTableNAm"/>
              <w:tabs>
                <w:tab w:val="clear" w:pos="567"/>
              </w:tabs>
              <w:ind w:left="-108"/>
              <w:jc w:val="center"/>
              <w:rPr>
                <w:b/>
                <w:bCs/>
              </w:rPr>
            </w:pPr>
            <w:r>
              <w:rPr>
                <w:b/>
                <w:bCs/>
              </w:rPr>
              <w:t>Waiting period</w:t>
            </w:r>
          </w:p>
        </w:tc>
        <w:tc>
          <w:tcPr>
            <w:tcW w:w="2381" w:type="dxa"/>
            <w:noWrap/>
          </w:tcPr>
          <w:p>
            <w:pPr>
              <w:pStyle w:val="yTableNAm"/>
              <w:jc w:val="center"/>
              <w:rPr>
                <w:b/>
                <w:bCs/>
              </w:rPr>
            </w:pPr>
            <w:r>
              <w:rPr>
                <w:b/>
                <w:bCs/>
              </w:rPr>
              <w:t>Column 4</w:t>
            </w:r>
          </w:p>
          <w:p>
            <w:pPr>
              <w:pStyle w:val="yTableNAm"/>
              <w:jc w:val="center"/>
              <w:rPr>
                <w:b/>
                <w:bCs/>
              </w:rPr>
            </w:pPr>
            <w:r>
              <w:rPr>
                <w:b/>
                <w:bCs/>
              </w:rPr>
              <w:t>Information to be provided to regulator</w:t>
            </w:r>
          </w:p>
        </w:tc>
      </w:tr>
      <w:tr>
        <w:trPr>
          <w:cantSplit/>
          <w:trHeight w:val="190"/>
        </w:trPr>
        <w:tc>
          <w:tcPr>
            <w:tcW w:w="1271" w:type="dxa"/>
            <w:noWrap/>
          </w:tcPr>
          <w:p>
            <w:pPr>
              <w:pStyle w:val="yTableNAm"/>
            </w:pPr>
            <w:r>
              <w:t>1.</w:t>
            </w:r>
          </w:p>
        </w:tc>
        <w:tc>
          <w:tcPr>
            <w:tcW w:w="2415" w:type="dxa"/>
            <w:noWrap/>
          </w:tcPr>
          <w:p>
            <w:pPr>
              <w:pStyle w:val="yTableNAm"/>
            </w:pPr>
            <w:r>
              <w:t>Commencing sinking, widening or deepening of a mine shaft using entry methods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Method of working</w:t>
            </w:r>
          </w:p>
          <w:p>
            <w:pPr>
              <w:pStyle w:val="yTableNAm"/>
            </w:pPr>
            <w:r>
              <w:t>Details of plant to be used</w:t>
            </w:r>
          </w:p>
          <w:p>
            <w:pPr>
              <w:pStyle w:val="yTableNAm"/>
            </w:pPr>
            <w:r>
              <w:t>Risk assessment and control measures</w:t>
            </w:r>
          </w:p>
        </w:tc>
      </w:tr>
      <w:tr>
        <w:trPr>
          <w:cantSplit/>
          <w:trHeight w:val="190"/>
        </w:trPr>
        <w:tc>
          <w:tcPr>
            <w:tcW w:w="1271" w:type="dxa"/>
            <w:noWrap/>
          </w:tcPr>
          <w:p>
            <w:pPr>
              <w:pStyle w:val="yTableNAm"/>
            </w:pPr>
            <w:r>
              <w:t>2.</w:t>
            </w:r>
          </w:p>
        </w:tc>
        <w:tc>
          <w:tcPr>
            <w:tcW w:w="2415" w:type="dxa"/>
            <w:noWrap/>
          </w:tcPr>
          <w:p>
            <w:pPr>
              <w:pStyle w:val="yTableNAm"/>
            </w:pPr>
            <w:r>
              <w:t>Installing a winding system or making major changes to an already installed winding system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Relevant parts of the principal mining hazard management plan for the mine</w:t>
            </w:r>
          </w:p>
          <w:p>
            <w:pPr>
              <w:pStyle w:val="yTableNAm"/>
            </w:pPr>
            <w:r>
              <w:t>Details and, if necessary, drawings and certifications, of the winder, conveyance, ropes and other attachments</w:t>
            </w:r>
          </w:p>
        </w:tc>
      </w:tr>
      <w:tr>
        <w:trPr>
          <w:cantSplit/>
          <w:trHeight w:val="190"/>
        </w:trPr>
        <w:tc>
          <w:tcPr>
            <w:tcW w:w="1271" w:type="dxa"/>
            <w:noWrap/>
          </w:tcPr>
          <w:p>
            <w:pPr>
              <w:pStyle w:val="yTableNAm"/>
            </w:pPr>
            <w:r>
              <w:t>3.</w:t>
            </w:r>
          </w:p>
        </w:tc>
        <w:tc>
          <w:tcPr>
            <w:tcW w:w="2415" w:type="dxa"/>
            <w:noWrap/>
          </w:tcPr>
          <w:p>
            <w:pPr>
              <w:pStyle w:val="yTableNAm"/>
            </w:pPr>
            <w:r>
              <w:t>Commissioning a winding system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Relevant parts of the principal mining hazard management plan for the mine</w:t>
            </w:r>
          </w:p>
        </w:tc>
      </w:tr>
      <w:tr>
        <w:trPr>
          <w:cantSplit/>
          <w:trHeight w:val="190"/>
        </w:trPr>
        <w:tc>
          <w:tcPr>
            <w:tcW w:w="1271" w:type="dxa"/>
            <w:noWrap/>
          </w:tcPr>
          <w:p>
            <w:pPr>
              <w:pStyle w:val="yTableNAm"/>
            </w:pPr>
            <w:r>
              <w:lastRenderedPageBreak/>
              <w:t>4.</w:t>
            </w:r>
          </w:p>
        </w:tc>
        <w:tc>
          <w:tcPr>
            <w:tcW w:w="2415" w:type="dxa"/>
            <w:noWrap/>
          </w:tcPr>
          <w:p>
            <w:pPr>
              <w:pStyle w:val="yTableNAm"/>
            </w:pPr>
            <w:r>
              <w:t>Rising using entry methods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w:t>
            </w:r>
          </w:p>
          <w:p>
            <w:pPr>
              <w:pStyle w:val="yTableNAm"/>
            </w:pPr>
            <w:r>
              <w:t>Risk assessment and control measures</w:t>
            </w:r>
          </w:p>
          <w:p>
            <w:pPr>
              <w:pStyle w:val="yTableNAm"/>
            </w:pPr>
            <w:r>
              <w:t>Specifications of the finished rise</w:t>
            </w:r>
          </w:p>
        </w:tc>
      </w:tr>
      <w:tr>
        <w:trPr>
          <w:cantSplit/>
          <w:trHeight w:val="190"/>
        </w:trPr>
        <w:tc>
          <w:tcPr>
            <w:tcW w:w="1271" w:type="dxa"/>
            <w:noWrap/>
          </w:tcPr>
          <w:p>
            <w:pPr>
              <w:pStyle w:val="yTableNAm"/>
            </w:pPr>
            <w:r>
              <w:t>5.</w:t>
            </w:r>
          </w:p>
        </w:tc>
        <w:tc>
          <w:tcPr>
            <w:tcW w:w="2415" w:type="dxa"/>
            <w:noWrap/>
          </w:tcPr>
          <w:p>
            <w:pPr>
              <w:pStyle w:val="yTableNAm"/>
            </w:pPr>
            <w:r>
              <w:t>Single entry development beyond 200 metres from through ventilation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 and ventilation</w:t>
            </w:r>
          </w:p>
          <w:p>
            <w:pPr>
              <w:pStyle w:val="yTableNAm"/>
            </w:pPr>
            <w:r>
              <w:t>Risk assessment and controls</w:t>
            </w:r>
          </w:p>
          <w:p>
            <w:pPr>
              <w:pStyle w:val="yTableNAm"/>
            </w:pPr>
            <w:r>
              <w:t>Emergency evacuation procedure</w:t>
            </w:r>
          </w:p>
        </w:tc>
      </w:tr>
      <w:tr>
        <w:trPr>
          <w:cantSplit/>
          <w:trHeight w:val="190"/>
        </w:trPr>
        <w:tc>
          <w:tcPr>
            <w:tcW w:w="1271" w:type="dxa"/>
            <w:noWrap/>
          </w:tcPr>
          <w:p>
            <w:pPr>
              <w:pStyle w:val="yTableNAm"/>
            </w:pPr>
            <w:r>
              <w:t>6.</w:t>
            </w:r>
          </w:p>
        </w:tc>
        <w:tc>
          <w:tcPr>
            <w:tcW w:w="2415" w:type="dxa"/>
            <w:noWrap/>
          </w:tcPr>
          <w:p>
            <w:pPr>
              <w:pStyle w:val="yTableNAm"/>
            </w:pPr>
            <w:r>
              <w:t>Construction of an underground explosive magazine at an underground mine</w:t>
            </w:r>
          </w:p>
        </w:tc>
        <w:tc>
          <w:tcPr>
            <w:tcW w:w="992" w:type="dxa"/>
            <w:noWrap/>
          </w:tcPr>
          <w:p>
            <w:pPr>
              <w:pStyle w:val="yTableNAm"/>
              <w:tabs>
                <w:tab w:val="clear" w:pos="567"/>
              </w:tabs>
              <w:ind w:right="-104"/>
            </w:pPr>
            <w:r>
              <w:t>30 days</w:t>
            </w:r>
          </w:p>
        </w:tc>
        <w:tc>
          <w:tcPr>
            <w:tcW w:w="2381" w:type="dxa"/>
            <w:noWrap/>
          </w:tcPr>
          <w:p>
            <w:pPr>
              <w:pStyle w:val="yTableNAm"/>
            </w:pPr>
            <w:r>
              <w:t>Location, design and capacity</w:t>
            </w:r>
          </w:p>
          <w:p>
            <w:pPr>
              <w:pStyle w:val="yTableNAm"/>
            </w:pPr>
            <w:r>
              <w:t>Ventilation</w:t>
            </w:r>
          </w:p>
          <w:p>
            <w:pPr>
              <w:pStyle w:val="yTableNAm"/>
            </w:pPr>
            <w:r>
              <w:t>Risk assessment and control measures</w:t>
            </w:r>
          </w:p>
        </w:tc>
      </w:tr>
      <w:tr>
        <w:trPr>
          <w:trHeight w:val="190"/>
        </w:trPr>
        <w:tc>
          <w:tcPr>
            <w:tcW w:w="1271" w:type="dxa"/>
            <w:noWrap/>
          </w:tcPr>
          <w:p>
            <w:pPr>
              <w:pStyle w:val="yTableNAm"/>
            </w:pPr>
            <w:r>
              <w:t>7.</w:t>
            </w:r>
          </w:p>
        </w:tc>
        <w:tc>
          <w:tcPr>
            <w:tcW w:w="2415" w:type="dxa"/>
            <w:noWrap/>
          </w:tcPr>
          <w:p>
            <w:pPr>
              <w:pStyle w:val="yTableNAm"/>
            </w:pPr>
            <w:r>
              <w:t>Construction of a dam or plug to store water or slurry at an underground mine</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Design calculations</w:t>
            </w:r>
          </w:p>
          <w:p>
            <w:pPr>
              <w:pStyle w:val="yTableNAm"/>
            </w:pPr>
            <w:r>
              <w:t>Construction method and maintenance</w:t>
            </w:r>
          </w:p>
          <w:p>
            <w:pPr>
              <w:pStyle w:val="yTableNAm"/>
            </w:pPr>
            <w:r>
              <w:lastRenderedPageBreak/>
              <w:t>Risk assessment and control measures</w:t>
            </w:r>
          </w:p>
        </w:tc>
      </w:tr>
      <w:tr>
        <w:trPr>
          <w:cantSplit/>
          <w:trHeight w:val="190"/>
        </w:trPr>
        <w:tc>
          <w:tcPr>
            <w:tcW w:w="1271" w:type="dxa"/>
            <w:noWrap/>
          </w:tcPr>
          <w:p>
            <w:pPr>
              <w:pStyle w:val="yTableNAm"/>
            </w:pPr>
            <w:r>
              <w:lastRenderedPageBreak/>
              <w:t>8.</w:t>
            </w:r>
          </w:p>
        </w:tc>
        <w:tc>
          <w:tcPr>
            <w:tcW w:w="2415" w:type="dxa"/>
            <w:noWrap/>
          </w:tcPr>
          <w:p>
            <w:pPr>
              <w:pStyle w:val="yTableNAm"/>
            </w:pPr>
            <w:r>
              <w:t>Construction of a fuel storage or refuelling facility at an underground mine</w:t>
            </w:r>
          </w:p>
        </w:tc>
        <w:tc>
          <w:tcPr>
            <w:tcW w:w="992" w:type="dxa"/>
            <w:noWrap/>
          </w:tcPr>
          <w:p>
            <w:pPr>
              <w:pStyle w:val="yTableNAm"/>
            </w:pPr>
            <w:r>
              <w:t>30 days</w:t>
            </w:r>
          </w:p>
        </w:tc>
        <w:tc>
          <w:tcPr>
            <w:tcW w:w="2381" w:type="dxa"/>
            <w:noWrap/>
          </w:tcPr>
          <w:p>
            <w:pPr>
              <w:pStyle w:val="yTableNAm"/>
            </w:pPr>
            <w:r>
              <w:t xml:space="preserve">Information required in the approved form </w:t>
            </w:r>
          </w:p>
          <w:p>
            <w:pPr>
              <w:pStyle w:val="yTableNAm"/>
            </w:pPr>
            <w:r>
              <w:t>Location, design and capacity</w:t>
            </w:r>
          </w:p>
          <w:p>
            <w:pPr>
              <w:pStyle w:val="yTableNAm"/>
            </w:pPr>
            <w:r>
              <w:t>Ventilation</w:t>
            </w:r>
          </w:p>
          <w:p>
            <w:pPr>
              <w:pStyle w:val="yTableNAm"/>
            </w:pPr>
            <w:r>
              <w:t>Risk assessment and control measures</w:t>
            </w:r>
          </w:p>
        </w:tc>
      </w:tr>
      <w:tr>
        <w:trPr>
          <w:cantSplit/>
          <w:trHeight w:val="190"/>
        </w:trPr>
        <w:tc>
          <w:tcPr>
            <w:tcW w:w="1271" w:type="dxa"/>
            <w:noWrap/>
          </w:tcPr>
          <w:p>
            <w:pPr>
              <w:pStyle w:val="yTableNAm"/>
            </w:pPr>
            <w:r>
              <w:t>9.</w:t>
            </w:r>
          </w:p>
        </w:tc>
        <w:tc>
          <w:tcPr>
            <w:tcW w:w="2415" w:type="dxa"/>
            <w:noWrap/>
          </w:tcPr>
          <w:p>
            <w:pPr>
              <w:pStyle w:val="yTableNAm"/>
            </w:pPr>
            <w:r>
              <w:t>Approaching known or suspected water bodies or water</w:t>
            </w:r>
            <w:r>
              <w:noBreakHyphen/>
              <w:t>logged workings at an underground mine, including probe drilling — within 50 m</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Assessment of the water body</w:t>
            </w:r>
          </w:p>
          <w:p>
            <w:pPr>
              <w:pStyle w:val="yTableNAm"/>
            </w:pPr>
            <w:r>
              <w:t>Development plan for workings</w:t>
            </w:r>
          </w:p>
          <w:p>
            <w:pPr>
              <w:pStyle w:val="yTableNAm"/>
            </w:pPr>
            <w:r>
              <w:t>Risk assessment and controls</w:t>
            </w:r>
          </w:p>
          <w:p>
            <w:pPr>
              <w:pStyle w:val="yTableNAm"/>
            </w:pPr>
            <w:r>
              <w:t>Relevant parts of the principal mining hazard management plan for the mine</w:t>
            </w:r>
          </w:p>
        </w:tc>
      </w:tr>
      <w:tr>
        <w:trPr>
          <w:trHeight w:val="190"/>
        </w:trPr>
        <w:tc>
          <w:tcPr>
            <w:tcW w:w="1271" w:type="dxa"/>
            <w:noWrap/>
          </w:tcPr>
          <w:p>
            <w:pPr>
              <w:pStyle w:val="yTableNAm"/>
            </w:pPr>
            <w:r>
              <w:t>10.</w:t>
            </w:r>
          </w:p>
        </w:tc>
        <w:tc>
          <w:tcPr>
            <w:tcW w:w="2415" w:type="dxa"/>
            <w:noWrap/>
          </w:tcPr>
          <w:p>
            <w:pPr>
              <w:pStyle w:val="yTableNAm"/>
            </w:pPr>
            <w:r>
              <w:t xml:space="preserve">Use of a dredge at a surface mine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construction details of the dredge</w:t>
            </w:r>
          </w:p>
          <w:p>
            <w:pPr>
              <w:pStyle w:val="yTableNAm"/>
            </w:pPr>
            <w:r>
              <w:lastRenderedPageBreak/>
              <w:t>Operating details and parameters</w:t>
            </w:r>
          </w:p>
          <w:p>
            <w:pPr>
              <w:pStyle w:val="yTableNAm"/>
            </w:pPr>
            <w:r>
              <w:t>Loads, stability and buoyancy calculations</w:t>
            </w:r>
          </w:p>
          <w:p>
            <w:pPr>
              <w:pStyle w:val="yTableNAm"/>
            </w:pPr>
            <w:r>
              <w:t xml:space="preserve">Review by an independent qualified naval architect </w:t>
            </w:r>
          </w:p>
          <w:p>
            <w:pPr>
              <w:pStyle w:val="yTableNAm"/>
            </w:pPr>
            <w:r>
              <w:t>Results of buoyancy and stability tests</w:t>
            </w:r>
          </w:p>
          <w:p>
            <w:pPr>
              <w:pStyle w:val="yTableNAm"/>
            </w:pPr>
            <w:r>
              <w:t>Risk assessment and control measures</w:t>
            </w:r>
          </w:p>
        </w:tc>
      </w:tr>
      <w:tr>
        <w:trPr>
          <w:cantSplit/>
          <w:trHeight w:val="190"/>
        </w:trPr>
        <w:tc>
          <w:tcPr>
            <w:tcW w:w="1271" w:type="dxa"/>
            <w:noWrap/>
          </w:tcPr>
          <w:p>
            <w:pPr>
              <w:pStyle w:val="yTableNAm"/>
            </w:pPr>
            <w:r>
              <w:lastRenderedPageBreak/>
              <w:t>11.</w:t>
            </w:r>
          </w:p>
        </w:tc>
        <w:tc>
          <w:tcPr>
            <w:tcW w:w="2415" w:type="dxa"/>
            <w:noWrap/>
          </w:tcPr>
          <w:p>
            <w:pPr>
              <w:pStyle w:val="yTableNAm"/>
            </w:pPr>
            <w:r>
              <w:t>Construction of, or making substantial change to, a tailing storage facility at a surface mine</w:t>
            </w:r>
          </w:p>
        </w:tc>
        <w:tc>
          <w:tcPr>
            <w:tcW w:w="992" w:type="dxa"/>
            <w:noWrap/>
          </w:tcPr>
          <w:p>
            <w:pPr>
              <w:pStyle w:val="yTableNAm"/>
              <w:tabs>
                <w:tab w:val="clear" w:pos="567"/>
              </w:tabs>
              <w:ind w:right="-104"/>
            </w:pPr>
            <w:r>
              <w:t>45 days</w:t>
            </w:r>
          </w:p>
        </w:tc>
        <w:tc>
          <w:tcPr>
            <w:tcW w:w="2381" w:type="dxa"/>
            <w:noWrap/>
          </w:tcPr>
          <w:p>
            <w:pPr>
              <w:pStyle w:val="yTableNAm"/>
            </w:pPr>
            <w:r>
              <w:t xml:space="preserve">Information required in the approved form </w:t>
            </w:r>
          </w:p>
          <w:p>
            <w:pPr>
              <w:pStyle w:val="yTableNAm"/>
            </w:pPr>
            <w:r>
              <w:t>Design details and calculations</w:t>
            </w:r>
          </w:p>
          <w:p>
            <w:pPr>
              <w:pStyle w:val="yTableNAm"/>
            </w:pPr>
            <w:r>
              <w:t xml:space="preserve">Construction method </w:t>
            </w:r>
          </w:p>
          <w:p>
            <w:pPr>
              <w:pStyle w:val="yTableNAm"/>
            </w:pPr>
            <w:r>
              <w:t>Risk assessment and control measures</w:t>
            </w:r>
          </w:p>
        </w:tc>
      </w:tr>
      <w:tr>
        <w:trPr>
          <w:cantSplit/>
          <w:trHeight w:val="190"/>
        </w:trPr>
        <w:tc>
          <w:tcPr>
            <w:tcW w:w="1271" w:type="dxa"/>
            <w:noWrap/>
          </w:tcPr>
          <w:p>
            <w:pPr>
              <w:pStyle w:val="yTableNAm"/>
            </w:pPr>
            <w:r>
              <w:t>12.</w:t>
            </w:r>
          </w:p>
        </w:tc>
        <w:tc>
          <w:tcPr>
            <w:tcW w:w="2415" w:type="dxa"/>
            <w:noWrap/>
          </w:tcPr>
          <w:p>
            <w:pPr>
              <w:pStyle w:val="yTableNAm"/>
            </w:pPr>
            <w:r>
              <w:t xml:space="preserve">Use of explosives at a mine that is — </w:t>
            </w:r>
          </w:p>
          <w:p>
            <w:pPr>
              <w:pStyle w:val="yTableNAm"/>
              <w:tabs>
                <w:tab w:val="clear" w:pos="567"/>
              </w:tabs>
              <w:spacing w:before="60"/>
              <w:ind w:left="608" w:hanging="426"/>
            </w:pPr>
            <w:r>
              <w:t>(a)</w:t>
            </w:r>
            <w:r>
              <w:tab/>
              <w:t>in reactive ground; or</w:t>
            </w:r>
          </w:p>
          <w:p>
            <w:pPr>
              <w:pStyle w:val="yTableNAm"/>
              <w:tabs>
                <w:tab w:val="clear" w:pos="567"/>
              </w:tabs>
              <w:spacing w:before="60"/>
              <w:ind w:left="608" w:hanging="426"/>
            </w:pPr>
            <w:r>
              <w:t>(b)</w:t>
            </w:r>
            <w:r>
              <w:tab/>
              <w:t>in hot (&gt;57°C) ground</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Selection of explosive and documents in support of its suitability</w:t>
            </w:r>
          </w:p>
          <w:p>
            <w:pPr>
              <w:pStyle w:val="yTableNAm"/>
            </w:pPr>
            <w:r>
              <w:t>Risk assessment and control measures</w:t>
            </w:r>
          </w:p>
        </w:tc>
      </w:tr>
      <w:tr>
        <w:trPr>
          <w:cantSplit/>
          <w:trHeight w:val="190"/>
        </w:trPr>
        <w:tc>
          <w:tcPr>
            <w:tcW w:w="1271" w:type="dxa"/>
            <w:noWrap/>
          </w:tcPr>
          <w:p>
            <w:pPr>
              <w:pStyle w:val="yTableNAm"/>
            </w:pPr>
            <w:r>
              <w:lastRenderedPageBreak/>
              <w:t>13.</w:t>
            </w:r>
          </w:p>
        </w:tc>
        <w:tc>
          <w:tcPr>
            <w:tcW w:w="2415" w:type="dxa"/>
            <w:noWrap/>
          </w:tcPr>
          <w:p>
            <w:pPr>
              <w:pStyle w:val="yTableNAm"/>
            </w:pPr>
            <w:r>
              <w:t>Introducing or making substantial change to externally</w:t>
            </w:r>
            <w:r>
              <w:noBreakHyphen/>
              <w:t xml:space="preserve">controlled plant at a mine that is — </w:t>
            </w:r>
          </w:p>
          <w:p>
            <w:pPr>
              <w:pStyle w:val="yTableNAm"/>
              <w:tabs>
                <w:tab w:val="clear" w:pos="567"/>
              </w:tabs>
              <w:spacing w:before="60"/>
              <w:ind w:left="608" w:hanging="426"/>
            </w:pPr>
            <w:r>
              <w:t>(a)</w:t>
            </w:r>
            <w:r>
              <w:tab/>
              <w:t>mobile plant; or</w:t>
            </w:r>
          </w:p>
          <w:p>
            <w:pPr>
              <w:pStyle w:val="yTableNAm"/>
              <w:tabs>
                <w:tab w:val="clear" w:pos="567"/>
              </w:tabs>
              <w:spacing w:before="60"/>
              <w:ind w:left="608" w:hanging="426"/>
            </w:pPr>
            <w:r>
              <w:t>(b)</w:t>
            </w:r>
            <w:r>
              <w:tab/>
              <w:t xml:space="preserve">production drilling plant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safety features details</w:t>
            </w:r>
          </w:p>
          <w:p>
            <w:pPr>
              <w:pStyle w:val="yTableNAm"/>
            </w:pPr>
            <w:r>
              <w:t>Operating environment and limitations</w:t>
            </w:r>
          </w:p>
          <w:p>
            <w:pPr>
              <w:pStyle w:val="yTableNAm"/>
            </w:pPr>
            <w:r>
              <w:t>Risk assessment and controls</w:t>
            </w:r>
          </w:p>
          <w:p>
            <w:pPr>
              <w:pStyle w:val="yTableNAm"/>
            </w:pPr>
            <w:r>
              <w:t>Details of planned operations</w:t>
            </w:r>
          </w:p>
        </w:tc>
      </w:tr>
      <w:tr>
        <w:trPr>
          <w:cantSplit/>
          <w:trHeight w:val="190"/>
        </w:trPr>
        <w:tc>
          <w:tcPr>
            <w:tcW w:w="1271" w:type="dxa"/>
            <w:noWrap/>
          </w:tcPr>
          <w:p>
            <w:pPr>
              <w:pStyle w:val="yTableNAm"/>
            </w:pPr>
            <w:r>
              <w:t>14.</w:t>
            </w:r>
          </w:p>
        </w:tc>
        <w:tc>
          <w:tcPr>
            <w:tcW w:w="2415" w:type="dxa"/>
            <w:noWrap/>
          </w:tcPr>
          <w:p>
            <w:pPr>
              <w:pStyle w:val="yTableNAm"/>
            </w:pPr>
            <w:r>
              <w:t>Installing high voltage equipment at a mine</w:t>
            </w:r>
          </w:p>
        </w:tc>
        <w:tc>
          <w:tcPr>
            <w:tcW w:w="992" w:type="dxa"/>
            <w:noWrap/>
          </w:tcPr>
          <w:p>
            <w:pPr>
              <w:pStyle w:val="yTableNAm"/>
            </w:pPr>
            <w:r>
              <w:t>30 days</w:t>
            </w:r>
          </w:p>
        </w:tc>
        <w:tc>
          <w:tcPr>
            <w:tcW w:w="2381" w:type="dxa"/>
            <w:noWrap/>
          </w:tcPr>
          <w:p>
            <w:pPr>
              <w:pStyle w:val="yTableNAm"/>
            </w:pPr>
            <w:r>
              <w:t>Design and construction details of the installation</w:t>
            </w:r>
          </w:p>
          <w:p>
            <w:pPr>
              <w:pStyle w:val="yTableNAm"/>
            </w:pPr>
            <w:r>
              <w:t>Risk assessment and control measures</w:t>
            </w:r>
          </w:p>
        </w:tc>
      </w:tr>
    </w:tbl>
    <w:p>
      <w:pPr>
        <w:pStyle w:val="yScheduleHeading"/>
      </w:pPr>
      <w:bookmarkStart w:id="1280" w:name="_Toc200720784"/>
      <w:r>
        <w:rPr>
          <w:rStyle w:val="CharSchNo"/>
        </w:rPr>
        <w:lastRenderedPageBreak/>
        <w:t>Schedule 24</w:t>
      </w:r>
      <w:r>
        <w:rPr>
          <w:rStyle w:val="CharSDivNo"/>
        </w:rPr>
        <w:t> </w:t>
      </w:r>
      <w:r>
        <w:t>—</w:t>
      </w:r>
      <w:r>
        <w:rPr>
          <w:rStyle w:val="CharSDivText"/>
        </w:rPr>
        <w:t> </w:t>
      </w:r>
      <w:r>
        <w:rPr>
          <w:rStyle w:val="CharSchText"/>
        </w:rPr>
        <w:t>Information to be included in notification of reportable incidents</w:t>
      </w:r>
      <w:bookmarkEnd w:id="1280"/>
    </w:p>
    <w:p>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Mine</w:t>
            </w:r>
          </w:p>
        </w:tc>
      </w:tr>
      <w:tr>
        <w:tc>
          <w:tcPr>
            <w:tcW w:w="7059" w:type="dxa"/>
            <w:noWrap/>
          </w:tcPr>
          <w:p>
            <w:pPr>
              <w:pStyle w:val="yTableNAm"/>
              <w:tabs>
                <w:tab w:val="clear" w:pos="567"/>
                <w:tab w:val="left" w:pos="602"/>
              </w:tabs>
              <w:ind w:left="602" w:hanging="567"/>
            </w:pPr>
            <w:r>
              <w:rPr>
                <w:szCs w:val="22"/>
              </w:rPr>
              <w:t>1.1</w:t>
            </w:r>
            <w:r>
              <w:rPr>
                <w:szCs w:val="22"/>
              </w:rPr>
              <w:tab/>
            </w:r>
            <w:r>
              <w:t>The name of the mine operator of the mine.</w:t>
            </w:r>
          </w:p>
          <w:p>
            <w:pPr>
              <w:pStyle w:val="yTableNAm"/>
              <w:tabs>
                <w:tab w:val="clear" w:pos="567"/>
                <w:tab w:val="left" w:pos="602"/>
              </w:tabs>
              <w:ind w:left="602" w:hanging="567"/>
            </w:pPr>
            <w:r>
              <w:rPr>
                <w:szCs w:val="22"/>
              </w:rPr>
              <w:t>1.2</w:t>
            </w:r>
            <w:r>
              <w:rPr>
                <w:szCs w:val="22"/>
              </w:rPr>
              <w:tab/>
            </w:r>
            <w:r>
              <w:t>The location of the mine.</w:t>
            </w:r>
          </w:p>
        </w:tc>
      </w:tr>
      <w:tr>
        <w:tc>
          <w:tcPr>
            <w:tcW w:w="7059" w:type="dxa"/>
            <w:noWrap/>
          </w:tcPr>
          <w:p>
            <w:pPr>
              <w:pStyle w:val="yTableNAm"/>
              <w:keepNext/>
              <w:rPr>
                <w:b/>
                <w:bCs/>
              </w:rPr>
            </w:pPr>
            <w:r>
              <w:rPr>
                <w:rStyle w:val="CharSClsNo"/>
                <w:b/>
              </w:rPr>
              <w:t>2</w:t>
            </w:r>
            <w:r>
              <w:rPr>
                <w:rStyle w:val="CharSClsNo"/>
                <w:b/>
              </w:rPr>
              <w:tab/>
            </w:r>
            <w:r>
              <w:rPr>
                <w:b/>
              </w:rPr>
              <w:t>Person ill or injured</w:t>
            </w:r>
          </w:p>
        </w:tc>
      </w:tr>
      <w:tr>
        <w:tc>
          <w:tcPr>
            <w:tcW w:w="7059" w:type="dxa"/>
            <w:noWrap/>
          </w:tcPr>
          <w:p>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pPr>
              <w:pStyle w:val="yTableNAm"/>
              <w:tabs>
                <w:tab w:val="clear" w:pos="567"/>
                <w:tab w:val="left" w:pos="1026"/>
              </w:tabs>
              <w:ind w:left="1593" w:hanging="1593"/>
            </w:pPr>
            <w:r>
              <w:tab/>
              <w:t>(a)</w:t>
            </w:r>
            <w:r>
              <w:tab/>
              <w:t xml:space="preserve">the person’s name, gender and date of birth; </w:t>
            </w:r>
          </w:p>
          <w:p>
            <w:pPr>
              <w:pStyle w:val="yTableNAm"/>
              <w:tabs>
                <w:tab w:val="clear" w:pos="567"/>
                <w:tab w:val="left" w:pos="1026"/>
              </w:tabs>
              <w:ind w:left="1593" w:hanging="1593"/>
            </w:pPr>
            <w:r>
              <w:tab/>
              <w:t>(b)</w:t>
            </w:r>
            <w:r>
              <w:tab/>
              <w:t>the business or undertaking the person was engaged in, including the name of the business or undertaking;</w:t>
            </w:r>
          </w:p>
          <w:p>
            <w:pPr>
              <w:pStyle w:val="yTableNAm"/>
              <w:tabs>
                <w:tab w:val="clear" w:pos="567"/>
                <w:tab w:val="left" w:pos="1026"/>
              </w:tabs>
              <w:ind w:left="1593" w:hanging="1593"/>
            </w:pPr>
            <w:r>
              <w:tab/>
              <w:t>(c)</w:t>
            </w:r>
            <w:r>
              <w:tab/>
              <w:t>whether the person is a worker at the mine;</w:t>
            </w:r>
          </w:p>
          <w:p>
            <w:pPr>
              <w:pStyle w:val="yTableNAm"/>
              <w:tabs>
                <w:tab w:val="clear" w:pos="567"/>
                <w:tab w:val="left" w:pos="1026"/>
              </w:tabs>
              <w:ind w:left="1593" w:hanging="1593"/>
            </w:pPr>
            <w:r>
              <w:tab/>
              <w:t>(d)</w:t>
            </w:r>
            <w:r>
              <w:tab/>
              <w:t xml:space="preserve">if the person is a worker at the mine — </w:t>
            </w:r>
          </w:p>
          <w:p>
            <w:pPr>
              <w:pStyle w:val="yTableNAm"/>
              <w:tabs>
                <w:tab w:val="clear" w:pos="567"/>
                <w:tab w:val="right" w:pos="2019"/>
              </w:tabs>
              <w:ind w:left="2302" w:hanging="2302"/>
            </w:pPr>
            <w:r>
              <w:tab/>
              <w:t>(i)</w:t>
            </w:r>
            <w:r>
              <w:tab/>
              <w:t>the worker’s occupation; and</w:t>
            </w:r>
          </w:p>
          <w:p>
            <w:pPr>
              <w:pStyle w:val="yTableNAm"/>
              <w:tabs>
                <w:tab w:val="clear" w:pos="567"/>
                <w:tab w:val="right" w:pos="2019"/>
              </w:tabs>
              <w:ind w:left="2302" w:hanging="2302"/>
            </w:pPr>
            <w:r>
              <w:tab/>
              <w:t>(ii)</w:t>
            </w:r>
            <w:r>
              <w:tab/>
              <w:t>the worker’s usual start and finish time; and</w:t>
            </w:r>
          </w:p>
          <w:p>
            <w:pPr>
              <w:pStyle w:val="yTableNAm"/>
              <w:tabs>
                <w:tab w:val="clear" w:pos="567"/>
                <w:tab w:val="right" w:pos="2019"/>
              </w:tabs>
              <w:ind w:left="2302" w:hanging="2302"/>
            </w:pPr>
            <w:r>
              <w:tab/>
              <w:t>(iii)</w:t>
            </w:r>
            <w:r>
              <w:tab/>
              <w:t>the worker’s start and finish time on the day on which the reportable incident occurred; and</w:t>
            </w:r>
          </w:p>
          <w:p>
            <w:pPr>
              <w:pStyle w:val="yTableNAm"/>
              <w:tabs>
                <w:tab w:val="clear" w:pos="567"/>
                <w:tab w:val="right" w:pos="2019"/>
              </w:tabs>
              <w:ind w:left="2302" w:hanging="2302"/>
            </w:pPr>
            <w:r>
              <w:tab/>
              <w:t>(iv)</w:t>
            </w:r>
            <w:r>
              <w:tab/>
              <w:t xml:space="preserve">the nature of the worker’s engagement; </w:t>
            </w:r>
          </w:p>
          <w:p>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tc>
          <w:tcPr>
            <w:tcW w:w="7059" w:type="dxa"/>
            <w:noWrap/>
          </w:tcPr>
          <w:p>
            <w:pPr>
              <w:pStyle w:val="yTableNAm"/>
              <w:keepNext/>
              <w:rPr>
                <w:b/>
                <w:bCs/>
              </w:rPr>
            </w:pPr>
            <w:r>
              <w:rPr>
                <w:rStyle w:val="CharSClsNo"/>
                <w:b/>
              </w:rPr>
              <w:t>3</w:t>
            </w:r>
            <w:r>
              <w:rPr>
                <w:rStyle w:val="CharSClsNo"/>
                <w:b/>
              </w:rPr>
              <w:tab/>
            </w:r>
            <w:r>
              <w:rPr>
                <w:b/>
              </w:rPr>
              <w:t>Reportable incident</w:t>
            </w:r>
          </w:p>
        </w:tc>
      </w:tr>
      <w:tr>
        <w:tc>
          <w:tcPr>
            <w:tcW w:w="7059" w:type="dxa"/>
            <w:noWrap/>
          </w:tcPr>
          <w:p>
            <w:pPr>
              <w:pStyle w:val="yTableNAm"/>
              <w:tabs>
                <w:tab w:val="clear" w:pos="567"/>
                <w:tab w:val="left" w:pos="602"/>
              </w:tabs>
              <w:ind w:left="602" w:hanging="567"/>
              <w:rPr>
                <w:szCs w:val="22"/>
              </w:rPr>
            </w:pPr>
            <w:r>
              <w:rPr>
                <w:szCs w:val="22"/>
              </w:rPr>
              <w:t>3.1</w:t>
            </w:r>
            <w:r>
              <w:rPr>
                <w:szCs w:val="22"/>
              </w:rPr>
              <w:tab/>
            </w:r>
            <w:r>
              <w:t>The following details about the reportable incident —</w:t>
            </w:r>
          </w:p>
          <w:p>
            <w:pPr>
              <w:pStyle w:val="yTableNAm"/>
              <w:tabs>
                <w:tab w:val="clear" w:pos="567"/>
                <w:tab w:val="left" w:pos="1026"/>
              </w:tabs>
              <w:ind w:left="1593" w:hanging="1593"/>
            </w:pPr>
            <w:r>
              <w:rPr>
                <w:szCs w:val="22"/>
              </w:rPr>
              <w:tab/>
            </w:r>
            <w:r>
              <w:t>(a)</w:t>
            </w:r>
            <w:r>
              <w:tab/>
              <w:t xml:space="preserve">the date and time when the incident occurred; </w:t>
            </w:r>
          </w:p>
          <w:p>
            <w:pPr>
              <w:pStyle w:val="yTableNAm"/>
              <w:tabs>
                <w:tab w:val="clear" w:pos="567"/>
                <w:tab w:val="left" w:pos="1026"/>
              </w:tabs>
              <w:ind w:left="1593" w:hanging="1593"/>
            </w:pPr>
            <w:r>
              <w:lastRenderedPageBreak/>
              <w:tab/>
              <w:t>(b)</w:t>
            </w:r>
            <w:r>
              <w:tab/>
              <w:t>if a person has an illness as a result of the incident — the date when the illness was first reported to the mine operator;</w:t>
            </w:r>
          </w:p>
          <w:p>
            <w:pPr>
              <w:pStyle w:val="yTableNAm"/>
              <w:tabs>
                <w:tab w:val="clear" w:pos="567"/>
                <w:tab w:val="left" w:pos="1026"/>
              </w:tabs>
              <w:ind w:left="1593" w:hanging="1593"/>
              <w:rPr>
                <w:szCs w:val="22"/>
              </w:rPr>
            </w:pPr>
            <w:r>
              <w:tab/>
              <w:t>(c)</w:t>
            </w:r>
            <w:r>
              <w:tab/>
              <w:t xml:space="preserve">a description of the incident, including — </w:t>
            </w:r>
          </w:p>
          <w:p>
            <w:pPr>
              <w:pStyle w:val="yTableNAm"/>
              <w:tabs>
                <w:tab w:val="clear" w:pos="567"/>
                <w:tab w:val="right" w:pos="2019"/>
              </w:tabs>
              <w:ind w:left="2302" w:hanging="2302"/>
            </w:pPr>
            <w:r>
              <w:tab/>
              <w:t>(i)</w:t>
            </w:r>
            <w:r>
              <w:tab/>
              <w:t>what each affected person was doing before the incident; and</w:t>
            </w:r>
          </w:p>
          <w:p>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pPr>
              <w:pStyle w:val="yTableNAm"/>
              <w:tabs>
                <w:tab w:val="clear" w:pos="567"/>
                <w:tab w:val="right" w:pos="2019"/>
              </w:tabs>
              <w:ind w:left="2302" w:hanging="2302"/>
            </w:pPr>
            <w:r>
              <w:rPr>
                <w:szCs w:val="22"/>
              </w:rPr>
              <w:tab/>
              <w:t>(i)</w:t>
            </w:r>
            <w:r>
              <w:rPr>
                <w:szCs w:val="22"/>
              </w:rPr>
              <w:tab/>
            </w:r>
            <w:r>
              <w:t>the mechanism of the incident; and</w:t>
            </w:r>
          </w:p>
          <w:p>
            <w:pPr>
              <w:pStyle w:val="yTableNAm"/>
              <w:tabs>
                <w:tab w:val="clear" w:pos="567"/>
                <w:tab w:val="right" w:pos="2019"/>
              </w:tabs>
              <w:ind w:left="2302" w:hanging="2302"/>
            </w:pPr>
            <w:r>
              <w:tab/>
              <w:t>(ii)</w:t>
            </w:r>
            <w:r>
              <w:tab/>
              <w:t>the agency of the injury; and</w:t>
            </w:r>
          </w:p>
          <w:p>
            <w:pPr>
              <w:pStyle w:val="yTableNAm"/>
              <w:tabs>
                <w:tab w:val="clear" w:pos="567"/>
                <w:tab w:val="right" w:pos="2019"/>
              </w:tabs>
              <w:ind w:left="2302" w:hanging="2302"/>
              <w:rPr>
                <w:szCs w:val="22"/>
              </w:rPr>
            </w:pPr>
            <w:r>
              <w:tab/>
              <w:t>(iii)</w:t>
            </w:r>
            <w:r>
              <w:tab/>
              <w:t>the nature and bodily location of the injury.</w:t>
            </w:r>
          </w:p>
        </w:tc>
      </w:tr>
      <w:tr>
        <w:tc>
          <w:tcPr>
            <w:tcW w:w="7059" w:type="dxa"/>
            <w:noWrap/>
          </w:tcPr>
          <w:p>
            <w:pPr>
              <w:pStyle w:val="yTableNAm"/>
              <w:keepNext/>
              <w:rPr>
                <w:b/>
                <w:bCs/>
              </w:rPr>
            </w:pPr>
            <w:r>
              <w:rPr>
                <w:rStyle w:val="CharSClsNo"/>
                <w:b/>
              </w:rPr>
              <w:lastRenderedPageBreak/>
              <w:t>4</w:t>
            </w:r>
            <w:r>
              <w:rPr>
                <w:rStyle w:val="CharSClsNo"/>
                <w:b/>
              </w:rPr>
              <w:tab/>
            </w:r>
            <w:r>
              <w:rPr>
                <w:b/>
              </w:rPr>
              <w:t>Consequences of reportable incident</w:t>
            </w:r>
          </w:p>
        </w:tc>
      </w:tr>
      <w:tr>
        <w:tc>
          <w:tcPr>
            <w:tcW w:w="7059" w:type="dxa"/>
            <w:noWrap/>
          </w:tcPr>
          <w:p>
            <w:pPr>
              <w:pStyle w:val="yTableNAm"/>
              <w:tabs>
                <w:tab w:val="clear" w:pos="567"/>
                <w:tab w:val="left" w:pos="602"/>
              </w:tabs>
              <w:ind w:left="602" w:hanging="567"/>
            </w:pPr>
            <w:r>
              <w:rPr>
                <w:szCs w:val="22"/>
              </w:rPr>
              <w:t>4.1</w:t>
            </w:r>
            <w:r>
              <w:rPr>
                <w:szCs w:val="22"/>
              </w:rPr>
              <w:tab/>
            </w:r>
            <w:r>
              <w:t xml:space="preserve">Whether the reportable incident results in — </w:t>
            </w:r>
          </w:p>
          <w:p>
            <w:pPr>
              <w:pStyle w:val="yTableNAm"/>
              <w:tabs>
                <w:tab w:val="clear" w:pos="567"/>
                <w:tab w:val="left" w:pos="1026"/>
              </w:tabs>
              <w:ind w:left="1593" w:hanging="1593"/>
            </w:pPr>
            <w:r>
              <w:rPr>
                <w:szCs w:val="22"/>
              </w:rPr>
              <w:tab/>
            </w:r>
            <w:r>
              <w:t>(a)</w:t>
            </w:r>
            <w:r>
              <w:tab/>
              <w:t xml:space="preserve">the worker being unable to work for 1 or more days; or </w:t>
            </w:r>
          </w:p>
          <w:p>
            <w:pPr>
              <w:pStyle w:val="yTableNAm"/>
              <w:tabs>
                <w:tab w:val="clear" w:pos="567"/>
                <w:tab w:val="left" w:pos="1026"/>
              </w:tabs>
              <w:ind w:left="1593" w:hanging="1593"/>
            </w:pPr>
            <w:r>
              <w:tab/>
              <w:t>(b)</w:t>
            </w:r>
            <w:r>
              <w:tab/>
              <w:t xml:space="preserve">the worker carrying out limited work; or </w:t>
            </w:r>
          </w:p>
          <w:p>
            <w:pPr>
              <w:pStyle w:val="yTableNAm"/>
              <w:tabs>
                <w:tab w:val="clear" w:pos="567"/>
                <w:tab w:val="left" w:pos="1026"/>
              </w:tabs>
              <w:ind w:left="1593" w:hanging="1593"/>
            </w:pPr>
            <w:r>
              <w:tab/>
              <w:t>(c)</w:t>
            </w:r>
            <w:r>
              <w:tab/>
              <w:t>the worker receiving medical treatment.</w:t>
            </w:r>
          </w:p>
        </w:tc>
      </w:tr>
      <w:tr>
        <w:tc>
          <w:tcPr>
            <w:tcW w:w="7059" w:type="dxa"/>
            <w:noWrap/>
          </w:tcPr>
          <w:p>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pPr>
              <w:pStyle w:val="yTableNAm"/>
              <w:tabs>
                <w:tab w:val="clear" w:pos="567"/>
                <w:tab w:val="left" w:pos="1026"/>
              </w:tabs>
              <w:ind w:left="1593" w:hanging="1593"/>
            </w:pPr>
            <w:r>
              <w:rPr>
                <w:szCs w:val="22"/>
              </w:rPr>
              <w:tab/>
            </w:r>
            <w:r>
              <w:t>(a)</w:t>
            </w:r>
            <w:r>
              <w:tab/>
              <w:t xml:space="preserve">the death of a person; or </w:t>
            </w:r>
          </w:p>
          <w:p>
            <w:pPr>
              <w:pStyle w:val="yTableNAm"/>
              <w:tabs>
                <w:tab w:val="clear" w:pos="567"/>
                <w:tab w:val="left" w:pos="1026"/>
              </w:tabs>
              <w:ind w:left="1593" w:hanging="1593"/>
            </w:pPr>
            <w:r>
              <w:tab/>
              <w:t>(b)</w:t>
            </w:r>
            <w:r>
              <w:tab/>
              <w:t>a permanent incapacity of a person; or</w:t>
            </w:r>
          </w:p>
          <w:p>
            <w:pPr>
              <w:pStyle w:val="yTableNAm"/>
              <w:tabs>
                <w:tab w:val="clear" w:pos="567"/>
                <w:tab w:val="left" w:pos="1026"/>
              </w:tabs>
              <w:ind w:left="1593" w:hanging="1593"/>
            </w:pPr>
            <w:r>
              <w:tab/>
              <w:t>(c)</w:t>
            </w:r>
            <w:r>
              <w:tab/>
              <w:t xml:space="preserve">a matter specified in item 4.1. </w:t>
            </w:r>
          </w:p>
        </w:tc>
      </w:tr>
    </w:tbl>
    <w:p>
      <w:pPr>
        <w:pStyle w:val="ySubsection"/>
        <w:sectPr>
          <w:headerReference w:type="even" r:id="rId32"/>
          <w:headerReference w:type="default" r:id="rId33"/>
          <w:pgSz w:w="11907" w:h="16840" w:code="9"/>
          <w:pgMar w:top="2381" w:right="2410" w:bottom="3544" w:left="2410" w:header="720" w:footer="3544" w:gutter="0"/>
          <w:cols w:space="720"/>
        </w:sectPr>
      </w:pPr>
    </w:p>
    <w:p>
      <w:pPr>
        <w:pStyle w:val="yScheduleHeading"/>
      </w:pPr>
      <w:bookmarkStart w:id="1281" w:name="_Toc200720785"/>
      <w:r>
        <w:rPr>
          <w:rStyle w:val="CharSchNo"/>
        </w:rPr>
        <w:lastRenderedPageBreak/>
        <w:t>Schedule 25</w:t>
      </w:r>
      <w:r>
        <w:rPr>
          <w:rStyle w:val="CharSDivNo"/>
        </w:rPr>
        <w:t> </w:t>
      </w:r>
      <w:r>
        <w:t>—</w:t>
      </w:r>
      <w:r>
        <w:rPr>
          <w:rStyle w:val="CharSDivText"/>
        </w:rPr>
        <w:t> </w:t>
      </w:r>
      <w:r>
        <w:rPr>
          <w:rStyle w:val="CharSchText"/>
        </w:rPr>
        <w:t>Information to be included in quarterly reports</w:t>
      </w:r>
      <w:bookmarkEnd w:id="1281"/>
    </w:p>
    <w:p>
      <w:pPr>
        <w:pStyle w:val="yShoulderClause"/>
      </w:pPr>
      <w:r>
        <w:t>[r. 675W]</w:t>
      </w:r>
    </w:p>
    <w:p>
      <w:pPr>
        <w:pStyle w:val="yHeading5"/>
      </w:pPr>
      <w:bookmarkStart w:id="1282" w:name="_Toc200720786"/>
      <w:r>
        <w:rPr>
          <w:rStyle w:val="CharSClsNo"/>
        </w:rPr>
        <w:t>1</w:t>
      </w:r>
      <w:r>
        <w:t>.</w:t>
      </w:r>
      <w:r>
        <w:tab/>
        <w:t>Meaning of relevant incident</w:t>
      </w:r>
      <w:bookmarkEnd w:id="1282"/>
    </w:p>
    <w:p>
      <w:pPr>
        <w:pStyle w:val="ySubsection"/>
      </w:pPr>
      <w:r>
        <w:tab/>
      </w:r>
      <w:r>
        <w:tab/>
        <w:t xml:space="preserve">In this Schedule — </w:t>
      </w:r>
    </w:p>
    <w:p>
      <w:pPr>
        <w:pStyle w:val="yDefstart"/>
      </w:pPr>
      <w:r>
        <w:tab/>
      </w:r>
      <w:r>
        <w:rPr>
          <w:rStyle w:val="CharDefText"/>
        </w:rPr>
        <w:t>relevant incident</w:t>
      </w:r>
      <w:r>
        <w:t xml:space="preserve"> means a notifiable incident or reportable incident.</w:t>
      </w:r>
    </w:p>
    <w:p>
      <w:pPr>
        <w:pStyle w:val="yHeading5"/>
      </w:pPr>
      <w:bookmarkStart w:id="1283" w:name="_Toc200720787"/>
      <w:r>
        <w:rPr>
          <w:rStyle w:val="CharSClsNo"/>
        </w:rPr>
        <w:t>2</w:t>
      </w:r>
      <w:r>
        <w:t>.</w:t>
      </w:r>
      <w:r>
        <w:tab/>
        <w:t>Mine operator</w:t>
      </w:r>
      <w:bookmarkEnd w:id="1283"/>
    </w:p>
    <w:p>
      <w:pPr>
        <w:pStyle w:val="ySubsection"/>
      </w:pPr>
      <w:r>
        <w:tab/>
      </w:r>
      <w:r>
        <w:tab/>
        <w:t>The name of the mine operator of the mine.</w:t>
      </w:r>
    </w:p>
    <w:p>
      <w:pPr>
        <w:pStyle w:val="yHeading5"/>
      </w:pPr>
      <w:bookmarkStart w:id="1284" w:name="_Toc200720788"/>
      <w:r>
        <w:rPr>
          <w:rStyle w:val="CharSClsNo"/>
        </w:rPr>
        <w:t>3</w:t>
      </w:r>
      <w:r>
        <w:t>.</w:t>
      </w:r>
      <w:r>
        <w:tab/>
        <w:t>The mine</w:t>
      </w:r>
      <w:bookmarkEnd w:id="1284"/>
    </w:p>
    <w:p>
      <w:pPr>
        <w:pStyle w:val="ySubsection"/>
      </w:pPr>
      <w:r>
        <w:tab/>
      </w:r>
      <w:r>
        <w:tab/>
        <w:t>The location of the mine.</w:t>
      </w:r>
    </w:p>
    <w:p>
      <w:pPr>
        <w:pStyle w:val="yHeading5"/>
      </w:pPr>
      <w:bookmarkStart w:id="1285" w:name="_Toc200720789"/>
      <w:r>
        <w:rPr>
          <w:rStyle w:val="CharSClsNo"/>
        </w:rPr>
        <w:t>4</w:t>
      </w:r>
      <w:r>
        <w:t>.</w:t>
      </w:r>
      <w:r>
        <w:tab/>
        <w:t>Commodity processed</w:t>
      </w:r>
      <w:bookmarkEnd w:id="1285"/>
    </w:p>
    <w:p>
      <w:pPr>
        <w:pStyle w:val="ySubsection"/>
      </w:pPr>
      <w:r>
        <w:tab/>
      </w:r>
      <w:r>
        <w:tab/>
        <w:t>A description of the primary commodity processed at the mine during the quarter to which the report relates.</w:t>
      </w:r>
    </w:p>
    <w:p>
      <w:pPr>
        <w:pStyle w:val="yHeading5"/>
      </w:pPr>
      <w:bookmarkStart w:id="1286" w:name="_Toc200720790"/>
      <w:r>
        <w:rPr>
          <w:rStyle w:val="CharSClsNo"/>
        </w:rPr>
        <w:t>5</w:t>
      </w:r>
      <w:r>
        <w:t>.</w:t>
      </w:r>
      <w:r>
        <w:tab/>
        <w:t>Number of workers</w:t>
      </w:r>
      <w:bookmarkEnd w:id="1286"/>
    </w:p>
    <w:p>
      <w:pPr>
        <w:pStyle w:val="ySubsection"/>
      </w:pPr>
      <w:r>
        <w:tab/>
      </w:r>
      <w:r>
        <w:tab/>
        <w:t>The average number of workers who worked at the mine during the quarter to which the report relates.</w:t>
      </w:r>
    </w:p>
    <w:p>
      <w:pPr>
        <w:pStyle w:val="yHeading5"/>
      </w:pPr>
      <w:bookmarkStart w:id="1287" w:name="_Toc200720791"/>
      <w:r>
        <w:rPr>
          <w:rStyle w:val="CharSClsNo"/>
        </w:rPr>
        <w:t>6</w:t>
      </w:r>
      <w:r>
        <w:t>.</w:t>
      </w:r>
      <w:r>
        <w:tab/>
        <w:t>Number of hours worked</w:t>
      </w:r>
      <w:bookmarkEnd w:id="1287"/>
    </w:p>
    <w:p>
      <w:pPr>
        <w:pStyle w:val="ySubsection"/>
      </w:pPr>
      <w:r>
        <w:tab/>
      </w:r>
      <w:r>
        <w:tab/>
        <w:t>The total number of hours (including additional shifts and overtime) worked at the mine during the quarter to which the report relates.</w:t>
      </w:r>
    </w:p>
    <w:p>
      <w:pPr>
        <w:pStyle w:val="yHeading5"/>
      </w:pPr>
      <w:bookmarkStart w:id="1288" w:name="_Toc200720792"/>
      <w:r>
        <w:rPr>
          <w:rStyle w:val="CharSClsNo"/>
        </w:rPr>
        <w:t>7</w:t>
      </w:r>
      <w:r>
        <w:t>.</w:t>
      </w:r>
      <w:r>
        <w:tab/>
        <w:t>Number of relevant incidents</w:t>
      </w:r>
      <w:bookmarkEnd w:id="1288"/>
    </w:p>
    <w:p>
      <w:pPr>
        <w:pStyle w:val="ySubsection"/>
      </w:pPr>
      <w:r>
        <w:tab/>
      </w:r>
      <w:r>
        <w:tab/>
        <w:t>The total number of relevant incidents occurring during the quarter to which the report relates.</w:t>
      </w:r>
    </w:p>
    <w:p>
      <w:pPr>
        <w:pStyle w:val="yHeading5"/>
      </w:pPr>
      <w:bookmarkStart w:id="1289" w:name="_Toc200720793"/>
      <w:r>
        <w:rPr>
          <w:rStyle w:val="CharSClsNo"/>
        </w:rPr>
        <w:t>8</w:t>
      </w:r>
      <w:r>
        <w:t>.</w:t>
      </w:r>
      <w:r>
        <w:tab/>
        <w:t>Number of lost time injuries</w:t>
      </w:r>
      <w:bookmarkEnd w:id="1289"/>
    </w:p>
    <w:p>
      <w:pPr>
        <w:pStyle w:val="ySubsection"/>
      </w:pPr>
      <w:r>
        <w:tab/>
      </w:r>
      <w:r>
        <w:tab/>
        <w:t>The total number of relevant incidents that resulted in the inability of a worker to work for 1 day or more (not including the incident day) during the quarter to which the report relates.</w:t>
      </w:r>
    </w:p>
    <w:p>
      <w:pPr>
        <w:pStyle w:val="yHeading5"/>
      </w:pPr>
      <w:bookmarkStart w:id="1290" w:name="_Toc200720794"/>
      <w:r>
        <w:rPr>
          <w:rStyle w:val="CharSClsNo"/>
        </w:rPr>
        <w:lastRenderedPageBreak/>
        <w:t>9</w:t>
      </w:r>
      <w:r>
        <w:t>.</w:t>
      </w:r>
      <w:r>
        <w:tab/>
        <w:t>Days lost from work</w:t>
      </w:r>
      <w:bookmarkEnd w:id="1290"/>
    </w:p>
    <w:p>
      <w:pPr>
        <w:pStyle w:val="ySubsection"/>
      </w:pPr>
      <w:r>
        <w:tab/>
      </w:r>
      <w:r>
        <w:tab/>
        <w:t>The total number of days (not including the incident day) lost from work by workers during the quarter to which the report relates as a result of relevant incidents.</w:t>
      </w:r>
    </w:p>
    <w:p>
      <w:pPr>
        <w:pStyle w:val="yHeading5"/>
      </w:pPr>
      <w:bookmarkStart w:id="1291" w:name="_Toc200720795"/>
      <w:r>
        <w:rPr>
          <w:rStyle w:val="CharSClsNo"/>
        </w:rPr>
        <w:t>10</w:t>
      </w:r>
      <w:r>
        <w:t>.</w:t>
      </w:r>
      <w:r>
        <w:tab/>
        <w:t>Number of restricted duty days</w:t>
      </w:r>
      <w:bookmarkEnd w:id="1291"/>
    </w:p>
    <w:p>
      <w:pPr>
        <w:pStyle w:val="ySubsection"/>
      </w:pPr>
      <w:r>
        <w:tab/>
      </w:r>
      <w:r>
        <w:tab/>
        <w:t>The total number of days on which workers carried out restricted duties during the quarter to which the report relates as a result of relevant incidents.</w:t>
      </w:r>
    </w:p>
    <w:p>
      <w:pPr>
        <w:pStyle w:val="yHeading5"/>
      </w:pPr>
      <w:bookmarkStart w:id="1292" w:name="_Toc200720796"/>
      <w:r>
        <w:rPr>
          <w:rStyle w:val="CharSClsNo"/>
        </w:rPr>
        <w:t>11</w:t>
      </w:r>
      <w:r>
        <w:t>.</w:t>
      </w:r>
      <w:r>
        <w:tab/>
        <w:t>Number of workers placed on restricted duties</w:t>
      </w:r>
      <w:bookmarkEnd w:id="1292"/>
    </w:p>
    <w:p>
      <w:pPr>
        <w:pStyle w:val="ySubsection"/>
      </w:pPr>
      <w:r>
        <w:tab/>
      </w:r>
      <w:r>
        <w:tab/>
        <w:t>The total number of workers placed on restricted duties during the quarter to which the report relates as a result of relevant incidents.</w:t>
      </w:r>
    </w:p>
    <w:p>
      <w:pPr>
        <w:pStyle w:val="yHeading5"/>
      </w:pPr>
      <w:bookmarkStart w:id="1293" w:name="_Toc200720797"/>
      <w:r>
        <w:rPr>
          <w:rStyle w:val="CharSClsNo"/>
        </w:rPr>
        <w:t>12</w:t>
      </w:r>
      <w:r>
        <w:t>.</w:t>
      </w:r>
      <w:r>
        <w:tab/>
        <w:t>Number of treatment injuries</w:t>
      </w:r>
      <w:bookmarkEnd w:id="1293"/>
    </w:p>
    <w:p>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pPr>
        <w:pStyle w:val="yHeading5"/>
      </w:pPr>
      <w:bookmarkStart w:id="1294" w:name="_Toc200720798"/>
      <w:r>
        <w:rPr>
          <w:rStyle w:val="CharSClsNo"/>
        </w:rPr>
        <w:t>13</w:t>
      </w:r>
      <w:r>
        <w:t>.</w:t>
      </w:r>
      <w:r>
        <w:tab/>
        <w:t>Number of deaths</w:t>
      </w:r>
      <w:bookmarkEnd w:id="1294"/>
    </w:p>
    <w:p>
      <w:pPr>
        <w:pStyle w:val="ySubsection"/>
      </w:pPr>
      <w:r>
        <w:tab/>
      </w:r>
      <w:r>
        <w:tab/>
        <w:t>The total number of deaths that occurred during the quarter to which the report relates as a result of relevant incidents.</w:t>
      </w:r>
    </w:p>
    <w:p>
      <w:pPr>
        <w:pStyle w:val="yHeading5"/>
      </w:pPr>
      <w:bookmarkStart w:id="1295" w:name="_Toc200720799"/>
      <w:r>
        <w:rPr>
          <w:rStyle w:val="CharSClsNo"/>
        </w:rPr>
        <w:t>14</w:t>
      </w:r>
      <w:r>
        <w:t>.</w:t>
      </w:r>
      <w:r>
        <w:tab/>
        <w:t>Other information</w:t>
      </w:r>
      <w:bookmarkEnd w:id="1295"/>
    </w:p>
    <w:p>
      <w:pPr>
        <w:pStyle w:val="ySubsection"/>
      </w:pPr>
      <w:r>
        <w:tab/>
      </w:r>
      <w:r>
        <w:tab/>
        <w:t>The information set out in Schedule 24 in relation to each relevant incident, if that information has not already been provided to the regulator.</w:t>
      </w:r>
    </w:p>
    <w:p>
      <w:pPr>
        <w:pStyle w:val="yScheduleHeading"/>
      </w:pPr>
      <w:bookmarkStart w:id="1296" w:name="_Toc200720800"/>
      <w:r>
        <w:rPr>
          <w:rStyle w:val="CharSchNo"/>
        </w:rPr>
        <w:lastRenderedPageBreak/>
        <w:t>Schedule 26</w:t>
      </w:r>
      <w:r>
        <w:t> — </w:t>
      </w:r>
      <w:r>
        <w:rPr>
          <w:rStyle w:val="CharSchText"/>
        </w:rPr>
        <w:t>Statutory positions</w:t>
      </w:r>
      <w:bookmarkEnd w:id="1296"/>
      <w:r>
        <w:rPr>
          <w:rStyle w:val="CharSchText"/>
        </w:rPr>
        <w:t xml:space="preserve"> </w:t>
      </w:r>
    </w:p>
    <w:p>
      <w:pPr>
        <w:pStyle w:val="yShoulderClause"/>
      </w:pPr>
      <w:r>
        <w:t>[r. 675ZP]</w:t>
      </w:r>
    </w:p>
    <w:p>
      <w:pPr>
        <w:pStyle w:val="yHeading5"/>
      </w:pPr>
      <w:bookmarkStart w:id="1297" w:name="_Toc200720801"/>
      <w:r>
        <w:rPr>
          <w:rStyle w:val="CharSClsNo"/>
        </w:rPr>
        <w:t>1</w:t>
      </w:r>
      <w:r>
        <w:t>.</w:t>
      </w:r>
      <w:r>
        <w:tab/>
        <w:t>Radiation safety officers</w:t>
      </w:r>
      <w:bookmarkEnd w:id="1297"/>
    </w:p>
    <w:p>
      <w:pPr>
        <w:pStyle w:val="ySubsection"/>
      </w:pPr>
      <w:r>
        <w:tab/>
        <w:t>(1)</w:t>
      </w:r>
      <w:r>
        <w:tab/>
        <w:t xml:space="preserve">A radiation safety officer must be appointed for a mine to which Part 10.2 Division 3 Subdivision 3B applies. </w:t>
      </w:r>
    </w:p>
    <w:p>
      <w:pPr>
        <w:pStyle w:val="ySubsection"/>
      </w:pPr>
      <w:r>
        <w:tab/>
        <w:t>(2)</w:t>
      </w:r>
      <w:r>
        <w:tab/>
        <w:t>Radiation safety officers have the following functions —</w:t>
      </w:r>
    </w:p>
    <w:p>
      <w:pPr>
        <w:pStyle w:val="yIndenta"/>
      </w:pPr>
      <w:r>
        <w:tab/>
        <w:t>(a)</w:t>
      </w:r>
      <w:r>
        <w:tab/>
        <w:t xml:space="preserve">advising the site senior executive or exploration manager of precautions to be taken to control the radiation doses persons receive at the mine; </w:t>
      </w:r>
    </w:p>
    <w:p>
      <w:pPr>
        <w:pStyle w:val="yIndenta"/>
      </w:pPr>
      <w:r>
        <w:tab/>
        <w:t>(b)</w:t>
      </w:r>
      <w:r>
        <w:tab/>
        <w:t xml:space="preserve">monitoring the sources of radiation exposure; </w:t>
      </w:r>
    </w:p>
    <w:p>
      <w:pPr>
        <w:pStyle w:val="yIndenta"/>
      </w:pPr>
      <w:r>
        <w:tab/>
        <w:t>(c)</w:t>
      </w:r>
      <w:r>
        <w:tab/>
        <w:t>assessing doses of radiation received by persons because of mining operations carried out at the mine.</w:t>
      </w:r>
    </w:p>
    <w:p>
      <w:pPr>
        <w:pStyle w:val="ySubsection"/>
      </w:pPr>
      <w:r>
        <w:tab/>
        <w:t>(3)</w:t>
      </w:r>
      <w:r>
        <w:tab/>
        <w:t xml:space="preserve">A person is eligible to be appointed as a radiation safety officer if the person — </w:t>
      </w:r>
    </w:p>
    <w:p>
      <w:pPr>
        <w:pStyle w:val="yIndenta"/>
      </w:pPr>
      <w:r>
        <w:tab/>
        <w:t>(a)</w:t>
      </w:r>
      <w:r>
        <w:tab/>
        <w:t>has an undergraduate degree in science, technology, engineering or mathematics; and</w:t>
      </w:r>
    </w:p>
    <w:p>
      <w:pPr>
        <w:pStyle w:val="yIndenta"/>
      </w:pPr>
      <w:r>
        <w:tab/>
        <w:t>(b)</w:t>
      </w:r>
      <w:r>
        <w:tab/>
        <w:t>meets the eligibility requirements for a mine air quality officer under clause 4(3); and</w:t>
      </w:r>
    </w:p>
    <w:p>
      <w:pPr>
        <w:pStyle w:val="yIndenta"/>
      </w:pPr>
      <w:r>
        <w:tab/>
        <w:t>(c)</w:t>
      </w:r>
      <w:r>
        <w:tab/>
        <w:t>successfully completes a course about radiation protection from naturally</w:t>
      </w:r>
      <w:r>
        <w:noBreakHyphen/>
        <w:t>occurring radioactive material that is approved by the regulator under regulation 675ZZK(1)(a); and</w:t>
      </w:r>
    </w:p>
    <w:p>
      <w:pPr>
        <w:pStyle w:val="yIndenta"/>
      </w:pPr>
      <w:r>
        <w:tab/>
        <w:t>(d)</w:t>
      </w:r>
      <w:r>
        <w:tab/>
        <w:t xml:space="preserve">works for at least 12 months under the supervision of a radiation safety officer; and </w:t>
      </w:r>
    </w:p>
    <w:p>
      <w:pPr>
        <w:pStyle w:val="yIndenta"/>
      </w:pPr>
      <w:r>
        <w:tab/>
        <w:t>(e)</w:t>
      </w:r>
      <w:r>
        <w:tab/>
        <w:t>successfully completes an approved WHS risk management unit for radiation safety officers; and</w:t>
      </w:r>
    </w:p>
    <w:p>
      <w:pPr>
        <w:pStyle w:val="yIndenta"/>
      </w:pPr>
      <w:r>
        <w:tab/>
        <w:t>(f)</w:t>
      </w:r>
      <w:r>
        <w:tab/>
        <w:t>passes an applicable legislation examination for radiation safety officers.</w:t>
      </w:r>
    </w:p>
    <w:p>
      <w:pPr>
        <w:pStyle w:val="yHeading5"/>
      </w:pPr>
      <w:bookmarkStart w:id="1298" w:name="_Toc200720802"/>
      <w:r>
        <w:rPr>
          <w:rStyle w:val="CharSClsNo"/>
        </w:rPr>
        <w:t>2</w:t>
      </w:r>
      <w:r>
        <w:t>.</w:t>
      </w:r>
      <w:r>
        <w:tab/>
        <w:t>Noise officers</w:t>
      </w:r>
      <w:bookmarkEnd w:id="1298"/>
    </w:p>
    <w:p>
      <w:pPr>
        <w:pStyle w:val="ySubsection"/>
      </w:pPr>
      <w:r>
        <w:tab/>
        <w:t>(1)</w:t>
      </w:r>
      <w:r>
        <w:tab/>
        <w:t xml:space="preserve">A noise officer must be appointed for a mine if a person at the mine is likely to be exposed to noise at the mine that exceeds the exposure standard for noise. </w:t>
      </w:r>
    </w:p>
    <w:p>
      <w:pPr>
        <w:pStyle w:val="ySubsection"/>
      </w:pPr>
      <w:r>
        <w:lastRenderedPageBreak/>
        <w:tab/>
        <w:t>(2)</w:t>
      </w:r>
      <w:r>
        <w:tab/>
        <w:t>Noise officers for a mine have the following functions —</w:t>
      </w:r>
    </w:p>
    <w:p>
      <w:pPr>
        <w:pStyle w:val="yIndenta"/>
      </w:pPr>
      <w:r>
        <w:tab/>
        <w:t>(a)</w:t>
      </w:r>
      <w:r>
        <w:tab/>
        <w:t xml:space="preserve">carrying out noise surveys at the mine to — </w:t>
      </w:r>
    </w:p>
    <w:p>
      <w:pPr>
        <w:pStyle w:val="yIndenti0"/>
      </w:pPr>
      <w:r>
        <w:tab/>
        <w:t>(i)</w:t>
      </w:r>
      <w:r>
        <w:tab/>
        <w:t>identify plant and activities that exceed the exposure standard for noise; or</w:t>
      </w:r>
    </w:p>
    <w:p>
      <w:pPr>
        <w:pStyle w:val="yIndenti0"/>
      </w:pPr>
      <w:r>
        <w:tab/>
        <w:t>(ii)</w:t>
      </w:r>
      <w:r>
        <w:tab/>
        <w:t>confirm the effectiveness of noise controls;</w:t>
      </w:r>
    </w:p>
    <w:p>
      <w:pPr>
        <w:pStyle w:val="yIndenta"/>
      </w:pPr>
      <w:r>
        <w:tab/>
        <w:t>(b)</w:t>
      </w:r>
      <w:r>
        <w:tab/>
        <w:t xml:space="preserve">preparing reports to the site senior executive or exploration manager containing details of noise reports and plans to reduce the exposure of persons at the mine to noise; </w:t>
      </w:r>
    </w:p>
    <w:p>
      <w:pPr>
        <w:pStyle w:val="yIndenta"/>
      </w:pPr>
      <w:r>
        <w:tab/>
        <w:t>(c)</w:t>
      </w:r>
      <w:r>
        <w:tab/>
        <w:t xml:space="preserve">advising the mine operator, site senior executive or exploration manager about — </w:t>
      </w:r>
    </w:p>
    <w:p>
      <w:pPr>
        <w:pStyle w:val="yIndenti0"/>
      </w:pPr>
      <w:r>
        <w:tab/>
        <w:t>(i)</w:t>
      </w:r>
      <w:r>
        <w:tab/>
        <w:t>plant and activities that exceed the exposure standard for noise; and</w:t>
      </w:r>
    </w:p>
    <w:p>
      <w:pPr>
        <w:pStyle w:val="yIndenti0"/>
      </w:pPr>
      <w:r>
        <w:tab/>
        <w:t>(ii)</w:t>
      </w:r>
      <w:r>
        <w:tab/>
        <w:t xml:space="preserve">processes and controls to reduce the noise emitted by the plant and activities; </w:t>
      </w:r>
    </w:p>
    <w:p>
      <w:pPr>
        <w:pStyle w:val="yIndenta"/>
      </w:pPr>
      <w:r>
        <w:tab/>
        <w:t>(d)</w:t>
      </w:r>
      <w:r>
        <w:tab/>
        <w:t xml:space="preserve">monitoring the noise persons at the mine are exposed to. </w:t>
      </w:r>
    </w:p>
    <w:p>
      <w:pPr>
        <w:pStyle w:val="ySubsection"/>
      </w:pPr>
      <w:r>
        <w:tab/>
        <w:t>(3)</w:t>
      </w:r>
      <w:r>
        <w:tab/>
        <w:t xml:space="preserve">A person is eligible to be appointed as a noise officer if the person — </w:t>
      </w:r>
    </w:p>
    <w:p>
      <w:pPr>
        <w:pStyle w:val="yIndenta"/>
      </w:pPr>
      <w:r>
        <w:tab/>
        <w:t>(a)</w:t>
      </w:r>
      <w:r>
        <w:tab/>
        <w:t>successfully completes a course about measuring noise and managing noise that is approved by the regulator under regulation 675ZZK(1)(b); and</w:t>
      </w:r>
    </w:p>
    <w:p>
      <w:pPr>
        <w:pStyle w:val="yIndenta"/>
      </w:pPr>
      <w:r>
        <w:tab/>
        <w:t>(b)</w:t>
      </w:r>
      <w:r>
        <w:tab/>
        <w:t>successfully completes an approved WHS risk management unit for noise officers; and</w:t>
      </w:r>
    </w:p>
    <w:p>
      <w:pPr>
        <w:pStyle w:val="yIndenta"/>
      </w:pPr>
      <w:r>
        <w:tab/>
        <w:t>(c)</w:t>
      </w:r>
      <w:r>
        <w:tab/>
        <w:t>passes an applicable legislation examination for noise officers.</w:t>
      </w:r>
    </w:p>
    <w:p>
      <w:pPr>
        <w:pStyle w:val="yHeading5"/>
      </w:pPr>
      <w:bookmarkStart w:id="1299" w:name="_Toc200720803"/>
      <w:r>
        <w:rPr>
          <w:rStyle w:val="CharSClsNo"/>
        </w:rPr>
        <w:t>3</w:t>
      </w:r>
      <w:r>
        <w:t>.</w:t>
      </w:r>
      <w:r>
        <w:tab/>
        <w:t>Statutory supervisors</w:t>
      </w:r>
      <w:bookmarkEnd w:id="1299"/>
      <w:r>
        <w:t xml:space="preserve"> </w:t>
      </w:r>
    </w:p>
    <w:p>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pPr>
        <w:pStyle w:val="yIndenta"/>
      </w:pPr>
      <w:r>
        <w:tab/>
        <w:t>(a)</w:t>
      </w:r>
      <w:r>
        <w:tab/>
        <w:t>a laboratory;</w:t>
      </w:r>
    </w:p>
    <w:p>
      <w:pPr>
        <w:pStyle w:val="yIndenta"/>
      </w:pPr>
      <w:r>
        <w:tab/>
        <w:t>(b)</w:t>
      </w:r>
      <w:r>
        <w:tab/>
        <w:t>a processing plant;</w:t>
      </w:r>
    </w:p>
    <w:p>
      <w:pPr>
        <w:pStyle w:val="yIndenta"/>
      </w:pPr>
      <w:r>
        <w:tab/>
        <w:t>(c)</w:t>
      </w:r>
      <w:r>
        <w:tab/>
        <w:t>a quarry;</w:t>
      </w:r>
    </w:p>
    <w:p>
      <w:pPr>
        <w:pStyle w:val="yIndenta"/>
      </w:pPr>
      <w:r>
        <w:tab/>
        <w:t>(d)</w:t>
      </w:r>
      <w:r>
        <w:tab/>
        <w:t>a workshop;</w:t>
      </w:r>
    </w:p>
    <w:p>
      <w:pPr>
        <w:pStyle w:val="yIndenta"/>
        <w:keepLines/>
      </w:pPr>
      <w:r>
        <w:lastRenderedPageBreak/>
        <w:tab/>
        <w:t>(e)</w:t>
      </w:r>
      <w:r>
        <w:tab/>
        <w:t>each place where the mine operator for the mine considers it is necessary to have a statutory supervisor to reduce the risks to health and safety associated with mining operations carried out at the mine.</w:t>
      </w:r>
    </w:p>
    <w:p>
      <w:pPr>
        <w:pStyle w:val="PermNoteHeading"/>
      </w:pPr>
      <w:r>
        <w:tab/>
        <w:t>Note for this subclause:</w:t>
      </w:r>
    </w:p>
    <w:p>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pPr>
        <w:pStyle w:val="ySubsection"/>
      </w:pPr>
      <w:r>
        <w:tab/>
        <w:t>(2)</w:t>
      </w:r>
      <w:r>
        <w:tab/>
        <w:t xml:space="preserve">In making a decision under subclause (1)(e) about whether it is necessary to appoint a statutory supervisor for a place at the mine, the mine operator must have regard to — </w:t>
      </w:r>
    </w:p>
    <w:p>
      <w:pPr>
        <w:pStyle w:val="yIndenta"/>
      </w:pPr>
      <w:r>
        <w:tab/>
        <w:t>(a)</w:t>
      </w:r>
      <w:r>
        <w:tab/>
        <w:t>the mine’s mine safety management system; and</w:t>
      </w:r>
    </w:p>
    <w:p>
      <w:pPr>
        <w:pStyle w:val="yIndenta"/>
      </w:pPr>
      <w:r>
        <w:tab/>
        <w:t>(b)</w:t>
      </w:r>
      <w:r>
        <w:tab/>
        <w:t>risk assessments undertaken in relation to the place at the mine.</w:t>
      </w:r>
    </w:p>
    <w:p>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pPr>
        <w:pStyle w:val="yIndenta"/>
      </w:pPr>
      <w:r>
        <w:tab/>
        <w:t>(a)</w:t>
      </w:r>
      <w:r>
        <w:tab/>
        <w:t xml:space="preserve">allocating tasks to the worker for that worker to carry out at the appointed place; </w:t>
      </w:r>
    </w:p>
    <w:p>
      <w:pPr>
        <w:pStyle w:val="yIndenta"/>
      </w:pPr>
      <w:r>
        <w:tab/>
        <w:t>(b)</w:t>
      </w:r>
      <w:r>
        <w:tab/>
        <w:t xml:space="preserve">supervising and controlling workers and other persons at the appointed place; </w:t>
      </w:r>
    </w:p>
    <w:p>
      <w:pPr>
        <w:pStyle w:val="yIndenta"/>
      </w:pPr>
      <w:r>
        <w:tab/>
        <w:t>(c)</w:t>
      </w:r>
      <w:r>
        <w:tab/>
        <w:t xml:space="preserve">if necessary, inspecting areas where workers and other persons travel to the appointed place for risks or hazards to those persons; </w:t>
      </w:r>
    </w:p>
    <w:p>
      <w:pPr>
        <w:pStyle w:val="yIndenta"/>
      </w:pPr>
      <w:r>
        <w:tab/>
        <w:t>(d)</w:t>
      </w:r>
      <w:r>
        <w:tab/>
        <w:t xml:space="preserve">taking steps to ensure, so far as is reasonably practicable, that workers and other persons are not exposed to risks or hazards in the appointed place; </w:t>
      </w:r>
    </w:p>
    <w:p>
      <w:pPr>
        <w:pStyle w:val="yIndenta"/>
      </w:pPr>
      <w:r>
        <w:tab/>
        <w:t>(e)</w:t>
      </w:r>
      <w:r>
        <w:tab/>
        <w:t>if the supervisor is being replaced by another supervisor — providing written reports to the incoming supervisor under regulation 630.</w:t>
      </w:r>
    </w:p>
    <w:p>
      <w:pPr>
        <w:pStyle w:val="ySubsection"/>
      </w:pPr>
      <w:r>
        <w:tab/>
        <w:t>(4)</w:t>
      </w:r>
      <w:r>
        <w:tab/>
        <w:t xml:space="preserve">A person is eligible to be appointed as a statutory supervisor for a place at a mine if the person — </w:t>
      </w:r>
    </w:p>
    <w:p>
      <w:pPr>
        <w:pStyle w:val="yIndenta"/>
      </w:pPr>
      <w:r>
        <w:tab/>
        <w:t>(a)</w:t>
      </w:r>
      <w:r>
        <w:tab/>
        <w:t xml:space="preserve">works for at least 2 years as a supervisor or worker in a similar operation or industry that the mine is engaged in; and </w:t>
      </w:r>
    </w:p>
    <w:p>
      <w:pPr>
        <w:pStyle w:val="yIndenta"/>
      </w:pPr>
      <w:r>
        <w:lastRenderedPageBreak/>
        <w:tab/>
        <w:t>(b)</w:t>
      </w:r>
      <w:r>
        <w:tab/>
        <w:t>successfully completes an approved WHS risk management unit for statutory supervisors; and</w:t>
      </w:r>
    </w:p>
    <w:p>
      <w:pPr>
        <w:pStyle w:val="yIndenta"/>
      </w:pPr>
      <w:r>
        <w:tab/>
        <w:t>(c)</w:t>
      </w:r>
      <w:r>
        <w:tab/>
        <w:t>passes an applicable legislation examination for statutory supervisors.</w:t>
      </w:r>
    </w:p>
    <w:p>
      <w:pPr>
        <w:pStyle w:val="yHeading5"/>
      </w:pPr>
      <w:bookmarkStart w:id="1300" w:name="_Toc200720804"/>
      <w:r>
        <w:rPr>
          <w:rStyle w:val="CharSClsNo"/>
        </w:rPr>
        <w:t>4</w:t>
      </w:r>
      <w:r>
        <w:t>.</w:t>
      </w:r>
      <w:r>
        <w:tab/>
        <w:t>Mine air quality officers</w:t>
      </w:r>
      <w:bookmarkEnd w:id="1300"/>
    </w:p>
    <w:p>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pPr>
        <w:pStyle w:val="ySubsection"/>
      </w:pPr>
      <w:r>
        <w:tab/>
        <w:t>(2)</w:t>
      </w:r>
      <w:r>
        <w:tab/>
        <w:t>Mine air quality officers for a mine have the following functions —</w:t>
      </w:r>
    </w:p>
    <w:p>
      <w:pPr>
        <w:pStyle w:val="yIndenta"/>
      </w:pPr>
      <w:r>
        <w:tab/>
        <w:t>(a)</w:t>
      </w:r>
      <w:r>
        <w:tab/>
        <w:t xml:space="preserve">advising the mine operator, site senior executive or exploration manager about steps to be taken to reduce the exposure of workers to airborne contaminants, heat or humidity; </w:t>
      </w:r>
    </w:p>
    <w:p>
      <w:pPr>
        <w:pStyle w:val="yIndenta"/>
      </w:pPr>
      <w:r>
        <w:tab/>
        <w:t>(b)</w:t>
      </w:r>
      <w:r>
        <w:tab/>
        <w:t xml:space="preserve">planning and carrying out monitoring for air quality and airborne contaminants by reference to the risk of exposure to the airborne contaminants identified at the mine; </w:t>
      </w:r>
    </w:p>
    <w:p>
      <w:pPr>
        <w:pStyle w:val="yIndenta"/>
      </w:pPr>
      <w:r>
        <w:tab/>
        <w:t>(c)</w:t>
      </w:r>
      <w:r>
        <w:tab/>
        <w:t>reporting on the results of the monitoring to the mine operator, site senior executive or exploration manager.</w:t>
      </w:r>
    </w:p>
    <w:p>
      <w:pPr>
        <w:pStyle w:val="ySubsection"/>
      </w:pPr>
      <w:r>
        <w:tab/>
        <w:t>(3)</w:t>
      </w:r>
      <w:r>
        <w:tab/>
        <w:t xml:space="preserve">A person is eligible to be appointed as a mine air quality officer for a mine if the person — </w:t>
      </w:r>
    </w:p>
    <w:p>
      <w:pPr>
        <w:pStyle w:val="yIndenta"/>
      </w:pPr>
      <w:r>
        <w:tab/>
        <w:t>(a)</w:t>
      </w:r>
      <w:r>
        <w:tab/>
        <w:t xml:space="preserve">successfully completes a course about sampling and assessing airborne contaminants that is approved by the regulator under regulation 675ZZK(1)(c); and </w:t>
      </w:r>
    </w:p>
    <w:p>
      <w:pPr>
        <w:pStyle w:val="yIndenta"/>
      </w:pPr>
      <w:r>
        <w:tab/>
        <w:t>(b)</w:t>
      </w:r>
      <w:r>
        <w:tab/>
        <w:t>successfully completes an approved WHS risk management unit for mine air quality officers; and</w:t>
      </w:r>
    </w:p>
    <w:p>
      <w:pPr>
        <w:pStyle w:val="yIndenta"/>
      </w:pPr>
      <w:r>
        <w:tab/>
        <w:t>(c)</w:t>
      </w:r>
      <w:r>
        <w:tab/>
        <w:t>passes an applicable legislation examination for mine air quality officers.</w:t>
      </w:r>
    </w:p>
    <w:p>
      <w:pPr>
        <w:pStyle w:val="yHeading5"/>
      </w:pPr>
      <w:bookmarkStart w:id="1301" w:name="_Toc200720805"/>
      <w:r>
        <w:rPr>
          <w:rStyle w:val="CharSClsNo"/>
        </w:rPr>
        <w:t>5</w:t>
      </w:r>
      <w:r>
        <w:t>.</w:t>
      </w:r>
      <w:r>
        <w:tab/>
        <w:t>Electrical supervisors</w:t>
      </w:r>
      <w:bookmarkEnd w:id="1301"/>
      <w:r>
        <w:t xml:space="preserve"> </w:t>
      </w:r>
    </w:p>
    <w:p>
      <w:pPr>
        <w:pStyle w:val="ySubsection"/>
      </w:pPr>
      <w:r>
        <w:tab/>
        <w:t>(1)</w:t>
      </w:r>
      <w:r>
        <w:tab/>
        <w:t xml:space="preserve">In this clause — </w:t>
      </w:r>
    </w:p>
    <w:p>
      <w:pPr>
        <w:pStyle w:val="yDefstart"/>
      </w:pPr>
      <w:r>
        <w:tab/>
      </w:r>
      <w:r>
        <w:rPr>
          <w:rStyle w:val="CharDefText"/>
        </w:rPr>
        <w:t>electrician</w:t>
      </w:r>
      <w:r>
        <w:t xml:space="preserve"> has the meaning given in the </w:t>
      </w:r>
      <w:r>
        <w:rPr>
          <w:i/>
        </w:rPr>
        <w:t>Electricity (Licensing) Regulations 1991</w:t>
      </w:r>
      <w:r>
        <w:t xml:space="preserve"> regulation 3(1).</w:t>
      </w:r>
    </w:p>
    <w:p>
      <w:pPr>
        <w:pStyle w:val="ySubsection"/>
      </w:pPr>
      <w:r>
        <w:lastRenderedPageBreak/>
        <w:tab/>
        <w:t>(2)</w:t>
      </w:r>
      <w:r>
        <w:tab/>
        <w:t>An electrical supervisor must be appointed for a mine where electrical work is carried out by an electrician.</w:t>
      </w:r>
    </w:p>
    <w:p>
      <w:pPr>
        <w:pStyle w:val="ySubsection"/>
      </w:pPr>
      <w:r>
        <w:tab/>
        <w:t>(3)</w:t>
      </w:r>
      <w:r>
        <w:tab/>
        <w:t>Electrical supervisors for a mine have the following functions —</w:t>
      </w:r>
    </w:p>
    <w:p>
      <w:pPr>
        <w:pStyle w:val="yIndenta"/>
      </w:pPr>
      <w:r>
        <w:tab/>
        <w:t>(a)</w:t>
      </w:r>
      <w:r>
        <w:tab/>
      </w:r>
      <w:r>
        <w:rPr>
          <w:snapToGrid w:val="0"/>
        </w:rPr>
        <w:t xml:space="preserve">ensuring the efficient supervision of the installation, maintenance and testing of electrical plant; </w:t>
      </w:r>
    </w:p>
    <w:p>
      <w:pPr>
        <w:pStyle w:val="yIndenta"/>
        <w:rPr>
          <w:snapToGrid w:val="0"/>
        </w:rPr>
      </w:pPr>
      <w:r>
        <w:tab/>
        <w:t>(b)</w:t>
      </w:r>
      <w:r>
        <w:tab/>
      </w:r>
      <w:r>
        <w:rPr>
          <w:snapToGrid w:val="0"/>
        </w:rPr>
        <w:t xml:space="preserve">to be responsible to the site senior executive or exploration manager for the safe operation of electrical plant at the mine; </w:t>
      </w:r>
    </w:p>
    <w:p>
      <w:pPr>
        <w:pStyle w:val="yIndenta"/>
      </w:pPr>
      <w:r>
        <w:tab/>
        <w:t>(c)</w:t>
      </w:r>
      <w:r>
        <w:tab/>
      </w:r>
      <w:r>
        <w:rPr>
          <w:snapToGrid w:val="0"/>
        </w:rPr>
        <w:t xml:space="preserve">ensuring that all work carried out by persons in relation to electrical plant and installations at the mine is adequately supervised; </w:t>
      </w:r>
    </w:p>
    <w:p>
      <w:pPr>
        <w:pStyle w:val="yIndenta"/>
      </w:pPr>
      <w:r>
        <w:tab/>
        <w:t>(d)</w:t>
      </w:r>
      <w:r>
        <w:tab/>
      </w:r>
      <w:r>
        <w:rPr>
          <w:snapToGrid w:val="0"/>
        </w:rPr>
        <w:t xml:space="preserve">ensuring that electrical plant and installations at the mine are installed and tested in accordance with the Act, and maintained in a safe working condition; </w:t>
      </w:r>
    </w:p>
    <w:p>
      <w:pPr>
        <w:pStyle w:val="yIndenta"/>
        <w:rPr>
          <w:snapToGrid w:val="0"/>
        </w:rPr>
      </w:pPr>
      <w:r>
        <w:tab/>
        <w:t>(e)</w:t>
      </w:r>
      <w:r>
        <w:tab/>
      </w:r>
      <w:r>
        <w:rPr>
          <w:snapToGrid w:val="0"/>
        </w:rPr>
        <w:t>stopping the use of any electrical plant or installation at the mine considered to be dangerous;</w:t>
      </w:r>
    </w:p>
    <w:p>
      <w:pPr>
        <w:pStyle w:val="yIndenta"/>
      </w:pPr>
      <w:r>
        <w:tab/>
        <w:t>(f)</w:t>
      </w:r>
      <w:r>
        <w:tab/>
      </w:r>
      <w:r>
        <w:rPr>
          <w:snapToGrid w:val="0"/>
        </w:rPr>
        <w:t xml:space="preserve">reporting to the site senior executive or exploration manager any situation which may affect the safe use of electricity or contravene the Act; </w:t>
      </w:r>
    </w:p>
    <w:p>
      <w:pPr>
        <w:pStyle w:val="yIndenta"/>
      </w:pPr>
      <w:r>
        <w:tab/>
        <w:t>(g)</w:t>
      </w:r>
      <w:r>
        <w:tab/>
      </w:r>
      <w:r>
        <w:rPr>
          <w:snapToGrid w:val="0"/>
        </w:rPr>
        <w:t>investigating and reporting to the site senior executive or exploration manager details of the following incidents</w:t>
      </w:r>
      <w:r>
        <w:t xml:space="preserve"> — </w:t>
      </w:r>
    </w:p>
    <w:p>
      <w:pPr>
        <w:pStyle w:val="yIndenti0"/>
      </w:pPr>
      <w:r>
        <w:tab/>
        <w:t>(i)</w:t>
      </w:r>
      <w:r>
        <w:tab/>
      </w:r>
      <w:r>
        <w:rPr>
          <w:snapToGrid w:val="0"/>
        </w:rPr>
        <w:t xml:space="preserve">any electric shock or burn received by a person; </w:t>
      </w:r>
    </w:p>
    <w:p>
      <w:pPr>
        <w:pStyle w:val="yIndenti0"/>
      </w:pPr>
      <w:r>
        <w:tab/>
        <w:t>(ii)</w:t>
      </w:r>
      <w:r>
        <w:tab/>
      </w:r>
      <w:r>
        <w:rPr>
          <w:snapToGrid w:val="0"/>
        </w:rPr>
        <w:t xml:space="preserve">any fire suspected to be caused by electricity; </w:t>
      </w:r>
    </w:p>
    <w:p>
      <w:pPr>
        <w:pStyle w:val="yIndenti0"/>
        <w:rPr>
          <w:snapToGrid w:val="0"/>
        </w:rPr>
      </w:pPr>
      <w:r>
        <w:tab/>
        <w:t>(iii)</w:t>
      </w:r>
      <w:r>
        <w:tab/>
      </w:r>
      <w:r>
        <w:rPr>
          <w:snapToGrid w:val="0"/>
        </w:rPr>
        <w:t>any dangerous occurrence involving electricity which could have caused injury to a person;</w:t>
      </w:r>
    </w:p>
    <w:p>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pPr>
        <w:pStyle w:val="ySubsection"/>
      </w:pPr>
      <w:r>
        <w:tab/>
        <w:t>(4)</w:t>
      </w:r>
      <w:r>
        <w:tab/>
        <w:t xml:space="preserve">A person is eligible to be appointed as an electrical supervisor if the person — </w:t>
      </w:r>
    </w:p>
    <w:p>
      <w:pPr>
        <w:pStyle w:val="yIndenta"/>
      </w:pPr>
      <w:r>
        <w:tab/>
        <w:t>(a)</w:t>
      </w:r>
      <w:r>
        <w:tab/>
        <w:t xml:space="preserve">either — </w:t>
      </w:r>
    </w:p>
    <w:p>
      <w:pPr>
        <w:pStyle w:val="yIndenti0"/>
      </w:pPr>
      <w:r>
        <w:tab/>
        <w:t>(i)</w:t>
      </w:r>
      <w:r>
        <w:tab/>
        <w:t xml:space="preserve">has an electrician’s licence issued under the </w:t>
      </w:r>
      <w:r>
        <w:rPr>
          <w:i/>
        </w:rPr>
        <w:t>Electricity (Licensing) Regulations 1991</w:t>
      </w:r>
      <w:r>
        <w:t xml:space="preserve"> without restrictions; or</w:t>
      </w:r>
    </w:p>
    <w:p>
      <w:pPr>
        <w:pStyle w:val="yIndenti0"/>
        <w:keepNext/>
      </w:pPr>
      <w:r>
        <w:lastRenderedPageBreak/>
        <w:tab/>
        <w:t>(ii)</w:t>
      </w:r>
      <w:r>
        <w:tab/>
        <w:t>holds a qualification in electrical engineering that makes the person eligible for professional engineer membership of the Institution of Engineers Australia ABN 63 020 415 510;</w:t>
      </w:r>
    </w:p>
    <w:p>
      <w:pPr>
        <w:pStyle w:val="yIndenta"/>
      </w:pPr>
      <w:r>
        <w:tab/>
      </w:r>
      <w:r>
        <w:tab/>
        <w:t>and</w:t>
      </w:r>
    </w:p>
    <w:p>
      <w:pPr>
        <w:pStyle w:val="yIndenta"/>
      </w:pPr>
      <w:r>
        <w:tab/>
        <w:t>(b)</w:t>
      </w:r>
      <w:r>
        <w:tab/>
        <w:t>successfully completes an approved WHS risk management unit for electrical supervisors; and</w:t>
      </w:r>
    </w:p>
    <w:p>
      <w:pPr>
        <w:pStyle w:val="yIndenta"/>
      </w:pPr>
      <w:r>
        <w:tab/>
        <w:t>(c)</w:t>
      </w:r>
      <w:r>
        <w:tab/>
        <w:t>works for at least 2 years carrying out electrical work in the mining industry or another heavy industry.</w:t>
      </w:r>
    </w:p>
    <w:p>
      <w:pPr>
        <w:pStyle w:val="yHeading5"/>
      </w:pPr>
      <w:bookmarkStart w:id="1302" w:name="_Toc200720806"/>
      <w:r>
        <w:rPr>
          <w:rStyle w:val="CharSClsNo"/>
        </w:rPr>
        <w:t>6</w:t>
      </w:r>
      <w:r>
        <w:t>.</w:t>
      </w:r>
      <w:r>
        <w:tab/>
        <w:t>High voltage operators</w:t>
      </w:r>
      <w:bookmarkEnd w:id="1302"/>
    </w:p>
    <w:p>
      <w:pPr>
        <w:pStyle w:val="ySubsection"/>
      </w:pPr>
      <w:r>
        <w:tab/>
        <w:t>(1)</w:t>
      </w:r>
      <w:r>
        <w:tab/>
        <w:t xml:space="preserve">A high voltage operator must be appointed for a mine — </w:t>
      </w:r>
    </w:p>
    <w:p>
      <w:pPr>
        <w:pStyle w:val="yIndenta"/>
      </w:pPr>
      <w:r>
        <w:tab/>
        <w:t>(a)</w:t>
      </w:r>
      <w:r>
        <w:tab/>
        <w:t>that has high voltage installations; or</w:t>
      </w:r>
    </w:p>
    <w:p>
      <w:pPr>
        <w:pStyle w:val="yIndenta"/>
      </w:pPr>
      <w:r>
        <w:tab/>
        <w:t>(b)</w:t>
      </w:r>
      <w:r>
        <w:tab/>
        <w:t>where high voltage electricity is used.</w:t>
      </w:r>
    </w:p>
    <w:p>
      <w:pPr>
        <w:pStyle w:val="ySubsection"/>
      </w:pPr>
      <w:r>
        <w:tab/>
        <w:t>(2)</w:t>
      </w:r>
      <w:r>
        <w:tab/>
        <w:t xml:space="preserve">High voltage operators for a mine have the following functions — </w:t>
      </w:r>
    </w:p>
    <w:p>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pPr>
        <w:pStyle w:val="yIndenta"/>
      </w:pPr>
      <w:r>
        <w:tab/>
        <w:t>(b)</w:t>
      </w:r>
      <w:r>
        <w:tab/>
        <w:t xml:space="preserve">ensuring that measures for the safe operation of the plant in close proximity to uninsulated high voltage conductors or components are — </w:t>
      </w:r>
    </w:p>
    <w:p>
      <w:pPr>
        <w:pStyle w:val="yIndenti0"/>
      </w:pPr>
      <w:r>
        <w:tab/>
        <w:t>(i)</w:t>
      </w:r>
      <w:r>
        <w:tab/>
        <w:t xml:space="preserve">detailed on the high voltage vicinity permits to which they relate; and </w:t>
      </w:r>
    </w:p>
    <w:p>
      <w:pPr>
        <w:pStyle w:val="yIndenti0"/>
      </w:pPr>
      <w:r>
        <w:tab/>
        <w:t>(ii)</w:t>
      </w:r>
      <w:r>
        <w:tab/>
        <w:t xml:space="preserve">are carried out; </w:t>
      </w:r>
    </w:p>
    <w:p>
      <w:pPr>
        <w:pStyle w:val="yIndenta"/>
      </w:pPr>
      <w:r>
        <w:tab/>
        <w:t>(c)</w:t>
      </w:r>
      <w:r>
        <w:tab/>
        <w:t>isolating high voltage equipment at the mine so that the equipment can be accessed, maintained or repaired, and re</w:t>
      </w:r>
      <w:r>
        <w:noBreakHyphen/>
        <w:t xml:space="preserve">energising the equipment. </w:t>
      </w:r>
    </w:p>
    <w:p>
      <w:pPr>
        <w:pStyle w:val="ySubsection"/>
      </w:pPr>
      <w:r>
        <w:tab/>
        <w:t>(3)</w:t>
      </w:r>
      <w:r>
        <w:tab/>
        <w:t xml:space="preserve">A person is eligible to be appointed as a high voltage operator for a mine if — </w:t>
      </w:r>
    </w:p>
    <w:p>
      <w:pPr>
        <w:pStyle w:val="yIndenta"/>
      </w:pPr>
      <w:r>
        <w:tab/>
        <w:t>(a)</w:t>
      </w:r>
      <w:r>
        <w:tab/>
        <w:t>the person successfully completes a high voltage operator training course that is approved by the regulator under regulation 675ZZK(1)(d); and</w:t>
      </w:r>
    </w:p>
    <w:p>
      <w:pPr>
        <w:pStyle w:val="yIndenta"/>
      </w:pPr>
      <w:r>
        <w:lastRenderedPageBreak/>
        <w:tab/>
        <w:t>(b)</w:t>
      </w:r>
      <w:r>
        <w:tab/>
        <w:t>the site senior executive or exploration manager of the mine is satisfied that the person knows how to operate switchgear to isolate and re</w:t>
      </w:r>
      <w:r>
        <w:noBreakHyphen/>
        <w:t>energise high voltage equipment under subclause (2)(c).</w:t>
      </w:r>
    </w:p>
    <w:p>
      <w:pPr>
        <w:pStyle w:val="yHeading5"/>
      </w:pPr>
      <w:bookmarkStart w:id="1303" w:name="_Toc200720807"/>
      <w:r>
        <w:rPr>
          <w:rStyle w:val="CharSClsNo"/>
        </w:rPr>
        <w:t>7</w:t>
      </w:r>
      <w:r>
        <w:t>.</w:t>
      </w:r>
      <w:r>
        <w:tab/>
        <w:t>Underground managers (non</w:t>
      </w:r>
      <w:r>
        <w:noBreakHyphen/>
        <w:t>coal)</w:t>
      </w:r>
      <w:bookmarkEnd w:id="1303"/>
    </w:p>
    <w:p>
      <w:pPr>
        <w:pStyle w:val="ySubsection"/>
      </w:pPr>
      <w:r>
        <w:tab/>
        <w:t>(1)</w:t>
      </w:r>
      <w:r>
        <w:tab/>
        <w:t>An underground manager (non</w:t>
      </w:r>
      <w:r>
        <w:noBreakHyphen/>
        <w:t>coal) must be appointed for an underground non</w:t>
      </w:r>
      <w:r>
        <w:noBreakHyphen/>
        <w:t xml:space="preserve">coal mine. </w:t>
      </w:r>
    </w:p>
    <w:p>
      <w:pPr>
        <w:pStyle w:val="ySubsection"/>
      </w:pPr>
      <w:r>
        <w:tab/>
        <w:t>(2)</w:t>
      </w:r>
      <w:r>
        <w:tab/>
        <w:t>Underground managers (non</w:t>
      </w:r>
      <w:r>
        <w:noBreakHyphen/>
        <w:t>coal) for an underground non</w:t>
      </w:r>
      <w:r>
        <w:noBreakHyphen/>
        <w:t>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A person is eligible to be appointed as an underground manager (non</w:t>
      </w:r>
      <w:r>
        <w:noBreakHyphen/>
        <w:t>coal) for an underground non</w:t>
      </w:r>
      <w:r>
        <w:noBreakHyphen/>
        <w:t xml:space="preserve">coal mine if — </w:t>
      </w:r>
    </w:p>
    <w:p>
      <w:pPr>
        <w:pStyle w:val="yIndenta"/>
      </w:pPr>
      <w:r>
        <w:tab/>
        <w:t>(a)</w:t>
      </w:r>
      <w:r>
        <w:tab/>
        <w:t>for a mine where, on average, more than 25 persons work underground per day — the person holds a first class mine manager’s certificate for non</w:t>
      </w:r>
      <w:r>
        <w:noBreakHyphen/>
        <w:t>coal mines; or</w:t>
      </w:r>
    </w:p>
    <w:p>
      <w:pPr>
        <w:pStyle w:val="yIndenta"/>
      </w:pPr>
      <w:r>
        <w:tab/>
        <w:t>(b)</w:t>
      </w:r>
      <w:r>
        <w:tab/>
        <w:t>otherwise — the person holds a first class mine manager’s certificate for non</w:t>
      </w:r>
      <w:r>
        <w:noBreakHyphen/>
        <w:t>coal mines or underground supervisor’s certificate for non</w:t>
      </w:r>
      <w:r>
        <w:noBreakHyphen/>
        <w:t>coal mines.</w:t>
      </w:r>
    </w:p>
    <w:p>
      <w:pPr>
        <w:pStyle w:val="yHeading5"/>
      </w:pPr>
      <w:bookmarkStart w:id="1304" w:name="_Toc200720808"/>
      <w:r>
        <w:rPr>
          <w:rStyle w:val="CharSClsNo"/>
        </w:rPr>
        <w:t>8</w:t>
      </w:r>
      <w:r>
        <w:t>.</w:t>
      </w:r>
      <w:r>
        <w:tab/>
        <w:t>Underground managers (coal)</w:t>
      </w:r>
      <w:bookmarkEnd w:id="1304"/>
    </w:p>
    <w:p>
      <w:pPr>
        <w:pStyle w:val="ySubsection"/>
      </w:pPr>
      <w:r>
        <w:tab/>
        <w:t>(1)</w:t>
      </w:r>
      <w:r>
        <w:tab/>
        <w:t xml:space="preserve">An underground manager (coal) must be appointed for an underground coal mine. </w:t>
      </w:r>
    </w:p>
    <w:p>
      <w:pPr>
        <w:pStyle w:val="ySubsection"/>
        <w:keepNext/>
      </w:pPr>
      <w:r>
        <w:lastRenderedPageBreak/>
        <w:tab/>
        <w:t>(2)</w:t>
      </w:r>
      <w:r>
        <w:tab/>
        <w:t>Underground managers (coal) for an underground 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of the mine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 xml:space="preserve">A person is eligible to be appointed as an underground manager (coal) for an underground coal mine if — </w:t>
      </w:r>
    </w:p>
    <w:p>
      <w:pPr>
        <w:pStyle w:val="yIndenta"/>
      </w:pPr>
      <w:r>
        <w:tab/>
        <w:t>(a)</w:t>
      </w:r>
      <w:r>
        <w:tab/>
        <w:t>for a mine where, on average, more than 25 persons work underground per day — the person holds a first class mine manager’s certificate for coal mines; or</w:t>
      </w:r>
    </w:p>
    <w:p>
      <w:pPr>
        <w:pStyle w:val="yIndenta"/>
      </w:pPr>
      <w:r>
        <w:tab/>
        <w:t>(b)</w:t>
      </w:r>
      <w:r>
        <w:tab/>
        <w:t>otherwise — the person holds a first class mine manager’s certificate for coal mines or deputy’s certificate for underground coal mines.</w:t>
      </w:r>
    </w:p>
    <w:p>
      <w:pPr>
        <w:pStyle w:val="yHeading5"/>
      </w:pPr>
      <w:bookmarkStart w:id="1305" w:name="_Toc200720809"/>
      <w:r>
        <w:rPr>
          <w:rStyle w:val="CharSClsNo"/>
        </w:rPr>
        <w:t>9</w:t>
      </w:r>
      <w:r>
        <w:t>.</w:t>
      </w:r>
      <w:r>
        <w:tab/>
        <w:t>Underground supervisors (non</w:t>
      </w:r>
      <w:r>
        <w:noBreakHyphen/>
        <w:t>coal)</w:t>
      </w:r>
      <w:bookmarkEnd w:id="1305"/>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pPr>
        <w:pStyle w:val="ySubsection"/>
      </w:pPr>
      <w:r>
        <w:tab/>
        <w:t>(2)</w:t>
      </w:r>
      <w:r>
        <w:tab/>
        <w:t>An underground supervisor (non</w:t>
      </w:r>
      <w:r>
        <w:noBreakHyphen/>
        <w:t>coal) must be appointed for a supervised area in an underground non</w:t>
      </w:r>
      <w:r>
        <w:noBreakHyphen/>
        <w:t>coal mine.</w:t>
      </w:r>
    </w:p>
    <w:p>
      <w:pPr>
        <w:pStyle w:val="ySubsection"/>
      </w:pPr>
      <w:r>
        <w:tab/>
        <w:t>(3)</w:t>
      </w:r>
      <w:r>
        <w:tab/>
        <w:t>Underground supervisors (non</w:t>
      </w:r>
      <w:r>
        <w:noBreakHyphen/>
        <w:t>coal) for an underground non</w:t>
      </w:r>
      <w:r>
        <w:noBreakHyphen/>
        <w:t xml:space="preserve">coal mine have the following functions — </w:t>
      </w:r>
    </w:p>
    <w:p>
      <w:pPr>
        <w:pStyle w:val="yIndenta"/>
      </w:pPr>
      <w:r>
        <w:tab/>
        <w:t>(a)</w:t>
      </w:r>
      <w:r>
        <w:tab/>
        <w:t>subject to the direction of the underground manager (non</w:t>
      </w:r>
      <w:r>
        <w:noBreakHyphen/>
        <w:t xml:space="preserve">coal), supervising the underground operations in the supervisor’s area; </w:t>
      </w:r>
    </w:p>
    <w:p>
      <w:pPr>
        <w:pStyle w:val="yIndenta"/>
      </w:pPr>
      <w:r>
        <w:lastRenderedPageBreak/>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pPr>
        <w:pStyle w:val="yHeading5"/>
      </w:pPr>
      <w:bookmarkStart w:id="1306" w:name="_Toc200720810"/>
      <w:r>
        <w:rPr>
          <w:rStyle w:val="CharSClsNo"/>
        </w:rPr>
        <w:t>10</w:t>
      </w:r>
      <w:r>
        <w:t>.</w:t>
      </w:r>
      <w:r>
        <w:tab/>
        <w:t>Underground supervisors (coal)</w:t>
      </w:r>
      <w:bookmarkEnd w:id="1306"/>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coal mine allocated to the supervisor by the underground manager (coal) for the mine.</w:t>
      </w:r>
    </w:p>
    <w:p>
      <w:pPr>
        <w:pStyle w:val="ySubsection"/>
      </w:pPr>
      <w:r>
        <w:tab/>
        <w:t>(2)</w:t>
      </w:r>
      <w:r>
        <w:tab/>
        <w:t>An underground supervisor (coal) must be appointed for a supervised area in an underground coal mine.</w:t>
      </w:r>
    </w:p>
    <w:p>
      <w:pPr>
        <w:pStyle w:val="ySubsection"/>
      </w:pPr>
      <w:r>
        <w:tab/>
        <w:t>(3)</w:t>
      </w:r>
      <w:r>
        <w:tab/>
        <w:t xml:space="preserve">Underground supervisors (coal) for an underground coal mine have the following functions — </w:t>
      </w:r>
    </w:p>
    <w:p>
      <w:pPr>
        <w:pStyle w:val="yIndenta"/>
      </w:pPr>
      <w:r>
        <w:tab/>
        <w:t>(a)</w:t>
      </w:r>
      <w:r>
        <w:tab/>
        <w:t xml:space="preserve">subject to the direction of the underground manager (coal),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who the supervisor is supervising are not exposed to hazards in the supervisor’s area; </w:t>
      </w:r>
    </w:p>
    <w:p>
      <w:pPr>
        <w:pStyle w:val="yIndenta"/>
      </w:pPr>
      <w:r>
        <w:lastRenderedPageBreak/>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(coal) if the person holds a first class mine manager’s certificate for coal mines or deputy’s certificate for underground coal mines.</w:t>
      </w:r>
    </w:p>
    <w:p>
      <w:pPr>
        <w:pStyle w:val="yHeading5"/>
      </w:pPr>
      <w:bookmarkStart w:id="1307" w:name="_Toc200720811"/>
      <w:r>
        <w:rPr>
          <w:rStyle w:val="CharSClsNo"/>
        </w:rPr>
        <w:t>11</w:t>
      </w:r>
      <w:r>
        <w:t>.</w:t>
      </w:r>
      <w:r>
        <w:tab/>
        <w:t>Underground ventilation officers</w:t>
      </w:r>
      <w:bookmarkEnd w:id="1307"/>
    </w:p>
    <w:p>
      <w:pPr>
        <w:pStyle w:val="ySubsection"/>
      </w:pPr>
      <w:r>
        <w:tab/>
        <w:t>(1)</w:t>
      </w:r>
      <w:r>
        <w:tab/>
        <w:t>An underground ventilation officer must be appointed for an underground mine.</w:t>
      </w:r>
    </w:p>
    <w:p>
      <w:pPr>
        <w:pStyle w:val="ySubsection"/>
      </w:pPr>
      <w:r>
        <w:tab/>
        <w:t>(2)</w:t>
      </w:r>
      <w:r>
        <w:tab/>
        <w:t>Underground ventilation officers for a mine have the following functions —</w:t>
      </w:r>
    </w:p>
    <w:p>
      <w:pPr>
        <w:pStyle w:val="yIndenta"/>
      </w:pPr>
      <w:r>
        <w:tab/>
        <w:t>(a)</w:t>
      </w:r>
      <w:r>
        <w:tab/>
        <w:t xml:space="preserve">planning and implementing an underground ventilation system that — </w:t>
      </w:r>
    </w:p>
    <w:p>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pPr>
        <w:pStyle w:val="yIndenti0"/>
      </w:pPr>
      <w:r>
        <w:tab/>
        <w:t>(ii)</w:t>
      </w:r>
      <w:r>
        <w:tab/>
        <w:t xml:space="preserve">manages heat and humidity in the underground part of the mine so that regulations 41A and 635 are not contravened; and </w:t>
      </w:r>
    </w:p>
    <w:p>
      <w:pPr>
        <w:pStyle w:val="yIndenti0"/>
      </w:pPr>
      <w:r>
        <w:tab/>
        <w:t>(iii)</w:t>
      </w:r>
      <w:r>
        <w:tab/>
        <w:t>ensures the underground ventilation control plan is prepared and implemented under regulation 654; and</w:t>
      </w:r>
    </w:p>
    <w:p>
      <w:pPr>
        <w:pStyle w:val="yIndenti0"/>
      </w:pPr>
      <w:r>
        <w:tab/>
        <w:t>(iv)</w:t>
      </w:r>
      <w:r>
        <w:tab/>
        <w:t xml:space="preserve">reduces concentrations of any airborne contaminant (including any asphyxiant or explosive gas) at the mine to as low as is reasonably practicable; </w:t>
      </w:r>
    </w:p>
    <w:p>
      <w:pPr>
        <w:pStyle w:val="yIndenta"/>
      </w:pPr>
      <w:r>
        <w:tab/>
        <w:t>(b)</w:t>
      </w:r>
      <w:r>
        <w:tab/>
        <w:t xml:space="preserve">monitoring atmospheric conditions in the underground part of the mine, having regard to the hazards and risks assessed and identified for the part of the mine; </w:t>
      </w:r>
    </w:p>
    <w:p>
      <w:pPr>
        <w:pStyle w:val="yIndenta"/>
      </w:pPr>
      <w:r>
        <w:tab/>
        <w:t>(c)</w:t>
      </w:r>
      <w:r>
        <w:tab/>
        <w:t xml:space="preserve">maintaining records of the monitoring of atmospheric condition; </w:t>
      </w:r>
    </w:p>
    <w:p>
      <w:pPr>
        <w:pStyle w:val="yIndenta"/>
      </w:pPr>
      <w:r>
        <w:tab/>
        <w:t>(d)</w:t>
      </w:r>
      <w:r>
        <w:tab/>
        <w:t xml:space="preserve">maintaining the ventilation plan prepared for the underground mine under regulation 656; </w:t>
      </w:r>
    </w:p>
    <w:p>
      <w:pPr>
        <w:pStyle w:val="yIndenta"/>
      </w:pPr>
      <w:r>
        <w:lastRenderedPageBreak/>
        <w:tab/>
        <w:t>(e)</w:t>
      </w:r>
      <w:r>
        <w:tab/>
        <w:t xml:space="preserve">advising the following of deficiencies in the underground ventilation system and precautions to be taken because of those deficiencies — </w:t>
      </w:r>
    </w:p>
    <w:p>
      <w:pPr>
        <w:pStyle w:val="yIndenti0"/>
      </w:pPr>
      <w:r>
        <w:tab/>
        <w:t>(i)</w:t>
      </w:r>
      <w:r>
        <w:tab/>
        <w:t>the site senior executive of the mine;</w:t>
      </w:r>
    </w:p>
    <w:p>
      <w:pPr>
        <w:pStyle w:val="yIndenti0"/>
      </w:pPr>
      <w:r>
        <w:tab/>
        <w:t>(ii)</w:t>
      </w:r>
      <w:r>
        <w:tab/>
        <w:t>the underground manager (coal) or underground manager (non</w:t>
      </w:r>
      <w:r>
        <w:noBreakHyphen/>
        <w:t>coal) for the mine.</w:t>
      </w:r>
    </w:p>
    <w:p>
      <w:pPr>
        <w:pStyle w:val="ySubsection"/>
      </w:pPr>
      <w:r>
        <w:tab/>
        <w:t>(3)</w:t>
      </w:r>
      <w:r>
        <w:tab/>
        <w:t xml:space="preserve">A person is eligible to be appointed as an underground ventilation officer for a mine if — </w:t>
      </w:r>
    </w:p>
    <w:p>
      <w:pPr>
        <w:pStyle w:val="yIndenta"/>
      </w:pPr>
      <w:r>
        <w:tab/>
        <w:t>(a)</w:t>
      </w:r>
      <w:r>
        <w:tab/>
        <w:t xml:space="preserve">the person has — </w:t>
      </w:r>
    </w:p>
    <w:p>
      <w:pPr>
        <w:pStyle w:val="yIndenti0"/>
      </w:pPr>
      <w:r>
        <w:tab/>
        <w:t>(i)</w:t>
      </w:r>
      <w:r>
        <w:tab/>
        <w:t>a diploma or degree that had a curriculum that focused substantially on underground mine ventilation; or</w:t>
      </w:r>
    </w:p>
    <w:p>
      <w:pPr>
        <w:pStyle w:val="yIndenti0"/>
      </w:pPr>
      <w:r>
        <w:tab/>
        <w:t>(ii)</w:t>
      </w:r>
      <w:r>
        <w:tab/>
        <w:t>an alternative qualification that the regulator approves under subclause (4) for the mine;</w:t>
      </w:r>
    </w:p>
    <w:p>
      <w:pPr>
        <w:pStyle w:val="yIndenta"/>
      </w:pPr>
      <w:r>
        <w:tab/>
      </w:r>
      <w:r>
        <w:tab/>
        <w:t>and</w:t>
      </w:r>
    </w:p>
    <w:p>
      <w:pPr>
        <w:pStyle w:val="yIndenta"/>
      </w:pPr>
      <w:r>
        <w:tab/>
        <w:t>(b)</w:t>
      </w:r>
      <w:r>
        <w:tab/>
        <w:t xml:space="preserve">the person — </w:t>
      </w:r>
    </w:p>
    <w:p>
      <w:pPr>
        <w:pStyle w:val="yIndenti0"/>
      </w:pPr>
      <w:r>
        <w:tab/>
        <w:t>(i)</w:t>
      </w:r>
      <w:r>
        <w:tab/>
        <w:t xml:space="preserve">successfully completes an approved WHS risk management unit for underground ventilation officers; and </w:t>
      </w:r>
    </w:p>
    <w:p>
      <w:pPr>
        <w:pStyle w:val="yIndenti0"/>
      </w:pPr>
      <w:r>
        <w:tab/>
        <w:t>(ii)</w:t>
      </w:r>
      <w:r>
        <w:tab/>
        <w:t xml:space="preserve">passes an applicable legislation examination for underground ventilation officers; and </w:t>
      </w:r>
    </w:p>
    <w:p>
      <w:pPr>
        <w:pStyle w:val="yIndenti0"/>
      </w:pPr>
      <w:r>
        <w:tab/>
        <w:t>(iii)</w:t>
      </w:r>
      <w:r>
        <w:tab/>
        <w:t>works for at least 2 years at an underground mine, at least 6 months of which is working with an underground ventilation officer.</w:t>
      </w:r>
    </w:p>
    <w:p>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pPr>
        <w:pStyle w:val="yHeading5"/>
      </w:pPr>
      <w:bookmarkStart w:id="1308" w:name="_Toc200720812"/>
      <w:r>
        <w:rPr>
          <w:rStyle w:val="CharSClsNo"/>
        </w:rPr>
        <w:lastRenderedPageBreak/>
        <w:t>12</w:t>
      </w:r>
      <w:r>
        <w:t>.</w:t>
      </w:r>
      <w:r>
        <w:tab/>
        <w:t>Authorised mine surveyors (underground)</w:t>
      </w:r>
      <w:bookmarkEnd w:id="1308"/>
    </w:p>
    <w:p>
      <w:pPr>
        <w:pStyle w:val="ySubsection"/>
      </w:pPr>
      <w:r>
        <w:tab/>
        <w:t>(1)</w:t>
      </w:r>
      <w:r>
        <w:tab/>
        <w:t>An authorised mine surveyor (underground) must be appointed for an underground mine where a mine survey plan must be prepared and maintained under regulation 675S.</w:t>
      </w:r>
    </w:p>
    <w:p>
      <w:pPr>
        <w:pStyle w:val="ySubsection"/>
      </w:pPr>
      <w:r>
        <w:tab/>
        <w:t>(2)</w:t>
      </w:r>
      <w:r>
        <w:tab/>
        <w:t>Authorised mine surveyors (underground)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A person is eligible to be appointed as an authorised mine surveyor (underground) if the person holds an authorised mine surveyor’s certificate (grade 1).</w:t>
      </w:r>
    </w:p>
    <w:p>
      <w:pPr>
        <w:pStyle w:val="yHeading5"/>
      </w:pPr>
      <w:bookmarkStart w:id="1309" w:name="_Toc200720813"/>
      <w:r>
        <w:rPr>
          <w:rStyle w:val="CharSClsNo"/>
        </w:rPr>
        <w:t>13</w:t>
      </w:r>
      <w:r>
        <w:t>.</w:t>
      </w:r>
      <w:r>
        <w:tab/>
        <w:t>Winding engine drivers</w:t>
      </w:r>
      <w:bookmarkEnd w:id="1309"/>
    </w:p>
    <w:p>
      <w:pPr>
        <w:pStyle w:val="ySubsection"/>
      </w:pPr>
      <w:r>
        <w:tab/>
        <w:t>(1)</w:t>
      </w:r>
      <w:r>
        <w:tab/>
        <w:t xml:space="preserve">In this clause — </w:t>
      </w:r>
    </w:p>
    <w:p>
      <w:pPr>
        <w:pStyle w:val="yDefstart"/>
      </w:pPr>
      <w:r>
        <w:tab/>
      </w:r>
      <w:r>
        <w:rPr>
          <w:rStyle w:val="CharDefText"/>
        </w:rPr>
        <w:t>class 1 engine</w:t>
      </w:r>
      <w:r>
        <w:t xml:space="preserve"> means a winder for a winding system that has a power input of 75 kW or more;</w:t>
      </w:r>
    </w:p>
    <w:p>
      <w:pPr>
        <w:pStyle w:val="yDefstart"/>
      </w:pPr>
      <w:r>
        <w:tab/>
      </w:r>
      <w:r>
        <w:rPr>
          <w:rStyle w:val="CharDefText"/>
        </w:rPr>
        <w:t>class 2 engine</w:t>
      </w:r>
      <w:r>
        <w:t xml:space="preserve"> means a winder for a winding system that has a power input of less than 75 kW.</w:t>
      </w:r>
    </w:p>
    <w:p>
      <w:pPr>
        <w:pStyle w:val="ySubsection"/>
      </w:pPr>
      <w:r>
        <w:tab/>
        <w:t>(2)</w:t>
      </w:r>
      <w:r>
        <w:tab/>
        <w:t>A winding engine driver must be appointed to operate a winder for a winding system at an underground mine if the winding system lowers and raises persons, material or plant in a mine shaft.</w:t>
      </w:r>
    </w:p>
    <w:p>
      <w:pPr>
        <w:pStyle w:val="ySubsection"/>
      </w:pPr>
      <w:r>
        <w:tab/>
        <w:t>(3)</w:t>
      </w:r>
      <w:r>
        <w:tab/>
        <w:t xml:space="preserve">The function of a winding engine driver is to operate the winder for which they have been appointed. </w:t>
      </w:r>
    </w:p>
    <w:p>
      <w:pPr>
        <w:pStyle w:val="ySubsection"/>
      </w:pPr>
      <w:r>
        <w:tab/>
        <w:t>(4)</w:t>
      </w:r>
      <w:r>
        <w:tab/>
        <w:t xml:space="preserve">A person is eligible to be appointed as a winding engine driver for a class 1 engine at an underground mine if — </w:t>
      </w:r>
    </w:p>
    <w:p>
      <w:pPr>
        <w:pStyle w:val="yIndenta"/>
      </w:pPr>
      <w:r>
        <w:tab/>
        <w:t>(a)</w:t>
      </w:r>
      <w:r>
        <w:tab/>
        <w:t>the person has assisted in operating a class 1 engine for at least 300 hours under the supervision of a winding engine driver eligible to operate a class 1 engine; and</w:t>
      </w:r>
    </w:p>
    <w:p>
      <w:pPr>
        <w:pStyle w:val="yIndenta"/>
      </w:pPr>
      <w:r>
        <w:lastRenderedPageBreak/>
        <w:tab/>
        <w:t>(b)</w:t>
      </w:r>
      <w:r>
        <w:tab/>
        <w:t xml:space="preserve">the person is assessed, in accordance with a system of assessment decided by the mine operator or site senior executive of the mine, as being competent to operate the class 1 engine. </w:t>
      </w:r>
    </w:p>
    <w:p>
      <w:pPr>
        <w:pStyle w:val="ySubsection"/>
      </w:pPr>
      <w:r>
        <w:tab/>
        <w:t>(5)</w:t>
      </w:r>
      <w:r>
        <w:tab/>
        <w:t xml:space="preserve">A person is eligible to be appointed as a winding engine driver for a class 2 engine at an underground mine if — </w:t>
      </w:r>
    </w:p>
    <w:p>
      <w:pPr>
        <w:pStyle w:val="yIndenta"/>
      </w:pPr>
      <w:r>
        <w:tab/>
        <w:t>(a)</w:t>
      </w:r>
      <w:r>
        <w:tab/>
        <w:t>the person has assisted in operating a winder for a winding system for at least 300 hours under the supervision of a winding engine driver eligible to operate a winder; and</w:t>
      </w:r>
    </w:p>
    <w:p>
      <w:pPr>
        <w:pStyle w:val="yIndenta"/>
      </w:pPr>
      <w:r>
        <w:tab/>
        <w:t>(b)</w:t>
      </w:r>
      <w:r>
        <w:tab/>
        <w:t xml:space="preserve">the person is assessed, in accordance with a system of assessment decided by the mine operator or site senior executive of the mine, as being competent to operate the class 2 engine. </w:t>
      </w:r>
    </w:p>
    <w:p>
      <w:pPr>
        <w:pStyle w:val="yHeading5"/>
      </w:pPr>
      <w:bookmarkStart w:id="1310" w:name="_Toc200720814"/>
      <w:r>
        <w:rPr>
          <w:rStyle w:val="CharSClsNo"/>
        </w:rPr>
        <w:t>14</w:t>
      </w:r>
      <w:r>
        <w:t>.</w:t>
      </w:r>
      <w:r>
        <w:tab/>
        <w:t>Quarry managers</w:t>
      </w:r>
      <w:bookmarkEnd w:id="1310"/>
    </w:p>
    <w:p>
      <w:pPr>
        <w:pStyle w:val="ySubsection"/>
      </w:pPr>
      <w:r>
        <w:tab/>
        <w:t>(1)</w:t>
      </w:r>
      <w:r>
        <w:tab/>
        <w:t xml:space="preserve">A quarry manager must be appointed for a mine — </w:t>
      </w:r>
    </w:p>
    <w:p>
      <w:pPr>
        <w:pStyle w:val="yIndenta"/>
      </w:pPr>
      <w:r>
        <w:tab/>
        <w:t>(a)</w:t>
      </w:r>
      <w:r>
        <w:tab/>
        <w:t xml:space="preserve">where quarry operations are carried out; and </w:t>
      </w:r>
    </w:p>
    <w:p>
      <w:pPr>
        <w:pStyle w:val="yIndenta"/>
      </w:pPr>
      <w:r>
        <w:tab/>
        <w:t>(b)</w:t>
      </w:r>
      <w:r>
        <w:tab/>
        <w:t xml:space="preserve">in respect of which a levy is payable under the </w:t>
      </w:r>
      <w:r>
        <w:rPr>
          <w:i/>
        </w:rPr>
        <w:t>Mines Safety and Inspection Act 1994</w:t>
      </w:r>
      <w:r>
        <w:t xml:space="preserve">. </w:t>
      </w:r>
    </w:p>
    <w:p>
      <w:pPr>
        <w:pStyle w:val="PermNoteHeading"/>
      </w:pPr>
      <w:r>
        <w:tab/>
        <w:t>Note for this subclause:</w:t>
      </w:r>
    </w:p>
    <w:p>
      <w:pPr>
        <w:pStyle w:val="PermNoteText"/>
      </w:pPr>
      <w:r>
        <w:tab/>
      </w:r>
      <w:r>
        <w:tab/>
        <w:t>Under regulation 675ZJ(d) if a quarry manager is not required to be appointed under this subclause the site senior executive has the functions of a quarry manager.</w:t>
      </w:r>
    </w:p>
    <w:p>
      <w:pPr>
        <w:pStyle w:val="ySubsection"/>
      </w:pPr>
      <w:r>
        <w:tab/>
        <w:t>(2)</w:t>
      </w:r>
      <w:r>
        <w:tab/>
        <w:t>Quarry managers for a mine have the following functions —</w:t>
      </w:r>
    </w:p>
    <w:p>
      <w:pPr>
        <w:pStyle w:val="yIndenta"/>
      </w:pPr>
      <w:r>
        <w:tab/>
        <w:t>(a)</w:t>
      </w:r>
      <w:r>
        <w:tab/>
        <w:t xml:space="preserve">subject to the direction of the mine operator or site senior executive of the mine, directing and controlling the quarry operations at the mine; </w:t>
      </w:r>
    </w:p>
    <w:p>
      <w:pPr>
        <w:pStyle w:val="yIndenta"/>
      </w:pPr>
      <w:r>
        <w:tab/>
        <w:t>(b)</w:t>
      </w:r>
      <w:r>
        <w:tab/>
        <w:t xml:space="preserve">controlling and supervising the quarry operations at the mine; </w:t>
      </w:r>
    </w:p>
    <w:p>
      <w:pPr>
        <w:pStyle w:val="yIndenta"/>
      </w:pPr>
      <w:r>
        <w:tab/>
        <w:t>(c)</w:t>
      </w:r>
      <w:r>
        <w:tab/>
        <w:t xml:space="preserve">ensuring that every person who is appointed to perform any duty under the Act in the course of quarry operations understands the nature and scope of that duty; </w:t>
      </w:r>
    </w:p>
    <w:p>
      <w:pPr>
        <w:pStyle w:val="yIndenta"/>
      </w:pPr>
      <w:r>
        <w:tab/>
        <w:t>(d)</w:t>
      </w:r>
      <w:r>
        <w:tab/>
        <w:t xml:space="preserve">ensuring that, when engaging in quarry operations, every person, other than the mine operator and site senior executive of the mine and any person acting on behalf of the mine </w:t>
      </w:r>
      <w:r>
        <w:lastRenderedPageBreak/>
        <w:t xml:space="preserve">operator, performs all duties imposed on that person under the Act; </w:t>
      </w:r>
    </w:p>
    <w:p>
      <w:pPr>
        <w:pStyle w:val="yIndenta"/>
      </w:pPr>
      <w:r>
        <w:tab/>
        <w:t>(e)</w:t>
      </w:r>
      <w:r>
        <w:tab/>
        <w:t>assisting the site senior executive of the mine to manage an emergency occurring at the part of the mine where quarry operations are carried out.</w:t>
      </w:r>
    </w:p>
    <w:p>
      <w:pPr>
        <w:pStyle w:val="ySubsection"/>
      </w:pPr>
      <w:r>
        <w:tab/>
        <w:t>(3)</w:t>
      </w:r>
      <w:r>
        <w:tab/>
        <w:t xml:space="preserve">A person is eligible to be appointed as a quarry manager if the person holds — </w:t>
      </w:r>
    </w:p>
    <w:p>
      <w:pPr>
        <w:pStyle w:val="yIndenta"/>
      </w:pPr>
      <w:r>
        <w:tab/>
        <w:t>(a)</w:t>
      </w:r>
      <w:r>
        <w:tab/>
        <w:t xml:space="preserve">for a mine where, on average, more than 25 persons per day carry out quarry operations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 xml:space="preserve">a quarry manager’s certificate; </w:t>
      </w:r>
    </w:p>
    <w:p>
      <w:pPr>
        <w:pStyle w:val="yIndenta"/>
      </w:pPr>
      <w:r>
        <w:tab/>
      </w:r>
      <w:r>
        <w:tab/>
        <w:t>or</w:t>
      </w:r>
    </w:p>
    <w:p>
      <w:pPr>
        <w:pStyle w:val="yIndenta"/>
      </w:pPr>
      <w:r>
        <w:tab/>
        <w:t>(b)</w:t>
      </w:r>
      <w:r>
        <w:tab/>
        <w:t xml:space="preserve">otherwise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a quarry manager’s certificate; or</w:t>
      </w:r>
    </w:p>
    <w:p>
      <w:pPr>
        <w:pStyle w:val="yIndenti0"/>
      </w:pPr>
      <w:r>
        <w:tab/>
        <w:t>(iv)</w:t>
      </w:r>
      <w:r>
        <w:tab/>
        <w:t>a restricted quarry manager’s certificate.</w:t>
      </w:r>
    </w:p>
    <w:p>
      <w:pPr>
        <w:pStyle w:val="yHeading5"/>
      </w:pPr>
      <w:bookmarkStart w:id="1311" w:name="_Toc200720815"/>
      <w:r>
        <w:rPr>
          <w:rStyle w:val="CharSClsNo"/>
        </w:rPr>
        <w:t>15</w:t>
      </w:r>
      <w:r>
        <w:t>.</w:t>
      </w:r>
      <w:r>
        <w:tab/>
        <w:t>Authorised mine surveyors (quarry operation)</w:t>
      </w:r>
      <w:bookmarkEnd w:id="1311"/>
    </w:p>
    <w:p>
      <w:pPr>
        <w:pStyle w:val="ySubsection"/>
      </w:pPr>
      <w:r>
        <w:tab/>
        <w:t>(1)</w:t>
      </w:r>
      <w:r>
        <w:tab/>
        <w:t xml:space="preserve">An authorised mine surveyor (quarry operation) must be appointed for a mine where — </w:t>
      </w:r>
    </w:p>
    <w:p>
      <w:pPr>
        <w:pStyle w:val="yIndenta"/>
      </w:pPr>
      <w:r>
        <w:tab/>
        <w:t>(a)</w:t>
      </w:r>
      <w:r>
        <w:tab/>
        <w:t>quarry operations are carried out; and</w:t>
      </w:r>
    </w:p>
    <w:p>
      <w:pPr>
        <w:pStyle w:val="yIndenta"/>
      </w:pPr>
      <w:r>
        <w:tab/>
        <w:t>(b)</w:t>
      </w:r>
      <w:r>
        <w:tab/>
        <w:t>a mine survey plan must be prepared and maintained under regulation 675S(1).</w:t>
      </w:r>
    </w:p>
    <w:p>
      <w:pPr>
        <w:pStyle w:val="ySubsection"/>
      </w:pPr>
      <w:r>
        <w:tab/>
        <w:t>(2)</w:t>
      </w:r>
      <w:r>
        <w:tab/>
        <w:t>Authorised mine surveyors (quarry operation) for a mine have the following functions —</w:t>
      </w:r>
    </w:p>
    <w:p>
      <w:pPr>
        <w:pStyle w:val="yIndenta"/>
      </w:pPr>
      <w:r>
        <w:tab/>
        <w:t>(a)</w:t>
      </w:r>
      <w:r>
        <w:tab/>
        <w:t xml:space="preserve">conducting surveys and preparing plans required under these regulations; </w:t>
      </w:r>
    </w:p>
    <w:p>
      <w:pPr>
        <w:pStyle w:val="yIndenta"/>
      </w:pPr>
      <w:r>
        <w:lastRenderedPageBreak/>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 xml:space="preserve">A person is eligible to be appointed as an authorised mine surveyor (quarry operation) if the person holds — </w:t>
      </w:r>
    </w:p>
    <w:p>
      <w:pPr>
        <w:pStyle w:val="yIndenta"/>
      </w:pPr>
      <w:r>
        <w:tab/>
        <w:t>(a)</w:t>
      </w:r>
      <w:r>
        <w:tab/>
        <w:t>an authorised mine surveyor’s certificate (grade 1); or</w:t>
      </w:r>
    </w:p>
    <w:p>
      <w:pPr>
        <w:pStyle w:val="yIndenta"/>
      </w:pPr>
      <w:r>
        <w:tab/>
        <w:t>(b)</w:t>
      </w:r>
      <w:r>
        <w:tab/>
        <w:t>an authorised mine surveyor’s certificate (grade 2).</w:t>
      </w:r>
    </w:p>
    <w:p>
      <w:pPr>
        <w:pStyle w:val="yScheduleHeading"/>
      </w:pPr>
      <w:bookmarkStart w:id="1312" w:name="_Toc200720816"/>
      <w:r>
        <w:rPr>
          <w:rStyle w:val="CharSchNo"/>
        </w:rPr>
        <w:lastRenderedPageBreak/>
        <w:t>Schedule 27</w:t>
      </w:r>
      <w:r>
        <w:rPr>
          <w:rStyle w:val="CharSDivNo"/>
        </w:rPr>
        <w:t> </w:t>
      </w:r>
      <w:r>
        <w:t>—</w:t>
      </w:r>
      <w:r>
        <w:rPr>
          <w:rStyle w:val="CharSDivText"/>
        </w:rPr>
        <w:t> </w:t>
      </w:r>
      <w:r>
        <w:rPr>
          <w:rStyle w:val="CharSchText"/>
        </w:rPr>
        <w:t>Statutory certificates</w:t>
      </w:r>
      <w:bookmarkEnd w:id="1312"/>
    </w:p>
    <w:p>
      <w:pPr>
        <w:pStyle w:val="yShoulderClause"/>
      </w:pPr>
      <w:r>
        <w:t>[r. 675ZZA]</w:t>
      </w:r>
    </w:p>
    <w:p>
      <w:pPr>
        <w:pStyle w:val="yHeading5"/>
      </w:pPr>
      <w:bookmarkStart w:id="1313" w:name="_Toc200720817"/>
      <w:r>
        <w:rPr>
          <w:rStyle w:val="CharSClsNo"/>
        </w:rPr>
        <w:t>1</w:t>
      </w:r>
      <w:r>
        <w:t>.</w:t>
      </w:r>
      <w:r>
        <w:tab/>
        <w:t>First class mine manager’s certificates for coal mines</w:t>
      </w:r>
      <w:bookmarkEnd w:id="1313"/>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at the coal face; and</w:t>
      </w:r>
    </w:p>
    <w:p>
      <w:pPr>
        <w:pStyle w:val="yDefpara"/>
      </w:pPr>
      <w:r>
        <w:tab/>
        <w:t>(c)</w:t>
      </w:r>
      <w:r>
        <w:tab/>
        <w:t>mine transport and other services necessary for mining operations to be carried out.</w:t>
      </w:r>
    </w:p>
    <w:p>
      <w:pPr>
        <w:pStyle w:val="ySubsection"/>
      </w:pPr>
      <w:r>
        <w:tab/>
        <w:t>(2)</w:t>
      </w:r>
      <w:r>
        <w:tab/>
        <w:t xml:space="preserve">A person is eligible for a first class mine manager’s certificate for 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w:t>
      </w:r>
      <w:r>
        <w:rPr>
          <w:rStyle w:val="CharSClsNo"/>
        </w:rPr>
        <w:t>(i)</w:t>
      </w:r>
      <w:r>
        <w:t>;</w:t>
      </w:r>
    </w:p>
    <w:p>
      <w:pPr>
        <w:pStyle w:val="yIndenta"/>
      </w:pPr>
      <w:r>
        <w:tab/>
      </w:r>
      <w:r>
        <w:tab/>
        <w:t>and</w:t>
      </w:r>
    </w:p>
    <w:p>
      <w:pPr>
        <w:pStyle w:val="yIndenta"/>
      </w:pPr>
      <w:r>
        <w:tab/>
        <w:t>(c)</w:t>
      </w:r>
      <w:r>
        <w:tab/>
        <w:t>successfully completes an approved WHS risk management unit for a first class mine manager’s certificate for coal mines; and</w:t>
      </w:r>
    </w:p>
    <w:p>
      <w:pPr>
        <w:pStyle w:val="yIndenta"/>
      </w:pPr>
      <w:r>
        <w:tab/>
        <w:t>(d)</w:t>
      </w:r>
      <w:r>
        <w:tab/>
        <w:t>passes an applicable legislation examination for a first class mine manager’s certificate for coal mines; and</w:t>
      </w:r>
    </w:p>
    <w:p>
      <w:pPr>
        <w:pStyle w:val="yIndenta"/>
      </w:pPr>
      <w:r>
        <w:tab/>
        <w:t>(e)</w:t>
      </w:r>
      <w:r>
        <w:tab/>
        <w:t xml:space="preserve">works at — </w:t>
      </w:r>
    </w:p>
    <w:p>
      <w:pPr>
        <w:pStyle w:val="yIndenti0"/>
      </w:pPr>
      <w:r>
        <w:tab/>
        <w:t>(i)</w:t>
      </w:r>
      <w:r>
        <w:tab/>
        <w:t xml:space="preserve">a mine for at least 5 years; and </w:t>
      </w:r>
    </w:p>
    <w:p>
      <w:pPr>
        <w:pStyle w:val="yIndenti0"/>
      </w:pPr>
      <w:r>
        <w:tab/>
        <w:t>(ii)</w:t>
      </w:r>
      <w:r>
        <w:tab/>
        <w:t>an underground coal mine for at least 3 years;</w:t>
      </w:r>
    </w:p>
    <w:p>
      <w:pPr>
        <w:pStyle w:val="yIndenta"/>
      </w:pPr>
      <w:r>
        <w:tab/>
      </w:r>
      <w:r>
        <w:tab/>
        <w:t>and</w:t>
      </w:r>
    </w:p>
    <w:p>
      <w:pPr>
        <w:pStyle w:val="yIndenta"/>
      </w:pPr>
      <w:r>
        <w:tab/>
        <w:t>(f)</w:t>
      </w:r>
      <w:r>
        <w:tab/>
        <w:t xml:space="preserve">while working in an underground coal mine, has experience — </w:t>
      </w:r>
    </w:p>
    <w:p>
      <w:pPr>
        <w:pStyle w:val="yIndenti0"/>
      </w:pPr>
      <w:r>
        <w:tab/>
        <w:t>(i)</w:t>
      </w:r>
      <w:r>
        <w:tab/>
        <w:t>carrying out each relevant activity for at least 3 months; and</w:t>
      </w:r>
    </w:p>
    <w:p>
      <w:pPr>
        <w:pStyle w:val="yIndenti0"/>
      </w:pPr>
      <w:r>
        <w:lastRenderedPageBreak/>
        <w:tab/>
        <w:t>(ii)</w:t>
      </w:r>
      <w:r>
        <w:tab/>
        <w:t>working in mine ventilation, mine planning or mine emergency management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314" w:name="_Toc200720818"/>
      <w:r>
        <w:rPr>
          <w:rStyle w:val="CharSClsNo"/>
        </w:rPr>
        <w:t>2</w:t>
      </w:r>
      <w:r>
        <w:t>.</w:t>
      </w:r>
      <w:r>
        <w:tab/>
        <w:t>First class mine manager’s certificates for non</w:t>
      </w:r>
      <w:r>
        <w:noBreakHyphen/>
        <w:t>coal mines</w:t>
      </w:r>
      <w:bookmarkEnd w:id="1314"/>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in stopes and development faces; and</w:t>
      </w:r>
    </w:p>
    <w:p>
      <w:pPr>
        <w:pStyle w:val="yDefpara"/>
      </w:pPr>
      <w:r>
        <w:tab/>
        <w:t>(c)</w:t>
      </w:r>
      <w:r>
        <w:tab/>
        <w:t>use of explosives; and</w:t>
      </w:r>
    </w:p>
    <w:p>
      <w:pPr>
        <w:pStyle w:val="yDefpara"/>
      </w:pPr>
      <w:r>
        <w:tab/>
        <w:t>(d)</w:t>
      </w:r>
      <w:r>
        <w:tab/>
        <w:t>mine transport and other services necessary for mining operations to be carried out.</w:t>
      </w:r>
    </w:p>
    <w:p>
      <w:pPr>
        <w:pStyle w:val="ySubsection"/>
      </w:pPr>
      <w:r>
        <w:tab/>
        <w:t>(2)</w:t>
      </w:r>
      <w:r>
        <w:tab/>
        <w:t>A person is eligible for a first class mine manager’s certificate for non</w:t>
      </w:r>
      <w:r>
        <w:noBreakHyphen/>
        <w:t xml:space="preserve">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(i);</w:t>
      </w:r>
    </w:p>
    <w:p>
      <w:pPr>
        <w:pStyle w:val="yIndenta"/>
      </w:pPr>
      <w:r>
        <w:tab/>
      </w:r>
      <w:r>
        <w:tab/>
        <w:t>and</w:t>
      </w:r>
    </w:p>
    <w:p>
      <w:pPr>
        <w:pStyle w:val="yIndenta"/>
      </w:pPr>
      <w:r>
        <w:tab/>
        <w:t>(c)</w:t>
      </w:r>
      <w:r>
        <w:tab/>
        <w:t>successfully completes an approved WHS risk management unit for a first class mine manager’s certificate for non</w:t>
      </w:r>
      <w:r>
        <w:noBreakHyphen/>
        <w:t>coal mines; and</w:t>
      </w:r>
    </w:p>
    <w:p>
      <w:pPr>
        <w:pStyle w:val="yIndenta"/>
      </w:pPr>
      <w:r>
        <w:tab/>
        <w:t>(d)</w:t>
      </w:r>
      <w:r>
        <w:tab/>
        <w:t>passes an applicable legislation examination for a first class mine manager’s certificate for non</w:t>
      </w:r>
      <w:r>
        <w:noBreakHyphen/>
        <w:t>coal mines; and</w:t>
      </w:r>
    </w:p>
    <w:p>
      <w:pPr>
        <w:pStyle w:val="yIndenta"/>
      </w:pPr>
      <w:r>
        <w:tab/>
        <w:t>(e)</w:t>
      </w:r>
      <w:r>
        <w:tab/>
        <w:t xml:space="preserve">works at — </w:t>
      </w:r>
    </w:p>
    <w:p>
      <w:pPr>
        <w:pStyle w:val="yIndenti0"/>
      </w:pPr>
      <w:r>
        <w:tab/>
        <w:t>(i)</w:t>
      </w:r>
      <w:r>
        <w:tab/>
        <w:t>a mine for at least 5 years; and</w:t>
      </w:r>
    </w:p>
    <w:p>
      <w:pPr>
        <w:pStyle w:val="yIndenti0"/>
      </w:pPr>
      <w:r>
        <w:tab/>
        <w:t>(ii)</w:t>
      </w:r>
      <w:r>
        <w:tab/>
        <w:t>an underground non</w:t>
      </w:r>
      <w:r>
        <w:noBreakHyphen/>
        <w:t xml:space="preserve">coal mine for at least 3 years; </w:t>
      </w:r>
    </w:p>
    <w:p>
      <w:pPr>
        <w:pStyle w:val="yIndenta"/>
      </w:pPr>
      <w:r>
        <w:tab/>
      </w:r>
      <w:r>
        <w:tab/>
        <w:t>and</w:t>
      </w:r>
    </w:p>
    <w:p>
      <w:pPr>
        <w:pStyle w:val="yIndenta"/>
      </w:pPr>
      <w:r>
        <w:lastRenderedPageBreak/>
        <w:tab/>
        <w:t>(f)</w:t>
      </w:r>
      <w:r>
        <w:tab/>
        <w:t>while working in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working for at least 6 months in mine ventilation, mine planning or mine emergency management;</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315" w:name="_Toc200720819"/>
      <w:r>
        <w:rPr>
          <w:rStyle w:val="CharSClsNo"/>
        </w:rPr>
        <w:t>3</w:t>
      </w:r>
      <w:r>
        <w:t>.</w:t>
      </w:r>
      <w:r>
        <w:tab/>
        <w:t>Quarry manager’s certificates</w:t>
      </w:r>
      <w:bookmarkEnd w:id="1315"/>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quarry manager’s certificate if the person — </w:t>
      </w:r>
    </w:p>
    <w:p>
      <w:pPr>
        <w:pStyle w:val="yIndenta"/>
      </w:pPr>
      <w:r>
        <w:tab/>
        <w:t>(a)</w:t>
      </w:r>
      <w:r>
        <w:tab/>
        <w:t>reaches 24 years of age; and</w:t>
      </w:r>
    </w:p>
    <w:p>
      <w:pPr>
        <w:pStyle w:val="yIndenta"/>
      </w:pPr>
      <w:r>
        <w:tab/>
        <w:t>(b)</w:t>
      </w:r>
      <w:r>
        <w:tab/>
        <w:t xml:space="preserve">holds — </w:t>
      </w:r>
    </w:p>
    <w:p>
      <w:pPr>
        <w:pStyle w:val="yIndenti0"/>
      </w:pPr>
      <w:r>
        <w:tab/>
        <w:t>(i)</w:t>
      </w:r>
      <w:r>
        <w:tab/>
        <w:t>a degree in engineering from an Australian university in a discipline approved for the certificate by the Mining Competence Advisory Committee; or</w:t>
      </w:r>
    </w:p>
    <w:p>
      <w:pPr>
        <w:pStyle w:val="yIndenti0"/>
      </w:pPr>
      <w:r>
        <w:tab/>
        <w:t>(ii)</w:t>
      </w:r>
      <w:r>
        <w:tab/>
        <w:t>a diploma in mining from a TAFE; or</w:t>
      </w:r>
    </w:p>
    <w:p>
      <w:pPr>
        <w:pStyle w:val="yIndenti0"/>
      </w:pPr>
      <w:r>
        <w:tab/>
        <w:t>(iii)</w:t>
      </w:r>
      <w:r>
        <w:tab/>
        <w:t>a degree or diploma in geology or in earth sciences from an Australian university or TAFE that is approved by the Mining Competence Advisory Committee; or</w:t>
      </w:r>
    </w:p>
    <w:p>
      <w:pPr>
        <w:pStyle w:val="yIndenti0"/>
      </w:pPr>
      <w:r>
        <w:tab/>
        <w:t>(iv)</w:t>
      </w:r>
      <w:r>
        <w:tab/>
        <w:t>a qualification approved by the Mining Competence Advisory Committee to be equivalent to the degree or diploma mentioned in subparagraph (i), (ii) or (iii);</w:t>
      </w:r>
    </w:p>
    <w:p>
      <w:pPr>
        <w:pStyle w:val="yIndenta"/>
      </w:pPr>
      <w:r>
        <w:tab/>
      </w:r>
      <w:r>
        <w:tab/>
        <w:t>and</w:t>
      </w:r>
    </w:p>
    <w:p>
      <w:pPr>
        <w:pStyle w:val="yIndenta"/>
      </w:pPr>
      <w:r>
        <w:tab/>
        <w:t>(c)</w:t>
      </w:r>
      <w:r>
        <w:tab/>
        <w:t>successfully completes an approved WHS risk management unit for a quarry manager’s certificate; and</w:t>
      </w:r>
    </w:p>
    <w:p>
      <w:pPr>
        <w:pStyle w:val="yIndenta"/>
      </w:pPr>
      <w:r>
        <w:lastRenderedPageBreak/>
        <w:tab/>
        <w:t>(d)</w:t>
      </w:r>
      <w:r>
        <w:tab/>
        <w:t>passes an applicable legislation examination for a quarry manager’s certificate; and</w:t>
      </w:r>
    </w:p>
    <w:p>
      <w:pPr>
        <w:pStyle w:val="yIndenta"/>
      </w:pPr>
      <w:r>
        <w:tab/>
        <w:t xml:space="preserve">(e) </w:t>
      </w:r>
      <w:r>
        <w:tab/>
        <w:t>works for at least 2 years at a mine where quarry operations are carried out; and</w:t>
      </w:r>
    </w:p>
    <w:p>
      <w:pPr>
        <w:pStyle w:val="yIndenta"/>
      </w:pPr>
      <w:r>
        <w:tab/>
        <w:t>(f)</w:t>
      </w:r>
      <w:r>
        <w:tab/>
        <w:t xml:space="preserve">while working at a mine where quarry operations are carried out, has experience — </w:t>
      </w:r>
    </w:p>
    <w:p>
      <w:pPr>
        <w:pStyle w:val="yIndenti0"/>
      </w:pPr>
      <w:r>
        <w:tab/>
        <w:t>(i)</w:t>
      </w:r>
      <w:r>
        <w:tab/>
        <w:t xml:space="preserve">carrying out each relevant activity in relation to quarry operations for at least 3 months; and </w:t>
      </w:r>
    </w:p>
    <w:p>
      <w:pPr>
        <w:pStyle w:val="yIndenti0"/>
      </w:pPr>
      <w:r>
        <w:tab/>
        <w:t>(ii)</w:t>
      </w:r>
      <w:r>
        <w:tab/>
        <w:t>working in managing ground stability, mine planning or mine emergency management in relation to quarry operations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316" w:name="_Toc200720820"/>
      <w:r>
        <w:rPr>
          <w:rStyle w:val="CharSClsNo"/>
        </w:rPr>
        <w:t>4</w:t>
      </w:r>
      <w:r>
        <w:t>.</w:t>
      </w:r>
      <w:r>
        <w:tab/>
        <w:t>Underground supervisor’s certificates</w:t>
      </w:r>
      <w:bookmarkEnd w:id="1316"/>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use of explosives at stopes and development faces; and</w:t>
      </w:r>
    </w:p>
    <w:p>
      <w:pPr>
        <w:pStyle w:val="yDefpara"/>
      </w:pPr>
      <w:r>
        <w:tab/>
        <w:t>(c)</w:t>
      </w:r>
      <w:r>
        <w:tab/>
        <w:t>mine transport and services;</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an underground supervisor’s certificate if the person — </w:t>
      </w:r>
    </w:p>
    <w:p>
      <w:pPr>
        <w:pStyle w:val="yIndenta"/>
      </w:pPr>
      <w:r>
        <w:tab/>
        <w:t>(a)</w:t>
      </w:r>
      <w:r>
        <w:tab/>
        <w:t>reaches 23 years of age; and</w:t>
      </w:r>
    </w:p>
    <w:p>
      <w:pPr>
        <w:pStyle w:val="yIndenta"/>
        <w:keepNext/>
      </w:pPr>
      <w:r>
        <w:lastRenderedPageBreak/>
        <w:tab/>
        <w:t>(b)</w:t>
      </w:r>
      <w:r>
        <w:tab/>
        <w:t xml:space="preserve">for a person who holds a relevant qualification — </w:t>
      </w:r>
    </w:p>
    <w:p>
      <w:pPr>
        <w:pStyle w:val="yIndenti0"/>
      </w:pPr>
      <w:r>
        <w:tab/>
        <w:t>(i)</w:t>
      </w:r>
      <w:r>
        <w:tab/>
        <w:t>passes an applicable legislation examination for an underground supervisor’s certificate; and</w:t>
      </w:r>
    </w:p>
    <w:p>
      <w:pPr>
        <w:pStyle w:val="yIndenti0"/>
      </w:pPr>
      <w:r>
        <w:tab/>
        <w:t>(ii)</w:t>
      </w:r>
      <w:r>
        <w:tab/>
        <w:t xml:space="preserve">works at an underground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an underground supervisor’s certificate; and </w:t>
      </w:r>
    </w:p>
    <w:p>
      <w:pPr>
        <w:pStyle w:val="yIndenti0"/>
      </w:pPr>
      <w:r>
        <w:tab/>
        <w:t>(ii)</w:t>
      </w:r>
      <w:r>
        <w:tab/>
        <w:t>passes an applicable legislation examination for an underground supervisor’s certificate; and</w:t>
      </w:r>
    </w:p>
    <w:p>
      <w:pPr>
        <w:pStyle w:val="yIndenti0"/>
      </w:pPr>
      <w:r>
        <w:tab/>
        <w:t>(iii)</w:t>
      </w:r>
      <w:r>
        <w:tab/>
        <w:t xml:space="preserve">works at an underground mine for at least 5 years; </w:t>
      </w:r>
    </w:p>
    <w:p>
      <w:pPr>
        <w:pStyle w:val="yIndenta"/>
      </w:pPr>
      <w:r>
        <w:tab/>
      </w:r>
      <w:r>
        <w:tab/>
        <w:t>and</w:t>
      </w:r>
    </w:p>
    <w:p>
      <w:pPr>
        <w:pStyle w:val="yIndenta"/>
      </w:pPr>
      <w:r>
        <w:tab/>
        <w:t>(d)</w:t>
      </w:r>
      <w:r>
        <w:tab/>
        <w:t>while working at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an underground supervisor’s certificate; and</w:t>
      </w:r>
    </w:p>
    <w:p>
      <w:pPr>
        <w:pStyle w:val="yIndenta"/>
      </w:pPr>
      <w:r>
        <w:tab/>
        <w:t>(f)</w:t>
      </w:r>
      <w:r>
        <w:tab/>
        <w:t>is of good character; and</w:t>
      </w:r>
    </w:p>
    <w:p>
      <w:pPr>
        <w:pStyle w:val="yIndenta"/>
      </w:pPr>
      <w:r>
        <w:tab/>
        <w:t>(g)</w:t>
      </w:r>
      <w:r>
        <w:tab/>
        <w:t>receives first aid training.</w:t>
      </w:r>
    </w:p>
    <w:p>
      <w:pPr>
        <w:pStyle w:val="yHeading5"/>
      </w:pPr>
      <w:bookmarkStart w:id="1317" w:name="_Toc200720821"/>
      <w:r>
        <w:rPr>
          <w:rStyle w:val="CharSClsNo"/>
        </w:rPr>
        <w:t>5</w:t>
      </w:r>
      <w:r>
        <w:t>.</w:t>
      </w:r>
      <w:r>
        <w:tab/>
        <w:t>Deputy’s certificates for underground coal mines</w:t>
      </w:r>
      <w:bookmarkEnd w:id="1317"/>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production activities at the coal face;</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lastRenderedPageBreak/>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 deputy’s certificate for underground coal mines if the person — </w:t>
      </w:r>
    </w:p>
    <w:p>
      <w:pPr>
        <w:pStyle w:val="yIndenta"/>
      </w:pPr>
      <w:r>
        <w:tab/>
        <w:t>(a)</w:t>
      </w:r>
      <w:r>
        <w:tab/>
        <w:t>reaches 23 years of age; and</w:t>
      </w:r>
    </w:p>
    <w:p>
      <w:pPr>
        <w:pStyle w:val="yIndenta"/>
      </w:pPr>
      <w:r>
        <w:tab/>
        <w:t>(b)</w:t>
      </w:r>
      <w:r>
        <w:tab/>
        <w:t xml:space="preserve">for a person who holds a relevant qualification — </w:t>
      </w:r>
    </w:p>
    <w:p>
      <w:pPr>
        <w:pStyle w:val="yIndenti0"/>
      </w:pPr>
      <w:r>
        <w:tab/>
        <w:t>(i)</w:t>
      </w:r>
      <w:r>
        <w:tab/>
        <w:t>passes an applicable legislation examination for a deputy’s certificate for underground coal mines; and</w:t>
      </w:r>
    </w:p>
    <w:p>
      <w:pPr>
        <w:pStyle w:val="yIndenti0"/>
      </w:pPr>
      <w:r>
        <w:tab/>
        <w:t>(ii)</w:t>
      </w:r>
      <w:r>
        <w:tab/>
        <w:t xml:space="preserve">works at an underground coal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 deputy’s certificate for underground coal mines; and </w:t>
      </w:r>
    </w:p>
    <w:p>
      <w:pPr>
        <w:pStyle w:val="yIndenti0"/>
      </w:pPr>
      <w:r>
        <w:tab/>
        <w:t>(ii)</w:t>
      </w:r>
      <w:r>
        <w:tab/>
        <w:t>passes an applicable legislation examination for a deputy’s certificate for underground coal mines; and</w:t>
      </w:r>
    </w:p>
    <w:p>
      <w:pPr>
        <w:pStyle w:val="yIndenti0"/>
      </w:pPr>
      <w:r>
        <w:tab/>
        <w:t>(iii)</w:t>
      </w:r>
      <w:r>
        <w:tab/>
        <w:t xml:space="preserve">works at an underground coal mine for at least 5 years; </w:t>
      </w:r>
    </w:p>
    <w:p>
      <w:pPr>
        <w:pStyle w:val="yIndenta"/>
      </w:pPr>
      <w:r>
        <w:tab/>
      </w:r>
      <w:r>
        <w:tab/>
        <w:t>and</w:t>
      </w:r>
    </w:p>
    <w:p>
      <w:pPr>
        <w:pStyle w:val="yIndenta"/>
      </w:pPr>
      <w:r>
        <w:tab/>
        <w:t>(d)</w:t>
      </w:r>
      <w:r>
        <w:tab/>
        <w:t xml:space="preserve">while working at an underground 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 deputy’s certificate for underground coal mines; and</w:t>
      </w:r>
    </w:p>
    <w:p>
      <w:pPr>
        <w:pStyle w:val="yIndenta"/>
      </w:pPr>
      <w:r>
        <w:tab/>
        <w:t>(f)</w:t>
      </w:r>
      <w:r>
        <w:tab/>
        <w:t>is of good character; and</w:t>
      </w:r>
    </w:p>
    <w:p>
      <w:pPr>
        <w:pStyle w:val="yIndenta"/>
      </w:pPr>
      <w:r>
        <w:tab/>
        <w:t>(g)</w:t>
      </w:r>
      <w:r>
        <w:tab/>
        <w:t>receives first aid training.</w:t>
      </w:r>
    </w:p>
    <w:p>
      <w:pPr>
        <w:pStyle w:val="yHeading5"/>
      </w:pPr>
      <w:bookmarkStart w:id="1318" w:name="_Toc200720822"/>
      <w:r>
        <w:rPr>
          <w:rStyle w:val="CharSClsNo"/>
        </w:rPr>
        <w:lastRenderedPageBreak/>
        <w:t>6</w:t>
      </w:r>
      <w:r>
        <w:t>.</w:t>
      </w:r>
      <w:r>
        <w:tab/>
        <w:t>Restricted quarry manager’s certificates</w:t>
      </w:r>
      <w:bookmarkEnd w:id="1318"/>
      <w:r>
        <w:t xml:space="preserve"> </w:t>
      </w:r>
    </w:p>
    <w:p>
      <w:pPr>
        <w:pStyle w:val="yEdnotesubsection"/>
      </w:pPr>
      <w:r>
        <w:tab/>
        <w:t>[(1)</w:t>
      </w:r>
      <w:r>
        <w:tab/>
        <w:t>deleted]</w:t>
      </w:r>
    </w:p>
    <w:p>
      <w:pPr>
        <w:pStyle w:val="ySubsection"/>
      </w:pPr>
      <w:r>
        <w:tab/>
        <w:t>(2)</w:t>
      </w:r>
      <w:r>
        <w:tab/>
        <w:t xml:space="preserve">A person is eligible for a restricted quarry manager’s certificate if the person — </w:t>
      </w:r>
    </w:p>
    <w:p>
      <w:pPr>
        <w:pStyle w:val="yIndenta"/>
      </w:pPr>
      <w:r>
        <w:tab/>
        <w:t>(a)</w:t>
      </w:r>
      <w:r>
        <w:tab/>
        <w:t>reaches 21 years of age; and</w:t>
      </w:r>
    </w:p>
    <w:p>
      <w:pPr>
        <w:pStyle w:val="yIndenta"/>
      </w:pPr>
      <w:r>
        <w:tab/>
        <w:t>(b)</w:t>
      </w:r>
      <w:r>
        <w:tab/>
        <w:t>passes a mining practice examination and an applicable legislation examination for a restricted quarry manager’s certificate; and</w:t>
      </w:r>
    </w:p>
    <w:p>
      <w:pPr>
        <w:pStyle w:val="yIndenta"/>
      </w:pPr>
      <w:r>
        <w:tab/>
        <w:t>(c)</w:t>
      </w:r>
      <w:r>
        <w:tab/>
        <w:t>works for at least 2 years at a mine where quarry operations are carried out; and</w:t>
      </w:r>
    </w:p>
    <w:p>
      <w:pPr>
        <w:pStyle w:val="yIndenta"/>
      </w:pPr>
      <w:r>
        <w:tab/>
        <w:t>(d)</w:t>
      </w:r>
      <w:r>
        <w:tab/>
        <w:t xml:space="preserve">while working at a mine where quarry operations are carried out, has experience — </w:t>
      </w:r>
    </w:p>
    <w:p>
      <w:pPr>
        <w:pStyle w:val="yIndenti0"/>
      </w:pPr>
      <w:r>
        <w:tab/>
        <w:t>(i)</w:t>
      </w:r>
      <w:r>
        <w:tab/>
        <w:t>carrying out mine transport and services in relation to quarry operations for at least 3 months; and</w:t>
      </w:r>
    </w:p>
    <w:p>
      <w:pPr>
        <w:pStyle w:val="yIndenti0"/>
      </w:pPr>
      <w:r>
        <w:tab/>
        <w:t>(ia)</w:t>
      </w:r>
      <w:r>
        <w:tab/>
        <w:t>if the person will work at a mine where drilling and use of explosives is carried out at the mine — carrying out drilling and use of explosives in relation to quarry operations for at least 3 months; and</w:t>
      </w:r>
    </w:p>
    <w:p>
      <w:pPr>
        <w:pStyle w:val="yIndenti0"/>
      </w:pPr>
      <w:r>
        <w:tab/>
        <w:t>(ii)</w:t>
      </w:r>
      <w:r>
        <w:tab/>
        <w:t xml:space="preserve">working for at least 6 months in managing ground stability, mine planning or mine emergency management in relation to quarry operations; </w:t>
      </w:r>
    </w:p>
    <w:p>
      <w:pPr>
        <w:pStyle w:val="yIndenta"/>
      </w:pPr>
      <w:r>
        <w:tab/>
      </w:r>
      <w:r>
        <w:tab/>
        <w:t>and</w:t>
      </w:r>
    </w:p>
    <w:p>
      <w:pPr>
        <w:pStyle w:val="yIndenta"/>
      </w:pPr>
      <w:r>
        <w:tab/>
        <w:t>(e)</w:t>
      </w:r>
      <w:r>
        <w:tab/>
        <w:t>successfully completes an approved WHS risk management unit for a restricted quarry manager’s certificate; and</w:t>
      </w:r>
    </w:p>
    <w:p>
      <w:pPr>
        <w:pStyle w:val="yIndenta"/>
      </w:pPr>
      <w:r>
        <w:tab/>
        <w:t>(f)</w:t>
      </w:r>
      <w:r>
        <w:tab/>
        <w:t>is of good character; and</w:t>
      </w:r>
    </w:p>
    <w:p>
      <w:pPr>
        <w:pStyle w:val="yIndenta"/>
      </w:pPr>
      <w:r>
        <w:tab/>
        <w:t>(g)</w:t>
      </w:r>
      <w:r>
        <w:tab/>
        <w:t>receives first aid training.</w:t>
      </w:r>
    </w:p>
    <w:p>
      <w:pPr>
        <w:pStyle w:val="yFootnotesection"/>
      </w:pPr>
      <w:r>
        <w:tab/>
        <w:t>[Clause 6 amended: SL 2023/134 r. 21.]</w:t>
      </w:r>
    </w:p>
    <w:p>
      <w:pPr>
        <w:pStyle w:val="yHeading5"/>
      </w:pPr>
      <w:bookmarkStart w:id="1319" w:name="_Toc200720823"/>
      <w:r>
        <w:rPr>
          <w:rStyle w:val="CharSClsNo"/>
        </w:rPr>
        <w:t>7</w:t>
      </w:r>
      <w:r>
        <w:t>.</w:t>
      </w:r>
      <w:r>
        <w:tab/>
        <w:t>Authorised mine surveyor’s certificate (grade 1)</w:t>
      </w:r>
      <w:bookmarkEnd w:id="1319"/>
    </w:p>
    <w:p>
      <w:pPr>
        <w:pStyle w:val="ySubsection"/>
      </w:pPr>
      <w:r>
        <w:tab/>
        <w:t>(1)</w:t>
      </w:r>
      <w:r>
        <w:tab/>
        <w:t xml:space="preserve">A person is eligible for an authorised mine surveyor’s certificate (grade 1) if the person — </w:t>
      </w:r>
    </w:p>
    <w:p>
      <w:pPr>
        <w:pStyle w:val="yIndenta"/>
      </w:pPr>
      <w:r>
        <w:tab/>
        <w:t>(a)</w:t>
      </w:r>
      <w:r>
        <w:tab/>
        <w:t xml:space="preserve">holds — </w:t>
      </w:r>
    </w:p>
    <w:p>
      <w:pPr>
        <w:pStyle w:val="yIndenti0"/>
      </w:pPr>
      <w:r>
        <w:tab/>
        <w:t>(i)</w:t>
      </w:r>
      <w:r>
        <w:tab/>
        <w:t xml:space="preserve">a degree or diploma in mine surveying technology from an Australian university that includes 2 units in </w:t>
      </w:r>
      <w:r>
        <w:lastRenderedPageBreak/>
        <w:t>mining and 1 unit in structural geology or engineering geology; or</w:t>
      </w:r>
    </w:p>
    <w:p>
      <w:pPr>
        <w:pStyle w:val="yIndenti0"/>
      </w:pPr>
      <w:r>
        <w:tab/>
        <w:t>(ii)</w:t>
      </w:r>
      <w:r>
        <w:tab/>
        <w:t>a 3</w:t>
      </w:r>
      <w:r>
        <w:noBreakHyphen/>
        <w:t>year diploma of mine surveying from a TAFE that includes 2 units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underground surveys at a mine under the supervision of a surveyor for at least 2 years; and </w:t>
      </w:r>
    </w:p>
    <w:p>
      <w:pPr>
        <w:pStyle w:val="yIndenta"/>
      </w:pPr>
      <w:r>
        <w:tab/>
        <w:t>(c)</w:t>
      </w:r>
      <w:r>
        <w:tab/>
        <w:t>passes a mining practice examination and an applicable legislation examination for an authorised mine surveyor’s certificate (grade 1);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2 units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yHeading5"/>
      </w:pPr>
      <w:bookmarkStart w:id="1320" w:name="_Toc200720824"/>
      <w:r>
        <w:rPr>
          <w:rStyle w:val="CharSClsNo"/>
        </w:rPr>
        <w:t>8</w:t>
      </w:r>
      <w:r>
        <w:t>.</w:t>
      </w:r>
      <w:r>
        <w:tab/>
        <w:t>Authorised mine surveyor’s certificate (grade 2)</w:t>
      </w:r>
      <w:bookmarkEnd w:id="1320"/>
    </w:p>
    <w:p>
      <w:pPr>
        <w:pStyle w:val="ySubsection"/>
      </w:pPr>
      <w:r>
        <w:tab/>
        <w:t>(1)</w:t>
      </w:r>
      <w:r>
        <w:tab/>
        <w:t>A person is eligible for an authorised mine surveyor’s certificate (grade 2) if the person —</w:t>
      </w:r>
    </w:p>
    <w:p>
      <w:pPr>
        <w:pStyle w:val="yIndenta"/>
      </w:pPr>
      <w:r>
        <w:tab/>
        <w:t>(a)</w:t>
      </w:r>
      <w:r>
        <w:tab/>
        <w:t xml:space="preserve">holds — </w:t>
      </w:r>
    </w:p>
    <w:p>
      <w:pPr>
        <w:pStyle w:val="yIndenti0"/>
      </w:pPr>
      <w:r>
        <w:tab/>
        <w:t>(i)</w:t>
      </w:r>
      <w:r>
        <w:tab/>
        <w:t>a degree or diploma in mine surveying technology from an Australian university that includes 1 unit in mining and 1 unit in structural geology or engineering geology; or</w:t>
      </w:r>
    </w:p>
    <w:p>
      <w:pPr>
        <w:pStyle w:val="yIndenti0"/>
      </w:pPr>
      <w:r>
        <w:tab/>
        <w:t>(ii)</w:t>
      </w:r>
      <w:r>
        <w:tab/>
        <w:t>a 3</w:t>
      </w:r>
      <w:r>
        <w:noBreakHyphen/>
        <w:t>year diploma of mine surveying from a TAFE that includes 1 unit in mining and 1 unit in structural geology or engineering geology; or</w:t>
      </w:r>
    </w:p>
    <w:p>
      <w:pPr>
        <w:pStyle w:val="yIndenti0"/>
      </w:pPr>
      <w:r>
        <w:lastRenderedPageBreak/>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surveys in relation to quarry operations at a mine under the supervision of a surveyor for at least 2 years; and </w:t>
      </w:r>
    </w:p>
    <w:p>
      <w:pPr>
        <w:pStyle w:val="yIndenta"/>
      </w:pPr>
      <w:r>
        <w:tab/>
        <w:t>(c)</w:t>
      </w:r>
      <w:r>
        <w:tab/>
        <w:t>passes a mining practice examination and an applicable legislation examination for an authorised mine surveyor’s certificate (grade 2);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1 unit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5"/>
          <w:headerReference w:type="default" r:id="rId36"/>
          <w:pgSz w:w="11907" w:h="16840" w:code="9"/>
          <w:pgMar w:top="2381" w:right="2410" w:bottom="3544" w:left="2410" w:header="720" w:footer="3544" w:gutter="0"/>
          <w:cols w:space="720"/>
        </w:sectPr>
      </w:pPr>
    </w:p>
    <w:p>
      <w:pPr>
        <w:pStyle w:val="nHeading2"/>
      </w:pPr>
      <w:bookmarkStart w:id="1322" w:name="_Toc200720825"/>
      <w:r>
        <w:lastRenderedPageBreak/>
        <w:t>Notes</w:t>
      </w:r>
      <w:bookmarkEnd w:id="1322"/>
    </w:p>
    <w:p>
      <w:pPr>
        <w:pStyle w:val="nStatement"/>
      </w:pPr>
      <w:r>
        <w:t xml:space="preserve">This is a compilation of the </w:t>
      </w:r>
      <w:r>
        <w:rPr>
          <w:i/>
          <w:noProof/>
        </w:rPr>
        <w:t>Work Health and Safety (Mines)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323" w:name="_Toc200720826"/>
      <w:r>
        <w:t>Compilation table</w:t>
      </w:r>
      <w:bookmarkEnd w:id="132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 xml:space="preserve">Work Health and Safety (Mines) Regulations 2022 </w:t>
            </w:r>
            <w:r>
              <w:rPr>
                <w:spacing w:val="-2"/>
              </w:rPr>
              <w:t>(other than r. </w:t>
            </w:r>
            <w:r>
              <w:t>58)</w:t>
            </w:r>
          </w:p>
        </w:tc>
        <w:tc>
          <w:tcPr>
            <w:tcW w:w="1276" w:type="dxa"/>
            <w:tcBorders>
              <w:bottom w:val="nil"/>
            </w:tcBorders>
          </w:tcPr>
          <w:p>
            <w:pPr>
              <w:pStyle w:val="nTable"/>
              <w:spacing w:after="40"/>
            </w:pPr>
            <w:r>
              <w:t>SL 2022/32 11 Mar 2022</w:t>
            </w:r>
          </w:p>
        </w:tc>
        <w:tc>
          <w:tcPr>
            <w:tcW w:w="2693" w:type="dxa"/>
            <w:tcBorders>
              <w:bottom w:val="nil"/>
            </w:tcBorders>
          </w:tcPr>
          <w:p>
            <w:pPr>
              <w:pStyle w:val="nTable"/>
              <w:spacing w:after="40"/>
            </w:pPr>
            <w:r>
              <w:t xml:space="preserve">Regulations </w:t>
            </w:r>
            <w:r>
              <w:rPr>
                <w:spacing w:val="-2"/>
              </w:rPr>
              <w:t>other than r. </w:t>
            </w:r>
            <w:r>
              <w:t>58, 460(1), 473(2A), 475(2A), 477(1A) and 489(2): 31 Mar 2022 (see r. 2(a) and SL 2022/18 cl. 2);</w:t>
            </w:r>
            <w:r>
              <w:br/>
              <w:t>r. 460(1), 473(2A), 475(2A), 477(1A) and 489(2): 31 Mar 2023 (see r. 2(c))</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3</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noProof/>
              </w:rPr>
              <w:t>Work Health and Safety Regulations Amendment Regulations 2023</w:t>
            </w:r>
            <w:r>
              <w:rPr>
                <w:noProof/>
              </w:rPr>
              <w:t xml:space="preserve"> Pt. 3</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single" w:sz="4" w:space="0" w:color="auto"/>
            </w:tcBorders>
          </w:tcPr>
          <w:p>
            <w:pPr>
              <w:pStyle w:val="nTable"/>
              <w:spacing w:after="40"/>
              <w:rPr>
                <w:i/>
                <w:noProof/>
              </w:rPr>
            </w:pPr>
            <w:r>
              <w:rPr>
                <w:i/>
              </w:rPr>
              <w:t xml:space="preserve">Work Health and Safety Regulations Amendment Regulations (No. 2) 2023 </w:t>
            </w:r>
            <w:r>
              <w:t>Pt. 3</w:t>
            </w:r>
          </w:p>
        </w:tc>
        <w:tc>
          <w:tcPr>
            <w:tcW w:w="1276" w:type="dxa"/>
            <w:tcBorders>
              <w:top w:val="nil"/>
              <w:bottom w:val="single" w:sz="4" w:space="0" w:color="auto"/>
            </w:tcBorders>
          </w:tcPr>
          <w:p>
            <w:pPr>
              <w:pStyle w:val="nTable"/>
              <w:spacing w:after="40"/>
            </w:pPr>
            <w:r>
              <w:t>SL 2023/134 9 Aug 2023</w:t>
            </w:r>
          </w:p>
        </w:tc>
        <w:tc>
          <w:tcPr>
            <w:tcW w:w="2693" w:type="dxa"/>
            <w:tcBorders>
              <w:top w:val="nil"/>
              <w:bottom w:val="single" w:sz="4" w:space="0" w:color="auto"/>
            </w:tcBorders>
          </w:tcPr>
          <w:p>
            <w:pPr>
              <w:pStyle w:val="nTable"/>
              <w:spacing w:after="40"/>
            </w:pPr>
            <w:r>
              <w:t>10 Aug 2023 (see r. 2(b))</w:t>
            </w:r>
          </w:p>
        </w:tc>
      </w:tr>
    </w:tbl>
    <w:p>
      <w:pPr>
        <w:pStyle w:val="nHeading3"/>
      </w:pPr>
      <w:bookmarkStart w:id="1324" w:name="_Toc200720827"/>
      <w:r>
        <w:t>Uncommenced provisions table</w:t>
      </w:r>
      <w:bookmarkEnd w:id="132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Work Health and Safety (Mines) Regulations 2022 </w:t>
            </w:r>
            <w:r>
              <w:rPr>
                <w:spacing w:val="-2"/>
              </w:rPr>
              <w:t>r. </w:t>
            </w:r>
            <w:r>
              <w:t>58</w:t>
            </w:r>
          </w:p>
        </w:tc>
        <w:tc>
          <w:tcPr>
            <w:tcW w:w="1276" w:type="dxa"/>
          </w:tcPr>
          <w:p>
            <w:pPr>
              <w:pStyle w:val="nTable"/>
              <w:spacing w:after="40"/>
            </w:pPr>
            <w:r>
              <w:t>SL 2022/32 11 Mar 2022</w:t>
            </w:r>
          </w:p>
        </w:tc>
        <w:tc>
          <w:tcPr>
            <w:tcW w:w="2693" w:type="dxa"/>
          </w:tcPr>
          <w:p>
            <w:pPr>
              <w:pStyle w:val="nTable"/>
              <w:spacing w:after="40"/>
            </w:pPr>
            <w:r>
              <w:t>31 Mar 2024 (see r. 2(b))</w:t>
            </w:r>
          </w:p>
        </w:tc>
      </w:tr>
    </w:tbl>
    <w:p/>
    <w:p>
      <w:pPr>
        <w:sectPr>
          <w:headerReference w:type="even" r:id="rId37"/>
          <w:headerReference w:type="default" r:id="rId38"/>
          <w:pgSz w:w="11907" w:h="16840" w:code="9"/>
          <w:pgMar w:top="2376" w:right="2404" w:bottom="3544" w:left="2404" w:header="720" w:footer="3544" w:gutter="0"/>
          <w:cols w:space="720"/>
          <w:noEndnote/>
          <w:docGrid w:linePitch="326"/>
        </w:sectPr>
      </w:pPr>
    </w:p>
    <w:p>
      <w:pPr>
        <w:pStyle w:val="nHeading2"/>
        <w:rPr>
          <w:sz w:val="28"/>
        </w:rPr>
      </w:pPr>
      <w:bookmarkStart w:id="1326" w:name="_Toc200720828"/>
      <w:r>
        <w:rPr>
          <w:sz w:val="28"/>
        </w:rPr>
        <w:lastRenderedPageBreak/>
        <w:t>Defined terms</w:t>
      </w:r>
      <w:bookmarkEnd w:id="13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ACD</w:t>
      </w:r>
      <w:r>
        <w:tab/>
        <w:t>5</w:t>
      </w:r>
    </w:p>
    <w:p>
      <w:pPr>
        <w:pStyle w:val="DefinedTerms"/>
      </w:pPr>
      <w:r>
        <w:t>ACM</w:t>
      </w:r>
      <w:r>
        <w:tab/>
        <w:t>5</w:t>
      </w:r>
    </w:p>
    <w:p>
      <w:pPr>
        <w:pStyle w:val="DefinedTerms"/>
      </w:pPr>
      <w:r>
        <w:t>additional mining operation</w:t>
      </w:r>
      <w:r>
        <w:tab/>
        <w:t>675UD(1)</w:t>
      </w:r>
    </w:p>
    <w:p>
      <w:pPr>
        <w:pStyle w:val="DefinedTerms"/>
      </w:pPr>
      <w:r>
        <w:t>additional operations notice</w:t>
      </w:r>
      <w:r>
        <w:tab/>
        <w:t>675UD(2)</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alternate</w:t>
      </w:r>
      <w:r>
        <w:tab/>
        <w:t>5</w:t>
      </w:r>
    </w:p>
    <w:p>
      <w:pPr>
        <w:pStyle w:val="DefinedTerms"/>
      </w:pPr>
      <w:r>
        <w:t>applicable legislation examination</w:t>
      </w:r>
      <w:r>
        <w:tab/>
        <w:t>5</w:t>
      </w:r>
    </w:p>
    <w:p>
      <w:pPr>
        <w:pStyle w:val="DefinedTerms"/>
      </w:pPr>
      <w:r>
        <w:t>applicant</w:t>
      </w:r>
      <w:r>
        <w:tab/>
        <w:t>675ZZ</w:t>
      </w:r>
    </w:p>
    <w:p>
      <w:pPr>
        <w:pStyle w:val="DefinedTerms"/>
      </w:pPr>
      <w:r>
        <w:t>appointed member</w:t>
      </w:r>
      <w:r>
        <w:tab/>
        <w:t>698A</w:t>
      </w:r>
    </w:p>
    <w:p>
      <w:pPr>
        <w:pStyle w:val="DefinedTerms"/>
      </w:pPr>
      <w:r>
        <w:t>appointed place</w:t>
      </w:r>
      <w:r>
        <w:tab/>
        <w:t>Sch. 26 cl. 3(3)</w:t>
      </w:r>
    </w:p>
    <w:p>
      <w:pPr>
        <w:pStyle w:val="DefinedTerms"/>
      </w:pPr>
      <w:r>
        <w:t>appropriate person</w:t>
      </w:r>
      <w:r>
        <w:tab/>
        <w:t>5</w:t>
      </w:r>
    </w:p>
    <w:p>
      <w:pPr>
        <w:pStyle w:val="DefinedTerms"/>
      </w:pPr>
      <w:r>
        <w:t>appropriate training</w:t>
      </w:r>
      <w:r>
        <w:tab/>
        <w:t>460(1A)</w:t>
      </w:r>
    </w:p>
    <w:p>
      <w:pPr>
        <w:pStyle w:val="DefinedTerms"/>
      </w:pPr>
      <w:r>
        <w:t>approved form</w:t>
      </w:r>
      <w:r>
        <w:tab/>
        <w:t>5</w:t>
      </w:r>
    </w:p>
    <w:p>
      <w:pPr>
        <w:pStyle w:val="DefinedTerms"/>
      </w:pPr>
      <w:r>
        <w:t>approved radiation management plan</w:t>
      </w:r>
      <w:r>
        <w:tab/>
        <w:t>608A</w:t>
      </w:r>
    </w:p>
    <w:p>
      <w:pPr>
        <w:pStyle w:val="DefinedTerms"/>
      </w:pPr>
      <w:r>
        <w:t>approved radioactive waste management plan</w:t>
      </w:r>
      <w:r>
        <w:tab/>
        <w:t>608A</w:t>
      </w:r>
    </w:p>
    <w:p>
      <w:pPr>
        <w:pStyle w:val="DefinedTerms"/>
      </w:pPr>
      <w:r>
        <w:t>approved WHS risk management unit</w:t>
      </w:r>
      <w:r>
        <w:tab/>
        <w:t>5, 675ZZJ(1)</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lastRenderedPageBreak/>
        <w:t>Australian Height Datum</w:t>
      </w:r>
      <w:r>
        <w:tab/>
        <w:t>675TA(1)</w:t>
      </w:r>
    </w:p>
    <w:p>
      <w:pPr>
        <w:pStyle w:val="DefinedTerms"/>
      </w:pPr>
      <w:r>
        <w:t>Australian university</w:t>
      </w:r>
      <w:r>
        <w:tab/>
        <w:t>5</w:t>
      </w:r>
    </w:p>
    <w:p>
      <w:pPr>
        <w:pStyle w:val="DefinedTerms"/>
      </w:pPr>
      <w:r>
        <w:t>authorised mine surveyor (quarry operation)</w:t>
      </w:r>
      <w:r>
        <w:tab/>
        <w:t>5</w:t>
      </w:r>
    </w:p>
    <w:p>
      <w:pPr>
        <w:pStyle w:val="DefinedTerms"/>
      </w:pPr>
      <w:r>
        <w:t>authorised mine surveyor’s certificate (grade 1)</w:t>
      </w:r>
      <w:r>
        <w:tab/>
        <w:t>5</w:t>
      </w:r>
    </w:p>
    <w:p>
      <w:pPr>
        <w:pStyle w:val="DefinedTerms"/>
      </w:pPr>
      <w:r>
        <w:t>authorised mine surveyor’s certificate (grade 2)</w:t>
      </w:r>
      <w:r>
        <w:tab/>
        <w:t>5</w:t>
      </w:r>
    </w:p>
    <w:p>
      <w:pPr>
        <w:pStyle w:val="DefinedTerms"/>
      </w:pPr>
      <w:r>
        <w:t>authorised mine surveyor (underground)</w:t>
      </w:r>
      <w:r>
        <w:tab/>
        <w:t>5</w:t>
      </w:r>
    </w:p>
    <w:p>
      <w:pPr>
        <w:pStyle w:val="DefinedTerms"/>
      </w:pPr>
      <w:r>
        <w:t>authorised RTO</w:t>
      </w:r>
      <w:r>
        <w:tab/>
        <w:t>326(1A)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Board of Examiners</w:t>
      </w:r>
      <w:r>
        <w:tab/>
        <w:t>707(1)</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t>building</w:t>
      </w:r>
      <w:r>
        <w:tab/>
        <w:t>153(1)</w:t>
      </w:r>
    </w:p>
    <w:p>
      <w:pPr>
        <w:pStyle w:val="DefinedTerms"/>
      </w:pPr>
      <w:r>
        <w:t>building maintenance equipment</w:t>
      </w:r>
      <w:r>
        <w:tab/>
        <w:t>5</w:t>
      </w:r>
    </w:p>
    <w:p>
      <w:pPr>
        <w:pStyle w:val="DefinedTerms"/>
      </w:pPr>
      <w:r>
        <w:t>building maintenance unit</w:t>
      </w:r>
      <w:r>
        <w:tab/>
        <w:t>5</w:t>
      </w:r>
    </w:p>
    <w:p>
      <w:pPr>
        <w:pStyle w:val="DefinedTerms"/>
      </w:pPr>
      <w:r>
        <w:t>capacity</w:t>
      </w:r>
      <w:r>
        <w:tab/>
        <w:t>5</w:t>
      </w:r>
    </w:p>
    <w:p>
      <w:pPr>
        <w:pStyle w:val="DefinedTerms"/>
      </w:pPr>
      <w:r>
        <w:t>card holder</w:t>
      </w:r>
      <w:r>
        <w:tab/>
        <w:t>5, 326(3)</w:t>
      </w:r>
    </w:p>
    <w:p>
      <w:pPr>
        <w:pStyle w:val="DefinedTerms"/>
      </w:pPr>
      <w:r>
        <w:t>care and maintenance</w:t>
      </w:r>
      <w:r>
        <w:tab/>
        <w:t>675UH(1)</w:t>
      </w:r>
    </w:p>
    <w:p>
      <w:pPr>
        <w:pStyle w:val="DefinedTerms"/>
      </w:pPr>
      <w:r>
        <w:t>care and maintenance notice</w:t>
      </w:r>
      <w:r>
        <w:tab/>
        <w:t>675UH(3)</w:t>
      </w:r>
    </w:p>
    <w:p>
      <w:pPr>
        <w:pStyle w:val="DefinedTerms"/>
      </w:pPr>
      <w:r>
        <w:t>certificate of medical fitness</w:t>
      </w:r>
      <w:r>
        <w:tab/>
        <w:t>5</w:t>
      </w:r>
    </w:p>
    <w:p>
      <w:pPr>
        <w:pStyle w:val="DefinedTerms"/>
      </w:pPr>
      <w:r>
        <w:t>certification</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1 engine</w:t>
      </w:r>
      <w:r>
        <w:tab/>
        <w:t>Sch. 26 cl. 13(1)</w:t>
      </w:r>
    </w:p>
    <w:p>
      <w:pPr>
        <w:pStyle w:val="DefinedTerms"/>
      </w:pPr>
      <w:r>
        <w:t>Class 2 demolition licence</w:t>
      </w:r>
      <w:r>
        <w:tab/>
        <w:t>5</w:t>
      </w:r>
    </w:p>
    <w:p>
      <w:pPr>
        <w:pStyle w:val="DefinedTerms"/>
      </w:pPr>
      <w:r>
        <w:t>Class 2 demolition work</w:t>
      </w:r>
      <w:r>
        <w:tab/>
        <w:t>5, 142C(1)</w:t>
      </w:r>
    </w:p>
    <w:p>
      <w:pPr>
        <w:pStyle w:val="DefinedTerms"/>
      </w:pPr>
      <w:r>
        <w:t>class 2 engine</w:t>
      </w:r>
      <w:r>
        <w:tab/>
        <w:t>Sch. 26 cl. 13(1)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commencement notice</w:t>
      </w:r>
      <w:r>
        <w:tab/>
        <w:t>726(1)</w:t>
      </w:r>
    </w:p>
    <w:p>
      <w:pPr>
        <w:pStyle w:val="DefinedTerms"/>
      </w:pPr>
      <w:r>
        <w:t>compatible</w:t>
      </w:r>
      <w:r>
        <w:tab/>
        <w:t>357(2A)</w:t>
      </w:r>
    </w:p>
    <w:p>
      <w:pPr>
        <w:pStyle w:val="DefinedTerms"/>
      </w:pPr>
      <w:r>
        <w:t>competency certificate</w:t>
      </w:r>
      <w:r>
        <w:tab/>
        <w:t>747(1)</w:t>
      </w:r>
    </w:p>
    <w:p>
      <w:pPr>
        <w:pStyle w:val="DefinedTerms"/>
      </w:pPr>
      <w:r>
        <w:t>competent assessor</w:t>
      </w:r>
      <w:r>
        <w:tab/>
        <w:t>617(2)</w:t>
      </w:r>
    </w:p>
    <w:p>
      <w:pPr>
        <w:pStyle w:val="DefinedTerms"/>
      </w:pPr>
      <w:r>
        <w:lastRenderedPageBreak/>
        <w:t>competent person</w:t>
      </w:r>
      <w:r>
        <w:tab/>
        <w:t>5, 235(1B)</w:t>
      </w:r>
    </w:p>
    <w:p>
      <w:pPr>
        <w:pStyle w:val="DefinedTerms"/>
      </w:pPr>
      <w:r>
        <w:t>compliance day</w:t>
      </w:r>
      <w:r>
        <w:tab/>
        <w:t>732(1)</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contractor</w:t>
      </w:r>
      <w:r>
        <w:tab/>
        <w:t>608A</w:t>
      </w:r>
    </w:p>
    <w:p>
      <w:pPr>
        <w:pStyle w:val="DefinedTerms"/>
      </w:pPr>
      <w:r>
        <w:t>controlled</w:t>
      </w:r>
      <w:r>
        <w:tab/>
        <w:t>184A(2), 446(4)</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pPr>
      <w:r>
        <w:t>correctly labelled</w:t>
      </w:r>
      <w:r>
        <w:tab/>
        <w:t>335(2), Sch. 9 cl. 3(1), 4(2), 5(2), 6(2), 7(2), 8(2), 9(2)</w:t>
      </w:r>
      <w:r>
        <w:br/>
      </w:r>
      <w:r>
        <w:tab/>
        <w:t>and 10(1)</w:t>
      </w:r>
    </w:p>
    <w:p>
      <w:pPr>
        <w:pStyle w:val="DefinedTerms"/>
      </w:pPr>
      <w:r>
        <w:t>correctly packed</w:t>
      </w:r>
      <w:r>
        <w:tab/>
        <w:t>Sch. 9 cl. 2(1) and (2)</w:t>
      </w:r>
    </w:p>
    <w:p>
      <w:pPr>
        <w:pStyle w:val="DefinedTerms"/>
      </w:pPr>
      <w:r>
        <w:t>crane</w:t>
      </w:r>
      <w:r>
        <w:tab/>
        <w:t>5</w:t>
      </w:r>
    </w:p>
    <w:p>
      <w:pPr>
        <w:pStyle w:val="DefinedTerms"/>
      </w:pPr>
      <w:r>
        <w:t>current certificate of medical fitness</w:t>
      </w:r>
      <w:r>
        <w:tab/>
        <w:t>5</w:t>
      </w:r>
    </w:p>
    <w:p>
      <w:pPr>
        <w:pStyle w:val="DefinedTerms"/>
      </w:pPr>
      <w:r>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deputy’s certificate for underground coal mines</w:t>
      </w:r>
      <w:r>
        <w:tab/>
        <w:t>5</w:t>
      </w:r>
    </w:p>
    <w:p>
      <w:pPr>
        <w:pStyle w:val="DefinedTerms"/>
      </w:pPr>
      <w:r>
        <w:t>derrick crane</w:t>
      </w:r>
      <w:r>
        <w:tab/>
        <w:t>5</w:t>
      </w:r>
    </w:p>
    <w:p>
      <w:pPr>
        <w:pStyle w:val="DefinedTerms"/>
      </w:pPr>
      <w:r>
        <w:t>designated worker</w:t>
      </w:r>
      <w:r>
        <w:tab/>
        <w:t>641I(1)</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supervisor</w:t>
      </w:r>
      <w:r>
        <w:tab/>
        <w:t>5</w:t>
      </w:r>
    </w:p>
    <w:p>
      <w:pPr>
        <w:pStyle w:val="DefinedTerms"/>
      </w:pPr>
      <w:r>
        <w:t>electrical work</w:t>
      </w:r>
      <w:r>
        <w:tab/>
        <w:t>5, 146</w:t>
      </w:r>
    </w:p>
    <w:p>
      <w:pPr>
        <w:pStyle w:val="DefinedTerms"/>
      </w:pPr>
      <w:r>
        <w:t>electrician</w:t>
      </w:r>
      <w:r>
        <w:tab/>
        <w:t>Sch. 26 cl. 5(1)</w:t>
      </w:r>
    </w:p>
    <w:p>
      <w:pPr>
        <w:pStyle w:val="DefinedTerms"/>
      </w:pPr>
      <w:r>
        <w:lastRenderedPageBreak/>
        <w:t>eligibility requirements</w:t>
      </w:r>
      <w:r>
        <w:tab/>
        <w:t>5</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engineering control</w:t>
      </w:r>
      <w:r>
        <w:tab/>
        <w:t>5</w:t>
      </w:r>
    </w:p>
    <w:p>
      <w:pPr>
        <w:pStyle w:val="DefinedTerms"/>
      </w:pPr>
      <w:r>
        <w:t>entry</w:t>
      </w:r>
      <w:r>
        <w:tab/>
        <w:t>5</w:t>
      </w:r>
    </w:p>
    <w:p>
      <w:pPr>
        <w:pStyle w:val="DefinedTerms"/>
      </w:pPr>
      <w:r>
        <w:t>equivalent certificate</w:t>
      </w:r>
      <w:r>
        <w:tab/>
        <w:t>747(1)</w:t>
      </w:r>
    </w:p>
    <w:p>
      <w:pPr>
        <w:pStyle w:val="DefinedTerms"/>
      </w:pPr>
      <w:r>
        <w:t>equivalent position</w:t>
      </w:r>
      <w:r>
        <w:tab/>
        <w:t>742(1)</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exemption period</w:t>
      </w:r>
      <w:r>
        <w:tab/>
        <w:t>718(3)</w:t>
      </w:r>
    </w:p>
    <w:p>
      <w:pPr>
        <w:pStyle w:val="DefinedTerms"/>
      </w:pPr>
      <w:r>
        <w:t>exploration manager</w:t>
      </w:r>
      <w:r>
        <w:tab/>
        <w:t>5</w:t>
      </w:r>
    </w:p>
    <w:p>
      <w:pPr>
        <w:pStyle w:val="DefinedTerms"/>
      </w:pPr>
      <w:r>
        <w:t>exploration operations</w:t>
      </w:r>
      <w:r>
        <w:tab/>
        <w:t>5, 741(1)</w:t>
      </w:r>
    </w:p>
    <w:p>
      <w:pPr>
        <w:pStyle w:val="DefinedTerms"/>
      </w:pPr>
      <w:r>
        <w:t>explosive</w:t>
      </w:r>
      <w:r>
        <w:tab/>
        <w:t>608A</w:t>
      </w:r>
    </w:p>
    <w:p>
      <w:pPr>
        <w:pStyle w:val="DefinedTerms"/>
      </w:pPr>
      <w:r>
        <w:t>exposure standard</w:t>
      </w:r>
      <w:r>
        <w:tab/>
        <w:t>5</w:t>
      </w:r>
    </w:p>
    <w:p>
      <w:pPr>
        <w:pStyle w:val="DefinedTerms"/>
      </w:pPr>
      <w:r>
        <w:t>exposure standard for noise</w:t>
      </w:r>
      <w:r>
        <w:tab/>
        <w:t>5, 56(1)</w:t>
      </w:r>
    </w:p>
    <w:p>
      <w:pPr>
        <w:pStyle w:val="DefinedTerms"/>
      </w:pPr>
      <w:r>
        <w:t>externally-controlled plant</w:t>
      </w:r>
      <w:r>
        <w:tab/>
        <w:t>5</w:t>
      </w:r>
    </w:p>
    <w:p>
      <w:pPr>
        <w:pStyle w:val="DefinedTerms"/>
      </w:pPr>
      <w:r>
        <w:t>external review</w:t>
      </w:r>
      <w:r>
        <w:tab/>
        <w:t>5, 683(1)</w:t>
      </w:r>
    </w:p>
    <w:p>
      <w:pPr>
        <w:pStyle w:val="DefinedTerms"/>
      </w:pPr>
      <w:r>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finalisation period</w:t>
      </w:r>
      <w:r>
        <w:tab/>
        <w:t>707(2)</w:t>
      </w:r>
    </w:p>
    <w:p>
      <w:pPr>
        <w:pStyle w:val="DefinedTerms"/>
      </w:pPr>
      <w:r>
        <w:t>first class mine manager’s certificate for coal mines</w:t>
      </w:r>
      <w:r>
        <w:tab/>
        <w:t>5</w:t>
      </w:r>
    </w:p>
    <w:p>
      <w:pPr>
        <w:pStyle w:val="DefinedTerms"/>
      </w:pPr>
      <w:r>
        <w:t>first class mine manager’s certificate for non-coal mines</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5</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Geocentric Datum of Australia 2020</w:t>
      </w:r>
      <w:r>
        <w:tab/>
        <w:t>675TA(1)</w:t>
      </w:r>
    </w:p>
    <w:p>
      <w:pPr>
        <w:pStyle w:val="DefinedTerms"/>
      </w:pPr>
      <w:r>
        <w:t>geotechnical structure</w:t>
      </w:r>
      <w:r>
        <w:tab/>
        <w:t>5</w:t>
      </w:r>
    </w:p>
    <w:p>
      <w:pPr>
        <w:pStyle w:val="DefinedTerms"/>
      </w:pPr>
      <w:r>
        <w:lastRenderedPageBreak/>
        <w:t>GHS</w:t>
      </w:r>
      <w:r>
        <w:tab/>
        <w:t>5</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 construction work</w:t>
      </w:r>
      <w:r>
        <w:tab/>
        <w:t>5, 291</w:t>
      </w:r>
    </w:p>
    <w:p>
      <w:pPr>
        <w:pStyle w:val="DefinedTerms"/>
      </w:pPr>
      <w:r>
        <w:t>high risk diving work</w:t>
      </w:r>
      <w:r>
        <w:tab/>
        <w:t>5</w:t>
      </w:r>
    </w:p>
    <w:p>
      <w:pPr>
        <w:pStyle w:val="DefinedTerms"/>
      </w:pPr>
      <w:r>
        <w:t>high risk mining activity</w:t>
      </w:r>
      <w:r>
        <w:tab/>
        <w:t>5</w:t>
      </w:r>
    </w:p>
    <w:p>
      <w:pPr>
        <w:pStyle w:val="DefinedTerms"/>
      </w:pPr>
      <w:r>
        <w:t>high risk work</w:t>
      </w:r>
      <w:r>
        <w:tab/>
        <w:t>5</w:t>
      </w:r>
    </w:p>
    <w:p>
      <w:pPr>
        <w:pStyle w:val="DefinedTerms"/>
      </w:pPr>
      <w:r>
        <w:t>high risk work licence</w:t>
      </w:r>
      <w:r>
        <w:tab/>
        <w:t>5</w:t>
      </w:r>
    </w:p>
    <w:p>
      <w:pPr>
        <w:pStyle w:val="DefinedTerms"/>
      </w:pPr>
      <w:r>
        <w:t>high voltage</w:t>
      </w:r>
      <w:r>
        <w:tab/>
        <w:t>5</w:t>
      </w:r>
    </w:p>
    <w:p>
      <w:pPr>
        <w:pStyle w:val="DefinedTerms"/>
      </w:pPr>
      <w:r>
        <w:t>high voltage operator</w:t>
      </w:r>
      <w:r>
        <w:tab/>
        <w:t>5</w:t>
      </w:r>
    </w:p>
    <w:p>
      <w:pPr>
        <w:pStyle w:val="DefinedTerms"/>
      </w:pPr>
      <w:r>
        <w:t>high voltage vicinity permit</w:t>
      </w:r>
      <w:r>
        <w:tab/>
        <w:t>5</w:t>
      </w:r>
    </w:p>
    <w:p>
      <w:pPr>
        <w:pStyle w:val="DefinedTerms"/>
      </w:pPr>
      <w:r>
        <w:t>high voltage vicinity permits</w:t>
      </w:r>
      <w:r>
        <w:tab/>
        <w:t>Sch. 26 cl. 6(2)</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incoming supervisor</w:t>
      </w:r>
      <w:r>
        <w:tab/>
        <w:t>630(2)</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t>inhalable</w:t>
      </w:r>
      <w:r>
        <w:tab/>
        <w:t>49(4)</w:t>
      </w:r>
    </w:p>
    <w:p>
      <w:pPr>
        <w:pStyle w:val="DefinedTerms"/>
      </w:pPr>
      <w:r>
        <w:t>inrush</w:t>
      </w:r>
      <w:r>
        <w:tab/>
        <w:t>5</w:t>
      </w:r>
    </w:p>
    <w:p>
      <w:pPr>
        <w:pStyle w:val="DefinedTerms"/>
      </w:pPr>
      <w:r>
        <w:t>in situ asbestos</w:t>
      </w:r>
      <w:r>
        <w:tab/>
        <w:t>5</w:t>
      </w:r>
    </w:p>
    <w:p>
      <w:pPr>
        <w:pStyle w:val="DefinedTerms"/>
      </w:pPr>
      <w:r>
        <w:t>inspection record</w:t>
      </w:r>
      <w:r>
        <w:tab/>
        <w:t>675ZA(1)</w:t>
      </w:r>
    </w:p>
    <w:p>
      <w:pPr>
        <w:pStyle w:val="DefinedTerms"/>
      </w:pPr>
      <w:r>
        <w:t>intake roadway</w:t>
      </w:r>
      <w:r>
        <w:tab/>
        <w:t>657(1)</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key equivalent position</w:t>
      </w:r>
      <w:r>
        <w:tab/>
        <w:t>742(1)</w:t>
      </w:r>
    </w:p>
    <w:p>
      <w:pPr>
        <w:pStyle w:val="DefinedTerms"/>
      </w:pPr>
      <w:r>
        <w:t>key statutory position</w:t>
      </w:r>
      <w:r>
        <w:tab/>
        <w:t>5</w:t>
      </w:r>
    </w:p>
    <w:p>
      <w:pPr>
        <w:pStyle w:val="DefinedTerms"/>
      </w:pPr>
      <w:r>
        <w:t>LAeq,8h</w:t>
      </w:r>
      <w:r>
        <w:tab/>
        <w:t>56(2)</w:t>
      </w:r>
    </w:p>
    <w:p>
      <w:pPr>
        <w:pStyle w:val="DefinedTerms"/>
      </w:pPr>
      <w:r>
        <w:t>last MSIR inspection</w:t>
      </w:r>
      <w:r>
        <w:tab/>
        <w:t>718(1)</w:t>
      </w:r>
    </w:p>
    <w:p>
      <w:pPr>
        <w:pStyle w:val="DefinedTerms"/>
      </w:pPr>
      <w:r>
        <w:t>LC,peak</w:t>
      </w:r>
      <w:r>
        <w:tab/>
        <w:t>56(2)</w:t>
      </w:r>
    </w:p>
    <w:p>
      <w:pPr>
        <w:pStyle w:val="DefinedTerms"/>
      </w:pPr>
      <w:r>
        <w:lastRenderedPageBreak/>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licensed surveyor</w:t>
      </w:r>
      <w:r>
        <w:tab/>
        <w:t>5</w:t>
      </w:r>
    </w:p>
    <w:p>
      <w:pPr>
        <w:pStyle w:val="DefinedTerms"/>
      </w:pPr>
      <w:r>
        <w:t>lift</w:t>
      </w:r>
      <w:r>
        <w:tab/>
        <w:t>5</w:t>
      </w:r>
    </w:p>
    <w:p>
      <w:pPr>
        <w:pStyle w:val="DefinedTerms"/>
      </w:pPr>
      <w:r>
        <w:t>lifted</w:t>
      </w:r>
      <w:r>
        <w:tab/>
        <w:t>675UF(1)</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map coordinates</w:t>
      </w:r>
      <w:r>
        <w:tab/>
        <w:t>675TA(1)</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medical treatment</w:t>
      </w:r>
      <w:r>
        <w:tab/>
        <w:t>5</w:t>
      </w:r>
    </w:p>
    <w:p>
      <w:pPr>
        <w:pStyle w:val="DefinedTerms"/>
      </w:pPr>
      <w:r>
        <w:t>member</w:t>
      </w:r>
      <w:r>
        <w:tab/>
        <w:t>698A</w:t>
      </w:r>
    </w:p>
    <w:p>
      <w:pPr>
        <w:pStyle w:val="DefinedTerms"/>
      </w:pPr>
      <w:r>
        <w:t>membrane filter method</w:t>
      </w:r>
      <w:r>
        <w:tab/>
        <w:t>5</w:t>
      </w:r>
    </w:p>
    <w:p>
      <w:pPr>
        <w:pStyle w:val="DefinedTerms"/>
      </w:pPr>
      <w:r>
        <w:t>mine</w:t>
      </w:r>
      <w:r>
        <w:tab/>
        <w:t>5, 5A(1) and (2)</w:t>
      </w:r>
    </w:p>
    <w:p>
      <w:pPr>
        <w:pStyle w:val="DefinedTerms"/>
      </w:pPr>
      <w:r>
        <w:t>mine air quality officer</w:t>
      </w:r>
      <w:r>
        <w:tab/>
        <w:t>5</w:t>
      </w:r>
    </w:p>
    <w:p>
      <w:pPr>
        <w:pStyle w:val="DefinedTerms"/>
      </w:pPr>
      <w:r>
        <w:t>mine emergency worker</w:t>
      </w:r>
      <w:r>
        <w:tab/>
        <w:t>5</w:t>
      </w:r>
    </w:p>
    <w:p>
      <w:pPr>
        <w:pStyle w:val="DefinedTerms"/>
      </w:pPr>
      <w:r>
        <w:t>mine operator</w:t>
      </w:r>
      <w:r>
        <w:tab/>
        <w:t>5, 5C</w:t>
      </w:r>
    </w:p>
    <w:p>
      <w:pPr>
        <w:pStyle w:val="DefinedTerms"/>
      </w:pPr>
      <w:r>
        <w:t>mineral</w:t>
      </w:r>
      <w:r>
        <w:tab/>
        <w:t>5</w:t>
      </w:r>
    </w:p>
    <w:p>
      <w:pPr>
        <w:pStyle w:val="DefinedTerms"/>
      </w:pPr>
      <w:r>
        <w:t>mine safety management system</w:t>
      </w:r>
      <w:r>
        <w:tab/>
        <w:t>5</w:t>
      </w:r>
    </w:p>
    <w:p>
      <w:pPr>
        <w:pStyle w:val="DefinedTerms"/>
      </w:pPr>
      <w:r>
        <w:t>mine shaft</w:t>
      </w:r>
      <w:r>
        <w:tab/>
        <w:t>5</w:t>
      </w:r>
    </w:p>
    <w:p>
      <w:pPr>
        <w:pStyle w:val="DefinedTerms"/>
      </w:pPr>
      <w:r>
        <w:t>mine shaft conveyance</w:t>
      </w:r>
      <w:r>
        <w:tab/>
        <w:t>5</w:t>
      </w:r>
    </w:p>
    <w:p>
      <w:pPr>
        <w:pStyle w:val="DefinedTerms"/>
      </w:pPr>
      <w:r>
        <w:t>mine survey plan</w:t>
      </w:r>
      <w:r>
        <w:tab/>
        <w:t>675RA</w:t>
      </w:r>
    </w:p>
    <w:p>
      <w:pPr>
        <w:pStyle w:val="DefinedTerms"/>
      </w:pPr>
      <w:r>
        <w:t>mining commencement notice</w:t>
      </w:r>
      <w:r>
        <w:tab/>
        <w:t>675UC(2)</w:t>
      </w:r>
    </w:p>
    <w:p>
      <w:pPr>
        <w:pStyle w:val="DefinedTerms"/>
      </w:pPr>
      <w:r>
        <w:t>Mining Competence Advisory Committee</w:t>
      </w:r>
      <w:r>
        <w:tab/>
        <w:t>5</w:t>
      </w:r>
    </w:p>
    <w:p>
      <w:pPr>
        <w:pStyle w:val="DefinedTerms"/>
      </w:pPr>
      <w:r>
        <w:t>mining operation notice</w:t>
      </w:r>
      <w:r>
        <w:tab/>
        <w:t>675UE(1)</w:t>
      </w:r>
    </w:p>
    <w:p>
      <w:pPr>
        <w:pStyle w:val="DefinedTerms"/>
      </w:pPr>
      <w:r>
        <w:t>mining operations</w:t>
      </w:r>
      <w:r>
        <w:tab/>
        <w:t>5, 5B</w:t>
      </w:r>
    </w:p>
    <w:p>
      <w:pPr>
        <w:pStyle w:val="DefinedTerms"/>
      </w:pPr>
      <w:r>
        <w:t>mining practice examination</w:t>
      </w:r>
      <w:r>
        <w:tab/>
        <w:t>5</w:t>
      </w:r>
    </w:p>
    <w:p>
      <w:pPr>
        <w:pStyle w:val="DefinedTerms"/>
      </w:pPr>
      <w:r>
        <w:t>mining safety legislation</w:t>
      </w:r>
      <w:r>
        <w:tab/>
        <w:t>5</w:t>
      </w:r>
    </w:p>
    <w:p>
      <w:pPr>
        <w:pStyle w:val="DefinedTerms"/>
      </w:pPr>
      <w:r>
        <w:t>mixture</w:t>
      </w:r>
      <w:r>
        <w:tab/>
        <w:t>5</w:t>
      </w:r>
    </w:p>
    <w:p>
      <w:pPr>
        <w:pStyle w:val="DefinedTerms"/>
      </w:pPr>
      <w:r>
        <w:t>mobile crane</w:t>
      </w:r>
      <w:r>
        <w:tab/>
        <w:t>5</w:t>
      </w:r>
    </w:p>
    <w:p>
      <w:pPr>
        <w:pStyle w:val="DefinedTerms"/>
      </w:pPr>
      <w:r>
        <w:t>moving</w:t>
      </w:r>
      <w:r>
        <w:tab/>
        <w:t>82(3)</w:t>
      </w:r>
    </w:p>
    <w:p>
      <w:pPr>
        <w:pStyle w:val="DefinedTerms"/>
      </w:pPr>
      <w:r>
        <w:lastRenderedPageBreak/>
        <w:t>MSIA</w:t>
      </w:r>
      <w:r>
        <w:tab/>
        <w:t>705</w:t>
      </w:r>
    </w:p>
    <w:p>
      <w:pPr>
        <w:pStyle w:val="DefinedTerms"/>
      </w:pPr>
      <w:r>
        <w:t>MSIA position</w:t>
      </w:r>
      <w:r>
        <w:tab/>
        <w:t>742(1)</w:t>
      </w:r>
    </w:p>
    <w:p>
      <w:pPr>
        <w:pStyle w:val="DefinedTerms"/>
      </w:pPr>
      <w:r>
        <w:t>MSIR</w:t>
      </w:r>
      <w:r>
        <w:tab/>
        <w:t>705</w:t>
      </w:r>
    </w:p>
    <w:p>
      <w:pPr>
        <w:pStyle w:val="DefinedTerms"/>
      </w:pPr>
      <w:r>
        <w:t>MSIR approval</w:t>
      </w:r>
      <w:r>
        <w:tab/>
        <w:t>730(1)</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noise officer</w:t>
      </w:r>
      <w:r>
        <w:tab/>
        <w:t>5</w:t>
      </w:r>
    </w:p>
    <w:p>
      <w:pPr>
        <w:pStyle w:val="DefinedTerms"/>
      </w:pPr>
      <w:r>
        <w:t>nominating person</w:t>
      </w:r>
      <w:r>
        <w:tab/>
        <w:t>698G(1)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operative period</w:t>
      </w:r>
      <w:r>
        <w:tab/>
        <w:t>744(1), 745(1), 746(1)</w:t>
      </w:r>
    </w:p>
    <w:p>
      <w:pPr>
        <w:pStyle w:val="DefinedTerms"/>
      </w:pPr>
      <w:r>
        <w:t>operator protective device</w:t>
      </w:r>
      <w:r>
        <w:tab/>
        <w:t>5</w:t>
      </w:r>
    </w:p>
    <w:p>
      <w:pPr>
        <w:pStyle w:val="DefinedTerms"/>
      </w:pPr>
      <w:r>
        <w:t>order-picking forklift truck</w:t>
      </w:r>
      <w:r>
        <w:tab/>
        <w:t>5</w:t>
      </w:r>
    </w:p>
    <w:p>
      <w:pPr>
        <w:pStyle w:val="DefinedTerms"/>
      </w:pPr>
      <w:r>
        <w:t>outgoing supervisor</w:t>
      </w:r>
      <w:r>
        <w:tab/>
        <w:t>630(2)</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Poisons Standard</w:t>
      </w:r>
      <w:r>
        <w:tab/>
        <w:t>335(1A)</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pre-commencement certificate application</w:t>
      </w:r>
      <w:r>
        <w:tab/>
        <w:t>707(1)</w:t>
      </w:r>
    </w:p>
    <w:p>
      <w:pPr>
        <w:pStyle w:val="DefinedTerms"/>
      </w:pPr>
      <w:r>
        <w:t>pre-operational monitoring program</w:t>
      </w:r>
      <w:r>
        <w:tab/>
        <w:t>641M(1)</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principal mining hazard</w:t>
      </w:r>
      <w:r>
        <w:tab/>
        <w:t>608A, 612(1) and (2)</w:t>
      </w:r>
    </w:p>
    <w:p>
      <w:pPr>
        <w:pStyle w:val="DefinedTerms"/>
      </w:pPr>
      <w:r>
        <w:t>product identifier</w:t>
      </w:r>
      <w:r>
        <w:tab/>
        <w:t>5</w:t>
      </w:r>
    </w:p>
    <w:p>
      <w:pPr>
        <w:pStyle w:val="DefinedTerms"/>
      </w:pPr>
      <w:r>
        <w:t>production area</w:t>
      </w:r>
      <w:r>
        <w:tab/>
        <w:t>663(1)</w:t>
      </w:r>
    </w:p>
    <w:p>
      <w:pPr>
        <w:pStyle w:val="DefinedTerms"/>
      </w:pPr>
      <w:r>
        <w:t>prohibited carcinogen</w:t>
      </w:r>
      <w:r>
        <w:tab/>
        <w:t>5</w:t>
      </w:r>
    </w:p>
    <w:p>
      <w:pPr>
        <w:pStyle w:val="DefinedTerms"/>
      </w:pPr>
      <w:r>
        <w:t>psychosocial hazard</w:t>
      </w:r>
      <w:r>
        <w:tab/>
        <w:t>5, 55A</w:t>
      </w:r>
    </w:p>
    <w:p>
      <w:pPr>
        <w:pStyle w:val="DefinedTerms"/>
      </w:pPr>
      <w:r>
        <w:t>psychosocial risk</w:t>
      </w:r>
      <w:r>
        <w:tab/>
        <w:t>5, 55B</w:t>
      </w:r>
    </w:p>
    <w:p>
      <w:pPr>
        <w:pStyle w:val="DefinedTerms"/>
      </w:pPr>
      <w:r>
        <w:lastRenderedPageBreak/>
        <w:t>purging</w:t>
      </w:r>
      <w:r>
        <w:tab/>
        <w:t>71(1A)</w:t>
      </w:r>
    </w:p>
    <w:p>
      <w:pPr>
        <w:pStyle w:val="DefinedTerms"/>
      </w:pPr>
      <w:r>
        <w:t>quantity</w:t>
      </w:r>
      <w:r>
        <w:tab/>
        <w:t>5</w:t>
      </w:r>
    </w:p>
    <w:p>
      <w:pPr>
        <w:pStyle w:val="DefinedTerms"/>
      </w:pPr>
      <w:r>
        <w:t>quarry</w:t>
      </w:r>
      <w:r>
        <w:tab/>
        <w:t>5</w:t>
      </w:r>
    </w:p>
    <w:p>
      <w:pPr>
        <w:pStyle w:val="DefinedTerms"/>
      </w:pPr>
      <w:r>
        <w:t>quarry manager</w:t>
      </w:r>
      <w:r>
        <w:tab/>
        <w:t>5</w:t>
      </w:r>
    </w:p>
    <w:p>
      <w:pPr>
        <w:pStyle w:val="DefinedTerms"/>
      </w:pPr>
      <w:r>
        <w:t>quarry manager’s certificate</w:t>
      </w:r>
      <w:r>
        <w:tab/>
        <w:t>5</w:t>
      </w:r>
    </w:p>
    <w:p>
      <w:pPr>
        <w:pStyle w:val="DefinedTerms"/>
      </w:pPr>
      <w:r>
        <w:t>quarry operation</w:t>
      </w:r>
      <w:r>
        <w:tab/>
        <w:t>5</w:t>
      </w:r>
    </w:p>
    <w:p>
      <w:pPr>
        <w:pStyle w:val="DefinedTerms"/>
      </w:pPr>
      <w:r>
        <w:t>quarter</w:t>
      </w:r>
      <w:r>
        <w:tab/>
        <w:t>5</w:t>
      </w:r>
    </w:p>
    <w:p>
      <w:pPr>
        <w:pStyle w:val="DefinedTerms"/>
      </w:pPr>
      <w:r>
        <w:t>radiation safety officer</w:t>
      </w:r>
      <w:r>
        <w:tab/>
        <w:t>5</w:t>
      </w:r>
    </w:p>
    <w:p>
      <w:pPr>
        <w:pStyle w:val="DefinedTerms"/>
      </w:pPr>
      <w:r>
        <w:t>radioactive material</w:t>
      </w:r>
      <w:r>
        <w:tab/>
        <w:t>641I(1), 641K(1) and (2)</w:t>
      </w:r>
    </w:p>
    <w:p>
      <w:pPr>
        <w:pStyle w:val="DefinedTerms"/>
      </w:pPr>
      <w:r>
        <w:t>reach stacker</w:t>
      </w:r>
      <w:r>
        <w:tab/>
        <w:t>5</w:t>
      </w:r>
    </w:p>
    <w:p>
      <w:pPr>
        <w:pStyle w:val="DefinedTerms"/>
      </w:pPr>
      <w:r>
        <w:t>reciprocating steam engine</w:t>
      </w:r>
      <w:r>
        <w:tab/>
        <w:t>5</w:t>
      </w:r>
    </w:p>
    <w:p>
      <w:pPr>
        <w:pStyle w:val="DefinedTerms"/>
      </w:pPr>
      <w:r>
        <w:t>reeling cable</w:t>
      </w:r>
      <w:r>
        <w:tab/>
        <w:t>608A</w:t>
      </w:r>
    </w:p>
    <w:p>
      <w:pPr>
        <w:pStyle w:val="DefinedTerms"/>
      </w:pPr>
      <w:r>
        <w:t>registered manager</w:t>
      </w:r>
      <w:r>
        <w:tab/>
        <w:t>705</w:t>
      </w:r>
    </w:p>
    <w:p>
      <w:pPr>
        <w:pStyle w:val="DefinedTerms"/>
      </w:pPr>
      <w:r>
        <w:t>registered medical practitioner</w:t>
      </w:r>
      <w:r>
        <w:tab/>
        <w:t>5</w:t>
      </w:r>
    </w:p>
    <w:p>
      <w:pPr>
        <w:pStyle w:val="DefinedTerms"/>
      </w:pPr>
      <w:r>
        <w:t>registered training organisation</w:t>
      </w:r>
      <w:r>
        <w:tab/>
        <w:t>5</w:t>
      </w:r>
    </w:p>
    <w:p>
      <w:pPr>
        <w:pStyle w:val="DefinedTerms"/>
      </w:pPr>
      <w:r>
        <w:t>registrable plant</w:t>
      </w:r>
      <w:r>
        <w:tab/>
        <w:t>716(1), 718(1)</w:t>
      </w:r>
    </w:p>
    <w:p>
      <w:pPr>
        <w:pStyle w:val="DefinedTerms"/>
      </w:pPr>
      <w:r>
        <w:t>relevant activity</w:t>
      </w:r>
      <w:r>
        <w:tab/>
        <w:t>Sch. 27 cl. 1(1), 2(1), 3(1), 4(1) and 5(1)</w:t>
      </w:r>
    </w:p>
    <w:p>
      <w:pPr>
        <w:pStyle w:val="DefinedTerms"/>
      </w:pPr>
      <w:r>
        <w:t>relevant competence committee</w:t>
      </w:r>
      <w:r>
        <w:tab/>
        <w:t>5</w:t>
      </w:r>
    </w:p>
    <w:p>
      <w:pPr>
        <w:pStyle w:val="DefinedTerms"/>
      </w:pPr>
      <w:r>
        <w:t>relevant competencies</w:t>
      </w:r>
      <w:r>
        <w:tab/>
        <w:t>171(1A)</w:t>
      </w:r>
    </w:p>
    <w:p>
      <w:pPr>
        <w:pStyle w:val="DefinedTerms"/>
      </w:pPr>
      <w:r>
        <w:t>relevant diving experience</w:t>
      </w:r>
      <w:r>
        <w:tab/>
        <w:t>172(1A), 173(1A)</w:t>
      </w:r>
    </w:p>
    <w:p>
      <w:pPr>
        <w:pStyle w:val="DefinedTerms"/>
      </w:pPr>
      <w:r>
        <w:t>relevant incident</w:t>
      </w:r>
      <w:r>
        <w:tab/>
        <w:t>Sch. 25 cl. 1</w:t>
      </w:r>
    </w:p>
    <w:p>
      <w:pPr>
        <w:pStyle w:val="DefinedTerms"/>
      </w:pPr>
      <w:r>
        <w:t>relevant mine</w:t>
      </w:r>
      <w:r>
        <w:tab/>
        <w:t>641I(1), 641L</w:t>
      </w:r>
    </w:p>
    <w:p>
      <w:pPr>
        <w:pStyle w:val="DefinedTerms"/>
      </w:pPr>
      <w:r>
        <w:t>relevant person</w:t>
      </w:r>
      <w:r>
        <w:tab/>
        <w:t>675UB(1), 675UI(1)</w:t>
      </w:r>
    </w:p>
    <w:p>
      <w:pPr>
        <w:pStyle w:val="DefinedTerms"/>
      </w:pPr>
      <w:r>
        <w:t>relevant pressure vessels</w:t>
      </w:r>
      <w:r>
        <w:tab/>
        <w:t>718(1)</w:t>
      </w:r>
    </w:p>
    <w:p>
      <w:pPr>
        <w:pStyle w:val="DefinedTerms"/>
      </w:pPr>
      <w:r>
        <w:t>relevant qualification</w:t>
      </w:r>
      <w:r>
        <w:tab/>
        <w:t>Sch. 27 cl. 4(1) and 5(1)</w:t>
      </w:r>
    </w:p>
    <w:p>
      <w:pPr>
        <w:pStyle w:val="DefinedTerms"/>
      </w:pPr>
      <w:r>
        <w:t>relevant supervisor</w:t>
      </w:r>
      <w:r>
        <w:tab/>
        <w:t>630(1)</w:t>
      </w:r>
    </w:p>
    <w:p>
      <w:pPr>
        <w:pStyle w:val="DefinedTerms"/>
      </w:pPr>
      <w:r>
        <w:t>relevant worker</w:t>
      </w:r>
      <w:r>
        <w:tab/>
        <w:t>76(1A), 80(1A)</w:t>
      </w:r>
    </w:p>
    <w:p>
      <w:pPr>
        <w:pStyle w:val="DefinedTerms"/>
      </w:pPr>
      <w:r>
        <w:t>remote or isolated work</w:t>
      </w:r>
      <w:r>
        <w:tab/>
        <w:t>48(1A)</w:t>
      </w:r>
    </w:p>
    <w:p>
      <w:pPr>
        <w:pStyle w:val="DefinedTerms"/>
      </w:pPr>
      <w:r>
        <w:t>reportable incident</w:t>
      </w:r>
      <w:r>
        <w:tab/>
        <w:t>5</w:t>
      </w:r>
    </w:p>
    <w:p>
      <w:pPr>
        <w:pStyle w:val="DefinedTerms"/>
      </w:pPr>
      <w:r>
        <w:t>research chemical</w:t>
      </w:r>
      <w:r>
        <w:tab/>
        <w:t>5</w:t>
      </w:r>
    </w:p>
    <w:p>
      <w:pPr>
        <w:pStyle w:val="DefinedTerms"/>
      </w:pPr>
      <w:r>
        <w:t>respirable</w:t>
      </w:r>
      <w:r>
        <w:tab/>
        <w:t>49(4)</w:t>
      </w:r>
    </w:p>
    <w:p>
      <w:pPr>
        <w:pStyle w:val="DefinedTerms"/>
      </w:pPr>
      <w:r>
        <w:t>respirable asbestos fibre</w:t>
      </w:r>
      <w:r>
        <w:tab/>
        <w:t>5</w:t>
      </w:r>
    </w:p>
    <w:p>
      <w:pPr>
        <w:pStyle w:val="DefinedTerms"/>
      </w:pPr>
      <w:r>
        <w:t>respiratory protective equipment</w:t>
      </w:r>
      <w:r>
        <w:tab/>
        <w:t>184A(3)</w:t>
      </w:r>
    </w:p>
    <w:p>
      <w:pPr>
        <w:pStyle w:val="DefinedTerms"/>
      </w:pPr>
      <w:r>
        <w:t>responsible person</w:t>
      </w:r>
      <w:r>
        <w:tab/>
        <w:t>306I</w:t>
      </w:r>
    </w:p>
    <w:p>
      <w:pPr>
        <w:pStyle w:val="DefinedTerms"/>
      </w:pPr>
      <w:r>
        <w:t>restricted carcinogen</w:t>
      </w:r>
      <w:r>
        <w:tab/>
        <w:t>5</w:t>
      </w:r>
    </w:p>
    <w:p>
      <w:pPr>
        <w:pStyle w:val="DefinedTerms"/>
      </w:pPr>
      <w:r>
        <w:t>restricted quarry manager’s certificate</w:t>
      </w:r>
      <w:r>
        <w:tab/>
        <w:t>5</w:t>
      </w:r>
    </w:p>
    <w:p>
      <w:pPr>
        <w:pStyle w:val="DefinedTerms"/>
      </w:pPr>
      <w:r>
        <w:t>retailer</w:t>
      </w:r>
      <w:r>
        <w:tab/>
        <w:t>5</w:t>
      </w:r>
    </w:p>
    <w:p>
      <w:pPr>
        <w:pStyle w:val="DefinedTerms"/>
      </w:pPr>
      <w:r>
        <w:t>return roadway</w:t>
      </w:r>
      <w:r>
        <w:tab/>
        <w:t>657(1)</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t>RPS-9</w:t>
      </w:r>
      <w:r>
        <w:tab/>
        <w:t>641I(1)</w:t>
      </w:r>
    </w:p>
    <w:p>
      <w:pPr>
        <w:pStyle w:val="DefinedTerms"/>
      </w:pPr>
      <w:r>
        <w:lastRenderedPageBreak/>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Schedule 26 position</w:t>
      </w:r>
      <w:r>
        <w:tab/>
        <w:t>5</w:t>
      </w:r>
    </w:p>
    <w:p>
      <w:pPr>
        <w:pStyle w:val="DefinedTerms"/>
      </w:pPr>
      <w:r>
        <w:t>Schedule 26 positions</w:t>
      </w:r>
      <w:r>
        <w:tab/>
        <w:t>675ZP</w:t>
      </w:r>
    </w:p>
    <w:p>
      <w:pPr>
        <w:pStyle w:val="DefinedTerms"/>
      </w:pPr>
      <w:r>
        <w:t>self-contained self-rescuer</w:t>
      </w:r>
      <w:r>
        <w:tab/>
        <w:t>674(1)</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site senior executive</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solid construction</w:t>
      </w:r>
      <w:r>
        <w:tab/>
        <w:t>78(1A)</w:t>
      </w:r>
    </w:p>
    <w:p>
      <w:pPr>
        <w:pStyle w:val="DefinedTerms"/>
      </w:pPr>
      <w:r>
        <w:t>specified VET course</w:t>
      </w:r>
      <w:r>
        <w:tab/>
        <w:t>5</w:t>
      </w:r>
    </w:p>
    <w:p>
      <w:pPr>
        <w:pStyle w:val="DefinedTerms"/>
      </w:pPr>
      <w:r>
        <w:t>statutory certificate</w:t>
      </w:r>
      <w:r>
        <w:tab/>
        <w:t>5</w:t>
      </w:r>
    </w:p>
    <w:p>
      <w:pPr>
        <w:pStyle w:val="DefinedTerms"/>
      </w:pPr>
      <w:r>
        <w:t>statutory certificates</w:t>
      </w:r>
      <w:r>
        <w:tab/>
        <w:t>675ZZA</w:t>
      </w:r>
    </w:p>
    <w:p>
      <w:pPr>
        <w:pStyle w:val="DefinedTerms"/>
      </w:pPr>
      <w:r>
        <w:t>statutory position</w:t>
      </w:r>
      <w:r>
        <w:tab/>
        <w:t>5</w:t>
      </w:r>
    </w:p>
    <w:p>
      <w:pPr>
        <w:pStyle w:val="DefinedTerms"/>
      </w:pPr>
      <w:r>
        <w:t>statutory supervisor</w:t>
      </w:r>
      <w:r>
        <w:tab/>
        <w:t>5</w:t>
      </w:r>
    </w:p>
    <w:p>
      <w:pPr>
        <w:pStyle w:val="DefinedTerms"/>
      </w:pPr>
      <w:r>
        <w:t>statutory surveyor certificate</w:t>
      </w:r>
      <w:r>
        <w:tab/>
        <w:t>5</w:t>
      </w:r>
    </w:p>
    <w:p>
      <w:pPr>
        <w:pStyle w:val="DefinedTerms"/>
      </w:pPr>
      <w:r>
        <w:t>statutory surveyor position</w:t>
      </w:r>
      <w:r>
        <w:tab/>
        <w:t>5</w:t>
      </w:r>
    </w:p>
    <w:p>
      <w:pPr>
        <w:pStyle w:val="DefinedTerms"/>
      </w:pPr>
      <w:r>
        <w:t>steam turbine</w:t>
      </w:r>
      <w:r>
        <w:tab/>
        <w:t>5</w:t>
      </w:r>
    </w:p>
    <w:p>
      <w:pPr>
        <w:pStyle w:val="DefinedTerms"/>
      </w:pPr>
      <w:r>
        <w:t>structure</w:t>
      </w:r>
      <w:r>
        <w:tab/>
        <w:t>5, 290(1)</w:t>
      </w:r>
    </w:p>
    <w:p>
      <w:pPr>
        <w:pStyle w:val="DefinedTerms"/>
      </w:pPr>
      <w:r>
        <w:t>subject mine</w:t>
      </w:r>
      <w:r>
        <w:tab/>
        <w:t>626(1)</w:t>
      </w:r>
    </w:p>
    <w:p>
      <w:pPr>
        <w:pStyle w:val="DefinedTerms"/>
      </w:pPr>
      <w:r>
        <w:t>substance</w:t>
      </w:r>
      <w:r>
        <w:tab/>
        <w:t>5</w:t>
      </w:r>
    </w:p>
    <w:p>
      <w:pPr>
        <w:pStyle w:val="DefinedTerms"/>
      </w:pPr>
      <w:r>
        <w:t>supervised area</w:t>
      </w:r>
      <w:r>
        <w:tab/>
        <w:t>Sch. 26 cl. 9(1) and 10(1)</w:t>
      </w:r>
    </w:p>
    <w:p>
      <w:pPr>
        <w:pStyle w:val="DefinedTerms"/>
      </w:pPr>
      <w:r>
        <w:t>supplier</w:t>
      </w:r>
      <w:r>
        <w:tab/>
        <w:t>5</w:t>
      </w:r>
    </w:p>
    <w:p>
      <w:pPr>
        <w:pStyle w:val="DefinedTerms"/>
      </w:pPr>
      <w:r>
        <w:t>supply</w:t>
      </w:r>
      <w:r>
        <w:tab/>
        <w:t>8</w:t>
      </w:r>
    </w:p>
    <w:p>
      <w:pPr>
        <w:pStyle w:val="DefinedTerms"/>
      </w:pPr>
      <w:r>
        <w:t>surface contacts</w:t>
      </w:r>
      <w:r>
        <w:tab/>
        <w:t>675AA</w:t>
      </w:r>
    </w:p>
    <w:p>
      <w:pPr>
        <w:pStyle w:val="DefinedTerms"/>
      </w:pPr>
      <w:r>
        <w:t>Surveyor General</w:t>
      </w:r>
      <w:r>
        <w:tab/>
        <w:t>698E(1)</w:t>
      </w:r>
    </w:p>
    <w:p>
      <w:pPr>
        <w:pStyle w:val="DefinedTerms"/>
      </w:pPr>
      <w:r>
        <w:t>Surveyors Competence Advisory Committee</w:t>
      </w:r>
      <w:r>
        <w:tab/>
        <w:t>5</w:t>
      </w:r>
    </w:p>
    <w:p>
      <w:pPr>
        <w:pStyle w:val="DefinedTerms"/>
      </w:pPr>
      <w:r>
        <w:t>suspended scaffold</w:t>
      </w:r>
      <w:r>
        <w:tab/>
        <w:t>5</w:t>
      </w:r>
    </w:p>
    <w:p>
      <w:pPr>
        <w:pStyle w:val="DefinedTerms"/>
      </w:pPr>
      <w:r>
        <w:t>suspension</w:t>
      </w:r>
      <w:r>
        <w:tab/>
        <w:t>5</w:t>
      </w:r>
    </w:p>
    <w:p>
      <w:pPr>
        <w:pStyle w:val="DefinedTerms"/>
      </w:pPr>
      <w:r>
        <w:t>TAFE</w:t>
      </w:r>
      <w:r>
        <w:tab/>
        <w:t>5</w:t>
      </w:r>
    </w:p>
    <w:p>
      <w:pPr>
        <w:pStyle w:val="DefinedTerms"/>
      </w:pPr>
      <w:r>
        <w:t>technical name</w:t>
      </w:r>
      <w:r>
        <w:tab/>
        <w:t>5</w:t>
      </w:r>
    </w:p>
    <w:p>
      <w:pPr>
        <w:pStyle w:val="DefinedTerms"/>
      </w:pPr>
      <w:r>
        <w:t>temporary work platform</w:t>
      </w:r>
      <w:r>
        <w:tab/>
        <w:t>5</w:t>
      </w:r>
    </w:p>
    <w:p>
      <w:pPr>
        <w:pStyle w:val="DefinedTerms"/>
      </w:pPr>
      <w:r>
        <w:lastRenderedPageBreak/>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t>tractor</w:t>
      </w:r>
      <w:r>
        <w:tab/>
        <w:t>5</w:t>
      </w:r>
    </w:p>
    <w:p>
      <w:pPr>
        <w:pStyle w:val="DefinedTerms"/>
      </w:pPr>
      <w:r>
        <w:t>trailing cable</w:t>
      </w:r>
      <w:r>
        <w:tab/>
        <w:t>608A</w:t>
      </w:r>
    </w:p>
    <w:p>
      <w:pPr>
        <w:pStyle w:val="DefinedTerms"/>
      </w:pPr>
      <w:r>
        <w:t>trench</w:t>
      </w:r>
      <w:r>
        <w:tab/>
        <w:t>5</w:t>
      </w:r>
    </w:p>
    <w:p>
      <w:pPr>
        <w:pStyle w:val="DefinedTerms"/>
      </w:pPr>
      <w:r>
        <w:t>tunnel</w:t>
      </w:r>
      <w:r>
        <w:tab/>
        <w:t>5</w:t>
      </w:r>
    </w:p>
    <w:p>
      <w:pPr>
        <w:pStyle w:val="DefinedTerms"/>
      </w:pPr>
      <w:r>
        <w:t>TWA concentration</w:t>
      </w:r>
      <w:r>
        <w:tab/>
        <w:t>656B(1)</w:t>
      </w:r>
    </w:p>
    <w:p>
      <w:pPr>
        <w:pStyle w:val="DefinedTerms"/>
      </w:pPr>
      <w:r>
        <w:t>underground</w:t>
      </w:r>
      <w:r>
        <w:tab/>
        <w:t>5</w:t>
      </w:r>
    </w:p>
    <w:p>
      <w:pPr>
        <w:pStyle w:val="DefinedTerms"/>
      </w:pPr>
      <w:r>
        <w:t>underground coal mine</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underground manager (coal)</w:t>
      </w:r>
      <w:r>
        <w:tab/>
        <w:t>5</w:t>
      </w:r>
    </w:p>
    <w:p>
      <w:pPr>
        <w:pStyle w:val="DefinedTerms"/>
      </w:pPr>
      <w:r>
        <w:t>underground manager (non-coal)</w:t>
      </w:r>
      <w:r>
        <w:tab/>
        <w:t>5</w:t>
      </w:r>
    </w:p>
    <w:p>
      <w:pPr>
        <w:pStyle w:val="DefinedTerms"/>
      </w:pPr>
      <w:r>
        <w:t>underground mine</w:t>
      </w:r>
      <w:r>
        <w:tab/>
        <w:t>5</w:t>
      </w:r>
    </w:p>
    <w:p>
      <w:pPr>
        <w:pStyle w:val="DefinedTerms"/>
      </w:pPr>
      <w:r>
        <w:t>underground non-coal mine</w:t>
      </w:r>
      <w:r>
        <w:tab/>
        <w:t>5</w:t>
      </w:r>
    </w:p>
    <w:p>
      <w:pPr>
        <w:pStyle w:val="DefinedTerms"/>
      </w:pPr>
      <w:r>
        <w:t>underground operations</w:t>
      </w:r>
      <w:r>
        <w:tab/>
        <w:t>5</w:t>
      </w:r>
    </w:p>
    <w:p>
      <w:pPr>
        <w:pStyle w:val="DefinedTerms"/>
      </w:pPr>
      <w:r>
        <w:t>underground supervisor (coal)</w:t>
      </w:r>
      <w:r>
        <w:tab/>
        <w:t>5</w:t>
      </w:r>
    </w:p>
    <w:p>
      <w:pPr>
        <w:pStyle w:val="DefinedTerms"/>
      </w:pPr>
      <w:r>
        <w:t>underground supervisor (non-coal)</w:t>
      </w:r>
      <w:r>
        <w:tab/>
        <w:t>5</w:t>
      </w:r>
    </w:p>
    <w:p>
      <w:pPr>
        <w:pStyle w:val="DefinedTerms"/>
      </w:pPr>
      <w:r>
        <w:t>underground supervisor’s certificate</w:t>
      </w:r>
      <w:r>
        <w:tab/>
        <w:t>5</w:t>
      </w:r>
    </w:p>
    <w:p>
      <w:pPr>
        <w:pStyle w:val="DefinedTerms"/>
      </w:pPr>
      <w:r>
        <w:t>underground ventilation officer</w:t>
      </w:r>
      <w:r>
        <w:tab/>
        <w:t>5</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waiting period</w:t>
      </w:r>
      <w:r>
        <w:tab/>
        <w:t>675UK(1)</w:t>
      </w:r>
    </w:p>
    <w:p>
      <w:pPr>
        <w:pStyle w:val="DefinedTerms"/>
      </w:pPr>
      <w:r>
        <w:t>wall</w:t>
      </w:r>
      <w:r>
        <w:tab/>
        <w:t>5, 50A</w:t>
      </w:r>
    </w:p>
    <w:p>
      <w:pPr>
        <w:pStyle w:val="DefinedTerms"/>
      </w:pPr>
      <w:r>
        <w:t>warning notice</w:t>
      </w:r>
      <w:r>
        <w:tab/>
        <w:t>675UG(1)</w:t>
      </w:r>
    </w:p>
    <w:p>
      <w:pPr>
        <w:pStyle w:val="DefinedTerms"/>
      </w:pPr>
      <w:r>
        <w:t>WHS management plan</w:t>
      </w:r>
      <w:r>
        <w:tab/>
        <w:t>5, 313(1A)</w:t>
      </w:r>
    </w:p>
    <w:p>
      <w:pPr>
        <w:pStyle w:val="DefinedTerms"/>
      </w:pPr>
      <w:r>
        <w:t>winder</w:t>
      </w:r>
      <w:r>
        <w:tab/>
        <w:t>5</w:t>
      </w:r>
    </w:p>
    <w:p>
      <w:pPr>
        <w:pStyle w:val="DefinedTerms"/>
      </w:pPr>
      <w:r>
        <w:t>winding</w:t>
      </w:r>
      <w:r>
        <w:tab/>
        <w:t>5</w:t>
      </w:r>
    </w:p>
    <w:p>
      <w:pPr>
        <w:pStyle w:val="DefinedTerms"/>
      </w:pPr>
      <w:r>
        <w:t>winding engine driver</w:t>
      </w:r>
      <w:r>
        <w:tab/>
        <w:t>5</w:t>
      </w:r>
    </w:p>
    <w:p>
      <w:pPr>
        <w:pStyle w:val="DefinedTerms"/>
      </w:pPr>
      <w:r>
        <w:t>winding system</w:t>
      </w:r>
      <w:r>
        <w:tab/>
        <w:t>5</w:t>
      </w:r>
    </w:p>
    <w:p>
      <w:pPr>
        <w:pStyle w:val="DefinedTerms"/>
      </w:pPr>
      <w:r>
        <w:t>work box</w:t>
      </w:r>
      <w:r>
        <w:tab/>
        <w:t>5</w:t>
      </w:r>
    </w:p>
    <w:p>
      <w:pPr>
        <w:pStyle w:val="DefinedTerms"/>
      </w:pPr>
      <w:r>
        <w:t>worker monitoring plan</w:t>
      </w:r>
      <w:r>
        <w:tab/>
        <w:t>641I(1)</w:t>
      </w:r>
    </w:p>
    <w:p>
      <w:pPr>
        <w:pStyle w:val="DefinedTerms"/>
      </w:pPr>
      <w:r>
        <w:t>workers’ accommodation</w:t>
      </w:r>
      <w:r>
        <w:tab/>
        <w:t>55D(1A)</w:t>
      </w:r>
    </w:p>
    <w:p>
      <w:pPr>
        <w:pStyle w:val="DefinedTerms"/>
      </w:pPr>
      <w:r>
        <w:t>work positioning system</w:t>
      </w:r>
      <w:r>
        <w:tab/>
        <w:t>5</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B030F4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CBC2BAE" w14:textId="7B27D705" w:rsidR="002D14CF" w:rsidRDefault="002D14C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9E49B1C" w14:textId="77777777" w:rsidR="002D14CF" w:rsidRDefault="002D14C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1F6667" w14:textId="4344E589" w:rsidR="002D14CF" w:rsidRDefault="002D14C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9A8401A" w14:textId="77777777" w:rsidR="002D14CF" w:rsidRDefault="002D14C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dcxcii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dcxciv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dcxcii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18A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18A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Principal mining hazard management plans — matters to be considered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Principal mining hazard management plans — matters to be considered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Information to be included in notification of reportable incidents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Information to be included in notification of reportable incidents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fldChar w:fldCharType="end"/>
          </w:r>
        </w:p>
      </w:tc>
    </w:tr>
  </w:tbl>
  <w:p>
    <w:pPr>
      <w:pStyle w:val="Header"/>
      <w:pBdr>
        <w:top w:val="single" w:sz="4" w:space="1" w:color="auto"/>
      </w:pBdr>
    </w:pPr>
    <w:bookmarkStart w:id="1321" w:name="Schedule"/>
    <w:bookmarkEnd w:id="1321"/>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25" w:name="Compilation"/>
    <w:bookmarkEnd w:id="1325"/>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27" w:name="DefinedTerms"/>
    <w:bookmarkEnd w:id="1327"/>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28" w:name="Coversheet"/>
    <w:bookmarkEnd w:id="13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23"/>
  </w:num>
  <w:num w:numId="9">
    <w:abstractNumId w:val="18"/>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71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3122909450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 w:name="WAFER_20221222092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2092322_GUID" w:val="8324a07b-bd86-434d-b2f9-9f6a2a71bed5"/>
    <w:docVar w:name="WAFER_202303211312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58_GUID" w:val="fd012305-af28-467e-8a53-a17a4d329704"/>
    <w:docVar w:name="WAFER_20230804102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02742_GUID" w:val="c7fd2a3b-0cfd-4c82-8dc5-49db02ed481c"/>
    <w:docVar w:name="WAFER_20231229094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502_GUID" w:val="b2d97e28-8785-4a37-9277-e8804d9674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7137"/>
    <o:shapelayout v:ext="edit">
      <o:idmap v:ext="edit" data="1"/>
    </o:shapelayout>
  </w:shapeDefaults>
  <w:decimalSymbol w:val="."/>
  <w:listSeparator w:val=","/>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4033">
      <w:bodyDiv w:val="1"/>
      <w:marLeft w:val="0"/>
      <w:marRight w:val="0"/>
      <w:marTop w:val="0"/>
      <w:marBottom w:val="0"/>
      <w:divBdr>
        <w:top w:val="none" w:sz="0" w:space="0" w:color="auto"/>
        <w:left w:val="none" w:sz="0" w:space="0" w:color="auto"/>
        <w:bottom w:val="none" w:sz="0" w:space="0" w:color="auto"/>
        <w:right w:val="none" w:sz="0" w:space="0" w:color="auto"/>
      </w:divBdr>
    </w:div>
    <w:div w:id="48463849">
      <w:bodyDiv w:val="1"/>
      <w:marLeft w:val="0"/>
      <w:marRight w:val="0"/>
      <w:marTop w:val="0"/>
      <w:marBottom w:val="0"/>
      <w:divBdr>
        <w:top w:val="none" w:sz="0" w:space="0" w:color="auto"/>
        <w:left w:val="none" w:sz="0" w:space="0" w:color="auto"/>
        <w:bottom w:val="none" w:sz="0" w:space="0" w:color="auto"/>
        <w:right w:val="none" w:sz="0" w:space="0" w:color="auto"/>
      </w:divBdr>
    </w:div>
    <w:div w:id="95054377">
      <w:bodyDiv w:val="1"/>
      <w:marLeft w:val="0"/>
      <w:marRight w:val="0"/>
      <w:marTop w:val="0"/>
      <w:marBottom w:val="0"/>
      <w:divBdr>
        <w:top w:val="none" w:sz="0" w:space="0" w:color="auto"/>
        <w:left w:val="none" w:sz="0" w:space="0" w:color="auto"/>
        <w:bottom w:val="none" w:sz="0" w:space="0" w:color="auto"/>
        <w:right w:val="none" w:sz="0" w:space="0" w:color="auto"/>
      </w:divBdr>
    </w:div>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39510398">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3452558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12793199">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59199357">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jpe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C8A33-09C1-4BE2-80DA-5D2303C70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161134</Words>
  <Characters>804060</Characters>
  <Application>Microsoft Office Word</Application>
  <DocSecurity>0</DocSecurity>
  <Lines>23648</Lines>
  <Paragraphs>16359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2022 - 00-e0-01</dc:title>
  <dc:subject/>
  <dc:creator/>
  <cp:keywords/>
  <dc:description/>
  <cp:lastModifiedBy>Master Repository Process</cp:lastModifiedBy>
  <cp:revision>4</cp:revision>
  <cp:lastPrinted>2022-03-04T05:11:00Z</cp:lastPrinted>
  <dcterms:created xsi:type="dcterms:W3CDTF">2025-06-13T07:04:00Z</dcterms:created>
  <dcterms:modified xsi:type="dcterms:W3CDTF">2025-06-13T07:07:00Z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AsAtDate">
    <vt:lpwstr>10 Aug 2023</vt:lpwstr>
  </property>
  <property fmtid="{D5CDD505-2E9C-101B-9397-08002B2CF9AE}" pid="5" name="Suffix">
    <vt:lpwstr>00-e0-01</vt:lpwstr>
  </property>
  <property fmtid="{D5CDD505-2E9C-101B-9397-08002B2CF9AE}" pid="6" name="Official">
    <vt:lpwstr/>
  </property>
  <property fmtid="{D5CDD505-2E9C-101B-9397-08002B2CF9AE}" pid="7" name="CommencementDate">
    <vt:lpwstr>20230810</vt:lpwstr>
  </property>
  <property fmtid="{D5CDD505-2E9C-101B-9397-08002B2CF9AE}" pid="8" name="CommencementAsAt">
    <vt:filetime>2023-08-09T16:00:00Z</vt:filetime>
  </property>
  <property fmtid="{D5CDD505-2E9C-101B-9397-08002B2CF9AE}" pid="9" name="CommencementYear">
    <vt:lpwstr>2023</vt:lpwstr>
  </property>
</Properties>
</file>