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_Toc166767930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_Toc166767931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_Toc166767932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_Toc166767933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1M, 1MC</w:t>
      </w:r>
      <w:r>
        <w:tab/>
        <w:t>Taxable land</w:t>
      </w:r>
      <w:r>
        <w:tab/>
      </w:r>
      <w:r>
        <w:fldChar w:fldCharType="begin"/>
      </w:r>
      <w:r>
        <w:instrText xml:space="preserve"> PAGEREF _Toc166767936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_Toc166767937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_Toc166767938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_Toc166767939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_Toc166767940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_Toc166767941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_Toc166767943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_Toc166767944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_Toc166767945 \h </w:instrText>
      </w:r>
      <w:r>
        <w:fldChar w:fldCharType="separate"/>
      </w:r>
      <w:r>
        <w:t>8</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_Toc166767946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_Toc166767947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_Toc166767948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Tax payable on newly subdivided dwelling or residential parks</w:t>
      </w:r>
      <w:r>
        <w:tab/>
      </w:r>
      <w:r>
        <w:fldChar w:fldCharType="begin"/>
      </w:r>
      <w:r>
        <w:instrText xml:space="preserve"> PAGEREF _Toc166767949 \h </w:instrText>
      </w:r>
      <w:r>
        <w:fldChar w:fldCharType="separate"/>
      </w:r>
      <w:r>
        <w:t>13</w:t>
      </w:r>
      <w:r>
        <w:fldChar w:fldCharType="end"/>
      </w:r>
    </w:p>
    <w:p>
      <w:pPr>
        <w:pStyle w:val="TOC8"/>
        <w:rPr>
          <w:rFonts w:asciiTheme="minorHAnsi" w:eastAsiaTheme="minorEastAsia" w:hAnsiTheme="minorHAnsi" w:cstheme="minorBidi"/>
          <w:szCs w:val="22"/>
        </w:rPr>
      </w:pPr>
      <w:r>
        <w:t>15B.</w:t>
      </w:r>
      <w:r>
        <w:tab/>
        <w:t>Tax payable on land containing former exempt build</w:t>
      </w:r>
      <w:r>
        <w:noBreakHyphen/>
        <w:t>to</w:t>
      </w:r>
      <w:r>
        <w:noBreakHyphen/>
        <w:t>rent developments</w:t>
      </w:r>
      <w:r>
        <w:tab/>
      </w:r>
      <w:r>
        <w:fldChar w:fldCharType="begin"/>
      </w:r>
      <w:r>
        <w:instrText xml:space="preserve"> PAGEREF _Toc166767950 \h </w:instrText>
      </w:r>
      <w:r>
        <w:fldChar w:fldCharType="separate"/>
      </w:r>
      <w:r>
        <w:t>14</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_Toc166767951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_Toc166767954 \h </w:instrText>
      </w:r>
      <w:r>
        <w:fldChar w:fldCharType="separate"/>
      </w:r>
      <w:r>
        <w:t>18</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_Toc166767955 \h </w:instrText>
      </w:r>
      <w:r>
        <w:fldChar w:fldCharType="separate"/>
      </w:r>
      <w:r>
        <w:t>18</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_Toc166767956 \h </w:instrText>
      </w:r>
      <w:r>
        <w:fldChar w:fldCharType="separate"/>
      </w:r>
      <w:r>
        <w:t>19</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_Toc166767957 \h </w:instrText>
      </w:r>
      <w:r>
        <w:fldChar w:fldCharType="separate"/>
      </w:r>
      <w:r>
        <w:t>20</w:t>
      </w:r>
      <w:r>
        <w:fldChar w:fldCharType="end"/>
      </w:r>
    </w:p>
    <w:p>
      <w:pPr>
        <w:pStyle w:val="TOC8"/>
        <w:rPr>
          <w:rFonts w:asciiTheme="minorHAnsi" w:eastAsiaTheme="minorEastAsia" w:hAnsiTheme="minorHAnsi" w:cstheme="minorBidi"/>
          <w:szCs w:val="22"/>
        </w:rPr>
      </w:pPr>
      <w:r>
        <w:t>20.</w:t>
      </w:r>
      <w:r>
        <w:tab/>
        <w:t>Commissioner’s power to grant exemption or concession for land</w:t>
      </w:r>
      <w:r>
        <w:tab/>
      </w:r>
      <w:r>
        <w:fldChar w:fldCharType="begin"/>
      </w:r>
      <w:r>
        <w:instrText xml:space="preserve"> PAGEREF _Toc166767958 \h </w:instrText>
      </w:r>
      <w:r>
        <w:fldChar w:fldCharType="separate"/>
      </w:r>
      <w:r>
        <w:t>21</w:t>
      </w:r>
      <w:r>
        <w:fldChar w:fldCharType="end"/>
      </w:r>
    </w:p>
    <w:p>
      <w:pPr>
        <w:pStyle w:val="TOC8"/>
        <w:rPr>
          <w:rFonts w:asciiTheme="minorHAnsi" w:eastAsiaTheme="minorEastAsia" w:hAnsiTheme="minorHAnsi" w:cstheme="minorBidi"/>
          <w:szCs w:val="22"/>
        </w:rPr>
      </w:pPr>
      <w:r>
        <w:t>20A.</w:t>
      </w:r>
      <w:r>
        <w:tab/>
        <w:t>Owner of land subject to exemption or concession may be required to notify Commissioner of event or circumstance</w:t>
      </w:r>
      <w:r>
        <w:tab/>
      </w:r>
      <w:r>
        <w:fldChar w:fldCharType="begin"/>
      </w:r>
      <w:r>
        <w:instrText xml:space="preserve"> PAGEREF _Toc166767959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_Toc166767962 \h </w:instrText>
      </w:r>
      <w:r>
        <w:fldChar w:fldCharType="separate"/>
      </w:r>
      <w:r>
        <w:t>25</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_Toc166767963 \h </w:instrText>
      </w:r>
      <w:r>
        <w:fldChar w:fldCharType="separate"/>
      </w:r>
      <w:r>
        <w:t>26</w:t>
      </w:r>
      <w:r>
        <w:fldChar w:fldCharType="end"/>
      </w:r>
    </w:p>
    <w:p>
      <w:pPr>
        <w:pStyle w:val="TOC8"/>
        <w:rPr>
          <w:rFonts w:asciiTheme="minorHAnsi" w:eastAsiaTheme="minorEastAsia" w:hAnsiTheme="minorHAnsi" w:cstheme="minorBidi"/>
          <w:szCs w:val="22"/>
        </w:rPr>
      </w:pPr>
      <w:r>
        <w:t>23A.</w:t>
      </w:r>
      <w:r>
        <w:tab/>
        <w:t>Exemption for residence owned by executor or administrator if beneficiary in will has right to future ownership and is resident</w:t>
      </w:r>
      <w:r>
        <w:tab/>
      </w:r>
      <w:r>
        <w:fldChar w:fldCharType="begin"/>
      </w:r>
      <w:r>
        <w:instrText xml:space="preserve"> PAGEREF _Toc166767964 \h </w:instrText>
      </w:r>
      <w:r>
        <w:fldChar w:fldCharType="separate"/>
      </w:r>
      <w:r>
        <w:t>27</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_Toc166767965 \h </w:instrText>
      </w:r>
      <w:r>
        <w:fldChar w:fldCharType="separate"/>
      </w:r>
      <w:r>
        <w:t>27</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_Toc166767966 \h </w:instrText>
      </w:r>
      <w:r>
        <w:fldChar w:fldCharType="separate"/>
      </w:r>
      <w:r>
        <w:t>29</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_Toc166767967 \h </w:instrText>
      </w:r>
      <w:r>
        <w:fldChar w:fldCharType="separate"/>
      </w:r>
      <w:r>
        <w:t>30</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_Toc166767968 \h </w:instrText>
      </w:r>
      <w:r>
        <w:fldChar w:fldCharType="separate"/>
      </w:r>
      <w:r>
        <w:t>31</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_Toc166767969 \h </w:instrText>
      </w:r>
      <w:r>
        <w:fldChar w:fldCharType="separate"/>
      </w:r>
      <w:r>
        <w:t>32</w:t>
      </w:r>
      <w:r>
        <w:fldChar w:fldCharType="end"/>
      </w:r>
    </w:p>
    <w:p>
      <w:pPr>
        <w:pStyle w:val="TOC8"/>
        <w:rPr>
          <w:rFonts w:asciiTheme="minorHAnsi" w:eastAsiaTheme="minorEastAsia" w:hAnsiTheme="minorHAnsi" w:cstheme="minorBidi"/>
          <w:szCs w:val="22"/>
        </w:rPr>
      </w:pPr>
      <w:r>
        <w:t>26.</w:t>
      </w:r>
      <w:r>
        <w:tab/>
        <w:t>Exemption for residence of disabled person held in trust</w:t>
      </w:r>
      <w:r>
        <w:tab/>
      </w:r>
      <w:r>
        <w:fldChar w:fldCharType="begin"/>
      </w:r>
      <w:r>
        <w:instrText xml:space="preserve"> PAGEREF _Toc166767970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26A.</w:t>
      </w:r>
      <w:r>
        <w:tab/>
        <w:t>Exemption for residence of disabled person owned by relative</w:t>
      </w:r>
      <w:r>
        <w:tab/>
      </w:r>
      <w:r>
        <w:fldChar w:fldCharType="begin"/>
      </w:r>
      <w:r>
        <w:instrText xml:space="preserve"> PAGEREF _Toc166767971 \h </w:instrText>
      </w:r>
      <w:r>
        <w:fldChar w:fldCharType="separate"/>
      </w:r>
      <w:r>
        <w:t>34</w:t>
      </w:r>
      <w:r>
        <w:fldChar w:fldCharType="end"/>
      </w:r>
    </w:p>
    <w:p>
      <w:pPr>
        <w:pStyle w:val="TOC8"/>
        <w:rPr>
          <w:rFonts w:asciiTheme="minorHAnsi" w:eastAsiaTheme="minorEastAsia" w:hAnsiTheme="minorHAnsi" w:cstheme="minorBidi"/>
          <w:szCs w:val="22"/>
        </w:rPr>
      </w:pPr>
      <w:r>
        <w:t>26B.</w:t>
      </w:r>
      <w:r>
        <w:tab/>
        <w:t>Exemption for property owned by individual in care</w:t>
      </w:r>
      <w:r>
        <w:tab/>
      </w:r>
      <w:r>
        <w:fldChar w:fldCharType="begin"/>
      </w:r>
      <w:r>
        <w:instrText xml:space="preserve"> PAGEREF _Toc166767972 \h </w:instrText>
      </w:r>
      <w:r>
        <w:fldChar w:fldCharType="separate"/>
      </w:r>
      <w:r>
        <w:t>35</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_Toc166767973 \h </w:instrText>
      </w:r>
      <w:r>
        <w:fldChar w:fldCharType="separate"/>
      </w:r>
      <w:r>
        <w:t>37</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_Toc166767974 \h </w:instrText>
      </w:r>
      <w:r>
        <w:fldChar w:fldCharType="separate"/>
      </w:r>
      <w:r>
        <w:t>38</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_Toc166767975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_Toc166767977 \h </w:instrText>
      </w:r>
      <w:r>
        <w:fldChar w:fldCharType="separate"/>
      </w:r>
      <w:r>
        <w:t>43</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_Toc166767978 \h </w:instrText>
      </w:r>
      <w:r>
        <w:fldChar w:fldCharType="separate"/>
      </w:r>
      <w:r>
        <w:t>43</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_Toc166767979 \h </w:instrText>
      </w:r>
      <w:r>
        <w:fldChar w:fldCharType="separate"/>
      </w:r>
      <w:r>
        <w:t>45</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_Toc166767980 \h </w:instrText>
      </w:r>
      <w:r>
        <w:fldChar w:fldCharType="separate"/>
      </w:r>
      <w:r>
        <w:t>45</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_Toc166767981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_Toc166767984 \h </w:instrText>
      </w:r>
      <w:r>
        <w:fldChar w:fldCharType="separate"/>
      </w:r>
      <w:r>
        <w:t>47</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_Toc166767985 \h </w:instrText>
      </w:r>
      <w:r>
        <w:fldChar w:fldCharType="separate"/>
      </w:r>
      <w:r>
        <w:t>48</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_Toc166767986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_Toc166767988 \h </w:instrText>
      </w:r>
      <w:r>
        <w:fldChar w:fldCharType="separate"/>
      </w:r>
      <w:r>
        <w:t>50</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_Toc166767989 \h </w:instrText>
      </w:r>
      <w:r>
        <w:fldChar w:fldCharType="separate"/>
      </w:r>
      <w:r>
        <w:t>50</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_Toc166767990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_Toc166767992 \h </w:instrText>
      </w:r>
      <w:r>
        <w:fldChar w:fldCharType="separate"/>
      </w:r>
      <w:r>
        <w:t>52</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_Toc166767993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30I.</w:t>
      </w:r>
      <w:r>
        <w:tab/>
        <w:t>Persons related to family owner who is an individual</w:t>
      </w:r>
      <w:r>
        <w:tab/>
      </w:r>
      <w:r>
        <w:fldChar w:fldCharType="begin"/>
      </w:r>
      <w:r>
        <w:instrText xml:space="preserve"> PAGEREF _Toc166767994 \h </w:instrText>
      </w:r>
      <w:r>
        <w:fldChar w:fldCharType="separate"/>
      </w:r>
      <w:r>
        <w:t>53</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_Toc166767995 \h </w:instrText>
      </w:r>
      <w:r>
        <w:fldChar w:fldCharType="separate"/>
      </w:r>
      <w:r>
        <w:t>54</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_Toc166767996 \h </w:instrText>
      </w:r>
      <w:r>
        <w:fldChar w:fldCharType="separate"/>
      </w:r>
      <w:r>
        <w:t>54</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_Toc166767997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_Toc166767999 \h </w:instrText>
      </w:r>
      <w:r>
        <w:fldChar w:fldCharType="separate"/>
      </w:r>
      <w:r>
        <w:t>56</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_Toc166768000 \h </w:instrText>
      </w:r>
      <w:r>
        <w:fldChar w:fldCharType="separate"/>
      </w:r>
      <w:r>
        <w:t>57</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_Toc166768001 \h </w:instrText>
      </w:r>
      <w:r>
        <w:fldChar w:fldCharType="separate"/>
      </w:r>
      <w:r>
        <w:t>58</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_Toc166768002 \h </w:instrText>
      </w:r>
      <w:r>
        <w:fldChar w:fldCharType="separate"/>
      </w:r>
      <w:r>
        <w:t>60</w:t>
      </w:r>
      <w:r>
        <w:fldChar w:fldCharType="end"/>
      </w:r>
    </w:p>
    <w:p>
      <w:pPr>
        <w:pStyle w:val="TOC8"/>
        <w:rPr>
          <w:rFonts w:asciiTheme="minorHAnsi" w:eastAsiaTheme="minorEastAsia" w:hAnsiTheme="minorHAnsi" w:cstheme="minorBidi"/>
          <w:szCs w:val="22"/>
        </w:rPr>
      </w:pPr>
      <w:r>
        <w:t>35.</w:t>
      </w:r>
      <w:r>
        <w:tab/>
        <w:t>Exemption for mining tenements</w:t>
      </w:r>
      <w:r>
        <w:tab/>
      </w:r>
      <w:r>
        <w:fldChar w:fldCharType="begin"/>
      </w:r>
      <w:r>
        <w:instrText xml:space="preserve"> PAGEREF _Toc166768003 \h </w:instrText>
      </w:r>
      <w:r>
        <w:fldChar w:fldCharType="separate"/>
      </w:r>
      <w:r>
        <w:t>60</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_Toc166768004 \h </w:instrText>
      </w:r>
      <w:r>
        <w:fldChar w:fldCharType="separate"/>
      </w:r>
      <w:r>
        <w:t>60</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_Toc166768005 \h </w:instrText>
      </w:r>
      <w:r>
        <w:fldChar w:fldCharType="separate"/>
      </w:r>
      <w:r>
        <w:t>61</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_Toc166768006 \h </w:instrText>
      </w:r>
      <w:r>
        <w:fldChar w:fldCharType="separate"/>
      </w:r>
      <w:r>
        <w:t>61</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_Toc166768007 \h </w:instrText>
      </w:r>
      <w:r>
        <w:fldChar w:fldCharType="separate"/>
      </w:r>
      <w:r>
        <w:t>62</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_Toc166768008 \h </w:instrText>
      </w:r>
      <w:r>
        <w:fldChar w:fldCharType="separate"/>
      </w:r>
      <w:r>
        <w:t>63</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_Toc166768009 \h </w:instrText>
      </w:r>
      <w:r>
        <w:fldChar w:fldCharType="separate"/>
      </w:r>
      <w:r>
        <w:t>65</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_Toc166768010 \h </w:instrText>
      </w:r>
      <w:r>
        <w:fldChar w:fldCharType="separate"/>
      </w:r>
      <w:r>
        <w:t>66</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_Toc166768011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4A — Land used for dwelling or residential parks</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_Toc166768013 \h </w:instrText>
      </w:r>
      <w:r>
        <w:fldChar w:fldCharType="separate"/>
      </w:r>
      <w:r>
        <w:t>67</w:t>
      </w:r>
      <w:r>
        <w:fldChar w:fldCharType="end"/>
      </w:r>
    </w:p>
    <w:p>
      <w:pPr>
        <w:pStyle w:val="TOC8"/>
        <w:rPr>
          <w:rFonts w:asciiTheme="minorHAnsi" w:eastAsiaTheme="minorEastAsia" w:hAnsiTheme="minorHAnsi" w:cstheme="minorBidi"/>
          <w:szCs w:val="22"/>
        </w:rPr>
      </w:pPr>
      <w:r>
        <w:t>39B.</w:t>
      </w:r>
      <w:r>
        <w:tab/>
        <w:t>Exemption for land in dwelling or residential parks</w:t>
      </w:r>
      <w:r>
        <w:tab/>
      </w:r>
      <w:r>
        <w:fldChar w:fldCharType="begin"/>
      </w:r>
      <w:r>
        <w:instrText xml:space="preserve"> PAGEREF _Toc166768014 \h </w:instrText>
      </w:r>
      <w:r>
        <w:fldChar w:fldCharType="separate"/>
      </w:r>
      <w:r>
        <w:t>69</w:t>
      </w:r>
      <w:r>
        <w:fldChar w:fldCharType="end"/>
      </w:r>
    </w:p>
    <w:p>
      <w:pPr>
        <w:pStyle w:val="TOC8"/>
        <w:rPr>
          <w:rFonts w:asciiTheme="minorHAnsi" w:eastAsiaTheme="minorEastAsia" w:hAnsiTheme="minorHAnsi" w:cstheme="minorBidi"/>
          <w:szCs w:val="22"/>
        </w:rPr>
      </w:pPr>
      <w:r>
        <w:t>39C.</w:t>
      </w:r>
      <w:r>
        <w:tab/>
        <w:t>Calculating percentage for exemption for dwelling or residential parks</w:t>
      </w:r>
      <w:r>
        <w:tab/>
      </w:r>
      <w:r>
        <w:fldChar w:fldCharType="begin"/>
      </w:r>
      <w:r>
        <w:instrText xml:space="preserve"> PAGEREF _Toc166768015 \h </w:instrText>
      </w:r>
      <w:r>
        <w:fldChar w:fldCharType="separate"/>
      </w:r>
      <w:r>
        <w:t>69</w:t>
      </w:r>
      <w:r>
        <w:fldChar w:fldCharType="end"/>
      </w:r>
    </w:p>
    <w:p>
      <w:pPr>
        <w:pStyle w:val="TOC8"/>
        <w:rPr>
          <w:rFonts w:asciiTheme="minorHAnsi" w:eastAsiaTheme="minorEastAsia" w:hAnsiTheme="minorHAnsi" w:cstheme="minorBidi"/>
          <w:szCs w:val="22"/>
        </w:rPr>
      </w:pPr>
      <w:r>
        <w:t>39D.</w:t>
      </w:r>
      <w:r>
        <w:tab/>
        <w:t>Provisions about calculations under s. 39C</w:t>
      </w:r>
      <w:r>
        <w:tab/>
      </w:r>
      <w:r>
        <w:fldChar w:fldCharType="begin"/>
      </w:r>
      <w:r>
        <w:instrText xml:space="preserve"> PAGEREF _Toc166768016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4B — Land used for build</w:t>
      </w:r>
      <w:r>
        <w:noBreakHyphen/>
        <w:t>to</w:t>
      </w:r>
      <w:r>
        <w:noBreakHyphen/>
        <w:t>rent developments</w:t>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_Toc166768018 \h </w:instrText>
      </w:r>
      <w:r>
        <w:fldChar w:fldCharType="separate"/>
      </w:r>
      <w:r>
        <w:t>72</w:t>
      </w:r>
      <w:r>
        <w:fldChar w:fldCharType="end"/>
      </w:r>
    </w:p>
    <w:p>
      <w:pPr>
        <w:pStyle w:val="TOC8"/>
        <w:rPr>
          <w:rFonts w:asciiTheme="minorHAnsi" w:eastAsiaTheme="minorEastAsia" w:hAnsiTheme="minorHAnsi" w:cstheme="minorBidi"/>
          <w:szCs w:val="22"/>
        </w:rPr>
      </w:pPr>
      <w:r>
        <w:t>39F.</w:t>
      </w:r>
      <w:r>
        <w:tab/>
        <w:t>Requirements for exemption relating to build</w:t>
      </w:r>
      <w:r>
        <w:noBreakHyphen/>
        <w:t>to</w:t>
      </w:r>
      <w:r>
        <w:noBreakHyphen/>
        <w:t>rent development</w:t>
      </w:r>
      <w:r>
        <w:tab/>
      </w:r>
      <w:r>
        <w:fldChar w:fldCharType="begin"/>
      </w:r>
      <w:r>
        <w:instrText xml:space="preserve"> PAGEREF _Toc166768019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39G.</w:t>
      </w:r>
      <w:r>
        <w:tab/>
        <w:t>Exceptions to leasing restrictions for exempt development</w:t>
      </w:r>
      <w:r>
        <w:tab/>
      </w:r>
      <w:r>
        <w:fldChar w:fldCharType="begin"/>
      </w:r>
      <w:r>
        <w:instrText xml:space="preserve"> PAGEREF _Toc166768020 \h </w:instrText>
      </w:r>
      <w:r>
        <w:fldChar w:fldCharType="separate"/>
      </w:r>
      <w:r>
        <w:t>75</w:t>
      </w:r>
      <w:r>
        <w:fldChar w:fldCharType="end"/>
      </w:r>
    </w:p>
    <w:p>
      <w:pPr>
        <w:pStyle w:val="TOC8"/>
        <w:rPr>
          <w:rFonts w:asciiTheme="minorHAnsi" w:eastAsiaTheme="minorEastAsia" w:hAnsiTheme="minorHAnsi" w:cstheme="minorBidi"/>
          <w:szCs w:val="22"/>
        </w:rPr>
      </w:pPr>
      <w:r>
        <w:t>39H.</w:t>
      </w:r>
      <w:r>
        <w:tab/>
        <w:t>Managing entities for exempt development</w:t>
      </w:r>
      <w:r>
        <w:tab/>
      </w:r>
      <w:r>
        <w:fldChar w:fldCharType="begin"/>
      </w:r>
      <w:r>
        <w:instrText xml:space="preserve"> PAGEREF _Toc166768021 \h </w:instrText>
      </w:r>
      <w:r>
        <w:fldChar w:fldCharType="separate"/>
      </w:r>
      <w:r>
        <w:t>75</w:t>
      </w:r>
      <w:r>
        <w:fldChar w:fldCharType="end"/>
      </w:r>
    </w:p>
    <w:p>
      <w:pPr>
        <w:pStyle w:val="TOC8"/>
        <w:rPr>
          <w:rFonts w:asciiTheme="minorHAnsi" w:eastAsiaTheme="minorEastAsia" w:hAnsiTheme="minorHAnsi" w:cstheme="minorBidi"/>
          <w:szCs w:val="22"/>
        </w:rPr>
      </w:pPr>
      <w:r>
        <w:t>39I.</w:t>
      </w:r>
      <w:r>
        <w:tab/>
        <w:t>Exemption for build</w:t>
      </w:r>
      <w:r>
        <w:noBreakHyphen/>
        <w:t>to</w:t>
      </w:r>
      <w:r>
        <w:noBreakHyphen/>
        <w:t>rent developments</w:t>
      </w:r>
      <w:r>
        <w:tab/>
      </w:r>
      <w:r>
        <w:fldChar w:fldCharType="begin"/>
      </w:r>
      <w:r>
        <w:instrText xml:space="preserve"> PAGEREF _Toc166768022 \h </w:instrText>
      </w:r>
      <w:r>
        <w:fldChar w:fldCharType="separate"/>
      </w:r>
      <w:r>
        <w:t>76</w:t>
      </w:r>
      <w:r>
        <w:fldChar w:fldCharType="end"/>
      </w:r>
    </w:p>
    <w:p>
      <w:pPr>
        <w:pStyle w:val="TOC8"/>
        <w:rPr>
          <w:rFonts w:asciiTheme="minorHAnsi" w:eastAsiaTheme="minorEastAsia" w:hAnsiTheme="minorHAnsi" w:cstheme="minorBidi"/>
          <w:szCs w:val="22"/>
        </w:rPr>
      </w:pPr>
      <w:r>
        <w:t>39J.</w:t>
      </w:r>
      <w:r>
        <w:tab/>
        <w:t>Limits on eligibility for build</w:t>
      </w:r>
      <w:r>
        <w:noBreakHyphen/>
        <w:t>to</w:t>
      </w:r>
      <w:r>
        <w:noBreakHyphen/>
        <w:t>rent exemption</w:t>
      </w:r>
      <w:r>
        <w:tab/>
      </w:r>
      <w:r>
        <w:fldChar w:fldCharType="begin"/>
      </w:r>
      <w:r>
        <w:instrText xml:space="preserve"> PAGEREF _Toc166768023 \h </w:instrText>
      </w:r>
      <w:r>
        <w:fldChar w:fldCharType="separate"/>
      </w:r>
      <w:r>
        <w:t>76</w:t>
      </w:r>
      <w:r>
        <w:fldChar w:fldCharType="end"/>
      </w:r>
    </w:p>
    <w:p>
      <w:pPr>
        <w:pStyle w:val="TOC8"/>
        <w:rPr>
          <w:rFonts w:asciiTheme="minorHAnsi" w:eastAsiaTheme="minorEastAsia" w:hAnsiTheme="minorHAnsi" w:cstheme="minorBidi"/>
          <w:szCs w:val="22"/>
        </w:rPr>
      </w:pPr>
      <w:r>
        <w:t>39K.</w:t>
      </w:r>
      <w:r>
        <w:tab/>
        <w:t>Exemption percentage where buildings partially used for build</w:t>
      </w:r>
      <w:r>
        <w:noBreakHyphen/>
        <w:t>to</w:t>
      </w:r>
      <w:r>
        <w:noBreakHyphen/>
        <w:t>rent dwellings</w:t>
      </w:r>
      <w:r>
        <w:tab/>
      </w:r>
      <w:r>
        <w:fldChar w:fldCharType="begin"/>
      </w:r>
      <w:r>
        <w:instrText xml:space="preserve"> PAGEREF _Toc166768024 \h </w:instrText>
      </w:r>
      <w:r>
        <w:fldChar w:fldCharType="separate"/>
      </w:r>
      <w:r>
        <w:t>77</w:t>
      </w:r>
      <w:r>
        <w:fldChar w:fldCharType="end"/>
      </w:r>
    </w:p>
    <w:p>
      <w:pPr>
        <w:pStyle w:val="TOC8"/>
        <w:rPr>
          <w:rFonts w:asciiTheme="minorHAnsi" w:eastAsiaTheme="minorEastAsia" w:hAnsiTheme="minorHAnsi" w:cstheme="minorBidi"/>
          <w:szCs w:val="22"/>
        </w:rPr>
      </w:pPr>
      <w:r>
        <w:t>39L.</w:t>
      </w:r>
      <w:r>
        <w:tab/>
        <w:t>Taxable value of land subject to partial build</w:t>
      </w:r>
      <w:r>
        <w:noBreakHyphen/>
        <w:t>to</w:t>
      </w:r>
      <w:r>
        <w:noBreakHyphen/>
        <w:t>rent exemptions</w:t>
      </w:r>
      <w:r>
        <w:tab/>
      </w:r>
      <w:r>
        <w:fldChar w:fldCharType="begin"/>
      </w:r>
      <w:r>
        <w:instrText xml:space="preserve"> PAGEREF _Toc166768025 \h </w:instrText>
      </w:r>
      <w:r>
        <w:fldChar w:fldCharType="separate"/>
      </w:r>
      <w:r>
        <w:t>78</w:t>
      </w:r>
      <w:r>
        <w:fldChar w:fldCharType="end"/>
      </w:r>
    </w:p>
    <w:p>
      <w:pPr>
        <w:pStyle w:val="TOC8"/>
        <w:rPr>
          <w:rFonts w:asciiTheme="minorHAnsi" w:eastAsiaTheme="minorEastAsia" w:hAnsiTheme="minorHAnsi" w:cstheme="minorBidi"/>
          <w:szCs w:val="22"/>
        </w:rPr>
      </w:pPr>
      <w:r>
        <w:t>39M.</w:t>
      </w:r>
      <w:r>
        <w:tab/>
        <w:t>Application for build</w:t>
      </w:r>
      <w:r>
        <w:noBreakHyphen/>
        <w:t>to</w:t>
      </w:r>
      <w:r>
        <w:noBreakHyphen/>
        <w:t>rent exemption</w:t>
      </w:r>
      <w:r>
        <w:tab/>
      </w:r>
      <w:r>
        <w:fldChar w:fldCharType="begin"/>
      </w:r>
      <w:r>
        <w:instrText xml:space="preserve"> PAGEREF _Toc166768026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_Toc166768028 \h </w:instrText>
      </w:r>
      <w:r>
        <w:fldChar w:fldCharType="separate"/>
      </w:r>
      <w:r>
        <w:t>79</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_Toc166768029 \h </w:instrText>
      </w:r>
      <w:r>
        <w:fldChar w:fldCharType="separate"/>
      </w:r>
      <w:r>
        <w:t>79</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_Toc166768030 \h </w:instrText>
      </w:r>
      <w:r>
        <w:fldChar w:fldCharType="separate"/>
      </w:r>
      <w:r>
        <w:t>80</w:t>
      </w:r>
      <w:r>
        <w:fldChar w:fldCharType="end"/>
      </w:r>
    </w:p>
    <w:p>
      <w:pPr>
        <w:pStyle w:val="TOC8"/>
        <w:rPr>
          <w:rFonts w:asciiTheme="minorHAnsi" w:eastAsiaTheme="minorEastAsia" w:hAnsiTheme="minorHAnsi" w:cstheme="minorBidi"/>
          <w:szCs w:val="22"/>
        </w:rPr>
      </w:pPr>
      <w:r>
        <w:t>42.</w:t>
      </w:r>
      <w:r>
        <w:tab/>
        <w:t>One year exemption for land vacated for sale by mortgagee</w:t>
      </w:r>
      <w:r>
        <w:tab/>
      </w:r>
      <w:r>
        <w:fldChar w:fldCharType="begin"/>
      </w:r>
      <w:r>
        <w:instrText xml:space="preserve"> PAGEREF _Toc166768031 \h </w:instrText>
      </w:r>
      <w:r>
        <w:fldChar w:fldCharType="separate"/>
      </w:r>
      <w:r>
        <w:t>80</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_Toc166768032 \h </w:instrText>
      </w:r>
      <w:r>
        <w:fldChar w:fldCharType="separate"/>
      </w:r>
      <w:r>
        <w:t>81</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_Toc166768033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_Toc166768035 \h </w:instrText>
      </w:r>
      <w:r>
        <w:fldChar w:fldCharType="separate"/>
      </w:r>
      <w:r>
        <w:t>84</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_Toc166768036 \h </w:instrText>
      </w:r>
      <w:r>
        <w:fldChar w:fldCharType="separate"/>
      </w:r>
      <w:r>
        <w:t>84</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_Toc166768037 \h </w:instrText>
      </w:r>
      <w:r>
        <w:fldChar w:fldCharType="separate"/>
      </w:r>
      <w:r>
        <w:t>85</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_Toc166768038 \h </w:instrText>
      </w:r>
      <w:r>
        <w:fldChar w:fldCharType="separate"/>
      </w:r>
      <w:r>
        <w:t>86</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_Toc166768039 \h </w:instrText>
      </w:r>
      <w:r>
        <w:fldChar w:fldCharType="separate"/>
      </w:r>
      <w:r>
        <w:t>87</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_Toc166768040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_Toc166768043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_Toc166768045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_Toc166768047 \h </w:instrText>
      </w:r>
      <w:r>
        <w:fldChar w:fldCharType="separate"/>
      </w:r>
      <w:r>
        <w:t>90</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_Toc166768048 \h </w:instrText>
      </w:r>
      <w:r>
        <w:fldChar w:fldCharType="separate"/>
      </w:r>
      <w:r>
        <w:t>90</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_Toc166768049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_Toc166768052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_Toc166768054 \h </w:instrText>
      </w:r>
      <w:r>
        <w:fldChar w:fldCharType="separate"/>
      </w:r>
      <w:r>
        <w:t>92</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_Toc166768055 \h </w:instrText>
      </w:r>
      <w:r>
        <w:fldChar w:fldCharType="separate"/>
      </w:r>
      <w:r>
        <w:t>92</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_Toc166768056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_Toc166768058 \h </w:instrText>
      </w:r>
      <w:r>
        <w:fldChar w:fldCharType="separate"/>
      </w:r>
      <w:r>
        <w:t>93</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_Toc166768059 \h </w:instrText>
      </w:r>
      <w:r>
        <w:fldChar w:fldCharType="separate"/>
      </w:r>
      <w:r>
        <w:t>94</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_Toc166768060 \h </w:instrText>
      </w:r>
      <w:r>
        <w:fldChar w:fldCharType="separate"/>
      </w:r>
      <w:r>
        <w:t>95</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_Toc166768061 \h </w:instrText>
      </w:r>
      <w:r>
        <w:fldChar w:fldCharType="separate"/>
      </w:r>
      <w:r>
        <w:t>96</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_Toc166768062 \h </w:instrText>
      </w:r>
      <w:r>
        <w:fldChar w:fldCharType="separate"/>
      </w:r>
      <w:r>
        <w:t>96</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_Toc166768063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_Toc166768065 \h </w:instrText>
      </w:r>
      <w:r>
        <w:fldChar w:fldCharType="separate"/>
      </w:r>
      <w:r>
        <w:t>97</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_Toc166768066 \h </w:instrText>
      </w:r>
      <w:r>
        <w:fldChar w:fldCharType="separate"/>
      </w:r>
      <w:r>
        <w:t>97</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_Toc166768067 \h </w:instrText>
      </w:r>
      <w:r>
        <w:fldChar w:fldCharType="separate"/>
      </w:r>
      <w:r>
        <w:t>98</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_Toc166768068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_Toc166768070 \h </w:instrText>
      </w:r>
      <w:r>
        <w:fldChar w:fldCharType="separate"/>
      </w:r>
      <w:r>
        <w:t>99</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_Toc166768071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b w:val="0"/>
        </w:rPr>
        <w:t> — </w:t>
      </w:r>
      <w:r>
        <w:t xml:space="preserve">Provisions for </w:t>
      </w:r>
      <w:r>
        <w:rPr>
          <w:i/>
        </w:rPr>
        <w:t>Land Tax Assessment Amendment Act 2022</w:t>
      </w:r>
    </w:p>
    <w:p>
      <w:pPr>
        <w:pStyle w:val="TOC8"/>
        <w:rPr>
          <w:rFonts w:asciiTheme="minorHAnsi" w:eastAsiaTheme="minorEastAsia" w:hAnsiTheme="minorHAnsi" w:cstheme="minorBidi"/>
          <w:szCs w:val="22"/>
        </w:rPr>
      </w:pPr>
      <w:r>
        <w:t>22.</w:t>
      </w:r>
      <w:r>
        <w:tab/>
        <w:t xml:space="preserve">Application of amendments made by </w:t>
      </w:r>
      <w:r>
        <w:rPr>
          <w:i/>
        </w:rPr>
        <w:t>Land Tax Assessment Amendment Act 2022</w:t>
      </w:r>
      <w:r>
        <w:t xml:space="preserve"> Part 2</w:t>
      </w:r>
      <w:r>
        <w:tab/>
      </w:r>
      <w:r>
        <w:fldChar w:fldCharType="begin"/>
      </w:r>
      <w:r>
        <w:instrText xml:space="preserve"> PAGEREF _Toc166768073 \h </w:instrText>
      </w:r>
      <w:r>
        <w:fldChar w:fldCharType="separate"/>
      </w:r>
      <w:r>
        <w:t>100</w:t>
      </w:r>
      <w:r>
        <w:fldChar w:fldCharType="end"/>
      </w:r>
    </w:p>
    <w:p>
      <w:pPr>
        <w:pStyle w:val="TOC8"/>
        <w:rPr>
          <w:rFonts w:asciiTheme="minorHAnsi" w:eastAsiaTheme="minorEastAsia" w:hAnsiTheme="minorHAnsi" w:cstheme="minorBidi"/>
          <w:szCs w:val="22"/>
        </w:rPr>
      </w:pPr>
      <w:r>
        <w:t>23.</w:t>
      </w:r>
      <w:r>
        <w:tab/>
        <w:t>Reduced exemption percentage for land used for dwelling or residential park does not apply for certain financial years</w:t>
      </w:r>
      <w:r>
        <w:tab/>
      </w:r>
      <w:r>
        <w:fldChar w:fldCharType="begin"/>
      </w:r>
      <w:r>
        <w:instrText xml:space="preserve"> PAGEREF _Toc166768074 \h </w:instrText>
      </w:r>
      <w:r>
        <w:fldChar w:fldCharType="separate"/>
      </w:r>
      <w:r>
        <w:t>101</w:t>
      </w:r>
      <w:r>
        <w:fldChar w:fldCharType="end"/>
      </w:r>
    </w:p>
    <w:p>
      <w:pPr>
        <w:pStyle w:val="TOC8"/>
        <w:rPr>
          <w:rFonts w:asciiTheme="minorHAnsi" w:eastAsiaTheme="minorEastAsia" w:hAnsiTheme="minorHAnsi" w:cstheme="minorBidi"/>
          <w:szCs w:val="22"/>
        </w:rPr>
      </w:pPr>
      <w:r>
        <w:t>24.</w:t>
      </w:r>
      <w:r>
        <w:tab/>
        <w:t>Continued application of notification requirements</w:t>
      </w:r>
      <w:r>
        <w:tab/>
      </w:r>
      <w:r>
        <w:fldChar w:fldCharType="begin"/>
      </w:r>
      <w:r>
        <w:instrText xml:space="preserve"> PAGEREF _Toc166768075 \h </w:instrText>
      </w:r>
      <w:r>
        <w:fldChar w:fldCharType="separate"/>
      </w:r>
      <w:r>
        <w:t>101</w:t>
      </w:r>
      <w:r>
        <w:fldChar w:fldCharType="end"/>
      </w:r>
    </w:p>
    <w:p>
      <w:pPr>
        <w:pStyle w:val="TOC8"/>
        <w:rPr>
          <w:rFonts w:asciiTheme="minorHAnsi" w:eastAsiaTheme="minorEastAsia" w:hAnsiTheme="minorHAnsi" w:cstheme="minorBidi"/>
          <w:szCs w:val="22"/>
        </w:rPr>
      </w:pPr>
      <w:r>
        <w:t>25.</w:t>
      </w:r>
      <w:r>
        <w:tab/>
        <w:t>Reassessment</w:t>
      </w:r>
      <w:r>
        <w:tab/>
      </w:r>
      <w:r>
        <w:fldChar w:fldCharType="begin"/>
      </w:r>
      <w:r>
        <w:instrText xml:space="preserve"> PAGEREF _Toc166768076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 xml:space="preserve">Provision for </w:t>
      </w:r>
      <w:r>
        <w:rPr>
          <w:i/>
          <w:iCs/>
        </w:rPr>
        <w:t>Land Tax Assessment Amendment (Build</w:t>
      </w:r>
      <w:r>
        <w:rPr>
          <w:i/>
          <w:iCs/>
        </w:rPr>
        <w:noBreakHyphen/>
        <w:t>to</w:t>
      </w:r>
      <w:r>
        <w:rPr>
          <w:i/>
          <w:iCs/>
        </w:rPr>
        <w:noBreakHyphen/>
        <w:t>Rent) Act 2024</w:t>
      </w:r>
    </w:p>
    <w:p>
      <w:pPr>
        <w:pStyle w:val="TOC8"/>
        <w:rPr>
          <w:rFonts w:asciiTheme="minorHAnsi" w:eastAsiaTheme="minorEastAsia" w:hAnsiTheme="minorHAnsi" w:cstheme="minorBidi"/>
          <w:szCs w:val="22"/>
        </w:rPr>
      </w:pPr>
      <w:r>
        <w:t>26.</w:t>
      </w:r>
      <w:r>
        <w:tab/>
        <w:t>Application of amendments</w:t>
      </w:r>
      <w:r>
        <w:tab/>
      </w:r>
      <w:r>
        <w:fldChar w:fldCharType="begin"/>
      </w:r>
      <w:r>
        <w:instrText xml:space="preserve"> PAGEREF _Toc166768078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_Toc166768080 \h </w:instrText>
      </w:r>
      <w:r>
        <w:fldChar w:fldCharType="separate"/>
      </w:r>
      <w:r>
        <w:t>104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_Toc166768081 \h </w:instrText>
      </w:r>
      <w:r>
        <w:fldChar w:fldCharType="separate"/>
      </w:r>
      <w:r>
        <w:t>112</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_Toc166768082 \h </w:instrText>
      </w:r>
      <w:r>
        <w:fldChar w:fldCharType="separate"/>
      </w:r>
      <w:r>
        <w:t>114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_Toc166768083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_Toc166768085 \h </w:instrText>
      </w:r>
      <w:r>
        <w:fldChar w:fldCharType="separate"/>
      </w:r>
      <w:r>
        <w:t>118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_Toc166768086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2" w:name="_Toc166681820"/>
      <w:bookmarkStart w:id="3" w:name="_Toc1667679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p>
    <w:p>
      <w:pPr>
        <w:pStyle w:val="Heading5"/>
        <w:rPr>
          <w:snapToGrid w:val="0"/>
        </w:rPr>
      </w:pPr>
      <w:bookmarkStart w:id="4" w:name="_Toc166767930"/>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5" w:name="_Toc166767931"/>
      <w:r>
        <w:rPr>
          <w:rStyle w:val="CharSectno"/>
        </w:rPr>
        <w:t>2</w:t>
      </w:r>
      <w:r>
        <w:rPr>
          <w:snapToGrid w:val="0"/>
        </w:rPr>
        <w:t>.</w:t>
      </w:r>
      <w:r>
        <w:rPr>
          <w:snapToGrid w:val="0"/>
        </w:rPr>
        <w:tab/>
        <w:t>Commencement</w:t>
      </w:r>
      <w:bookmarkEnd w:id="5"/>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6" w:name="_Toc166767932"/>
      <w:r>
        <w:rPr>
          <w:rStyle w:val="CharSectno"/>
        </w:rPr>
        <w:t>3</w:t>
      </w:r>
      <w:r>
        <w:t>.</w:t>
      </w:r>
      <w:r>
        <w:tab/>
        <w:t>Relationship with other Acts</w:t>
      </w:r>
      <w:bookmarkEnd w:id="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 w:name="_Toc166767933"/>
      <w:r>
        <w:rPr>
          <w:rStyle w:val="CharSectno"/>
        </w:rPr>
        <w:t>4</w:t>
      </w:r>
      <w:r>
        <w:t>.</w:t>
      </w:r>
      <w:r>
        <w:tab/>
        <w:t>Terms used</w:t>
      </w:r>
      <w:bookmarkEnd w:id="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8" w:name="_Toc166681825"/>
      <w:bookmarkStart w:id="9" w:name="_Toc166767934"/>
      <w:r>
        <w:rPr>
          <w:rStyle w:val="CharPartNo"/>
        </w:rPr>
        <w:lastRenderedPageBreak/>
        <w:t>Part 2</w:t>
      </w:r>
      <w:r>
        <w:t xml:space="preserve"> — </w:t>
      </w:r>
      <w:r>
        <w:rPr>
          <w:rStyle w:val="CharPartText"/>
        </w:rPr>
        <w:t>Land tax liability and assessment</w:t>
      </w:r>
      <w:bookmarkEnd w:id="8"/>
      <w:bookmarkEnd w:id="9"/>
    </w:p>
    <w:p>
      <w:pPr>
        <w:pStyle w:val="Heading3"/>
      </w:pPr>
      <w:bookmarkStart w:id="10" w:name="_Toc166681826"/>
      <w:bookmarkStart w:id="11" w:name="_Toc166767935"/>
      <w:r>
        <w:rPr>
          <w:rStyle w:val="CharDivNo"/>
        </w:rPr>
        <w:t>Division 1</w:t>
      </w:r>
      <w:r>
        <w:t xml:space="preserve"> — </w:t>
      </w:r>
      <w:r>
        <w:rPr>
          <w:rStyle w:val="CharDivText"/>
        </w:rPr>
        <w:t>Liability to land tax</w:t>
      </w:r>
      <w:bookmarkEnd w:id="10"/>
      <w:bookmarkEnd w:id="11"/>
    </w:p>
    <w:p>
      <w:pPr>
        <w:pStyle w:val="Heading5"/>
      </w:pPr>
      <w:bookmarkStart w:id="12" w:name="_Toc166767936"/>
      <w:r>
        <w:rPr>
          <w:rStyle w:val="CharSectno"/>
        </w:rPr>
        <w:t>5</w:t>
      </w:r>
      <w:r>
        <w:t>.</w:t>
      </w:r>
      <w:r>
        <w:rPr>
          <w:vertAlign w:val="superscript"/>
        </w:rPr>
        <w:t>1M, 1MC</w:t>
      </w:r>
      <w:r>
        <w:tab/>
        <w:t>Taxable land</w:t>
      </w:r>
      <w:bookmarkEnd w:id="12"/>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3" w:name="_Toc166767937"/>
      <w:r>
        <w:rPr>
          <w:rStyle w:val="CharSectno"/>
        </w:rPr>
        <w:t>6</w:t>
      </w:r>
      <w:r>
        <w:t>.</w:t>
      </w:r>
      <w:r>
        <w:tab/>
        <w:t>Time for payment of land tax</w:t>
      </w:r>
      <w:bookmarkEnd w:id="1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4" w:name="_Toc166767938"/>
      <w:r>
        <w:rPr>
          <w:rStyle w:val="CharSectno"/>
        </w:rPr>
        <w:t>7</w:t>
      </w:r>
      <w:r>
        <w:t>.</w:t>
      </w:r>
      <w:r>
        <w:tab/>
        <w:t>Liability to pay land tax</w:t>
      </w:r>
      <w:bookmarkEnd w:id="14"/>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5" w:name="_Toc166767939"/>
      <w:r>
        <w:rPr>
          <w:rStyle w:val="CharSectno"/>
        </w:rPr>
        <w:t>8</w:t>
      </w:r>
      <w:r>
        <w:t>.</w:t>
      </w:r>
      <w:r>
        <w:tab/>
        <w:t>Certain persons and bodies taken to be owners of land</w:t>
      </w:r>
      <w:bookmarkEnd w:id="1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Subsection"/>
      </w:pPr>
      <w:r>
        <w:tab/>
        <w:t>(4)</w:t>
      </w:r>
      <w:r>
        <w:tab/>
        <w:t>Subsection (5) applies if land that is the subject of a mining tenement is also the subject of a diversification lease.</w:t>
      </w:r>
    </w:p>
    <w:p>
      <w:pPr>
        <w:pStyle w:val="Subsection"/>
      </w:pPr>
      <w:r>
        <w:tab/>
        <w:t>(5)</w:t>
      </w:r>
      <w:r>
        <w:tab/>
        <w:t xml:space="preserve">Despite subsection (1), a person is not taken to be the owner of the land for the purposes of section 7 if the person — </w:t>
      </w:r>
    </w:p>
    <w:p>
      <w:pPr>
        <w:pStyle w:val="Indenta"/>
      </w:pPr>
      <w:r>
        <w:tab/>
        <w:t>(a)</w:t>
      </w:r>
      <w:r>
        <w:tab/>
        <w:t>is the holder of the mining tenement or, if there are 2 or more holders of the mining tenement, one of the holders of the mining tenement; but</w:t>
      </w:r>
    </w:p>
    <w:p>
      <w:pPr>
        <w:pStyle w:val="Indenta"/>
      </w:pPr>
      <w:r>
        <w:tab/>
        <w:t>(b)</w:t>
      </w:r>
      <w:r>
        <w:tab/>
        <w:t>is not the diversification lessee or, if there are 2 or more diversification lessees, one of the diversification lessees.</w:t>
      </w:r>
    </w:p>
    <w:p>
      <w:pPr>
        <w:pStyle w:val="Footnotesection"/>
      </w:pPr>
      <w:r>
        <w:tab/>
        <w:t>[Section 8 amended: No. 5 of 2018 s. 5; No. 4 of 2023 s. 127.]</w:t>
      </w:r>
    </w:p>
    <w:p>
      <w:pPr>
        <w:pStyle w:val="Heading5"/>
      </w:pPr>
      <w:bookmarkStart w:id="16" w:name="_Toc166767940"/>
      <w:r>
        <w:rPr>
          <w:rStyle w:val="CharSectno"/>
        </w:rPr>
        <w:t>9</w:t>
      </w:r>
      <w:r>
        <w:t>.</w:t>
      </w:r>
      <w:r>
        <w:tab/>
        <w:t>Liability of agents or trustees</w:t>
      </w:r>
      <w:bookmarkEnd w:id="16"/>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lastRenderedPageBreak/>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7" w:name="_Toc166767941"/>
      <w:r>
        <w:rPr>
          <w:rStyle w:val="CharSectno"/>
        </w:rPr>
        <w:t>9A</w:t>
      </w:r>
      <w:r>
        <w:t>.</w:t>
      </w:r>
      <w:r>
        <w:tab/>
        <w:t>Owners to notify Commissioner of errors or omissions in assessment notices</w:t>
      </w:r>
      <w:bookmarkEnd w:id="1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keepNext/>
      </w:pPr>
      <w:r>
        <w:lastRenderedPageBreak/>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8" w:name="_Toc166681833"/>
      <w:bookmarkStart w:id="19" w:name="_Toc166767942"/>
      <w:r>
        <w:rPr>
          <w:rStyle w:val="CharDivNo"/>
        </w:rPr>
        <w:t>Division 2</w:t>
      </w:r>
      <w:r>
        <w:t xml:space="preserve"> — </w:t>
      </w:r>
      <w:r>
        <w:rPr>
          <w:rStyle w:val="CharDivText"/>
        </w:rPr>
        <w:t>Assessment of land tax</w:t>
      </w:r>
      <w:bookmarkEnd w:id="18"/>
      <w:bookmarkEnd w:id="19"/>
    </w:p>
    <w:p>
      <w:pPr>
        <w:pStyle w:val="Heading5"/>
      </w:pPr>
      <w:bookmarkStart w:id="20" w:name="_Toc166767943"/>
      <w:r>
        <w:rPr>
          <w:rStyle w:val="CharSectno"/>
        </w:rPr>
        <w:t>10</w:t>
      </w:r>
      <w:r>
        <w:t>.</w:t>
      </w:r>
      <w:r>
        <w:tab/>
        <w:t>Assessing land tax</w:t>
      </w:r>
      <w:bookmarkEnd w:id="20"/>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1" w:name="_Toc166767944"/>
      <w:r>
        <w:rPr>
          <w:rStyle w:val="CharSectno"/>
        </w:rPr>
        <w:t>11</w:t>
      </w:r>
      <w:r>
        <w:t>.</w:t>
      </w:r>
      <w:r>
        <w:tab/>
        <w:t>Two or more lots owned by one person, tax payable on</w:t>
      </w:r>
      <w:bookmarkEnd w:id="2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 xml:space="preserve">If a trustee owns taxable land held in trust for another person and is also the beneficial owner of other land, the land tax payable on the land held in trust is assessed separately from the </w:t>
      </w:r>
      <w:r>
        <w:lastRenderedPageBreak/>
        <w:t>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2" w:name="_Toc166767945"/>
      <w:r>
        <w:rPr>
          <w:rStyle w:val="CharSectno"/>
        </w:rPr>
        <w:t>12</w:t>
      </w:r>
      <w:r>
        <w:t>.</w:t>
      </w:r>
      <w:r>
        <w:tab/>
        <w:t>Land owned jointly, tax payable on</w:t>
      </w:r>
      <w:bookmarkEnd w:id="2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3" w:name="_Toc166767946"/>
      <w:r>
        <w:rPr>
          <w:rStyle w:val="CharSectno"/>
        </w:rPr>
        <w:t>13</w:t>
      </w:r>
      <w:r>
        <w:t>.</w:t>
      </w:r>
      <w:r>
        <w:tab/>
        <w:t>Calculating taxable value of part of a lot</w:t>
      </w:r>
      <w:bookmarkEnd w:id="2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 xml:space="preserve">General, that bears the same proportion to the taxable value of the lot as the portion of </w:t>
      </w:r>
      <w:r>
        <w:lastRenderedPageBreak/>
        <w:t>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4" w:name="_Toc166767947"/>
      <w:r>
        <w:rPr>
          <w:rStyle w:val="CharSectno"/>
        </w:rPr>
        <w:t>14</w:t>
      </w:r>
      <w:r>
        <w:t>.</w:t>
      </w:r>
      <w:r>
        <w:tab/>
        <w:t>Newly subdivided private residential property, tax payable on</w:t>
      </w:r>
      <w:bookmarkEnd w:id="24"/>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lastRenderedPageBreak/>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lastRenderedPageBreak/>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5" w:name="_Toc166767948"/>
      <w:r>
        <w:rPr>
          <w:rStyle w:val="CharSectno"/>
        </w:rPr>
        <w:t>15</w:t>
      </w:r>
      <w:r>
        <w:t>.</w:t>
      </w:r>
      <w:r>
        <w:tab/>
        <w:t>Newly subdivided primary production business land, tax payable on</w:t>
      </w:r>
      <w:bookmarkEnd w:id="25"/>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 xml:space="preserve">the area of any part of the land that, immediately after the subdivision is completed, consists of a lot of 2.0234 hectares or more that is zoned for rural purposes </w:t>
      </w:r>
      <w:r>
        <w:lastRenderedPageBreak/>
        <w:t>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26" w:name="_Toc166767949"/>
      <w:r>
        <w:rPr>
          <w:rStyle w:val="CharSectno"/>
        </w:rPr>
        <w:lastRenderedPageBreak/>
        <w:t>15A</w:t>
      </w:r>
      <w:r>
        <w:t>.</w:t>
      </w:r>
      <w:r>
        <w:tab/>
        <w:t>Tax payable on newly subdivided dwelling or residential parks</w:t>
      </w:r>
      <w:bookmarkEnd w:id="26"/>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lastRenderedPageBreak/>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27" w:name="_Toc166238307"/>
      <w:bookmarkStart w:id="28" w:name="_Toc166677072"/>
      <w:bookmarkStart w:id="29" w:name="_Toc166767950"/>
      <w:r>
        <w:rPr>
          <w:rStyle w:val="CharSectno"/>
        </w:rPr>
        <w:t>15B</w:t>
      </w:r>
      <w:r>
        <w:t>.</w:t>
      </w:r>
      <w:r>
        <w:tab/>
        <w:t>Tax payable on land containing former exempt build</w:t>
      </w:r>
      <w:r>
        <w:noBreakHyphen/>
        <w:t>to</w:t>
      </w:r>
      <w:r>
        <w:noBreakHyphen/>
        <w:t xml:space="preserve">rent </w:t>
      </w:r>
      <w:bookmarkStart w:id="30" w:name="_Hlk166678967"/>
      <w:r>
        <w:t>developments</w:t>
      </w:r>
      <w:bookmarkEnd w:id="27"/>
      <w:bookmarkEnd w:id="28"/>
      <w:bookmarkEnd w:id="29"/>
    </w:p>
    <w:p>
      <w:pPr>
        <w:pStyle w:val="Subsection"/>
      </w:pPr>
      <w:r>
        <w:tab/>
        <w:t>(1)</w:t>
      </w:r>
      <w:r>
        <w:tab/>
        <w:t xml:space="preserve">Land tax is payable on land in accordance with this section if — </w:t>
      </w:r>
    </w:p>
    <w:p>
      <w:pPr>
        <w:pStyle w:val="Indenta"/>
      </w:pPr>
      <w:r>
        <w:tab/>
        <w:t>(a)</w:t>
      </w:r>
      <w:r>
        <w:tab/>
        <w:t>the land has been subject to an exemption under Part 3 Division 4B in relation to a development for 1 or more assessment years; and</w:t>
      </w:r>
    </w:p>
    <w:p>
      <w:pPr>
        <w:pStyle w:val="Indenta"/>
      </w:pPr>
      <w:r>
        <w:lastRenderedPageBreak/>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p>
    <w:p>
      <w:pPr>
        <w:pStyle w:val="Subsection"/>
      </w:pPr>
      <w:r>
        <w:tab/>
        <w:t>(2)</w:t>
      </w:r>
      <w:r>
        <w:tab/>
        <w:t>The land tax is payable on the land by the owner of the land for each of the relevant financial years in which the land was subject to an exemption under Part 3 Division 4B.</w:t>
      </w:r>
    </w:p>
    <w:p>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Footnotesection"/>
      </w:pPr>
      <w:r>
        <w:tab/>
        <w:t>[Section 15B inserted: No. 22 of 2024 s. 4.]</w:t>
      </w:r>
    </w:p>
    <w:p>
      <w:pPr>
        <w:pStyle w:val="Heading5"/>
      </w:pPr>
      <w:bookmarkStart w:id="31" w:name="_Toc166767951"/>
      <w:bookmarkEnd w:id="30"/>
      <w:r>
        <w:rPr>
          <w:rStyle w:val="CharSectno"/>
        </w:rPr>
        <w:t>16</w:t>
      </w:r>
      <w:r>
        <w:t>.</w:t>
      </w:r>
      <w:r>
        <w:tab/>
        <w:t>Non</w:t>
      </w:r>
      <w:r>
        <w:noBreakHyphen/>
        <w:t>strata home units, assessing tax on</w:t>
      </w:r>
      <w:bookmarkEnd w:id="31"/>
    </w:p>
    <w:p>
      <w:pPr>
        <w:pStyle w:val="Subsection"/>
        <w:keepNext/>
      </w:pPr>
      <w:r>
        <w:tab/>
        <w:t>(1)</w:t>
      </w:r>
      <w:r>
        <w:tab/>
        <w:t>The Commissioner may assess the amount of land tax payable on land on which a building containing non</w:t>
      </w:r>
      <w:r>
        <w:noBreakHyphen/>
        <w:t xml:space="preserve">strata home units is situated in accordance with this section if, apart from the </w:t>
      </w:r>
      <w:r>
        <w:lastRenderedPageBreak/>
        <w:t>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lastRenderedPageBreak/>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32" w:name="_Toc166681843"/>
      <w:bookmarkStart w:id="33" w:name="_Toc166767952"/>
      <w:r>
        <w:rPr>
          <w:rStyle w:val="CharPartNo"/>
        </w:rPr>
        <w:lastRenderedPageBreak/>
        <w:t>Part 3</w:t>
      </w:r>
      <w:r>
        <w:t xml:space="preserve"> — </w:t>
      </w:r>
      <w:r>
        <w:rPr>
          <w:rStyle w:val="CharPartText"/>
        </w:rPr>
        <w:t>Exemptions, concessions and rebates</w:t>
      </w:r>
      <w:bookmarkEnd w:id="32"/>
      <w:bookmarkEnd w:id="33"/>
    </w:p>
    <w:p>
      <w:pPr>
        <w:pStyle w:val="Heading3"/>
      </w:pPr>
      <w:bookmarkStart w:id="34" w:name="_Toc166681844"/>
      <w:bookmarkStart w:id="35" w:name="_Toc166767953"/>
      <w:r>
        <w:rPr>
          <w:rStyle w:val="CharDivNo"/>
        </w:rPr>
        <w:t>Division 1</w:t>
      </w:r>
      <w:r>
        <w:t xml:space="preserve"> — </w:t>
      </w:r>
      <w:r>
        <w:rPr>
          <w:rStyle w:val="CharDivText"/>
        </w:rPr>
        <w:t>General provisions</w:t>
      </w:r>
      <w:bookmarkEnd w:id="34"/>
      <w:bookmarkEnd w:id="35"/>
    </w:p>
    <w:p>
      <w:pPr>
        <w:pStyle w:val="Heading5"/>
      </w:pPr>
      <w:bookmarkStart w:id="36" w:name="_Toc166767954"/>
      <w:r>
        <w:rPr>
          <w:rStyle w:val="CharSectno"/>
        </w:rPr>
        <w:t>17</w:t>
      </w:r>
      <w:r>
        <w:t>.</w:t>
      </w:r>
      <w:r>
        <w:tab/>
        <w:t>Exempt land</w:t>
      </w:r>
      <w:bookmarkEnd w:id="36"/>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7" w:name="_Toc166767955"/>
      <w:r>
        <w:rPr>
          <w:rStyle w:val="CharSectno"/>
        </w:rPr>
        <w:t>18</w:t>
      </w:r>
      <w:r>
        <w:t>.</w:t>
      </w:r>
      <w:r>
        <w:tab/>
        <w:t>Whole and partial exemptions</w:t>
      </w:r>
      <w:bookmarkEnd w:id="3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38" w:name="_Toc166767956"/>
      <w:r>
        <w:rPr>
          <w:rStyle w:val="CharSectno"/>
        </w:rPr>
        <w:t>18A</w:t>
      </w:r>
      <w:r>
        <w:t>.</w:t>
      </w:r>
      <w:r>
        <w:tab/>
        <w:t>Taxable value of land subject to partial exemption</w:t>
      </w:r>
      <w:bookmarkEnd w:id="3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w:t>
      </w:r>
      <w:r>
        <w:lastRenderedPageBreak/>
        <w:t>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39" w:name="_Toc166767957"/>
      <w:r>
        <w:rPr>
          <w:rStyle w:val="CharSectno"/>
        </w:rPr>
        <w:t>19</w:t>
      </w:r>
      <w:r>
        <w:t>.</w:t>
      </w:r>
      <w:r>
        <w:tab/>
        <w:t>Applying for exemption or concession</w:t>
      </w:r>
      <w:bookmarkEnd w:id="3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0" w:name="_Toc166767958"/>
      <w:r>
        <w:rPr>
          <w:rStyle w:val="CharSectno"/>
        </w:rPr>
        <w:lastRenderedPageBreak/>
        <w:t>20</w:t>
      </w:r>
      <w:r>
        <w:t>.</w:t>
      </w:r>
      <w:r>
        <w:tab/>
        <w:t>Commissioner’s power to grant exemption or concession for land</w:t>
      </w:r>
      <w:bookmarkEnd w:id="40"/>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lastRenderedPageBreak/>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41" w:name="_Toc166767959"/>
      <w:r>
        <w:rPr>
          <w:rStyle w:val="CharSectno"/>
        </w:rPr>
        <w:t>20A</w:t>
      </w:r>
      <w:r>
        <w:t>.</w:t>
      </w:r>
      <w:r>
        <w:tab/>
        <w:t>Owner of land subject to exemption or concession may be required to notify Commissioner of event or circumstance</w:t>
      </w:r>
      <w:bookmarkEnd w:id="41"/>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42" w:name="_Toc166681851"/>
      <w:bookmarkStart w:id="43" w:name="_Toc166767960"/>
      <w:r>
        <w:rPr>
          <w:rStyle w:val="CharDivNo"/>
        </w:rPr>
        <w:t>Division 2</w:t>
      </w:r>
      <w:r>
        <w:t xml:space="preserve"> — </w:t>
      </w:r>
      <w:r>
        <w:rPr>
          <w:rStyle w:val="CharDivText"/>
        </w:rPr>
        <w:t>Private residential property</w:t>
      </w:r>
      <w:bookmarkEnd w:id="42"/>
      <w:bookmarkEnd w:id="43"/>
    </w:p>
    <w:p>
      <w:pPr>
        <w:pStyle w:val="Heading4"/>
      </w:pPr>
      <w:bookmarkStart w:id="44" w:name="_Toc166681852"/>
      <w:bookmarkStart w:id="45" w:name="_Toc166767961"/>
      <w:r>
        <w:t>Subdivision 1 — Exemptions and rebates for private residential property</w:t>
      </w:r>
      <w:bookmarkEnd w:id="44"/>
      <w:bookmarkEnd w:id="45"/>
    </w:p>
    <w:p>
      <w:pPr>
        <w:pStyle w:val="Footnoteheading"/>
      </w:pPr>
      <w:r>
        <w:tab/>
        <w:t>[Heading inserted: No. 12 of 2019 s. 139.]</w:t>
      </w:r>
    </w:p>
    <w:p>
      <w:pPr>
        <w:pStyle w:val="Heading5"/>
        <w:spacing w:before="180"/>
      </w:pPr>
      <w:bookmarkStart w:id="46" w:name="_Toc166767962"/>
      <w:r>
        <w:rPr>
          <w:rStyle w:val="CharSectno"/>
        </w:rPr>
        <w:t>21</w:t>
      </w:r>
      <w:r>
        <w:t>.</w:t>
      </w:r>
      <w:r>
        <w:tab/>
        <w:t>Residences owned by individuals, exemptions for</w:t>
      </w:r>
      <w:bookmarkEnd w:id="46"/>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47" w:name="_Toc166767963"/>
      <w:r>
        <w:rPr>
          <w:rStyle w:val="CharSectno"/>
        </w:rPr>
        <w:t>22</w:t>
      </w:r>
      <w:r>
        <w:t>.</w:t>
      </w:r>
      <w:r>
        <w:tab/>
        <w:t>Residence owned by executor etc., exemption for if beneficiary in will exercising right to reside</w:t>
      </w:r>
      <w:bookmarkEnd w:id="47"/>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48" w:name="_Toc166767964"/>
      <w:r>
        <w:rPr>
          <w:rStyle w:val="CharSectno"/>
        </w:rPr>
        <w:lastRenderedPageBreak/>
        <w:t>23A</w:t>
      </w:r>
      <w:r>
        <w:t>.</w:t>
      </w:r>
      <w:r>
        <w:tab/>
        <w:t>Exemption for residence owned by executor or administrator if beneficiary in will has right to future ownership and is resident</w:t>
      </w:r>
      <w:bookmarkEnd w:id="48"/>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49" w:name="_Toc166767965"/>
      <w:r>
        <w:rPr>
          <w:rStyle w:val="CharSectno"/>
        </w:rPr>
        <w:t>23</w:t>
      </w:r>
      <w:r>
        <w:t>.</w:t>
      </w:r>
      <w:r>
        <w:tab/>
        <w:t>Continued exemption after death of resident</w:t>
      </w:r>
      <w:bookmarkEnd w:id="49"/>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 xml:space="preserve">would have given rise to an exemption under section 21 or 26B for the financial year in which </w:t>
      </w:r>
      <w:r>
        <w:lastRenderedPageBreak/>
        <w:t>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50" w:name="_Toc166767966"/>
      <w:r>
        <w:rPr>
          <w:rStyle w:val="CharSectno"/>
        </w:rPr>
        <w:lastRenderedPageBreak/>
        <w:t>24</w:t>
      </w:r>
      <w:r>
        <w:t>.</w:t>
      </w:r>
      <w:r>
        <w:tab/>
        <w:t>Construction of private residence, one year exemption for</w:t>
      </w:r>
      <w:bookmarkEnd w:id="50"/>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51" w:name="_Toc166767967"/>
      <w:r>
        <w:rPr>
          <w:rStyle w:val="CharSectno"/>
        </w:rPr>
        <w:lastRenderedPageBreak/>
        <w:t>24A</w:t>
      </w:r>
      <w:r>
        <w:t>.</w:t>
      </w:r>
      <w:r>
        <w:tab/>
        <w:t>Construction of private residence, 2 year exemption for</w:t>
      </w:r>
      <w:bookmarkEnd w:id="51"/>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lastRenderedPageBreak/>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52" w:name="_Toc166767968"/>
      <w:r>
        <w:rPr>
          <w:rStyle w:val="CharSectno"/>
        </w:rPr>
        <w:t>25</w:t>
      </w:r>
      <w:r>
        <w:t>.</w:t>
      </w:r>
      <w:r>
        <w:tab/>
        <w:t>Refurbishment of private residence, one year exemption for</w:t>
      </w:r>
      <w:bookmarkEnd w:id="52"/>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lastRenderedPageBreak/>
        <w:tab/>
        <w:t>(3)</w:t>
      </w:r>
      <w:r>
        <w:tab/>
        <w:t>The Commissioner is to make any reassessment necessary to give effect to this section.</w:t>
      </w:r>
    </w:p>
    <w:p>
      <w:pPr>
        <w:pStyle w:val="Footnotesection"/>
      </w:pPr>
      <w:r>
        <w:tab/>
        <w:t>[Section 25 amended: No. 42 of 2022 s. 19.]</w:t>
      </w:r>
    </w:p>
    <w:p>
      <w:pPr>
        <w:pStyle w:val="Heading5"/>
      </w:pPr>
      <w:bookmarkStart w:id="53" w:name="_Toc166767969"/>
      <w:r>
        <w:rPr>
          <w:rStyle w:val="CharSectno"/>
        </w:rPr>
        <w:t>25A</w:t>
      </w:r>
      <w:r>
        <w:t>.</w:t>
      </w:r>
      <w:r>
        <w:tab/>
        <w:t>Refurbishment of private residence, 2 year exemption for</w:t>
      </w:r>
      <w:bookmarkEnd w:id="53"/>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lastRenderedPageBreak/>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54" w:name="_Toc166767970"/>
      <w:r>
        <w:rPr>
          <w:rStyle w:val="CharSectno"/>
        </w:rPr>
        <w:t>26</w:t>
      </w:r>
      <w:r>
        <w:t>.</w:t>
      </w:r>
      <w:r>
        <w:tab/>
        <w:t>Exemption for residence of disabled person held in trust</w:t>
      </w:r>
      <w:bookmarkEnd w:id="54"/>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55" w:name="_Toc166767971"/>
      <w:r>
        <w:rPr>
          <w:rStyle w:val="CharSectno"/>
        </w:rPr>
        <w:lastRenderedPageBreak/>
        <w:t>26A</w:t>
      </w:r>
      <w:r>
        <w:t>.</w:t>
      </w:r>
      <w:r>
        <w:tab/>
        <w:t>Exemption for residence of disabled person owned by relative</w:t>
      </w:r>
      <w:bookmarkEnd w:id="55"/>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lastRenderedPageBreak/>
        <w:tab/>
        <w:t>[(4)-(7)</w:t>
      </w:r>
      <w:r>
        <w:tab/>
        <w:t>deleted]</w:t>
      </w:r>
    </w:p>
    <w:p>
      <w:pPr>
        <w:pStyle w:val="Footnotesection"/>
      </w:pPr>
      <w:r>
        <w:tab/>
        <w:t>[Section 26A inserted: No. 31 of 2006 s. 29; amended: No. 30 of 2008 s. 14; No. 12 of 2019 s. 135; No. 42 of 2022 s. 16 and 19.]</w:t>
      </w:r>
    </w:p>
    <w:p>
      <w:pPr>
        <w:pStyle w:val="Heading5"/>
      </w:pPr>
      <w:bookmarkStart w:id="56" w:name="_Toc166767972"/>
      <w:r>
        <w:rPr>
          <w:rStyle w:val="CharSectno"/>
        </w:rPr>
        <w:t>26B</w:t>
      </w:r>
      <w:r>
        <w:t>.</w:t>
      </w:r>
      <w:r>
        <w:tab/>
        <w:t>Exemption for property owned by individual in care</w:t>
      </w:r>
      <w:bookmarkEnd w:id="56"/>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lastRenderedPageBreak/>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lastRenderedPageBreak/>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57" w:name="_Toc166767973"/>
      <w:r>
        <w:rPr>
          <w:rStyle w:val="CharSectno"/>
        </w:rPr>
        <w:t>27</w:t>
      </w:r>
      <w:r>
        <w:t>.</w:t>
      </w:r>
      <w:r>
        <w:tab/>
        <w:t>Moving between 2 private residences, application of exemption</w:t>
      </w:r>
      <w:bookmarkEnd w:id="57"/>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lastRenderedPageBreak/>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58" w:name="_Toc166767974"/>
      <w:r>
        <w:rPr>
          <w:rStyle w:val="CharSectno"/>
        </w:rPr>
        <w:t>27A</w:t>
      </w:r>
      <w:r>
        <w:t>.</w:t>
      </w:r>
      <w:r>
        <w:tab/>
        <w:t>Construction or refurbishment of second private residence, 2 year exemption for</w:t>
      </w:r>
      <w:bookmarkEnd w:id="58"/>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lastRenderedPageBreak/>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lastRenderedPageBreak/>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59" w:name="_Toc166767975"/>
      <w:r>
        <w:rPr>
          <w:rStyle w:val="CharSectno"/>
        </w:rPr>
        <w:t>28</w:t>
      </w:r>
      <w:r>
        <w:t>.</w:t>
      </w:r>
      <w:r>
        <w:tab/>
        <w:t>Inner city residential property, rebate for</w:t>
      </w:r>
      <w:bookmarkEnd w:id="59"/>
    </w:p>
    <w:p>
      <w:pPr>
        <w:pStyle w:val="Subsection"/>
      </w:pPr>
      <w:r>
        <w:tab/>
        <w:t>(1)</w:t>
      </w:r>
      <w:r>
        <w:tab/>
        <w:t>The owner of private residential property may apply to the Commissioner in the approved form for a rebate under this section.</w:t>
      </w:r>
    </w:p>
    <w:p>
      <w:pPr>
        <w:pStyle w:val="Subsection"/>
        <w:keepNext/>
      </w:pPr>
      <w:r>
        <w:lastRenderedPageBreak/>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811834670"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lastRenderedPageBreak/>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0" w:name="_Toc166681867"/>
      <w:bookmarkStart w:id="61" w:name="_Toc166767976"/>
      <w:r>
        <w:lastRenderedPageBreak/>
        <w:t>Subdivision 2 — Application of private residential exemptions to subdivided land</w:t>
      </w:r>
      <w:bookmarkEnd w:id="60"/>
      <w:bookmarkEnd w:id="61"/>
    </w:p>
    <w:p>
      <w:pPr>
        <w:pStyle w:val="Footnoteheading"/>
        <w:keepNext/>
      </w:pPr>
      <w:r>
        <w:tab/>
        <w:t>[Heading inserted: No. 12 of 2019 s. 140.]</w:t>
      </w:r>
    </w:p>
    <w:p>
      <w:pPr>
        <w:pStyle w:val="Heading5"/>
      </w:pPr>
      <w:bookmarkStart w:id="62" w:name="_Toc166767977"/>
      <w:r>
        <w:rPr>
          <w:rStyle w:val="CharSectno"/>
        </w:rPr>
        <w:t>28A</w:t>
      </w:r>
      <w:r>
        <w:t>.</w:t>
      </w:r>
      <w:r>
        <w:tab/>
        <w:t>Terms used</w:t>
      </w:r>
      <w:bookmarkEnd w:id="62"/>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3" w:name="_Toc166767978"/>
      <w:r>
        <w:rPr>
          <w:rStyle w:val="CharSectno"/>
        </w:rPr>
        <w:t>28B</w:t>
      </w:r>
      <w:r>
        <w:t>.</w:t>
      </w:r>
      <w:r>
        <w:tab/>
        <w:t>Application of certain private residential exemptions to property subdivided during exemption period</w:t>
      </w:r>
      <w:bookmarkEnd w:id="63"/>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 xml:space="preserve">would be satisfied if the private residential property the subject of the exemption provision </w:t>
      </w:r>
      <w:r>
        <w:lastRenderedPageBreak/>
        <w:t>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lastRenderedPageBreak/>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64" w:name="_Toc166767979"/>
      <w:r>
        <w:rPr>
          <w:rStyle w:val="CharSectno"/>
        </w:rPr>
        <w:t>28C</w:t>
      </w:r>
      <w:r>
        <w:t>.</w:t>
      </w:r>
      <w:r>
        <w:tab/>
        <w:t>Application of requirements relating to sale or disposal of subdivided property</w:t>
      </w:r>
      <w:bookmarkEnd w:id="64"/>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5" w:name="_Toc166767980"/>
      <w:r>
        <w:rPr>
          <w:rStyle w:val="CharSectno"/>
        </w:rPr>
        <w:t>28D</w:t>
      </w:r>
      <w:r>
        <w:t>.</w:t>
      </w:r>
      <w:r>
        <w:tab/>
        <w:t>Application of 2</w:t>
      </w:r>
      <w:r>
        <w:noBreakHyphen/>
        <w:t>year private residential exemptions if property subdivided during first year</w:t>
      </w:r>
      <w:bookmarkEnd w:id="65"/>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 xml:space="preserve">year exemption provision, the exemption applies for the second year of the exemption period </w:t>
      </w:r>
      <w:r>
        <w:lastRenderedPageBreak/>
        <w:t>to the private residential property that is each new lot referred to in section 28B(2)(b) rather than to the parent lot.</w:t>
      </w:r>
    </w:p>
    <w:p>
      <w:pPr>
        <w:pStyle w:val="Footnotesection"/>
      </w:pPr>
      <w:r>
        <w:tab/>
        <w:t>[Section 28D inserted: No. 12 of 2019 s. 140.]</w:t>
      </w:r>
    </w:p>
    <w:p>
      <w:pPr>
        <w:pStyle w:val="Heading5"/>
      </w:pPr>
      <w:bookmarkStart w:id="66" w:name="_Toc166767981"/>
      <w:r>
        <w:rPr>
          <w:rStyle w:val="CharSectno"/>
        </w:rPr>
        <w:t>28E</w:t>
      </w:r>
      <w:r>
        <w:t>.</w:t>
      </w:r>
      <w:r>
        <w:tab/>
        <w:t>Ownership of land during period when land subdivided but certificates of title not issued</w:t>
      </w:r>
      <w:bookmarkEnd w:id="66"/>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67" w:name="_Toc166681873"/>
      <w:bookmarkStart w:id="68" w:name="_Toc166767982"/>
      <w:r>
        <w:rPr>
          <w:rStyle w:val="CharDivNo"/>
        </w:rPr>
        <w:lastRenderedPageBreak/>
        <w:t>Division 3</w:t>
      </w:r>
      <w:r>
        <w:t xml:space="preserve"> — </w:t>
      </w:r>
      <w:r>
        <w:rPr>
          <w:rStyle w:val="CharDivText"/>
        </w:rPr>
        <w:t>Land used for primary production business</w:t>
      </w:r>
      <w:bookmarkEnd w:id="67"/>
      <w:bookmarkEnd w:id="68"/>
      <w:r>
        <w:t xml:space="preserve"> </w:t>
      </w:r>
    </w:p>
    <w:p>
      <w:pPr>
        <w:pStyle w:val="Footnoteheading"/>
        <w:keepNext/>
        <w:keepLines/>
      </w:pPr>
      <w:r>
        <w:tab/>
        <w:t>[Heading inserted: No. 1 of 2015 s. 6.]</w:t>
      </w:r>
    </w:p>
    <w:p>
      <w:pPr>
        <w:pStyle w:val="Heading4"/>
        <w:keepLines/>
      </w:pPr>
      <w:bookmarkStart w:id="69" w:name="_Toc166681874"/>
      <w:bookmarkStart w:id="70" w:name="_Toc166767983"/>
      <w:r>
        <w:t>Subdivision 1 — Terms used</w:t>
      </w:r>
      <w:bookmarkEnd w:id="69"/>
      <w:bookmarkEnd w:id="70"/>
    </w:p>
    <w:p>
      <w:pPr>
        <w:pStyle w:val="Footnoteheading"/>
        <w:keepNext/>
        <w:keepLines/>
      </w:pPr>
      <w:r>
        <w:tab/>
        <w:t>[Heading inserted: No. 1 of 2015 s. 6.]</w:t>
      </w:r>
    </w:p>
    <w:p>
      <w:pPr>
        <w:pStyle w:val="Heading5"/>
      </w:pPr>
      <w:bookmarkStart w:id="71" w:name="_Toc166767984"/>
      <w:r>
        <w:rPr>
          <w:rStyle w:val="CharSectno"/>
        </w:rPr>
        <w:t>29</w:t>
      </w:r>
      <w:r>
        <w:t>.</w:t>
      </w:r>
      <w:r>
        <w:tab/>
        <w:t>Terms used</w:t>
      </w:r>
      <w:bookmarkEnd w:id="71"/>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lastRenderedPageBreak/>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72" w:name="_Toc166767985"/>
      <w:r>
        <w:rPr>
          <w:rStyle w:val="CharSectno"/>
        </w:rPr>
        <w:t>30A</w:t>
      </w:r>
      <w:r>
        <w:t>.</w:t>
      </w:r>
      <w:r>
        <w:tab/>
        <w:t>What is primary production</w:t>
      </w:r>
      <w:bookmarkEnd w:id="72"/>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lastRenderedPageBreak/>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73" w:name="_Toc166767986"/>
      <w:r>
        <w:rPr>
          <w:rStyle w:val="CharSectno"/>
        </w:rPr>
        <w:t>30B</w:t>
      </w:r>
      <w:r>
        <w:t>.</w:t>
      </w:r>
      <w:r>
        <w:tab/>
        <w:t>When land is used for primary production business</w:t>
      </w:r>
      <w:bookmarkEnd w:id="73"/>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74" w:name="_Toc166681878"/>
      <w:bookmarkStart w:id="75" w:name="_Toc166767987"/>
      <w:r>
        <w:lastRenderedPageBreak/>
        <w:t>Subdivision 2 — Primary production business exemption</w:t>
      </w:r>
      <w:bookmarkEnd w:id="74"/>
      <w:bookmarkEnd w:id="75"/>
    </w:p>
    <w:p>
      <w:pPr>
        <w:pStyle w:val="Footnoteheading"/>
        <w:keepNext/>
      </w:pPr>
      <w:r>
        <w:tab/>
        <w:t>[Heading inserted: No. 1 of 2015 s. 6.]</w:t>
      </w:r>
    </w:p>
    <w:p>
      <w:pPr>
        <w:pStyle w:val="Heading5"/>
      </w:pPr>
      <w:bookmarkStart w:id="76" w:name="_Toc166767988"/>
      <w:r>
        <w:rPr>
          <w:rStyle w:val="CharSectno"/>
        </w:rPr>
        <w:t>30C</w:t>
      </w:r>
      <w:r>
        <w:t>.</w:t>
      </w:r>
      <w:r>
        <w:tab/>
        <w:t>Exemption for rural land</w:t>
      </w:r>
      <w:bookmarkEnd w:id="76"/>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77" w:name="_Toc166767989"/>
      <w:r>
        <w:rPr>
          <w:rStyle w:val="CharSectno"/>
        </w:rPr>
        <w:t>30D</w:t>
      </w:r>
      <w:r>
        <w:t>.</w:t>
      </w:r>
      <w:r>
        <w:tab/>
        <w:t>Exemption for non</w:t>
      </w:r>
      <w:r>
        <w:noBreakHyphen/>
        <w:t>rural land</w:t>
      </w:r>
      <w:bookmarkEnd w:id="77"/>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lastRenderedPageBreak/>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78" w:name="_Toc166767990"/>
      <w:r>
        <w:rPr>
          <w:rStyle w:val="CharSectno"/>
        </w:rPr>
        <w:t>30E</w:t>
      </w:r>
      <w:r>
        <w:t>.</w:t>
      </w:r>
      <w:r>
        <w:tab/>
        <w:t>Exemption under section 30D after death of family owner or person related to family owner</w:t>
      </w:r>
      <w:bookmarkEnd w:id="78"/>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79" w:name="_Toc166681882"/>
      <w:bookmarkStart w:id="80" w:name="_Toc166767991"/>
      <w:r>
        <w:lastRenderedPageBreak/>
        <w:t>Subdivision 3 — Family owners of land and persons related to family owners of land</w:t>
      </w:r>
      <w:bookmarkEnd w:id="79"/>
      <w:bookmarkEnd w:id="80"/>
    </w:p>
    <w:p>
      <w:pPr>
        <w:pStyle w:val="Footnoteheading"/>
        <w:keepNext/>
      </w:pPr>
      <w:r>
        <w:tab/>
        <w:t>[Heading inserted: No. 1 of 2015 s. 6.]</w:t>
      </w:r>
    </w:p>
    <w:p>
      <w:pPr>
        <w:pStyle w:val="Heading5"/>
      </w:pPr>
      <w:bookmarkStart w:id="81" w:name="_Toc166767992"/>
      <w:r>
        <w:rPr>
          <w:rStyle w:val="CharSectno"/>
        </w:rPr>
        <w:t>30G</w:t>
      </w:r>
      <w:r>
        <w:t>.</w:t>
      </w:r>
      <w:r>
        <w:tab/>
        <w:t>References to individuals, family members and nominated individuals</w:t>
      </w:r>
      <w:bookmarkEnd w:id="81"/>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82" w:name="_Toc166767993"/>
      <w:r>
        <w:rPr>
          <w:rStyle w:val="CharSectno"/>
        </w:rPr>
        <w:t>30H</w:t>
      </w:r>
      <w:r>
        <w:t>.</w:t>
      </w:r>
      <w:r>
        <w:tab/>
        <w:t>Family owner of land</w:t>
      </w:r>
      <w:bookmarkEnd w:id="82"/>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w:t>
      </w:r>
      <w:r>
        <w:lastRenderedPageBreak/>
        <w:t xml:space="preserve">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83" w:name="_Toc166767994"/>
      <w:r>
        <w:rPr>
          <w:rStyle w:val="CharSectno"/>
        </w:rPr>
        <w:t>30I</w:t>
      </w:r>
      <w:r>
        <w:t>.</w:t>
      </w:r>
      <w:r>
        <w:tab/>
        <w:t>Persons related to family owner who is an individual</w:t>
      </w:r>
      <w:bookmarkEnd w:id="83"/>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lastRenderedPageBreak/>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84" w:name="_Toc166767995"/>
      <w:r>
        <w:rPr>
          <w:rStyle w:val="CharSectno"/>
        </w:rPr>
        <w:t>30J</w:t>
      </w:r>
      <w:r>
        <w:t>.</w:t>
      </w:r>
      <w:r>
        <w:tab/>
        <w:t>Persons related to family corporation</w:t>
      </w:r>
      <w:bookmarkEnd w:id="84"/>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85" w:name="_Toc166767996"/>
      <w:r>
        <w:rPr>
          <w:rStyle w:val="CharSectno"/>
        </w:rPr>
        <w:t>30K</w:t>
      </w:r>
      <w:r>
        <w:t>.</w:t>
      </w:r>
      <w:r>
        <w:tab/>
        <w:t>Persons related to trustee of family trust</w:t>
      </w:r>
      <w:bookmarkEnd w:id="85"/>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lastRenderedPageBreak/>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86" w:name="_Toc166767997"/>
      <w:r>
        <w:rPr>
          <w:rStyle w:val="CharSectno"/>
        </w:rPr>
        <w:t>30</w:t>
      </w:r>
      <w:r>
        <w:t>.</w:t>
      </w:r>
      <w:r>
        <w:tab/>
        <w:t>Persons related to trustee of a family unit trust scheme</w:t>
      </w:r>
      <w:bookmarkEnd w:id="86"/>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87" w:name="_Toc166681889"/>
      <w:bookmarkStart w:id="88" w:name="_Toc166767998"/>
      <w:r>
        <w:rPr>
          <w:rStyle w:val="CharDivNo"/>
        </w:rPr>
        <w:lastRenderedPageBreak/>
        <w:t>Division 4</w:t>
      </w:r>
      <w:r>
        <w:t xml:space="preserve"> — </w:t>
      </w:r>
      <w:r>
        <w:rPr>
          <w:rStyle w:val="CharDivText"/>
        </w:rPr>
        <w:t>Crown land and other land used for public purposes</w:t>
      </w:r>
      <w:bookmarkEnd w:id="87"/>
      <w:bookmarkEnd w:id="88"/>
    </w:p>
    <w:p>
      <w:pPr>
        <w:pStyle w:val="Heading5"/>
        <w:spacing w:before="200"/>
      </w:pPr>
      <w:bookmarkStart w:id="89" w:name="_Toc166767999"/>
      <w:r>
        <w:rPr>
          <w:rStyle w:val="CharSectno"/>
        </w:rPr>
        <w:t>31</w:t>
      </w:r>
      <w:r>
        <w:t>.</w:t>
      </w:r>
      <w:r>
        <w:tab/>
        <w:t>Land owned by Crown, public authority etc., exemption for</w:t>
      </w:r>
      <w:bookmarkEnd w:id="89"/>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lastRenderedPageBreak/>
        <w:tab/>
        <w:t>(4)</w:t>
      </w:r>
      <w:r>
        <w:tab/>
        <w:t>The rebate is calculated in accordance with the formula —</w:t>
      </w:r>
    </w:p>
    <w:p>
      <w:pPr>
        <w:pStyle w:val="Equation"/>
        <w:keepNext/>
        <w:spacing w:before="120"/>
        <w:jc w:val="center"/>
      </w:pPr>
      <w:r>
        <w:rPr>
          <w:position w:val="-10"/>
        </w:rPr>
        <w:object w:dxaOrig="1880" w:dyaOrig="320">
          <v:shape id="_x0000_i1026" type="#_x0000_t75" style="width:94.5pt;height:16.5pt" o:ole="">
            <v:imagedata r:id="rId23" o:title=""/>
          </v:shape>
          <o:OLEObject Type="Embed" ProgID="Equation.3" ShapeID="_x0000_i1026" DrawAspect="Content" ObjectID="_1811834671"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90" w:name="_Toc166768000"/>
      <w:r>
        <w:rPr>
          <w:rStyle w:val="CharSectno"/>
        </w:rPr>
        <w:t>32</w:t>
      </w:r>
      <w:r>
        <w:t>.</w:t>
      </w:r>
      <w:r>
        <w:tab/>
        <w:t>Land owned by religious bodies, exemption for</w:t>
      </w:r>
      <w:bookmarkEnd w:id="9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1" w:name="_Toc166768001"/>
      <w:r>
        <w:rPr>
          <w:rStyle w:val="CharSectno"/>
        </w:rPr>
        <w:t>33</w:t>
      </w:r>
      <w:r>
        <w:t>.</w:t>
      </w:r>
      <w:r>
        <w:tab/>
        <w:t>Land owned by educational institutions, exemption for</w:t>
      </w:r>
      <w:bookmarkEnd w:id="91"/>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lastRenderedPageBreak/>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92" w:name="_Toc166768002"/>
      <w:r>
        <w:rPr>
          <w:rStyle w:val="CharSectno"/>
        </w:rPr>
        <w:t>34</w:t>
      </w:r>
      <w:r>
        <w:t>.</w:t>
      </w:r>
      <w:r>
        <w:tab/>
        <w:t>Land used for public or religious hospitals, exemption for</w:t>
      </w:r>
      <w:bookmarkEnd w:id="9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3" w:name="_Toc166768003"/>
      <w:r>
        <w:rPr>
          <w:rStyle w:val="CharSectno"/>
        </w:rPr>
        <w:t>35</w:t>
      </w:r>
      <w:r>
        <w:t>.</w:t>
      </w:r>
      <w:r>
        <w:tab/>
        <w:t>Exemption for mining tenements</w:t>
      </w:r>
      <w:bookmarkEnd w:id="93"/>
    </w:p>
    <w:p>
      <w:pPr>
        <w:pStyle w:val="Subsection"/>
      </w:pPr>
      <w:r>
        <w:tab/>
        <w:t>(1)</w:t>
      </w:r>
      <w:r>
        <w:tab/>
        <w:t>Except as provided in subsection (2), land is exempt for an assessment year if a mining tenement is in force for the land at midnight on 30 June in the previous financial year.</w:t>
      </w:r>
    </w:p>
    <w:p>
      <w:pPr>
        <w:pStyle w:val="Subsection"/>
      </w:pPr>
      <w:r>
        <w:tab/>
        <w:t>(2)</w:t>
      </w:r>
      <w:r>
        <w:tab/>
        <w:t xml:space="preserve">Land is not exempt under subsection (1) for an assessment year if, at midnight on 30 June in the previous financial year — </w:t>
      </w:r>
    </w:p>
    <w:p>
      <w:pPr>
        <w:pStyle w:val="Indenta"/>
      </w:pPr>
      <w:r>
        <w:tab/>
        <w:t>(a)</w:t>
      </w:r>
      <w:r>
        <w:tab/>
        <w:t>the land is owned in fee simple; or</w:t>
      </w:r>
    </w:p>
    <w:p>
      <w:pPr>
        <w:pStyle w:val="Indenta"/>
      </w:pPr>
      <w:r>
        <w:tab/>
        <w:t>(b)</w:t>
      </w:r>
      <w:r>
        <w:tab/>
        <w:t>a diversification lease is in force for the land, whether or not the diversification lease is held by the same person or persons who hold the mining tenement.</w:t>
      </w:r>
    </w:p>
    <w:p>
      <w:pPr>
        <w:pStyle w:val="Footnotesection"/>
      </w:pPr>
      <w:r>
        <w:tab/>
        <w:t>[Section 35 amended: No. 4 of 2023 s. 128.]</w:t>
      </w:r>
    </w:p>
    <w:p>
      <w:pPr>
        <w:pStyle w:val="Heading5"/>
      </w:pPr>
      <w:bookmarkStart w:id="94" w:name="_Toc166768004"/>
      <w:r>
        <w:rPr>
          <w:rStyle w:val="CharSectno"/>
        </w:rPr>
        <w:t>36</w:t>
      </w:r>
      <w:r>
        <w:t>.</w:t>
      </w:r>
      <w:r>
        <w:tab/>
        <w:t>Land used for various public purposes, exemption for</w:t>
      </w:r>
      <w:bookmarkEnd w:id="94"/>
    </w:p>
    <w:p>
      <w:pPr>
        <w:pStyle w:val="Subsection"/>
        <w:keepNext/>
      </w:pPr>
      <w:r>
        <w:tab/>
      </w:r>
      <w:r>
        <w:tab/>
        <w:t xml:space="preserve">Land is exempt for an assessment year if — </w:t>
      </w:r>
    </w:p>
    <w:p>
      <w:pPr>
        <w:pStyle w:val="Indenta"/>
      </w:pPr>
      <w:r>
        <w:tab/>
        <w:t>(a)</w:t>
      </w:r>
      <w:r>
        <w:tab/>
        <w:t xml:space="preserve">at midnight on 30 June in the previous financial year, it is dedicated to, or vested in trustees for, the purposes of </w:t>
      </w:r>
      <w:r>
        <w:lastRenderedPageBreak/>
        <w:t>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95" w:name="_Toc166768005"/>
      <w:r>
        <w:rPr>
          <w:rStyle w:val="CharSectno"/>
        </w:rPr>
        <w:t>37</w:t>
      </w:r>
      <w:r>
        <w:t>.</w:t>
      </w:r>
      <w:r>
        <w:tab/>
        <w:t>Land owned by public charitable or benevolent institutions, exemption for</w:t>
      </w:r>
      <w:bookmarkEnd w:id="95"/>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96" w:name="_Toc166768006"/>
      <w:r>
        <w:rPr>
          <w:rStyle w:val="CharSectno"/>
        </w:rPr>
        <w:t>38AA</w:t>
      </w:r>
      <w:r>
        <w:t>.</w:t>
      </w:r>
      <w:r>
        <w:tab/>
        <w:t>What is a relevant body</w:t>
      </w:r>
      <w:bookmarkEnd w:id="96"/>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97" w:name="_Toc166768007"/>
      <w:r>
        <w:rPr>
          <w:rStyle w:val="CharSectno"/>
        </w:rPr>
        <w:t>38AB</w:t>
      </w:r>
      <w:r>
        <w:t>.</w:t>
      </w:r>
      <w:r>
        <w:tab/>
        <w:t>Application for a beneficial body determination</w:t>
      </w:r>
      <w:bookmarkEnd w:id="97"/>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lastRenderedPageBreak/>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98" w:name="_Toc166768008"/>
      <w:r>
        <w:rPr>
          <w:rStyle w:val="CharSectno"/>
        </w:rPr>
        <w:t>38AC</w:t>
      </w:r>
      <w:r>
        <w:t>.</w:t>
      </w:r>
      <w:r>
        <w:tab/>
        <w:t>Beneficial body determination</w:t>
      </w:r>
      <w:bookmarkEnd w:id="9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lastRenderedPageBreak/>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lastRenderedPageBreak/>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99" w:name="_Toc166768009"/>
      <w:r>
        <w:rPr>
          <w:rStyle w:val="CharSectno"/>
        </w:rPr>
        <w:t>38</w:t>
      </w:r>
      <w:r>
        <w:t>.</w:t>
      </w:r>
      <w:r>
        <w:tab/>
        <w:t>Land owned by non</w:t>
      </w:r>
      <w:r>
        <w:noBreakHyphen/>
        <w:t>profit associations, exemption or concession for</w:t>
      </w:r>
      <w:bookmarkEnd w:id="99"/>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 xml:space="preserve">it is used solely as a site for providing facilities (which may include facilities for the sale of liquor) that are necessary for or conducive to the attainment of the </w:t>
      </w:r>
      <w:r>
        <w:lastRenderedPageBreak/>
        <w:t>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00" w:name="_Toc166768010"/>
      <w:r>
        <w:rPr>
          <w:rStyle w:val="CharSectno"/>
        </w:rPr>
        <w:t>38A</w:t>
      </w:r>
      <w:r>
        <w:t>.</w:t>
      </w:r>
      <w:r>
        <w:tab/>
        <w:t>Land used as aged care facility, exemption for</w:t>
      </w:r>
      <w:bookmarkEnd w:id="100"/>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01" w:name="_Toc166768011"/>
      <w:r>
        <w:rPr>
          <w:rStyle w:val="CharSectno"/>
        </w:rPr>
        <w:t>39</w:t>
      </w:r>
      <w:r>
        <w:t>.</w:t>
      </w:r>
      <w:r>
        <w:tab/>
        <w:t>Land used for retirement villages: exemption for</w:t>
      </w:r>
      <w:bookmarkEnd w:id="101"/>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lastRenderedPageBreak/>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102" w:name="_Toc166681903"/>
      <w:bookmarkStart w:id="103" w:name="_Toc166768012"/>
      <w:r>
        <w:rPr>
          <w:rStyle w:val="CharDivNo"/>
        </w:rPr>
        <w:t>Division 4A</w:t>
      </w:r>
      <w:r>
        <w:t> — </w:t>
      </w:r>
      <w:r>
        <w:rPr>
          <w:rStyle w:val="CharDivText"/>
        </w:rPr>
        <w:t>Land used for dwelling or residential parks</w:t>
      </w:r>
      <w:bookmarkEnd w:id="102"/>
      <w:bookmarkEnd w:id="103"/>
    </w:p>
    <w:p>
      <w:pPr>
        <w:pStyle w:val="Footnoteheading"/>
        <w:keepNext/>
      </w:pPr>
      <w:r>
        <w:tab/>
        <w:t>[Heading inserted: No. 42 of 2022 s. 8.]</w:t>
      </w:r>
    </w:p>
    <w:p>
      <w:pPr>
        <w:pStyle w:val="Heading5"/>
      </w:pPr>
      <w:bookmarkStart w:id="104" w:name="_Toc166768013"/>
      <w:r>
        <w:rPr>
          <w:rStyle w:val="CharSectno"/>
        </w:rPr>
        <w:t>39A</w:t>
      </w:r>
      <w:r>
        <w:t>.</w:t>
      </w:r>
      <w:r>
        <w:tab/>
        <w:t>Terms used</w:t>
      </w:r>
      <w:bookmarkEnd w:id="104"/>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lastRenderedPageBreak/>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lastRenderedPageBreak/>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105" w:name="_Toc166768014"/>
      <w:r>
        <w:rPr>
          <w:rStyle w:val="CharSectno"/>
        </w:rPr>
        <w:t>39B</w:t>
      </w:r>
      <w:r>
        <w:t>.</w:t>
      </w:r>
      <w:r>
        <w:tab/>
        <w:t>Exemption for land in dwelling or residential parks</w:t>
      </w:r>
      <w:bookmarkEnd w:id="105"/>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106" w:name="_Toc166768015"/>
      <w:r>
        <w:rPr>
          <w:rStyle w:val="CharSectno"/>
        </w:rPr>
        <w:t>39C</w:t>
      </w:r>
      <w:r>
        <w:t>.</w:t>
      </w:r>
      <w:r>
        <w:tab/>
        <w:t>Calculating percentage for exemption for dwelling or residential parks</w:t>
      </w:r>
      <w:bookmarkEnd w:id="106"/>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lastRenderedPageBreak/>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lastRenderedPageBreak/>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107" w:name="_Toc166768016"/>
      <w:r>
        <w:rPr>
          <w:rStyle w:val="CharSectno"/>
        </w:rPr>
        <w:lastRenderedPageBreak/>
        <w:t>39D</w:t>
      </w:r>
      <w:r>
        <w:t>.</w:t>
      </w:r>
      <w:r>
        <w:tab/>
        <w:t>Provisions about calculations under s. 39C</w:t>
      </w:r>
      <w:bookmarkEnd w:id="107"/>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pPr>
      <w:bookmarkStart w:id="108" w:name="_Toc134688565"/>
      <w:bookmarkStart w:id="109" w:name="_Toc134689334"/>
      <w:bookmarkStart w:id="110" w:name="_Toc145496965"/>
      <w:bookmarkStart w:id="111" w:name="_Toc166238309"/>
      <w:bookmarkStart w:id="112" w:name="_Toc166677074"/>
      <w:bookmarkStart w:id="113" w:name="_Toc166681908"/>
      <w:bookmarkStart w:id="114" w:name="_Toc166768017"/>
      <w:r>
        <w:rPr>
          <w:rStyle w:val="CharDivNo"/>
        </w:rPr>
        <w:t>Division 4B</w:t>
      </w:r>
      <w:r>
        <w:t> — </w:t>
      </w:r>
      <w:r>
        <w:rPr>
          <w:rStyle w:val="CharDivText"/>
        </w:rPr>
        <w:t>Land used for build</w:t>
      </w:r>
      <w:r>
        <w:rPr>
          <w:rStyle w:val="CharDivText"/>
        </w:rPr>
        <w:noBreakHyphen/>
        <w:t>to</w:t>
      </w:r>
      <w:r>
        <w:rPr>
          <w:rStyle w:val="CharDivText"/>
        </w:rPr>
        <w:noBreakHyphen/>
        <w:t>rent developments</w:t>
      </w:r>
      <w:bookmarkEnd w:id="108"/>
      <w:bookmarkEnd w:id="109"/>
      <w:bookmarkEnd w:id="110"/>
      <w:bookmarkEnd w:id="111"/>
      <w:bookmarkEnd w:id="112"/>
      <w:bookmarkEnd w:id="113"/>
      <w:bookmarkEnd w:id="114"/>
    </w:p>
    <w:p>
      <w:pPr>
        <w:pStyle w:val="Footnoteheading"/>
        <w:keepNext/>
      </w:pPr>
      <w:bookmarkStart w:id="115" w:name="_Toc166238310"/>
      <w:bookmarkStart w:id="116" w:name="_Toc166677075"/>
      <w:r>
        <w:tab/>
        <w:t>[Heading inserted: No. 22 of 2024 s. 5.]</w:t>
      </w:r>
    </w:p>
    <w:p>
      <w:pPr>
        <w:pStyle w:val="Heading5"/>
      </w:pPr>
      <w:bookmarkStart w:id="117" w:name="_Toc166768018"/>
      <w:r>
        <w:rPr>
          <w:rStyle w:val="CharSectno"/>
        </w:rPr>
        <w:t>39E</w:t>
      </w:r>
      <w:r>
        <w:t>.</w:t>
      </w:r>
      <w:r>
        <w:tab/>
        <w:t>Terms used</w:t>
      </w:r>
      <w:bookmarkEnd w:id="115"/>
      <w:bookmarkEnd w:id="116"/>
      <w:bookmarkEnd w:id="117"/>
    </w:p>
    <w:p>
      <w:pPr>
        <w:pStyle w:val="Subsection"/>
      </w:pPr>
      <w:r>
        <w:tab/>
      </w:r>
      <w:r>
        <w:tab/>
        <w:t xml:space="preserve">In this Division — </w:t>
      </w:r>
    </w:p>
    <w:p>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Defstart"/>
      </w:pPr>
      <w:r>
        <w:tab/>
      </w:r>
      <w:r>
        <w:rPr>
          <w:rStyle w:val="CharDefText"/>
        </w:rPr>
        <w:t>excluded land</w:t>
      </w:r>
      <w:r>
        <w:t xml:space="preserve"> means land, other than land used for exempt development or a purpose solely related to exempt development, that is — </w:t>
      </w:r>
    </w:p>
    <w:p>
      <w:pPr>
        <w:pStyle w:val="Defpara"/>
      </w:pPr>
      <w:r>
        <w:lastRenderedPageBreak/>
        <w:tab/>
        <w:t>(a)</w:t>
      </w:r>
      <w:r>
        <w:tab/>
        <w:t>vacant land or land used for residential, commercial, professional, industrial or mixed development purposes; or</w:t>
      </w:r>
    </w:p>
    <w:p>
      <w:pPr>
        <w:pStyle w:val="Defpara"/>
      </w:pPr>
      <w:r>
        <w:tab/>
        <w:t>(b)</w:t>
      </w:r>
      <w:r>
        <w:tab/>
        <w:t>land on which clearing or other work is undertaken for the purpose of developing the land; or</w:t>
      </w:r>
    </w:p>
    <w:p>
      <w:pPr>
        <w:pStyle w:val="Defpara"/>
      </w:pPr>
      <w:r>
        <w:tab/>
        <w:t>(c)</w:t>
      </w:r>
      <w:r>
        <w:tab/>
        <w:t>land used for prescribed purposes; or</w:t>
      </w:r>
    </w:p>
    <w:p>
      <w:pPr>
        <w:pStyle w:val="Defpara"/>
      </w:pPr>
      <w:r>
        <w:tab/>
        <w:t>(d)</w:t>
      </w:r>
      <w:r>
        <w:tab/>
        <w:t>land that the Commissioner considers is not used for the purposes of an exempt development;</w:t>
      </w:r>
    </w:p>
    <w:p>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Defstart"/>
      </w:pPr>
      <w:r>
        <w:tab/>
      </w:r>
      <w:r>
        <w:rPr>
          <w:rStyle w:val="CharDefText"/>
        </w:rPr>
        <w:t>exemption percentage</w:t>
      </w:r>
      <w:r>
        <w:t xml:space="preserve"> means the percentage specified under section 39I(2);</w:t>
      </w:r>
    </w:p>
    <w:p>
      <w:pPr>
        <w:pStyle w:val="Defstart"/>
      </w:pPr>
      <w:r>
        <w:tab/>
      </w:r>
      <w:r>
        <w:rPr>
          <w:rStyle w:val="CharDefText"/>
        </w:rPr>
        <w:t>residential tenancy agreement</w:t>
      </w:r>
      <w:r>
        <w:t xml:space="preserve"> has the meaning given in the </w:t>
      </w:r>
      <w:r>
        <w:rPr>
          <w:i/>
        </w:rPr>
        <w:t xml:space="preserve">Residential Tenancies Act 1987 </w:t>
      </w:r>
      <w:r>
        <w:t>section 3;</w:t>
      </w:r>
    </w:p>
    <w:p>
      <w:pPr>
        <w:pStyle w:val="Defstart"/>
      </w:pPr>
      <w:r>
        <w:tab/>
      </w:r>
      <w:r>
        <w:rPr>
          <w:rStyle w:val="CharDefText"/>
        </w:rPr>
        <w:t>social housing premises</w:t>
      </w:r>
      <w:r>
        <w:t xml:space="preserve"> has the meaning given in the </w:t>
      </w:r>
      <w:r>
        <w:rPr>
          <w:i/>
        </w:rPr>
        <w:t xml:space="preserve">Residential Tenancies Act 1987 </w:t>
      </w:r>
      <w:r>
        <w:t>section 71A;</w:t>
      </w:r>
    </w:p>
    <w:p>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pPr>
        <w:pStyle w:val="Footnotesection"/>
      </w:pPr>
      <w:bookmarkStart w:id="118" w:name="_Toc166238311"/>
      <w:bookmarkStart w:id="119" w:name="_Toc166677076"/>
      <w:r>
        <w:tab/>
        <w:t>[Section 39E inserted: No. 22 of 2024 s. 5.]</w:t>
      </w:r>
    </w:p>
    <w:p>
      <w:pPr>
        <w:pStyle w:val="Heading5"/>
      </w:pPr>
      <w:bookmarkStart w:id="120" w:name="_Toc166768019"/>
      <w:r>
        <w:rPr>
          <w:rStyle w:val="CharSectno"/>
        </w:rPr>
        <w:t>39F</w:t>
      </w:r>
      <w:r>
        <w:t>.</w:t>
      </w:r>
      <w:r>
        <w:tab/>
        <w:t>Requirements for exemption relating to build</w:t>
      </w:r>
      <w:r>
        <w:noBreakHyphen/>
        <w:t>to</w:t>
      </w:r>
      <w:r>
        <w:noBreakHyphen/>
        <w:t>rent development</w:t>
      </w:r>
      <w:bookmarkEnd w:id="118"/>
      <w:bookmarkEnd w:id="119"/>
      <w:bookmarkEnd w:id="120"/>
    </w:p>
    <w:p>
      <w:pPr>
        <w:pStyle w:val="Subsection"/>
      </w:pPr>
      <w:r>
        <w:tab/>
        <w:t>(1)</w:t>
      </w:r>
      <w:r>
        <w:tab/>
        <w:t>Development meets the requirements for exemption as a build</w:t>
      </w:r>
      <w:r>
        <w:noBreakHyphen/>
        <w:t>to</w:t>
      </w:r>
      <w:r>
        <w:noBreakHyphen/>
        <w:t xml:space="preserve">rent development if — </w:t>
      </w:r>
    </w:p>
    <w:p>
      <w:pPr>
        <w:pStyle w:val="Indenta"/>
      </w:pPr>
      <w:r>
        <w:tab/>
        <w:t>(a)</w:t>
      </w:r>
      <w:r>
        <w:tab/>
        <w:t>it is on land owned by 1 owner or joint owners; and</w:t>
      </w:r>
    </w:p>
    <w:p>
      <w:pPr>
        <w:pStyle w:val="Indenta"/>
      </w:pPr>
      <w:r>
        <w:lastRenderedPageBreak/>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Indenta"/>
      </w:pPr>
      <w:r>
        <w:tab/>
        <w:t>(c)</w:t>
      </w:r>
      <w:r>
        <w:tab/>
        <w:t xml:space="preserve">it consists of — </w:t>
      </w:r>
    </w:p>
    <w:p>
      <w:pPr>
        <w:pStyle w:val="Indenti"/>
      </w:pPr>
      <w:r>
        <w:tab/>
        <w:t>(i)</w:t>
      </w:r>
      <w:r>
        <w:tab/>
        <w:t>the construction of a building or buildings on the land; or</w:t>
      </w:r>
    </w:p>
    <w:p>
      <w:pPr>
        <w:pStyle w:val="Indenti"/>
      </w:pPr>
      <w:r>
        <w:tab/>
        <w:t>(ii)</w:t>
      </w:r>
      <w:r>
        <w:tab/>
        <w:t>the substantial renovation of the whole or a substantial part of a building or buildings on the land that are not used for residential purposes (including aged care);</w:t>
      </w:r>
    </w:p>
    <w:p>
      <w:pPr>
        <w:pStyle w:val="Indenta"/>
      </w:pPr>
      <w:r>
        <w:tab/>
      </w:r>
      <w:r>
        <w:tab/>
        <w:t>and</w:t>
      </w:r>
    </w:p>
    <w:p>
      <w:pPr>
        <w:pStyle w:val="Indenta"/>
      </w:pPr>
      <w:r>
        <w:tab/>
        <w:t>(d)</w:t>
      </w:r>
      <w:r>
        <w:tab/>
        <w:t>all of the dwellings become able to be lawfully occupied as dwellings on or after 12 May 2022 and before 1 July 2032 and within a 5</w:t>
      </w:r>
      <w:r>
        <w:noBreakHyphen/>
        <w:t>year period; and</w:t>
      </w:r>
    </w:p>
    <w:p>
      <w:pPr>
        <w:pStyle w:val="Indenta"/>
      </w:pPr>
      <w:r>
        <w:tab/>
        <w:t>(e)</w:t>
      </w:r>
      <w:r>
        <w:tab/>
        <w:t>except as provided by section 39G(1), each of the dwellings is rented or available for rent under a residential tenancy agreement with a term of at least 3 years; and</w:t>
      </w:r>
    </w:p>
    <w:p>
      <w:pPr>
        <w:pStyle w:val="Indenta"/>
      </w:pPr>
      <w:r>
        <w:tab/>
        <w:t>(f)</w:t>
      </w:r>
      <w:r>
        <w:tab/>
        <w:t>except as permitted by section 39G(2), there is no direct or indirect restriction on the class or classes of persons who may occupy those dwellings; and</w:t>
      </w:r>
    </w:p>
    <w:p>
      <w:pPr>
        <w:pStyle w:val="Indenta"/>
      </w:pPr>
      <w:r>
        <w:tab/>
        <w:t>(g)</w:t>
      </w:r>
      <w:r>
        <w:tab/>
        <w:t>the same management entity is responsible for the provision of management services to the whole of the development.</w:t>
      </w:r>
    </w:p>
    <w:p>
      <w:pPr>
        <w:pStyle w:val="Subsection"/>
      </w:pPr>
      <w:r>
        <w:tab/>
        <w:t>(2)</w:t>
      </w:r>
      <w:r>
        <w:tab/>
        <w:t xml:space="preserve">In subsection (1) — </w:t>
      </w:r>
    </w:p>
    <w:p>
      <w:pPr>
        <w:pStyle w:val="Defstart"/>
      </w:pPr>
      <w:r>
        <w:tab/>
      </w:r>
      <w:r>
        <w:rPr>
          <w:rStyle w:val="CharDefText"/>
        </w:rPr>
        <w:t>substantial renovation</w:t>
      </w:r>
      <w:r>
        <w:t>, of a building or part of a building, does not include minor works to the building or part.</w:t>
      </w:r>
    </w:p>
    <w:p>
      <w:pPr>
        <w:pStyle w:val="Subsection"/>
      </w:pPr>
      <w:r>
        <w:tab/>
        <w:t>(3)</w:t>
      </w:r>
      <w:r>
        <w:tab/>
        <w:t>Development meets the requirements for exemption as an expansion build</w:t>
      </w:r>
      <w:r>
        <w:noBreakHyphen/>
        <w:t>to</w:t>
      </w:r>
      <w:r>
        <w:noBreakHyphen/>
        <w:t>rent development if —</w:t>
      </w:r>
    </w:p>
    <w:p>
      <w:pPr>
        <w:pStyle w:val="Indenta"/>
      </w:pPr>
      <w:r>
        <w:tab/>
        <w:t>(a)</w:t>
      </w:r>
      <w:r>
        <w:tab/>
        <w:t>it is on land owned by 1 owner or joint owners; and</w:t>
      </w:r>
    </w:p>
    <w:p>
      <w:pPr>
        <w:pStyle w:val="Indenta"/>
      </w:pPr>
      <w:r>
        <w:lastRenderedPageBreak/>
        <w:tab/>
        <w:t>(b)</w:t>
      </w:r>
      <w:r>
        <w:tab/>
        <w:t>it is development for the purpose of providing self</w:t>
      </w:r>
      <w:r>
        <w:noBreakHyphen/>
        <w:t>contained dwellings for lease under residential tenancy agreements (whether or not the building or buildings are used for other purposes); and</w:t>
      </w:r>
    </w:p>
    <w:p>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Indenta"/>
      </w:pPr>
      <w:r>
        <w:tab/>
        <w:t>(d)</w:t>
      </w:r>
      <w:r>
        <w:tab/>
        <w:t>it meets the requirements of subsection (1)(c) to (g).</w:t>
      </w:r>
    </w:p>
    <w:p>
      <w:pPr>
        <w:pStyle w:val="Footnotesection"/>
      </w:pPr>
      <w:bookmarkStart w:id="121" w:name="_Toc166238312"/>
      <w:bookmarkStart w:id="122" w:name="_Toc166677077"/>
      <w:r>
        <w:tab/>
        <w:t>[Section 39F inserted: No. 22 of 2024 s. 5.]</w:t>
      </w:r>
    </w:p>
    <w:p>
      <w:pPr>
        <w:pStyle w:val="Heading5"/>
      </w:pPr>
      <w:bookmarkStart w:id="123" w:name="_Toc166768020"/>
      <w:r>
        <w:rPr>
          <w:rStyle w:val="CharSectno"/>
        </w:rPr>
        <w:t>39G</w:t>
      </w:r>
      <w:r>
        <w:t>.</w:t>
      </w:r>
      <w:r>
        <w:tab/>
        <w:t>Exceptions to leasing restrictions for exempt development</w:t>
      </w:r>
      <w:bookmarkEnd w:id="121"/>
      <w:bookmarkEnd w:id="122"/>
      <w:bookmarkEnd w:id="123"/>
    </w:p>
    <w:p>
      <w:pPr>
        <w:pStyle w:val="Subsection"/>
      </w:pPr>
      <w:r>
        <w:tab/>
        <w:t>(1)</w:t>
      </w:r>
      <w:r>
        <w:tab/>
        <w:t>A dwelling may be rented for a term of less than 3 years without affecting eligibility for an exemption under this Division if —</w:t>
      </w:r>
    </w:p>
    <w:p>
      <w:pPr>
        <w:pStyle w:val="Indenta"/>
      </w:pPr>
      <w:r>
        <w:tab/>
        <w:t>(a)</w:t>
      </w:r>
      <w:r>
        <w:tab/>
        <w:t>the tenant requests the shorter term; or</w:t>
      </w:r>
    </w:p>
    <w:p>
      <w:pPr>
        <w:pStyle w:val="Indenta"/>
      </w:pPr>
      <w:r>
        <w:tab/>
        <w:t>(b)</w:t>
      </w:r>
      <w:r>
        <w:tab/>
        <w:t>the residential tenancy agreement is entered into for a term that ends in an assessment year for which the land will not be exempt under this Division because of section 39J(1).</w:t>
      </w:r>
    </w:p>
    <w:p>
      <w:pPr>
        <w:pStyle w:val="Subsection"/>
      </w:pPr>
      <w:r>
        <w:tab/>
        <w:t>(2)</w:t>
      </w:r>
      <w:r>
        <w:tab/>
        <w:t>A restriction may be placed on the class of persons who may occupy a dwelling that is part of an exempt development —</w:t>
      </w:r>
    </w:p>
    <w:p>
      <w:pPr>
        <w:pStyle w:val="Indenta"/>
      </w:pPr>
      <w:r>
        <w:tab/>
        <w:t>(a)</w:t>
      </w:r>
      <w:r>
        <w:tab/>
        <w:t>if it is necessary to ensure public health or safety; or</w:t>
      </w:r>
    </w:p>
    <w:p>
      <w:pPr>
        <w:pStyle w:val="Indenta"/>
      </w:pPr>
      <w:r>
        <w:tab/>
        <w:t>(b)</w:t>
      </w:r>
      <w:r>
        <w:tab/>
        <w:t>if the dwelling is social housing premises; or</w:t>
      </w:r>
    </w:p>
    <w:p>
      <w:pPr>
        <w:pStyle w:val="Indenta"/>
      </w:pPr>
      <w:r>
        <w:tab/>
        <w:t>(c)</w:t>
      </w:r>
      <w:r>
        <w:tab/>
        <w:t>in prescribed circumstances.</w:t>
      </w:r>
    </w:p>
    <w:p>
      <w:pPr>
        <w:pStyle w:val="Footnotesection"/>
      </w:pPr>
      <w:bookmarkStart w:id="124" w:name="_Toc166238313"/>
      <w:bookmarkStart w:id="125" w:name="_Toc166677078"/>
      <w:r>
        <w:tab/>
        <w:t>[Section 39G inserted: No. 22 of 2024 s. 5.]</w:t>
      </w:r>
    </w:p>
    <w:p>
      <w:pPr>
        <w:pStyle w:val="Heading5"/>
      </w:pPr>
      <w:bookmarkStart w:id="126" w:name="_Toc166768021"/>
      <w:r>
        <w:rPr>
          <w:rStyle w:val="CharSectno"/>
        </w:rPr>
        <w:t>39H</w:t>
      </w:r>
      <w:r>
        <w:t>.</w:t>
      </w:r>
      <w:r>
        <w:tab/>
        <w:t>Managing entities for exempt development</w:t>
      </w:r>
      <w:bookmarkEnd w:id="124"/>
      <w:bookmarkEnd w:id="125"/>
      <w:bookmarkEnd w:id="126"/>
    </w:p>
    <w:p>
      <w:pPr>
        <w:pStyle w:val="Subsection"/>
      </w:pPr>
      <w:r>
        <w:tab/>
        <w:t>(1)</w:t>
      </w:r>
      <w:r>
        <w:tab/>
        <w:t>The owner of land is not required to be the management entity responsible for providing management services to an exempt development.</w:t>
      </w:r>
    </w:p>
    <w:p>
      <w:pPr>
        <w:pStyle w:val="Subsection"/>
      </w:pPr>
      <w:r>
        <w:tab/>
        <w:t>(2)</w:t>
      </w:r>
      <w:r>
        <w:tab/>
        <w:t>Section 39F does not require the management entity responsible for providing management services to an exempt build</w:t>
      </w:r>
      <w:r>
        <w:noBreakHyphen/>
        <w:t>to</w:t>
      </w:r>
      <w:r>
        <w:noBreakHyphen/>
        <w:t xml:space="preserve">rent </w:t>
      </w:r>
      <w:r>
        <w:lastRenderedPageBreak/>
        <w:t>development to be the management entity responsible for providing management services to an exempt expansion build</w:t>
      </w:r>
      <w:r>
        <w:noBreakHyphen/>
        <w:t>to</w:t>
      </w:r>
      <w:r>
        <w:noBreakHyphen/>
        <w:t>rent development on the same lot or parcel of land.</w:t>
      </w:r>
    </w:p>
    <w:p>
      <w:pPr>
        <w:pStyle w:val="Footnotesection"/>
      </w:pPr>
      <w:bookmarkStart w:id="127" w:name="_Toc166238314"/>
      <w:bookmarkStart w:id="128" w:name="_Toc166677079"/>
      <w:r>
        <w:tab/>
        <w:t>[Section 39H inserted: No. 22 of 2024 s. 5.]</w:t>
      </w:r>
    </w:p>
    <w:p>
      <w:pPr>
        <w:pStyle w:val="Heading5"/>
      </w:pPr>
      <w:bookmarkStart w:id="129" w:name="_Toc166768022"/>
      <w:r>
        <w:rPr>
          <w:rStyle w:val="CharSectno"/>
        </w:rPr>
        <w:t>39I</w:t>
      </w:r>
      <w:r>
        <w:t>.</w:t>
      </w:r>
      <w:r>
        <w:tab/>
        <w:t>Exemption for build</w:t>
      </w:r>
      <w:r>
        <w:noBreakHyphen/>
        <w:t>to</w:t>
      </w:r>
      <w:r>
        <w:noBreakHyphen/>
        <w:t>rent developments</w:t>
      </w:r>
      <w:bookmarkEnd w:id="127"/>
      <w:bookmarkEnd w:id="128"/>
      <w:bookmarkEnd w:id="129"/>
    </w:p>
    <w:p>
      <w:pPr>
        <w:pStyle w:val="Subsection"/>
      </w:pPr>
      <w:r>
        <w:tab/>
        <w:t>(1)</w:t>
      </w:r>
      <w:r>
        <w:tab/>
        <w:t>Land is exempt for an assessment year, to the extent set out in subsection (2), if at midnight on 30 June in the previous financial year the land is used for an exempt development.</w:t>
      </w:r>
    </w:p>
    <w:p>
      <w:pPr>
        <w:pStyle w:val="Subsection"/>
      </w:pPr>
      <w:r>
        <w:tab/>
        <w:t>(2)</w:t>
      </w:r>
      <w:r>
        <w:tab/>
        <w:t>The land is exempt to the extent of 50%, or other percentage calculated under section 39K, of the taxable value of the land.</w:t>
      </w:r>
    </w:p>
    <w:p>
      <w:pPr>
        <w:pStyle w:val="Subsection"/>
      </w:pPr>
      <w:r>
        <w:tab/>
        <w:t>(3)</w:t>
      </w:r>
      <w:r>
        <w:tab/>
        <w:t xml:space="preserve">The exemption does not apply to any part of a lot or parcel of land that is excluded land. </w:t>
      </w:r>
    </w:p>
    <w:p>
      <w:pPr>
        <w:pStyle w:val="Footnotesection"/>
      </w:pPr>
      <w:bookmarkStart w:id="130" w:name="_Toc166238315"/>
      <w:bookmarkStart w:id="131" w:name="_Toc166677080"/>
      <w:r>
        <w:tab/>
        <w:t>[Section 39I inserted: No. 22 of 2024 s. 5.]</w:t>
      </w:r>
    </w:p>
    <w:p>
      <w:pPr>
        <w:pStyle w:val="Heading5"/>
      </w:pPr>
      <w:bookmarkStart w:id="132" w:name="_Toc166768023"/>
      <w:r>
        <w:rPr>
          <w:rStyle w:val="CharSectno"/>
        </w:rPr>
        <w:t>39J</w:t>
      </w:r>
      <w:r>
        <w:t>.</w:t>
      </w:r>
      <w:r>
        <w:tab/>
        <w:t>Limits on eligibility for build</w:t>
      </w:r>
      <w:r>
        <w:noBreakHyphen/>
        <w:t>to</w:t>
      </w:r>
      <w:r>
        <w:noBreakHyphen/>
        <w:t>rent exemption</w:t>
      </w:r>
      <w:bookmarkEnd w:id="130"/>
      <w:bookmarkEnd w:id="131"/>
      <w:bookmarkEnd w:id="132"/>
    </w:p>
    <w:p>
      <w:pPr>
        <w:pStyle w:val="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Subsection"/>
      </w:pPr>
      <w:r>
        <w:tab/>
        <w:t>(2)</w:t>
      </w:r>
      <w:r>
        <w:tab/>
        <w:t xml:space="preserve">Land is not exempt under this Division for an assessment year in relation to a development that meets the requirements of section 39F if — </w:t>
      </w:r>
    </w:p>
    <w:p>
      <w:pPr>
        <w:pStyle w:val="Indenta"/>
      </w:pPr>
      <w:r>
        <w:tab/>
        <w:t>(a)</w:t>
      </w:r>
      <w:r>
        <w:tab/>
        <w:t>the land was subject to an exemption under this Division for a previous assessment year in relation to the development; and</w:t>
      </w:r>
    </w:p>
    <w:p>
      <w:pPr>
        <w:pStyle w:val="Indenta"/>
      </w:pPr>
      <w:r>
        <w:tab/>
        <w:t>(b)</w:t>
      </w:r>
      <w:r>
        <w:tab/>
        <w:t>the development ceased to meet the requirements of section 39F at any time after that exemption applied.</w:t>
      </w:r>
    </w:p>
    <w:p>
      <w:pPr>
        <w:pStyle w:val="Subsection"/>
      </w:pPr>
      <w:r>
        <w:tab/>
        <w:t>(3)</w:t>
      </w:r>
      <w:r>
        <w:tab/>
        <w:t xml:space="preserve">The Commissioner may determine that land is to be treated as exempt for an assessment year under this Division even if development on the land does not meet the requirements of </w:t>
      </w:r>
      <w:r>
        <w:lastRenderedPageBreak/>
        <w:t xml:space="preserve">section 39F for exemption, if the Commissioner is satisfied that — </w:t>
      </w:r>
    </w:p>
    <w:p>
      <w:pPr>
        <w:pStyle w:val="Indenta"/>
      </w:pPr>
      <w:r>
        <w:tab/>
        <w:t>(a)</w:t>
      </w:r>
      <w:r>
        <w:tab/>
        <w:t>the land was exempt under this Division for the previous assessment year; and</w:t>
      </w:r>
    </w:p>
    <w:p>
      <w:pPr>
        <w:pStyle w:val="Indenta"/>
      </w:pPr>
      <w:r>
        <w:tab/>
        <w:t>(b)</w:t>
      </w:r>
      <w:r>
        <w:tab/>
        <w:t>the reasons for not meeting the requirements are temporary; and</w:t>
      </w:r>
    </w:p>
    <w:p>
      <w:pPr>
        <w:pStyle w:val="Indenta"/>
      </w:pPr>
      <w:r>
        <w:tab/>
        <w:t>(c)</w:t>
      </w:r>
      <w:r>
        <w:tab/>
        <w:t>it is reasonable in all the circumstances to treat the land as exempt under this Division for the assessment year.</w:t>
      </w:r>
    </w:p>
    <w:p>
      <w:pPr>
        <w:pStyle w:val="Subsection"/>
      </w:pPr>
      <w:r>
        <w:tab/>
        <w:t>(4)</w:t>
      </w:r>
      <w:r>
        <w:tab/>
        <w:t xml:space="preserve">The Commissioner may make the determination — </w:t>
      </w:r>
    </w:p>
    <w:p>
      <w:pPr>
        <w:pStyle w:val="Indenta"/>
      </w:pPr>
      <w:r>
        <w:tab/>
        <w:t>(a)</w:t>
      </w:r>
      <w:r>
        <w:tab/>
        <w:t>on the Commissioner’s own initiative; or</w:t>
      </w:r>
    </w:p>
    <w:p>
      <w:pPr>
        <w:pStyle w:val="Indenta"/>
      </w:pPr>
      <w:r>
        <w:tab/>
        <w:t>(b)</w:t>
      </w:r>
      <w:r>
        <w:tab/>
        <w:t>on the application of the owner or all joint owners of the land.</w:t>
      </w:r>
    </w:p>
    <w:p>
      <w:pPr>
        <w:pStyle w:val="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Footnotesection"/>
      </w:pPr>
      <w:bookmarkStart w:id="133" w:name="_Toc166238316"/>
      <w:bookmarkStart w:id="134" w:name="_Toc166677081"/>
      <w:r>
        <w:tab/>
        <w:t>[Section 39J inserted: No. 22 of 2024 s. 5.]</w:t>
      </w:r>
    </w:p>
    <w:p>
      <w:pPr>
        <w:pStyle w:val="Heading5"/>
      </w:pPr>
      <w:bookmarkStart w:id="135" w:name="_Toc166768024"/>
      <w:r>
        <w:rPr>
          <w:rStyle w:val="CharSectno"/>
        </w:rPr>
        <w:t>39K</w:t>
      </w:r>
      <w:r>
        <w:t>.</w:t>
      </w:r>
      <w:r>
        <w:tab/>
        <w:t>Exemption percentage where buildings partially used for build</w:t>
      </w:r>
      <w:r>
        <w:noBreakHyphen/>
        <w:t>to</w:t>
      </w:r>
      <w:r>
        <w:noBreakHyphen/>
        <w:t>rent dwellings</w:t>
      </w:r>
      <w:bookmarkEnd w:id="133"/>
      <w:bookmarkEnd w:id="134"/>
      <w:bookmarkEnd w:id="135"/>
    </w:p>
    <w:p>
      <w:pPr>
        <w:pStyle w:val="Subsection"/>
      </w:pPr>
      <w:r>
        <w:tab/>
        <w:t>(1)</w:t>
      </w:r>
      <w:r>
        <w:tab/>
        <w:t xml:space="preserve">This section does not apply to a strata lot or a community title lot. </w:t>
      </w:r>
    </w:p>
    <w:p>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MiscellaneousBody"/>
        <w:keepNext/>
        <w:tabs>
          <w:tab w:val="left" w:pos="851"/>
        </w:tabs>
        <w:ind w:left="1276" w:hanging="1276"/>
      </w:pPr>
      <w:r>
        <w:lastRenderedPageBreak/>
        <w:tab/>
        <w:t>where —</w:t>
      </w:r>
    </w:p>
    <w:p>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Subsection"/>
      </w:pPr>
      <w:r>
        <w:tab/>
        <w:t>(4)</w:t>
      </w:r>
      <w:r>
        <w:tab/>
        <w:t>A calculation under this section must be made by reference to land as at midnight on 30 June in the financial year before the assessment year.</w:t>
      </w:r>
    </w:p>
    <w:p>
      <w:pPr>
        <w:pStyle w:val="Footnotesection"/>
      </w:pPr>
      <w:bookmarkStart w:id="136" w:name="_Toc166238317"/>
      <w:bookmarkStart w:id="137" w:name="_Toc166677082"/>
      <w:r>
        <w:tab/>
        <w:t>[Section 39K inserted: No. 22 of 2024 s. 5.]</w:t>
      </w:r>
    </w:p>
    <w:p>
      <w:pPr>
        <w:pStyle w:val="Heading5"/>
      </w:pPr>
      <w:bookmarkStart w:id="138" w:name="_Toc166768025"/>
      <w:r>
        <w:rPr>
          <w:rStyle w:val="CharSectno"/>
        </w:rPr>
        <w:t>39L</w:t>
      </w:r>
      <w:r>
        <w:t>.</w:t>
      </w:r>
      <w:r>
        <w:tab/>
        <w:t>Taxable value of land subject to partial build</w:t>
      </w:r>
      <w:r>
        <w:noBreakHyphen/>
        <w:t>to</w:t>
      </w:r>
      <w:r>
        <w:noBreakHyphen/>
        <w:t>rent exemptions</w:t>
      </w:r>
      <w:bookmarkEnd w:id="136"/>
      <w:bookmarkEnd w:id="137"/>
      <w:bookmarkEnd w:id="138"/>
    </w:p>
    <w:p>
      <w:pPr>
        <w:pStyle w:val="Subsection"/>
      </w:pPr>
      <w:r>
        <w:tab/>
        <w:t>(1)</w:t>
      </w:r>
      <w:r>
        <w:tab/>
        <w:t>This section applies for the purpose of determining the taxable value of a lot or parcel for an assessment year if an exemption under this Division applies only partly to the lot or parcel.</w:t>
      </w:r>
    </w:p>
    <w:p>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Footnotesection"/>
      </w:pPr>
      <w:bookmarkStart w:id="139" w:name="_Toc166238318"/>
      <w:bookmarkStart w:id="140" w:name="_Toc166677083"/>
      <w:r>
        <w:tab/>
        <w:t>[Section 39L inserted: No. 22 of 2024 s. 5.]</w:t>
      </w:r>
    </w:p>
    <w:p>
      <w:pPr>
        <w:pStyle w:val="Heading5"/>
      </w:pPr>
      <w:bookmarkStart w:id="141" w:name="_Toc166768026"/>
      <w:r>
        <w:rPr>
          <w:rStyle w:val="CharSectno"/>
        </w:rPr>
        <w:lastRenderedPageBreak/>
        <w:t>39M</w:t>
      </w:r>
      <w:r>
        <w:t>.</w:t>
      </w:r>
      <w:r>
        <w:tab/>
        <w:t>Application for build</w:t>
      </w:r>
      <w:r>
        <w:noBreakHyphen/>
        <w:t>to</w:t>
      </w:r>
      <w:r>
        <w:noBreakHyphen/>
        <w:t>rent exemption</w:t>
      </w:r>
      <w:bookmarkEnd w:id="139"/>
      <w:bookmarkEnd w:id="140"/>
      <w:bookmarkEnd w:id="141"/>
    </w:p>
    <w:p>
      <w:pPr>
        <w:pStyle w:val="Subsection"/>
        <w:keepNext/>
      </w:pPr>
      <w:r>
        <w:tab/>
        <w:t>(1)</w:t>
      </w:r>
      <w:r>
        <w:tab/>
        <w:t>An application for an exemption under this Division must —</w:t>
      </w:r>
    </w:p>
    <w:p>
      <w:pPr>
        <w:pStyle w:val="Indenta"/>
      </w:pPr>
      <w:r>
        <w:tab/>
        <w:t>(a)</w:t>
      </w:r>
      <w:r>
        <w:tab/>
        <w:t>be in an approved form; and</w:t>
      </w:r>
    </w:p>
    <w:p>
      <w:pPr>
        <w:pStyle w:val="Indenta"/>
      </w:pPr>
      <w:r>
        <w:tab/>
        <w:t>(b)</w:t>
      </w:r>
      <w:r>
        <w:tab/>
        <w:t>be received by the Commissioner on or before 30 June in the assessment year unless the Commissioner gives an extension under subsection (2).</w:t>
      </w:r>
    </w:p>
    <w:p>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Footnotesection"/>
      </w:pPr>
      <w:r>
        <w:tab/>
        <w:t>[Section 39M inserted: No. 22 of 2024 s. 5.]</w:t>
      </w:r>
    </w:p>
    <w:p>
      <w:pPr>
        <w:pStyle w:val="Heading3"/>
      </w:pPr>
      <w:bookmarkStart w:id="142" w:name="_Toc166681918"/>
      <w:bookmarkStart w:id="143" w:name="_Toc166768027"/>
      <w:r>
        <w:rPr>
          <w:rStyle w:val="CharDivNo"/>
        </w:rPr>
        <w:t>Division 5</w:t>
      </w:r>
      <w:r>
        <w:t xml:space="preserve"> — </w:t>
      </w:r>
      <w:r>
        <w:rPr>
          <w:rStyle w:val="CharDivText"/>
        </w:rPr>
        <w:t>Other exemptions and concessions</w:t>
      </w:r>
      <w:bookmarkEnd w:id="142"/>
      <w:bookmarkEnd w:id="143"/>
    </w:p>
    <w:p>
      <w:pPr>
        <w:pStyle w:val="Heading5"/>
      </w:pPr>
      <w:bookmarkStart w:id="144" w:name="_Toc166768028"/>
      <w:r>
        <w:rPr>
          <w:rStyle w:val="CharSectno"/>
        </w:rPr>
        <w:t>40</w:t>
      </w:r>
      <w:r>
        <w:t>.</w:t>
      </w:r>
      <w:r>
        <w:tab/>
        <w:t>Land owned by veteran’s surviving partner or mother, exemption for</w:t>
      </w:r>
      <w:bookmarkEnd w:id="144"/>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45" w:name="_Toc166768029"/>
      <w:r>
        <w:rPr>
          <w:rStyle w:val="CharSectno"/>
        </w:rPr>
        <w:t>41</w:t>
      </w:r>
      <w:r>
        <w:t>.</w:t>
      </w:r>
      <w:r>
        <w:tab/>
        <w:t>Land under conservation covenant, exemption for</w:t>
      </w:r>
      <w:bookmarkEnd w:id="145"/>
    </w:p>
    <w:p>
      <w:pPr>
        <w:pStyle w:val="Subsection"/>
        <w:keepNext/>
      </w:pPr>
      <w:r>
        <w:tab/>
      </w:r>
      <w:r>
        <w:tab/>
        <w:t xml:space="preserve">Land that is used solely or principally for the conservation of native vegetation is exempt for an assessment year if the land is </w:t>
      </w:r>
      <w:r>
        <w:lastRenderedPageBreak/>
        <w:t>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46" w:name="_Toc166768030"/>
      <w:r>
        <w:rPr>
          <w:rStyle w:val="CharSectno"/>
        </w:rPr>
        <w:t>42A</w:t>
      </w:r>
      <w:r>
        <w:t>.</w:t>
      </w:r>
      <w:r>
        <w:tab/>
        <w:t>Land under biodiversity conservation covenant, exemption for</w:t>
      </w:r>
      <w:bookmarkEnd w:id="146"/>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47" w:name="_Toc166768031"/>
      <w:r>
        <w:rPr>
          <w:rStyle w:val="CharSectno"/>
        </w:rPr>
        <w:t>42</w:t>
      </w:r>
      <w:r>
        <w:t>.</w:t>
      </w:r>
      <w:r>
        <w:tab/>
        <w:t>One year exemption for land vacated for sale by mortgagee</w:t>
      </w:r>
      <w:bookmarkEnd w:id="147"/>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lastRenderedPageBreak/>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148" w:name="_Toc166768032"/>
      <w:r>
        <w:rPr>
          <w:rStyle w:val="CharSectno"/>
        </w:rPr>
        <w:t>43A</w:t>
      </w:r>
      <w:r>
        <w:t>.</w:t>
      </w:r>
      <w:r>
        <w:tab/>
        <w:t>Newly subdivided land, concession for</w:t>
      </w:r>
      <w:bookmarkEnd w:id="148"/>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lastRenderedPageBreak/>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 xml:space="preserve">A reference in a land tax Act, other than in clause 6, to the taxable value of the land in the new lot is a reference to </w:t>
      </w:r>
      <w:r>
        <w:lastRenderedPageBreak/>
        <w:t>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149" w:name="_Toc166768033"/>
      <w:r>
        <w:rPr>
          <w:rStyle w:val="CharSectno"/>
        </w:rPr>
        <w:t>43B</w:t>
      </w:r>
      <w:r>
        <w:t>.</w:t>
      </w:r>
      <w:r>
        <w:tab/>
        <w:t>Freehold reversion in parcel subdivided by leasehold scheme, exemption for</w:t>
      </w:r>
      <w:bookmarkEnd w:id="149"/>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50" w:name="_Toc166681925"/>
      <w:bookmarkStart w:id="151" w:name="_Toc166768034"/>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50"/>
      <w:bookmarkEnd w:id="151"/>
    </w:p>
    <w:p>
      <w:pPr>
        <w:pStyle w:val="Heading5"/>
      </w:pPr>
      <w:bookmarkStart w:id="152" w:name="_Toc166768035"/>
      <w:r>
        <w:rPr>
          <w:rStyle w:val="CharSectno"/>
        </w:rPr>
        <w:t>43</w:t>
      </w:r>
      <w:r>
        <w:t>.</w:t>
      </w:r>
      <w:r>
        <w:tab/>
        <w:t>Occupier etc. of land to give information</w:t>
      </w:r>
      <w:bookmarkEnd w:id="15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53" w:name="_Toc166768036"/>
      <w:r>
        <w:rPr>
          <w:rStyle w:val="CharSectno"/>
        </w:rPr>
        <w:t>45</w:t>
      </w:r>
      <w:r>
        <w:t>.</w:t>
      </w:r>
      <w:r>
        <w:tab/>
        <w:t>Contracts ineffective to alter incidence of land tax</w:t>
      </w:r>
      <w:bookmarkEnd w:id="15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54" w:name="_Toc166768037"/>
      <w:r>
        <w:rPr>
          <w:rStyle w:val="CharSectno"/>
        </w:rPr>
        <w:t>45A</w:t>
      </w:r>
      <w:r>
        <w:t>.</w:t>
      </w:r>
      <w:r>
        <w:tab/>
        <w:t>Minor interests of joint owners, Commissioner may disregard</w:t>
      </w:r>
      <w:bookmarkEnd w:id="15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55" w:name="_Toc166768038"/>
      <w:r>
        <w:rPr>
          <w:rStyle w:val="CharSectno"/>
        </w:rPr>
        <w:t>45B</w:t>
      </w:r>
      <w:r>
        <w:t>.</w:t>
      </w:r>
      <w:r>
        <w:tab/>
        <w:t>Effect of determination under s. 45A</w:t>
      </w:r>
      <w:bookmarkEnd w:id="15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56" w:name="_Toc166768039"/>
      <w:r>
        <w:rPr>
          <w:rStyle w:val="CharSectno"/>
        </w:rPr>
        <w:t>46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57" w:name="_Toc166768040"/>
      <w:r>
        <w:t>47.</w:t>
      </w:r>
      <w:r>
        <w:tab/>
        <w:t>Transitional provisions</w:t>
      </w:r>
      <w:bookmarkEnd w:id="15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Pr>
      <w:bookmarkStart w:id="158" w:name="_Toc166681932"/>
      <w:bookmarkStart w:id="159" w:name="_Toc166768041"/>
      <w:r>
        <w:rPr>
          <w:rStyle w:val="CharSchNo"/>
        </w:rPr>
        <w:lastRenderedPageBreak/>
        <w:t>Schedule 1</w:t>
      </w:r>
      <w:r>
        <w:t> — </w:t>
      </w:r>
      <w:r>
        <w:rPr>
          <w:rStyle w:val="CharSchText"/>
        </w:rPr>
        <w:t>Transitional and validation provisions</w:t>
      </w:r>
      <w:bookmarkEnd w:id="158"/>
      <w:bookmarkEnd w:id="159"/>
    </w:p>
    <w:p>
      <w:pPr>
        <w:pStyle w:val="yShoulderClause"/>
      </w:pPr>
      <w:r>
        <w:t>[s. 47]</w:t>
      </w:r>
    </w:p>
    <w:p>
      <w:pPr>
        <w:pStyle w:val="yFootnoteheading"/>
      </w:pPr>
      <w:r>
        <w:tab/>
        <w:t>[Heading inserted: No. 31 of 2006 s. 26; amended: No. 1 of 2015 s. 19.]</w:t>
      </w:r>
    </w:p>
    <w:p>
      <w:pPr>
        <w:pStyle w:val="yHeading3"/>
      </w:pPr>
      <w:bookmarkStart w:id="160" w:name="_Toc166681933"/>
      <w:bookmarkStart w:id="161" w:name="_Toc166768042"/>
      <w:r>
        <w:rPr>
          <w:rStyle w:val="CharSDivNo"/>
        </w:rPr>
        <w:t>Division 1</w:t>
      </w:r>
      <w:r>
        <w:rPr>
          <w:b w:val="0"/>
        </w:rPr>
        <w:t> — </w:t>
      </w:r>
      <w:r>
        <w:rPr>
          <w:rStyle w:val="CharSDivText"/>
        </w:rPr>
        <w:t xml:space="preserve">Provision for </w:t>
      </w:r>
      <w:r>
        <w:rPr>
          <w:rStyle w:val="CharSDivText"/>
          <w:i/>
        </w:rPr>
        <w:t>Revenue Laws Amendment Act 2006</w:t>
      </w:r>
      <w:bookmarkEnd w:id="160"/>
      <w:bookmarkEnd w:id="161"/>
    </w:p>
    <w:p>
      <w:pPr>
        <w:pStyle w:val="yFootnoteheading"/>
      </w:pPr>
      <w:r>
        <w:tab/>
        <w:t>[Heading inserted: No. 31 of 2006 s. 26.]</w:t>
      </w:r>
    </w:p>
    <w:p>
      <w:pPr>
        <w:pStyle w:val="yHeading5"/>
        <w:outlineLvl w:val="9"/>
      </w:pPr>
      <w:bookmarkStart w:id="162" w:name="_Toc166768043"/>
      <w:r>
        <w:rPr>
          <w:rStyle w:val="CharSClsNo"/>
        </w:rPr>
        <w:t>1</w:t>
      </w:r>
      <w:r>
        <w:t>.</w:t>
      </w:r>
      <w:r>
        <w:rPr>
          <w:b w:val="0"/>
        </w:rPr>
        <w:tab/>
      </w:r>
      <w:r>
        <w:t>Application of s. 24A, 25A and 27A</w:t>
      </w:r>
      <w:bookmarkEnd w:id="16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63" w:name="_Toc166681935"/>
      <w:bookmarkStart w:id="164" w:name="_Toc166768044"/>
      <w:r>
        <w:rPr>
          <w:rStyle w:val="CharSDivNo"/>
        </w:rPr>
        <w:t>Division 2</w:t>
      </w:r>
      <w:r>
        <w:rPr>
          <w:b w:val="0"/>
        </w:rPr>
        <w:t> — </w:t>
      </w:r>
      <w:r>
        <w:rPr>
          <w:rStyle w:val="CharSDivText"/>
        </w:rPr>
        <w:t xml:space="preserve">Provision for </w:t>
      </w:r>
      <w:r>
        <w:rPr>
          <w:rStyle w:val="CharSDivText"/>
          <w:i/>
          <w:iCs/>
        </w:rPr>
        <w:t>Revenue Laws Amendment (Taxation) Act 2009</w:t>
      </w:r>
      <w:bookmarkEnd w:id="163"/>
      <w:bookmarkEnd w:id="164"/>
    </w:p>
    <w:p>
      <w:pPr>
        <w:pStyle w:val="Footnoteheading"/>
        <w:rPr>
          <w:i w:val="0"/>
        </w:rPr>
      </w:pPr>
      <w:r>
        <w:tab/>
        <w:t>[Heading inserted: No. 19 of 2009 s. 11.]</w:t>
      </w:r>
    </w:p>
    <w:p>
      <w:pPr>
        <w:pStyle w:val="yHeading5"/>
      </w:pPr>
      <w:bookmarkStart w:id="165" w:name="_Toc166768045"/>
      <w:r>
        <w:rPr>
          <w:rStyle w:val="CharSClsNo"/>
        </w:rPr>
        <w:t>2</w:t>
      </w:r>
      <w:r>
        <w:t>.</w:t>
      </w:r>
      <w:r>
        <w:rPr>
          <w:b w:val="0"/>
        </w:rPr>
        <w:tab/>
      </w:r>
      <w:r>
        <w:t>Regulations for cl. 6</w:t>
      </w:r>
      <w:bookmarkEnd w:id="16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66" w:name="_Toc166681937"/>
      <w:bookmarkStart w:id="167" w:name="_Toc166768046"/>
      <w:r>
        <w:rPr>
          <w:rStyle w:val="CharSDivNo"/>
        </w:rPr>
        <w:lastRenderedPageBreak/>
        <w:t>Division 3</w:t>
      </w:r>
      <w:r>
        <w:rPr>
          <w:b w:val="0"/>
        </w:rPr>
        <w:t> — </w:t>
      </w:r>
      <w:r>
        <w:rPr>
          <w:rStyle w:val="CharSDivText"/>
        </w:rPr>
        <w:t xml:space="preserve">Provisions for the </w:t>
      </w:r>
      <w:r>
        <w:rPr>
          <w:rStyle w:val="CharSDivText"/>
          <w:i/>
        </w:rPr>
        <w:t>Taxation Legislation Amendment Act (No. 2) 2015</w:t>
      </w:r>
      <w:bookmarkEnd w:id="166"/>
      <w:bookmarkEnd w:id="167"/>
    </w:p>
    <w:p>
      <w:pPr>
        <w:pStyle w:val="yFootnoteheading"/>
        <w:keepNext/>
      </w:pPr>
      <w:r>
        <w:tab/>
        <w:t>[Heading inserted: No. 8 of 2015 s. 10.]</w:t>
      </w:r>
    </w:p>
    <w:p>
      <w:pPr>
        <w:pStyle w:val="yHeading5"/>
      </w:pPr>
      <w:bookmarkStart w:id="168" w:name="_Toc166768047"/>
      <w:r>
        <w:rPr>
          <w:rStyle w:val="CharSClsNo"/>
        </w:rPr>
        <w:t>3</w:t>
      </w:r>
      <w:r>
        <w:t>.</w:t>
      </w:r>
      <w:r>
        <w:tab/>
        <w:t>Terms used</w:t>
      </w:r>
      <w:bookmarkEnd w:id="168"/>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69" w:name="_Toc166768048"/>
      <w:r>
        <w:rPr>
          <w:rStyle w:val="CharSClsNo"/>
        </w:rPr>
        <w:t>4</w:t>
      </w:r>
      <w:r>
        <w:t>.</w:t>
      </w:r>
      <w:r>
        <w:tab/>
        <w:t>Previously exempt land: section 37</w:t>
      </w:r>
      <w:bookmarkEnd w:id="16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lastRenderedPageBreak/>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70" w:name="_Toc166768049"/>
      <w:r>
        <w:rPr>
          <w:rStyle w:val="CharSClsNo"/>
        </w:rPr>
        <w:t>5</w:t>
      </w:r>
      <w:r>
        <w:t>.</w:t>
      </w:r>
      <w:r>
        <w:tab/>
        <w:t>Beneficial body determination: application may be made</w:t>
      </w:r>
      <w:bookmarkEnd w:id="17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71" w:name="_Toc166681941"/>
      <w:bookmarkStart w:id="172" w:name="_Toc166768050"/>
      <w:r>
        <w:rPr>
          <w:rStyle w:val="CharSDivNo"/>
        </w:rPr>
        <w:t>Division 4</w:t>
      </w:r>
      <w:r>
        <w:t> — </w:t>
      </w:r>
      <w:r>
        <w:rPr>
          <w:rStyle w:val="CharSDivText"/>
        </w:rPr>
        <w:t xml:space="preserve">Provisions for </w:t>
      </w:r>
      <w:r>
        <w:rPr>
          <w:rStyle w:val="CharSDivText"/>
          <w:i/>
        </w:rPr>
        <w:t>Taxation Legislation Amendment Act 2015</w:t>
      </w:r>
      <w:bookmarkEnd w:id="171"/>
      <w:bookmarkEnd w:id="172"/>
    </w:p>
    <w:p>
      <w:pPr>
        <w:pStyle w:val="yFootnoteheading"/>
      </w:pPr>
      <w:r>
        <w:tab/>
        <w:t>[Heading inserted: No. 1 of 2015 s. 7.]</w:t>
      </w:r>
    </w:p>
    <w:p>
      <w:pPr>
        <w:pStyle w:val="yHeading4"/>
      </w:pPr>
      <w:bookmarkStart w:id="173" w:name="_Toc166681942"/>
      <w:bookmarkStart w:id="174" w:name="_Toc166768051"/>
      <w:r>
        <w:t>Subdivision 1 — Preliminary</w:t>
      </w:r>
      <w:bookmarkEnd w:id="173"/>
      <w:bookmarkEnd w:id="174"/>
    </w:p>
    <w:p>
      <w:pPr>
        <w:pStyle w:val="yFootnoteheading"/>
      </w:pPr>
      <w:r>
        <w:tab/>
        <w:t>[Heading inserted: No. 1 of 2015 s. 20.]</w:t>
      </w:r>
    </w:p>
    <w:p>
      <w:pPr>
        <w:pStyle w:val="yHeading5"/>
      </w:pPr>
      <w:bookmarkStart w:id="175" w:name="_Toc166768052"/>
      <w:r>
        <w:rPr>
          <w:rStyle w:val="CharSClsNo"/>
        </w:rPr>
        <w:t>6</w:t>
      </w:r>
      <w:r>
        <w:t>.</w:t>
      </w:r>
      <w:r>
        <w:tab/>
        <w:t>Term used: amending Act</w:t>
      </w:r>
      <w:bookmarkEnd w:id="17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76" w:name="_Toc166681944"/>
      <w:bookmarkStart w:id="177" w:name="_Toc166768053"/>
      <w:r>
        <w:lastRenderedPageBreak/>
        <w:t>Subdivision 2 — Provisions about primary production</w:t>
      </w:r>
      <w:bookmarkEnd w:id="176"/>
      <w:bookmarkEnd w:id="177"/>
    </w:p>
    <w:p>
      <w:pPr>
        <w:pStyle w:val="yFootnoteheading"/>
      </w:pPr>
      <w:r>
        <w:tab/>
        <w:t>[Heading inserted: No. 1 of 2015 s. 21.]</w:t>
      </w:r>
    </w:p>
    <w:p>
      <w:pPr>
        <w:pStyle w:val="yHeading5"/>
      </w:pPr>
      <w:bookmarkStart w:id="178" w:name="_Toc166768054"/>
      <w:r>
        <w:rPr>
          <w:rStyle w:val="CharSClsNo"/>
        </w:rPr>
        <w:t>7</w:t>
      </w:r>
      <w:r>
        <w:t>.</w:t>
      </w:r>
      <w:r>
        <w:tab/>
        <w:t>Application of section 15 during transitional period</w:t>
      </w:r>
      <w:bookmarkEnd w:id="178"/>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79" w:name="_Toc166768055"/>
      <w:r>
        <w:rPr>
          <w:rStyle w:val="CharSClsNo"/>
        </w:rPr>
        <w:t>8</w:t>
      </w:r>
      <w:r>
        <w:t>.</w:t>
      </w:r>
      <w:r>
        <w:tab/>
        <w:t>Application of section 20 to previous assessment years</w:t>
      </w:r>
      <w:bookmarkEnd w:id="17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80" w:name="_Toc166768056"/>
      <w:r>
        <w:rPr>
          <w:rStyle w:val="CharSClsNo"/>
        </w:rPr>
        <w:lastRenderedPageBreak/>
        <w:t>9</w:t>
      </w:r>
      <w:r>
        <w:t>.</w:t>
      </w:r>
      <w:r>
        <w:tab/>
        <w:t>Application of section 30D to land held in trust for assessment year 2014/15</w:t>
      </w:r>
      <w:bookmarkEnd w:id="180"/>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81" w:name="_Toc166681948"/>
      <w:bookmarkStart w:id="182" w:name="_Toc166768057"/>
      <w:r>
        <w:t>Subdivision 3 — Provisions about exemptions and rural business land</w:t>
      </w:r>
      <w:bookmarkEnd w:id="181"/>
      <w:bookmarkEnd w:id="182"/>
    </w:p>
    <w:p>
      <w:pPr>
        <w:pStyle w:val="yFootnoteheading"/>
      </w:pPr>
      <w:r>
        <w:tab/>
        <w:t>[Heading inserted: No. 1 of 2015 s. 22.]</w:t>
      </w:r>
    </w:p>
    <w:p>
      <w:pPr>
        <w:pStyle w:val="yHeading5"/>
      </w:pPr>
      <w:bookmarkStart w:id="183" w:name="_Toc166768058"/>
      <w:r>
        <w:rPr>
          <w:rStyle w:val="CharSClsNo"/>
        </w:rPr>
        <w:t>10</w:t>
      </w:r>
      <w:r>
        <w:t>.</w:t>
      </w:r>
      <w:r>
        <w:tab/>
        <w:t>Terms used</w:t>
      </w:r>
      <w:bookmarkEnd w:id="183"/>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lastRenderedPageBreak/>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84" w:name="_Toc166768059"/>
      <w:r>
        <w:rPr>
          <w:rStyle w:val="CharSClsNo"/>
        </w:rPr>
        <w:t>11</w:t>
      </w:r>
      <w:r>
        <w:t>.</w:t>
      </w:r>
      <w:r>
        <w:tab/>
        <w:t>Validation of previous assessments</w:t>
      </w:r>
      <w:bookmarkEnd w:id="184"/>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lastRenderedPageBreak/>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Pr>
      <w:bookmarkStart w:id="185" w:name="_Toc166768060"/>
      <w:r>
        <w:rPr>
          <w:rStyle w:val="CharSClsNo"/>
        </w:rPr>
        <w:t>12</w:t>
      </w:r>
      <w:r>
        <w:t>.</w:t>
      </w:r>
      <w:r>
        <w:tab/>
        <w:t>Land tax decisions made or pending</w:t>
      </w:r>
      <w:bookmarkEnd w:id="18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86" w:name="_Toc166768061"/>
      <w:r>
        <w:rPr>
          <w:rStyle w:val="CharSClsNo"/>
        </w:rPr>
        <w:lastRenderedPageBreak/>
        <w:t>13</w:t>
      </w:r>
      <w:r>
        <w:t>.</w:t>
      </w:r>
      <w:r>
        <w:tab/>
        <w:t>Application of modified rural business land provisions during the 2012 to 2014 assessment period</w:t>
      </w:r>
      <w:bookmarkEnd w:id="18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87" w:name="_Toc166768062"/>
      <w:r>
        <w:rPr>
          <w:rStyle w:val="CharSClsNo"/>
        </w:rPr>
        <w:t>14</w:t>
      </w:r>
      <w:r>
        <w:t>.</w:t>
      </w:r>
      <w:r>
        <w:tab/>
        <w:t>Validation of rural business land assessments</w:t>
      </w:r>
      <w:bookmarkEnd w:id="187"/>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88" w:name="_Toc166768063"/>
      <w:r>
        <w:rPr>
          <w:rStyle w:val="CharSClsNo"/>
        </w:rPr>
        <w:t>15</w:t>
      </w:r>
      <w:r>
        <w:t>.</w:t>
      </w:r>
      <w:r>
        <w:tab/>
        <w:t>Reassessment</w:t>
      </w:r>
      <w:bookmarkEnd w:id="188"/>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89" w:name="_Toc166681955"/>
      <w:bookmarkStart w:id="190" w:name="_Toc166768064"/>
      <w:r>
        <w:rPr>
          <w:rStyle w:val="CharSDivNo"/>
        </w:rPr>
        <w:lastRenderedPageBreak/>
        <w:t>Division 5</w:t>
      </w:r>
      <w:r>
        <w:rPr>
          <w:b w:val="0"/>
        </w:rPr>
        <w:t> — </w:t>
      </w:r>
      <w:r>
        <w:rPr>
          <w:rStyle w:val="CharSDivText"/>
        </w:rPr>
        <w:t xml:space="preserve">Provisions for </w:t>
      </w:r>
      <w:r>
        <w:rPr>
          <w:rStyle w:val="CharSDivText"/>
          <w:i/>
        </w:rPr>
        <w:t>Land Tax Assessment Amendment Act 2018</w:t>
      </w:r>
      <w:bookmarkEnd w:id="189"/>
      <w:bookmarkEnd w:id="190"/>
    </w:p>
    <w:p>
      <w:pPr>
        <w:pStyle w:val="yFootnoteheading"/>
      </w:pPr>
      <w:r>
        <w:tab/>
        <w:t>[Heading inserted: No. 5 of 2018 s. 8.]</w:t>
      </w:r>
    </w:p>
    <w:p>
      <w:pPr>
        <w:pStyle w:val="yHeading5"/>
      </w:pPr>
      <w:bookmarkStart w:id="191" w:name="_Toc166768065"/>
      <w:r>
        <w:rPr>
          <w:rStyle w:val="CharSClsNo"/>
        </w:rPr>
        <w:t>16</w:t>
      </w:r>
      <w:r>
        <w:t>.</w:t>
      </w:r>
      <w:r>
        <w:tab/>
        <w:t>Terms used</w:t>
      </w:r>
      <w:bookmarkEnd w:id="191"/>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92" w:name="_Toc166768066"/>
      <w:r>
        <w:rPr>
          <w:rStyle w:val="CharSClsNo"/>
        </w:rPr>
        <w:t>17</w:t>
      </w:r>
      <w:r>
        <w:t>.</w:t>
      </w:r>
      <w:r>
        <w:tab/>
        <w:t>Validation of previous assessments</w:t>
      </w:r>
      <w:bookmarkEnd w:id="192"/>
    </w:p>
    <w:p>
      <w:pPr>
        <w:pStyle w:val="ySubsection"/>
      </w:pPr>
      <w:r>
        <w:tab/>
        <w:t>(1)</w:t>
      </w:r>
      <w:r>
        <w:tab/>
        <w:t xml:space="preserve">A previous assessment made, or purported to be made, during the validation period is, and is to be taken to have always been, as valid </w:t>
      </w:r>
      <w:r>
        <w:lastRenderedPageBreak/>
        <w:t>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Pr>
      <w:bookmarkStart w:id="193" w:name="_Toc166768067"/>
      <w:r>
        <w:rPr>
          <w:rStyle w:val="CharSClsNo"/>
        </w:rPr>
        <w:t>18</w:t>
      </w:r>
      <w:r>
        <w:t>.</w:t>
      </w:r>
      <w:r>
        <w:tab/>
        <w:t>Land tax decisions made or pending</w:t>
      </w:r>
      <w:bookmarkEnd w:id="19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lastRenderedPageBreak/>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94" w:name="_Toc166768068"/>
      <w:r>
        <w:rPr>
          <w:rStyle w:val="CharSClsNo"/>
        </w:rPr>
        <w:t>19</w:t>
      </w:r>
      <w:r>
        <w:t>.</w:t>
      </w:r>
      <w:r>
        <w:tab/>
        <w:t>Reassessment</w:t>
      </w:r>
      <w:bookmarkEnd w:id="194"/>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95" w:name="_Toc166681960"/>
      <w:bookmarkStart w:id="196" w:name="_Toc166768069"/>
      <w:r>
        <w:rPr>
          <w:rStyle w:val="CharSDivNo"/>
        </w:rPr>
        <w:t>Division 6</w:t>
      </w:r>
      <w:r>
        <w:rPr>
          <w:b w:val="0"/>
        </w:rPr>
        <w:t> — </w:t>
      </w:r>
      <w:r>
        <w:rPr>
          <w:rStyle w:val="CharSDivText"/>
        </w:rPr>
        <w:t>Provisions for Revenue Laws Amendment Act 2019</w:t>
      </w:r>
      <w:bookmarkEnd w:id="195"/>
      <w:bookmarkEnd w:id="196"/>
    </w:p>
    <w:p>
      <w:pPr>
        <w:pStyle w:val="yFootnoteheading"/>
      </w:pPr>
      <w:r>
        <w:tab/>
        <w:t>[Heading inserted: No. 12 of 2019 s. 138.]</w:t>
      </w:r>
    </w:p>
    <w:p>
      <w:pPr>
        <w:pStyle w:val="yHeading5"/>
      </w:pPr>
      <w:bookmarkStart w:id="197" w:name="_Toc166768070"/>
      <w:r>
        <w:rPr>
          <w:rStyle w:val="CharSClsNo"/>
        </w:rPr>
        <w:t>20</w:t>
      </w:r>
      <w:r>
        <w:t>.</w:t>
      </w:r>
      <w:r>
        <w:tab/>
        <w:t>Application of section 30D to land held in trust for assessment year 2019/20</w:t>
      </w:r>
      <w:bookmarkEnd w:id="19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lastRenderedPageBreak/>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98" w:name="_Toc166768071"/>
      <w:r>
        <w:rPr>
          <w:rStyle w:val="CharSClsNo"/>
        </w:rPr>
        <w:t>21</w:t>
      </w:r>
      <w:r>
        <w:t>.</w:t>
      </w:r>
      <w:r>
        <w:tab/>
        <w:t>Application of amendments relating to subdivision of land</w:t>
      </w:r>
      <w:bookmarkEnd w:id="198"/>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199" w:name="_Toc166681963"/>
      <w:bookmarkStart w:id="200" w:name="_Toc166768072"/>
      <w:r>
        <w:rPr>
          <w:rStyle w:val="CharSDivNo"/>
        </w:rPr>
        <w:t>Division 7</w:t>
      </w:r>
      <w:r>
        <w:rPr>
          <w:b w:val="0"/>
        </w:rPr>
        <w:t> — </w:t>
      </w:r>
      <w:r>
        <w:rPr>
          <w:rStyle w:val="CharSDivText"/>
        </w:rPr>
        <w:t xml:space="preserve">Provisions for </w:t>
      </w:r>
      <w:r>
        <w:rPr>
          <w:rStyle w:val="CharSDivText"/>
          <w:i/>
        </w:rPr>
        <w:t>Land Tax Assessment Amendment Act 2022</w:t>
      </w:r>
      <w:bookmarkEnd w:id="199"/>
      <w:bookmarkEnd w:id="200"/>
    </w:p>
    <w:p>
      <w:pPr>
        <w:pStyle w:val="yFootnoteheading"/>
      </w:pPr>
      <w:r>
        <w:tab/>
        <w:t>[Heading inserted: No. 42 of 2022 s. 18.]</w:t>
      </w:r>
    </w:p>
    <w:p>
      <w:pPr>
        <w:pStyle w:val="yHeading5"/>
      </w:pPr>
      <w:bookmarkStart w:id="201" w:name="_Toc166768073"/>
      <w:r>
        <w:rPr>
          <w:rStyle w:val="CharSClsNo"/>
        </w:rPr>
        <w:t>22</w:t>
      </w:r>
      <w:r>
        <w:t>.</w:t>
      </w:r>
      <w:r>
        <w:tab/>
        <w:t xml:space="preserve">Application of amendments made by </w:t>
      </w:r>
      <w:r>
        <w:rPr>
          <w:i/>
        </w:rPr>
        <w:t>Land Tax Assessment Amendment Act 2022</w:t>
      </w:r>
      <w:r>
        <w:t xml:space="preserve"> Part 2</w:t>
      </w:r>
      <w:bookmarkEnd w:id="201"/>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202" w:name="_Toc166768074"/>
      <w:r>
        <w:rPr>
          <w:rStyle w:val="CharSClsNo"/>
        </w:rPr>
        <w:lastRenderedPageBreak/>
        <w:t>23</w:t>
      </w:r>
      <w:r>
        <w:t>.</w:t>
      </w:r>
      <w:r>
        <w:tab/>
        <w:t>Reduced exemption percentage for land used for dwelling or residential park does not apply for certain financial years</w:t>
      </w:r>
      <w:bookmarkEnd w:id="202"/>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203" w:name="_Toc166768075"/>
      <w:r>
        <w:rPr>
          <w:rStyle w:val="CharSClsNo"/>
        </w:rPr>
        <w:t>24</w:t>
      </w:r>
      <w:r>
        <w:t>.</w:t>
      </w:r>
      <w:r>
        <w:tab/>
        <w:t>Continued application of notification requirements</w:t>
      </w:r>
      <w:bookmarkEnd w:id="20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lastRenderedPageBreak/>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204" w:name="_Toc166768076"/>
      <w:r>
        <w:rPr>
          <w:rStyle w:val="CharSClsNo"/>
        </w:rPr>
        <w:t>25</w:t>
      </w:r>
      <w:r>
        <w:t>.</w:t>
      </w:r>
      <w:r>
        <w:tab/>
        <w:t>Reassessment</w:t>
      </w:r>
      <w:bookmarkEnd w:id="204"/>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lastRenderedPageBreak/>
        <w:tab/>
        <w:t>[Clause 25 inserted: No. 42 of 2022 s. 18.]</w:t>
      </w:r>
    </w:p>
    <w:p>
      <w:pPr>
        <w:pStyle w:val="yHeading3"/>
      </w:pPr>
      <w:bookmarkStart w:id="205" w:name="_Toc134688576"/>
      <w:bookmarkStart w:id="206" w:name="_Toc134689345"/>
      <w:bookmarkStart w:id="207" w:name="_Toc145496976"/>
      <w:bookmarkStart w:id="208" w:name="_Toc166238320"/>
      <w:bookmarkStart w:id="209" w:name="_Toc166677085"/>
      <w:bookmarkStart w:id="210" w:name="_Toc166681968"/>
      <w:bookmarkStart w:id="211" w:name="_Toc166768077"/>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205"/>
      <w:bookmarkEnd w:id="206"/>
      <w:bookmarkEnd w:id="207"/>
      <w:bookmarkEnd w:id="208"/>
      <w:bookmarkEnd w:id="209"/>
      <w:bookmarkEnd w:id="210"/>
      <w:bookmarkEnd w:id="211"/>
    </w:p>
    <w:p>
      <w:pPr>
        <w:pStyle w:val="yFootnoteheading"/>
      </w:pPr>
      <w:bookmarkStart w:id="212" w:name="_Toc166238321"/>
      <w:bookmarkStart w:id="213" w:name="_Toc166677086"/>
      <w:r>
        <w:tab/>
        <w:t>[Heading inserted: No. 22 of 2024 s. 6.]</w:t>
      </w:r>
    </w:p>
    <w:p>
      <w:pPr>
        <w:pStyle w:val="yHeading5"/>
      </w:pPr>
      <w:bookmarkStart w:id="214" w:name="_Toc166768078"/>
      <w:r>
        <w:rPr>
          <w:rStyle w:val="CharSClsNo"/>
        </w:rPr>
        <w:t>26</w:t>
      </w:r>
      <w:r>
        <w:t>.</w:t>
      </w:r>
      <w:r>
        <w:tab/>
        <w:t>Application of amendments</w:t>
      </w:r>
      <w:bookmarkEnd w:id="212"/>
      <w:bookmarkEnd w:id="213"/>
      <w:bookmarkEnd w:id="214"/>
    </w:p>
    <w:p>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yFootnotesection"/>
      </w:pPr>
      <w:r>
        <w:tab/>
        <w:t>[Clause 26 inserted: No. 22 of 2024 s. 6.]</w:t>
      </w:r>
    </w:p>
    <w:p>
      <w:pPr>
        <w:pStyle w:val="yFootnotesection"/>
      </w:pP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216" w:name="_Toc166681970"/>
      <w:bookmarkStart w:id="217" w:name="_Toc166768079"/>
      <w:r>
        <w:rPr>
          <w:rStyle w:val="CharSchNo"/>
        </w:rPr>
        <w:lastRenderedPageBreak/>
        <w:t>Glossary</w:t>
      </w:r>
      <w:bookmarkEnd w:id="216"/>
      <w:bookmarkEnd w:id="217"/>
      <w:r>
        <w:rPr>
          <w:rStyle w:val="CharSchText"/>
        </w:rPr>
        <w:t xml:space="preserve"> </w:t>
      </w:r>
    </w:p>
    <w:p>
      <w:pPr>
        <w:pStyle w:val="yShoulderClause"/>
        <w:spacing w:before="40"/>
      </w:pPr>
      <w:r>
        <w:t>[s. 4]</w:t>
      </w:r>
    </w:p>
    <w:p>
      <w:pPr>
        <w:pStyle w:val="yHeading5"/>
      </w:pPr>
      <w:bookmarkStart w:id="218" w:name="_Toc166768080"/>
      <w:r>
        <w:rPr>
          <w:rStyle w:val="CharSClsNo"/>
        </w:rPr>
        <w:t>1</w:t>
      </w:r>
      <w:r>
        <w:t>.</w:t>
      </w:r>
      <w:r>
        <w:rPr>
          <w:vertAlign w:val="superscript"/>
        </w:rPr>
        <w:t>  1M, 1MC</w:t>
      </w:r>
      <w:r>
        <w:tab/>
        <w:t>Terms used</w:t>
      </w:r>
      <w:bookmarkEnd w:id="218"/>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lastRenderedPageBreak/>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rPr>
          <w:szCs w:val="22"/>
        </w:rPr>
      </w:pPr>
      <w:r>
        <w:tab/>
        <w:t>(c)</w:t>
      </w:r>
      <w:r>
        <w:tab/>
        <w:t>is</w:t>
      </w:r>
      <w:r>
        <w:rPr>
          <w:szCs w:val="22"/>
        </w:rPr>
        <w:t xml:space="preserve"> a minor who is an orphan;</w:t>
      </w:r>
    </w:p>
    <w:p>
      <w:pPr>
        <w:pStyle w:val="Defstart"/>
        <w:rPr>
          <w:sz w:val="22"/>
          <w:szCs w:val="22"/>
        </w:rPr>
      </w:pPr>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p>
    <w:p>
      <w:pPr>
        <w:pStyle w:val="Defstart"/>
        <w:rPr>
          <w:szCs w:val="22"/>
        </w:rPr>
      </w:pPr>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lastRenderedPageBreak/>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lastRenderedPageBreak/>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mining tenement</w:t>
      </w:r>
      <w:r>
        <w:t xml:space="preserve"> has the meaning given in the </w:t>
      </w:r>
      <w:r>
        <w:rPr>
          <w:i/>
        </w:rPr>
        <w:t>Mining Act 1978</w:t>
      </w:r>
      <w:r>
        <w:t xml:space="preserve"> section 8(1);</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lastRenderedPageBreak/>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lastRenderedPageBreak/>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lastRenderedPageBreak/>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keepNext/>
      </w:pPr>
      <w:r>
        <w:lastRenderedPageBreak/>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 No. 4 of 2023 s. 129.]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219" w:name="_Toc166768081"/>
      <w:r>
        <w:rPr>
          <w:rStyle w:val="CharSClsNo"/>
        </w:rPr>
        <w:lastRenderedPageBreak/>
        <w:t>2</w:t>
      </w:r>
      <w:r>
        <w:t>.</w:t>
      </w:r>
      <w:r>
        <w:tab/>
        <w:t>Lots and parcels of land</w:t>
      </w:r>
      <w:bookmarkEnd w:id="219"/>
    </w:p>
    <w:p>
      <w:pPr>
        <w:pStyle w:val="ySubsection"/>
        <w:keepNext/>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keepNext/>
      </w:pPr>
      <w:r>
        <w:lastRenderedPageBreak/>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lastRenderedPageBreak/>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220" w:name="_Toc166768082"/>
      <w:r>
        <w:rPr>
          <w:rStyle w:val="CharSClsNo"/>
        </w:rPr>
        <w:t>3</w:t>
      </w:r>
      <w:r>
        <w:t>.</w:t>
      </w:r>
      <w:r>
        <w:tab/>
        <w:t>Subdivided land</w:t>
      </w:r>
      <w:bookmarkEnd w:id="220"/>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t>
      </w:r>
      <w:r>
        <w:lastRenderedPageBreak/>
        <w:t xml:space="preserve">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221" w:name="_Toc166768083"/>
      <w:r>
        <w:rPr>
          <w:rStyle w:val="CharSClsNo"/>
        </w:rPr>
        <w:lastRenderedPageBreak/>
        <w:t>6</w:t>
      </w:r>
      <w:r>
        <w:t>.</w:t>
      </w:r>
      <w:r>
        <w:rPr>
          <w:b w:val="0"/>
        </w:rPr>
        <w:tab/>
      </w:r>
      <w:r>
        <w:t>Taxable value</w:t>
      </w:r>
      <w:bookmarkEnd w:id="221"/>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lastRenderedPageBreak/>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222" w:name="_Toc166681975"/>
      <w:bookmarkStart w:id="223" w:name="_Toc166768084"/>
      <w:r>
        <w:lastRenderedPageBreak/>
        <w:t>Notes</w:t>
      </w:r>
      <w:bookmarkEnd w:id="222"/>
      <w:bookmarkEnd w:id="223"/>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24" w:name="_Toc166768085"/>
      <w:r>
        <w:t>Compilation table</w:t>
      </w:r>
      <w:bookmarkEnd w:id="224"/>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lastRenderedPageBreak/>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trPr>
        <w:tc>
          <w:tcPr>
            <w:tcW w:w="2254" w:type="dxa"/>
            <w:shd w:val="clear" w:color="auto" w:fill="auto"/>
          </w:tcPr>
          <w:p>
            <w:pPr>
              <w:pStyle w:val="nTable"/>
              <w:spacing w:after="40"/>
              <w:rPr>
                <w:i/>
                <w:snapToGrid w:val="0"/>
              </w:rPr>
            </w:pPr>
            <w:r>
              <w:rPr>
                <w:i/>
              </w:rPr>
              <w:t>Land and Public Works Legislation Amendment Act 2023</w:t>
            </w:r>
            <w:r>
              <w:t xml:space="preserve"> Pt. 4 Div. 7</w:t>
            </w:r>
          </w:p>
        </w:tc>
        <w:tc>
          <w:tcPr>
            <w:tcW w:w="1134" w:type="dxa"/>
            <w:gridSpan w:val="2"/>
            <w:shd w:val="clear" w:color="auto" w:fill="auto"/>
          </w:tcPr>
          <w:p>
            <w:pPr>
              <w:pStyle w:val="nTable"/>
              <w:spacing w:after="40"/>
            </w:pPr>
            <w:r>
              <w:t>4 of 2023</w:t>
            </w:r>
          </w:p>
        </w:tc>
        <w:tc>
          <w:tcPr>
            <w:tcW w:w="1134" w:type="dxa"/>
            <w:gridSpan w:val="2"/>
            <w:shd w:val="clear" w:color="auto" w:fill="auto"/>
          </w:tcPr>
          <w:p>
            <w:pPr>
              <w:pStyle w:val="nTable"/>
              <w:spacing w:after="40"/>
            </w:pPr>
            <w:r>
              <w:t>24 Mar 2023</w:t>
            </w:r>
          </w:p>
        </w:tc>
        <w:tc>
          <w:tcPr>
            <w:tcW w:w="2593" w:type="dxa"/>
            <w:gridSpan w:val="3"/>
            <w:shd w:val="clear" w:color="auto" w:fill="auto"/>
          </w:tcPr>
          <w:p>
            <w:pPr>
              <w:pStyle w:val="nTable"/>
              <w:spacing w:after="40"/>
              <w:rPr>
                <w:snapToGrid w:val="0"/>
              </w:rPr>
            </w:pPr>
            <w:r>
              <w:t>10 Aug 2023 (see s. 2(b) and SL 2023/132 cl. 2)</w:t>
            </w:r>
          </w:p>
        </w:tc>
      </w:tr>
      <w:tr>
        <w:trPr>
          <w:cantSplit/>
        </w:trPr>
        <w:tc>
          <w:tcPr>
            <w:tcW w:w="2254" w:type="dxa"/>
            <w:tcBorders>
              <w:bottom w:val="single" w:sz="4" w:space="0" w:color="auto"/>
            </w:tcBorders>
            <w:shd w:val="clear" w:color="auto" w:fill="auto"/>
          </w:tcPr>
          <w:p>
            <w:pPr>
              <w:pStyle w:val="nTable"/>
              <w:spacing w:after="40"/>
              <w:rPr>
                <w:i/>
              </w:rPr>
            </w:pPr>
            <w:r>
              <w:rPr>
                <w:i/>
              </w:rPr>
              <w:t>Land Tax Assessment (Build-to-Rent) Amendment Act 2024</w:t>
            </w:r>
          </w:p>
        </w:tc>
        <w:tc>
          <w:tcPr>
            <w:tcW w:w="1134" w:type="dxa"/>
            <w:gridSpan w:val="2"/>
            <w:tcBorders>
              <w:bottom w:val="single" w:sz="4" w:space="0" w:color="auto"/>
            </w:tcBorders>
            <w:shd w:val="clear" w:color="auto" w:fill="auto"/>
          </w:tcPr>
          <w:p>
            <w:pPr>
              <w:pStyle w:val="nTable"/>
              <w:spacing w:after="40"/>
            </w:pPr>
            <w:r>
              <w:t>22 of 2024</w:t>
            </w:r>
          </w:p>
        </w:tc>
        <w:tc>
          <w:tcPr>
            <w:tcW w:w="1134" w:type="dxa"/>
            <w:gridSpan w:val="2"/>
            <w:tcBorders>
              <w:bottom w:val="single" w:sz="4" w:space="0" w:color="auto"/>
            </w:tcBorders>
            <w:shd w:val="clear" w:color="auto" w:fill="auto"/>
          </w:tcPr>
          <w:p>
            <w:pPr>
              <w:pStyle w:val="nTable"/>
              <w:spacing w:after="40"/>
            </w:pPr>
            <w:r>
              <w:t>15 May 2024</w:t>
            </w:r>
          </w:p>
        </w:tc>
        <w:tc>
          <w:tcPr>
            <w:tcW w:w="2593" w:type="dxa"/>
            <w:gridSpan w:val="3"/>
            <w:tcBorders>
              <w:bottom w:val="single" w:sz="4" w:space="0" w:color="auto"/>
            </w:tcBorders>
            <w:shd w:val="clear" w:color="auto" w:fill="auto"/>
          </w:tcPr>
          <w:p>
            <w:pPr>
              <w:pStyle w:val="nTable"/>
              <w:spacing w:after="40"/>
            </w:pPr>
            <w:r>
              <w:t xml:space="preserve">Act other than s. 1 and 2: </w:t>
            </w:r>
            <w:r>
              <w:rPr>
                <w:snapToGrid w:val="0"/>
              </w:rPr>
              <w:t xml:space="preserve">deemed to have come into operation on </w:t>
            </w:r>
            <w:r>
              <w:t>1 Jul 2023 (see s. 2(b)(ii));</w:t>
            </w:r>
            <w:r>
              <w:br/>
              <w:t>s. 1 and 2: 15 May 2024 (see s. 2(a))</w:t>
            </w:r>
          </w:p>
        </w:tc>
      </w:tr>
    </w:tbl>
    <w:p>
      <w:pPr>
        <w:pStyle w:val="nHeading3"/>
      </w:pPr>
      <w:bookmarkStart w:id="225" w:name="_Toc166768086"/>
      <w:r>
        <w:t>Other notes</w:t>
      </w:r>
      <w:bookmarkEnd w:id="22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keepNext/>
        <w:keepLines/>
        <w:widowControl w:val="0"/>
      </w:pPr>
      <w:r>
        <w:rPr>
          <w:vertAlign w:val="superscript"/>
        </w:rPr>
        <w:lastRenderedPageBreak/>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lastRenderedPageBreak/>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227" w:name="_Toc166681978"/>
      <w:bookmarkStart w:id="228" w:name="_Toc166768087"/>
      <w:r>
        <w:rPr>
          <w:sz w:val="28"/>
        </w:rPr>
        <w:lastRenderedPageBreak/>
        <w:t>Defined terms</w:t>
      </w:r>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26B(1), 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camp</w:t>
      </w:r>
      <w:r>
        <w:tab/>
        <w:t>39A</w:t>
      </w:r>
    </w:p>
    <w:p>
      <w:pPr>
        <w:pStyle w:val="DefinedTerms"/>
      </w:pPr>
      <w:r>
        <w:t>caravan</w:t>
      </w:r>
      <w:r>
        <w:tab/>
        <w:t>39A</w:t>
      </w:r>
    </w:p>
    <w:p>
      <w:pPr>
        <w:pStyle w:val="DefinedTerms"/>
      </w:pPr>
      <w:r>
        <w:t>caravan or camp site</w:t>
      </w:r>
      <w:r>
        <w:tab/>
        <w:t>39A</w:t>
      </w:r>
    </w:p>
    <w:p>
      <w:pPr>
        <w:pStyle w:val="DefinedTerms"/>
      </w:pPr>
      <w:r>
        <w:t>care commencement date</w:t>
      </w:r>
      <w:r>
        <w:tab/>
        <w:t>26B(1)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commencement day</w:t>
      </w:r>
      <w:r>
        <w:tab/>
        <w:t>Sch. 1 cl. 24(1)</w:t>
      </w:r>
    </w:p>
    <w:p>
      <w:pPr>
        <w:pStyle w:val="DefinedTerms"/>
      </w:pPr>
      <w:r>
        <w:t>commencement year</w:t>
      </w:r>
      <w:r>
        <w:tab/>
        <w:t>Sch. 1 cl. 24(1)</w:t>
      </w:r>
    </w:p>
    <w:p>
      <w:pPr>
        <w:pStyle w:val="DefinedTerms"/>
      </w:pPr>
      <w:r>
        <w:t>community title lot</w:t>
      </w:r>
      <w:r>
        <w:tab/>
        <w:t>39E</w:t>
      </w:r>
    </w:p>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diversification lease</w:t>
      </w:r>
      <w:r>
        <w:tab/>
        <w:t>Gl. cl. 1</w:t>
      </w:r>
    </w:p>
    <w:p>
      <w:pPr>
        <w:pStyle w:val="DefinedTerms"/>
      </w:pPr>
      <w:r>
        <w:t>diversification lessee</w:t>
      </w:r>
      <w:r>
        <w:tab/>
        <w:t>Gl. cl. 1</w:t>
      </w:r>
    </w:p>
    <w:p>
      <w:pPr>
        <w:pStyle w:val="DefinedTerms"/>
      </w:pPr>
      <w:r>
        <w:t>dwelling or residential park</w:t>
      </w:r>
      <w:r>
        <w:tab/>
        <w:t>39A, Sch. 1 cl. 23(1)</w:t>
      </w:r>
    </w:p>
    <w:p>
      <w:pPr>
        <w:pStyle w:val="DefinedTerms"/>
      </w:pPr>
      <w:r>
        <w:t>dwelling park</w:t>
      </w:r>
      <w:r>
        <w:tab/>
        <w:t>39A</w:t>
      </w:r>
    </w:p>
    <w:p>
      <w:pPr>
        <w:pStyle w:val="DefinedTerms"/>
      </w:pPr>
      <w:r>
        <w:t>excluded land</w:t>
      </w:r>
      <w:r>
        <w:tab/>
        <w:t>39A, 39E</w:t>
      </w:r>
    </w:p>
    <w:p>
      <w:pPr>
        <w:pStyle w:val="DefinedTerms"/>
      </w:pPr>
      <w:r>
        <w:t>exempt</w:t>
      </w:r>
      <w:r>
        <w:tab/>
        <w:t>Gl. cl. 1</w:t>
      </w:r>
    </w:p>
    <w:p>
      <w:pPr>
        <w:pStyle w:val="DefinedTerms"/>
      </w:pPr>
      <w:r>
        <w:t>exempt area</w:t>
      </w:r>
      <w:r>
        <w:tab/>
        <w:t>18A(2)</w:t>
      </w:r>
    </w:p>
    <w:p>
      <w:pPr>
        <w:pStyle w:val="DefinedTerms"/>
      </w:pPr>
      <w:r>
        <w:t>exempt build-to-rent development</w:t>
      </w:r>
      <w:r>
        <w:tab/>
        <w:t>39E</w:t>
      </w:r>
    </w:p>
    <w:p>
      <w:pPr>
        <w:pStyle w:val="DefinedTerms"/>
      </w:pPr>
      <w:r>
        <w:t>exempt development</w:t>
      </w:r>
      <w:r>
        <w:tab/>
        <w:t>39E</w:t>
      </w:r>
    </w:p>
    <w:p>
      <w:pPr>
        <w:pStyle w:val="DefinedTerms"/>
      </w:pPr>
      <w:r>
        <w:t>exempt expansion build-to-rent development</w:t>
      </w:r>
      <w:r>
        <w:tab/>
        <w:t>39E</w:t>
      </w:r>
    </w:p>
    <w:p>
      <w:pPr>
        <w:pStyle w:val="DefinedTerms"/>
      </w:pPr>
      <w:r>
        <w:lastRenderedPageBreak/>
        <w:t>exemption percentage</w:t>
      </w:r>
      <w:r>
        <w:tab/>
        <w:t>39E</w:t>
      </w:r>
    </w:p>
    <w:p>
      <w:pPr>
        <w:pStyle w:val="DefinedTerms"/>
      </w:pPr>
      <w:r>
        <w:t>exemption period</w:t>
      </w:r>
      <w:r>
        <w:tab/>
        <w:t>28A</w:t>
      </w:r>
    </w:p>
    <w:p>
      <w:pPr>
        <w:pStyle w:val="DefinedTerms"/>
      </w:pPr>
      <w:r>
        <w:t>exemption provision</w:t>
      </w:r>
      <w:r>
        <w:tab/>
        <w:t>18(1), 18A(1), 28A</w:t>
      </w:r>
    </w:p>
    <w:p>
      <w:pPr>
        <w:pStyle w:val="DefinedTerms"/>
      </w:pPr>
      <w:r>
        <w:t>exempt purpose</w:t>
      </w:r>
      <w:r>
        <w:tab/>
        <w:t>Gl.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full-time care</w:t>
      </w:r>
      <w:r>
        <w:tab/>
        <w:t>26B(2)</w:t>
      </w:r>
    </w:p>
    <w:p>
      <w:pPr>
        <w:pStyle w:val="DefinedTerms"/>
      </w:pPr>
      <w:r>
        <w:t>home lot</w:t>
      </w:r>
      <w:r>
        <w:tab/>
        <w:t>Gl. cl. 2(4)</w:t>
      </w:r>
    </w:p>
    <w:p>
      <w:pPr>
        <w:pStyle w:val="DefinedTerms"/>
      </w:pPr>
      <w:r>
        <w:t>home unit</w:t>
      </w:r>
      <w:r>
        <w:tab/>
        <w:t>Gl.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long-stay site</w:t>
      </w:r>
      <w:r>
        <w:tab/>
        <w:t>39A</w:t>
      </w:r>
    </w:p>
    <w:p>
      <w:pPr>
        <w:pStyle w:val="DefinedTerms"/>
      </w:pPr>
      <w:r>
        <w:t>lot</w:t>
      </w:r>
      <w:r>
        <w:tab/>
        <w:t>Gl. cl. 1 and 2(1)</w:t>
      </w:r>
    </w:p>
    <w:p>
      <w:pPr>
        <w:pStyle w:val="DefinedTerms"/>
      </w:pPr>
      <w:r>
        <w:t>metropolitan region</w:t>
      </w:r>
      <w:r>
        <w:tab/>
        <w:t>Gl. cl. 1</w:t>
      </w:r>
    </w:p>
    <w:p>
      <w:pPr>
        <w:pStyle w:val="DefinedTerms"/>
      </w:pPr>
      <w:r>
        <w:t>mining tenement</w:t>
      </w:r>
      <w:r>
        <w:tab/>
        <w:t>Gl. cl. 1</w:t>
      </w:r>
    </w:p>
    <w:p>
      <w:pPr>
        <w:pStyle w:val="DefinedTerms"/>
      </w:pPr>
      <w:r>
        <w:t xml:space="preserve">modified rural business land provisions </w:t>
      </w:r>
      <w:r>
        <w:tab/>
        <w:t>Sch. 1 cl. 10</w:t>
      </w:r>
    </w:p>
    <w:p>
      <w:pPr>
        <w:pStyle w:val="DefinedTerms"/>
      </w:pPr>
      <w:r>
        <w:t>new exemption percentage</w:t>
      </w:r>
      <w:r>
        <w:tab/>
        <w:t>Sch. 1 cl. 23(1)</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w:t>
      </w:r>
    </w:p>
    <w:p>
      <w:pPr>
        <w:pStyle w:val="DefinedTerms"/>
      </w:pPr>
      <w:r>
        <w:t>old exemption percentage</w:t>
      </w:r>
      <w:r>
        <w:tab/>
        <w:t>Sch. 1 cl. 23(1)</w:t>
      </w:r>
    </w:p>
    <w:p>
      <w:pPr>
        <w:pStyle w:val="DefinedTerms"/>
      </w:pPr>
      <w:r>
        <w:t>old lot</w:t>
      </w:r>
      <w:r>
        <w:tab/>
        <w:t>43A(1)</w:t>
      </w:r>
    </w:p>
    <w:p>
      <w:pPr>
        <w:pStyle w:val="DefinedTerms"/>
      </w:pPr>
      <w:r>
        <w:t>old Part 3 Division 4A</w:t>
      </w:r>
      <w:r>
        <w:tab/>
        <w:t>Sch. 1 cl. 23(1)</w:t>
      </w:r>
    </w:p>
    <w:p>
      <w:pPr>
        <w:pStyle w:val="DefinedTerms"/>
      </w:pPr>
      <w:r>
        <w:t>operate</w:t>
      </w:r>
      <w:r>
        <w:tab/>
        <w:t>39A</w:t>
      </w:r>
    </w:p>
    <w:p>
      <w:pPr>
        <w:pStyle w:val="DefinedTerms"/>
      </w:pPr>
      <w:r>
        <w:t>original assessment year</w:t>
      </w:r>
      <w:r>
        <w:tab/>
        <w:t>38AC(8)</w:t>
      </w:r>
    </w:p>
    <w:p>
      <w:pPr>
        <w:pStyle w:val="DefinedTerms"/>
      </w:pPr>
      <w:r>
        <w:t>other lots</w:t>
      </w:r>
      <w:r>
        <w:tab/>
        <w:t>Gl. cl. 2(4)</w:t>
      </w:r>
    </w:p>
    <w:p>
      <w:pPr>
        <w:pStyle w:val="DefinedTerms"/>
      </w:pPr>
      <w:r>
        <w:lastRenderedPageBreak/>
        <w:t>owner</w:t>
      </w:r>
      <w:r>
        <w:tab/>
        <w:t>Gl. 1</w:t>
      </w:r>
    </w:p>
    <w:p>
      <w:pPr>
        <w:pStyle w:val="DefinedTerms"/>
      </w:pPr>
      <w:r>
        <w:t>owner-builder</w:t>
      </w:r>
      <w:r>
        <w:tab/>
        <w:t>Gl. cl. 1</w:t>
      </w:r>
    </w:p>
    <w:p>
      <w:pPr>
        <w:pStyle w:val="DefinedTerms"/>
      </w:pPr>
      <w:r>
        <w:t>owner-occupied home site</w:t>
      </w:r>
      <w:r>
        <w:tab/>
        <w:t>39A</w:t>
      </w:r>
    </w:p>
    <w:p>
      <w:pPr>
        <w:pStyle w:val="DefinedTerms"/>
      </w:pPr>
      <w:r>
        <w:t>P%</w:t>
      </w:r>
      <w:r>
        <w:tab/>
        <w:t>15A(3)</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park site</w:t>
      </w:r>
      <w:r>
        <w:tab/>
        <w:t>39A</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26B(1)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relevant 2-year exemption provision</w:t>
      </w:r>
      <w:r>
        <w:tab/>
        <w:t>28D</w:t>
      </w:r>
    </w:p>
    <w:p>
      <w:pPr>
        <w:pStyle w:val="DefinedTerms"/>
      </w:pPr>
      <w:r>
        <w:t>relevant body</w:t>
      </w:r>
      <w:r>
        <w:tab/>
        <w:t>Gl. cl. 1</w:t>
      </w:r>
    </w:p>
    <w:p>
      <w:pPr>
        <w:pStyle w:val="DefinedTerms"/>
      </w:pPr>
      <w:r>
        <w:t>relevant event or circumstance</w:t>
      </w:r>
      <w:r>
        <w:tab/>
        <w:t>20A(3)</w:t>
      </w:r>
    </w:p>
    <w:p>
      <w:pPr>
        <w:pStyle w:val="DefinedTerms"/>
      </w:pPr>
      <w:r>
        <w:t>relevant exemption provision</w:t>
      </w:r>
      <w:r>
        <w:tab/>
        <w:t>Sch. 1 cl. 21(3)</w:t>
      </w:r>
    </w:p>
    <w:p>
      <w:pPr>
        <w:pStyle w:val="DefinedTerms"/>
      </w:pPr>
      <w:r>
        <w:t>relevant financial years</w:t>
      </w:r>
      <w:r>
        <w:tab/>
        <w:t>15A(2), 15B(1)</w:t>
      </w:r>
    </w:p>
    <w:p>
      <w:pPr>
        <w:pStyle w:val="DefinedTerms"/>
      </w:pPr>
      <w:r>
        <w:t>relevant owners</w:t>
      </w:r>
      <w:r>
        <w:tab/>
        <w:t>28E(1), 28E(1)</w:t>
      </w:r>
    </w:p>
    <w:p>
      <w:pPr>
        <w:pStyle w:val="DefinedTerms"/>
      </w:pPr>
      <w:r>
        <w:t>relevant period</w:t>
      </w:r>
      <w:r>
        <w:tab/>
        <w:t>28E(1)</w:t>
      </w:r>
    </w:p>
    <w:p>
      <w:pPr>
        <w:pStyle w:val="DefinedTerms"/>
      </w:pPr>
      <w:r>
        <w:t>relevant requirements</w:t>
      </w:r>
      <w:r>
        <w:tab/>
        <w:t>18(1), 18A(1)</w:t>
      </w:r>
    </w:p>
    <w:p>
      <w:pPr>
        <w:pStyle w:val="DefinedTerms"/>
      </w:pPr>
      <w:r>
        <w:t>relevant year</w:t>
      </w:r>
      <w:r>
        <w:tab/>
        <w:t>20A(1), Sch. 1 cl. 23(1)</w:t>
      </w:r>
    </w:p>
    <w:p>
      <w:pPr>
        <w:pStyle w:val="DefinedTerms"/>
      </w:pPr>
      <w:r>
        <w:t>relocatable home</w:t>
      </w:r>
      <w:r>
        <w:tab/>
        <w:t>39A</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park</w:t>
      </w:r>
      <w:r>
        <w:tab/>
        <w:t>39A</w:t>
      </w:r>
    </w:p>
    <w:p>
      <w:pPr>
        <w:pStyle w:val="DefinedTerms"/>
      </w:pPr>
      <w:r>
        <w:t>residential premises</w:t>
      </w:r>
      <w:r>
        <w:tab/>
        <w:t>39(1)</w:t>
      </w:r>
    </w:p>
    <w:p>
      <w:pPr>
        <w:pStyle w:val="DefinedTerms"/>
      </w:pPr>
      <w:r>
        <w:lastRenderedPageBreak/>
        <w:t>residential tenancy agreement</w:t>
      </w:r>
      <w:r>
        <w:tab/>
        <w:t>39E</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short-stay site</w:t>
      </w:r>
      <w:r>
        <w:tab/>
        <w:t>39A</w:t>
      </w:r>
    </w:p>
    <w:p>
      <w:pPr>
        <w:pStyle w:val="DefinedTerms"/>
      </w:pPr>
      <w:r>
        <w:t>social housing premises</w:t>
      </w:r>
      <w:r>
        <w:tab/>
        <w:t>39E</w:t>
      </w:r>
    </w:p>
    <w:p>
      <w:pPr>
        <w:pStyle w:val="DefinedTerms"/>
      </w:pPr>
      <w:r>
        <w:t>sport</w:t>
      </w:r>
      <w:r>
        <w:tab/>
        <w:t>Gl. cl. 1</w:t>
      </w:r>
    </w:p>
    <w:p>
      <w:pPr>
        <w:pStyle w:val="DefinedTerms"/>
      </w:pPr>
      <w:r>
        <w:t>sports association</w:t>
      </w:r>
      <w:r>
        <w:tab/>
        <w:t>Gl. cl. 1</w:t>
      </w:r>
    </w:p>
    <w:p>
      <w:pPr>
        <w:pStyle w:val="DefinedTerms"/>
      </w:pPr>
      <w:r>
        <w:t>strata lot</w:t>
      </w:r>
      <w:r>
        <w:tab/>
        <w:t>39E</w:t>
      </w:r>
    </w:p>
    <w:p>
      <w:pPr>
        <w:pStyle w:val="DefinedTerms"/>
      </w:pPr>
      <w:r>
        <w:t>subdivided</w:t>
      </w:r>
      <w:r>
        <w:tab/>
        <w:t>Gl. cl. 1</w:t>
      </w:r>
    </w:p>
    <w:p>
      <w:pPr>
        <w:pStyle w:val="DefinedTerms"/>
      </w:pPr>
      <w:r>
        <w:t>subdividing owner</w:t>
      </w:r>
      <w:r>
        <w:tab/>
        <w:t>Gl. cl. 1</w:t>
      </w:r>
    </w:p>
    <w:p>
      <w:pPr>
        <w:pStyle w:val="DefinedTerms"/>
      </w:pPr>
      <w:r>
        <w:t>substantial renovation</w:t>
      </w:r>
      <w:r>
        <w:tab/>
        <w:t>39F(2)</w:t>
      </w:r>
    </w:p>
    <w:p>
      <w:pPr>
        <w:pStyle w:val="DefinedTerms"/>
      </w:pPr>
      <w:r>
        <w:t>Swan Valley Planning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X%</w:t>
      </w:r>
      <w:r>
        <w:tab/>
        <w:t>15A(3A), 39B(2)</w:t>
      </w:r>
    </w:p>
    <w:p>
      <w:pPr>
        <w:pStyle w:val="DefinedTerms"/>
      </w:pPr>
      <w:r>
        <w:t>Y%</w:t>
      </w:r>
      <w:r>
        <w:tab/>
        <w:t>15A(3A)</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8E280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54743C" w14:textId="60973FE9" w:rsidR="00563A03" w:rsidRDefault="00563A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72B16">
                        <w:rPr>
                          <w:sz w:val="16"/>
                        </w:rPr>
                        <w:t>2023</w:t>
                      </w:r>
                      <w:r>
                        <w:rPr>
                          <w:sz w:val="16"/>
                        </w:rPr>
                        <w:fldChar w:fldCharType="end"/>
                      </w:r>
                      <w:r>
                        <w:rPr>
                          <w:sz w:val="16"/>
                        </w:rPr>
                        <w:t>.</w:t>
                      </w:r>
                    </w:p>
                    <w:p w14:paraId="6CFBEE99" w14:textId="77777777" w:rsidR="00563A03" w:rsidRDefault="00563A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FD4464" w14:textId="79997EC5" w:rsidR="00563A03" w:rsidRDefault="00563A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72B16">
                        <w:rPr>
                          <w:sz w:val="16"/>
                        </w:rPr>
                        <w:t>2023</w:t>
                      </w:r>
                      <w:r>
                        <w:rPr>
                          <w:sz w:val="16"/>
                        </w:rPr>
                        <w:fldChar w:fldCharType="end"/>
                      </w:r>
                      <w:r>
                        <w:rPr>
                          <w:sz w:val="16"/>
                        </w:rPr>
                        <w:t>.</w:t>
                      </w:r>
                    </w:p>
                    <w:p w14:paraId="6A357DE0" w14:textId="77777777" w:rsidR="00563A03" w:rsidRDefault="00563A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904"/>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34466</Words>
  <Characters>161302</Characters>
  <Application>Microsoft Office Word</Application>
  <DocSecurity>0</DocSecurity>
  <Lines>4359</Lines>
  <Paragraphs>2509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193259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2002 - 05-k0-02</dc:title>
  <dc:subject/>
  <dc:creator/>
  <cp:keywords/>
  <dc:description/>
  <cp:lastModifiedBy>Master Repository Process</cp:lastModifiedBy>
  <cp:revision>4</cp:revision>
  <cp:lastPrinted>2021-07-28T03:47:00Z</cp:lastPrinted>
  <dcterms:created xsi:type="dcterms:W3CDTF">2025-06-19T02:38:00Z</dcterms:created>
  <dcterms:modified xsi:type="dcterms:W3CDTF">2025-06-19T02:38:00Z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10 Aug 2023</vt:lpwstr>
  </property>
  <property fmtid="{D5CDD505-2E9C-101B-9397-08002B2CF9AE}" pid="8" name="Suffix">
    <vt:lpwstr>05-k0-02</vt:lpwstr>
  </property>
  <property fmtid="{D5CDD505-2E9C-101B-9397-08002B2CF9AE}" pid="9" name="Official">
    <vt:lpwstr/>
  </property>
  <property fmtid="{D5CDD505-2E9C-101B-9397-08002B2CF9AE}" pid="10" name="CommencementDate">
    <vt:lpwstr>20230810</vt:lpwstr>
  </property>
  <property fmtid="{D5CDD505-2E9C-101B-9397-08002B2CF9AE}" pid="11" name="CommencementYear">
    <vt:lpwstr>2023</vt:lpwstr>
  </property>
</Properties>
</file>