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_Toc154744275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_Toc154744276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_Toc154744277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Grains, Seeds and Hay Industry Declared Pest Control and Compensation Account</w:t>
      </w:r>
    </w:p>
    <w:p>
      <w:pPr>
        <w:pStyle w:val="TOC8"/>
        <w:rPr>
          <w:rFonts w:asciiTheme="minorHAnsi" w:eastAsiaTheme="minorEastAsia" w:hAnsiTheme="minorHAnsi" w:cstheme="minorBidi"/>
          <w:szCs w:val="22"/>
        </w:rPr>
      </w:pPr>
      <w:r>
        <w:t>6.</w:t>
      </w:r>
      <w:r>
        <w:tab/>
        <w:t>Grains, Seeds and Hay Industry Declared Pest Control and Compensation Account established</w:t>
      </w:r>
      <w:r>
        <w:tab/>
      </w:r>
      <w:r>
        <w:fldChar w:fldCharType="begin"/>
      </w:r>
      <w:r>
        <w:instrText xml:space="preserve"> PAGEREF _Toc154744279 \h </w:instrText>
      </w:r>
      <w:r>
        <w:fldChar w:fldCharType="separate"/>
      </w:r>
      <w:r>
        <w:t>5</w:t>
      </w:r>
      <w:r>
        <w:fldChar w:fldCharType="end"/>
      </w:r>
    </w:p>
    <w:p>
      <w:pPr>
        <w:pStyle w:val="TOC8"/>
        <w:rPr>
          <w:rFonts w:asciiTheme="minorHAnsi" w:eastAsiaTheme="minorEastAsia" w:hAnsiTheme="minorHAnsi" w:cstheme="minorBidi"/>
          <w:szCs w:val="22"/>
        </w:rPr>
      </w:pPr>
      <w:r>
        <w:t>7.</w:t>
      </w:r>
      <w:r>
        <w:tab/>
        <w:t>Investment of the Account</w:t>
      </w:r>
      <w:r>
        <w:tab/>
      </w:r>
      <w:r>
        <w:fldChar w:fldCharType="begin"/>
      </w:r>
      <w:r>
        <w:instrText xml:space="preserve"> PAGEREF _Toc154744280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committee</w:t>
      </w:r>
    </w:p>
    <w:p>
      <w:pPr>
        <w:pStyle w:val="TOC8"/>
        <w:rPr>
          <w:rFonts w:asciiTheme="minorHAnsi" w:eastAsiaTheme="minorEastAsia" w:hAnsiTheme="minorHAnsi" w:cstheme="minorBidi"/>
          <w:szCs w:val="22"/>
        </w:rPr>
      </w:pPr>
      <w:r>
        <w:t>8.</w:t>
      </w:r>
      <w:r>
        <w:tab/>
        <w:t>Establishment of Industry Management Committee</w:t>
      </w:r>
      <w:r>
        <w:tab/>
      </w:r>
      <w:r>
        <w:fldChar w:fldCharType="begin"/>
      </w:r>
      <w:r>
        <w:instrText xml:space="preserve"> PAGEREF _Toc154744282 \h </w:instrText>
      </w:r>
      <w:r>
        <w:fldChar w:fldCharType="separate"/>
      </w:r>
      <w:r>
        <w:t>6</w:t>
      </w:r>
      <w:r>
        <w:fldChar w:fldCharType="end"/>
      </w:r>
    </w:p>
    <w:p>
      <w:pPr>
        <w:pStyle w:val="TOC8"/>
        <w:rPr>
          <w:rFonts w:asciiTheme="minorHAnsi" w:eastAsiaTheme="minorEastAsia" w:hAnsiTheme="minorHAnsi" w:cstheme="minorBidi"/>
          <w:szCs w:val="22"/>
        </w:rPr>
      </w:pPr>
      <w:r>
        <w:t>9.</w:t>
      </w:r>
      <w:r>
        <w:tab/>
        <w:t>Appointment and composition of the Industry Management Committee</w:t>
      </w:r>
      <w:r>
        <w:tab/>
      </w:r>
      <w:r>
        <w:fldChar w:fldCharType="begin"/>
      </w:r>
      <w:r>
        <w:instrText xml:space="preserve"> PAGEREF _Toc154744283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 for members of Industry Management Committee</w:t>
      </w:r>
      <w:r>
        <w:tab/>
      </w:r>
      <w:r>
        <w:fldChar w:fldCharType="begin"/>
      </w:r>
      <w:r>
        <w:instrText xml:space="preserve"> PAGEREF _Toc154744284 \h </w:instrText>
      </w:r>
      <w:r>
        <w:fldChar w:fldCharType="separate"/>
      </w:r>
      <w:r>
        <w:t>7</w:t>
      </w:r>
      <w:r>
        <w:fldChar w:fldCharType="end"/>
      </w:r>
    </w:p>
    <w:p>
      <w:pPr>
        <w:pStyle w:val="TOC8"/>
        <w:rPr>
          <w:rFonts w:asciiTheme="minorHAnsi" w:eastAsiaTheme="minorEastAsia" w:hAnsiTheme="minorHAnsi" w:cstheme="minorBidi"/>
          <w:szCs w:val="22"/>
        </w:rPr>
      </w:pPr>
      <w:r>
        <w:t>11.</w:t>
      </w:r>
      <w:r>
        <w:tab/>
        <w:t>Functions of Industry Management Committee</w:t>
      </w:r>
      <w:r>
        <w:tab/>
      </w:r>
      <w:r>
        <w:fldChar w:fldCharType="begin"/>
      </w:r>
      <w:r>
        <w:instrText xml:space="preserve"> PAGEREF _Toc154744285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Grains, Seeds and Hay Industry Declared Pest Control </w:t>
      </w:r>
      <w:r>
        <w:lastRenderedPageBreak/>
        <w:t>and Compensation Funding Scheme</w:t>
      </w:r>
    </w:p>
    <w:p>
      <w:pPr>
        <w:pStyle w:val="TOC4"/>
        <w:tabs>
          <w:tab w:val="right" w:leader="dot" w:pos="7077"/>
        </w:tabs>
        <w:rPr>
          <w:rFonts w:asciiTheme="minorHAnsi" w:eastAsiaTheme="minorEastAsia" w:hAnsiTheme="minorHAnsi" w:cstheme="minorBidi"/>
          <w:b w:val="0"/>
          <w:szCs w:val="22"/>
        </w:rPr>
      </w:pPr>
      <w:r>
        <w:t>Division 1 — Contributions to the Account</w:t>
      </w:r>
    </w:p>
    <w:p>
      <w:pPr>
        <w:pStyle w:val="TOC8"/>
        <w:rPr>
          <w:rFonts w:asciiTheme="minorHAnsi" w:eastAsiaTheme="minorEastAsia" w:hAnsiTheme="minorHAnsi" w:cstheme="minorBidi"/>
          <w:szCs w:val="22"/>
        </w:rPr>
      </w:pPr>
      <w:r>
        <w:t>12.</w:t>
      </w:r>
      <w:r>
        <w:tab/>
        <w:t>Term used: notice</w:t>
      </w:r>
      <w:r>
        <w:tab/>
      </w:r>
      <w:r>
        <w:fldChar w:fldCharType="begin"/>
      </w:r>
      <w:r>
        <w:instrText xml:space="preserve"> PAGEREF _Toc154744288 \h </w:instrText>
      </w:r>
      <w:r>
        <w:fldChar w:fldCharType="separate"/>
      </w:r>
      <w:r>
        <w:t>9</w:t>
      </w:r>
      <w:r>
        <w:fldChar w:fldCharType="end"/>
      </w:r>
    </w:p>
    <w:p>
      <w:pPr>
        <w:pStyle w:val="TOC8"/>
        <w:rPr>
          <w:rFonts w:asciiTheme="minorHAnsi" w:eastAsiaTheme="minorEastAsia" w:hAnsiTheme="minorHAnsi" w:cstheme="minorBidi"/>
          <w:szCs w:val="22"/>
        </w:rPr>
      </w:pPr>
      <w:r>
        <w:t>13.</w:t>
      </w:r>
      <w:r>
        <w:tab/>
        <w:t>Area of operation and rate of contributions</w:t>
      </w:r>
      <w:r>
        <w:tab/>
      </w:r>
      <w:r>
        <w:fldChar w:fldCharType="begin"/>
      </w:r>
      <w:r>
        <w:instrText xml:space="preserve"> PAGEREF _Toc154744289 \h </w:instrText>
      </w:r>
      <w:r>
        <w:fldChar w:fldCharType="separate"/>
      </w:r>
      <w:r>
        <w:t>9</w:t>
      </w:r>
      <w:r>
        <w:fldChar w:fldCharType="end"/>
      </w:r>
    </w:p>
    <w:p>
      <w:pPr>
        <w:pStyle w:val="TOC8"/>
        <w:rPr>
          <w:rFonts w:asciiTheme="minorHAnsi" w:eastAsiaTheme="minorEastAsia" w:hAnsiTheme="minorHAnsi" w:cstheme="minorBidi"/>
          <w:szCs w:val="22"/>
        </w:rPr>
      </w:pPr>
      <w:r>
        <w:t>14.</w:t>
      </w:r>
      <w:r>
        <w:tab/>
        <w:t>Registration of qualifying receivers</w:t>
      </w:r>
      <w:r>
        <w:tab/>
      </w:r>
      <w:r>
        <w:fldChar w:fldCharType="begin"/>
      </w:r>
      <w:r>
        <w:instrText xml:space="preserve"> PAGEREF _Toc154744290 \h </w:instrText>
      </w:r>
      <w:r>
        <w:fldChar w:fldCharType="separate"/>
      </w:r>
      <w:r>
        <w:t>10</w:t>
      </w:r>
      <w:r>
        <w:fldChar w:fldCharType="end"/>
      </w:r>
    </w:p>
    <w:p>
      <w:pPr>
        <w:pStyle w:val="TOC8"/>
        <w:rPr>
          <w:rFonts w:asciiTheme="minorHAnsi" w:eastAsiaTheme="minorEastAsia" w:hAnsiTheme="minorHAnsi" w:cstheme="minorBidi"/>
          <w:szCs w:val="22"/>
        </w:rPr>
      </w:pPr>
      <w:r>
        <w:t>15.</w:t>
      </w:r>
      <w:r>
        <w:tab/>
        <w:t>Liability to pay contributions</w:t>
      </w:r>
      <w:r>
        <w:tab/>
      </w:r>
      <w:r>
        <w:fldChar w:fldCharType="begin"/>
      </w:r>
      <w:r>
        <w:instrText xml:space="preserve"> PAGEREF _Toc154744291 \h </w:instrText>
      </w:r>
      <w:r>
        <w:fldChar w:fldCharType="separate"/>
      </w:r>
      <w:r>
        <w:t>11</w:t>
      </w:r>
      <w:r>
        <w:fldChar w:fldCharType="end"/>
      </w:r>
    </w:p>
    <w:p>
      <w:pPr>
        <w:pStyle w:val="TOC8"/>
        <w:rPr>
          <w:rFonts w:asciiTheme="minorHAnsi" w:eastAsiaTheme="minorEastAsia" w:hAnsiTheme="minorHAnsi" w:cstheme="minorBidi"/>
          <w:szCs w:val="22"/>
        </w:rPr>
      </w:pPr>
      <w:r>
        <w:t>16.</w:t>
      </w:r>
      <w:r>
        <w:tab/>
        <w:t>Deduction and remittance of contributions</w:t>
      </w:r>
      <w:r>
        <w:tab/>
      </w:r>
      <w:r>
        <w:fldChar w:fldCharType="begin"/>
      </w:r>
      <w:r>
        <w:instrText xml:space="preserve"> PAGEREF _Toc154744292 \h </w:instrText>
      </w:r>
      <w:r>
        <w:fldChar w:fldCharType="separate"/>
      </w:r>
      <w:r>
        <w:t>12</w:t>
      </w:r>
      <w:r>
        <w:fldChar w:fldCharType="end"/>
      </w:r>
    </w:p>
    <w:p>
      <w:pPr>
        <w:pStyle w:val="TOC8"/>
        <w:rPr>
          <w:rFonts w:asciiTheme="minorHAnsi" w:eastAsiaTheme="minorEastAsia" w:hAnsiTheme="minorHAnsi" w:cstheme="minorBidi"/>
          <w:szCs w:val="22"/>
        </w:rPr>
      </w:pPr>
      <w:r>
        <w:t>17.</w:t>
      </w:r>
      <w:r>
        <w:tab/>
        <w:t>Opting out of the Scheme</w:t>
      </w:r>
      <w:r>
        <w:tab/>
      </w:r>
      <w:r>
        <w:fldChar w:fldCharType="begin"/>
      </w:r>
      <w:r>
        <w:instrText xml:space="preserve"> PAGEREF _Toc154744293 \h </w:instrText>
      </w:r>
      <w:r>
        <w:fldChar w:fldCharType="separate"/>
      </w:r>
      <w:r>
        <w:t>13</w:t>
      </w:r>
      <w:r>
        <w:fldChar w:fldCharType="end"/>
      </w:r>
    </w:p>
    <w:p>
      <w:pPr>
        <w:pStyle w:val="TOC8"/>
        <w:rPr>
          <w:rFonts w:asciiTheme="minorHAnsi" w:eastAsiaTheme="minorEastAsia" w:hAnsiTheme="minorHAnsi" w:cstheme="minorBidi"/>
          <w:szCs w:val="22"/>
        </w:rPr>
      </w:pPr>
      <w:r>
        <w:t>18.</w:t>
      </w:r>
      <w:r>
        <w:tab/>
        <w:t>Refund of contributions</w:t>
      </w:r>
      <w:r>
        <w:tab/>
      </w:r>
      <w:r>
        <w:fldChar w:fldCharType="begin"/>
      </w:r>
      <w:r>
        <w:instrText xml:space="preserve"> PAGEREF _Toc154744294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Payments from the Account</w:t>
      </w:r>
    </w:p>
    <w:p>
      <w:pPr>
        <w:pStyle w:val="TOC8"/>
        <w:rPr>
          <w:rFonts w:asciiTheme="minorHAnsi" w:eastAsiaTheme="minorEastAsia" w:hAnsiTheme="minorHAnsi" w:cstheme="minorBidi"/>
          <w:szCs w:val="22"/>
        </w:rPr>
      </w:pPr>
      <w:r>
        <w:t>19.</w:t>
      </w:r>
      <w:r>
        <w:tab/>
        <w:t>Approved programmes</w:t>
      </w:r>
      <w:r>
        <w:tab/>
      </w:r>
      <w:r>
        <w:fldChar w:fldCharType="begin"/>
      </w:r>
      <w:r>
        <w:instrText xml:space="preserve"> PAGEREF _Toc154744296 \h </w:instrText>
      </w:r>
      <w:r>
        <w:fldChar w:fldCharType="separate"/>
      </w:r>
      <w:r>
        <w:t>15</w:t>
      </w:r>
      <w:r>
        <w:fldChar w:fldCharType="end"/>
      </w:r>
    </w:p>
    <w:p>
      <w:pPr>
        <w:pStyle w:val="TOC8"/>
        <w:rPr>
          <w:rFonts w:asciiTheme="minorHAnsi" w:eastAsiaTheme="minorEastAsia" w:hAnsiTheme="minorHAnsi" w:cstheme="minorBidi"/>
          <w:szCs w:val="22"/>
        </w:rPr>
      </w:pPr>
      <w:r>
        <w:t>20.</w:t>
      </w:r>
      <w:r>
        <w:tab/>
        <w:t>Payments in respect of costs of approved programmes</w:t>
      </w:r>
      <w:r>
        <w:tab/>
      </w:r>
      <w:r>
        <w:fldChar w:fldCharType="begin"/>
      </w:r>
      <w:r>
        <w:instrText xml:space="preserve"> PAGEREF _Toc154744297 \h </w:instrText>
      </w:r>
      <w:r>
        <w:fldChar w:fldCharType="separate"/>
      </w:r>
      <w:r>
        <w:t>15</w:t>
      </w:r>
      <w:r>
        <w:fldChar w:fldCharType="end"/>
      </w:r>
    </w:p>
    <w:p>
      <w:pPr>
        <w:pStyle w:val="TOC8"/>
        <w:rPr>
          <w:rFonts w:asciiTheme="minorHAnsi" w:eastAsiaTheme="minorEastAsia" w:hAnsiTheme="minorHAnsi" w:cstheme="minorBidi"/>
          <w:szCs w:val="22"/>
        </w:rPr>
      </w:pPr>
      <w:r>
        <w:t>21.</w:t>
      </w:r>
      <w:r>
        <w:tab/>
        <w:t>Payments in respect of losses</w:t>
      </w:r>
      <w:r>
        <w:tab/>
      </w:r>
      <w:r>
        <w:fldChar w:fldCharType="begin"/>
      </w:r>
      <w:r>
        <w:instrText xml:space="preserve"> PAGEREF _Toc154744298 \h </w:instrText>
      </w:r>
      <w:r>
        <w:fldChar w:fldCharType="separate"/>
      </w:r>
      <w:r>
        <w:t>16</w:t>
      </w:r>
      <w:r>
        <w:fldChar w:fldCharType="end"/>
      </w:r>
    </w:p>
    <w:p>
      <w:pPr>
        <w:pStyle w:val="TOC8"/>
        <w:rPr>
          <w:rFonts w:asciiTheme="minorHAnsi" w:eastAsiaTheme="minorEastAsia" w:hAnsiTheme="minorHAnsi" w:cstheme="minorBidi"/>
          <w:szCs w:val="22"/>
        </w:rPr>
      </w:pPr>
      <w:r>
        <w:t>22.</w:t>
      </w:r>
      <w:r>
        <w:tab/>
        <w:t>Payments in respect of destroying animals or products</w:t>
      </w:r>
      <w:r>
        <w:tab/>
      </w:r>
      <w:r>
        <w:fldChar w:fldCharType="begin"/>
      </w:r>
      <w:r>
        <w:instrText xml:space="preserve"> PAGEREF _Toc154744299 \h </w:instrText>
      </w:r>
      <w:r>
        <w:fldChar w:fldCharType="separate"/>
      </w:r>
      <w:r>
        <w:t>17</w:t>
      </w:r>
      <w:r>
        <w:fldChar w:fldCharType="end"/>
      </w:r>
    </w:p>
    <w:p>
      <w:pPr>
        <w:pStyle w:val="TOC8"/>
        <w:rPr>
          <w:rFonts w:asciiTheme="minorHAnsi" w:eastAsiaTheme="minorEastAsia" w:hAnsiTheme="minorHAnsi" w:cstheme="minorBidi"/>
          <w:szCs w:val="22"/>
        </w:rPr>
      </w:pPr>
      <w:r>
        <w:t>23.</w:t>
      </w:r>
      <w:r>
        <w:tab/>
        <w:t>General provisions regarding payments</w:t>
      </w:r>
      <w:r>
        <w:tab/>
      </w:r>
      <w:r>
        <w:fldChar w:fldCharType="begin"/>
      </w:r>
      <w:r>
        <w:instrText xml:space="preserve"> PAGEREF _Toc154744300 \h </w:instrText>
      </w:r>
      <w:r>
        <w:fldChar w:fldCharType="separate"/>
      </w:r>
      <w:r>
        <w:t>18</w:t>
      </w:r>
      <w:r>
        <w:fldChar w:fldCharType="end"/>
      </w:r>
    </w:p>
    <w:p>
      <w:pPr>
        <w:pStyle w:val="TOC8"/>
        <w:rPr>
          <w:rFonts w:asciiTheme="minorHAnsi" w:eastAsiaTheme="minorEastAsia" w:hAnsiTheme="minorHAnsi" w:cstheme="minorBidi"/>
          <w:szCs w:val="22"/>
        </w:rPr>
      </w:pPr>
      <w:r>
        <w:t>25.</w:t>
      </w:r>
      <w:r>
        <w:tab/>
        <w:t>Purchase of capital assets out of the Account</w:t>
      </w:r>
      <w:r>
        <w:tab/>
      </w:r>
      <w:r>
        <w:fldChar w:fldCharType="begin"/>
      </w:r>
      <w:r>
        <w:instrText xml:space="preserve"> PAGEREF _Toc154744301 \h </w:instrText>
      </w:r>
      <w:r>
        <w:fldChar w:fldCharType="separate"/>
      </w:r>
      <w:r>
        <w:t>19</w:t>
      </w:r>
      <w:r>
        <w:fldChar w:fldCharType="end"/>
      </w:r>
    </w:p>
    <w:p>
      <w:pPr>
        <w:pStyle w:val="TOC8"/>
        <w:rPr>
          <w:rFonts w:asciiTheme="minorHAnsi" w:eastAsiaTheme="minorEastAsia" w:hAnsiTheme="minorHAnsi" w:cstheme="minorBidi"/>
          <w:szCs w:val="22"/>
        </w:rPr>
      </w:pPr>
      <w:r>
        <w:t>26.</w:t>
      </w:r>
      <w:r>
        <w:tab/>
        <w:t>Other payments out of the Account</w:t>
      </w:r>
      <w:r>
        <w:tab/>
      </w:r>
      <w:r>
        <w:fldChar w:fldCharType="begin"/>
      </w:r>
      <w:r>
        <w:instrText xml:space="preserve"> PAGEREF _Toc154744302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27.</w:t>
      </w:r>
      <w:r>
        <w:tab/>
        <w:t>Review of Scheme</w:t>
      </w:r>
      <w:r>
        <w:tab/>
      </w:r>
      <w:r>
        <w:fldChar w:fldCharType="begin"/>
      </w:r>
      <w:r>
        <w:instrText xml:space="preserve"> PAGEREF _Toc154744304 \h </w:instrText>
      </w:r>
      <w:r>
        <w:fldChar w:fldCharType="separate"/>
      </w:r>
      <w:r>
        <w:t>22</w:t>
      </w:r>
      <w:r>
        <w:fldChar w:fldCharType="end"/>
      </w:r>
    </w:p>
    <w:p>
      <w:pPr>
        <w:pStyle w:val="TOC8"/>
        <w:rPr>
          <w:rFonts w:asciiTheme="minorHAnsi" w:eastAsiaTheme="minorEastAsia" w:hAnsiTheme="minorHAnsi" w:cstheme="minorBidi"/>
          <w:szCs w:val="22"/>
        </w:rPr>
      </w:pPr>
      <w:r>
        <w:t>28.</w:t>
      </w:r>
      <w:r>
        <w:tab/>
        <w:t>Termination and winding up of Scheme</w:t>
      </w:r>
      <w:r>
        <w:tab/>
      </w:r>
      <w:r>
        <w:fldChar w:fldCharType="begin"/>
      </w:r>
      <w:r>
        <w:instrText xml:space="preserve"> PAGEREF _Toc154744305 \h </w:instrText>
      </w:r>
      <w:r>
        <w:fldChar w:fldCharType="separate"/>
      </w:r>
      <w:r>
        <w:t>22</w:t>
      </w:r>
      <w:r>
        <w:fldChar w:fldCharType="end"/>
      </w:r>
    </w:p>
    <w:p>
      <w:pPr>
        <w:pStyle w:val="TOC8"/>
        <w:rPr>
          <w:rFonts w:asciiTheme="minorHAnsi" w:eastAsiaTheme="minorEastAsia" w:hAnsiTheme="minorHAnsi" w:cstheme="minorBidi"/>
          <w:szCs w:val="22"/>
        </w:rPr>
      </w:pPr>
      <w:r>
        <w:t>29.</w:t>
      </w:r>
      <w:r>
        <w:tab/>
        <w:t>Expiry of the regulations</w:t>
      </w:r>
      <w:r>
        <w:tab/>
      </w:r>
      <w:r>
        <w:fldChar w:fldCharType="begin"/>
      </w:r>
      <w:r>
        <w:instrText xml:space="preserve"> PAGEREF _Toc154744306 \h </w:instrText>
      </w:r>
      <w:r>
        <w:fldChar w:fldCharType="separate"/>
      </w:r>
      <w:r>
        <w:t>24</w:t>
      </w:r>
      <w:r>
        <w:fldChar w:fldCharType="end"/>
      </w:r>
    </w:p>
    <w:p>
      <w:pPr>
        <w:pStyle w:val="TOC8"/>
        <w:rPr>
          <w:rFonts w:asciiTheme="minorHAnsi" w:eastAsiaTheme="minorEastAsia" w:hAnsiTheme="minorHAnsi" w:cstheme="minorBidi"/>
          <w:szCs w:val="22"/>
        </w:rPr>
      </w:pPr>
      <w:r>
        <w:t>30.</w:t>
      </w:r>
      <w:r>
        <w:tab/>
        <w:t>Offence</w:t>
      </w:r>
      <w:r>
        <w:tab/>
      </w:r>
      <w:r>
        <w:fldChar w:fldCharType="begin"/>
      </w:r>
      <w:r>
        <w:instrText xml:space="preserve"> PAGEREF _Toc154744307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Specified pests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_Toc154744310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3" w:name="_Toc154744274"/>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4275"/>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(Grains) Regulations 2010</w:t>
      </w:r>
      <w:r>
        <w:t>.</w:t>
      </w:r>
    </w:p>
    <w:p>
      <w:pPr>
        <w:pStyle w:val="Heading5"/>
        <w:rPr>
          <w:spacing w:val="-2"/>
        </w:rPr>
      </w:pPr>
      <w:bookmarkStart w:id="5" w:name="_Toc15474427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54744277"/>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pPr>
        <w:pStyle w:val="Defstart"/>
      </w:pPr>
      <w:r>
        <w:tab/>
      </w:r>
      <w:r>
        <w:rPr>
          <w:rStyle w:val="CharDefText"/>
        </w:rPr>
        <w:t>approved programme</w:t>
      </w:r>
      <w:r>
        <w:t xml:space="preserve"> means a programme or measure approved by the Industry Management Committee under regulation 19(1);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has since last opting out of the Scheme under regulation 17(1)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lastRenderedPageBreak/>
        <w:tab/>
        <w:t>(c)</w:t>
      </w:r>
      <w:r>
        <w:tab/>
        <w:t>has since last opting out of the Scheme under regulation 17(1)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does not include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17(1);</w:t>
      </w:r>
    </w:p>
    <w:p>
      <w:pPr>
        <w:pStyle w:val="Defstart"/>
      </w:pPr>
      <w:r>
        <w:tab/>
      </w:r>
      <w:r>
        <w:rPr>
          <w:rStyle w:val="CharDefText"/>
        </w:rPr>
        <w:t>participant</w:t>
      </w:r>
      <w:r>
        <w:t>, for a financial year, means a grower who does not opt out of the Scheme for that financial year under regulation 17(1);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keepNext/>
      </w:pPr>
      <w:r>
        <w:lastRenderedPageBreak/>
        <w:tab/>
      </w:r>
      <w:r>
        <w:rPr>
          <w:rStyle w:val="CharDefText"/>
        </w:rPr>
        <w:t>produce receiver</w:t>
      </w:r>
      <w:r>
        <w:t xml:space="preserve"> 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t>, for a given financial year,</w:t>
      </w:r>
      <w:r>
        <w:rPr>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registered receiver</w:t>
      </w:r>
      <w:r>
        <w:t xml:space="preserve"> means a person whose name is for the time being included in the register;</w:t>
      </w:r>
    </w:p>
    <w:p>
      <w:pPr>
        <w:pStyle w:val="Defstart"/>
      </w:pPr>
      <w:r>
        <w:tab/>
      </w:r>
      <w:r>
        <w:rPr>
          <w:rStyle w:val="CharDefText"/>
        </w:rPr>
        <w:t>review panel</w:t>
      </w:r>
      <w:r>
        <w:t xml:space="preserve"> means the review panel established by the </w:t>
      </w:r>
      <w:r>
        <w:rPr>
          <w:i/>
        </w:rPr>
        <w:t xml:space="preserve">Biosecurity and Agriculture Management Regulations 2013 </w:t>
      </w:r>
      <w:r>
        <w:t>regulation 129D(1);</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Footnotesection"/>
      </w:pPr>
      <w:r>
        <w:tab/>
        <w:t>[Regulation 3 amended: Gazette 2 Mar 2012 p. 853-4; SL 2020/255 r. 17.]</w:t>
      </w:r>
    </w:p>
    <w:p>
      <w:pPr>
        <w:pStyle w:val="Ednotesection"/>
      </w:pPr>
      <w:r>
        <w:t>[</w:t>
      </w:r>
      <w:r>
        <w:rPr>
          <w:b/>
        </w:rPr>
        <w:t>4,</w:t>
      </w:r>
      <w:r>
        <w:t xml:space="preserve"> </w:t>
      </w:r>
      <w:r>
        <w:rPr>
          <w:b/>
        </w:rPr>
        <w:t>5.</w:t>
      </w:r>
      <w:r>
        <w:tab/>
        <w:t>Deleted: SL 2020/255 r. 18.]</w:t>
      </w:r>
    </w:p>
    <w:p>
      <w:pPr>
        <w:pStyle w:val="Heading2"/>
      </w:pPr>
      <w:bookmarkStart w:id="7" w:name="_Toc154744278"/>
      <w:r>
        <w:rPr>
          <w:rStyle w:val="CharPartNo"/>
        </w:rPr>
        <w:lastRenderedPageBreak/>
        <w:t>Part 2</w:t>
      </w:r>
      <w:r>
        <w:rPr>
          <w:rStyle w:val="CharDivNo"/>
        </w:rPr>
        <w:t> </w:t>
      </w:r>
      <w:r>
        <w:t>—</w:t>
      </w:r>
      <w:r>
        <w:rPr>
          <w:rStyle w:val="CharDivText"/>
        </w:rPr>
        <w:t> </w:t>
      </w:r>
      <w:r>
        <w:rPr>
          <w:rStyle w:val="CharPartText"/>
        </w:rPr>
        <w:t>Grains, Seeds and Hay Industry Declared Pest Control and Compensation Account</w:t>
      </w:r>
      <w:bookmarkEnd w:id="7"/>
    </w:p>
    <w:p>
      <w:pPr>
        <w:pStyle w:val="Heading5"/>
      </w:pPr>
      <w:bookmarkStart w:id="8" w:name="_Toc154744279"/>
      <w:r>
        <w:rPr>
          <w:rStyle w:val="CharSectno"/>
        </w:rPr>
        <w:t>6</w:t>
      </w:r>
      <w:r>
        <w:t>.</w:t>
      </w:r>
      <w:r>
        <w:tab/>
        <w:t>Grains, Seeds and Hay Industry Declared Pest Control and Compensation Account established</w:t>
      </w:r>
      <w:bookmarkEnd w:id="8"/>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9" w:name="_Toc154744280"/>
      <w:r>
        <w:rPr>
          <w:rStyle w:val="CharSectno"/>
        </w:rPr>
        <w:t>7</w:t>
      </w:r>
      <w:r>
        <w:t>.</w:t>
      </w:r>
      <w:r>
        <w:tab/>
        <w:t>Investment of the Account</w:t>
      </w:r>
      <w:bookmarkEnd w:id="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0" w:name="_Toc154744281"/>
      <w:r>
        <w:rPr>
          <w:rStyle w:val="CharPartNo"/>
        </w:rPr>
        <w:lastRenderedPageBreak/>
        <w:t>Part 3</w:t>
      </w:r>
      <w:r>
        <w:rPr>
          <w:rStyle w:val="CharDivNo"/>
        </w:rPr>
        <w:t> </w:t>
      </w:r>
      <w:r>
        <w:t>—</w:t>
      </w:r>
      <w:r>
        <w:rPr>
          <w:rStyle w:val="CharDivText"/>
        </w:rPr>
        <w:t> </w:t>
      </w:r>
      <w:r>
        <w:rPr>
          <w:rStyle w:val="CharPartText"/>
        </w:rPr>
        <w:t>Management committee</w:t>
      </w:r>
      <w:bookmarkEnd w:id="10"/>
    </w:p>
    <w:p>
      <w:pPr>
        <w:pStyle w:val="Heading5"/>
      </w:pPr>
      <w:bookmarkStart w:id="11" w:name="_Toc154744282"/>
      <w:r>
        <w:rPr>
          <w:rStyle w:val="CharSectno"/>
        </w:rPr>
        <w:t>8</w:t>
      </w:r>
      <w:r>
        <w:t>.</w:t>
      </w:r>
      <w:r>
        <w:tab/>
        <w:t>Establishment of Industry Management Committee</w:t>
      </w:r>
      <w:bookmarkEnd w:id="11"/>
    </w:p>
    <w:p>
      <w:pPr>
        <w:pStyle w:val="Subsection"/>
      </w:pPr>
      <w:r>
        <w:tab/>
      </w:r>
      <w:r>
        <w:tab/>
        <w:t>A Grains, Seeds and Hay Industry Funding Scheme Management Committee is established for the Account.</w:t>
      </w:r>
    </w:p>
    <w:p>
      <w:pPr>
        <w:pStyle w:val="Heading5"/>
      </w:pPr>
      <w:bookmarkStart w:id="12" w:name="_Toc154744283"/>
      <w:r>
        <w:rPr>
          <w:rStyle w:val="CharSectno"/>
        </w:rPr>
        <w:t>9</w:t>
      </w:r>
      <w:r>
        <w:t>.</w:t>
      </w:r>
      <w:r>
        <w:tab/>
        <w:t>Appointment and composition of the Industry Management Committee</w:t>
      </w:r>
      <w:bookmarkEnd w:id="12"/>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lastRenderedPageBreak/>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(ca)</w:t>
      </w:r>
      <w:r>
        <w:tab/>
        <w:t>if the member was a participant at the time of appointment — at the beginning of the financial year for which the member opts out of the Scheme under regulation 17(1);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pPr>
      <w:r>
        <w:tab/>
        <w:t>[Regulation 9 amended: SL 2020/255 r. 19.]</w:t>
      </w:r>
    </w:p>
    <w:p>
      <w:pPr>
        <w:pStyle w:val="Heading5"/>
      </w:pPr>
      <w:bookmarkStart w:id="13" w:name="_Toc154744284"/>
      <w:r>
        <w:rPr>
          <w:rStyle w:val="CharSectno"/>
        </w:rPr>
        <w:t>10</w:t>
      </w:r>
      <w:r>
        <w:t>.</w:t>
      </w:r>
      <w:r>
        <w:tab/>
        <w:t>Remuneration and allowances for members of Industry Management Committee</w:t>
      </w:r>
      <w:bookmarkEnd w:id="13"/>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14" w:name="_Toc154744285"/>
      <w:r>
        <w:rPr>
          <w:rStyle w:val="CharSectno"/>
        </w:rPr>
        <w:lastRenderedPageBreak/>
        <w:t>11</w:t>
      </w:r>
      <w:r>
        <w:t>.</w:t>
      </w:r>
      <w:r>
        <w:tab/>
        <w:t>Functions of Industry Management Committee</w:t>
      </w:r>
      <w:bookmarkEnd w:id="14"/>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15" w:name="_Toc154744286"/>
      <w:r>
        <w:rPr>
          <w:rStyle w:val="CharPartNo"/>
        </w:rPr>
        <w:lastRenderedPageBreak/>
        <w:t>Part 4</w:t>
      </w:r>
      <w:r>
        <w:t> — </w:t>
      </w:r>
      <w:r>
        <w:rPr>
          <w:rStyle w:val="CharPartText"/>
        </w:rPr>
        <w:t>Grains, Seeds and Hay Industry Declared Pest Control and Compensation Funding Scheme</w:t>
      </w:r>
      <w:bookmarkEnd w:id="15"/>
    </w:p>
    <w:p>
      <w:pPr>
        <w:pStyle w:val="Heading3"/>
      </w:pPr>
      <w:bookmarkStart w:id="16" w:name="_Toc154744287"/>
      <w:r>
        <w:rPr>
          <w:rStyle w:val="CharDivNo"/>
        </w:rPr>
        <w:t>Division 1</w:t>
      </w:r>
      <w:r>
        <w:t> — </w:t>
      </w:r>
      <w:r>
        <w:rPr>
          <w:rStyle w:val="CharDivText"/>
        </w:rPr>
        <w:t>Contributions to the Account</w:t>
      </w:r>
      <w:bookmarkEnd w:id="16"/>
    </w:p>
    <w:p>
      <w:pPr>
        <w:pStyle w:val="Heading5"/>
      </w:pPr>
      <w:bookmarkStart w:id="17" w:name="_Toc154744288"/>
      <w:r>
        <w:rPr>
          <w:rStyle w:val="CharSectno"/>
        </w:rPr>
        <w:t>12</w:t>
      </w:r>
      <w:r>
        <w:t>.</w:t>
      </w:r>
      <w:r>
        <w:tab/>
        <w:t>Term used: notice</w:t>
      </w:r>
      <w:bookmarkEnd w:id="17"/>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18" w:name="_Toc154744289"/>
      <w:r>
        <w:rPr>
          <w:rStyle w:val="CharSectno"/>
        </w:rPr>
        <w:t>13</w:t>
      </w:r>
      <w:r>
        <w:t>.</w:t>
      </w:r>
      <w:r>
        <w:tab/>
        <w:t>Area of operation and rate of contributions</w:t>
      </w:r>
      <w:bookmarkEnd w:id="18"/>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lastRenderedPageBreak/>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19" w:name="_Toc154744290"/>
      <w:r>
        <w:rPr>
          <w:rStyle w:val="CharSectno"/>
        </w:rPr>
        <w:t>14</w:t>
      </w:r>
      <w:r>
        <w:t>.</w:t>
      </w:r>
      <w:r>
        <w:tab/>
        <w:t>Registration of qualifying receivers</w:t>
      </w:r>
      <w:bookmarkEnd w:id="19"/>
    </w:p>
    <w:p>
      <w:pPr>
        <w:pStyle w:val="Subsection"/>
        <w:keepNext/>
      </w:pPr>
      <w:r>
        <w:tab/>
        <w:t>(1)</w:t>
      </w:r>
      <w:r>
        <w:tab/>
        <w:t xml:space="preserve">Every person who becomes a qualifying receiver for any financial year must, within 30 days of becoming a qualifying receiver, give the Director General notice stating that the person is a qualifying receiver, and setting out the person’s name and </w:t>
      </w:r>
      <w:r>
        <w:lastRenderedPageBreak/>
        <w:t>principal place of business in the State, and such other details as the Director General may require.</w:t>
      </w:r>
    </w:p>
    <w:p>
      <w:pPr>
        <w:pStyle w:val="Penstart"/>
      </w:pPr>
      <w:r>
        <w:tab/>
        <w:t>Penalty for this subregulation: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 for this subregulation: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Footnotesection"/>
      </w:pPr>
      <w:r>
        <w:tab/>
        <w:t>[Regulation 14 amended: SL 2020/255 r. 25.]</w:t>
      </w:r>
    </w:p>
    <w:p>
      <w:pPr>
        <w:pStyle w:val="Heading5"/>
      </w:pPr>
      <w:bookmarkStart w:id="20" w:name="_Toc154744291"/>
      <w:r>
        <w:rPr>
          <w:rStyle w:val="CharSectno"/>
        </w:rPr>
        <w:t>15</w:t>
      </w:r>
      <w:r>
        <w:t>.</w:t>
      </w:r>
      <w:r>
        <w:tab/>
        <w:t>Liability to pay contributions</w:t>
      </w:r>
      <w:bookmarkEnd w:id="20"/>
    </w:p>
    <w:p>
      <w:pPr>
        <w:pStyle w:val="Subsection"/>
      </w:pPr>
      <w:r>
        <w:tab/>
        <w:t>(1)</w:t>
      </w:r>
      <w:r>
        <w:tab/>
        <w:t>Every grower who completes a chargeable transaction is to pay a contribution to the Account in accordance with this Scheme.</w:t>
      </w:r>
    </w:p>
    <w:p>
      <w:pPr>
        <w:pStyle w:val="Subsection"/>
        <w:keepLines/>
      </w:pPr>
      <w:r>
        <w:lastRenderedPageBreak/>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21" w:name="_Toc154744292"/>
      <w:r>
        <w:rPr>
          <w:rStyle w:val="CharSectno"/>
        </w:rPr>
        <w:t>16</w:t>
      </w:r>
      <w:r>
        <w:t>.</w:t>
      </w:r>
      <w:r>
        <w:tab/>
        <w:t>Deduction and remittance of contributions</w:t>
      </w:r>
      <w:bookmarkEnd w:id="21"/>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 for this subregulation: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 for this subregulation: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lastRenderedPageBreak/>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the registered receiver is to furnish the appointed officer with such records and information as the officer may require.</w:t>
      </w:r>
    </w:p>
    <w:p>
      <w:pPr>
        <w:pStyle w:val="Footnotesection"/>
      </w:pPr>
      <w:r>
        <w:tab/>
        <w:t>[Regulation 16 amended: SL 2020/255 r. 20 and 25.]</w:t>
      </w:r>
    </w:p>
    <w:p>
      <w:pPr>
        <w:pStyle w:val="Heading5"/>
      </w:pPr>
      <w:bookmarkStart w:id="22" w:name="_Toc154744293"/>
      <w:r>
        <w:rPr>
          <w:rStyle w:val="CharSectno"/>
        </w:rPr>
        <w:t>17</w:t>
      </w:r>
      <w:r>
        <w:t>.</w:t>
      </w:r>
      <w:r>
        <w:tab/>
        <w:t>Opting out of the Scheme</w:t>
      </w:r>
      <w:bookmarkEnd w:id="22"/>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keepNext/>
      </w:pPr>
      <w:r>
        <w:lastRenderedPageBreak/>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23" w:name="_Toc154744294"/>
      <w:r>
        <w:rPr>
          <w:rStyle w:val="CharSectno"/>
        </w:rPr>
        <w:t>18</w:t>
      </w:r>
      <w:r>
        <w:t>.</w:t>
      </w:r>
      <w:r>
        <w:tab/>
        <w:t>Refund of contributions</w:t>
      </w:r>
      <w:bookmarkEnd w:id="23"/>
    </w:p>
    <w:p>
      <w:pPr>
        <w:pStyle w:val="Subsection"/>
      </w:pPr>
      <w:r>
        <w:tab/>
        <w:t>(1)</w:t>
      </w:r>
      <w:r>
        <w:tab/>
        <w:t>A grower who has opted out of the Scheme under regulation 17(1) for a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grower out of the Account the amount of the contributions.</w:t>
      </w:r>
    </w:p>
    <w:p>
      <w:pPr>
        <w:pStyle w:val="Footnotesection"/>
      </w:pPr>
      <w:r>
        <w:tab/>
        <w:t>[Regulation 18 amended: SL 2020/255 r. 21.]</w:t>
      </w:r>
    </w:p>
    <w:p>
      <w:pPr>
        <w:pStyle w:val="Heading3"/>
      </w:pPr>
      <w:bookmarkStart w:id="24" w:name="_Toc154744295"/>
      <w:r>
        <w:rPr>
          <w:rStyle w:val="CharDivNo"/>
        </w:rPr>
        <w:lastRenderedPageBreak/>
        <w:t>Division 2</w:t>
      </w:r>
      <w:r>
        <w:t> — </w:t>
      </w:r>
      <w:r>
        <w:rPr>
          <w:rStyle w:val="CharDivText"/>
        </w:rPr>
        <w:t>Payments from the Account</w:t>
      </w:r>
      <w:bookmarkEnd w:id="24"/>
    </w:p>
    <w:p>
      <w:pPr>
        <w:pStyle w:val="Heading5"/>
      </w:pPr>
      <w:bookmarkStart w:id="25" w:name="_Toc154744296"/>
      <w:r>
        <w:rPr>
          <w:rStyle w:val="CharSectno"/>
        </w:rPr>
        <w:t>19</w:t>
      </w:r>
      <w:r>
        <w:t>.</w:t>
      </w:r>
      <w:r>
        <w:tab/>
        <w:t>Approved programmes</w:t>
      </w:r>
      <w:bookmarkEnd w:id="25"/>
    </w:p>
    <w:p>
      <w:pPr>
        <w:pStyle w:val="Subsection"/>
        <w:keepNext/>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26" w:name="_Toc154744297"/>
      <w:r>
        <w:rPr>
          <w:rStyle w:val="CharSectno"/>
        </w:rPr>
        <w:t>20</w:t>
      </w:r>
      <w:r>
        <w:t>.</w:t>
      </w:r>
      <w:r>
        <w:tab/>
        <w:t>Payments in respect of costs of approved programmes</w:t>
      </w:r>
      <w:bookmarkEnd w:id="26"/>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 xml:space="preserve">The total of the payments made out of the Account towards the costs of an approved programme is not to exceed the amount </w:t>
      </w:r>
      <w:r>
        <w:lastRenderedPageBreak/>
        <w:t>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27" w:name="_Toc154744298"/>
      <w:r>
        <w:rPr>
          <w:rStyle w:val="CharSectno"/>
        </w:rPr>
        <w:t>21</w:t>
      </w:r>
      <w:r>
        <w:t>.</w:t>
      </w:r>
      <w:r>
        <w:tab/>
        <w:t>Payments in respect of losses</w:t>
      </w:r>
      <w:bookmarkEnd w:id="27"/>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 or</w:t>
      </w:r>
    </w:p>
    <w:p>
      <w:pPr>
        <w:pStyle w:val="Indenta"/>
      </w:pPr>
      <w:r>
        <w:tab/>
        <w:t>(c)</w:t>
      </w:r>
      <w:r>
        <w:tab/>
        <w:t>as a result of actions or measures taken under an approved programme.</w:t>
      </w:r>
    </w:p>
    <w:p>
      <w:pPr>
        <w:pStyle w:val="Subsection"/>
      </w:pPr>
      <w:r>
        <w:tab/>
        <w:t>(2)</w:t>
      </w:r>
      <w:r>
        <w:tab/>
        <w:t xml:space="preserve">No payment shall be made under subregulation (1) in respect of any indirect, incidental or consequential loss, but only in respect of losses arising directly from — </w:t>
      </w:r>
    </w:p>
    <w:p>
      <w:pPr>
        <w:pStyle w:val="Indenta"/>
      </w:pPr>
      <w:r>
        <w:tab/>
        <w:t>(a)</w:t>
      </w:r>
      <w:r>
        <w:tab/>
        <w:t xml:space="preserve">infection or infestation with a specified pest; or </w:t>
      </w:r>
    </w:p>
    <w:p>
      <w:pPr>
        <w:pStyle w:val="Indenta"/>
      </w:pPr>
      <w:r>
        <w:tab/>
        <w:t>(b)</w:t>
      </w:r>
      <w:r>
        <w:tab/>
        <w:t xml:space="preserve">actions or measures taken to control a specified pest; or </w:t>
      </w:r>
    </w:p>
    <w:p>
      <w:pPr>
        <w:pStyle w:val="Indenta"/>
      </w:pPr>
      <w:r>
        <w:tab/>
        <w:t>(c)</w:t>
      </w:r>
      <w:r>
        <w:tab/>
        <w:t>actions or measures taken under an approved programme.</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lastRenderedPageBreak/>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r>
        <w:tab/>
        <w:t>[Regulation 21 amended: Gazette 2 Mar 2012 p. 854.]</w:t>
      </w:r>
    </w:p>
    <w:p>
      <w:pPr>
        <w:pStyle w:val="Heading5"/>
      </w:pPr>
      <w:bookmarkStart w:id="28" w:name="_Toc154744299"/>
      <w:r>
        <w:rPr>
          <w:rStyle w:val="CharSectno"/>
        </w:rPr>
        <w:t>22</w:t>
      </w:r>
      <w:r>
        <w:t>.</w:t>
      </w:r>
      <w:r>
        <w:tab/>
        <w:t>Payments in respect of destroying animals or products</w:t>
      </w:r>
      <w:bookmarkEnd w:id="28"/>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keepNext/>
      </w:pPr>
      <w:r>
        <w:lastRenderedPageBreak/>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29" w:name="_Toc154744300"/>
      <w:r>
        <w:rPr>
          <w:rStyle w:val="CharSectno"/>
        </w:rPr>
        <w:t>23</w:t>
      </w:r>
      <w:r>
        <w:t>.</w:t>
      </w:r>
      <w:r>
        <w:tab/>
        <w:t>General provisions regarding payments</w:t>
      </w:r>
      <w:bookmarkEnd w:id="29"/>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pPr>
      <w:r>
        <w:tab/>
        <w:t>(1A)</w:t>
      </w:r>
      <w:r>
        <w:tab/>
        <w:t>No payment is to be made under regulation 21 or 22 to a person who is not a grower unless the person has paid contributions under this Scheme in accordance with these regulations.</w:t>
      </w:r>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 xml:space="preserve">has failed to comply with any pest control requirement relating to that specified pest, or to perform any action </w:t>
      </w:r>
      <w:r>
        <w:lastRenderedPageBreak/>
        <w:t>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Subsection"/>
      </w:pPr>
      <w:r>
        <w:tab/>
        <w:t>(5)</w:t>
      </w:r>
      <w:r>
        <w:tab/>
        <w:t xml:space="preserve">An applicant who is dissatisfied with the outcome of an application that the applicant has made for a payment under regulation 20, 21 or 22 may request a review of the application under the </w:t>
      </w:r>
      <w:r>
        <w:rPr>
          <w:i/>
        </w:rPr>
        <w:t>Biosecurity and Agriculture Management Regulations 2013</w:t>
      </w:r>
      <w:r>
        <w:t xml:space="preserve"> regulation 129F(2).</w:t>
      </w:r>
    </w:p>
    <w:p>
      <w:pPr>
        <w:pStyle w:val="Footnotesection"/>
      </w:pPr>
      <w:r>
        <w:tab/>
        <w:t>[Regulation 23 amended: SL 2020/255 r. 22; SL 2023/152 r. 6.]</w:t>
      </w:r>
    </w:p>
    <w:p>
      <w:pPr>
        <w:pStyle w:val="Ednotesection"/>
      </w:pPr>
      <w:r>
        <w:t>[</w:t>
      </w:r>
      <w:r>
        <w:rPr>
          <w:b/>
        </w:rPr>
        <w:t>24.</w:t>
      </w:r>
      <w:r>
        <w:tab/>
        <w:t>Deleted: SL 2020/255 r. 23.]</w:t>
      </w:r>
    </w:p>
    <w:p>
      <w:pPr>
        <w:pStyle w:val="Heading5"/>
      </w:pPr>
      <w:bookmarkStart w:id="30" w:name="_Toc154744301"/>
      <w:r>
        <w:rPr>
          <w:rStyle w:val="CharSectno"/>
        </w:rPr>
        <w:t>25</w:t>
      </w:r>
      <w:r>
        <w:t>.</w:t>
      </w:r>
      <w:r>
        <w:tab/>
        <w:t>Purchase of capital assets out of the Account</w:t>
      </w:r>
      <w:bookmarkEnd w:id="30"/>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31" w:name="_Toc154744302"/>
      <w:r>
        <w:rPr>
          <w:rStyle w:val="CharSectno"/>
        </w:rPr>
        <w:lastRenderedPageBreak/>
        <w:t>26</w:t>
      </w:r>
      <w:r>
        <w:t>.</w:t>
      </w:r>
      <w:r>
        <w:tab/>
        <w:t>Other payments out of the Account</w:t>
      </w:r>
      <w:bookmarkEnd w:id="31"/>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subject to subregulation (3), in paying —</w:t>
      </w:r>
    </w:p>
    <w:p>
      <w:pPr>
        <w:pStyle w:val="Indenti"/>
      </w:pPr>
      <w:r>
        <w:tab/>
        <w:t>(i)</w:t>
      </w:r>
      <w:r>
        <w:tab/>
        <w:t xml:space="preserve">remuneration and allowances for members of the appointments committee determined under the </w:t>
      </w:r>
      <w:r>
        <w:rPr>
          <w:i/>
        </w:rPr>
        <w:t>Biosecurity and Agriculture Management Regulations 2013</w:t>
      </w:r>
      <w:r>
        <w:t xml:space="preserve"> regulation 129C(4) to the extent that the remuneration and allowances are costs and expenses of administering the Account;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allowances are costs and expenses of administering the Account;</w:t>
      </w:r>
    </w:p>
    <w:p>
      <w:pPr>
        <w:pStyle w:val="Indenta"/>
      </w:pPr>
      <w:r>
        <w:tab/>
      </w:r>
      <w:r>
        <w:tab/>
        <w:t>and</w:t>
      </w:r>
    </w:p>
    <w:p>
      <w:pPr>
        <w:pStyle w:val="Indenta"/>
      </w:pPr>
      <w:r>
        <w:tab/>
        <w:t>(e)</w:t>
      </w:r>
      <w:r>
        <w:tab/>
        <w:t>subject to subregulation (3), in paying the cost of the review for which regulation 27 provides; and</w:t>
      </w:r>
    </w:p>
    <w:p>
      <w:pPr>
        <w:pStyle w:val="Indenta"/>
      </w:pPr>
      <w:r>
        <w:tab/>
        <w:t>(f)</w:t>
      </w:r>
      <w:r>
        <w:tab/>
        <w:t>subject to subregulation (3), in paying or reimbursing any other costs and expenses of administering the Account.</w:t>
      </w:r>
    </w:p>
    <w:p>
      <w:pPr>
        <w:pStyle w:val="Subsection"/>
      </w:pPr>
      <w:r>
        <w:lastRenderedPageBreak/>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(1)(d) to (f) must be approved by the Industry Management Committee.</w:t>
      </w:r>
    </w:p>
    <w:p>
      <w:pPr>
        <w:pStyle w:val="Subsection"/>
      </w:pPr>
      <w:r>
        <w:tab/>
        <w:t>(4)</w:t>
      </w:r>
      <w:r>
        <w:tab/>
        <w:t>The Director General must notify the Industry Management Committee of any amount applied under subregulation (1)(b) or (c) within 1 month after application.</w:t>
      </w:r>
    </w:p>
    <w:p>
      <w:pPr>
        <w:pStyle w:val="Footnotesection"/>
      </w:pPr>
      <w:r>
        <w:tab/>
        <w:t>[Regulation 26 amended: SL 2020/255 r. 24.]</w:t>
      </w:r>
    </w:p>
    <w:p>
      <w:pPr>
        <w:pStyle w:val="Heading2"/>
      </w:pPr>
      <w:bookmarkStart w:id="32" w:name="_Toc154744303"/>
      <w:r>
        <w:rPr>
          <w:rStyle w:val="CharPartNo"/>
        </w:rPr>
        <w:lastRenderedPageBreak/>
        <w:t>Part 5</w:t>
      </w:r>
      <w:r>
        <w:rPr>
          <w:rStyle w:val="CharDivNo"/>
        </w:rPr>
        <w:t> </w:t>
      </w:r>
      <w:r>
        <w:t>—</w:t>
      </w:r>
      <w:r>
        <w:rPr>
          <w:rStyle w:val="CharDivText"/>
        </w:rPr>
        <w:t> </w:t>
      </w:r>
      <w:r>
        <w:rPr>
          <w:rStyle w:val="CharPartText"/>
        </w:rPr>
        <w:t>Miscellaneous</w:t>
      </w:r>
      <w:bookmarkEnd w:id="32"/>
    </w:p>
    <w:p>
      <w:pPr>
        <w:pStyle w:val="Heading5"/>
      </w:pPr>
      <w:bookmarkStart w:id="33" w:name="_Toc154744304"/>
      <w:r>
        <w:rPr>
          <w:rStyle w:val="CharSectno"/>
        </w:rPr>
        <w:t>27</w:t>
      </w:r>
      <w:r>
        <w:t>.</w:t>
      </w:r>
      <w:r>
        <w:tab/>
        <w:t>Review of Scheme</w:t>
      </w:r>
      <w:bookmarkEnd w:id="33"/>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34" w:name="_Toc154744305"/>
      <w:r>
        <w:rPr>
          <w:rStyle w:val="CharSectno"/>
        </w:rPr>
        <w:t>28</w:t>
      </w:r>
      <w:r>
        <w:t>.</w:t>
      </w:r>
      <w:r>
        <w:tab/>
        <w:t>Termination and winding up of Scheme</w:t>
      </w:r>
      <w:bookmarkEnd w:id="34"/>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lastRenderedPageBreak/>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 xml:space="preserve">applications for payments out of the Account made under regulation 20, 21 or 22 which have not yet been determined are to be determined as though the Scheme </w:t>
      </w:r>
      <w:r>
        <w:lastRenderedPageBreak/>
        <w:t>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r>
        <w:tab/>
        <w:t>[Regulation 28 amended: Gazette 2 Mar 2012 p. 854.]</w:t>
      </w:r>
    </w:p>
    <w:p>
      <w:pPr>
        <w:pStyle w:val="Heading5"/>
      </w:pPr>
      <w:bookmarkStart w:id="35" w:name="_Toc154744306"/>
      <w:r>
        <w:rPr>
          <w:rStyle w:val="CharSectno"/>
        </w:rPr>
        <w:t>29</w:t>
      </w:r>
      <w:r>
        <w:t>.</w:t>
      </w:r>
      <w:r>
        <w:tab/>
        <w:t>Expiry of the regulations</w:t>
      </w:r>
      <w:bookmarkEnd w:id="35"/>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36" w:name="_Toc154744307"/>
      <w:r>
        <w:rPr>
          <w:rStyle w:val="CharSectno"/>
        </w:rPr>
        <w:lastRenderedPageBreak/>
        <w:t>30</w:t>
      </w:r>
      <w:r>
        <w:t>.</w:t>
      </w:r>
      <w:r>
        <w:tab/>
        <w:t>Offence</w:t>
      </w:r>
      <w:bookmarkEnd w:id="36"/>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37" w:name="_Toc154744308"/>
      <w:r>
        <w:rPr>
          <w:rStyle w:val="CharSchNo"/>
        </w:rPr>
        <w:lastRenderedPageBreak/>
        <w:t>Schedule 1</w:t>
      </w:r>
      <w:r>
        <w:rPr>
          <w:rStyle w:val="CharSDivNo"/>
        </w:rPr>
        <w:t> </w:t>
      </w:r>
      <w:r>
        <w:t>—</w:t>
      </w:r>
      <w:r>
        <w:rPr>
          <w:rStyle w:val="CharSDivText"/>
        </w:rPr>
        <w:t> </w:t>
      </w:r>
      <w:r>
        <w:rPr>
          <w:rStyle w:val="CharSchText"/>
        </w:rPr>
        <w:t>Specified pests</w:t>
      </w:r>
      <w:bookmarkEnd w:id="37"/>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39" w:name="_Toc154744309"/>
      <w:r>
        <w:lastRenderedPageBreak/>
        <w:t>Notes</w:t>
      </w:r>
      <w:bookmarkEnd w:id="39"/>
    </w:p>
    <w:p>
      <w:pPr>
        <w:pStyle w:val="nStatement"/>
      </w:pPr>
      <w:r>
        <w:t xml:space="preserve">This is a compilation of the </w:t>
      </w:r>
      <w:r>
        <w:rPr>
          <w:i/>
          <w:noProof/>
        </w:rPr>
        <w:t>Biosecurity and Agriculture Management Industry Funding Scheme (Grains) Regulations 2010</w:t>
      </w:r>
      <w:r>
        <w:t xml:space="preserve"> and includes amendments made by other written laws. For provisions that have come into operation see the compilation table.</w:t>
      </w:r>
    </w:p>
    <w:p>
      <w:pPr>
        <w:pStyle w:val="nHeading3"/>
      </w:pPr>
      <w:bookmarkStart w:id="40" w:name="_Toc154744310"/>
      <w:r>
        <w:t>Compilation table</w:t>
      </w:r>
      <w:bookmarkEnd w:id="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(Grains) Regulations 2010</w:t>
            </w:r>
          </w:p>
        </w:tc>
        <w:tc>
          <w:tcPr>
            <w:tcW w:w="1276" w:type="dxa"/>
            <w:tcBorders>
              <w:bottom w:val="nil"/>
            </w:tcBorders>
          </w:tcPr>
          <w:p>
            <w:pPr>
              <w:pStyle w:val="nTable"/>
              <w:spacing w:after="40"/>
            </w:pPr>
            <w:r>
              <w:t>21 May 2010 p. 2059-91</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8" w:type="dxa"/>
            <w:tcBorders>
              <w:top w:val="nil"/>
              <w:bottom w:val="nil"/>
            </w:tcBorders>
            <w:shd w:val="clear" w:color="auto" w:fill="auto"/>
          </w:tcPr>
          <w:p>
            <w:pPr>
              <w:pStyle w:val="nTable"/>
              <w:spacing w:after="40"/>
              <w:rPr>
                <w:i/>
              </w:rPr>
            </w:pPr>
            <w:r>
              <w:rPr>
                <w:i/>
              </w:rPr>
              <w:t>Biosecurity and Agriculture Management Industry Funding Scheme (Grains) Amendment Regulations 2012</w:t>
            </w:r>
          </w:p>
        </w:tc>
        <w:tc>
          <w:tcPr>
            <w:tcW w:w="1276" w:type="dxa"/>
            <w:tcBorders>
              <w:top w:val="nil"/>
              <w:bottom w:val="nil"/>
            </w:tcBorders>
            <w:shd w:val="clear" w:color="auto" w:fill="auto"/>
          </w:tcPr>
          <w:p>
            <w:pPr>
              <w:pStyle w:val="nTable"/>
              <w:spacing w:after="40"/>
            </w:pPr>
            <w:r>
              <w:t>2 Mar 2012 p. 853-4</w:t>
            </w:r>
          </w:p>
        </w:tc>
        <w:tc>
          <w:tcPr>
            <w:tcW w:w="2693" w:type="dxa"/>
            <w:tcBorders>
              <w:top w:val="nil"/>
              <w:bottom w:val="nil"/>
            </w:tcBorders>
            <w:shd w:val="clear" w:color="auto" w:fill="auto"/>
          </w:tcPr>
          <w:p>
            <w:pPr>
              <w:pStyle w:val="nTable"/>
              <w:spacing w:after="40"/>
              <w:rPr>
                <w:snapToGrid w:val="0"/>
                <w:spacing w:val="-2"/>
              </w:rPr>
            </w:pPr>
            <w:r>
              <w:t>r. 1 and 2: 2 Mar 2012 (see r. 2(a));</w:t>
            </w:r>
            <w:r>
              <w:br/>
              <w:t>Regulations other than r. 1 and 2: 3 Mar 2012 (see r. 2(b))</w:t>
            </w:r>
          </w:p>
        </w:tc>
      </w:tr>
      <w:tr>
        <w:tc>
          <w:tcPr>
            <w:tcW w:w="3118" w:type="dxa"/>
            <w:tcBorders>
              <w:top w:val="nil"/>
              <w:bottom w:val="nil"/>
            </w:tcBorders>
            <w:shd w:val="clear" w:color="auto" w:fill="auto"/>
          </w:tcPr>
          <w:p>
            <w:pPr>
              <w:pStyle w:val="nTable"/>
              <w:spacing w:after="40"/>
            </w:pPr>
            <w:r>
              <w:rPr>
                <w:i/>
              </w:rPr>
              <w:t>Biosecurity and Agriculture Management Regulations Amendment (Industry Funding Schemes) Regulations 2020</w:t>
            </w:r>
            <w:r>
              <w:t xml:space="preserve"> Pt. 3</w:t>
            </w:r>
          </w:p>
        </w:tc>
        <w:tc>
          <w:tcPr>
            <w:tcW w:w="1276" w:type="dxa"/>
            <w:tcBorders>
              <w:top w:val="nil"/>
              <w:bottom w:val="nil"/>
            </w:tcBorders>
            <w:shd w:val="clear" w:color="auto" w:fill="auto"/>
          </w:tcPr>
          <w:p>
            <w:pPr>
              <w:pStyle w:val="nTable"/>
              <w:spacing w:after="40"/>
            </w:pPr>
            <w:r>
              <w:t>SL 2020/255 24 Dec 2020</w:t>
            </w:r>
          </w:p>
        </w:tc>
        <w:tc>
          <w:tcPr>
            <w:tcW w:w="2693" w:type="dxa"/>
            <w:tcBorders>
              <w:top w:val="nil"/>
              <w:bottom w:val="nil"/>
            </w:tcBorders>
            <w:shd w:val="clear" w:color="auto" w:fill="auto"/>
          </w:tcPr>
          <w:p>
            <w:pPr>
              <w:pStyle w:val="nTable"/>
              <w:spacing w:after="40"/>
            </w:pPr>
            <w:r>
              <w:t>25 Dec 2020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Biosecurity and Agriculture Management Regulations Amendment (Industry Funding Schemes) Regulations 2023</w:t>
            </w:r>
            <w:r>
              <w:t xml:space="preserve"> Pt. 3</w:t>
            </w:r>
          </w:p>
        </w:tc>
        <w:tc>
          <w:tcPr>
            <w:tcW w:w="1276" w:type="dxa"/>
            <w:tcBorders>
              <w:bottom w:val="single" w:sz="8" w:space="0" w:color="auto"/>
            </w:tcBorders>
            <w:shd w:val="clear" w:color="auto" w:fill="auto"/>
          </w:tcPr>
          <w:p>
            <w:pPr>
              <w:pStyle w:val="nTable"/>
              <w:spacing w:after="40"/>
            </w:pPr>
            <w:r>
              <w:t>SL 2023/152</w:t>
            </w:r>
            <w:r>
              <w:br/>
              <w:t>4 Oct 2023</w:t>
            </w:r>
          </w:p>
        </w:tc>
        <w:tc>
          <w:tcPr>
            <w:tcW w:w="2693" w:type="dxa"/>
            <w:tcBorders>
              <w:bottom w:val="single" w:sz="8" w:space="0" w:color="auto"/>
            </w:tcBorders>
            <w:shd w:val="clear" w:color="auto" w:fill="auto"/>
          </w:tcPr>
          <w:p>
            <w:pPr>
              <w:pStyle w:val="nTable"/>
              <w:spacing w:after="40"/>
            </w:pPr>
            <w:r>
              <w:t>5 Oct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2" w:name="_Toc154744311"/>
      <w:r>
        <w:rPr>
          <w:sz w:val="28"/>
        </w:rPr>
        <w:lastRenderedPageBreak/>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produce</w:t>
      </w:r>
      <w:r>
        <w:tab/>
        <w:t>3</w:t>
      </w:r>
    </w:p>
    <w:p>
      <w:pPr>
        <w:pStyle w:val="DefinedTerms"/>
      </w:pPr>
      <w:r>
        <w:t>chargeable transaction</w:t>
      </w:r>
      <w:r>
        <w:tab/>
        <w:t>3</w:t>
      </w:r>
    </w:p>
    <w:p>
      <w:pPr>
        <w:pStyle w:val="DefinedTerms"/>
      </w:pPr>
      <w:r>
        <w:t>contributing participant</w:t>
      </w:r>
      <w:r>
        <w:tab/>
        <w:t>3</w:t>
      </w:r>
    </w:p>
    <w:p>
      <w:pPr>
        <w:pStyle w:val="DefinedTerms"/>
      </w:pPr>
      <w:r>
        <w:t>full participant</w:t>
      </w:r>
      <w:r>
        <w:tab/>
        <w:t>3</w:t>
      </w:r>
    </w:p>
    <w:p>
      <w:pPr>
        <w:pStyle w:val="DefinedTerms"/>
      </w:pPr>
      <w:r>
        <w:t>grower</w:t>
      </w:r>
      <w:r>
        <w:tab/>
        <w:t>3</w:t>
      </w:r>
    </w:p>
    <w:p>
      <w:pPr>
        <w:pStyle w:val="DefinedTerms"/>
      </w:pPr>
      <w:r>
        <w:t>GSH industry</w:t>
      </w:r>
      <w:r>
        <w:tab/>
        <w:t>3</w:t>
      </w:r>
    </w:p>
    <w:p>
      <w:pPr>
        <w:pStyle w:val="DefinedTerms"/>
      </w:pPr>
      <w:r>
        <w:t>hay</w:t>
      </w:r>
      <w:r>
        <w:tab/>
        <w:t>3</w:t>
      </w:r>
    </w:p>
    <w:p>
      <w:pPr>
        <w:pStyle w:val="DefinedTerms"/>
      </w:pPr>
      <w:r>
        <w:t>independent consultant</w:t>
      </w:r>
      <w:r>
        <w:tab/>
        <w:t>27(1)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participant</w:t>
      </w:r>
      <w:r>
        <w:tab/>
        <w:t>3</w:t>
      </w:r>
    </w:p>
    <w:p>
      <w:pPr>
        <w:pStyle w:val="DefinedTerms"/>
      </w:pPr>
      <w:r>
        <w:t>pest control requirement</w:t>
      </w:r>
      <w:r>
        <w:tab/>
        <w:t>3</w:t>
      </w:r>
    </w:p>
    <w:p>
      <w:pPr>
        <w:pStyle w:val="DefinedTerms"/>
      </w:pPr>
      <w:r>
        <w:t>produce</w:t>
      </w:r>
      <w:r>
        <w:tab/>
        <w:t>3</w:t>
      </w:r>
    </w:p>
    <w:p>
      <w:pPr>
        <w:pStyle w:val="DefinedTerms"/>
      </w:pPr>
      <w:r>
        <w:t>produce receiver</w:t>
      </w:r>
      <w:r>
        <w:tab/>
        <w:t>3</w:t>
      </w:r>
    </w:p>
    <w:p>
      <w:pPr>
        <w:pStyle w:val="DefinedTerms"/>
      </w:pPr>
      <w:r>
        <w:t>qualifying produce</w:t>
      </w:r>
      <w:r>
        <w:tab/>
        <w:t>3</w:t>
      </w:r>
    </w:p>
    <w:p>
      <w:pPr>
        <w:pStyle w:val="DefinedTerms"/>
      </w:pPr>
      <w:r>
        <w:t>qualifying receiver</w:t>
      </w:r>
      <w:r>
        <w:tab/>
        <w:t>3</w:t>
      </w:r>
    </w:p>
    <w:p>
      <w:pPr>
        <w:pStyle w:val="DefinedTerms"/>
      </w:pPr>
      <w:r>
        <w:t>register</w:t>
      </w:r>
      <w:r>
        <w:tab/>
        <w:t>3</w:t>
      </w:r>
    </w:p>
    <w:p>
      <w:pPr>
        <w:pStyle w:val="DefinedTerms"/>
      </w:pPr>
      <w:r>
        <w:t>registered receiver</w:t>
      </w:r>
      <w:r>
        <w:tab/>
        <w:t>3</w:t>
      </w:r>
    </w:p>
    <w:p>
      <w:pPr>
        <w:pStyle w:val="DefinedTerms"/>
      </w:pPr>
      <w:r>
        <w:t>review panel</w:t>
      </w:r>
      <w:r>
        <w:tab/>
        <w:t>3</w:t>
      </w:r>
    </w:p>
    <w:p>
      <w:pPr>
        <w:pStyle w:val="DefinedTerms"/>
      </w:pPr>
      <w:r>
        <w:t>Scheme</w:t>
      </w:r>
      <w:r>
        <w:tab/>
        <w:t>3</w:t>
      </w:r>
    </w:p>
    <w:p>
      <w:pPr>
        <w:pStyle w:val="DefinedTerms"/>
      </w:pPr>
      <w:r>
        <w:t>specified pest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D06641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432925F" w14:textId="7B0B2067" w:rsidR="00321592" w:rsidRDefault="003215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3262D64" w14:textId="77777777" w:rsidR="00321592" w:rsidRDefault="003215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A817DD" w14:textId="3D6EF8EF" w:rsidR="00321592" w:rsidRDefault="003215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DA85E83" w14:textId="77777777" w:rsidR="00321592" w:rsidRDefault="0032159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56"/>
    <w:docVar w:name="WAFER_20150325122948" w:val="ResetPageSize,UpdateArrangement,UpdateNTable"/>
    <w:docVar w:name="WAFER_20150325122948_GUID" w:val="44e7ad32-c775-46b6-8536-55f34e000760"/>
    <w:docVar w:name="WAFER_20151102135902" w:val="UpdateStyles,UsedStyles"/>
    <w:docVar w:name="WAFER_20151102135902_GUID" w:val="43d0d7aa-70ff-4ad0-a7f7-abbb42b22097"/>
    <w:docVar w:name="WAFER_20151102135915" w:val="UpdateStyles,UsedStyles"/>
    <w:docVar w:name="WAFER_20151102135915_GUID" w:val="cb3e0717-fd64-446c-9927-50be6e5860de"/>
    <w:docVar w:name="WAFER_20151130160805" w:val="RemoveTrackChanges"/>
    <w:docVar w:name="WAFER_20151130160805_GUID" w:val="b07b5486-fb00-4ff7-8e9b-63780d8a79ad"/>
    <w:docVar w:name="WAFER_20201223095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653_GUID" w:val="39651334-2576-4c48-988f-ec51146ee651"/>
    <w:docVar w:name="WAFER_20230928153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8153128_GUID" w:val="a96c5ba9-817a-4fc5-93ac-0784e966f145"/>
    <w:docVar w:name="WAFER_20230928153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53158_GUID" w:val="1fa8ac44-8177-40ec-a3fe-d29d715f7ae3"/>
    <w:docVar w:name="WAFER_20231227155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56_GUID" w:val="e275f9c7-e851-4696-a742-0523eafeb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B3A53CF-7F79-45F1-B1AF-4D065ECC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6164</Words>
  <Characters>31130</Characters>
  <Application>Microsoft Office Word</Application>
  <DocSecurity>0</DocSecurity>
  <Lines>864</Lines>
  <Paragraphs>478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2010 - 00-e0-01</dc:title>
  <dc:subject/>
  <dc:creator/>
  <cp:keywords/>
  <dc:description/>
  <cp:lastModifiedBy>Master Repository Process</cp:lastModifiedBy>
  <cp:revision>4</cp:revision>
  <cp:lastPrinted>2010-05-11T07:13:00Z</cp:lastPrinted>
  <dcterms:created xsi:type="dcterms:W3CDTF">2023-12-29T04:10:00Z</dcterms:created>
  <dcterms:modified xsi:type="dcterms:W3CDTF">2023-12-29T04:11:00Z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OwlsUID">
    <vt:i4>41372</vt:i4>
  </property>
  <property fmtid="{D5CDD505-2E9C-101B-9397-08002B2CF9AE}" pid="4" name="DocumentType">
    <vt:lpwstr>Reg</vt:lpwstr>
  </property>
  <property fmtid="{D5CDD505-2E9C-101B-9397-08002B2CF9AE}" pid="5" name="AsAtDate">
    <vt:lpwstr>05 Oct 2023</vt:lpwstr>
  </property>
  <property fmtid="{D5CDD505-2E9C-101B-9397-08002B2CF9AE}" pid="6" name="Suffix">
    <vt:lpwstr>00-e0-01</vt:lpwstr>
  </property>
  <property fmtid="{D5CDD505-2E9C-101B-9397-08002B2CF9AE}" pid="7" name="Official">
    <vt:lpwstr/>
  </property>
  <property fmtid="{D5CDD505-2E9C-101B-9397-08002B2CF9AE}" pid="8" name="CommencementDate">
    <vt:lpwstr>20231005</vt:lpwstr>
  </property>
  <property fmtid="{D5CDD505-2E9C-101B-9397-08002B2CF9AE}" pid="9" name="CommencementAsAt">
    <vt:filetime>2023-10-04T16:00:00Z</vt:filetime>
  </property>
  <property fmtid="{D5CDD505-2E9C-101B-9397-08002B2CF9AE}" pid="10" name="CommencementYear">
    <vt:lpwstr>2023</vt:lpwstr>
  </property>
</Properties>
</file>