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_Toc200096552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_Toc200096553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_Toc200096554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_Toc200096555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_Toc200096556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_Toc200096557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_Toc200096558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_Toc200096559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_Toc200096560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_Toc200096561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_Toc200096562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_Toc200096563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_Toc200096564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_Toc200096565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pos="7077"/>
        </w:tabs>
        <w:rPr>
          <w:rFonts w:asciiTheme="minorHAnsi" w:eastAsiaTheme="minorEastAsia" w:hAnsiTheme="minorHAnsi" w:cstheme="minorBidi"/>
          <w:b w:val="0"/>
          <w:szCs w:val="22"/>
        </w:rPr>
      </w:pPr>
      <w:r>
        <w:t>Part 1 — Medical specialists and other medical practitioners</w:t>
      </w:r>
    </w:p>
    <w:p>
      <w:pPr>
        <w:pStyle w:val="TOC6"/>
        <w:tabs>
          <w:tab w:val="right" w:pos="7077"/>
        </w:tabs>
        <w:rPr>
          <w:rFonts w:asciiTheme="minorHAnsi" w:eastAsiaTheme="minorEastAsia" w:hAnsiTheme="minorHAnsi" w:cstheme="minorBidi"/>
          <w:b w:val="0"/>
          <w:sz w:val="22"/>
          <w:szCs w:val="22"/>
        </w:rPr>
      </w:pPr>
      <w:r>
        <w:t>Division 1 — Procedures</w:t>
      </w:r>
    </w:p>
    <w:p>
      <w:pPr>
        <w:pStyle w:val="TOC6"/>
        <w:tabs>
          <w:tab w:val="right" w:pos="7077"/>
        </w:tabs>
        <w:rPr>
          <w:rFonts w:asciiTheme="minorHAnsi" w:eastAsiaTheme="minorEastAsia" w:hAnsiTheme="minorHAnsi" w:cstheme="minorBidi"/>
          <w:b w:val="0"/>
          <w:sz w:val="22"/>
          <w:szCs w:val="22"/>
        </w:rPr>
      </w:pPr>
      <w:r>
        <w:t>Division 2 — Therapeutic and diagnostic services</w:t>
      </w:r>
    </w:p>
    <w:p>
      <w:pPr>
        <w:pStyle w:val="TOC4"/>
        <w:tabs>
          <w:tab w:val="right" w:pos="7077"/>
        </w:tabs>
        <w:rPr>
          <w:rFonts w:asciiTheme="minorHAnsi" w:eastAsiaTheme="minorEastAsia" w:hAnsiTheme="minorHAnsi" w:cstheme="minorBidi"/>
          <w:b w:val="0"/>
          <w:szCs w:val="22"/>
        </w:rPr>
      </w:pPr>
      <w:r>
        <w:t>Part 2 — Medical procedures</w:t>
      </w:r>
    </w:p>
    <w:p>
      <w:pPr>
        <w:pStyle w:val="TOC4"/>
        <w:tabs>
          <w:tab w:val="right" w:pos="7077"/>
        </w:tabs>
        <w:rPr>
          <w:rFonts w:asciiTheme="minorHAnsi" w:eastAsiaTheme="minorEastAsia" w:hAnsiTheme="minorHAnsi" w:cstheme="minorBidi"/>
          <w:b w:val="0"/>
          <w:szCs w:val="22"/>
        </w:rPr>
      </w:pPr>
      <w:r>
        <w:t>Part 3 — Diagnostic Imaging Services</w:t>
      </w:r>
    </w:p>
    <w:p>
      <w:pPr>
        <w:pStyle w:val="TOC2"/>
        <w:tabs>
          <w:tab w:val="right" w:pos="7077"/>
        </w:tabs>
        <w:rPr>
          <w:rFonts w:asciiTheme="minorHAnsi" w:eastAsiaTheme="minorEastAsia" w:hAnsiTheme="minorHAnsi" w:cstheme="minorBidi"/>
          <w:b w:val="0"/>
          <w:sz w:val="22"/>
          <w:szCs w:val="22"/>
        </w:rPr>
      </w:pPr>
      <w:r>
        <w:t>Schedule 2 — Scale of fees: physiotherapists</w:t>
      </w:r>
    </w:p>
    <w:p>
      <w:pPr>
        <w:pStyle w:val="TOC4"/>
        <w:tabs>
          <w:tab w:val="right" w:pos="7077"/>
        </w:tabs>
        <w:rPr>
          <w:rFonts w:asciiTheme="minorHAnsi" w:eastAsiaTheme="minorEastAsia" w:hAnsiTheme="minorHAnsi" w:cstheme="minorBidi"/>
          <w:b w:val="0"/>
          <w:szCs w:val="22"/>
        </w:rPr>
      </w:pPr>
      <w:r>
        <w:t>Part 1 — General</w:t>
      </w:r>
    </w:p>
    <w:p>
      <w:pPr>
        <w:pStyle w:val="TOC4"/>
        <w:tabs>
          <w:tab w:val="right" w:pos="7077"/>
        </w:tabs>
        <w:rPr>
          <w:rFonts w:asciiTheme="minorHAnsi" w:eastAsiaTheme="minorEastAsia" w:hAnsiTheme="minorHAnsi" w:cstheme="minorBidi"/>
          <w:b w:val="0"/>
          <w:szCs w:val="22"/>
        </w:rPr>
      </w:pPr>
      <w:r>
        <w:t>Part 2 — Exercise based programs</w:t>
      </w:r>
    </w:p>
    <w:p>
      <w:pPr>
        <w:pStyle w:val="TOC2"/>
        <w:tabs>
          <w:tab w:val="right" w:pos="7077"/>
        </w:tabs>
        <w:rPr>
          <w:rFonts w:asciiTheme="minorHAnsi" w:eastAsiaTheme="minorEastAsia" w:hAnsiTheme="minorHAnsi" w:cstheme="minorBidi"/>
          <w:b w:val="0"/>
          <w:sz w:val="22"/>
          <w:szCs w:val="22"/>
        </w:rPr>
      </w:pPr>
      <w:r>
        <w:t>Schedule 3 — Scale of fees: chiropractors</w:t>
      </w:r>
    </w:p>
    <w:p>
      <w:pPr>
        <w:pStyle w:val="TOC2"/>
        <w:tabs>
          <w:tab w:val="right" w:pos="7077"/>
        </w:tabs>
        <w:rPr>
          <w:rFonts w:asciiTheme="minorHAnsi" w:eastAsiaTheme="minorEastAsia" w:hAnsiTheme="minorHAnsi" w:cstheme="minorBidi"/>
          <w:b w:val="0"/>
          <w:sz w:val="22"/>
          <w:szCs w:val="22"/>
        </w:rPr>
      </w:pPr>
      <w:r>
        <w:t>Schedule 4 — Scale of fees: occupational therapists</w:t>
      </w:r>
    </w:p>
    <w:p>
      <w:pPr>
        <w:pStyle w:val="TOC2"/>
        <w:tabs>
          <w:tab w:val="right" w:pos="7077"/>
        </w:tabs>
        <w:rPr>
          <w:rFonts w:asciiTheme="minorHAnsi" w:eastAsiaTheme="minorEastAsia" w:hAnsiTheme="minorHAnsi" w:cstheme="minorBidi"/>
          <w:b w:val="0"/>
          <w:sz w:val="22"/>
          <w:szCs w:val="22"/>
        </w:rPr>
      </w:pPr>
      <w:r>
        <w:t>Schedule 5 — Scale of fees: speech pathologists</w:t>
      </w:r>
    </w:p>
    <w:p>
      <w:pPr>
        <w:pStyle w:val="TOC2"/>
        <w:tabs>
          <w:tab w:val="right" w:pos="7077"/>
        </w:tabs>
        <w:rPr>
          <w:rFonts w:asciiTheme="minorHAnsi" w:eastAsiaTheme="minorEastAsia" w:hAnsiTheme="minorHAnsi" w:cstheme="minorBidi"/>
          <w:b w:val="0"/>
          <w:sz w:val="22"/>
          <w:szCs w:val="22"/>
        </w:rPr>
      </w:pPr>
      <w:r>
        <w:t>Schedule 5A — Scale of fees: exercise physiologists</w:t>
      </w:r>
    </w:p>
    <w:p>
      <w:pPr>
        <w:pStyle w:val="TOC4"/>
        <w:tabs>
          <w:tab w:val="right" w:pos="7077"/>
        </w:tabs>
        <w:rPr>
          <w:rFonts w:asciiTheme="minorHAnsi" w:eastAsiaTheme="minorEastAsia" w:hAnsiTheme="minorHAnsi" w:cstheme="minorBidi"/>
          <w:b w:val="0"/>
          <w:szCs w:val="22"/>
        </w:rPr>
      </w:pPr>
      <w:r>
        <w:t>Exercise</w:t>
      </w:r>
      <w:r>
        <w:noBreakHyphen/>
        <w:t>based programs</w:t>
      </w:r>
    </w:p>
    <w:p>
      <w:pPr>
        <w:pStyle w:val="TOC2"/>
        <w:tabs>
          <w:tab w:val="righ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pos="7077"/>
        </w:tabs>
        <w:rPr>
          <w:rFonts w:asciiTheme="minorHAnsi" w:eastAsiaTheme="minorEastAsia" w:hAnsiTheme="minorHAnsi" w:cstheme="minorBidi"/>
          <w:b w:val="0"/>
          <w:szCs w:val="22"/>
        </w:rPr>
      </w:pPr>
      <w:r>
        <w:t>Part 1 — Assessments</w:t>
      </w:r>
    </w:p>
    <w:p>
      <w:pPr>
        <w:pStyle w:val="TOC4"/>
        <w:tabs>
          <w:tab w:val="right" w:pos="7077"/>
        </w:tabs>
        <w:rPr>
          <w:rFonts w:asciiTheme="minorHAnsi" w:eastAsiaTheme="minorEastAsia" w:hAnsiTheme="minorHAnsi" w:cstheme="minorBidi"/>
          <w:b w:val="0"/>
          <w:szCs w:val="22"/>
        </w:rPr>
      </w:pPr>
      <w:r>
        <w:t>Part 2 — Attempted assessments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_Toc200096584 \h </w:instrText>
      </w:r>
      <w:r>
        <w:fldChar w:fldCharType="separate"/>
      </w:r>
      <w:r>
        <w:t>81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_Toc200096585 \h </w:instrText>
      </w:r>
      <w:r>
        <w:fldChar w:fldCharType="separate"/>
      </w:r>
      <w:r>
        <w:t>85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_Toc200096586 \h </w:instrText>
      </w:r>
      <w:r>
        <w:fldChar w:fldCharType="separate"/>
      </w:r>
      <w:r>
        <w:t>85</w:t>
      </w:r>
      <w:r>
        <w:fldChar w:fldCharType="end"/>
      </w:r>
    </w:p>
    <w:p>
      <w:pPr>
        <w:pStyle w:val="TOC2"/>
        <w:tabs>
          <w:tab w:val="righ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2" w:name="_Toc200096552"/>
      <w:r>
        <w:rPr>
          <w:rStyle w:val="CharSectno"/>
        </w:rPr>
        <w:t>1</w:t>
      </w:r>
      <w:r>
        <w:rPr>
          <w:snapToGrid w:val="0"/>
        </w:rPr>
        <w:t>.</w:t>
      </w:r>
      <w:r>
        <w:rPr>
          <w:snapToGrid w:val="0"/>
        </w:rPr>
        <w:tab/>
        <w:t>Citation</w:t>
      </w:r>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200096553"/>
      <w:r>
        <w:rPr>
          <w:rStyle w:val="CharSectno"/>
        </w:rPr>
        <w:t>2</w:t>
      </w:r>
      <w:r>
        <w:rPr>
          <w:snapToGrid w:val="0"/>
        </w:rPr>
        <w:t>.</w:t>
      </w:r>
      <w:r>
        <w:rPr>
          <w:snapToGrid w:val="0"/>
        </w:rPr>
        <w:tab/>
        <w:t>Scales of fees — medical specialists and other medical practitioners</w:t>
      </w:r>
      <w:bookmarkEnd w:id="3"/>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2022.</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w:t>
      </w:r>
    </w:p>
    <w:p>
      <w:pPr>
        <w:pStyle w:val="Heading5"/>
        <w:rPr>
          <w:snapToGrid w:val="0"/>
        </w:rPr>
      </w:pPr>
      <w:bookmarkStart w:id="4" w:name="_Toc200096554"/>
      <w:r>
        <w:rPr>
          <w:rStyle w:val="CharSectno"/>
        </w:rPr>
        <w:lastRenderedPageBreak/>
        <w:t>3</w:t>
      </w:r>
      <w:r>
        <w:rPr>
          <w:snapToGrid w:val="0"/>
        </w:rPr>
        <w:t>.</w:t>
      </w:r>
      <w:r>
        <w:rPr>
          <w:snapToGrid w:val="0"/>
        </w:rPr>
        <w:tab/>
        <w:t>Scale of fees — physiotherapists</w:t>
      </w:r>
      <w:bookmarkEnd w:id="4"/>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5" w:name="_Toc200096555"/>
      <w:r>
        <w:rPr>
          <w:rStyle w:val="CharSectno"/>
        </w:rPr>
        <w:t>4</w:t>
      </w:r>
      <w:r>
        <w:rPr>
          <w:snapToGrid w:val="0"/>
        </w:rPr>
        <w:t>.</w:t>
      </w:r>
      <w:r>
        <w:rPr>
          <w:snapToGrid w:val="0"/>
        </w:rPr>
        <w:tab/>
        <w:t>Scale of fees — chiropractors</w:t>
      </w:r>
      <w:bookmarkEnd w:id="5"/>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6" w:name="_Toc200096556"/>
      <w:r>
        <w:rPr>
          <w:rStyle w:val="CharSectno"/>
        </w:rPr>
        <w:t>5</w:t>
      </w:r>
      <w:r>
        <w:rPr>
          <w:snapToGrid w:val="0"/>
        </w:rPr>
        <w:t>.</w:t>
      </w:r>
      <w:r>
        <w:rPr>
          <w:snapToGrid w:val="0"/>
        </w:rPr>
        <w:tab/>
        <w:t>Scale of fees — occupational therapists</w:t>
      </w:r>
      <w:bookmarkEnd w:id="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7" w:name="_Toc200096557"/>
      <w:r>
        <w:rPr>
          <w:rStyle w:val="CharSectno"/>
        </w:rPr>
        <w:t>6</w:t>
      </w:r>
      <w:r>
        <w:t>.</w:t>
      </w:r>
      <w:r>
        <w:tab/>
        <w:t>Scale of fees — clinical psychologists</w:t>
      </w:r>
      <w:bookmarkEnd w:id="7"/>
    </w:p>
    <w:p>
      <w:pPr>
        <w:pStyle w:val="Subsection"/>
      </w:pPr>
      <w:r>
        <w:tab/>
        <w:t>(1)</w:t>
      </w:r>
      <w:r>
        <w:tab/>
        <w:t>Under section 292(2)(a)(vi) of the Act, the hourly rate of $268.25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w:t>
      </w:r>
    </w:p>
    <w:p>
      <w:pPr>
        <w:pStyle w:val="Heading5"/>
      </w:pPr>
      <w:bookmarkStart w:id="8" w:name="_Toc200096558"/>
      <w:r>
        <w:rPr>
          <w:rStyle w:val="CharSectno"/>
        </w:rPr>
        <w:t>6A</w:t>
      </w:r>
      <w:r>
        <w:t>.</w:t>
      </w:r>
      <w:r>
        <w:tab/>
        <w:t>Scale of fees — counselling psychology</w:t>
      </w:r>
      <w:bookmarkEnd w:id="8"/>
    </w:p>
    <w:p>
      <w:pPr>
        <w:pStyle w:val="Subsection"/>
      </w:pPr>
      <w:r>
        <w:tab/>
      </w:r>
      <w:r>
        <w:tab/>
        <w:t>Under section 292(2)(a)(viii) of the Act, the hourly rate of $268.25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rPr>
          <w:snapToGrid w:val="0"/>
        </w:rPr>
      </w:pPr>
      <w:bookmarkStart w:id="9" w:name="_Toc200096559"/>
      <w:r>
        <w:rPr>
          <w:rStyle w:val="CharSectno"/>
        </w:rPr>
        <w:t>7</w:t>
      </w:r>
      <w:r>
        <w:rPr>
          <w:snapToGrid w:val="0"/>
        </w:rPr>
        <w:t>.</w:t>
      </w:r>
      <w:r>
        <w:rPr>
          <w:snapToGrid w:val="0"/>
        </w:rPr>
        <w:tab/>
        <w:t>Scale of fees — speech pathologists</w:t>
      </w:r>
      <w:bookmarkEnd w:id="9"/>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0" w:name="_Toc200096560"/>
      <w:r>
        <w:rPr>
          <w:rStyle w:val="CharSectno"/>
        </w:rPr>
        <w:lastRenderedPageBreak/>
        <w:t>7A</w:t>
      </w:r>
      <w:r>
        <w:t>.</w:t>
      </w:r>
      <w:r>
        <w:tab/>
        <w:t>Scale of fees — osteopaths</w:t>
      </w:r>
      <w:bookmarkEnd w:id="10"/>
    </w:p>
    <w:p>
      <w:pPr>
        <w:pStyle w:val="Subsection"/>
      </w:pPr>
      <w:r>
        <w:tab/>
      </w:r>
      <w:r>
        <w:tab/>
        <w:t xml:space="preserve">Under section 292(2)(a)(viii) of the Act, the amount of $84.80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1" w:name="_Toc200096561"/>
      <w:r>
        <w:rPr>
          <w:rStyle w:val="CharSectno"/>
        </w:rPr>
        <w:t>7B</w:t>
      </w:r>
      <w:r>
        <w:t>.</w:t>
      </w:r>
      <w:r>
        <w:tab/>
        <w:t>Scale of fees — exercise physiologists</w:t>
      </w:r>
      <w:bookmarkEnd w:id="1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2" w:name="_Toc200096562"/>
      <w:r>
        <w:rPr>
          <w:rStyle w:val="CharSectno"/>
        </w:rPr>
        <w:t>7C</w:t>
      </w:r>
      <w:r>
        <w:t>.</w:t>
      </w:r>
      <w:r>
        <w:tab/>
        <w:t>Scale of fees — acupuncturists</w:t>
      </w:r>
      <w:bookmarkEnd w:id="1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 xml:space="preserve">Under section 292(2)(a)(viii) of the Act, the fixed fee of $82.80 for each consultation is prescribed as the fee to be paid to an </w:t>
      </w:r>
      <w:r>
        <w:lastRenderedPageBreak/>
        <w:t xml:space="preserve">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w:t>
      </w:r>
    </w:p>
    <w:p>
      <w:pPr>
        <w:pStyle w:val="Heading5"/>
        <w:rPr>
          <w:snapToGrid w:val="0"/>
        </w:rPr>
      </w:pPr>
      <w:bookmarkStart w:id="13" w:name="_Toc200096563"/>
      <w:r>
        <w:rPr>
          <w:rStyle w:val="CharSectno"/>
        </w:rPr>
        <w:t>8</w:t>
      </w:r>
      <w:r>
        <w:rPr>
          <w:snapToGrid w:val="0"/>
        </w:rPr>
        <w:t>.</w:t>
      </w:r>
      <w:r>
        <w:rPr>
          <w:snapToGrid w:val="0"/>
        </w:rPr>
        <w:tab/>
        <w:t>Scale of fees — vocational rehabilitation providers</w:t>
      </w:r>
      <w:bookmarkEnd w:id="1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4" w:name="_Toc200096564"/>
      <w:r>
        <w:rPr>
          <w:rStyle w:val="CharSectno"/>
        </w:rPr>
        <w:t>9</w:t>
      </w:r>
      <w:r>
        <w:t>.</w:t>
      </w:r>
      <w:r>
        <w:tab/>
        <w:t>Scale of maximum fees — approved medical specialists</w:t>
      </w:r>
      <w:bookmarkEnd w:id="1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lastRenderedPageBreak/>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5" w:name="_Toc200096565"/>
      <w:r>
        <w:rPr>
          <w:rStyle w:val="CharSectno"/>
        </w:rPr>
        <w:t>10</w:t>
      </w:r>
      <w:r>
        <w:t>.</w:t>
      </w:r>
      <w:r>
        <w:tab/>
        <w:t>Effect of GST</w:t>
      </w:r>
      <w:bookmarkEnd w:id="15"/>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 w:name="_Toc200096566"/>
      <w:r>
        <w:rPr>
          <w:rStyle w:val="CharSchNo"/>
        </w:rPr>
        <w:lastRenderedPageBreak/>
        <w:t>Schedule 1</w:t>
      </w:r>
      <w:r>
        <w:t> — </w:t>
      </w:r>
      <w:r>
        <w:rPr>
          <w:rStyle w:val="CharSchText"/>
        </w:rPr>
        <w:t>Scale of fees: medical specialists and other medical practitioners</w:t>
      </w:r>
      <w:bookmarkEnd w:id="16"/>
    </w:p>
    <w:p>
      <w:pPr>
        <w:pStyle w:val="yShoulderClause"/>
      </w:pPr>
      <w:r>
        <w:t>[r. 2]</w:t>
      </w:r>
    </w:p>
    <w:p>
      <w:pPr>
        <w:pStyle w:val="yFootnoteheading"/>
      </w:pPr>
      <w:r>
        <w:tab/>
        <w:t>[Heading inserted: SL 2022/164 r. 6.]</w:t>
      </w:r>
    </w:p>
    <w:p>
      <w:pPr>
        <w:pStyle w:val="yHeading3"/>
      </w:pPr>
      <w:bookmarkStart w:id="17" w:name="_Toc200096567"/>
      <w:r>
        <w:rPr>
          <w:rStyle w:val="CharSDivNo"/>
        </w:rPr>
        <w:t>Part 1</w:t>
      </w:r>
      <w:r>
        <w:t> — </w:t>
      </w:r>
      <w:r>
        <w:rPr>
          <w:rStyle w:val="CharSDivText"/>
        </w:rPr>
        <w:t>Medical specialists and other medical practitioners</w:t>
      </w:r>
      <w:bookmarkEnd w:id="17"/>
    </w:p>
    <w:p>
      <w:pPr>
        <w:pStyle w:val="yFootnoteheading"/>
      </w:pPr>
      <w:r>
        <w:tab/>
        <w:t>[Heading inserted: SL 2022/164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$83.45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$152.35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$234.00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$49.75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$64.80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$189.30</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$256.50</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$62.65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$227.80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$352.70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$99.10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$107.50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$166.55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$227.80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$104.35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$142.60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$211.60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$294.90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$125.10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$186.05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$285.45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$416.85</w:t>
            </w:r>
          </w:p>
        </w:tc>
      </w:tr>
    </w:tbl>
    <w:p>
      <w:pPr>
        <w:pStyle w:val="yMiscellaneousHeading"/>
        <w:keepNext w:val="0"/>
        <w:jc w:val="left"/>
      </w:pPr>
      <w:r>
        <w:lastRenderedPageBreak/>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$313.65</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$316.65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$158.35</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$218.65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$316.65</w:t>
            </w:r>
          </w:p>
        </w:tc>
      </w:tr>
      <w:t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lastRenderedPageBreak/>
              <w:t>first attendance</w:t>
            </w:r>
          </w:p>
        </w:tc>
        <w:tc>
          <w:tcPr>
            <w:tcW w:w="1134" w:type="dxa"/>
            <w:noWrap/>
            <w:vAlign w:val="bottom"/>
          </w:tcPr>
          <w:p>
            <w:pPr>
              <w:pStyle w:val="yTableNAm"/>
              <w:jc w:val="right"/>
            </w:pPr>
            <w: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$321.75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$379.00</w:t>
            </w:r>
          </w:p>
        </w:tc>
      </w:tr>
      <w:t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t>$107.05</w:t>
            </w:r>
          </w:p>
        </w:tc>
      </w:tr>
      <w:tr>
        <w:tc>
          <w:tcPr>
            <w:tcW w:w="5245" w:type="dxa"/>
            <w:noWrap/>
          </w:tcPr>
          <w:p>
            <w:pPr>
              <w:pStyle w:val="yTableNAm"/>
            </w:pPr>
            <w:r>
              <w:tab/>
              <w:t>more than 30 minutes</w:t>
            </w:r>
          </w:p>
        </w:tc>
        <w:tc>
          <w:tcPr>
            <w:tcW w:w="1134" w:type="dxa"/>
            <w:noWrap/>
            <w:vAlign w:val="bottom"/>
          </w:tcPr>
          <w:p>
            <w:pPr>
              <w:pStyle w:val="yTableNAm"/>
              <w:jc w:val="right"/>
            </w:pPr>
            <w: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jc w:val="left"/>
        <w:rPr>
          <w:b/>
          <w:i/>
        </w:rPr>
      </w:pPr>
      <w:r>
        <w:rPr>
          <w:b/>
          <w:i/>
        </w:rPr>
        <w:lastRenderedPageBreak/>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$92.90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$185.25</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$277.45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$371.25</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$420.10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$468.85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$246.15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$335.95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$429.75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$517.95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$123.30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$268.90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lastRenderedPageBreak/>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$154.70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$242.20</w:t>
            </w:r>
          </w:p>
        </w:tc>
      </w:tr>
      <w:tr>
        <w:trPr>
          <w:cantSplit/>
        </w:trPr>
        <w:tc>
          <w:tcPr>
            <w:tcW w:w="5245" w:type="dxa"/>
            <w:noWrap/>
          </w:tcPr>
          <w:p>
            <w:pPr>
              <w:pStyle w:val="yTableNAm"/>
            </w:pPr>
            <w:r>
              <w:lastRenderedPageBreak/>
              <w:t>subsequent attendances</w:t>
            </w:r>
          </w:p>
        </w:tc>
        <w:tc>
          <w:tcPr>
            <w:tcW w:w="1134" w:type="dxa"/>
            <w:noWrap/>
            <w:vAlign w:val="bottom"/>
          </w:tcPr>
          <w:p>
            <w:pPr>
              <w:pStyle w:val="yTableNAm"/>
              <w:jc w:val="right"/>
            </w:pPr>
            <w:r>
              <w:rPr>
                <w:szCs w:val="22"/>
              </w:rPr>
              <w:t>$154.35</w:t>
            </w:r>
          </w:p>
        </w:tc>
      </w:tr>
    </w:tbl>
    <w:p>
      <w:pPr>
        <w:pStyle w:val="yMiscellaneousHeading"/>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$107.05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$93.60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lastRenderedPageBreak/>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lastRenderedPageBreak/>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lastRenderedPageBreak/>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18" w:name="_Toc200096568"/>
      <w:r>
        <w:t>Division 1 — Procedures</w:t>
      </w:r>
      <w:bookmarkEnd w:id="18"/>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lastRenderedPageBreak/>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lastRenderedPageBreak/>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lastRenderedPageBreak/>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lastRenderedPageBreak/>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lastRenderedPageBreak/>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lastRenderedPageBreak/>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lastRenderedPageBreak/>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lastRenderedPageBreak/>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lastRenderedPageBreak/>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lastRenderedPageBreak/>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lastRenderedPageBreak/>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lastRenderedPageBreak/>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lastRenderedPageBreak/>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lastRenderedPageBreak/>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lastRenderedPageBreak/>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19" w:name="_Toc200096569"/>
      <w:r>
        <w:t>Division 2 — Therapeutic and diagnostic services</w:t>
      </w:r>
      <w:bookmarkEnd w:id="19"/>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lastRenderedPageBreak/>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lastRenderedPageBreak/>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lastRenderedPageBreak/>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lastRenderedPageBreak/>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lastRenderedPageBreak/>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r>
        <w:tab/>
        <w:t>[Part 1 inserted: SL 2022/164 r. 6.]</w:t>
      </w:r>
    </w:p>
    <w:p>
      <w:pPr>
        <w:pStyle w:val="yHeading3"/>
      </w:pPr>
      <w:bookmarkStart w:id="20" w:name="_Toc200096570"/>
      <w:r>
        <w:rPr>
          <w:rStyle w:val="CharSDivNo"/>
        </w:rPr>
        <w:t>Part 2</w:t>
      </w:r>
      <w:r>
        <w:t> — </w:t>
      </w:r>
      <w:r>
        <w:rPr>
          <w:rStyle w:val="CharSDivText"/>
        </w:rPr>
        <w:t>Medical procedures</w:t>
      </w:r>
      <w:bookmarkEnd w:id="20"/>
    </w:p>
    <w:p>
      <w:pPr>
        <w:pStyle w:val="yFootnoteheading"/>
        <w:keepNext/>
      </w:pPr>
      <w:r>
        <w:tab/>
        <w:t>[Heading inserted: SL 2022/164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$69.55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Extensive burns</w:t>
            </w:r>
          </w:p>
        </w:tc>
        <w:tc>
          <w:tcPr>
            <w:tcW w:w="1134" w:type="dxa"/>
            <w:noWrap/>
            <w:vAlign w:val="bottom"/>
          </w:tcPr>
          <w:p>
            <w:pPr>
              <w:pStyle w:val="yTableNAm"/>
              <w:jc w:val="right"/>
            </w:pPr>
            <w:r>
              <w:t>$120.05</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$418.45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$92.25</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lastRenderedPageBreak/>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$494.55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$158.10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$177.80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$637.45</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$315.60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$213.05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$239.50</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$319.60</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$58.00</w:t>
            </w:r>
          </w:p>
        </w:tc>
      </w:tr>
      <w:tr>
        <w:trPr>
          <w:cantSplit/>
        </w:trPr>
        <w:tc>
          <w:tcPr>
            <w:tcW w:w="5670" w:type="dxa"/>
            <w:noWrap/>
          </w:tcPr>
          <w:p>
            <w:pPr>
              <w:pStyle w:val="yTableNAm"/>
            </w:pPr>
            <w:r>
              <w:tab/>
              <w:t>superficial</w:t>
            </w:r>
          </w:p>
        </w:tc>
        <w:tc>
          <w:tcPr>
            <w:tcW w:w="1134" w:type="dxa"/>
            <w:noWrap/>
            <w:vAlign w:val="bottom"/>
          </w:tcPr>
          <w:p>
            <w:pPr>
              <w:pStyle w:val="yTableNAm"/>
              <w:jc w:val="right"/>
            </w:pPr>
            <w:r>
              <w:t>$258.70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$722.90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$186.40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$186.40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$190.30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lastRenderedPageBreak/>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$1 065.20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$475.45</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$665.65</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$266.35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$532.40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$1 065.20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$121.80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$960.65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$1 597.75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$2 139.95</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$190.30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$494.55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$144.60</w:t>
            </w:r>
          </w:p>
        </w:tc>
      </w:tr>
      <w:tr>
        <w:trPr>
          <w:cantSplit/>
        </w:trPr>
        <w:tc>
          <w:tcPr>
            <w:tcW w:w="5670" w:type="dxa"/>
            <w:noWrap/>
          </w:tcPr>
          <w:p>
            <w:pPr>
              <w:pStyle w:val="yTableNAm"/>
            </w:pPr>
            <w:r>
              <w:lastRenderedPageBreak/>
              <w:tab/>
              <w:t>except face or neck, less than 7 cm, deep</w:t>
            </w:r>
          </w:p>
        </w:tc>
        <w:tc>
          <w:tcPr>
            <w:tcW w:w="1134" w:type="dxa"/>
            <w:noWrap/>
            <w:vAlign w:val="bottom"/>
          </w:tcPr>
          <w:p>
            <w:pPr>
              <w:pStyle w:val="yTableNAm"/>
              <w:jc w:val="right"/>
            </w:pPr>
            <w:r>
              <w:t>$216.85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$475.45</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$722.90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$836.95</w:t>
            </w:r>
          </w:p>
        </w:tc>
      </w:tr>
      <w:tr>
        <w:trPr>
          <w:cantSplit/>
        </w:trPr>
        <w:tc>
          <w:tcPr>
            <w:tcW w:w="5670" w:type="dxa"/>
            <w:noWrap/>
          </w:tcPr>
          <w:p>
            <w:pPr>
              <w:pStyle w:val="yTableNAm"/>
            </w:pPr>
            <w:r>
              <w:t>At shoulder</w:t>
            </w:r>
          </w:p>
        </w:tc>
        <w:tc>
          <w:tcPr>
            <w:tcW w:w="1134" w:type="dxa"/>
            <w:noWrap/>
            <w:vAlign w:val="bottom"/>
          </w:tcPr>
          <w:p>
            <w:pPr>
              <w:pStyle w:val="yTableNAm"/>
              <w:jc w:val="right"/>
            </w:pPr>
            <w:r>
              <w:t>$1 416.95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$2 815.05</w:t>
            </w:r>
          </w:p>
        </w:tc>
      </w:tr>
      <w:tr>
        <w:trPr>
          <w:cantSplit/>
        </w:trPr>
        <w:tc>
          <w:tcPr>
            <w:tcW w:w="5670" w:type="dxa"/>
            <w:noWrap/>
          </w:tcPr>
          <w:p>
            <w:pPr>
              <w:pStyle w:val="yTableNAm"/>
            </w:pPr>
            <w:r>
              <w:t>1 digit of foot</w:t>
            </w:r>
          </w:p>
        </w:tc>
        <w:tc>
          <w:tcPr>
            <w:tcW w:w="1134" w:type="dxa"/>
            <w:noWrap/>
            <w:vAlign w:val="bottom"/>
          </w:tcPr>
          <w:p>
            <w:pPr>
              <w:pStyle w:val="yTableNAm"/>
              <w:jc w:val="right"/>
            </w:pPr>
            <w:r>
              <w:t>$380.35</w:t>
            </w:r>
          </w:p>
        </w:tc>
      </w:tr>
      <w:tr>
        <w:trPr>
          <w:cantSplit/>
        </w:trPr>
        <w:tc>
          <w:tcPr>
            <w:tcW w:w="5670" w:type="dxa"/>
            <w:noWrap/>
          </w:tcPr>
          <w:p>
            <w:pPr>
              <w:pStyle w:val="yTableNAm"/>
            </w:pPr>
            <w:r>
              <w:t>2 digits of 1 foot</w:t>
            </w:r>
          </w:p>
        </w:tc>
        <w:tc>
          <w:tcPr>
            <w:tcW w:w="1134" w:type="dxa"/>
            <w:noWrap/>
            <w:vAlign w:val="bottom"/>
          </w:tcPr>
          <w:p>
            <w:pPr>
              <w:pStyle w:val="yTableNAm"/>
              <w:jc w:val="right"/>
            </w:pPr>
            <w:r>
              <w:t>$570.75</w:t>
            </w:r>
          </w:p>
        </w:tc>
      </w:tr>
      <w:tr>
        <w:trPr>
          <w:cantSplit/>
        </w:trPr>
        <w:tc>
          <w:tcPr>
            <w:tcW w:w="5670" w:type="dxa"/>
            <w:noWrap/>
          </w:tcPr>
          <w:p>
            <w:pPr>
              <w:pStyle w:val="yTableNAm"/>
            </w:pPr>
            <w:r>
              <w:t>3 digits of 1 foot</w:t>
            </w:r>
          </w:p>
        </w:tc>
        <w:tc>
          <w:tcPr>
            <w:tcW w:w="1134" w:type="dxa"/>
            <w:noWrap/>
            <w:vAlign w:val="bottom"/>
          </w:tcPr>
          <w:p>
            <w:pPr>
              <w:pStyle w:val="yTableNAm"/>
              <w:jc w:val="right"/>
            </w:pPr>
            <w:r>
              <w:t>$770.40</w:t>
            </w:r>
          </w:p>
        </w:tc>
      </w:tr>
      <w:tr>
        <w:trPr>
          <w:cantSplit/>
        </w:trPr>
        <w:tc>
          <w:tcPr>
            <w:tcW w:w="5670" w:type="dxa"/>
            <w:noWrap/>
          </w:tcPr>
          <w:p>
            <w:pPr>
              <w:pStyle w:val="yTableNAm"/>
            </w:pPr>
            <w:r>
              <w:t>4 digits of 1 foot</w:t>
            </w:r>
          </w:p>
        </w:tc>
        <w:tc>
          <w:tcPr>
            <w:tcW w:w="1134" w:type="dxa"/>
            <w:noWrap/>
            <w:vAlign w:val="bottom"/>
          </w:tcPr>
          <w:p>
            <w:pPr>
              <w:pStyle w:val="yTableNAm"/>
              <w:jc w:val="right"/>
            </w:pPr>
            <w:r>
              <w:t>$960.65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$1 150.75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$722.90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$1 236.50</w:t>
            </w:r>
          </w:p>
        </w:tc>
      </w:tr>
      <w:tr>
        <w:trPr>
          <w:cantSplit/>
        </w:trPr>
        <w:tc>
          <w:tcPr>
            <w:tcW w:w="5670" w:type="dxa"/>
            <w:noWrap/>
          </w:tcPr>
          <w:p>
            <w:pPr>
              <w:pStyle w:val="yTableNAm"/>
            </w:pPr>
            <w:r>
              <w:t>At hip</w:t>
            </w:r>
          </w:p>
        </w:tc>
        <w:tc>
          <w:tcPr>
            <w:tcW w:w="1134" w:type="dxa"/>
            <w:noWrap/>
            <w:vAlign w:val="bottom"/>
          </w:tcPr>
          <w:p>
            <w:pPr>
              <w:pStyle w:val="yTableNAm"/>
              <w:jc w:val="right"/>
            </w:pPr>
            <w:r>
              <w:t>$1 740.25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$239.50,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2022/164 r. 6.]</w:t>
      </w:r>
    </w:p>
    <w:p>
      <w:pPr>
        <w:pStyle w:val="yHeading3"/>
      </w:pPr>
      <w:bookmarkStart w:id="21" w:name="_Toc200096571"/>
      <w:r>
        <w:rPr>
          <w:rStyle w:val="CharSDivNo"/>
        </w:rPr>
        <w:lastRenderedPageBreak/>
        <w:t>Part 3</w:t>
      </w:r>
      <w:r>
        <w:t> — </w:t>
      </w:r>
      <w:r>
        <w:rPr>
          <w:rStyle w:val="CharSDivText"/>
        </w:rPr>
        <w:t>Diagnostic Imaging Services</w:t>
      </w:r>
      <w:bookmarkEnd w:id="21"/>
    </w:p>
    <w:p>
      <w:pPr>
        <w:pStyle w:val="yFootnoteheading"/>
        <w:keepNext/>
      </w:pPr>
      <w:r>
        <w:tab/>
        <w:t>[Heading inserted: SL 2022/164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237.55</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80.80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588.20</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363.10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55135</w:t>
            </w:r>
          </w:p>
        </w:tc>
        <w:tc>
          <w:tcPr>
            <w:tcW w:w="1134" w:type="dxa"/>
            <w:noWrap/>
            <w:vAlign w:val="bottom"/>
          </w:tcPr>
          <w:p>
            <w:pPr>
              <w:pStyle w:val="yTableNAm"/>
              <w:jc w:val="right"/>
            </w:pPr>
            <w:r>
              <w:t>755.00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237.15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55709</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58.20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271.10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121.65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186.50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326.35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55852</w:t>
            </w:r>
          </w:p>
        </w:tc>
        <w:tc>
          <w:tcPr>
            <w:tcW w:w="1134" w:type="dxa"/>
            <w:noWrap/>
            <w:vAlign w:val="bottom"/>
          </w:tcPr>
          <w:p>
            <w:pPr>
              <w:pStyle w:val="yTableNAm"/>
              <w:jc w:val="right"/>
            </w:pPr>
            <w:r>
              <w:t>233.05</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80.80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382.40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494.35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568.70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660.60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660.60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451.20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666.95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639.80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56233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240.10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578.55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784.25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396.10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755.00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915.05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1 098.30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915.25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1 113.40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304.30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921.75</w:t>
            </w:r>
          </w:p>
        </w:tc>
      </w:tr>
    </w:tbl>
    <w:p>
      <w:pPr>
        <w:pStyle w:val="yMiscellaneousBody"/>
        <w:keepNext/>
        <w:spacing w:after="60"/>
      </w:pPr>
      <w:r>
        <w:lastRenderedPageBreak/>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111.95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224.75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57933</w:t>
            </w:r>
          </w:p>
        </w:tc>
        <w:tc>
          <w:tcPr>
            <w:tcW w:w="1134" w:type="dxa"/>
            <w:noWrap/>
            <w:vAlign w:val="bottom"/>
          </w:tcPr>
          <w:p>
            <w:pPr>
              <w:pStyle w:val="yTableNAm"/>
              <w:jc w:val="right"/>
            </w:pPr>
            <w:r>
              <w:t>177.20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220.25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90.85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202.30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127.95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58700</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357.55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343.25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313.15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80.80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203.60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313.65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306.35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173.10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465.70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443.85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315.45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202.75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197.05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118.80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106.60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59712</w:t>
            </w:r>
          </w:p>
        </w:tc>
        <w:tc>
          <w:tcPr>
            <w:tcW w:w="1134" w:type="dxa"/>
            <w:noWrap/>
            <w:vAlign w:val="bottom"/>
          </w:tcPr>
          <w:p>
            <w:pPr>
              <w:pStyle w:val="yTableNAm"/>
              <w:jc w:val="right"/>
            </w:pPr>
            <w:r>
              <w:t>257.50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304.95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512.95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243.90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315.15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496.75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303.30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381.25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60042</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326.55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144.50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223.95</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586.35</w:t>
            </w:r>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61310</w:t>
            </w:r>
          </w:p>
        </w:tc>
        <w:tc>
          <w:tcPr>
            <w:tcW w:w="1154" w:type="dxa"/>
            <w:noWrap/>
            <w:vAlign w:val="bottom"/>
          </w:tcPr>
          <w:p>
            <w:pPr>
              <w:pStyle w:val="yTableNAm"/>
              <w:jc w:val="right"/>
            </w:pPr>
            <w:r>
              <w:t>640.70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529.25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732.60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397.15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773.45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685.20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703.70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804.95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3 516.30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250.10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1 001.85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1 090.05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1 199.65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580.10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751.50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715.20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1 056.25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61397</w:t>
            </w:r>
          </w:p>
        </w:tc>
        <w:tc>
          <w:tcPr>
            <w:tcW w:w="1154" w:type="dxa"/>
            <w:noWrap/>
            <w:vAlign w:val="bottom"/>
          </w:tcPr>
          <w:p>
            <w:pPr>
              <w:pStyle w:val="yTableNAm"/>
              <w:jc w:val="right"/>
            </w:pPr>
            <w:r>
              <w:t>430.55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1 055.50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1 523.90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394.10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837.00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967.80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947.20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1 150.40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1 073.50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1 173.95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1 312.45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500.25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581.95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795.75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r>
              <w:t>693.45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897.85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227.30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61473</w:t>
            </w:r>
          </w:p>
        </w:tc>
        <w:tc>
          <w:tcPr>
            <w:tcW w:w="1154" w:type="dxa"/>
            <w:noWrap/>
            <w:vAlign w:val="bottom"/>
          </w:tcPr>
          <w:p>
            <w:pPr>
              <w:pStyle w:val="yTableNAm"/>
              <w:jc w:val="right"/>
            </w:pPr>
            <w:r>
              <w:t>305.90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674.90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1 743.05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441.35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1 135.95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1 135.95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129.90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389.90</w:t>
            </w:r>
          </w:p>
        </w:tc>
      </w:tr>
    </w:tbl>
    <w:p>
      <w:pPr>
        <w:pStyle w:val="yFootnotesection"/>
      </w:pPr>
      <w:r>
        <w:tab/>
        <w:t>[Part 3 inserted: SL 2022/164 r. 6.]</w:t>
      </w:r>
    </w:p>
    <w:p>
      <w:pPr>
        <w:pStyle w:val="yScheduleHeading"/>
      </w:pPr>
      <w:bookmarkStart w:id="22" w:name="_Toc200096572"/>
      <w:r>
        <w:rPr>
          <w:rStyle w:val="CharSchNo"/>
        </w:rPr>
        <w:lastRenderedPageBreak/>
        <w:t>Schedule 2</w:t>
      </w:r>
      <w:r>
        <w:t> — </w:t>
      </w:r>
      <w:r>
        <w:rPr>
          <w:rStyle w:val="CharSchText"/>
        </w:rPr>
        <w:t>Scale of fees: physiotherapists</w:t>
      </w:r>
      <w:bookmarkEnd w:id="22"/>
    </w:p>
    <w:p>
      <w:pPr>
        <w:pStyle w:val="yShoulderClause"/>
      </w:pPr>
      <w:r>
        <w:t>[r. 3]</w:t>
      </w:r>
    </w:p>
    <w:p>
      <w:pPr>
        <w:pStyle w:val="yFootnoteheading"/>
      </w:pPr>
      <w:r>
        <w:tab/>
        <w:t>[Heading inserted: SL 2022/164 r. 6.]</w:t>
      </w:r>
    </w:p>
    <w:p>
      <w:pPr>
        <w:pStyle w:val="yHeading3"/>
      </w:pPr>
      <w:bookmarkStart w:id="23" w:name="_Toc200096573"/>
      <w:r>
        <w:rPr>
          <w:rStyle w:val="CharSDivNo"/>
        </w:rPr>
        <w:t>Part 1</w:t>
      </w:r>
      <w:r>
        <w:t> — </w:t>
      </w:r>
      <w:r>
        <w:rPr>
          <w:rStyle w:val="CharSDivText"/>
        </w:rPr>
        <w:t>General</w:t>
      </w:r>
      <w:bookmarkEnd w:id="23"/>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$92.90</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 xml:space="preserve">Provisional diagnosis; goals of treatment; treatment plan. Discussion with the patient regarding working hypothesis and treatment goals and expected outcomes; initial treatment and response; advice regarding </w:t>
            </w:r>
            <w:r>
              <w:lastRenderedPageBreak/>
              <w:t>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$94.25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$169.50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2022/164 r. 6.]</w:t>
      </w:r>
    </w:p>
    <w:p>
      <w:pPr>
        <w:pStyle w:val="yHeading3"/>
      </w:pPr>
      <w:bookmarkStart w:id="24" w:name="_Toc200096574"/>
      <w:r>
        <w:rPr>
          <w:rStyle w:val="CharSDivNo"/>
        </w:rPr>
        <w:t>Part 2</w:t>
      </w:r>
      <w:r>
        <w:t> — </w:t>
      </w:r>
      <w:r>
        <w:rPr>
          <w:rStyle w:val="CharSDivText"/>
        </w:rPr>
        <w:t>Exercise based programs</w:t>
      </w:r>
      <w:bookmarkEnd w:id="24"/>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$211.70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$211.70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$211.70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lastRenderedPageBreak/>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$211.70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$211.70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$211.70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yScheduleHeading"/>
      </w:pPr>
      <w:bookmarkStart w:id="25" w:name="_Toc200096575"/>
      <w:r>
        <w:rPr>
          <w:rStyle w:val="CharSchNo"/>
        </w:rPr>
        <w:lastRenderedPageBreak/>
        <w:t>Schedule 3</w:t>
      </w:r>
      <w:r>
        <w:rPr>
          <w:rStyle w:val="CharSDivNo"/>
        </w:rPr>
        <w:t> </w:t>
      </w:r>
      <w:r>
        <w:t>—</w:t>
      </w:r>
      <w:r>
        <w:rPr>
          <w:rStyle w:val="CharSDivText"/>
        </w:rPr>
        <w:t> </w:t>
      </w:r>
      <w:r>
        <w:rPr>
          <w:rStyle w:val="CharSchText"/>
        </w:rPr>
        <w:t>Scale of fees: chiropractors</w:t>
      </w:r>
      <w:bookmarkEnd w:id="25"/>
    </w:p>
    <w:p>
      <w:pPr>
        <w:pStyle w:val="yShoulderClause"/>
      </w:pPr>
      <w:r>
        <w:t>[r. 4]</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$73.35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$61.20</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$145.80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$218.95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2022/164 r. 6.]</w:t>
      </w:r>
    </w:p>
    <w:p>
      <w:pPr>
        <w:pStyle w:val="yScheduleHeading"/>
      </w:pPr>
      <w:bookmarkStart w:id="26" w:name="_Toc200096576"/>
      <w:r>
        <w:rPr>
          <w:rStyle w:val="CharSchNo"/>
        </w:rPr>
        <w:lastRenderedPageBreak/>
        <w:t>Schedule 4</w:t>
      </w:r>
      <w:r>
        <w:rPr>
          <w:rStyle w:val="CharSDivNo"/>
        </w:rPr>
        <w:t> </w:t>
      </w:r>
      <w:r>
        <w:t>—</w:t>
      </w:r>
      <w:r>
        <w:rPr>
          <w:rStyle w:val="CharSDivText"/>
        </w:rPr>
        <w:t> </w:t>
      </w:r>
      <w:r>
        <w:rPr>
          <w:rStyle w:val="CharSchText"/>
        </w:rPr>
        <w:t>Scale of fees: occupational therapists</w:t>
      </w:r>
      <w:bookmarkEnd w:id="26"/>
    </w:p>
    <w:p>
      <w:pPr>
        <w:pStyle w:val="yShoulderClause"/>
      </w:pPr>
      <w:r>
        <w:t>[r. 5]</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$31.55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$63.50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$104.70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$157.00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$209.55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$68.80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$209.55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$92.90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2022/164 r. 6.]</w:t>
      </w:r>
    </w:p>
    <w:p>
      <w:pPr>
        <w:pStyle w:val="yScheduleHeading"/>
      </w:pPr>
      <w:bookmarkStart w:id="27" w:name="_Toc200096577"/>
      <w:r>
        <w:rPr>
          <w:rStyle w:val="CharSchNo"/>
        </w:rPr>
        <w:lastRenderedPageBreak/>
        <w:t>Schedule 5</w:t>
      </w:r>
      <w:r>
        <w:rPr>
          <w:rStyle w:val="CharSDivNo"/>
        </w:rPr>
        <w:t> </w:t>
      </w:r>
      <w:r>
        <w:t>—</w:t>
      </w:r>
      <w:r>
        <w:rPr>
          <w:rStyle w:val="CharSDivText"/>
        </w:rPr>
        <w:t> </w:t>
      </w:r>
      <w:r>
        <w:rPr>
          <w:rStyle w:val="CharSchText"/>
        </w:rPr>
        <w:t>Scale of fees: speech pathologists</w:t>
      </w:r>
      <w:bookmarkEnd w:id="27"/>
    </w:p>
    <w:p>
      <w:pPr>
        <w:pStyle w:val="yShoulderClause"/>
      </w:pPr>
      <w:r>
        <w:t>[r. 7]</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$193.55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$250.65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$84.40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$109.65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$147.95</w:t>
            </w:r>
          </w:p>
        </w:tc>
      </w:tr>
    </w:tbl>
    <w:p>
      <w:pPr>
        <w:pStyle w:val="yFootnotesection"/>
      </w:pPr>
      <w:r>
        <w:tab/>
        <w:t>[Schedule 5 inserted: SL 2022/164 r. 6.]</w:t>
      </w:r>
    </w:p>
    <w:p>
      <w:pPr>
        <w:pStyle w:val="yScheduleHeading"/>
      </w:pPr>
      <w:bookmarkStart w:id="28" w:name="_Toc200096578"/>
      <w:r>
        <w:rPr>
          <w:rStyle w:val="CharSchNo"/>
        </w:rPr>
        <w:lastRenderedPageBreak/>
        <w:t>Schedule 5A</w:t>
      </w:r>
      <w:r>
        <w:rPr>
          <w:rStyle w:val="CharSDivNo"/>
        </w:rPr>
        <w:t> </w:t>
      </w:r>
      <w:r>
        <w:t>—</w:t>
      </w:r>
      <w:r>
        <w:rPr>
          <w:rStyle w:val="CharSDivText"/>
        </w:rPr>
        <w:t> </w:t>
      </w:r>
      <w:r>
        <w:rPr>
          <w:rStyle w:val="CharSchText"/>
        </w:rPr>
        <w:t>Scale of fees: exercise physiologists</w:t>
      </w:r>
      <w:bookmarkEnd w:id="28"/>
    </w:p>
    <w:p>
      <w:pPr>
        <w:pStyle w:val="yShoulderClause"/>
      </w:pPr>
      <w:r>
        <w:t>[r. 7B]</w:t>
      </w:r>
    </w:p>
    <w:p>
      <w:pPr>
        <w:pStyle w:val="yFootnoteheading"/>
      </w:pPr>
      <w:r>
        <w:tab/>
        <w:t>[Heading inserted: SL 2022/164 r. 6.]</w:t>
      </w:r>
    </w:p>
    <w:p>
      <w:pPr>
        <w:pStyle w:val="yHeading3"/>
      </w:pPr>
      <w:bookmarkStart w:id="29" w:name="_Toc200096579"/>
      <w:r>
        <w:t>Exercise</w:t>
      </w:r>
      <w:r>
        <w:noBreakHyphen/>
        <w:t>based programs</w:t>
      </w:r>
      <w:bookmarkEnd w:id="2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$211.70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lastRenderedPageBreak/>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$211.70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lastRenderedPageBreak/>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992" w:type="dxa"/>
            <w:tcBorders>
              <w:top w:val="single" w:sz="4" w:space="0" w:color="auto"/>
              <w:bottom w:val="single" w:sz="4" w:space="0" w:color="auto"/>
            </w:tcBorders>
            <w:noWrap/>
          </w:tcPr>
          <w:p>
            <w:pPr>
              <w:pStyle w:val="yTableNAm"/>
            </w:pPr>
            <w:r>
              <w:lastRenderedPageBreak/>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$211.70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2022/164 r. 6.]</w:t>
      </w:r>
    </w:p>
    <w:p>
      <w:pPr>
        <w:pStyle w:val="yScheduleHeading"/>
      </w:pPr>
      <w:bookmarkStart w:id="30" w:name="_Toc200096580"/>
      <w:r>
        <w:rPr>
          <w:rStyle w:val="CharSchNo"/>
        </w:rPr>
        <w:lastRenderedPageBreak/>
        <w:t>Schedule 6</w:t>
      </w:r>
      <w:r>
        <w:t> — </w:t>
      </w:r>
      <w:r>
        <w:rPr>
          <w:rStyle w:val="CharSchText"/>
        </w:rPr>
        <w:t>Scale of maximum fees: approved medical specialists</w:t>
      </w:r>
      <w:bookmarkEnd w:id="30"/>
    </w:p>
    <w:p>
      <w:pPr>
        <w:pStyle w:val="yShoulderClause"/>
      </w:pPr>
      <w:r>
        <w:t>[r. 9]</w:t>
      </w:r>
    </w:p>
    <w:p>
      <w:pPr>
        <w:pStyle w:val="yFootnoteheading"/>
      </w:pPr>
      <w:r>
        <w:tab/>
        <w:t>[Heading inserted: SL 2022/164 r. 6.]</w:t>
      </w:r>
    </w:p>
    <w:p>
      <w:pPr>
        <w:pStyle w:val="yHeading3"/>
      </w:pPr>
      <w:bookmarkStart w:id="31" w:name="_Toc200096581"/>
      <w:r>
        <w:rPr>
          <w:rStyle w:val="CharSDivNo"/>
        </w:rPr>
        <w:t>Part 1</w:t>
      </w:r>
      <w:r>
        <w:t> — </w:t>
      </w:r>
      <w:r>
        <w:rPr>
          <w:rStyle w:val="CharSDivText"/>
        </w:rPr>
        <w:t>Assessments</w:t>
      </w:r>
      <w:bookmarkEnd w:id="31"/>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$1 785.30 (or, if an interpreter is present at the examination, $2 142.35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$3 570.30 (or, if an interpreter is present at the examination, $3 927.30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$714.05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$1 071.10 (or, if an interpreter is present at the examination, $1 428.25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$357.10</w:t>
            </w:r>
          </w:p>
        </w:tc>
      </w:tr>
    </w:tbl>
    <w:p>
      <w:pPr>
        <w:pStyle w:val="yFootnotesection"/>
      </w:pPr>
      <w:r>
        <w:tab/>
        <w:t>[Part 1 inserted: SL 2022/164 r. 6.]</w:t>
      </w:r>
    </w:p>
    <w:p>
      <w:pPr>
        <w:pStyle w:val="yHeading3"/>
      </w:pPr>
      <w:bookmarkStart w:id="32" w:name="_Toc200096582"/>
      <w:r>
        <w:rPr>
          <w:rStyle w:val="CharSDivNo"/>
        </w:rPr>
        <w:t>Part 2</w:t>
      </w:r>
      <w:r>
        <w:t> — </w:t>
      </w:r>
      <w:r>
        <w:rPr>
          <w:rStyle w:val="CharSDivText"/>
        </w:rPr>
        <w:t>Attempted assessments</w:t>
      </w:r>
      <w:bookmarkEnd w:id="32"/>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$714.05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4" w:name="_Toc200096583"/>
      <w:r>
        <w:lastRenderedPageBreak/>
        <w:t>Notes</w:t>
      </w:r>
      <w:bookmarkEnd w:id="34"/>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5" w:name="_Toc200096584"/>
      <w:r>
        <w:t>Compilation table</w:t>
      </w:r>
      <w:bookmarkEnd w:id="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single" w:sz="4" w:space="0" w:color="auto"/>
            </w:tcBorders>
          </w:tcPr>
          <w:p>
            <w:pPr>
              <w:pStyle w:val="nTable"/>
              <w:spacing w:after="40"/>
              <w:rPr>
                <w:i/>
              </w:rPr>
            </w:pPr>
            <w:r>
              <w:rPr>
                <w:i/>
              </w:rPr>
              <w:t>Workers’ Compensation and Injury Management (Scales of Fees) Amendment Regulations 2022</w:t>
            </w:r>
          </w:p>
        </w:tc>
        <w:tc>
          <w:tcPr>
            <w:tcW w:w="1276" w:type="dxa"/>
            <w:tcBorders>
              <w:top w:val="nil"/>
              <w:bottom w:val="single" w:sz="4" w:space="0" w:color="auto"/>
            </w:tcBorders>
          </w:tcPr>
          <w:p>
            <w:pPr>
              <w:pStyle w:val="nTable"/>
              <w:spacing w:after="40"/>
            </w:pPr>
            <w:r>
              <w:t>SL 2022/164 7 Oct 2022</w:t>
            </w:r>
          </w:p>
        </w:tc>
        <w:tc>
          <w:tcPr>
            <w:tcW w:w="2693" w:type="dxa"/>
            <w:tcBorders>
              <w:top w:val="nil"/>
              <w:bottom w:val="single" w:sz="4" w:space="0" w:color="auto"/>
            </w:tcBorders>
          </w:tcPr>
          <w:p>
            <w:pPr>
              <w:pStyle w:val="nTable"/>
              <w:spacing w:after="40"/>
            </w:pPr>
            <w:r>
              <w:t>r. 1 and 2: 7 Oct 2022 (see r. 2(a));</w:t>
            </w:r>
            <w:r>
              <w:br/>
              <w:t>Regulations other than r. 1 and 2: 1 Nov 2022 (see r. 2(b))</w:t>
            </w:r>
          </w:p>
        </w:tc>
      </w:tr>
    </w:tbl>
    <w:p>
      <w:pPr>
        <w:pStyle w:val="nHeading3"/>
      </w:pPr>
      <w:bookmarkStart w:id="36" w:name="_Toc200096585"/>
      <w:r>
        <w:lastRenderedPageBreak/>
        <w:t>Uncommenced provisions table</w:t>
      </w:r>
      <w:bookmarkEnd w:id="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Workers’ Compensation and Injury Management (Scales of Fees) Amendment Regulations 2023</w:t>
            </w:r>
            <w:r>
              <w:rPr>
                <w:iCs/>
              </w:rPr>
              <w:t xml:space="preserve"> r. 3</w:t>
            </w:r>
            <w:r>
              <w:rPr>
                <w:iCs/>
              </w:rPr>
              <w:noBreakHyphen/>
              <w:t>6</w:t>
            </w:r>
          </w:p>
        </w:tc>
        <w:tc>
          <w:tcPr>
            <w:tcW w:w="1276" w:type="dxa"/>
          </w:tcPr>
          <w:p>
            <w:pPr>
              <w:pStyle w:val="nTable"/>
              <w:spacing w:after="40"/>
            </w:pPr>
            <w:r>
              <w:t>SL 2023/155 18 Oct 2023</w:t>
            </w:r>
          </w:p>
        </w:tc>
        <w:tc>
          <w:tcPr>
            <w:tcW w:w="2693" w:type="dxa"/>
          </w:tcPr>
          <w:p>
            <w:pPr>
              <w:pStyle w:val="nTable"/>
              <w:spacing w:after="40"/>
            </w:pPr>
            <w:r>
              <w:t>1 Nov 2023 (see r. 2(b))</w:t>
            </w:r>
          </w:p>
        </w:tc>
      </w:tr>
    </w:tbl>
    <w:p>
      <w:pPr>
        <w:pStyle w:val="nHeading3"/>
        <w:keepLines/>
      </w:pPr>
      <w:bookmarkStart w:id="37" w:name="_Toc200096586"/>
      <w:r>
        <w:t>Other notes</w:t>
      </w:r>
      <w:bookmarkEnd w:id="37"/>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39" w:name="_Toc200096587"/>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4287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63F1E0" w14:textId="6F863AA6" w:rsidR="005C6D05" w:rsidRDefault="005C6D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742FD9C" w14:textId="77777777" w:rsidR="005C6D05" w:rsidRDefault="005C6D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081E57" w14:textId="53B89FA5" w:rsidR="005C6D05" w:rsidRDefault="005C6D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80D330" w14:textId="77777777" w:rsidR="005C6D05" w:rsidRDefault="005C6D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3120"/>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22910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3120_GUID" w:val="2e5f040c-e9a2-4d0b-af6e-2d826cb415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5AE37-FE7A-4AD8-8593-09B764E4D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13366</Words>
  <Characters>72851</Characters>
  <Application>Microsoft Office Word</Application>
  <DocSecurity>0</DocSecurity>
  <Lines>4285</Lines>
  <Paragraphs>3079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1998 - 05-u0-01</dc:title>
  <dc:subject/>
  <dc:creator/>
  <cp:keywords/>
  <dc:description/>
  <cp:lastModifiedBy>Master Repository Process</cp:lastModifiedBy>
  <cp:revision>4</cp:revision>
  <cp:lastPrinted>2022-10-24T00:18:00Z</cp:lastPrinted>
  <dcterms:created xsi:type="dcterms:W3CDTF">2025-06-06T02:02:00Z</dcterms:created>
  <dcterms:modified xsi:type="dcterms:W3CDTF">2025-06-06T02:02:00Z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18 Oct 2023</vt:lpwstr>
  </property>
  <property fmtid="{D5CDD505-2E9C-101B-9397-08002B2CF9AE}" pid="8" name="Suffix">
    <vt:lpwstr>05-u0-01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