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Motor Vehicle (Third Party Insurance) Act 1943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_Toc161414728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This Act to be read with the Road Traffic (Vehicles) Act</w:t>
      </w:r>
      <w:r>
        <w:tab/>
      </w:r>
      <w:r>
        <w:fldChar w:fldCharType="begin"/>
      </w:r>
      <w:r>
        <w:instrText xml:space="preserve"> PAGEREF _Toc161414729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_Toc161414730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Application of sections 3C and 3D</w:t>
      </w:r>
      <w:r>
        <w:tab/>
      </w:r>
      <w:r>
        <w:fldChar w:fldCharType="begin"/>
      </w:r>
      <w:r>
        <w:instrText xml:space="preserve"> PAGEREF _Toc161414731 \h </w:instrText>
      </w:r>
      <w:r>
        <w:fldChar w:fldCharType="separate"/>
      </w:r>
      <w:r>
        <w:t>5</w:t>
      </w:r>
      <w:r>
        <w:fldChar w:fldCharType="end"/>
      </w:r>
    </w:p>
    <w:p>
      <w:pPr>
        <w:pStyle w:val="TOC8"/>
        <w:rPr>
          <w:rFonts w:asciiTheme="minorHAnsi" w:eastAsiaTheme="minorEastAsia" w:hAnsiTheme="minorHAnsi" w:cstheme="minorBidi"/>
          <w:szCs w:val="22"/>
        </w:rPr>
      </w:pPr>
      <w:r>
        <w:t>3B</w:t>
      </w:r>
      <w:r>
        <w:rPr>
          <w:snapToGrid w:val="0"/>
        </w:rPr>
        <w:t xml:space="preserve">. </w:t>
      </w:r>
      <w:r>
        <w:rPr>
          <w:snapToGrid w:val="0"/>
        </w:rPr>
        <w:tab/>
        <w:t>Limit on powers of courts</w:t>
      </w:r>
      <w:r>
        <w:tab/>
      </w:r>
      <w:r>
        <w:fldChar w:fldCharType="begin"/>
      </w:r>
      <w:r>
        <w:instrText xml:space="preserve"> PAGEREF _Toc161414732 \h </w:instrText>
      </w:r>
      <w:r>
        <w:fldChar w:fldCharType="separate"/>
      </w:r>
      <w:r>
        <w:t>6</w:t>
      </w:r>
      <w:r>
        <w:fldChar w:fldCharType="end"/>
      </w:r>
    </w:p>
    <w:p>
      <w:pPr>
        <w:pStyle w:val="TOC8"/>
        <w:rPr>
          <w:rFonts w:asciiTheme="minorHAnsi" w:eastAsiaTheme="minorEastAsia" w:hAnsiTheme="minorHAnsi" w:cstheme="minorBidi"/>
          <w:szCs w:val="22"/>
        </w:rPr>
      </w:pPr>
      <w:r>
        <w:t>3C</w:t>
      </w:r>
      <w:r>
        <w:rPr>
          <w:snapToGrid w:val="0"/>
        </w:rPr>
        <w:t xml:space="preserve">. </w:t>
      </w:r>
      <w:r>
        <w:rPr>
          <w:snapToGrid w:val="0"/>
        </w:rPr>
        <w:tab/>
        <w:t>Restrictions on damages for non</w:t>
      </w:r>
      <w:r>
        <w:rPr>
          <w:snapToGrid w:val="0"/>
        </w:rPr>
        <w:noBreakHyphen/>
        <w:t>pecuniary loss</w:t>
      </w:r>
      <w:r>
        <w:tab/>
      </w:r>
      <w:r>
        <w:fldChar w:fldCharType="begin"/>
      </w:r>
      <w:r>
        <w:instrText xml:space="preserve"> PAGEREF _Toc161414733 \h </w:instrText>
      </w:r>
      <w:r>
        <w:fldChar w:fldCharType="separate"/>
      </w:r>
      <w:r>
        <w:t>6</w:t>
      </w:r>
      <w:r>
        <w:fldChar w:fldCharType="end"/>
      </w:r>
    </w:p>
    <w:p>
      <w:pPr>
        <w:pStyle w:val="TOC8"/>
        <w:rPr>
          <w:rFonts w:asciiTheme="minorHAnsi" w:eastAsiaTheme="minorEastAsia" w:hAnsiTheme="minorHAnsi" w:cstheme="minorBidi"/>
          <w:szCs w:val="22"/>
        </w:rPr>
      </w:pPr>
      <w:r>
        <w:t>3D</w:t>
      </w:r>
      <w:r>
        <w:rPr>
          <w:snapToGrid w:val="0"/>
        </w:rPr>
        <w:t xml:space="preserve">. </w:t>
      </w:r>
      <w:r>
        <w:rPr>
          <w:snapToGrid w:val="0"/>
        </w:rPr>
        <w:tab/>
        <w:t>Restrictions on damages for provision of home care services</w:t>
      </w:r>
      <w:r>
        <w:tab/>
      </w:r>
      <w:r>
        <w:fldChar w:fldCharType="begin"/>
      </w:r>
      <w:r>
        <w:instrText xml:space="preserve"> PAGEREF _Toc161414734 \h </w:instrText>
      </w:r>
      <w:r>
        <w:fldChar w:fldCharType="separate"/>
      </w:r>
      <w:r>
        <w:t>8</w:t>
      </w:r>
      <w:r>
        <w:fldChar w:fldCharType="end"/>
      </w:r>
    </w:p>
    <w:p>
      <w:pPr>
        <w:pStyle w:val="TOC8"/>
        <w:rPr>
          <w:rFonts w:asciiTheme="minorHAnsi" w:eastAsiaTheme="minorEastAsia" w:hAnsiTheme="minorHAnsi" w:cstheme="minorBidi"/>
          <w:szCs w:val="22"/>
        </w:rPr>
      </w:pPr>
      <w:r>
        <w:t>3E</w:t>
      </w:r>
      <w:r>
        <w:rPr>
          <w:snapToGrid w:val="0"/>
        </w:rPr>
        <w:t xml:space="preserve">. </w:t>
      </w:r>
      <w:r>
        <w:rPr>
          <w:snapToGrid w:val="0"/>
        </w:rPr>
        <w:tab/>
        <w:t>Causes of action to which restrictions on damages apply</w:t>
      </w:r>
      <w:r>
        <w:tab/>
      </w:r>
      <w:r>
        <w:fldChar w:fldCharType="begin"/>
      </w:r>
      <w:r>
        <w:instrText xml:space="preserve"> PAGEREF _Toc161414735 \h </w:instrText>
      </w:r>
      <w:r>
        <w:fldChar w:fldCharType="separate"/>
      </w:r>
      <w:r>
        <w:t>11</w:t>
      </w:r>
      <w:r>
        <w:fldChar w:fldCharType="end"/>
      </w:r>
    </w:p>
    <w:p>
      <w:pPr>
        <w:pStyle w:val="TOC8"/>
        <w:rPr>
          <w:rFonts w:asciiTheme="minorHAnsi" w:eastAsiaTheme="minorEastAsia" w:hAnsiTheme="minorHAnsi" w:cstheme="minorBidi"/>
          <w:szCs w:val="22"/>
        </w:rPr>
      </w:pPr>
      <w:r>
        <w:t>3EA.</w:t>
      </w:r>
      <w:r>
        <w:tab/>
        <w:t>Restrictions on damages if payments received under CISS</w:t>
      </w:r>
      <w:r>
        <w:tab/>
      </w:r>
      <w:r>
        <w:fldChar w:fldCharType="begin"/>
      </w:r>
      <w:r>
        <w:instrText xml:space="preserve"> PAGEREF _Toc161414736 \h </w:instrText>
      </w:r>
      <w:r>
        <w:fldChar w:fldCharType="separate"/>
      </w:r>
      <w:r>
        <w:t>11</w:t>
      </w:r>
      <w:r>
        <w:fldChar w:fldCharType="end"/>
      </w:r>
    </w:p>
    <w:p>
      <w:pPr>
        <w:pStyle w:val="TOC8"/>
        <w:rPr>
          <w:rFonts w:asciiTheme="minorHAnsi" w:eastAsiaTheme="minorEastAsia" w:hAnsiTheme="minorHAnsi" w:cstheme="minorBidi"/>
          <w:szCs w:val="22"/>
        </w:rPr>
      </w:pPr>
      <w:r>
        <w:t>3F.</w:t>
      </w:r>
      <w:r>
        <w:tab/>
        <w:t>Restriction on damages for loss relating to earning capacity</w:t>
      </w:r>
      <w:r>
        <w:tab/>
      </w:r>
      <w:r>
        <w:fldChar w:fldCharType="begin"/>
      </w:r>
      <w:r>
        <w:instrText xml:space="preserve"> PAGEREF _Toc161414737 \h </w:instrText>
      </w:r>
      <w:r>
        <w:fldChar w:fldCharType="separate"/>
      </w:r>
      <w:r>
        <w:t>12</w:t>
      </w:r>
      <w:r>
        <w:fldChar w:fldCharType="end"/>
      </w:r>
    </w:p>
    <w:p>
      <w:pPr>
        <w:pStyle w:val="TOC8"/>
        <w:rPr>
          <w:rFonts w:asciiTheme="minorHAnsi" w:eastAsiaTheme="minorEastAsia" w:hAnsiTheme="minorHAnsi" w:cstheme="minorBidi"/>
          <w:szCs w:val="22"/>
        </w:rPr>
      </w:pPr>
      <w:r>
        <w:t>3FA.</w:t>
      </w:r>
      <w:r>
        <w:tab/>
        <w:t>Restrictions on damages to be part of the substantive law</w:t>
      </w:r>
      <w:r>
        <w:tab/>
      </w:r>
      <w:r>
        <w:fldChar w:fldCharType="begin"/>
      </w:r>
      <w:r>
        <w:instrText xml:space="preserve"> PAGEREF _Toc161414738 \h </w:instrText>
      </w:r>
      <w:r>
        <w:fldChar w:fldCharType="separate"/>
      </w:r>
      <w:r>
        <w:t>13</w:t>
      </w:r>
      <w:r>
        <w:fldChar w:fldCharType="end"/>
      </w:r>
    </w:p>
    <w:p>
      <w:pPr>
        <w:pStyle w:val="TOC8"/>
        <w:rPr>
          <w:rFonts w:asciiTheme="minorHAnsi" w:eastAsiaTheme="minorEastAsia" w:hAnsiTheme="minorHAnsi" w:cstheme="minorBidi"/>
          <w:szCs w:val="22"/>
        </w:rPr>
      </w:pPr>
      <w:r>
        <w:t>3FB.</w:t>
      </w:r>
      <w:r>
        <w:tab/>
        <w:t>Damages for treatment, care and support needs: catastrophic injury</w:t>
      </w:r>
      <w:r>
        <w:tab/>
      </w:r>
      <w:r>
        <w:fldChar w:fldCharType="begin"/>
      </w:r>
      <w:r>
        <w:instrText xml:space="preserve"> PAGEREF _Toc161414739 \h </w:instrText>
      </w:r>
      <w:r>
        <w:fldChar w:fldCharType="separate"/>
      </w:r>
      <w:r>
        <w:t>14</w:t>
      </w:r>
      <w:r>
        <w:fldChar w:fldCharType="end"/>
      </w:r>
    </w:p>
    <w:p>
      <w:pPr>
        <w:pStyle w:val="TOC8"/>
        <w:rPr>
          <w:rFonts w:asciiTheme="minorHAnsi" w:eastAsiaTheme="minorEastAsia" w:hAnsiTheme="minorHAnsi" w:cstheme="minorBidi"/>
          <w:szCs w:val="22"/>
        </w:rPr>
      </w:pPr>
      <w:r>
        <w:t>3G.</w:t>
      </w:r>
      <w:r>
        <w:tab/>
        <w:t>Liability of employers</w:t>
      </w:r>
      <w:r>
        <w:tab/>
      </w:r>
      <w:r>
        <w:fldChar w:fldCharType="begin"/>
      </w:r>
      <w:r>
        <w:instrText xml:space="preserve"> PAGEREF _Toc161414740 \h </w:instrText>
      </w:r>
      <w:r>
        <w:fldChar w:fldCharType="separate"/>
      </w:r>
      <w:r>
        <w:t>14</w:t>
      </w:r>
      <w:r>
        <w:fldChar w:fldCharType="end"/>
      </w:r>
    </w:p>
    <w:p>
      <w:pPr>
        <w:pStyle w:val="TOC8"/>
        <w:rPr>
          <w:rFonts w:asciiTheme="minorHAnsi" w:eastAsiaTheme="minorEastAsia" w:hAnsiTheme="minorHAnsi" w:cstheme="minorBidi"/>
          <w:szCs w:val="22"/>
        </w:rPr>
      </w:pPr>
      <w:r>
        <w:t>3Q</w:t>
      </w:r>
      <w:r>
        <w:rPr>
          <w:snapToGrid w:val="0"/>
        </w:rPr>
        <w:t xml:space="preserve">. </w:t>
      </w:r>
      <w:r>
        <w:rPr>
          <w:snapToGrid w:val="0"/>
        </w:rPr>
        <w:tab/>
        <w:t>Director General’s functions</w:t>
      </w:r>
      <w:r>
        <w:tab/>
      </w:r>
      <w:r>
        <w:fldChar w:fldCharType="begin"/>
      </w:r>
      <w:r>
        <w:instrText xml:space="preserve"> PAGEREF _Toc161414741 \h </w:instrText>
      </w:r>
      <w:r>
        <w:fldChar w:fldCharType="separate"/>
      </w:r>
      <w:r>
        <w:t>15</w:t>
      </w:r>
      <w:r>
        <w:fldChar w:fldCharType="end"/>
      </w:r>
    </w:p>
    <w:p>
      <w:pPr>
        <w:pStyle w:val="TOC8"/>
        <w:rPr>
          <w:rFonts w:asciiTheme="minorHAnsi" w:eastAsiaTheme="minorEastAsia" w:hAnsiTheme="minorHAnsi" w:cstheme="minorBidi"/>
          <w:szCs w:val="22"/>
        </w:rPr>
      </w:pPr>
      <w:r>
        <w:t>3QA.</w:t>
      </w:r>
      <w:r>
        <w:tab/>
        <w:t>Agreements for performance of functions</w:t>
      </w:r>
      <w:r>
        <w:tab/>
      </w:r>
      <w:r>
        <w:fldChar w:fldCharType="begin"/>
      </w:r>
      <w:r>
        <w:instrText xml:space="preserve"> PAGEREF _Toc161414742 \h </w:instrText>
      </w:r>
      <w:r>
        <w:fldChar w:fldCharType="separate"/>
      </w:r>
      <w:r>
        <w:t>15</w:t>
      </w:r>
      <w:r>
        <w:fldChar w:fldCharType="end"/>
      </w:r>
    </w:p>
    <w:p>
      <w:pPr>
        <w:pStyle w:val="TOC8"/>
        <w:rPr>
          <w:rFonts w:asciiTheme="minorHAnsi" w:eastAsiaTheme="minorEastAsia" w:hAnsiTheme="minorHAnsi" w:cstheme="minorBidi"/>
          <w:szCs w:val="22"/>
        </w:rPr>
      </w:pPr>
      <w:r>
        <w:t>3QB.</w:t>
      </w:r>
      <w:r>
        <w:tab/>
        <w:t>Delegation</w:t>
      </w:r>
      <w:r>
        <w:tab/>
      </w:r>
      <w:r>
        <w:fldChar w:fldCharType="begin"/>
      </w:r>
      <w:r>
        <w:instrText xml:space="preserve"> PAGEREF _Toc161414743 \h </w:instrText>
      </w:r>
      <w:r>
        <w:fldChar w:fldCharType="separate"/>
      </w:r>
      <w:r>
        <w:t>16</w:t>
      </w:r>
      <w:r>
        <w:fldChar w:fldCharType="end"/>
      </w:r>
    </w:p>
    <w:p>
      <w:pPr>
        <w:pStyle w:val="TOC8"/>
        <w:rPr>
          <w:rFonts w:asciiTheme="minorHAnsi" w:eastAsiaTheme="minorEastAsia" w:hAnsiTheme="minorHAnsi" w:cstheme="minorBidi"/>
          <w:szCs w:val="22"/>
        </w:rPr>
      </w:pPr>
      <w:r>
        <w:t>3R</w:t>
      </w:r>
      <w:r>
        <w:rPr>
          <w:snapToGrid w:val="0"/>
        </w:rPr>
        <w:t xml:space="preserve">. </w:t>
      </w:r>
      <w:r>
        <w:rPr>
          <w:snapToGrid w:val="0"/>
        </w:rPr>
        <w:tab/>
        <w:t>Issue of policies of insurance</w:t>
      </w:r>
      <w:r>
        <w:tab/>
      </w:r>
      <w:r>
        <w:fldChar w:fldCharType="begin"/>
      </w:r>
      <w:r>
        <w:instrText xml:space="preserve"> PAGEREF _Toc161414744 \h </w:instrText>
      </w:r>
      <w:r>
        <w:fldChar w:fldCharType="separate"/>
      </w:r>
      <w:r>
        <w:t>17</w:t>
      </w:r>
      <w:r>
        <w:fldChar w:fldCharType="end"/>
      </w:r>
    </w:p>
    <w:p>
      <w:pPr>
        <w:pStyle w:val="TOC8"/>
        <w:rPr>
          <w:rFonts w:asciiTheme="minorHAnsi" w:eastAsiaTheme="minorEastAsia" w:hAnsiTheme="minorHAnsi" w:cstheme="minorBidi"/>
          <w:szCs w:val="22"/>
        </w:rPr>
      </w:pPr>
      <w:r>
        <w:t>3S</w:t>
      </w:r>
      <w:r>
        <w:rPr>
          <w:snapToGrid w:val="0"/>
        </w:rPr>
        <w:t xml:space="preserve">. </w:t>
      </w:r>
      <w:r>
        <w:rPr>
          <w:snapToGrid w:val="0"/>
        </w:rPr>
        <w:tab/>
        <w:t>Further powers of the Commission</w:t>
      </w:r>
      <w:r>
        <w:tab/>
      </w:r>
      <w:r>
        <w:fldChar w:fldCharType="begin"/>
      </w:r>
      <w:r>
        <w:instrText xml:space="preserve"> PAGEREF _Toc161414745 \h </w:instrText>
      </w:r>
      <w:r>
        <w:fldChar w:fldCharType="separate"/>
      </w:r>
      <w:r>
        <w:t>18</w:t>
      </w:r>
      <w:r>
        <w:fldChar w:fldCharType="end"/>
      </w:r>
    </w:p>
    <w:p>
      <w:pPr>
        <w:pStyle w:val="TOC8"/>
        <w:rPr>
          <w:rFonts w:asciiTheme="minorHAnsi" w:eastAsiaTheme="minorEastAsia" w:hAnsiTheme="minorHAnsi" w:cstheme="minorBidi"/>
          <w:szCs w:val="22"/>
        </w:rPr>
      </w:pPr>
      <w:r>
        <w:t>3T</w:t>
      </w:r>
      <w:r>
        <w:rPr>
          <w:snapToGrid w:val="0"/>
        </w:rPr>
        <w:t xml:space="preserve">. </w:t>
      </w:r>
      <w:r>
        <w:rPr>
          <w:snapToGrid w:val="0"/>
        </w:rPr>
        <w:tab/>
        <w:t>Premiums</w:t>
      </w:r>
      <w:r>
        <w:tab/>
      </w:r>
      <w:r>
        <w:fldChar w:fldCharType="begin"/>
      </w:r>
      <w:r>
        <w:instrText xml:space="preserve"> PAGEREF _Toc161414746 \h </w:instrText>
      </w:r>
      <w:r>
        <w:fldChar w:fldCharType="separate"/>
      </w:r>
      <w:r>
        <w:t>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Insurance against third party risks</w:t>
      </w:r>
      <w:r>
        <w:tab/>
      </w:r>
      <w:r>
        <w:fldChar w:fldCharType="begin"/>
      </w:r>
      <w:r>
        <w:instrText xml:space="preserve"> PAGEREF _Toc161414747 \h </w:instrText>
      </w:r>
      <w:r>
        <w:fldChar w:fldCharType="separate"/>
      </w:r>
      <w:r>
        <w:t>19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Requirements in respect of policies</w:t>
      </w:r>
      <w:r>
        <w:tab/>
      </w:r>
      <w:r>
        <w:fldChar w:fldCharType="begin"/>
      </w:r>
      <w:r>
        <w:instrText xml:space="preserve"> PAGEREF _Toc161414748 \h </w:instrText>
      </w:r>
      <w:r>
        <w:fldChar w:fldCharType="separate"/>
      </w:r>
      <w:r>
        <w:t>23</w:t>
      </w:r>
      <w:r>
        <w:fldChar w:fldCharType="end"/>
      </w:r>
    </w:p>
    <w:p>
      <w:pPr>
        <w:pStyle w:val="TOC8"/>
        <w:rPr>
          <w:rFonts w:asciiTheme="minorHAnsi" w:eastAsiaTheme="minorEastAsia" w:hAnsiTheme="minorHAnsi" w:cstheme="minorBidi"/>
          <w:szCs w:val="22"/>
        </w:rPr>
      </w:pPr>
      <w:r>
        <w:lastRenderedPageBreak/>
        <w:t>6A.</w:t>
      </w:r>
      <w:r>
        <w:tab/>
        <w:t>Insurance relating to catastrophic injury</w:t>
      </w:r>
      <w:r>
        <w:tab/>
      </w:r>
      <w:r>
        <w:fldChar w:fldCharType="begin"/>
      </w:r>
      <w:r>
        <w:instrText xml:space="preserve"> PAGEREF _Toc161414749 \h </w:instrText>
      </w:r>
      <w:r>
        <w:fldChar w:fldCharType="separate"/>
      </w:r>
      <w:r>
        <w:t>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the Commission</w:t>
      </w:r>
      <w:r>
        <w:tab/>
      </w:r>
      <w:r>
        <w:fldChar w:fldCharType="begin"/>
      </w:r>
      <w:r>
        <w:instrText xml:space="preserve"> PAGEREF _Toc161414750 \h </w:instrText>
      </w:r>
      <w:r>
        <w:fldChar w:fldCharType="separate"/>
      </w:r>
      <w:r>
        <w:t>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Special provisions in relation to uninsured motor vehicles</w:t>
      </w:r>
      <w:r>
        <w:tab/>
      </w:r>
      <w:r>
        <w:fldChar w:fldCharType="begin"/>
      </w:r>
      <w:r>
        <w:instrText xml:space="preserve"> PAGEREF _Toc161414751 \h </w:instrText>
      </w:r>
      <w:r>
        <w:fldChar w:fldCharType="separate"/>
      </w:r>
      <w:r>
        <w:t>27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Duties of owner or insured person</w:t>
      </w:r>
      <w:r>
        <w:tab/>
      </w:r>
      <w:r>
        <w:fldChar w:fldCharType="begin"/>
      </w:r>
      <w:r>
        <w:instrText xml:space="preserve"> PAGEREF _Toc161414752 \h </w:instrText>
      </w:r>
      <w:r>
        <w:fldChar w:fldCharType="separate"/>
      </w:r>
      <w:r>
        <w:t>30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of the Commission to deal with claims against insured persons</w:t>
      </w:r>
      <w:r>
        <w:tab/>
      </w:r>
      <w:r>
        <w:fldChar w:fldCharType="begin"/>
      </w:r>
      <w:r>
        <w:instrText xml:space="preserve"> PAGEREF _Toc161414753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Emergency treatment</w:t>
      </w:r>
      <w:r>
        <w:tab/>
      </w:r>
      <w:r>
        <w:fldChar w:fldCharType="begin"/>
      </w:r>
      <w:r>
        <w:instrText xml:space="preserve"> PAGEREF _Toc161414754 \h </w:instrText>
      </w:r>
      <w:r>
        <w:fldChar w:fldCharType="separate"/>
      </w:r>
      <w:r>
        <w:t>33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Recovery of payment for emergency treatment</w:t>
      </w:r>
      <w:r>
        <w:tab/>
      </w:r>
      <w:r>
        <w:fldChar w:fldCharType="begin"/>
      </w:r>
      <w:r>
        <w:instrText xml:space="preserve"> PAGEREF _Toc161414755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Right of the Commission against unauthorised drivers</w:t>
      </w:r>
      <w:r>
        <w:tab/>
      </w:r>
      <w:r>
        <w:fldChar w:fldCharType="begin"/>
      </w:r>
      <w:r>
        <w:instrText xml:space="preserve"> PAGEREF _Toc161414756 \h </w:instrText>
      </w:r>
      <w:r>
        <w:fldChar w:fldCharType="separate"/>
      </w:r>
      <w:r>
        <w:t>35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Jurisdiction</w:t>
      </w:r>
      <w:r>
        <w:tab/>
      </w:r>
      <w:r>
        <w:fldChar w:fldCharType="begin"/>
      </w:r>
      <w:r>
        <w:instrText xml:space="preserve"> PAGEREF _Toc161414757 \h </w:instrText>
      </w:r>
      <w:r>
        <w:fldChar w:fldCharType="separate"/>
      </w:r>
      <w:r>
        <w:t>36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Insurance by visiting motorists</w:t>
      </w:r>
      <w:r>
        <w:tab/>
      </w:r>
      <w:r>
        <w:fldChar w:fldCharType="begin"/>
      </w:r>
      <w:r>
        <w:instrText xml:space="preserve"> PAGEREF _Toc161414758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suspend or cancel licences</w:t>
      </w:r>
      <w:r>
        <w:tab/>
      </w:r>
      <w:r>
        <w:fldChar w:fldCharType="begin"/>
      </w:r>
      <w:r>
        <w:instrText xml:space="preserve"> PAGEREF _Toc161414759 \h </w:instrText>
      </w:r>
      <w:r>
        <w:fldChar w:fldCharType="separate"/>
      </w:r>
      <w:r>
        <w:t>38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Commission not to terminate policy</w:t>
      </w:r>
      <w:r>
        <w:tab/>
      </w:r>
      <w:r>
        <w:fldChar w:fldCharType="begin"/>
      </w:r>
      <w:r>
        <w:instrText xml:space="preserve"> PAGEREF _Toc161414760 \h </w:instrText>
      </w:r>
      <w:r>
        <w:fldChar w:fldCharType="separate"/>
      </w:r>
      <w:r>
        <w:t>38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Policy of insurance to continue notwithstanding change of ownership of vehicle</w:t>
      </w:r>
      <w:r>
        <w:tab/>
      </w:r>
      <w:r>
        <w:fldChar w:fldCharType="begin"/>
      </w:r>
      <w:r>
        <w:instrText xml:space="preserve"> PAGEREF _Toc161414761 \h </w:instrText>
      </w:r>
      <w:r>
        <w:fldChar w:fldCharType="separate"/>
      </w:r>
      <w:r>
        <w:t>39</w:t>
      </w:r>
      <w:r>
        <w:fldChar w:fldCharType="end"/>
      </w:r>
    </w:p>
    <w:p>
      <w:pPr>
        <w:pStyle w:val="TOC8"/>
        <w:rPr>
          <w:rFonts w:asciiTheme="minorHAnsi" w:eastAsiaTheme="minorEastAsia" w:hAnsiTheme="minorHAnsi" w:cstheme="minorBidi"/>
          <w:szCs w:val="22"/>
        </w:rPr>
      </w:pPr>
      <w:r>
        <w:t>21.</w:t>
      </w:r>
      <w:r>
        <w:tab/>
        <w:t>Term of policy of insurance extended in certain cases</w:t>
      </w:r>
      <w:r>
        <w:tab/>
      </w:r>
      <w:r>
        <w:fldChar w:fldCharType="begin"/>
      </w:r>
      <w:r>
        <w:instrText xml:space="preserve"> PAGEREF _Toc161414762 \h </w:instrText>
      </w:r>
      <w:r>
        <w:fldChar w:fldCharType="separate"/>
      </w:r>
      <w:r>
        <w:t>39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Provision regarding motor vehicle of employee used by employee in employer’s business</w:t>
      </w:r>
      <w:r>
        <w:tab/>
      </w:r>
      <w:r>
        <w:fldChar w:fldCharType="begin"/>
      </w:r>
      <w:r>
        <w:instrText xml:space="preserve"> PAGEREF _Toc161414763 \h </w:instrText>
      </w:r>
      <w:r>
        <w:fldChar w:fldCharType="separate"/>
      </w:r>
      <w:r>
        <w:t>40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Policies to give cover required by amending Acts</w:t>
      </w:r>
      <w:r>
        <w:tab/>
      </w:r>
      <w:r>
        <w:fldChar w:fldCharType="begin"/>
      </w:r>
      <w:r>
        <w:instrText xml:space="preserve"> PAGEREF _Toc161414764 \h </w:instrText>
      </w:r>
      <w:r>
        <w:fldChar w:fldCharType="separate"/>
      </w:r>
      <w:r>
        <w:t>41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to issue of policy to extend to renewal of policy</w:t>
      </w:r>
      <w:r>
        <w:tab/>
      </w:r>
      <w:r>
        <w:fldChar w:fldCharType="begin"/>
      </w:r>
      <w:r>
        <w:instrText xml:space="preserve"> PAGEREF _Toc161414765 \h </w:instrText>
      </w:r>
      <w:r>
        <w:fldChar w:fldCharType="separate"/>
      </w:r>
      <w:r>
        <w:t>41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Information to be furnished by the Commission</w:t>
      </w:r>
      <w:r>
        <w:tab/>
      </w:r>
      <w:r>
        <w:fldChar w:fldCharType="begin"/>
      </w:r>
      <w:r>
        <w:instrText xml:space="preserve"> PAGEREF _Toc161414766 \h </w:instrText>
      </w:r>
      <w:r>
        <w:fldChar w:fldCharType="separate"/>
      </w:r>
      <w:r>
        <w:t>42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Contracting out of liability for negligence</w:t>
      </w:r>
      <w:r>
        <w:tab/>
      </w:r>
      <w:r>
        <w:fldChar w:fldCharType="begin"/>
      </w:r>
      <w:r>
        <w:instrText xml:space="preserve"> PAGEREF _Toc161414767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Soliciting instructions from persons claiming</w:t>
      </w:r>
      <w:r>
        <w:tab/>
      </w:r>
      <w:r>
        <w:fldChar w:fldCharType="begin"/>
      </w:r>
      <w:r>
        <w:instrText xml:space="preserve"> PAGEREF _Toc161414768 \h </w:instrText>
      </w:r>
      <w:r>
        <w:fldChar w:fldCharType="separate"/>
      </w:r>
      <w:r>
        <w:t>42</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Costs between solicitor and client</w:t>
      </w:r>
      <w:r>
        <w:tab/>
      </w:r>
      <w:r>
        <w:fldChar w:fldCharType="begin"/>
      </w:r>
      <w:r>
        <w:instrText xml:space="preserve"> PAGEREF _Toc161414769 \h </w:instrText>
      </w:r>
      <w:r>
        <w:fldChar w:fldCharType="separate"/>
      </w:r>
      <w:r>
        <w:t>43</w:t>
      </w:r>
      <w:r>
        <w:fldChar w:fldCharType="end"/>
      </w:r>
    </w:p>
    <w:p>
      <w:pPr>
        <w:pStyle w:val="TOC8"/>
        <w:rPr>
          <w:rFonts w:asciiTheme="minorHAnsi" w:eastAsiaTheme="minorEastAsia" w:hAnsiTheme="minorHAnsi" w:cstheme="minorBidi"/>
          <w:szCs w:val="22"/>
        </w:rPr>
      </w:pPr>
      <w:r>
        <w:t>27B.</w:t>
      </w:r>
      <w:r>
        <w:tab/>
        <w:t>False or misleading information</w:t>
      </w:r>
      <w:r>
        <w:tab/>
      </w:r>
      <w:r>
        <w:fldChar w:fldCharType="begin"/>
      </w:r>
      <w:r>
        <w:instrText xml:space="preserve"> PAGEREF _Toc161414770 \h </w:instrText>
      </w:r>
      <w:r>
        <w:fldChar w:fldCharType="separate"/>
      </w:r>
      <w:r>
        <w:t>44</w:t>
      </w:r>
      <w:r>
        <w:fldChar w:fldCharType="end"/>
      </w:r>
    </w:p>
    <w:p>
      <w:pPr>
        <w:pStyle w:val="TOC8"/>
        <w:rPr>
          <w:rFonts w:asciiTheme="minorHAnsi" w:eastAsiaTheme="minorEastAsia" w:hAnsiTheme="minorHAnsi" w:cstheme="minorBidi"/>
          <w:szCs w:val="22"/>
        </w:rPr>
      </w:pPr>
      <w:r>
        <w:t>27C.</w:t>
      </w:r>
      <w:r>
        <w:tab/>
        <w:t>Obstruction</w:t>
      </w:r>
      <w:r>
        <w:tab/>
      </w:r>
      <w:r>
        <w:fldChar w:fldCharType="begin"/>
      </w:r>
      <w:r>
        <w:instrText xml:space="preserve"> PAGEREF _Toc161414771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Offences: general penalty</w:t>
      </w:r>
      <w:r>
        <w:tab/>
      </w:r>
      <w:r>
        <w:fldChar w:fldCharType="begin"/>
      </w:r>
      <w:r>
        <w:instrText xml:space="preserve"> PAGEREF _Toc161414772 \h </w:instrText>
      </w:r>
      <w:r>
        <w:fldChar w:fldCharType="separate"/>
      </w:r>
      <w:r>
        <w:t>45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Notice of claim</w:t>
      </w:r>
      <w:r>
        <w:tab/>
      </w:r>
      <w:r>
        <w:fldChar w:fldCharType="begin"/>
      </w:r>
      <w:r>
        <w:instrText xml:space="preserve"> PAGEREF _Toc161414773 \h </w:instrText>
      </w:r>
      <w:r>
        <w:fldChar w:fldCharType="separate"/>
      </w:r>
      <w:r>
        <w:t>46</w:t>
      </w:r>
      <w:r>
        <w:fldChar w:fldCharType="end"/>
      </w:r>
    </w:p>
    <w:p>
      <w:pPr>
        <w:pStyle w:val="TOC8"/>
        <w:rPr>
          <w:rFonts w:asciiTheme="minorHAnsi" w:eastAsiaTheme="minorEastAsia" w:hAnsiTheme="minorHAnsi" w:cstheme="minorBidi"/>
          <w:szCs w:val="22"/>
        </w:rPr>
      </w:pPr>
      <w:r>
        <w:t>29A</w:t>
      </w:r>
      <w:r>
        <w:rPr>
          <w:snapToGrid w:val="0"/>
        </w:rPr>
        <w:t xml:space="preserve">. </w:t>
      </w:r>
      <w:r>
        <w:rPr>
          <w:snapToGrid w:val="0"/>
        </w:rPr>
        <w:tab/>
        <w:t>Court may grant leave to proceed</w:t>
      </w:r>
      <w:r>
        <w:tab/>
      </w:r>
      <w:r>
        <w:fldChar w:fldCharType="begin"/>
      </w:r>
      <w:r>
        <w:instrText xml:space="preserve"> PAGEREF _Toc161414774 \h </w:instrText>
      </w:r>
      <w:r>
        <w:fldChar w:fldCharType="separate"/>
      </w:r>
      <w:r>
        <w:t>47</w:t>
      </w:r>
      <w:r>
        <w:fldChar w:fldCharType="end"/>
      </w:r>
    </w:p>
    <w:p>
      <w:pPr>
        <w:pStyle w:val="TOC8"/>
        <w:rPr>
          <w:rFonts w:asciiTheme="minorHAnsi" w:eastAsiaTheme="minorEastAsia" w:hAnsiTheme="minorHAnsi" w:cstheme="minorBidi"/>
          <w:szCs w:val="22"/>
        </w:rPr>
      </w:pPr>
      <w:r>
        <w:t>30.</w:t>
      </w:r>
      <w:r>
        <w:tab/>
        <w:t>Examination of injured person by health professional</w:t>
      </w:r>
      <w:r>
        <w:tab/>
      </w:r>
      <w:r>
        <w:fldChar w:fldCharType="begin"/>
      </w:r>
      <w:r>
        <w:instrText xml:space="preserve"> PAGEREF _Toc161414775 \h </w:instrText>
      </w:r>
      <w:r>
        <w:fldChar w:fldCharType="separate"/>
      </w:r>
      <w:r>
        <w:t>48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_Toc161414776 \h </w:instrText>
      </w:r>
      <w:r>
        <w:fldChar w:fldCharType="separate"/>
      </w:r>
      <w:r>
        <w:t>49</w:t>
      </w:r>
      <w:r>
        <w:fldChar w:fldCharType="end"/>
      </w:r>
    </w:p>
    <w:p>
      <w:pPr>
        <w:pStyle w:val="TOC8"/>
        <w:rPr>
          <w:rFonts w:asciiTheme="minorHAnsi" w:eastAsiaTheme="minorEastAsia" w:hAnsiTheme="minorHAnsi" w:cstheme="minorBidi"/>
          <w:szCs w:val="22"/>
        </w:rPr>
      </w:pPr>
      <w:r>
        <w:t>34.</w:t>
      </w:r>
      <w:r>
        <w:tab/>
        <w:t xml:space="preserve">Transitional provision for </w:t>
      </w:r>
      <w:r>
        <w:rPr>
          <w:i/>
        </w:rPr>
        <w:t>Motor Vehicle (Catastrophic Injuries) Act 2016</w:t>
      </w:r>
      <w:r>
        <w:tab/>
      </w:r>
      <w:r>
        <w:fldChar w:fldCharType="begin"/>
      </w:r>
      <w:r>
        <w:instrText xml:space="preserve"> PAGEREF _Toc161414777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 Form of insurance policy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_Toc161414780 \h </w:instrText>
      </w:r>
      <w:r>
        <w:fldChar w:fldCharType="separate"/>
      </w:r>
      <w:r>
        <w:t>54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_Toc161414781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_Toc161414782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Motor Vehicle (Third Party Insurance) Act 1943</w:t>
      </w:r>
    </w:p>
    <w:p>
      <w:pPr>
        <w:pStyle w:val="LongTitle"/>
        <w:rPr>
          <w:snapToGrid w:val="0"/>
        </w:rPr>
      </w:pPr>
      <w:r>
        <w:rPr>
          <w:snapToGrid w:val="0"/>
        </w:rPr>
        <w:t>An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No. 95 of 1966 s. 3; No. 42 of 1972 s. 3; No. 107 of 1987 s. 4; No. 13 of 1994 s. 4; No. 17 of 1994 s. 4.]</w:t>
      </w:r>
    </w:p>
    <w:p>
      <w:pPr>
        <w:pStyle w:val="Heading5"/>
        <w:rPr>
          <w:snapToGrid w:val="0"/>
        </w:rPr>
      </w:pPr>
      <w:bookmarkStart w:id="2" w:name="_Toc161414728"/>
      <w:r>
        <w:rPr>
          <w:rStyle w:val="CharSectno"/>
        </w:rPr>
        <w:t>1</w:t>
      </w:r>
      <w:r>
        <w:rPr>
          <w:snapToGrid w:val="0"/>
        </w:rPr>
        <w:t>.</w:t>
      </w:r>
      <w:r>
        <w:rPr>
          <w:snapToGrid w:val="0"/>
        </w:rPr>
        <w:tab/>
        <w:t>Short title and commencement</w:t>
      </w:r>
      <w:bookmarkEnd w:id="2"/>
    </w:p>
    <w:p>
      <w:pPr>
        <w:pStyle w:val="Subsection"/>
        <w:rPr>
          <w:snapToGrid w:val="0"/>
          <w:vertAlign w:val="superscript"/>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p>
    <w:p>
      <w:pPr>
        <w:pStyle w:val="Heading5"/>
        <w:rPr>
          <w:snapToGrid w:val="0"/>
        </w:rPr>
      </w:pPr>
      <w:bookmarkStart w:id="3" w:name="_Toc161414729"/>
      <w:r>
        <w:rPr>
          <w:rStyle w:val="CharSectno"/>
        </w:rPr>
        <w:t>2</w:t>
      </w:r>
      <w:r>
        <w:rPr>
          <w:snapToGrid w:val="0"/>
        </w:rPr>
        <w:t>.</w:t>
      </w:r>
      <w:r>
        <w:rPr>
          <w:snapToGrid w:val="0"/>
        </w:rPr>
        <w:tab/>
        <w:t>This Act to be read with the Road Traffic (Vehicles) Act</w:t>
      </w:r>
      <w:bookmarkEnd w:id="3"/>
    </w:p>
    <w:p>
      <w:pPr>
        <w:pStyle w:val="Subsection"/>
        <w:rPr>
          <w:snapToGrid w:val="0"/>
        </w:rPr>
      </w:pPr>
      <w:r>
        <w:rPr>
          <w:snapToGrid w:val="0"/>
        </w:rPr>
        <w:tab/>
        <w:t>(1)</w:t>
      </w:r>
      <w:r>
        <w:rPr>
          <w:snapToGrid w:val="0"/>
        </w:rPr>
        <w:tab/>
        <w:t xml:space="preserve">This Act shall be read in conjunction with and as supplementary to the </w:t>
      </w:r>
      <w:r>
        <w:t>Vehicles</w:t>
      </w:r>
      <w:r>
        <w:rPr>
          <w:snapToGrid w:val="0"/>
        </w:rPr>
        <w:t xml:space="preserve"> Act.</w:t>
      </w:r>
    </w:p>
    <w:p>
      <w:pPr>
        <w:pStyle w:val="Subsection"/>
        <w:rPr>
          <w:snapToGrid w:val="0"/>
        </w:rPr>
      </w:pPr>
      <w:r>
        <w:rPr>
          <w:snapToGrid w:val="0"/>
        </w:rPr>
        <w:tab/>
        <w:t>(2)</w:t>
      </w:r>
      <w:r>
        <w:rPr>
          <w:snapToGrid w:val="0"/>
        </w:rPr>
        <w:tab/>
        <w:t xml:space="preserve">Words and expressions </w:t>
      </w:r>
      <w:r>
        <w:t>defined in, or for the purposes of, the Vehicles Act</w:t>
      </w:r>
      <w:r>
        <w:rPr>
          <w:snapToGrid w:val="0"/>
        </w:rPr>
        <w:t xml:space="preserve"> shall have the same respective meanings in this Act, unless the contrary intention appears.</w:t>
      </w:r>
    </w:p>
    <w:p>
      <w:pPr>
        <w:pStyle w:val="Footnotesection"/>
      </w:pPr>
      <w:r>
        <w:tab/>
        <w:t>[Section 2 amended: No. 58 of 1974 s. 27; No. 13 of 1994 s. 5; No. 8 of 2012 s. 136 and 141.]</w:t>
      </w:r>
    </w:p>
    <w:p>
      <w:pPr>
        <w:pStyle w:val="Heading5"/>
        <w:rPr>
          <w:snapToGrid w:val="0"/>
        </w:rPr>
      </w:pPr>
      <w:bookmarkStart w:id="4" w:name="_Toc161414730"/>
      <w:r>
        <w:rPr>
          <w:rStyle w:val="CharSectno"/>
        </w:rPr>
        <w:t>3</w:t>
      </w:r>
      <w:r>
        <w:rPr>
          <w:snapToGrid w:val="0"/>
        </w:rPr>
        <w:t>.</w:t>
      </w:r>
      <w:r>
        <w:rPr>
          <w:snapToGrid w:val="0"/>
        </w:rPr>
        <w:tab/>
        <w:t>Terms used</w:t>
      </w:r>
      <w:bookmarkEnd w:id="4"/>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assessed treatment, care and support needs</w:t>
      </w:r>
      <w:r>
        <w:t xml:space="preserve"> has the meaning given in the MV(CI) Act section 18(2);</w:t>
      </w:r>
    </w:p>
    <w:p>
      <w:pPr>
        <w:pStyle w:val="Defstart"/>
      </w:pPr>
      <w:r>
        <w:lastRenderedPageBreak/>
        <w:tab/>
      </w:r>
      <w:r>
        <w:rPr>
          <w:rStyle w:val="CharDefText"/>
        </w:rPr>
        <w:t>catastrophic injury</w:t>
      </w:r>
      <w:r>
        <w:t xml:space="preserve"> has the meaning given in the MV(CI) Act section 3(1);</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rPr>
          <w:b/>
        </w:rPr>
        <w:tab/>
      </w:r>
      <w:r>
        <w:rPr>
          <w:rStyle w:val="CharDefText"/>
        </w:rPr>
        <w:t>Commission</w:t>
      </w:r>
      <w:r>
        <w:t xml:space="preserve"> means the body continued as the Insurance Commission of Western Australia under the </w:t>
      </w:r>
      <w:r>
        <w:rPr>
          <w:i/>
        </w:rPr>
        <w:t>Insurance Commission of Western Australia Act 1986</w:t>
      </w:r>
      <w:r>
        <w:t>;</w:t>
      </w:r>
    </w:p>
    <w:p>
      <w:pPr>
        <w:pStyle w:val="Defstart"/>
      </w:pPr>
      <w:r>
        <w:rPr>
          <w:b/>
        </w:rPr>
        <w:tab/>
      </w:r>
      <w:r>
        <w:rPr>
          <w:rStyle w:val="CharDefText"/>
        </w:rPr>
        <w:t>contract of insurance</w:t>
      </w:r>
      <w:r>
        <w:t xml:space="preserve"> means a contract of insurance with the Commission and complying with the requirements of this Act;</w:t>
      </w:r>
    </w:p>
    <w:p>
      <w:pPr>
        <w:pStyle w:val="Defstart"/>
      </w:pPr>
      <w:r>
        <w:rPr>
          <w:b/>
        </w:rPr>
        <w:tab/>
      </w:r>
      <w:r>
        <w:rPr>
          <w:rStyle w:val="CharDefText"/>
        </w:rPr>
        <w:t>Director General</w:t>
      </w:r>
      <w:r>
        <w:t xml:space="preserve"> means the CEO as defined in the </w:t>
      </w:r>
      <w:r>
        <w:rPr>
          <w:i/>
          <w:iCs/>
        </w:rPr>
        <w:t>Road Traffic (Administration) Act 2008</w:t>
      </w:r>
      <w:r>
        <w:t xml:space="preserve"> section 4;</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driver</w:t>
      </w:r>
      <w:r>
        <w:t xml:space="preserve"> in relation to a motor vehicle includes any person who is in charge of the motor vehicle;</w:t>
      </w:r>
    </w:p>
    <w:p>
      <w:pPr>
        <w:pStyle w:val="Defstart"/>
      </w:pPr>
      <w:r>
        <w:rPr>
          <w:b/>
        </w:rPr>
        <w:tab/>
      </w:r>
      <w:r>
        <w:rPr>
          <w:rStyle w:val="CharDefText"/>
        </w:rPr>
        <w:t>Fund</w:t>
      </w:r>
      <w:r>
        <w:t xml:space="preserve"> means the Third Party Insurance Fund established under section 16 of the </w:t>
      </w:r>
      <w:r>
        <w:rPr>
          <w:i/>
        </w:rPr>
        <w:t>Insurance Commission of Western Australia Act 1986</w:t>
      </w:r>
      <w:r>
        <w:t>;</w:t>
      </w:r>
    </w:p>
    <w:p>
      <w:pPr>
        <w:pStyle w:val="Defstart"/>
      </w:pPr>
      <w:r>
        <w:rPr>
          <w:b/>
        </w:rPr>
        <w:tab/>
      </w:r>
      <w:r>
        <w:rPr>
          <w:rStyle w:val="CharDefText"/>
        </w:rPr>
        <w:t>insured person</w:t>
      </w:r>
      <w:r>
        <w:t xml:space="preserve"> means the owner of a motor vehicle in respect of which a policy of insurance is in force under this Act, and the driver at the material time whether with or without the consent of the owner;</w:t>
      </w:r>
    </w:p>
    <w:p>
      <w:pPr>
        <w:pStyle w:val="Defstart"/>
      </w:pPr>
      <w:r>
        <w:rPr>
          <w:b/>
        </w:rPr>
        <w:tab/>
      </w:r>
      <w:r>
        <w:rPr>
          <w:rStyle w:val="CharDefText"/>
        </w:rPr>
        <w:t>Minister</w:t>
      </w:r>
      <w:r>
        <w:t xml:space="preserve"> means the Minister for the time being charged by the Governor with the administration of this Act;</w:t>
      </w:r>
    </w:p>
    <w:p>
      <w:pPr>
        <w:pStyle w:val="Defstart"/>
      </w:pPr>
      <w:r>
        <w:rPr>
          <w:b/>
        </w:rPr>
        <w:tab/>
      </w:r>
      <w:r>
        <w:rPr>
          <w:rStyle w:val="CharDefText"/>
        </w:rPr>
        <w:t>motor vehicle</w:t>
      </w:r>
      <w:r>
        <w:t xml:space="preserve"> means any vehicle propelled by gas, oil, electricity or any other motive power, not being animal power, required to be licensed, and complying with the requirements necessary for licensing, under the Vehicles Act and includes a caravan, trailer or semi</w:t>
      </w:r>
      <w:r>
        <w:noBreakHyphen/>
        <w:t>trailer drawn or hauled by a motor vehicle;</w:t>
      </w:r>
    </w:p>
    <w:p>
      <w:pPr>
        <w:pStyle w:val="Defstart"/>
      </w:pPr>
      <w:r>
        <w:lastRenderedPageBreak/>
        <w:tab/>
      </w:r>
      <w:r>
        <w:rPr>
          <w:rStyle w:val="CharDefText"/>
        </w:rPr>
        <w:t>MV(CI) Act</w:t>
      </w:r>
      <w:r>
        <w:t xml:space="preserve"> means the </w:t>
      </w:r>
      <w:r>
        <w:rPr>
          <w:i/>
        </w:rPr>
        <w:t>Motor Vehicle (Catastrophic Injuries) Act 2016</w:t>
      </w:r>
      <w:r>
        <w:t>;</w:t>
      </w:r>
    </w:p>
    <w:p>
      <w:pPr>
        <w:pStyle w:val="Defstart"/>
        <w:keepLines/>
      </w:pPr>
      <w:r>
        <w:rPr>
          <w:b/>
        </w:rPr>
        <w:tab/>
      </w:r>
      <w:r>
        <w:rPr>
          <w:rStyle w:val="CharDefText"/>
        </w:rPr>
        <w:t>owner</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t xml:space="preserve">Save as aforesaid the term </w:t>
      </w:r>
      <w:r>
        <w:rPr>
          <w:rStyle w:val="CharDefText"/>
        </w:rPr>
        <w:t>owner</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r>
      <w:r>
        <w:rPr>
          <w:rStyle w:val="CharDefText"/>
        </w:rPr>
        <w:t>policy of insurance</w:t>
      </w:r>
      <w:r>
        <w:t xml:space="preserve"> includes a cover note and/or certificate of insurance which is binding on the insurer;</w:t>
      </w:r>
    </w:p>
    <w:p>
      <w:pPr>
        <w:pStyle w:val="Defstart"/>
      </w:pPr>
      <w:r>
        <w:rPr>
          <w:b/>
        </w:rPr>
        <w:tab/>
      </w:r>
      <w:r>
        <w:rPr>
          <w:rStyle w:val="CharDefText"/>
        </w:rPr>
        <w:t>uninsured motor vehicle</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t>The expression does not include a motor vehicle owned by the Commonwealth or any Commonwealth instrumentality;</w:t>
      </w:r>
    </w:p>
    <w:p>
      <w:pPr>
        <w:pStyle w:val="Defstart"/>
      </w:pPr>
      <w:r>
        <w:rPr>
          <w:b/>
        </w:rPr>
        <w:tab/>
      </w:r>
      <w:r>
        <w:rPr>
          <w:rStyle w:val="CharDefText"/>
        </w:rPr>
        <w:t>Vehicles Act</w:t>
      </w:r>
      <w:r>
        <w:t xml:space="preserve"> means the </w:t>
      </w:r>
      <w:r>
        <w:rPr>
          <w:i/>
          <w:iCs/>
        </w:rPr>
        <w:t>Road Traffic (Vehicles) Act 2012</w:t>
      </w:r>
      <w:r>
        <w:t>.</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rPr>
      </w:pPr>
      <w:r>
        <w:rPr>
          <w:snapToGrid w:val="0"/>
        </w:rPr>
        <w:tab/>
        <w:t>(3)</w:t>
      </w:r>
      <w:r>
        <w:rPr>
          <w:snapToGrid w:val="0"/>
        </w:rPr>
        <w:tab/>
        <w:t xml:space="preserve">This Act shall not render it obligatory to insure any motor vehicle owned by the Crown in right either of the </w:t>
      </w:r>
      <w:r>
        <w:rPr>
          <w:snapToGrid w:val="0"/>
        </w:rPr>
        <w:lastRenderedPageBreak/>
        <w:t>Commonwealth or of the State and used solely in the public business of the Commonwealth or of the State as the case may be.</w:t>
      </w:r>
    </w:p>
    <w:p>
      <w:pPr>
        <w:pStyle w:val="Subsection"/>
        <w:rPr>
          <w:snapToGrid w:val="0"/>
        </w:rPr>
      </w:pPr>
      <w:r>
        <w:rPr>
          <w:snapToGrid w:val="0"/>
          <w:spacing w:val="-2"/>
        </w:rPr>
        <w:tab/>
        <w:t>(3A)</w:t>
      </w:r>
      <w:r>
        <w:rPr>
          <w:snapToGrid w:val="0"/>
          <w:spacing w:val="-2"/>
        </w:rPr>
        <w:tab/>
      </w:r>
      <w:r>
        <w:t>Despite subsection (3), in</w:t>
      </w:r>
      <w:r>
        <w:rPr>
          <w:snapToGrid w:val="0"/>
        </w:rPr>
        <w:t xml:space="preserve">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w:t>
      </w:r>
      <w:r>
        <w:rPr>
          <w:snapToGrid w:val="0"/>
        </w:rPr>
        <w:tab/>
        <w:t>It shall not be necessary for the owner of any motor vehicle which is temporarily in this State and which is licensed or registered in any other State or territory of the Commonwealth prescribed by the Governor as hereinafter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(4B)</w:t>
      </w:r>
      <w:r>
        <w:rPr>
          <w:snapToGrid w:val="0"/>
        </w:rPr>
        <w:tab/>
        <w:t>The Governor may by order in council prescribe for the purposes of subsection (4) any State or territory of the Commonwealth in which the Governor is satisfied there is in operation legislation for the carrying out of objects substantially similar to the objects of this Act.</w:t>
      </w:r>
    </w:p>
    <w:p>
      <w:pPr>
        <w:pStyle w:val="Subsection"/>
        <w:rPr>
          <w:snapToGrid w:val="0"/>
        </w:rPr>
      </w:pPr>
      <w:r>
        <w:rPr>
          <w:snapToGrid w:val="0"/>
        </w:rPr>
        <w:tab/>
        <w:t>(5)</w:t>
      </w:r>
      <w:r>
        <w:rPr>
          <w:snapToGrid w:val="0"/>
        </w:rPr>
        <w:tab/>
        <w:t xml:space="preserve">So far as relates to motor vehicles for which licences under the </w:t>
      </w:r>
      <w:r>
        <w:t>Vehicles</w:t>
      </w:r>
      <w:r>
        <w:rPr>
          <w:snapToGrid w:val="0"/>
        </w:rPr>
        <w:t xml:space="preserve">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w:t>
      </w:r>
      <w:r>
        <w:rPr>
          <w:snapToGrid w:val="0"/>
        </w:rPr>
        <w:lastRenderedPageBreak/>
        <w:t>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 No. 19 of 2010 s. 51; No. 8 of 2012 s. 137 and 141; No. 8 of 2016 s. 44.]</w:t>
      </w:r>
    </w:p>
    <w:p>
      <w:pPr>
        <w:pStyle w:val="Heading5"/>
        <w:rPr>
          <w:snapToGrid w:val="0"/>
        </w:rPr>
      </w:pPr>
      <w:bookmarkStart w:id="5" w:name="_Toc161414731"/>
      <w:r>
        <w:rPr>
          <w:rStyle w:val="CharSectno"/>
        </w:rPr>
        <w:t>3A</w:t>
      </w:r>
      <w:r>
        <w:rPr>
          <w:snapToGrid w:val="0"/>
        </w:rPr>
        <w:t xml:space="preserve">. </w:t>
      </w:r>
      <w:r>
        <w:rPr>
          <w:snapToGrid w:val="0"/>
        </w:rPr>
        <w:tab/>
        <w:t>Application of sections 3C and 3D</w:t>
      </w:r>
      <w:bookmarkEnd w:id="5"/>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No. 17 of 1994 s. 5.]</w:t>
      </w:r>
    </w:p>
    <w:p>
      <w:pPr>
        <w:pStyle w:val="Heading5"/>
        <w:rPr>
          <w:snapToGrid w:val="0"/>
        </w:rPr>
      </w:pPr>
      <w:bookmarkStart w:id="6" w:name="_Toc161414732"/>
      <w:r>
        <w:rPr>
          <w:rStyle w:val="CharSectno"/>
        </w:rPr>
        <w:lastRenderedPageBreak/>
        <w:t>3B</w:t>
      </w:r>
      <w:r>
        <w:rPr>
          <w:snapToGrid w:val="0"/>
        </w:rPr>
        <w:t xml:space="preserve">. </w:t>
      </w:r>
      <w:r>
        <w:rPr>
          <w:snapToGrid w:val="0"/>
        </w:rPr>
        <w:tab/>
        <w:t>Limit on powers of courts</w:t>
      </w:r>
      <w:bookmarkEnd w:id="6"/>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No. 17 of 1994 s. 5.]</w:t>
      </w:r>
    </w:p>
    <w:p>
      <w:pPr>
        <w:pStyle w:val="Heading5"/>
        <w:rPr>
          <w:snapToGrid w:val="0"/>
        </w:rPr>
      </w:pPr>
      <w:bookmarkStart w:id="7" w:name="_Toc161414733"/>
      <w:r>
        <w:rPr>
          <w:rStyle w:val="CharSectno"/>
        </w:rPr>
        <w:t>3C</w:t>
      </w:r>
      <w:r>
        <w:rPr>
          <w:snapToGrid w:val="0"/>
        </w:rPr>
        <w:t xml:space="preserve">. </w:t>
      </w:r>
      <w:r>
        <w:rPr>
          <w:snapToGrid w:val="0"/>
        </w:rPr>
        <w:tab/>
        <w:t>Restrictions on damages for non</w:t>
      </w:r>
      <w:r>
        <w:rPr>
          <w:snapToGrid w:val="0"/>
        </w:rPr>
        <w:noBreakHyphen/>
        <w:t>pecuniary loss</w:t>
      </w:r>
      <w:bookmarkEnd w:id="7"/>
    </w:p>
    <w:p>
      <w:pPr>
        <w:pStyle w:val="Subsection"/>
        <w:keepNext/>
        <w:rPr>
          <w:snapToGrid w:val="0"/>
        </w:rPr>
      </w:pPr>
      <w:r>
        <w:rPr>
          <w:snapToGrid w:val="0"/>
        </w:rPr>
        <w:tab/>
        <w:t>(1)</w:t>
      </w:r>
      <w:r>
        <w:rPr>
          <w:snapToGrid w:val="0"/>
        </w:rPr>
        <w:tab/>
        <w:t>In this section —</w:t>
      </w:r>
    </w:p>
    <w:p>
      <w:pPr>
        <w:pStyle w:val="Defstart"/>
        <w:ind w:left="1327" w:hanging="1327"/>
      </w:pPr>
      <w:r>
        <w:rPr>
          <w:b/>
        </w:rPr>
        <w:tab/>
      </w:r>
      <w:r>
        <w:rPr>
          <w:rStyle w:val="CharDefText"/>
        </w:rPr>
        <w:t>Amount A</w:t>
      </w:r>
      <w:r>
        <w:t> </w:t>
      </w:r>
      <w:r>
        <w:rPr>
          <w:vertAlign w:val="superscript"/>
        </w:rPr>
        <w:t>1</w:t>
      </w:r>
      <w:r>
        <w:t xml:space="preserve"> means —</w:t>
      </w:r>
    </w:p>
    <w:p>
      <w:pPr>
        <w:pStyle w:val="Defpara"/>
      </w:pPr>
      <w:r>
        <w:tab/>
        <w:t>(a)</w:t>
      </w:r>
      <w:r>
        <w:tab/>
        <w:t>for the financial year ending on 30 June 1994, $200 000; and</w:t>
      </w:r>
    </w:p>
    <w:p>
      <w:pPr>
        <w:pStyle w:val="Defpara"/>
      </w:pPr>
      <w:r>
        <w:tab/>
        <w:t>(b)</w:t>
      </w:r>
      <w:r>
        <w:tab/>
        <w:t>for any subsequent financial year, the amount recalculated as Amount A under subsections (8) and (9);</w:t>
      </w:r>
    </w:p>
    <w:p>
      <w:pPr>
        <w:pStyle w:val="Defstart"/>
        <w:ind w:left="1327" w:hanging="1327"/>
      </w:pPr>
      <w:r>
        <w:rPr>
          <w:b/>
        </w:rPr>
        <w:tab/>
      </w:r>
      <w:r>
        <w:rPr>
          <w:rStyle w:val="CharDefText"/>
        </w:rPr>
        <w:t>Amount B</w:t>
      </w:r>
      <w:r>
        <w:t> </w:t>
      </w:r>
      <w:r>
        <w:rPr>
          <w:vertAlign w:val="superscript"/>
        </w:rPr>
        <w:t>1</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r>
      <w:r>
        <w:rPr>
          <w:rStyle w:val="CharDefText"/>
        </w:rPr>
        <w:t>Amount C</w:t>
      </w:r>
      <w:r>
        <w:t> </w:t>
      </w:r>
      <w:r>
        <w:rPr>
          <w:vertAlign w:val="superscript"/>
        </w:rPr>
        <w:t>1</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r>
      <w:r>
        <w:rPr>
          <w:rStyle w:val="CharDefText"/>
        </w:rPr>
        <w:t>non</w:t>
      </w:r>
      <w:r>
        <w:rPr>
          <w:rStyle w:val="CharDefText"/>
        </w:rPr>
        <w:noBreakHyphen/>
        <w:t>pecuniary loss</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rPr>
      </w:pPr>
      <w:r>
        <w:rPr>
          <w:snapToGrid w:val="0"/>
        </w:rPr>
        <w:lastRenderedPageBreak/>
        <w:tab/>
        <w:t>(2)</w:t>
      </w:r>
      <w:r>
        <w:rPr>
          <w:snapToGrid w:val="0"/>
        </w:rPr>
        <w:tab/>
        <w:t>The amount of damages to be awarded for non</w:t>
      </w:r>
      <w:r>
        <w:rPr>
          <w:snapToGrid w:val="0"/>
        </w:rPr>
        <w:noBreakHyphen/>
        <w:t>pecuniary loss is to be a proportion, determined according to the severity of the non</w:t>
      </w:r>
      <w:r>
        <w:rPr>
          <w:snapToGrid w:val="0"/>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object w:dxaOrig="3800"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pt;height:36.75pt" o:ole="" fillcolor="window">
            <v:imagedata r:id="rId20" o:title=""/>
          </v:shape>
          <o:OLEObject Type="Embed" ProgID="Equation.3" ShapeID="_x0000_i1025" DrawAspect="Content" ObjectID="_1811755060" r:id="rId21"/>
        </w:obje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rStyle w:val="CharDefText"/>
        </w:rPr>
        <w:t>the recalculation date</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 xml:space="preserve">by the percentage by which the weighted average minimum award rate for adult males under Western Australian State Awards published by the Australian </w:t>
      </w:r>
      <w:r>
        <w:rPr>
          <w:snapToGrid w:val="0"/>
        </w:rPr>
        <w:lastRenderedPageBreak/>
        <w:t>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rPr>
      </w:pPr>
      <w:r>
        <w:rPr>
          <w:snapToGrid w:val="0"/>
        </w:rPr>
        <w:tab/>
        <w:t>(10)</w:t>
      </w:r>
      <w:r>
        <w:rPr>
          <w:snapToGrid w:val="0"/>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1</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No. 17 of 1994 s. 5; amended: No. 42 of 2004 s. 174.]</w:t>
      </w:r>
    </w:p>
    <w:p>
      <w:pPr>
        <w:pStyle w:val="Heading5"/>
        <w:rPr>
          <w:snapToGrid w:val="0"/>
        </w:rPr>
      </w:pPr>
      <w:bookmarkStart w:id="8" w:name="_Toc161414734"/>
      <w:r>
        <w:rPr>
          <w:rStyle w:val="CharSectno"/>
        </w:rPr>
        <w:t>3D</w:t>
      </w:r>
      <w:r>
        <w:rPr>
          <w:snapToGrid w:val="0"/>
        </w:rPr>
        <w:t xml:space="preserve">. </w:t>
      </w:r>
      <w:r>
        <w:rPr>
          <w:snapToGrid w:val="0"/>
        </w:rPr>
        <w:tab/>
        <w:t>Restrictions on damages for provision of home care services</w:t>
      </w:r>
      <w:bookmarkEnd w:id="8"/>
    </w:p>
    <w:p>
      <w:pPr>
        <w:pStyle w:val="Subsection"/>
        <w:spacing w:before="200"/>
        <w:rPr>
          <w:snapToGrid w:val="0"/>
        </w:rPr>
      </w:pPr>
      <w:r>
        <w:rPr>
          <w:snapToGrid w:val="0"/>
        </w:rPr>
        <w:tab/>
        <w:t>(1)</w:t>
      </w:r>
      <w:r>
        <w:rPr>
          <w:snapToGrid w:val="0"/>
        </w:rPr>
        <w:tab/>
        <w:t xml:space="preserve">This section limits the damages that may be awarded for the value of gratuitous services of a domestic nature or gratuitous </w:t>
      </w:r>
      <w:r>
        <w:rPr>
          <w:snapToGrid w:val="0"/>
        </w:rPr>
        <w:lastRenderedPageBreak/>
        <w:t>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rStyle w:val="CharDefText"/>
        </w:rPr>
        <w:t>the relevant quarter</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rStyle w:val="CharDefText"/>
        </w:rPr>
        <w:t>Amount D</w:t>
      </w:r>
      <w:r>
        <w:rPr>
          <w:snapToGrid w:val="0"/>
        </w:rPr>
        <w:t> </w:t>
      </w:r>
      <w:r>
        <w:rPr>
          <w:snapToGrid w:val="0"/>
          <w:vertAlign w:val="superscript"/>
        </w:rPr>
        <w:t>1</w:t>
      </w:r>
      <w:r>
        <w:rPr>
          <w:snapToGrid w:val="0"/>
        </w:rPr>
        <w:t xml:space="preserve"> means —</w:t>
      </w:r>
    </w:p>
    <w:p>
      <w:pPr>
        <w:pStyle w:val="Indenta"/>
        <w:rPr>
          <w:snapToGrid w:val="0"/>
        </w:rPr>
      </w:pPr>
      <w:r>
        <w:rPr>
          <w:snapToGrid w:val="0"/>
        </w:rPr>
        <w:lastRenderedPageBreak/>
        <w:tab/>
        <w:t>(a)</w:t>
      </w:r>
      <w:r>
        <w:rPr>
          <w:snapToGrid w:val="0"/>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keepLines/>
        <w:rPr>
          <w:snapToGrid w:val="0"/>
        </w:rPr>
      </w:pPr>
      <w:r>
        <w:rPr>
          <w:snapToGrid w:val="0"/>
        </w:rPr>
        <w:tab/>
        <w:t>(8)</w:t>
      </w:r>
      <w:r>
        <w:rPr>
          <w:snapToGrid w:val="0"/>
        </w:rPr>
        <w:tab/>
        <w:t>By operation of this subsection and subsection (9) Amount D is recalculated annually with effect from 1 July (</w:t>
      </w:r>
      <w:r>
        <w:rPr>
          <w:rStyle w:val="CharDefText"/>
        </w:rPr>
        <w:t>the recalculation date</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spacing w:before="120"/>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1</w:t>
      </w:r>
      <w:r>
        <w:rPr>
          <w:snapToGrid w:val="0"/>
        </w:rPr>
        <w:t>.</w:t>
      </w:r>
    </w:p>
    <w:p>
      <w:pPr>
        <w:pStyle w:val="Subsection"/>
        <w:spacing w:before="120"/>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spacing w:before="120"/>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No. 17 of 1994 s. 5.]</w:t>
      </w:r>
    </w:p>
    <w:p>
      <w:pPr>
        <w:pStyle w:val="Heading5"/>
        <w:rPr>
          <w:snapToGrid w:val="0"/>
        </w:rPr>
      </w:pPr>
      <w:bookmarkStart w:id="9" w:name="_Toc161414735"/>
      <w:r>
        <w:rPr>
          <w:rStyle w:val="CharSectno"/>
        </w:rPr>
        <w:lastRenderedPageBreak/>
        <w:t>3E</w:t>
      </w:r>
      <w:r>
        <w:rPr>
          <w:snapToGrid w:val="0"/>
        </w:rPr>
        <w:t xml:space="preserve">. </w:t>
      </w:r>
      <w:r>
        <w:rPr>
          <w:snapToGrid w:val="0"/>
        </w:rPr>
        <w:tab/>
        <w:t>Causes of action to which restrictions on damages apply</w:t>
      </w:r>
      <w:bookmarkEnd w:id="9"/>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snapToGrid w:val="0"/>
        </w:rPr>
        <w:t xml:space="preserve"> in the same way as they apply to causes of action arising after that commencement.</w:t>
      </w:r>
    </w:p>
    <w:p>
      <w:pPr>
        <w:pStyle w:val="Footnotesection"/>
        <w:spacing w:before="60"/>
        <w:ind w:left="890" w:hanging="890"/>
      </w:pPr>
      <w:r>
        <w:tab/>
        <w:t>[Section 3E inserted: No. 17 of 1994 s. 5.]</w:t>
      </w:r>
    </w:p>
    <w:p>
      <w:pPr>
        <w:pStyle w:val="Heading5"/>
      </w:pPr>
      <w:bookmarkStart w:id="10" w:name="_Toc161414736"/>
      <w:r>
        <w:rPr>
          <w:rStyle w:val="CharSectno"/>
        </w:rPr>
        <w:t>3EA</w:t>
      </w:r>
      <w:r>
        <w:t>.</w:t>
      </w:r>
      <w:r>
        <w:tab/>
        <w:t>Restrictions on damages if payments received under CISS</w:t>
      </w:r>
      <w:bookmarkEnd w:id="10"/>
    </w:p>
    <w:p>
      <w:pPr>
        <w:pStyle w:val="Subsection"/>
      </w:pPr>
      <w:r>
        <w:tab/>
        <w:t>(1)</w:t>
      </w:r>
      <w:r>
        <w:tab/>
        <w:t xml:space="preserve">In this section — </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(3)</w:t>
      </w:r>
      <w:r>
        <w:tab/>
        <w:t xml:space="preserve">Subsection (4) applies to the awarding of damages in respect of bodily injury to a person directly caused by, or by the driving of, a motor vehicle if the person — </w:t>
      </w:r>
    </w:p>
    <w:p>
      <w:pPr>
        <w:pStyle w:val="Indenta"/>
      </w:pPr>
      <w:r>
        <w:tab/>
        <w:t>(a)</w:t>
      </w:r>
      <w:r>
        <w:tab/>
        <w:t>has ceased to be an interim participant in respect of the bodily injury; and</w:t>
      </w:r>
    </w:p>
    <w:p>
      <w:pPr>
        <w:pStyle w:val="Indenta"/>
      </w:pPr>
      <w:r>
        <w:tab/>
        <w:t>(b)</w:t>
      </w:r>
      <w:r>
        <w:tab/>
        <w:t>has not become a lifetime participant in respect of the bodily injury.</w:t>
      </w:r>
    </w:p>
    <w:p>
      <w:pPr>
        <w:pStyle w:val="Subsection"/>
      </w:pPr>
      <w:r>
        <w:lastRenderedPageBreak/>
        <w:tab/>
        <w:t>(4)</w:t>
      </w:r>
      <w:r>
        <w:tab/>
        <w:t>No damages are to be awarded to the person in respect of any treatment, care and support needs of the person that relate to the bodily injury and that arose during the period in respect of which the person was an interim participant.</w:t>
      </w:r>
    </w:p>
    <w:p>
      <w:pPr>
        <w:pStyle w:val="Subsection"/>
        <w:keepNext/>
      </w:pPr>
      <w:r>
        <w:tab/>
        <w:t>(5)</w:t>
      </w:r>
      <w:r>
        <w:tab/>
        <w:t xml:space="preserve">Subsection (4) applies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(6)</w:t>
      </w:r>
      <w:r>
        <w:tab/>
        <w:t>If subsection (4) applies a court is not to award damages to a person contrary to that subsection.</w:t>
      </w:r>
    </w:p>
    <w:p>
      <w:pPr>
        <w:pStyle w:val="Footnotesection"/>
      </w:pPr>
      <w:r>
        <w:tab/>
        <w:t>[Section 3EA inserted: No. 8 of 2016 s. 45.]</w:t>
      </w:r>
    </w:p>
    <w:p>
      <w:pPr>
        <w:pStyle w:val="Heading5"/>
      </w:pPr>
      <w:bookmarkStart w:id="11" w:name="_Toc161414737"/>
      <w:r>
        <w:rPr>
          <w:rStyle w:val="CharSectno"/>
        </w:rPr>
        <w:t>3F</w:t>
      </w:r>
      <w:r>
        <w:t>.</w:t>
      </w:r>
      <w:r>
        <w:tab/>
        <w:t>Restriction on damages for loss relating to earning capacity</w:t>
      </w:r>
      <w:bookmarkEnd w:id="11"/>
    </w:p>
    <w:p>
      <w:pPr>
        <w:pStyle w:val="Subsection"/>
        <w:rPr>
          <w:snapToGrid w:val="0"/>
        </w:rPr>
      </w:pPr>
      <w:r>
        <w:tab/>
        <w:t>(1)</w:t>
      </w:r>
      <w:r>
        <w:tab/>
        <w:t>Subsection (</w:t>
      </w:r>
      <w:r>
        <w:rPr>
          <w:snapToGrid w:val="0"/>
        </w:rPr>
        <w:t>4) applies to the awarding of damages in respect of bodily injury to a person directly caused by, or by the driving of, a motor vehicle.</w:t>
      </w:r>
    </w:p>
    <w:p>
      <w:pPr>
        <w:pStyle w:val="Subsection"/>
        <w:rPr>
          <w:snapToGrid w:val="0"/>
        </w:rPr>
      </w:pPr>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p>
    <w:p>
      <w:pPr>
        <w:pStyle w:val="Subsection"/>
        <w:rPr>
          <w:snapToGrid w:val="0"/>
        </w:rPr>
      </w:pPr>
      <w:r>
        <w:rPr>
          <w:snapToGrid w:val="0"/>
        </w:rPr>
        <w:tab/>
        <w:t>(3)</w:t>
      </w:r>
      <w:r>
        <w:rPr>
          <w:snapToGrid w:val="0"/>
        </w:rPr>
        <w:tab/>
        <w:t>If subsection (4) applies a court is not to award damages to a person contrary to that subsection.</w:t>
      </w:r>
    </w:p>
    <w:p>
      <w:pPr>
        <w:pStyle w:val="Subsection"/>
      </w:pPr>
      <w:r>
        <w:tab/>
        <w:t>(4)</w:t>
      </w:r>
      <w:r>
        <w:tab/>
        <w:t>In assessing the amount of —</w:t>
      </w:r>
    </w:p>
    <w:p>
      <w:pPr>
        <w:pStyle w:val="Indenta"/>
      </w:pPr>
      <w:r>
        <w:tab/>
        <w:t>(a)</w:t>
      </w:r>
      <w:r>
        <w:tab/>
        <w:t xml:space="preserve">past </w:t>
      </w:r>
      <w:r>
        <w:rPr>
          <w:snapToGrid w:val="0"/>
        </w:rPr>
        <w:t>economic</w:t>
      </w:r>
      <w:r>
        <w:t xml:space="preserve"> loss due to the deprivation or impairment of earning capacity; or</w:t>
      </w:r>
    </w:p>
    <w:p>
      <w:pPr>
        <w:pStyle w:val="Indenta"/>
      </w:pPr>
      <w:r>
        <w:tab/>
        <w:t>(b)</w:t>
      </w:r>
      <w:r>
        <w:tab/>
      </w:r>
      <w:r>
        <w:rPr>
          <w:snapToGrid w:val="0"/>
        </w:rPr>
        <w:t>future</w:t>
      </w:r>
      <w:r>
        <w:t xml:space="preserve"> economic loss due to the deprivation or impairment of prospective earning capacity,</w:t>
      </w:r>
    </w:p>
    <w:p>
      <w:pPr>
        <w:pStyle w:val="Subsection"/>
      </w:pPr>
      <w:r>
        <w:lastRenderedPageBreak/>
        <w:tab/>
      </w:r>
      <w:r>
        <w:tab/>
        <w:t>for the purpose of the awarding of damages, earning capacity is to be disregarded to the extent that it would have exceeded a capacity to earn 3 times the average weekly earnings at the date of the award.</w:t>
      </w:r>
    </w:p>
    <w:p>
      <w:pPr>
        <w:pStyle w:val="Subsection"/>
      </w:pPr>
      <w:r>
        <w:tab/>
        <w:t>(5)</w:t>
      </w:r>
      <w:r>
        <w:tab/>
        <w:t xml:space="preserve">For the </w:t>
      </w:r>
      <w:r>
        <w:rPr>
          <w:snapToGrid w:val="0"/>
        </w:rPr>
        <w:t>purpose</w:t>
      </w:r>
      <w:r>
        <w:t xml:space="preserve"> of subsection (</w:t>
      </w:r>
      <w:r>
        <w:rPr>
          <w:snapToGrid w:val="0"/>
        </w:rPr>
        <w:t>4)</w:t>
      </w:r>
      <w:r>
        <w:t>, the average weekly earnings at the date of the award is —</w:t>
      </w:r>
    </w:p>
    <w:p>
      <w:pPr>
        <w:pStyle w:val="Indenta"/>
      </w:pPr>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pPr>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p>
    <w:p>
      <w:pPr>
        <w:pStyle w:val="Footnotesection"/>
      </w:pPr>
      <w:r>
        <w:tab/>
        <w:t>[Section 3F inserted: No. 15 of 2006 s. 4.]</w:t>
      </w:r>
    </w:p>
    <w:p>
      <w:pPr>
        <w:pStyle w:val="Heading5"/>
      </w:pPr>
      <w:bookmarkStart w:id="12" w:name="_Toc161414738"/>
      <w:r>
        <w:rPr>
          <w:rStyle w:val="CharSectno"/>
        </w:rPr>
        <w:t>3FA</w:t>
      </w:r>
      <w:r>
        <w:t>.</w:t>
      </w:r>
      <w:r>
        <w:tab/>
        <w:t>Restrictions on damages to be part of the substantive law</w:t>
      </w:r>
      <w:bookmarkEnd w:id="12"/>
    </w:p>
    <w:p>
      <w:pPr>
        <w:pStyle w:val="Subsection"/>
      </w:pPr>
      <w:r>
        <w:tab/>
        <w:t>(1)</w:t>
      </w:r>
      <w:r>
        <w:tab/>
        <w:t xml:space="preserve">In this section — </w:t>
      </w:r>
    </w:p>
    <w:p>
      <w:pPr>
        <w:pStyle w:val="Defstart"/>
      </w:pPr>
      <w:r>
        <w:tab/>
      </w:r>
      <w:r>
        <w:rPr>
          <w:rStyle w:val="CharDefText"/>
        </w:rPr>
        <w:t>restrictive provisions</w:t>
      </w:r>
      <w:r>
        <w:t xml:space="preserve"> means sections 3A to 3F.</w:t>
      </w:r>
    </w:p>
    <w:p>
      <w:pPr>
        <w:pStyle w:val="Subsection"/>
      </w:pPr>
      <w:r>
        <w:tab/>
        <w:t>(2)</w:t>
      </w:r>
      <w:r>
        <w:tab/>
        <w:t>To remove doubt it is declared that if the substantive law of Western Australia is to govern a claim for damages in respect of bodily injury to a person directly caused by, or by the driving of, a motor vehicle, the restrictive provisions are part of that substantive law and are to be applied accordingly by the court that determines the claim (including a court of another jurisdiction).</w:t>
      </w:r>
    </w:p>
    <w:p>
      <w:pPr>
        <w:pStyle w:val="Subsection"/>
      </w:pPr>
      <w:r>
        <w:tab/>
        <w:t>(3)</w:t>
      </w:r>
      <w:r>
        <w:tab/>
        <w:t xml:space="preserve">This subsection applies if — </w:t>
      </w:r>
    </w:p>
    <w:p>
      <w:pPr>
        <w:pStyle w:val="Indenta"/>
      </w:pPr>
      <w:r>
        <w:tab/>
        <w:t>(a)</w:t>
      </w:r>
      <w:r>
        <w:tab/>
        <w:t>a court (including a court of another jurisdiction) awards damages to a person in respect of bodily injury to a person directly caused by, or by the driving of, a motor vehicle; and</w:t>
      </w:r>
    </w:p>
    <w:p>
      <w:pPr>
        <w:pStyle w:val="Indenta"/>
      </w:pPr>
      <w:r>
        <w:lastRenderedPageBreak/>
        <w:tab/>
        <w:t>(b)</w:t>
      </w:r>
      <w:r>
        <w:tab/>
        <w:t>the award does not conform with the restrictive provisions.</w:t>
      </w:r>
    </w:p>
    <w:p>
      <w:pPr>
        <w:pStyle w:val="Subsection"/>
      </w:pPr>
      <w:r>
        <w:tab/>
        <w:t>(4)</w:t>
      </w:r>
      <w:r>
        <w:tab/>
        <w:t>If subsection (3) applies, the person against whom the award is made is not required to pay the damages awarded to the extent that the award is contrary to the restrictive provisions.</w:t>
      </w:r>
    </w:p>
    <w:p>
      <w:pPr>
        <w:pStyle w:val="Subsection"/>
      </w:pPr>
      <w:r>
        <w:tab/>
        <w:t>(5)</w:t>
      </w:r>
      <w:r>
        <w:tab/>
        <w:t>If subsection (3) applies and the person against whom the award is made has paid as damages an amount in excess of the amount that would have been payable if the award had conformed with the restrictive provisions, that person is entitled to recover the excess as a debt from the person to whom the payment is made.</w:t>
      </w:r>
    </w:p>
    <w:p>
      <w:pPr>
        <w:pStyle w:val="Footnotesection"/>
      </w:pPr>
      <w:r>
        <w:tab/>
        <w:t>[Section 3FA inserted: No. 8 of 2016 s. 46.]</w:t>
      </w:r>
    </w:p>
    <w:p>
      <w:pPr>
        <w:pStyle w:val="Heading5"/>
      </w:pPr>
      <w:bookmarkStart w:id="13" w:name="_Toc161414739"/>
      <w:r>
        <w:rPr>
          <w:rStyle w:val="CharSectno"/>
        </w:rPr>
        <w:t>3FB</w:t>
      </w:r>
      <w:r>
        <w:rPr>
          <w:szCs w:val="24"/>
        </w:rPr>
        <w:t>.</w:t>
      </w:r>
      <w:r>
        <w:rPr>
          <w:szCs w:val="24"/>
        </w:rPr>
        <w:tab/>
        <w:t>Damages for treatment, care and support needs: catastrophic injury</w:t>
      </w:r>
      <w:bookmarkEnd w:id="13"/>
    </w:p>
    <w:p>
      <w:pPr>
        <w:pStyle w:val="Subsection"/>
      </w:pPr>
      <w:r>
        <w:rPr>
          <w:szCs w:val="24"/>
        </w:rPr>
        <w:tab/>
        <w:t>(1)</w:t>
      </w:r>
      <w:r>
        <w:rPr>
          <w:szCs w:val="24"/>
        </w:rPr>
        <w:tab/>
        <w:t xml:space="preserve">In this section — </w:t>
      </w:r>
    </w:p>
    <w:p>
      <w:pPr>
        <w:pStyle w:val="Defstart"/>
      </w:pPr>
      <w:r>
        <w:rPr>
          <w:szCs w:val="24"/>
        </w:rPr>
        <w:tab/>
      </w:r>
      <w:r>
        <w:rPr>
          <w:rStyle w:val="CharDefText"/>
          <w:szCs w:val="24"/>
        </w:rPr>
        <w:t>treatment, care and support needs</w:t>
      </w:r>
      <w:r>
        <w:rPr>
          <w:szCs w:val="24"/>
        </w:rPr>
        <w:t xml:space="preserve"> has the meaning given in the MV(CI) Act section </w:t>
      </w:r>
      <w:r>
        <w:t>6</w:t>
      </w:r>
      <w:r>
        <w:rPr>
          <w:szCs w:val="24"/>
        </w:rPr>
        <w:t>.</w:t>
      </w:r>
    </w:p>
    <w:p>
      <w:pPr>
        <w:pStyle w:val="Subsection"/>
      </w:pPr>
      <w:r>
        <w:rPr>
          <w:szCs w:val="24"/>
        </w:rPr>
        <w:tab/>
        <w:t>(2)</w:t>
      </w:r>
      <w:r>
        <w:rPr>
          <w:szCs w:val="24"/>
        </w:rPr>
        <w:tab/>
        <w:t>Subsection (3) applies to the awarding of damages in respect of catastrophic injury to a person directly caused by, or by the driving of, a motor vehicle to the extent that the damages relate to any treatment, care and support needs of the person that have arisen or will or may arise in the future.</w:t>
      </w:r>
    </w:p>
    <w:p>
      <w:pPr>
        <w:pStyle w:val="Subsection"/>
      </w:pPr>
      <w:r>
        <w:tab/>
        <w:t>(3)</w:t>
      </w:r>
      <w:r>
        <w:tab/>
        <w:t>In determining the amount of damages, no deduction is to be made for any contributory negligence of the person in relation to the catastrophic injury to which the damages relate.</w:t>
      </w:r>
    </w:p>
    <w:p>
      <w:pPr>
        <w:pStyle w:val="Subsection"/>
      </w:pPr>
      <w:r>
        <w:tab/>
        <w:t>(4)</w:t>
      </w:r>
      <w:r>
        <w:tab/>
        <w:t>If subsection (3) applies a court awarding damages to a person is to award them in accordance with that subsection.</w:t>
      </w:r>
    </w:p>
    <w:p>
      <w:pPr>
        <w:pStyle w:val="Footnotesection"/>
      </w:pPr>
      <w:r>
        <w:tab/>
        <w:t>[Section 3FB inserted: No. 8 of 2016 s. 46.]</w:t>
      </w:r>
    </w:p>
    <w:p>
      <w:pPr>
        <w:pStyle w:val="Heading5"/>
      </w:pPr>
      <w:bookmarkStart w:id="14" w:name="_Toc161414740"/>
      <w:r>
        <w:rPr>
          <w:rStyle w:val="CharSectno"/>
        </w:rPr>
        <w:t>3G</w:t>
      </w:r>
      <w:r>
        <w:t>.</w:t>
      </w:r>
      <w:r>
        <w:tab/>
        <w:t>Liability of employers</w:t>
      </w:r>
      <w:bookmarkEnd w:id="14"/>
    </w:p>
    <w:p>
      <w:pPr>
        <w:pStyle w:val="Subsection"/>
        <w:rPr>
          <w:snapToGrid w:val="0"/>
        </w:rPr>
      </w:pPr>
      <w:r>
        <w:tab/>
        <w:t>(1)</w:t>
      </w:r>
      <w:r>
        <w:tab/>
        <w:t xml:space="preserve">This section has effect if </w:t>
      </w:r>
      <w:r>
        <w:rPr>
          <w:snapToGrid w:val="0"/>
        </w:rPr>
        <w:t xml:space="preserve">the death of or bodily injury to a person is directly caused by, or by the driving of, a motor </w:t>
      </w:r>
      <w:r>
        <w:rPr>
          <w:snapToGrid w:val="0"/>
        </w:rPr>
        <w:lastRenderedPageBreak/>
        <w:t xml:space="preserve">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p>
    <w:p>
      <w:pPr>
        <w:pStyle w:val="Subsection"/>
        <w:rPr>
          <w:snapToGrid w:val="0"/>
        </w:rPr>
      </w:pPr>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p>
    <w:p>
      <w:pPr>
        <w:pStyle w:val="Subsection"/>
      </w:pPr>
      <w:r>
        <w:tab/>
        <w:t>(3)</w:t>
      </w:r>
      <w:r>
        <w:tab/>
        <w:t xml:space="preserve">In </w:t>
      </w:r>
      <w:r>
        <w:rPr>
          <w:snapToGrid w:val="0"/>
        </w:rPr>
        <w:t>subsection (</w:t>
      </w:r>
      <w:r>
        <w:t>2) —</w:t>
      </w:r>
    </w:p>
    <w:p>
      <w:pPr>
        <w:pStyle w:val="Defstart"/>
      </w:pPr>
      <w:r>
        <w:rPr>
          <w:b/>
        </w:rPr>
        <w:tab/>
      </w:r>
      <w:r>
        <w:rPr>
          <w:rStyle w:val="CharDefText"/>
        </w:rPr>
        <w:t>owner</w:t>
      </w:r>
      <w:r>
        <w:t xml:space="preserve"> includes any person for whose negligence the owner is legally responsible.</w:t>
      </w:r>
    </w:p>
    <w:p>
      <w:pPr>
        <w:pStyle w:val="Footnotesection"/>
      </w:pPr>
      <w:r>
        <w:tab/>
        <w:t>[Section 3G inserted: No. 15 of 2006 s. 5.]</w:t>
      </w:r>
    </w:p>
    <w:p>
      <w:pPr>
        <w:pStyle w:val="Ednotesection"/>
        <w:spacing w:before="200"/>
      </w:pPr>
      <w:r>
        <w:t>[</w:t>
      </w:r>
      <w:r>
        <w:rPr>
          <w:b/>
        </w:rPr>
        <w:t>3H</w:t>
      </w:r>
      <w:r>
        <w:rPr>
          <w:b/>
        </w:rPr>
        <w:noBreakHyphen/>
        <w:t>3K.</w:t>
      </w:r>
      <w:r>
        <w:tab/>
        <w:t>Deleted: No. 51 of 1986 s. 46(2).]</w:t>
      </w:r>
    </w:p>
    <w:p>
      <w:pPr>
        <w:pStyle w:val="Ednotesection"/>
        <w:spacing w:before="200"/>
      </w:pPr>
      <w:r>
        <w:t>[</w:t>
      </w:r>
      <w:r>
        <w:rPr>
          <w:b/>
        </w:rPr>
        <w:t>3L</w:t>
      </w:r>
      <w:r>
        <w:rPr>
          <w:b/>
        </w:rPr>
        <w:noBreakHyphen/>
        <w:t>3N.</w:t>
      </w:r>
      <w:r>
        <w:rPr>
          <w:b/>
        </w:rPr>
        <w:tab/>
      </w:r>
      <w:r>
        <w:t>Deleted: No. 81 of 1982 s. 10.]</w:t>
      </w:r>
    </w:p>
    <w:p>
      <w:pPr>
        <w:pStyle w:val="Ednotesection"/>
        <w:spacing w:before="200"/>
      </w:pPr>
      <w:r>
        <w:t>[</w:t>
      </w:r>
      <w:r>
        <w:rPr>
          <w:b/>
        </w:rPr>
        <w:t>3P.</w:t>
      </w:r>
      <w:r>
        <w:rPr>
          <w:b/>
        </w:rPr>
        <w:tab/>
      </w:r>
      <w:r>
        <w:t>Deleted: No. 8 of 1988 s. 5.]</w:t>
      </w:r>
    </w:p>
    <w:p>
      <w:pPr>
        <w:pStyle w:val="Heading5"/>
        <w:spacing w:before="200"/>
        <w:rPr>
          <w:snapToGrid w:val="0"/>
        </w:rPr>
      </w:pPr>
      <w:bookmarkStart w:id="15" w:name="_Toc161414741"/>
      <w:r>
        <w:rPr>
          <w:rStyle w:val="CharSectno"/>
        </w:rPr>
        <w:t>3Q</w:t>
      </w:r>
      <w:r>
        <w:rPr>
          <w:snapToGrid w:val="0"/>
        </w:rPr>
        <w:t xml:space="preserve">. </w:t>
      </w:r>
      <w:r>
        <w:rPr>
          <w:snapToGrid w:val="0"/>
        </w:rPr>
        <w:tab/>
        <w:t>Director General’s functions</w:t>
      </w:r>
      <w:bookmarkEnd w:id="15"/>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No. 76 of 1996 s. 38.]</w:t>
      </w:r>
    </w:p>
    <w:p>
      <w:pPr>
        <w:pStyle w:val="Heading5"/>
        <w:spacing w:before="180"/>
      </w:pPr>
      <w:bookmarkStart w:id="16" w:name="_Toc161414742"/>
      <w:r>
        <w:rPr>
          <w:rStyle w:val="CharSectno"/>
        </w:rPr>
        <w:t>3QA</w:t>
      </w:r>
      <w:r>
        <w:t>.</w:t>
      </w:r>
      <w:r>
        <w:tab/>
        <w:t>Agreements for performance of functions</w:t>
      </w:r>
      <w:bookmarkEnd w:id="16"/>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lastRenderedPageBreak/>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No. 7 of 2002 s. 17.]</w:t>
      </w:r>
    </w:p>
    <w:p>
      <w:pPr>
        <w:pStyle w:val="Heading5"/>
      </w:pPr>
      <w:bookmarkStart w:id="17" w:name="_Toc161414743"/>
      <w:r>
        <w:rPr>
          <w:rStyle w:val="CharSectno"/>
        </w:rPr>
        <w:t>3QB</w:t>
      </w:r>
      <w:r>
        <w:t>.</w:t>
      </w:r>
      <w:r>
        <w:tab/>
        <w:t>Delegation</w:t>
      </w:r>
      <w:bookmarkEnd w:id="17"/>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lastRenderedPageBreak/>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No. 7 of 2002 s. 17.]</w:t>
      </w:r>
    </w:p>
    <w:p>
      <w:pPr>
        <w:pStyle w:val="Heading5"/>
        <w:rPr>
          <w:snapToGrid w:val="0"/>
        </w:rPr>
      </w:pPr>
      <w:bookmarkStart w:id="18" w:name="_Toc161414744"/>
      <w:r>
        <w:rPr>
          <w:rStyle w:val="CharSectno"/>
        </w:rPr>
        <w:t>3R</w:t>
      </w:r>
      <w:r>
        <w:rPr>
          <w:snapToGrid w:val="0"/>
        </w:rPr>
        <w:t xml:space="preserve">. </w:t>
      </w:r>
      <w:r>
        <w:rPr>
          <w:snapToGrid w:val="0"/>
        </w:rPr>
        <w:tab/>
        <w:t>Issue of policies of insurance</w:t>
      </w:r>
      <w:bookmarkEnd w:id="18"/>
    </w:p>
    <w:p>
      <w:pPr>
        <w:pStyle w:val="Ednotesubsection"/>
      </w:pPr>
      <w:r>
        <w:tab/>
        <w:t>[(1)</w:t>
      </w:r>
      <w:r>
        <w:tab/>
        <w:t>deleted]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(4B)</w:t>
      </w:r>
      <w:r>
        <w:tab/>
        <w:t>The Dir</w:t>
      </w:r>
      <w:r>
        <w:rPr>
          <w:snapToGrid w:val="0"/>
        </w:rPr>
        <w:t>e</w:t>
      </w:r>
      <w:r>
        <w:t xml:space="preserve">ctor General shall pay to the Treasurer at such times as are directed by the Treasurer all amounts of duty payable under the </w:t>
      </w:r>
      <w:r>
        <w:rPr>
          <w:i/>
          <w:iCs/>
        </w:rPr>
        <w:t>Duties Act 2008</w:t>
      </w:r>
      <w:r>
        <w:t xml:space="preserve"> upon the issue of the policies</w:t>
      </w:r>
      <w:r>
        <w:rPr>
          <w:snapToGrid w:val="0"/>
        </w:rPr>
        <w:t>.</w:t>
      </w:r>
    </w:p>
    <w:p>
      <w:pPr>
        <w:pStyle w:val="Subsection"/>
        <w:spacing w:before="120"/>
        <w:rPr>
          <w:snapToGrid w:val="0"/>
        </w:rPr>
      </w:pPr>
      <w:r>
        <w:rPr>
          <w:snapToGrid w:val="0"/>
        </w:rPr>
        <w:tab/>
        <w:t>(4C)</w:t>
      </w:r>
      <w:r>
        <w:rPr>
          <w:snapToGrid w:val="0"/>
        </w:rPr>
        <w:tab/>
        <w:t>The Treasurer shall pay all amounts received by him under subsection (4B) into the Consolidated Account.</w:t>
      </w:r>
    </w:p>
    <w:p>
      <w:pPr>
        <w:pStyle w:val="Subsection"/>
        <w:spacing w:before="120"/>
        <w:rPr>
          <w:snapToGrid w:val="0"/>
        </w:rPr>
      </w:pPr>
      <w:r>
        <w:rPr>
          <w:snapToGrid w:val="0"/>
        </w:rPr>
        <w:lastRenderedPageBreak/>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No. 31 of 1948 s. 4; amended: No. 40 of 1951 s. 7; No. </w:t>
      </w:r>
      <w:r>
        <w:rPr>
          <w:snapToGrid/>
        </w:rPr>
        <w:t>57</w:t>
      </w:r>
      <w:r>
        <w:rPr>
          <w:spacing w:val="-2"/>
        </w:rPr>
        <w:t xml:space="preserve"> of 1962 s. 3; No. 45 of 1973 s. 3; No. 58 of 1974 s. 29; No. 106 of 1981 s. 10; No. 81 of 1982 s. 13; No. 51 of 1986 s. 46(2); No. 8 of 1988 s. 6; No. 6 of 1993 s. 11; No. 76 of 1996 s. 40; No. 77 of 2006 s. 4; No. 12 of 2008 Sch. 1 cl. 23(1); No. 19 of 2010 s. 51.]</w:t>
      </w:r>
    </w:p>
    <w:p>
      <w:pPr>
        <w:pStyle w:val="Heading5"/>
        <w:rPr>
          <w:snapToGrid w:val="0"/>
        </w:rPr>
      </w:pPr>
      <w:bookmarkStart w:id="19" w:name="_Toc161414745"/>
      <w:r>
        <w:rPr>
          <w:rStyle w:val="CharSectno"/>
        </w:rPr>
        <w:t>3S</w:t>
      </w:r>
      <w:r>
        <w:rPr>
          <w:snapToGrid w:val="0"/>
        </w:rPr>
        <w:t xml:space="preserve">. </w:t>
      </w:r>
      <w:r>
        <w:rPr>
          <w:snapToGrid w:val="0"/>
        </w:rPr>
        <w:tab/>
        <w:t>Further powers of the Commission</w:t>
      </w:r>
      <w:bookmarkEnd w:id="19"/>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No. 31 of 1948 s. 4; amended: No. 51 of 1986 s. 46(2).]</w:t>
      </w:r>
    </w:p>
    <w:p>
      <w:pPr>
        <w:pStyle w:val="Heading5"/>
        <w:rPr>
          <w:snapToGrid w:val="0"/>
        </w:rPr>
      </w:pPr>
      <w:bookmarkStart w:id="20" w:name="_Toc161414746"/>
      <w:r>
        <w:rPr>
          <w:rStyle w:val="CharSectno"/>
        </w:rPr>
        <w:t>3T</w:t>
      </w:r>
      <w:r>
        <w:rPr>
          <w:snapToGrid w:val="0"/>
        </w:rPr>
        <w:t xml:space="preserve">. </w:t>
      </w:r>
      <w:r>
        <w:rPr>
          <w:snapToGrid w:val="0"/>
        </w:rPr>
        <w:tab/>
        <w:t>Premiums</w:t>
      </w:r>
      <w:bookmarkEnd w:id="20"/>
    </w:p>
    <w:p>
      <w:pPr>
        <w:pStyle w:val="Subsection"/>
        <w:rPr>
          <w:snapToGrid w:val="0"/>
        </w:rPr>
      </w:pPr>
      <w:r>
        <w:tab/>
        <w:t>(1)</w:t>
      </w:r>
      <w:r>
        <w:tab/>
      </w:r>
      <w:r>
        <w:rPr>
          <w:snapToGrid w:val="0"/>
        </w:rPr>
        <w:t xml:space="preserve">At least once in each financial year, the Commission is to make an assessment of the extent to which the premium income of the Commission as estimated on the basis of existing scales of premiums, together with other income expected to be received under and for the purposes of this Act </w:t>
      </w:r>
      <w:r>
        <w:t>and the MV(CI) Act by the Commission, will be sufficient to meet claims, payments, costs and other expenses anticipated to arise or to be incurred under this Act and the MV(CI) Act.</w:t>
      </w:r>
    </w:p>
    <w:p>
      <w:pPr>
        <w:pStyle w:val="Subsection"/>
        <w:rPr>
          <w:snapToGrid w:val="0"/>
        </w:rPr>
      </w:pPr>
      <w:r>
        <w:rPr>
          <w:snapToGrid w:val="0"/>
        </w:rPr>
        <w:tab/>
        <w:t>(2)</w:t>
      </w:r>
      <w:r>
        <w:rPr>
          <w:snapToGrid w:val="0"/>
        </w:rPr>
        <w:tab/>
        <w:t xml:space="preserve">Before making an assessment under subsection (1), the Commission shall procure and consider an actuarial report on </w:t>
      </w:r>
      <w:r>
        <w:t xml:space="preserve">the Fund and the Motor Vehicle (Catastrophic Injuries) Fund established under the </w:t>
      </w:r>
      <w:r>
        <w:rPr>
          <w:i/>
        </w:rPr>
        <w:t>Insurance Commission of Western Australia Act 1986</w:t>
      </w:r>
      <w:r>
        <w:t xml:space="preserve"> section 16(1)(b).</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w:t>
      </w:r>
      <w:r>
        <w:rPr>
          <w:snapToGrid w:val="0"/>
        </w:rPr>
        <w:lastRenderedPageBreak/>
        <w:t xml:space="preserve">recommendations for new </w:t>
      </w:r>
      <w:r>
        <w:t>scales of</w:t>
      </w:r>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No. 81 of 1982 s. 14; amended: No. 51 of 1986 s. 46(2); No. 15 of 2006 s. 6; No. 8 of 2016 s. 47.]</w:t>
      </w:r>
    </w:p>
    <w:p>
      <w:pPr>
        <w:pStyle w:val="Heading5"/>
        <w:rPr>
          <w:snapToGrid w:val="0"/>
        </w:rPr>
      </w:pPr>
      <w:bookmarkStart w:id="21" w:name="_Toc161414747"/>
      <w:r>
        <w:rPr>
          <w:rStyle w:val="CharSectno"/>
        </w:rPr>
        <w:t>4</w:t>
      </w:r>
      <w:r>
        <w:rPr>
          <w:snapToGrid w:val="0"/>
        </w:rPr>
        <w:t>.</w:t>
      </w:r>
      <w:r>
        <w:rPr>
          <w:snapToGrid w:val="0"/>
        </w:rPr>
        <w:tab/>
        <w:t>Insurance against third party risks</w:t>
      </w:r>
      <w:bookmarkEnd w:id="21"/>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deleted]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lastRenderedPageBreak/>
        <w:tab/>
        <w:t>(3B)</w:t>
      </w:r>
      <w:r>
        <w:tab/>
        <w:t>A person shall not be convicted or punished for an offence under subsection (3A) if he has already been convicted or acquitted of, or the penalty has been paid under an infringement notice served on the person for, an offence under the Vehicles Act section 4(2) and both those offences had been committed simultaneously.</w:t>
      </w:r>
    </w:p>
    <w:p>
      <w:pPr>
        <w:pStyle w:val="Subsection"/>
      </w:pPr>
      <w:r>
        <w:tab/>
        <w:t>(3C)</w:t>
      </w:r>
      <w:r>
        <w:tab/>
        <w:t>Upon conviction of a person of an offence under subsection (3A), if the court is satisfied that the owner of the vehicle in question was, at the time of the commission of the offence, not the holder of the requisite vehicle licence for the vehicle as required by the Vehicles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 xml:space="preserve">Any person convicted of an offence under this section shall (unless the court thinks fit to order otherwise) be disqualified from holding and obtaining under the </w:t>
      </w:r>
      <w:r>
        <w:rPr>
          <w:i/>
          <w:iCs/>
        </w:rPr>
        <w:t>Road Traffic (Authorisation to Drive) Act 2008</w:t>
      </w:r>
      <w:r>
        <w:t xml:space="preserve"> a driver’s licence or under the Vehicles Act</w:t>
      </w:r>
      <w:r>
        <w:rPr>
          <w:snapToGrid w:val="0"/>
        </w:rPr>
        <w:t xml:space="preserve">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t>(5A)</w:t>
      </w:r>
      <w:r>
        <w:rPr>
          <w:snapToGrid w:val="0"/>
        </w:rPr>
        <w:tab/>
      </w:r>
      <w:r>
        <w:t>Despite subsection (5), no proceedings for an offence under this section</w:t>
      </w:r>
      <w:r>
        <w:rPr>
          <w:snapToGrid w:val="0"/>
        </w:rPr>
        <w:t xml:space="preserve"> shall be commenced after the expiration of one year from the date of the commission of the alleged offence.</w:t>
      </w:r>
    </w:p>
    <w:p>
      <w:pPr>
        <w:pStyle w:val="Subsection"/>
        <w:rPr>
          <w:snapToGrid w:val="0"/>
        </w:rPr>
      </w:pPr>
      <w:r>
        <w:rPr>
          <w:snapToGrid w:val="0"/>
        </w:rPr>
        <w:lastRenderedPageBreak/>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rPr>
      </w:pPr>
      <w:r>
        <w:rPr>
          <w:snapToGrid w:val="0"/>
        </w:rPr>
        <w:tab/>
        <w:t>(7A)</w:t>
      </w:r>
      <w:r>
        <w:rPr>
          <w:snapToGrid w:val="0"/>
        </w:rPr>
        <w:tab/>
        <w:t xml:space="preserve">Any owner of a motor vehicle shall, on being requested so to do by </w:t>
      </w:r>
      <w:r>
        <w:t xml:space="preserve">a police officer, </w:t>
      </w:r>
      <w:r>
        <w:rPr>
          <w:snapToGrid w:val="0"/>
        </w:rPr>
        <w:t>produce evidence that there is in force in respect of every motor vehicle owned by him a policy of insurance complying with this Act.</w:t>
      </w:r>
    </w:p>
    <w:p>
      <w:pPr>
        <w:pStyle w:val="Subsection"/>
        <w:rPr>
          <w:snapToGrid w:val="0"/>
        </w:rPr>
      </w:pPr>
      <w:r>
        <w:rPr>
          <w:snapToGrid w:val="0"/>
        </w:rPr>
        <w:tab/>
        <w:t>(7B)</w:t>
      </w:r>
      <w:r>
        <w:rPr>
          <w:snapToGrid w:val="0"/>
        </w:rPr>
        <w:tab/>
        <w:t xml:space="preserve">The owner shall be deemed to have complied with subsection (7A) if he produces the necessary evidence at a Police Station (to be nominated by the owner to the </w:t>
      </w:r>
      <w:r>
        <w:t>police officer</w:t>
      </w:r>
      <w:r>
        <w:rPr>
          <w:snapToGrid w:val="0"/>
        </w:rPr>
        <w:t xml:space="preserve"> at the time when the request is made) within 5 days from the time when its production was requested.</w:t>
      </w:r>
    </w:p>
    <w:p>
      <w:pPr>
        <w:pStyle w:val="Subsection"/>
        <w:rPr>
          <w:snapToGrid w:val="0"/>
        </w:rPr>
      </w:pPr>
      <w:r>
        <w:rPr>
          <w:snapToGrid w:val="0"/>
        </w:rPr>
        <w:tab/>
        <w:t>(7C)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pPr>
      <w:r>
        <w:tab/>
        <w:t>(8)</w:t>
      </w:r>
      <w:r>
        <w:tab/>
        <w:t>Despite anything to the contrary in the Vehicles Act, no licence is to be granted or renewed under that Act in respect of a motor vehicle unless, before or at the time of the grant or renewal, there is paid to and received by the Director General the appropriate insurance premium determined by the Commission for the class of vehicle concerned and for the period for which the licence is granted or renewed.</w:t>
      </w:r>
    </w:p>
    <w:p>
      <w:pPr>
        <w:pStyle w:val="Subsection"/>
      </w:pPr>
      <w:r>
        <w:tab/>
        <w:t>(8A)</w:t>
      </w:r>
      <w:r>
        <w:tab/>
        <w:t xml:space="preserve">The grant or renewal of a licence under the Vehicles Act in respect of a motor vehicle is to be taken to constitute the issue of a policy of insurance complying with this Act — </w:t>
      </w:r>
    </w:p>
    <w:p>
      <w:pPr>
        <w:pStyle w:val="Indenta"/>
      </w:pPr>
      <w:r>
        <w:tab/>
        <w:t>(a)</w:t>
      </w:r>
      <w:r>
        <w:tab/>
        <w:t>in respect of the motor vehicle; and</w:t>
      </w:r>
    </w:p>
    <w:p>
      <w:pPr>
        <w:pStyle w:val="Indenta"/>
      </w:pPr>
      <w:r>
        <w:tab/>
        <w:t>(b)</w:t>
      </w:r>
      <w:r>
        <w:tab/>
        <w:t>in respect of the period for which the licence is granted or renewed.</w:t>
      </w:r>
    </w:p>
    <w:p>
      <w:pPr>
        <w:pStyle w:val="Subsection"/>
      </w:pPr>
      <w:r>
        <w:lastRenderedPageBreak/>
        <w:tab/>
        <w:t>(8B)</w:t>
      </w:r>
      <w:r>
        <w:tab/>
        <w:t xml:space="preserve">A licence document under the Vehicles Act in respect of a motor vehicle must incorporate a statement in a form approved by the Commission explaining — </w:t>
      </w:r>
    </w:p>
    <w:p>
      <w:pPr>
        <w:pStyle w:val="Indenta"/>
      </w:pPr>
      <w:r>
        <w:tab/>
        <w:t>(a)</w:t>
      </w:r>
      <w:r>
        <w:tab/>
        <w:t>the effect of a policy of insurance complying with this Act, including the effect that the policy has because of the operation of section 6A; and</w:t>
      </w:r>
    </w:p>
    <w:p>
      <w:pPr>
        <w:pStyle w:val="Indenta"/>
      </w:pPr>
      <w:r>
        <w:tab/>
        <w:t>(b)</w:t>
      </w:r>
      <w:r>
        <w:tab/>
        <w:t>the obligations of persons as to the reporting of motor vehicle accidents causing bodily injury or death; and</w:t>
      </w:r>
    </w:p>
    <w:p>
      <w:pPr>
        <w:pStyle w:val="Indenta"/>
      </w:pPr>
      <w:r>
        <w:tab/>
        <w:t>(c)</w:t>
      </w:r>
      <w:r>
        <w:tab/>
        <w:t>related matters.</w:t>
      </w:r>
    </w:p>
    <w:p>
      <w:pPr>
        <w:pStyle w:val="Subsection"/>
        <w:rPr>
          <w:snapToGrid w:val="0"/>
        </w:rPr>
      </w:pPr>
      <w:r>
        <w:rPr>
          <w:snapToGrid w:val="0"/>
        </w:rPr>
        <w:tab/>
        <w:t>(9)</w:t>
      </w:r>
      <w:r>
        <w:rPr>
          <w:snapToGrid w:val="0"/>
        </w:rPr>
        <w:tab/>
        <w:t xml:space="preserve">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w:t>
      </w:r>
      <w:r>
        <w:t>Vehicles</w:t>
      </w:r>
      <w:r>
        <w:rPr>
          <w:snapToGrid w:val="0"/>
        </w:rPr>
        <w:t xml:space="preserve"> Act, but only if that vehicle complies with the requirements necessary for licensing under that Act.</w:t>
      </w:r>
    </w:p>
    <w:p>
      <w:pPr>
        <w:pStyle w:val="Subsection"/>
        <w:rPr>
          <w:snapToGrid w:val="0"/>
        </w:rPr>
      </w:pPr>
      <w:r>
        <w:rPr>
          <w:snapToGrid w:val="0"/>
        </w:rPr>
        <w:tab/>
        <w:t>(10)</w:t>
      </w:r>
      <w:r>
        <w:rPr>
          <w:snapToGrid w:val="0"/>
        </w:rPr>
        <w:tab/>
        <w:t xml:space="preserve">The owner and driver of </w:t>
      </w:r>
      <w:r>
        <w:t xml:space="preserve">a vehicle referred to in subsection (9) </w:t>
      </w:r>
      <w:r>
        <w:rPr>
          <w:snapToGrid w:val="0"/>
        </w:rPr>
        <w:t xml:space="preserve">shall have the same rights and be subject to the same duties and obligations and the Commission shall have against such owner and driver the same rights and remedies as if such motor vehicles were included in the interpretation </w:t>
      </w:r>
      <w:r>
        <w:rPr>
          <w:rStyle w:val="CharDefText"/>
        </w:rPr>
        <w:t>motor vehicle</w:t>
      </w:r>
      <w:r>
        <w:rPr>
          <w:snapToGrid w:val="0"/>
        </w:rPr>
        <w:t xml:space="preserve"> in section 3 of this Act.</w:t>
      </w:r>
    </w:p>
    <w:p>
      <w:pPr>
        <w:pStyle w:val="Footnotesection"/>
      </w:pPr>
      <w:r>
        <w:tab/>
        <w:t>[Section 4 amended: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 No. 19 of 2010 s. 51; No. 8 of 2012 s. 138 and 141; No. 8 of 2016 s. 48.]</w:t>
      </w:r>
    </w:p>
    <w:p>
      <w:pPr>
        <w:pStyle w:val="Ednotesection"/>
      </w:pPr>
      <w:r>
        <w:t>[</w:t>
      </w:r>
      <w:r>
        <w:rPr>
          <w:b/>
        </w:rPr>
        <w:t>5.</w:t>
      </w:r>
      <w:r>
        <w:rPr>
          <w:b/>
        </w:rPr>
        <w:tab/>
      </w:r>
      <w:r>
        <w:t>Deleted: No. 31 of 1948 s. 7.]</w:t>
      </w:r>
    </w:p>
    <w:p>
      <w:pPr>
        <w:pStyle w:val="Heading5"/>
        <w:rPr>
          <w:snapToGrid w:val="0"/>
        </w:rPr>
      </w:pPr>
      <w:bookmarkStart w:id="22" w:name="_Toc161414748"/>
      <w:r>
        <w:rPr>
          <w:rStyle w:val="CharSectno"/>
        </w:rPr>
        <w:lastRenderedPageBreak/>
        <w:t>6</w:t>
      </w:r>
      <w:r>
        <w:rPr>
          <w:snapToGrid w:val="0"/>
        </w:rPr>
        <w:t>.</w:t>
      </w:r>
      <w:r>
        <w:rPr>
          <w:snapToGrid w:val="0"/>
        </w:rPr>
        <w:tab/>
        <w:t>Requirements in respect of policies</w:t>
      </w:r>
      <w:bookmarkEnd w:id="22"/>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 xml:space="preserve">be in </w:t>
      </w:r>
      <w:r>
        <w:t>the form</w:t>
      </w:r>
      <w:r>
        <w:rPr>
          <w:snapToGrid w:val="0"/>
        </w:rPr>
        <w:t xml:space="preserve"> contained in the Schedule.</w:t>
      </w:r>
    </w:p>
    <w:p>
      <w:pPr>
        <w:pStyle w:val="Ednotesubsection"/>
        <w:keepNext/>
      </w:pPr>
      <w:r>
        <w:tab/>
        <w:t>[(2)</w:t>
      </w:r>
      <w:r>
        <w:tab/>
        <w:t>deleted]</w:t>
      </w:r>
    </w:p>
    <w:p>
      <w:pPr>
        <w:pStyle w:val="Footnotesection"/>
      </w:pPr>
      <w:r>
        <w:tab/>
        <w:t>[Section 6 amended: No. 40 of 1944 s. 4; No. 31 of 1948 s. 8; No. 72 of 1962 s. 6; No. 95 of 1966 s. 6; No. 51 of 1986 s. 46(2); No. 107 of 1987 s. 6 and 14; No. 8 of 2016 s. 49.]</w:t>
      </w:r>
    </w:p>
    <w:p>
      <w:pPr>
        <w:pStyle w:val="Heading5"/>
      </w:pPr>
      <w:bookmarkStart w:id="23" w:name="_Toc161414749"/>
      <w:r>
        <w:rPr>
          <w:rStyle w:val="CharSectno"/>
        </w:rPr>
        <w:t>6A</w:t>
      </w:r>
      <w:r>
        <w:t>.</w:t>
      </w:r>
      <w:r>
        <w:tab/>
        <w:t>Insurance relating to catastrophic injury</w:t>
      </w:r>
      <w:bookmarkEnd w:id="23"/>
    </w:p>
    <w:p>
      <w:pPr>
        <w:pStyle w:val="Subsection"/>
      </w:pPr>
      <w:r>
        <w:tab/>
        <w:t>(1)</w:t>
      </w:r>
      <w:r>
        <w:tab/>
        <w:t xml:space="preserve">In this section — </w:t>
      </w:r>
    </w:p>
    <w:p>
      <w:pPr>
        <w:pStyle w:val="Defstart"/>
      </w:pPr>
      <w:r>
        <w:tab/>
      </w:r>
      <w:r>
        <w:rPr>
          <w:rStyle w:val="CharDefText"/>
        </w:rPr>
        <w:t>motor vehicle accident</w:t>
      </w:r>
      <w:r>
        <w:t xml:space="preserve"> has the meaning given in the MV(CI) Act section 4(1).</w:t>
      </w:r>
    </w:p>
    <w:p>
      <w:pPr>
        <w:pStyle w:val="Subsection"/>
      </w:pPr>
      <w:r>
        <w:tab/>
        <w:t>(2)</w:t>
      </w:r>
      <w:r>
        <w:tab/>
        <w:t xml:space="preserve">Subject to subsection (3), a policy of insurance complying with this Act is also taken to insure any person (the </w:t>
      </w:r>
      <w:r>
        <w:rPr>
          <w:rStyle w:val="CharDefText"/>
        </w:rPr>
        <w:t>injured person</w:t>
      </w:r>
      <w:r>
        <w:t xml:space="preserve">) against the risk of suffering a catastrophic injury that — </w:t>
      </w:r>
    </w:p>
    <w:p>
      <w:pPr>
        <w:pStyle w:val="Indenta"/>
      </w:pPr>
      <w:r>
        <w:tab/>
        <w:t>(a)</w:t>
      </w:r>
      <w:r>
        <w:tab/>
        <w:t>is a motor vehicle injury to which the MV(CI) Act applies; and</w:t>
      </w:r>
    </w:p>
    <w:p>
      <w:pPr>
        <w:pStyle w:val="Indenta"/>
      </w:pPr>
      <w:r>
        <w:tab/>
        <w:t>(b)</w:t>
      </w:r>
      <w:r>
        <w:tab/>
        <w:t>results from a motor vehicle accident involving the vehicle mentioned in the policy.</w:t>
      </w:r>
    </w:p>
    <w:p>
      <w:pPr>
        <w:pStyle w:val="Subsection"/>
      </w:pPr>
      <w:r>
        <w:tab/>
        <w:t>(3)</w:t>
      </w:r>
      <w:r>
        <w:tab/>
        <w:t xml:space="preserve">The insurance referred to in subsection (2) extends only to the making of payments under the CISS for, or in respect of, necessary and reasonable expenses incurred by or on behalf of </w:t>
      </w:r>
      <w:r>
        <w:lastRenderedPageBreak/>
        <w:t>the injured person in relation to the injured person’s assessed treatment, care and support needs.</w:t>
      </w:r>
    </w:p>
    <w:p>
      <w:pPr>
        <w:pStyle w:val="Footnotesection"/>
      </w:pPr>
      <w:r>
        <w:tab/>
        <w:t>[Section 6A inserted: No. 8 of 2016 s. 50.]</w:t>
      </w:r>
    </w:p>
    <w:p>
      <w:pPr>
        <w:pStyle w:val="Heading5"/>
        <w:rPr>
          <w:snapToGrid w:val="0"/>
        </w:rPr>
      </w:pPr>
      <w:bookmarkStart w:id="24" w:name="_Toc161414750"/>
      <w:r>
        <w:rPr>
          <w:rStyle w:val="CharSectno"/>
        </w:rPr>
        <w:t>7</w:t>
      </w:r>
      <w:r>
        <w:rPr>
          <w:snapToGrid w:val="0"/>
        </w:rPr>
        <w:t>.</w:t>
      </w:r>
      <w:r>
        <w:rPr>
          <w:snapToGrid w:val="0"/>
        </w:rPr>
        <w:tab/>
        <w:t>Liability of the Commission</w:t>
      </w:r>
      <w:bookmarkEnd w:id="24"/>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t>(1A)</w:t>
      </w:r>
      <w:r>
        <w:rPr>
          <w:snapToGrid w:val="0"/>
        </w:rPr>
        <w:tab/>
        <w:t xml:space="preserve">When the judgment against the insured person was obtained within the State, </w:t>
      </w:r>
      <w:r>
        <w:t>subsection (1)</w:t>
      </w:r>
      <w:r>
        <w:rPr>
          <w:snapToGrid w:val="0"/>
        </w:rPr>
        <w:t>shall not apply unless before the action in which such judgment was obtained came on for hearing, the Commission knew that that action had been commenced.</w:t>
      </w:r>
    </w:p>
    <w:p>
      <w:pPr>
        <w:pStyle w:val="Subsection"/>
        <w:rPr>
          <w:snapToGrid w:val="0"/>
        </w:rPr>
      </w:pPr>
      <w:r>
        <w:rPr>
          <w:snapToGrid w:val="0"/>
        </w:rPr>
        <w:tab/>
        <w:t>(1B)</w:t>
      </w:r>
      <w:r>
        <w:rPr>
          <w:snapToGrid w:val="0"/>
        </w:rPr>
        <w:tab/>
        <w:t xml:space="preserve">The right to recover under </w:t>
      </w:r>
      <w:r>
        <w:t>subsection (1)</w:t>
      </w:r>
      <w:r>
        <w:rPr>
          <w:snapToGrid w:val="0"/>
        </w:rPr>
        <w:t>shall be subject to any limitations prescribed by the policy of insurance as to the amount in respect of which the insured is indemnified.</w:t>
      </w:r>
    </w:p>
    <w:p>
      <w:pPr>
        <w:pStyle w:val="Subsection"/>
        <w:rPr>
          <w:snapToGrid w:val="0"/>
        </w:rPr>
      </w:pPr>
      <w:r>
        <w:rPr>
          <w:snapToGrid w:val="0"/>
        </w:rPr>
        <w:tab/>
        <w:t>(2)</w:t>
      </w:r>
      <w:r>
        <w:rPr>
          <w:snapToGrid w:val="0"/>
        </w:rPr>
        <w:tab/>
        <w:t xml:space="preserve">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w:t>
      </w:r>
      <w:r>
        <w:rPr>
          <w:snapToGrid w:val="0"/>
        </w:rPr>
        <w:lastRenderedPageBreak/>
        <w:t>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rPr>
          <w:snapToGrid w:val="0"/>
        </w:rPr>
      </w:pPr>
      <w:r>
        <w:rPr>
          <w:snapToGrid w:val="0"/>
        </w:rPr>
        <w:tab/>
        <w:t>(a)</w:t>
      </w:r>
      <w:r>
        <w:rPr>
          <w:snapToGrid w:val="0"/>
        </w:rPr>
        <w:tab/>
        <w:t>the policy was obtained by any misstatement or non</w:t>
      </w:r>
      <w:r>
        <w:rPr>
          <w:snapToGrid w:val="0"/>
        </w:rPr>
        <w:noBreakHyphen/>
        <w:t>disclosure, whether fraudulent, material or otherwise;</w:t>
      </w:r>
    </w:p>
    <w:p>
      <w:pPr>
        <w:pStyle w:val="Indenta"/>
        <w:rPr>
          <w:snapToGrid w:val="0"/>
        </w:rPr>
      </w:pPr>
      <w:r>
        <w:rPr>
          <w:snapToGrid w:val="0"/>
        </w:rPr>
        <w:tab/>
        <w:t>(b)</w:t>
      </w:r>
      <w:r>
        <w:rPr>
          <w:snapToGrid w:val="0"/>
        </w:rPr>
        <w:tab/>
        <w:t>the insured person has committed any breach of any term, condition, or warranty of a policy or any provision of this Act; or</w:t>
      </w:r>
    </w:p>
    <w:p>
      <w:pPr>
        <w:pStyle w:val="Indenta"/>
        <w:rPr>
          <w:snapToGrid w:val="0"/>
        </w:rPr>
      </w:pPr>
      <w:r>
        <w:rPr>
          <w:snapToGrid w:val="0"/>
        </w:rPr>
        <w:tab/>
        <w:t>(c)</w:t>
      </w:r>
      <w:r>
        <w:rPr>
          <w:snapToGrid w:val="0"/>
        </w:rPr>
        <w:tab/>
        <w:t>the insured person has failed to comply with any condition of the policy as to what the insured person should do or should not do after the event giving rise to liability.</w:t>
      </w:r>
    </w:p>
    <w:p>
      <w:pPr>
        <w:pStyle w:val="Subsection"/>
        <w:keepLines/>
        <w:rPr>
          <w:snapToGrid w:val="0"/>
        </w:rPr>
      </w:pPr>
      <w:r>
        <w:rPr>
          <w:snapToGrid w:val="0"/>
        </w:rPr>
        <w:lastRenderedPageBreak/>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rPr>
          <w:snapToGrid w:val="0"/>
        </w:rPr>
      </w:pPr>
      <w:r>
        <w:rPr>
          <w:snapToGrid w:val="0"/>
        </w:rPr>
        <w:tab/>
        <w:t>(a)</w:t>
      </w:r>
      <w:r>
        <w:rPr>
          <w:snapToGrid w:val="0"/>
        </w:rPr>
        <w:tab/>
        <w:t>such part of any judgment so obtained against the Commission; or</w:t>
      </w:r>
    </w:p>
    <w:p>
      <w:pPr>
        <w:pStyle w:val="Indenta"/>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rPr>
          <w:snapToGrid w:val="0"/>
        </w:rPr>
      </w:pPr>
      <w:r>
        <w:rPr>
          <w:snapToGrid w:val="0"/>
        </w:rPr>
        <w:tab/>
        <w:t>(c)</w:t>
      </w:r>
      <w:r>
        <w:rPr>
          <w:snapToGrid w:val="0"/>
        </w:rPr>
        <w:tab/>
        <w:t>such costs and expenses</w:t>
      </w:r>
    </w:p>
    <w:p>
      <w:pPr>
        <w:pStyle w:val="Subsection"/>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rPr>
          <w:snapToGrid w:val="0"/>
        </w:rPr>
      </w:pPr>
      <w:r>
        <w:rPr>
          <w:snapToGrid w:val="0"/>
        </w:rPr>
        <w:tab/>
        <w:t>(6)</w:t>
      </w:r>
      <w:r>
        <w:rPr>
          <w:snapToGrid w:val="0"/>
        </w:rPr>
        <w:tab/>
        <w:t>This section shall not apply —</w:t>
      </w:r>
    </w:p>
    <w:p>
      <w:pPr>
        <w:pStyle w:val="Ednotepara"/>
        <w:spacing w:before="80"/>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lastRenderedPageBreak/>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keepLines w:val="0"/>
        <w:ind w:left="890" w:hanging="890"/>
      </w:pPr>
      <w:r>
        <w:tab/>
        <w:t>[Section 7 amended: No. 40 of 1944 s. 5; No. 7 of 1945 s. 3; No. 31 of 1948 s. 9; No. 36 of 1954 s. 3; No. 77 of 1957 s. 5; No. 72 of 1962 s. 7; No. 95 of 1966 s. 8; No. 81 of 1982 s. 16; No. 51 of 1986 s. 46(2); No. 107 of 1987 s. 7; No. 19 of 2010 s. 51.]</w:t>
      </w:r>
    </w:p>
    <w:p>
      <w:pPr>
        <w:pStyle w:val="Heading5"/>
        <w:rPr>
          <w:snapToGrid w:val="0"/>
        </w:rPr>
      </w:pPr>
      <w:bookmarkStart w:id="25" w:name="_Toc161414751"/>
      <w:r>
        <w:rPr>
          <w:rStyle w:val="CharSectno"/>
        </w:rPr>
        <w:t>8</w:t>
      </w:r>
      <w:r>
        <w:rPr>
          <w:snapToGrid w:val="0"/>
        </w:rPr>
        <w:t>.</w:t>
      </w:r>
      <w:r>
        <w:rPr>
          <w:snapToGrid w:val="0"/>
        </w:rPr>
        <w:tab/>
        <w:t>Special provisions in relation to uninsured motor vehicles</w:t>
      </w:r>
      <w:bookmarkEnd w:id="2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rPr>
          <w:snapToGrid w:val="0"/>
        </w:rPr>
      </w:pPr>
      <w:r>
        <w:rPr>
          <w:snapToGrid w:val="0"/>
        </w:rPr>
        <w:tab/>
        <w:t>(c)</w:t>
      </w:r>
      <w:r>
        <w:rPr>
          <w:snapToGrid w:val="0"/>
        </w:rPr>
        <w:tab/>
        <w:t>the judgment debtor does not satisfy the judgment in full within one month after the same has been entered —</w:t>
      </w:r>
    </w:p>
    <w:p>
      <w:pPr>
        <w:pStyle w:val="Subsection"/>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rPr>
          <w:snapToGrid w:val="0"/>
        </w:rPr>
      </w:pPr>
      <w:r>
        <w:rPr>
          <w:snapToGrid w:val="0"/>
        </w:rPr>
        <w:lastRenderedPageBreak/>
        <w:tab/>
        <w:t>(1A)</w:t>
      </w:r>
      <w:r>
        <w:rPr>
          <w:snapToGrid w:val="0"/>
        </w:rPr>
        <w:tab/>
      </w:r>
      <w:r>
        <w:t xml:space="preserve">Where execution of a judgment referred to in subsection (1) </w:t>
      </w:r>
      <w:r>
        <w:rPr>
          <w:snapToGrid w:val="0"/>
        </w:rPr>
        <w:t>is stayed pending appeal, the time during which such execution is so stayed shall be excluded in calculating the said period of one month.</w:t>
      </w:r>
    </w:p>
    <w:p>
      <w:pPr>
        <w:pStyle w:val="Subsection"/>
        <w:rPr>
          <w:snapToGrid w:val="0"/>
        </w:rPr>
      </w:pPr>
      <w:r>
        <w:rPr>
          <w:snapToGrid w:val="0"/>
        </w:rPr>
        <w:tab/>
        <w:t>(1B)</w:t>
      </w:r>
      <w:r>
        <w:rPr>
          <w:snapToGrid w:val="0"/>
        </w:rPr>
        <w:tab/>
      </w:r>
      <w:r>
        <w:t>When a judgment referred to in subsection (1) was obtained within the State, that subsection</w:t>
      </w:r>
      <w:r>
        <w:rPr>
          <w:snapToGrid w:val="0"/>
        </w:rPr>
        <w:t xml:space="preserve"> shall not apply unless, before the action on which such judgment was obtained came on for hearing, the Commission knew that such action had been commenced.</w:t>
      </w:r>
    </w:p>
    <w:p>
      <w:pPr>
        <w:pStyle w:val="Ednotesubsection"/>
      </w:pPr>
      <w:r>
        <w:tab/>
        <w:t>[(2)</w:t>
      </w:r>
      <w:r>
        <w:tab/>
        <w:t>deleted]</w:t>
      </w:r>
    </w:p>
    <w:p>
      <w:pPr>
        <w:pStyle w:val="Subsection"/>
        <w:keepNext/>
        <w:rPr>
          <w:snapToGrid w:val="0"/>
        </w:rPr>
      </w:pPr>
      <w:r>
        <w:rPr>
          <w:snapToGrid w:val="0"/>
        </w:rPr>
        <w:tab/>
        <w:t>(3)</w:t>
      </w:r>
      <w:r>
        <w:rPr>
          <w:snapToGrid w:val="0"/>
        </w:rPr>
        <w:tab/>
        <w:t>The Commission may recover from</w:t>
      </w:r>
    </w:p>
    <w:p>
      <w:pPr>
        <w:pStyle w:val="Indenta"/>
        <w:rPr>
          <w:snapToGrid w:val="0"/>
        </w:rPr>
      </w:pPr>
      <w:r>
        <w:rPr>
          <w:snapToGrid w:val="0"/>
        </w:rPr>
        <w:tab/>
        <w:t>(a)</w:t>
      </w:r>
      <w:r>
        <w:rPr>
          <w:snapToGrid w:val="0"/>
        </w:rPr>
        <w:tab/>
        <w:t>the owner; or</w:t>
      </w:r>
    </w:p>
    <w:p>
      <w:pPr>
        <w:pStyle w:val="Indenta"/>
        <w:rPr>
          <w:snapToGrid w:val="0"/>
        </w:rPr>
      </w:pPr>
      <w:r>
        <w:rPr>
          <w:snapToGrid w:val="0"/>
        </w:rPr>
        <w:tab/>
        <w:t>(b)</w:t>
      </w:r>
      <w:r>
        <w:rPr>
          <w:snapToGrid w:val="0"/>
        </w:rPr>
        <w:tab/>
        <w:t>the driver,</w:t>
      </w:r>
    </w:p>
    <w:p>
      <w:pPr>
        <w:pStyle w:val="Subsection"/>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pPr>
      <w:r>
        <w:rPr>
          <w:snapToGrid w:val="0"/>
        </w:rPr>
        <w:tab/>
        <w:t>(4)</w:t>
      </w:r>
      <w:r>
        <w:rPr>
          <w:snapToGrid w:val="0"/>
        </w:rPr>
        <w:tab/>
      </w:r>
      <w:r>
        <w:t>In an action under subsection (3) —</w:t>
      </w:r>
    </w:p>
    <w:p>
      <w:pPr>
        <w:pStyle w:val="Indenta"/>
        <w:rPr>
          <w:snapToGrid w:val="0"/>
        </w:rPr>
      </w:pPr>
      <w:r>
        <w:rPr>
          <w:snapToGrid w:val="0"/>
        </w:rPr>
        <w:tab/>
        <w:t>(a)</w:t>
      </w:r>
      <w:r>
        <w:rPr>
          <w:snapToGrid w:val="0"/>
        </w:rPr>
        <w:tab/>
        <w:t>it shall be a good defence in any action against the owner of such motor vehicle if he establishes to the satisfaction of the court that —</w:t>
      </w:r>
    </w:p>
    <w:p>
      <w:pPr>
        <w:pStyle w:val="Indenti"/>
        <w:rPr>
          <w:snapToGrid w:val="0"/>
        </w:rPr>
      </w:pPr>
      <w:r>
        <w:rPr>
          <w:snapToGrid w:val="0"/>
        </w:rPr>
        <w:tab/>
        <w:t>(i)</w:t>
      </w:r>
      <w:r>
        <w:rPr>
          <w:snapToGrid w:val="0"/>
        </w:rPr>
        <w:tab/>
        <w:t>the fact that the motor vehicle was an uninsured motor vehicle was not due to his own fault; or</w:t>
      </w:r>
    </w:p>
    <w:p>
      <w:pPr>
        <w:pStyle w:val="Indenti"/>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(b)</w:t>
      </w:r>
      <w:r>
        <w:rPr>
          <w:snapToGrid w:val="0"/>
        </w:rPr>
        <w:tab/>
        <w:t xml:space="preserve">in any case where the owner of the motor vehicle is the judgment debtor as aforesaid, no sum shall be so recoverable against the driver of the motor vehicle unless judgment could have been obtained against the </w:t>
      </w:r>
      <w:r>
        <w:rPr>
          <w:snapToGrid w:val="0"/>
        </w:rPr>
        <w:lastRenderedPageBreak/>
        <w:t>driver in respect of the death or bodily injury aforesaid; and</w:t>
      </w:r>
    </w:p>
    <w:p>
      <w:pPr>
        <w:pStyle w:val="Indenta"/>
        <w:rPr>
          <w:snapToGrid w:val="0"/>
        </w:rPr>
      </w:pPr>
      <w:r>
        <w:rPr>
          <w:snapToGrid w:val="0"/>
        </w:rPr>
        <w:tab/>
        <w:t>(c)</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(b)</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(c)</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t>(6)</w:t>
      </w:r>
      <w:r>
        <w:rPr>
          <w:snapToGrid w:val="0"/>
        </w:rPr>
        <w:tab/>
      </w:r>
      <w:r>
        <w:t xml:space="preserve">A person shall not be entitled to recover under subsection (5) </w:t>
      </w:r>
      <w:r>
        <w:rPr>
          <w:snapToGrid w:val="0"/>
        </w:rPr>
        <w:t xml:space="preserve">unless, as soon as practicable after he knew that such owner or driver was dead or could not be found, he gave to the </w:t>
      </w:r>
      <w:r>
        <w:rPr>
          <w:snapToGrid w:val="0"/>
        </w:rPr>
        <w:lastRenderedPageBreak/>
        <w:t>Commission notice of intention to make a claim and a short statement of the grounds thereof.</w:t>
      </w:r>
    </w:p>
    <w:p>
      <w:pPr>
        <w:pStyle w:val="Subsection"/>
        <w:rPr>
          <w:snapToGrid w:val="0"/>
        </w:rPr>
      </w:pPr>
      <w:r>
        <w:rPr>
          <w:snapToGrid w:val="0"/>
        </w:rPr>
        <w:tab/>
        <w:t>(7)</w:t>
      </w:r>
      <w:r>
        <w:rPr>
          <w:snapToGrid w:val="0"/>
        </w:rPr>
        <w:tab/>
      </w:r>
      <w:r>
        <w:t xml:space="preserve">For the purposes of subsection (5), </w:t>
      </w:r>
      <w:r>
        <w:rPr>
          <w:snapToGrid w:val="0"/>
        </w:rPr>
        <w:t>the inquiry and search made for such owner or driver may be proved orally or by the affidavit of the person who made the inquiry and search.</w:t>
      </w:r>
    </w:p>
    <w:p>
      <w:pPr>
        <w:pStyle w:val="Footnotesection"/>
      </w:pPr>
      <w:r>
        <w:tab/>
        <w:t>[Section 8 amended: No. 31 of 1948 s. 10; No. 36 of 1954 s. 4; No. 25 of 1959 s. 5; No. 72 of 1962 s. 8; No. 51 of 1986 s. 46(2); No. 107 of 1987 s. 14; No. 19 of 2010 s. 51.]</w:t>
      </w:r>
    </w:p>
    <w:p>
      <w:pPr>
        <w:pStyle w:val="Ednotesection"/>
      </w:pPr>
      <w:r>
        <w:t>[</w:t>
      </w:r>
      <w:r>
        <w:rPr>
          <w:b/>
        </w:rPr>
        <w:t>8A.</w:t>
      </w:r>
      <w:r>
        <w:rPr>
          <w:b/>
        </w:rPr>
        <w:tab/>
      </w:r>
      <w:r>
        <w:t>Deleted: No. 28 of 2003 s. 122(3).]</w:t>
      </w:r>
    </w:p>
    <w:p>
      <w:pPr>
        <w:pStyle w:val="Ednotesection"/>
      </w:pPr>
      <w:r>
        <w:t>[</w:t>
      </w:r>
      <w:r>
        <w:rPr>
          <w:b/>
        </w:rPr>
        <w:t>9.</w:t>
      </w:r>
      <w:r>
        <w:rPr>
          <w:b/>
        </w:rPr>
        <w:tab/>
      </w:r>
      <w:r>
        <w:t>Deleted: No. 31 of 1948 s. 11.]</w:t>
      </w:r>
    </w:p>
    <w:p>
      <w:pPr>
        <w:pStyle w:val="Heading5"/>
        <w:rPr>
          <w:snapToGrid w:val="0"/>
        </w:rPr>
      </w:pPr>
      <w:bookmarkStart w:id="26" w:name="_Toc161414752"/>
      <w:r>
        <w:rPr>
          <w:rStyle w:val="CharSectno"/>
        </w:rPr>
        <w:t>10</w:t>
      </w:r>
      <w:r>
        <w:rPr>
          <w:snapToGrid w:val="0"/>
        </w:rPr>
        <w:t>.</w:t>
      </w:r>
      <w:r>
        <w:rPr>
          <w:snapToGrid w:val="0"/>
        </w:rPr>
        <w:tab/>
        <w:t>Duties of owner or insured person</w:t>
      </w:r>
      <w:bookmarkEnd w:id="26"/>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rPr>
          <w:snapToGrid w:val="0"/>
        </w:rPr>
      </w:pPr>
      <w:r>
        <w:rPr>
          <w:snapToGrid w:val="0"/>
        </w:rPr>
        <w:lastRenderedPageBreak/>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No. 31 of 1948 s. 12; No. 36 of 1954 s. 5; No. 95 of 1966 s. 21; No. 44 of 1971 s. 4; No. 51 of 1986 s. 46(2); No. 107 of 1987 s. 9; No. 13 of 1994 s. 8.]</w:t>
      </w:r>
    </w:p>
    <w:p>
      <w:pPr>
        <w:pStyle w:val="Heading5"/>
        <w:rPr>
          <w:snapToGrid w:val="0"/>
        </w:rPr>
      </w:pPr>
      <w:bookmarkStart w:id="27" w:name="_Toc161414753"/>
      <w:r>
        <w:rPr>
          <w:rStyle w:val="CharSectno"/>
        </w:rPr>
        <w:lastRenderedPageBreak/>
        <w:t>11</w:t>
      </w:r>
      <w:r>
        <w:rPr>
          <w:snapToGrid w:val="0"/>
        </w:rPr>
        <w:t>.</w:t>
      </w:r>
      <w:r>
        <w:rPr>
          <w:snapToGrid w:val="0"/>
        </w:rPr>
        <w:tab/>
        <w:t>Power of the Commission to deal with claims against insured persons</w:t>
      </w:r>
      <w:bookmarkEnd w:id="27"/>
    </w:p>
    <w:p>
      <w:pPr>
        <w:pStyle w:val="Subsection"/>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keepNext/>
        <w:rPr>
          <w:snapToGrid w:val="0"/>
        </w:rPr>
      </w:pPr>
      <w:r>
        <w:rPr>
          <w:snapToGrid w:val="0"/>
        </w:rPr>
        <w:tab/>
        <w:t>(d)</w:t>
      </w:r>
      <w:r>
        <w:rPr>
          <w:snapToGrid w:val="0"/>
        </w:rPr>
        <w:tab/>
        <w:t>at any stage in the negotiations or proceedings —</w:t>
      </w:r>
    </w:p>
    <w:p>
      <w:pPr>
        <w:pStyle w:val="Indenti"/>
        <w:rPr>
          <w:snapToGrid w:val="0"/>
        </w:rPr>
      </w:pPr>
      <w:r>
        <w:rPr>
          <w:snapToGrid w:val="0"/>
          <w:spacing w:val="-2"/>
        </w:rPr>
        <w:tab/>
        <w:t>(i)</w:t>
      </w:r>
      <w:r>
        <w:rPr>
          <w:snapToGrid w:val="0"/>
          <w:spacing w:val="-2"/>
        </w:rPr>
        <w:tab/>
      </w:r>
      <w:r>
        <w:rPr>
          <w:snapToGrid w:val="0"/>
        </w:rPr>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rPr>
          <w:snapToGrid w:val="0"/>
        </w:rPr>
      </w:pPr>
      <w:r>
        <w:rPr>
          <w:snapToGrid w:val="0"/>
        </w:rPr>
        <w:tab/>
        <w:t>(3)</w:t>
      </w:r>
      <w:r>
        <w:rPr>
          <w:snapToGrid w:val="0"/>
        </w:rPr>
        <w:tab/>
        <w:t xml:space="preserve">Where an accident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w:t>
      </w:r>
      <w:r>
        <w:rPr>
          <w:snapToGrid w:val="0"/>
        </w:rPr>
        <w:lastRenderedPageBreak/>
        <w:t>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No. 31 of 1948 s. 13; No. 36 of 1954 s. 6; No. 25 of 1959 s. 6; No. 7 of 1975 s. 2; No. 51 of 1986 s. 46(2); No. 107 of 1987 s. 10.]</w:t>
      </w:r>
    </w:p>
    <w:p>
      <w:pPr>
        <w:pStyle w:val="Heading5"/>
        <w:rPr>
          <w:snapToGrid w:val="0"/>
        </w:rPr>
      </w:pPr>
      <w:bookmarkStart w:id="28" w:name="_Toc161414754"/>
      <w:r>
        <w:rPr>
          <w:rStyle w:val="CharSectno"/>
        </w:rPr>
        <w:t>12</w:t>
      </w:r>
      <w:r>
        <w:rPr>
          <w:snapToGrid w:val="0"/>
        </w:rPr>
        <w:t>.</w:t>
      </w:r>
      <w:r>
        <w:rPr>
          <w:snapToGrid w:val="0"/>
        </w:rPr>
        <w:tab/>
        <w:t>Emergency treatment</w:t>
      </w:r>
      <w:bookmarkEnd w:id="28"/>
    </w:p>
    <w:p>
      <w:pPr>
        <w:pStyle w:val="Subsection"/>
        <w:keepNext/>
        <w:keepLines/>
        <w:rPr>
          <w:snapToGrid w:val="0"/>
        </w:rPr>
      </w:pPr>
      <w:r>
        <w:rPr>
          <w:snapToGrid w:val="0"/>
        </w:rPr>
        <w:tab/>
        <w:t>(1)</w:t>
      </w:r>
      <w:r>
        <w:rPr>
          <w:snapToGrid w:val="0"/>
        </w:rPr>
        <w:tab/>
        <w:t>Where —</w:t>
      </w:r>
    </w:p>
    <w:p>
      <w:pPr>
        <w:pStyle w:val="Indenta"/>
      </w:pPr>
      <w:r>
        <w:rPr>
          <w:snapToGrid w:val="0"/>
        </w:rPr>
        <w:tab/>
        <w:t>(a)</w:t>
      </w:r>
      <w:r>
        <w:rPr>
          <w:snapToGrid w:val="0"/>
        </w:rPr>
        <w:tab/>
      </w:r>
      <w:r>
        <w:t>bodily injury (including fatal injury) to any person directly caused by, or by the driving of, a motor vehicle which is insured under this Act or is an uninsured vehicle occurs and either —</w:t>
      </w:r>
    </w:p>
    <w:p>
      <w:pPr>
        <w:pStyle w:val="Indenti"/>
        <w:rPr>
          <w:snapToGrid w:val="0"/>
        </w:rPr>
      </w:pPr>
      <w:r>
        <w:rPr>
          <w:snapToGrid w:val="0"/>
        </w:rPr>
        <w:tab/>
        <w:t>(i)</w:t>
      </w:r>
      <w:r>
        <w:rPr>
          <w:snapToGrid w:val="0"/>
        </w:rPr>
        <w:tab/>
        <w:t>any legally qualified medical practitioner or registered nurse renders emergency treatment to the person; or</w:t>
      </w:r>
    </w:p>
    <w:p>
      <w:pPr>
        <w:pStyle w:val="Indenti"/>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notice in writing of a claim under this section is given by the medical practitioner, nurse or person who conveyed the injured person, to the Commission within one month after the occurrence out of which the death or bodily injury arose, </w:t>
      </w:r>
    </w:p>
    <w:p>
      <w:pPr>
        <w:pStyle w:val="Subsection"/>
        <w:keepNext/>
        <w:keepLines/>
        <w:rPr>
          <w:snapToGrid w:val="0"/>
        </w:rPr>
      </w:pPr>
      <w:r>
        <w:rPr>
          <w:snapToGrid w:val="0"/>
        </w:rPr>
        <w:tab/>
      </w:r>
      <w:r>
        <w:rPr>
          <w:snapToGrid w:val="0"/>
        </w:rPr>
        <w:tab/>
        <w:t>the Commission shall make the following payments as are applicable to the case —</w:t>
      </w:r>
    </w:p>
    <w:p>
      <w:pPr>
        <w:pStyle w:val="Indenta"/>
        <w:rPr>
          <w:snapToGrid w:val="0"/>
        </w:rPr>
      </w:pPr>
      <w:r>
        <w:rPr>
          <w:snapToGrid w:val="0"/>
        </w:rPr>
        <w:tab/>
        <w:t>(c)</w:t>
      </w:r>
      <w:r>
        <w:rPr>
          <w:snapToGrid w:val="0"/>
        </w:rPr>
        <w:tab/>
        <w:t xml:space="preserve">to the medical practitioner or nurse, his or her charges in respect of each person to whom emergency treatment is rendered, together with any travelling expenses </w:t>
      </w:r>
      <w:r>
        <w:rPr>
          <w:snapToGrid w:val="0"/>
        </w:rPr>
        <w:lastRenderedPageBreak/>
        <w:t>reasonably and necessarily incurred in respect of the emergency treatment so rendered;</w:t>
      </w:r>
    </w:p>
    <w:p>
      <w:pPr>
        <w:pStyle w:val="Indenta"/>
        <w:rPr>
          <w:snapToGrid w:val="0"/>
        </w:rPr>
      </w:pPr>
      <w:r>
        <w:rPr>
          <w:snapToGrid w:val="0"/>
        </w:rPr>
        <w:tab/>
        <w:t>(d)</w:t>
      </w:r>
      <w:r>
        <w:rPr>
          <w:snapToGrid w:val="0"/>
        </w:rPr>
        <w:tab/>
        <w:t>to any person who conveyed the injured person as mentioned in paragraph (a)(ii), an amount to be ascertained in accordance with the regulations.</w:t>
      </w:r>
    </w:p>
    <w:p>
      <w:pPr>
        <w:pStyle w:val="Ednotesubsection"/>
      </w:pPr>
      <w:r>
        <w:tab/>
        <w:t>[(2)</w:t>
      </w:r>
      <w:r>
        <w:tab/>
        <w:t>deleted]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keepNext/>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rStyle w:val="CharDefText"/>
        </w:rPr>
        <w:t>emergency treatment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which, or the driving of which, directly caused the death or bodily injury, and as to the identity and address of the person who owned or was using the vehicle at the time of the event out of which the death or bodily injury arose.</w:t>
      </w:r>
    </w:p>
    <w:p>
      <w:pPr>
        <w:pStyle w:val="Footnotesection"/>
        <w:keepLines w:val="0"/>
        <w:rPr>
          <w:spacing w:val="-2"/>
        </w:rPr>
      </w:pPr>
      <w:r>
        <w:rPr>
          <w:spacing w:val="-2"/>
        </w:rPr>
        <w:lastRenderedPageBreak/>
        <w:tab/>
        <w:t>[Section 12 amended: No. 40 of 1944 s. 6; No. 31 of 1948 s. 14; No. 95 of 1966 s. 21; No. 58 of 1974 s. 31; No. 81 of 1982 s. 17; No. 51 of 1986 s. 46(2); No. 107 of 1987 s. 14; No. 76 of 1996 s. 40; No. 15 of 2006 s. 7; No. 19 of 2010 s. 51.]</w:t>
      </w:r>
    </w:p>
    <w:p>
      <w:pPr>
        <w:pStyle w:val="Ednotesection"/>
      </w:pPr>
      <w:r>
        <w:t>[</w:t>
      </w:r>
      <w:r>
        <w:rPr>
          <w:b/>
        </w:rPr>
        <w:t>13.</w:t>
      </w:r>
      <w:r>
        <w:t xml:space="preserve"> </w:t>
      </w:r>
      <w:r>
        <w:tab/>
        <w:t>Deleted: No. 81 of 1982 s. 18.]</w:t>
      </w:r>
    </w:p>
    <w:p>
      <w:pPr>
        <w:pStyle w:val="Heading5"/>
        <w:rPr>
          <w:snapToGrid w:val="0"/>
        </w:rPr>
      </w:pPr>
      <w:bookmarkStart w:id="29" w:name="_Toc161414755"/>
      <w:r>
        <w:rPr>
          <w:rStyle w:val="CharSectno"/>
        </w:rPr>
        <w:t>14</w:t>
      </w:r>
      <w:r>
        <w:rPr>
          <w:snapToGrid w:val="0"/>
        </w:rPr>
        <w:t>.</w:t>
      </w:r>
      <w:r>
        <w:rPr>
          <w:snapToGrid w:val="0"/>
        </w:rPr>
        <w:tab/>
        <w:t>Recovery of payment for emergency treatment</w:t>
      </w:r>
      <w:bookmarkEnd w:id="29"/>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ind w:left="890" w:hanging="890"/>
      </w:pPr>
      <w:r>
        <w:tab/>
        <w:t>[Section 14 inserted: No. 31 of 1948 s. 16; amended: No. 51 of 1986 s. 46(2); No. 107 of 1987 s. 14.]</w:t>
      </w:r>
    </w:p>
    <w:p>
      <w:pPr>
        <w:pStyle w:val="Heading5"/>
        <w:rPr>
          <w:snapToGrid w:val="0"/>
        </w:rPr>
      </w:pPr>
      <w:bookmarkStart w:id="30" w:name="_Toc161414756"/>
      <w:r>
        <w:rPr>
          <w:rStyle w:val="CharSectno"/>
        </w:rPr>
        <w:t>15</w:t>
      </w:r>
      <w:r>
        <w:rPr>
          <w:snapToGrid w:val="0"/>
        </w:rPr>
        <w:t>.</w:t>
      </w:r>
      <w:r>
        <w:rPr>
          <w:snapToGrid w:val="0"/>
        </w:rPr>
        <w:tab/>
        <w:t>Right of the Commission against unauthorised drivers</w:t>
      </w:r>
      <w:bookmarkEnd w:id="30"/>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keepNext/>
        <w:rPr>
          <w:snapToGrid w:val="0"/>
        </w:rPr>
      </w:pPr>
      <w:r>
        <w:rPr>
          <w:snapToGrid w:val="0"/>
        </w:rPr>
        <w:lastRenderedPageBreak/>
        <w:tab/>
        <w:t>(b)</w:t>
      </w:r>
      <w:r>
        <w:rPr>
          <w:snapToGrid w:val="0"/>
        </w:rPr>
        <w:tab/>
        <w:t>any sum paid by the Commission in discharge of such liability of such driver shall be recoverable by the Commission from such driver.</w:t>
      </w:r>
    </w:p>
    <w:p>
      <w:pPr>
        <w:pStyle w:val="Footnotesection"/>
        <w:ind w:left="890" w:hanging="890"/>
      </w:pPr>
      <w:r>
        <w:tab/>
        <w:t>[Section 15 amended: No. 31 of 1948 s. 17; No. 51 of 1986 s. 46(2); No. 107 of 1987 s. 11.]</w:t>
      </w:r>
    </w:p>
    <w:p>
      <w:pPr>
        <w:pStyle w:val="Heading5"/>
        <w:rPr>
          <w:snapToGrid w:val="0"/>
        </w:rPr>
      </w:pPr>
      <w:bookmarkStart w:id="31" w:name="_Toc161414757"/>
      <w:r>
        <w:rPr>
          <w:rStyle w:val="CharSectno"/>
        </w:rPr>
        <w:t>16</w:t>
      </w:r>
      <w:r>
        <w:rPr>
          <w:snapToGrid w:val="0"/>
        </w:rPr>
        <w:t>.</w:t>
      </w:r>
      <w:r>
        <w:rPr>
          <w:snapToGrid w:val="0"/>
        </w:rPr>
        <w:tab/>
        <w:t>Jurisdiction</w:t>
      </w:r>
      <w:bookmarkEnd w:id="31"/>
    </w:p>
    <w:p>
      <w:pPr>
        <w:pStyle w:val="Subsection"/>
        <w:rPr>
          <w:snapToGrid w:val="0"/>
        </w:rPr>
      </w:pPr>
      <w:r>
        <w:rPr>
          <w:snapToGrid w:val="0"/>
        </w:rPr>
        <w:tab/>
        <w:t>(1)</w:t>
      </w:r>
      <w:r>
        <w:rPr>
          <w:snapToGrid w:val="0"/>
        </w:rPr>
        <w:tab/>
        <w:t>In this section —</w:t>
      </w:r>
    </w:p>
    <w:p>
      <w:pPr>
        <w:pStyle w:val="Defstart"/>
      </w:pPr>
      <w:r>
        <w:rPr>
          <w:b/>
        </w:rPr>
        <w:tab/>
      </w:r>
      <w:r>
        <w:rPr>
          <w:rStyle w:val="CharDefText"/>
        </w:rPr>
        <w:t>action or proceedings</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r>
      <w:r>
        <w:rPr>
          <w:rStyle w:val="CharDefText"/>
        </w:rPr>
        <w:t>court</w:t>
      </w:r>
      <w:r>
        <w:t xml:space="preserve"> means Supreme Court, District Court, or Magistrates Court, as the case may be;</w:t>
      </w:r>
    </w:p>
    <w:p>
      <w:pPr>
        <w:pStyle w:val="Defstart"/>
      </w:pPr>
      <w:r>
        <w:rPr>
          <w:b/>
        </w:rPr>
        <w:tab/>
      </w:r>
      <w:r>
        <w:rPr>
          <w:rStyle w:val="CharDefText"/>
        </w:rPr>
        <w:t>pending action or proceedings</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r>
      <w:r>
        <w:rPr>
          <w:rStyle w:val="CharDefText"/>
        </w:rPr>
        <w:t>proclaimed date</w:t>
      </w:r>
      <w:r>
        <w:t xml:space="preserve"> means the date on which the </w:t>
      </w:r>
      <w:r>
        <w:rPr>
          <w:i/>
        </w:rPr>
        <w:t>Motor Vehicle (Third Party Insurance) Act Amendment Act 1972</w:t>
      </w:r>
      <w:r>
        <w:t xml:space="preserve"> comes into operation; and</w:t>
      </w:r>
    </w:p>
    <w:p>
      <w:pPr>
        <w:pStyle w:val="Defstart"/>
      </w:pPr>
      <w:r>
        <w:rPr>
          <w:b/>
        </w:rPr>
        <w:tab/>
      </w:r>
      <w:r>
        <w:rPr>
          <w:rStyle w:val="CharDefText"/>
        </w:rPr>
        <w:t>the Tribunal</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lastRenderedPageBreak/>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No. 42 of 1972 s. 6; amended: No. 51 of 1986 s. 46(2); No. 107 of 1987 s. 14; No. 59 of 2004 s. 141.]</w:t>
      </w:r>
    </w:p>
    <w:p>
      <w:pPr>
        <w:pStyle w:val="Heading5"/>
        <w:rPr>
          <w:snapToGrid w:val="0"/>
        </w:rPr>
      </w:pPr>
      <w:bookmarkStart w:id="32" w:name="_Toc161414758"/>
      <w:r>
        <w:rPr>
          <w:rStyle w:val="CharSectno"/>
        </w:rPr>
        <w:lastRenderedPageBreak/>
        <w:t>17</w:t>
      </w:r>
      <w:r>
        <w:rPr>
          <w:snapToGrid w:val="0"/>
        </w:rPr>
        <w:t>.</w:t>
      </w:r>
      <w:r>
        <w:rPr>
          <w:snapToGrid w:val="0"/>
        </w:rPr>
        <w:tab/>
        <w:t>Insurance by visiting motorists</w:t>
      </w:r>
      <w:bookmarkEnd w:id="32"/>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No. 31 of 1948 s. 19; No. 107 of 1987 s. 14; No. 14 of 1996 s. 4.]</w:t>
      </w:r>
    </w:p>
    <w:p>
      <w:pPr>
        <w:pStyle w:val="Heading5"/>
        <w:rPr>
          <w:snapToGrid w:val="0"/>
        </w:rPr>
      </w:pPr>
      <w:bookmarkStart w:id="33" w:name="_Toc161414759"/>
      <w:r>
        <w:rPr>
          <w:rStyle w:val="CharSectno"/>
        </w:rPr>
        <w:t>18</w:t>
      </w:r>
      <w:r>
        <w:rPr>
          <w:snapToGrid w:val="0"/>
        </w:rPr>
        <w:t>.</w:t>
      </w:r>
      <w:r>
        <w:rPr>
          <w:snapToGrid w:val="0"/>
        </w:rPr>
        <w:tab/>
        <w:t>Power to suspend or cancel licences</w:t>
      </w:r>
      <w:bookmarkEnd w:id="33"/>
    </w:p>
    <w:p>
      <w:pPr>
        <w:pStyle w:val="Subsection"/>
        <w:rPr>
          <w:snapToGrid w:val="0"/>
          <w:spacing w:val="-2"/>
        </w:rPr>
      </w:pPr>
      <w:r>
        <w:rPr>
          <w:snapToGrid w:val="0"/>
          <w:spacing w:val="-2"/>
        </w:rPr>
        <w:tab/>
        <w:t>(1)</w:t>
      </w:r>
      <w:r>
        <w:rPr>
          <w:snapToGrid w:val="0"/>
          <w:spacing w:val="-2"/>
        </w:rPr>
        <w:tab/>
        <w:t xml:space="preserve">Any police officer or constable or the Commission may apply to the Magistrates Court for an order that any person be disqualified for such period as the court fixes from holding and obtaining a driver’s licence under the </w:t>
      </w:r>
      <w:r>
        <w:rPr>
          <w:i/>
          <w:iCs/>
        </w:rPr>
        <w:t>Road Traffic (Authorisation to Drive) Act 2008</w:t>
      </w:r>
      <w:r>
        <w: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No. 31 of 1948 s. 20; No. 58 of 1974 s. 32; No. 51 of 1986 s. 46(2); No 78 of 1995 s. 74; No. 84 of 2004 s. 80; No. 8 of 2012 s. 139.]</w:t>
      </w:r>
    </w:p>
    <w:p>
      <w:pPr>
        <w:pStyle w:val="Heading5"/>
        <w:rPr>
          <w:snapToGrid w:val="0"/>
        </w:rPr>
      </w:pPr>
      <w:bookmarkStart w:id="34" w:name="_Toc161414760"/>
      <w:r>
        <w:rPr>
          <w:rStyle w:val="CharSectno"/>
        </w:rPr>
        <w:t>19</w:t>
      </w:r>
      <w:r>
        <w:rPr>
          <w:snapToGrid w:val="0"/>
        </w:rPr>
        <w:t>.</w:t>
      </w:r>
      <w:r>
        <w:rPr>
          <w:snapToGrid w:val="0"/>
        </w:rPr>
        <w:tab/>
        <w:t>Commission not to terminate policy</w:t>
      </w:r>
      <w:bookmarkEnd w:id="34"/>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lastRenderedPageBreak/>
        <w:tab/>
        <w:t>[Section 19 inserted: No. 31 of 1948 s. 21; amended: No. 51 of 1986 s. 46(2).]</w:t>
      </w:r>
    </w:p>
    <w:p>
      <w:pPr>
        <w:pStyle w:val="Heading5"/>
        <w:rPr>
          <w:snapToGrid w:val="0"/>
        </w:rPr>
      </w:pPr>
      <w:bookmarkStart w:id="35" w:name="_Toc161414761"/>
      <w:r>
        <w:rPr>
          <w:rStyle w:val="CharSectno"/>
        </w:rPr>
        <w:t>20</w:t>
      </w:r>
      <w:r>
        <w:rPr>
          <w:snapToGrid w:val="0"/>
        </w:rPr>
        <w:t>.</w:t>
      </w:r>
      <w:r>
        <w:rPr>
          <w:snapToGrid w:val="0"/>
        </w:rPr>
        <w:tab/>
        <w:t>Policy of insurance to continue notwithstanding change of ownership of vehicle</w:t>
      </w:r>
      <w:bookmarkEnd w:id="35"/>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rPr>
      </w:pPr>
      <w:r>
        <w:rPr>
          <w:snapToGrid w:val="0"/>
        </w:rPr>
        <w:tab/>
        <w:t>(a)</w:t>
      </w:r>
      <w:r>
        <w:rPr>
          <w:snapToGrid w:val="0"/>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i w:val="0"/>
          <w:vertAlign w:val="superscript"/>
        </w:rPr>
        <w:t>2</w:t>
      </w:r>
      <w:r>
        <w:t xml:space="preserve"> inserted as s. 19A: No. 40 of 1944 s. 7; amended: No. 36 of 1954 s. 7.]</w:t>
      </w:r>
    </w:p>
    <w:p>
      <w:pPr>
        <w:pStyle w:val="Heading5"/>
      </w:pPr>
      <w:bookmarkStart w:id="36" w:name="_Toc161414762"/>
      <w:r>
        <w:rPr>
          <w:rStyle w:val="CharSectno"/>
        </w:rPr>
        <w:t>21</w:t>
      </w:r>
      <w:r>
        <w:t>.</w:t>
      </w:r>
      <w:r>
        <w:tab/>
        <w:t>Term of policy of insurance extended in certain cases</w:t>
      </w:r>
      <w:bookmarkEnd w:id="36"/>
    </w:p>
    <w:p>
      <w:pPr>
        <w:pStyle w:val="Subsection"/>
      </w:pPr>
      <w:r>
        <w:tab/>
        <w:t>(1)</w:t>
      </w:r>
      <w:r>
        <w:tab/>
        <w:t>This section applies if a vehicle licence in respect of a motor vehicle is renewed after it has expired.</w:t>
      </w:r>
    </w:p>
    <w:p>
      <w:pPr>
        <w:pStyle w:val="Subsection"/>
      </w:pPr>
      <w:r>
        <w:tab/>
        <w:t>(2)</w:t>
      </w:r>
      <w:r>
        <w:tab/>
        <w:t xml:space="preserve">If the vehicle licence is renewed within the period of 15 days after the day on which the vehicle licence expired, the operation </w:t>
      </w:r>
      <w:r>
        <w:lastRenderedPageBreak/>
        <w:t>of the policy related to the vehicle licence is, despite section 4(8A)(b), extended until the vehicle licence is renewed.</w:t>
      </w:r>
    </w:p>
    <w:p>
      <w:pPr>
        <w:pStyle w:val="Subsection"/>
      </w:pPr>
      <w:r>
        <w:tab/>
        <w:t>(3)</w:t>
      </w:r>
      <w:r>
        <w:tab/>
        <w:t>In subsection (2) the reference to the policy related to the vehicle licence is a reference to the policy of insurance taken to have been issued under section 4(8A) in respect of the motor vehicle to which the licence applies.</w:t>
      </w:r>
    </w:p>
    <w:p>
      <w:pPr>
        <w:pStyle w:val="Subsection"/>
      </w:pPr>
      <w:r>
        <w:tab/>
        <w:t>(4)</w:t>
      </w:r>
      <w:r>
        <w:tab/>
        <w:t>If the vehicle licence is not renewed until after the end of the period mentioned in subsection (2), the motor vehicle is an uninsured motor vehicle for the period beginning on the day after the day on which the vehicle licence expired and ending on the day on which the vehicle licence is renewed.</w:t>
      </w:r>
    </w:p>
    <w:p>
      <w:pPr>
        <w:pStyle w:val="Subsection"/>
      </w:pPr>
      <w:r>
        <w:tab/>
        <w:t>(5)</w:t>
      </w:r>
      <w:r>
        <w:tab/>
        <w:t>Subsection (4) does not affect the amount of the insurance premium that must be paid before the vehicle licence can be renewed.</w:t>
      </w:r>
    </w:p>
    <w:p>
      <w:pPr>
        <w:pStyle w:val="Footnotesection"/>
      </w:pPr>
      <w:r>
        <w:tab/>
        <w:t>[Section 21 inserted: No. 8 of 2016 s. 51.]</w:t>
      </w:r>
    </w:p>
    <w:p>
      <w:pPr>
        <w:pStyle w:val="Heading5"/>
        <w:rPr>
          <w:snapToGrid w:val="0"/>
        </w:rPr>
      </w:pPr>
      <w:bookmarkStart w:id="37" w:name="_Toc161414763"/>
      <w:r>
        <w:rPr>
          <w:rStyle w:val="CharSectno"/>
        </w:rPr>
        <w:t>22</w:t>
      </w:r>
      <w:r>
        <w:rPr>
          <w:snapToGrid w:val="0"/>
        </w:rPr>
        <w:t>.</w:t>
      </w:r>
      <w:r>
        <w:rPr>
          <w:snapToGrid w:val="0"/>
        </w:rPr>
        <w:tab/>
        <w:t>Provision regarding motor vehicle of employee used by employee in employer’s business</w:t>
      </w:r>
      <w:bookmarkEnd w:id="37"/>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 xml:space="preserve">Where the owner of a motor vehicle in respect of which a policy of insurance complying with this Act is in force uses the vehicle in connection with or for the purposes of the performance of his service as a servant of the employer of such owner, without the </w:t>
      </w:r>
      <w:r>
        <w:rPr>
          <w:snapToGrid w:val="0"/>
        </w:rPr>
        <w:lastRenderedPageBreak/>
        <w:t>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keepLines w:val="0"/>
        <w:ind w:left="890" w:hanging="890"/>
      </w:pPr>
      <w:r>
        <w:tab/>
        <w:t>[Section 22 </w:t>
      </w:r>
      <w:r>
        <w:rPr>
          <w:i w:val="0"/>
          <w:vertAlign w:val="superscript"/>
        </w:rPr>
        <w:t>2</w:t>
      </w:r>
      <w:r>
        <w:t xml:space="preserve"> inserted as s. 19C: No. 40 of 1944 s. 7.]</w:t>
      </w:r>
    </w:p>
    <w:p>
      <w:pPr>
        <w:pStyle w:val="Heading5"/>
        <w:rPr>
          <w:snapToGrid w:val="0"/>
        </w:rPr>
      </w:pPr>
      <w:bookmarkStart w:id="38" w:name="_Toc161414764"/>
      <w:r>
        <w:rPr>
          <w:rStyle w:val="CharSectno"/>
        </w:rPr>
        <w:t>23</w:t>
      </w:r>
      <w:r>
        <w:rPr>
          <w:snapToGrid w:val="0"/>
        </w:rPr>
        <w:t>.</w:t>
      </w:r>
      <w:r>
        <w:rPr>
          <w:snapToGrid w:val="0"/>
        </w:rPr>
        <w:tab/>
        <w:t>Policies to give cover required by amending Acts</w:t>
      </w:r>
      <w:bookmarkEnd w:id="38"/>
    </w:p>
    <w:p>
      <w:pPr>
        <w:pStyle w:val="Subsection"/>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i w:val="0"/>
          <w:vertAlign w:val="superscript"/>
        </w:rPr>
        <w:t>2</w:t>
      </w:r>
      <w:r>
        <w:t xml:space="preserve"> inserted as s. 19D: No. 40 of 1944 s. 7; amended: No. 31 of 1948 s. 22; No. 51 of 1986 s. 46(2); No. 107 of 1987 s. 12.]</w:t>
      </w:r>
    </w:p>
    <w:p>
      <w:pPr>
        <w:pStyle w:val="Heading5"/>
        <w:rPr>
          <w:snapToGrid w:val="0"/>
        </w:rPr>
      </w:pPr>
      <w:bookmarkStart w:id="39" w:name="_Toc161414765"/>
      <w:r>
        <w:rPr>
          <w:rStyle w:val="CharSectno"/>
        </w:rPr>
        <w:t>24</w:t>
      </w:r>
      <w:r>
        <w:rPr>
          <w:snapToGrid w:val="0"/>
        </w:rPr>
        <w:t>.</w:t>
      </w:r>
      <w:r>
        <w:rPr>
          <w:snapToGrid w:val="0"/>
        </w:rPr>
        <w:tab/>
        <w:t>Reference to issue of policy to extend to renewal of policy</w:t>
      </w:r>
      <w:bookmarkEnd w:id="39"/>
    </w:p>
    <w:p>
      <w:pPr>
        <w:pStyle w:val="Subsection"/>
        <w:rPr>
          <w:snapToGrid w:val="0"/>
        </w:rPr>
      </w:pPr>
      <w:r>
        <w:rPr>
          <w:snapToGrid w:val="0"/>
        </w:rPr>
        <w:tab/>
      </w:r>
      <w:r>
        <w:rPr>
          <w:snapToGrid w:val="0"/>
        </w:rPr>
        <w:tab/>
        <w:t xml:space="preserve">Where in any provision of this Act reference is made to the issue of a policy of insurance complying with this Act such </w:t>
      </w:r>
      <w:r>
        <w:rPr>
          <w:snapToGrid w:val="0"/>
        </w:rPr>
        <w:lastRenderedPageBreak/>
        <w:t>reference shall extend to and include the issue of a renewal of such policy of insurance.</w:t>
      </w:r>
    </w:p>
    <w:p>
      <w:pPr>
        <w:pStyle w:val="Footnotesection"/>
      </w:pPr>
      <w:r>
        <w:tab/>
        <w:t>[Section 24 </w:t>
      </w:r>
      <w:r>
        <w:rPr>
          <w:i w:val="0"/>
          <w:vertAlign w:val="superscript"/>
        </w:rPr>
        <w:t>2</w:t>
      </w:r>
      <w:r>
        <w:rPr>
          <w:i w:val="0"/>
        </w:rPr>
        <w:t xml:space="preserve"> </w:t>
      </w:r>
      <w:r>
        <w:t>inserted as s. 19E: No. 40 of 1944 s. 7.]</w:t>
      </w:r>
    </w:p>
    <w:p>
      <w:pPr>
        <w:pStyle w:val="Heading5"/>
        <w:rPr>
          <w:snapToGrid w:val="0"/>
        </w:rPr>
      </w:pPr>
      <w:bookmarkStart w:id="40" w:name="_Toc161414766"/>
      <w:r>
        <w:rPr>
          <w:rStyle w:val="CharSectno"/>
        </w:rPr>
        <w:t>25</w:t>
      </w:r>
      <w:r>
        <w:rPr>
          <w:snapToGrid w:val="0"/>
        </w:rPr>
        <w:t>.</w:t>
      </w:r>
      <w:r>
        <w:rPr>
          <w:snapToGrid w:val="0"/>
        </w:rPr>
        <w:tab/>
        <w:t>Information to be furnished by the Commission</w:t>
      </w:r>
      <w:bookmarkEnd w:id="40"/>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2</w:t>
      </w:r>
      <w:r>
        <w:t>, formerly section 20, amended: No. 31 of 1948 s. 23; No. 57 of 1962 s. 5; No. 51 of 1986 s. 46(2); No. 8 of 1988 s. 8.]</w:t>
      </w:r>
    </w:p>
    <w:p>
      <w:pPr>
        <w:pStyle w:val="Heading5"/>
        <w:rPr>
          <w:snapToGrid w:val="0"/>
        </w:rPr>
      </w:pPr>
      <w:bookmarkStart w:id="41" w:name="_Toc161414767"/>
      <w:r>
        <w:rPr>
          <w:rStyle w:val="CharSectno"/>
        </w:rPr>
        <w:t>26</w:t>
      </w:r>
      <w:r>
        <w:rPr>
          <w:snapToGrid w:val="0"/>
        </w:rPr>
        <w:t>.</w:t>
      </w:r>
      <w:r>
        <w:rPr>
          <w:snapToGrid w:val="0"/>
        </w:rPr>
        <w:tab/>
        <w:t>Contracting out of liability for negligence</w:t>
      </w:r>
      <w:bookmarkEnd w:id="41"/>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2</w:t>
      </w:r>
      <w:r>
        <w:t xml:space="preserve"> amended: No. 65 of 1986 s. 3.]</w:t>
      </w:r>
    </w:p>
    <w:p>
      <w:pPr>
        <w:pStyle w:val="Heading5"/>
        <w:rPr>
          <w:snapToGrid w:val="0"/>
        </w:rPr>
      </w:pPr>
      <w:bookmarkStart w:id="42" w:name="_Toc161414768"/>
      <w:r>
        <w:rPr>
          <w:rStyle w:val="CharSectno"/>
        </w:rPr>
        <w:t>27</w:t>
      </w:r>
      <w:r>
        <w:rPr>
          <w:snapToGrid w:val="0"/>
        </w:rPr>
        <w:t>.</w:t>
      </w:r>
      <w:r>
        <w:rPr>
          <w:snapToGrid w:val="0"/>
        </w:rPr>
        <w:tab/>
        <w:t>Soliciting instructions from persons claiming</w:t>
      </w:r>
      <w:bookmarkEnd w:id="42"/>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 xml:space="preserve">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w:t>
      </w:r>
      <w:r>
        <w:rPr>
          <w:snapToGrid w:val="0"/>
        </w:rPr>
        <w:lastRenderedPageBreak/>
        <w:t>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2</w:t>
      </w:r>
      <w:r>
        <w:t>, formerly section 22, amended: No. 31 of 1948 s. 24; No. 51 of 1986 s. 46(2); No. 107 of 1987 s. 13; No. 13 of 1994 s. 9.]</w:t>
      </w:r>
    </w:p>
    <w:p>
      <w:pPr>
        <w:pStyle w:val="Heading5"/>
        <w:rPr>
          <w:snapToGrid w:val="0"/>
        </w:rPr>
      </w:pPr>
      <w:bookmarkStart w:id="43" w:name="_Toc161414769"/>
      <w:r>
        <w:rPr>
          <w:rStyle w:val="CharSectno"/>
        </w:rPr>
        <w:t>27A</w:t>
      </w:r>
      <w:r>
        <w:rPr>
          <w:snapToGrid w:val="0"/>
        </w:rPr>
        <w:t xml:space="preserve">. </w:t>
      </w:r>
      <w:r>
        <w:rPr>
          <w:snapToGrid w:val="0"/>
        </w:rPr>
        <w:tab/>
        <w:t>Costs between solicitor and client</w:t>
      </w:r>
      <w:bookmarkEnd w:id="43"/>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made under the </w:t>
      </w:r>
      <w:r>
        <w:rPr>
          <w:i/>
        </w:rPr>
        <w:t>Legal Profession Uniform Law Application Act 2022</w:t>
      </w:r>
      <w:r>
        <w:t xml:space="preserve"> section 133 that is in force</w:t>
      </w:r>
      <w:r>
        <w:rPr>
          <w:snapToGrid w:val="0"/>
        </w:rPr>
        <w:t>.</w:t>
      </w:r>
    </w:p>
    <w:p>
      <w:pPr>
        <w:pStyle w:val="Subsection"/>
        <w:rPr>
          <w:snapToGrid w:val="0"/>
        </w:rPr>
      </w:pPr>
      <w:r>
        <w:rPr>
          <w:snapToGrid w:val="0"/>
        </w:rPr>
        <w:lastRenderedPageBreak/>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rPr>
        <w:t xml:space="preserve"> and does not apply in relation to any money paid in respect of services so provided.</w:t>
      </w:r>
    </w:p>
    <w:p>
      <w:pPr>
        <w:pStyle w:val="Footnotesection"/>
      </w:pPr>
      <w:r>
        <w:tab/>
        <w:t>[Section 27A inserted: No. 17 of 1994 s. 6; amended: No. 65 of 2003 s. 53(2); No. 21 of 2008 s. 682; No. 9 of 2022 s. 424.]</w:t>
      </w:r>
    </w:p>
    <w:p>
      <w:pPr>
        <w:pStyle w:val="Heading5"/>
      </w:pPr>
      <w:bookmarkStart w:id="44" w:name="_Toc161414770"/>
      <w:r>
        <w:rPr>
          <w:rStyle w:val="CharSectno"/>
        </w:rPr>
        <w:t>27B</w:t>
      </w:r>
      <w:r>
        <w:t>.</w:t>
      </w:r>
      <w:r>
        <w:tab/>
        <w:t>False or misleading information</w:t>
      </w:r>
      <w:bookmarkEnd w:id="44"/>
    </w:p>
    <w:p>
      <w:pPr>
        <w:pStyle w:val="Subsection"/>
      </w:pPr>
      <w:r>
        <w:tab/>
        <w:t>(1)</w:t>
      </w:r>
      <w:r>
        <w:tab/>
        <w:t xml:space="preserve">A person must not do anything set out in subsection (2) — </w:t>
      </w:r>
    </w:p>
    <w:p>
      <w:pPr>
        <w:pStyle w:val="Indenta"/>
      </w:pPr>
      <w:r>
        <w:tab/>
        <w:t>(a)</w:t>
      </w:r>
      <w:r>
        <w:tab/>
        <w:t>in, or in connection with, a notice or other document given under this Act; or</w:t>
      </w:r>
    </w:p>
    <w:p>
      <w:pPr>
        <w:pStyle w:val="Indenta"/>
      </w:pPr>
      <w:r>
        <w:tab/>
        <w:t>(b)</w:t>
      </w:r>
      <w:r>
        <w:tab/>
        <w:t>in compliance, or purported compliance, with a requirement under this Act; or</w:t>
      </w:r>
    </w:p>
    <w:p>
      <w:pPr>
        <w:pStyle w:val="Indenta"/>
      </w:pPr>
      <w:r>
        <w:tab/>
        <w:t>(c)</w:t>
      </w:r>
      <w:r>
        <w:tab/>
        <w:t>for any other purpose under this Act.</w:t>
      </w:r>
    </w:p>
    <w:p>
      <w:pPr>
        <w:pStyle w:val="Penstart"/>
      </w:pPr>
      <w:r>
        <w:tab/>
        <w:t>Penalty for this subsection: a fine of $10 000.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and</w:t>
      </w:r>
    </w:p>
    <w:p>
      <w:pPr>
        <w:pStyle w:val="Indenta"/>
      </w:pPr>
      <w:r>
        <w:tab/>
        <w:t>(b)</w:t>
      </w:r>
      <w:r>
        <w:tab/>
        <w:t>omitting from a statement made anything without which the statement is, to the person’s knowledge, misleading in a material particular; and</w:t>
      </w:r>
    </w:p>
    <w:p>
      <w:pPr>
        <w:pStyle w:val="Indenta"/>
      </w:pPr>
      <w:r>
        <w:tab/>
        <w:t>(c)</w:t>
      </w:r>
      <w:r>
        <w:tab/>
        <w:t xml:space="preserve">giving information that — </w:t>
      </w:r>
    </w:p>
    <w:p>
      <w:pPr>
        <w:pStyle w:val="Indenti"/>
      </w:pPr>
      <w:r>
        <w:lastRenderedPageBreak/>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Footnotesection"/>
      </w:pPr>
      <w:r>
        <w:tab/>
        <w:t>[Section 27B inserted: No. 8 of 2016 s. 52.]</w:t>
      </w:r>
    </w:p>
    <w:p>
      <w:pPr>
        <w:pStyle w:val="Heading5"/>
      </w:pPr>
      <w:bookmarkStart w:id="45" w:name="_Toc161414771"/>
      <w:r>
        <w:rPr>
          <w:rStyle w:val="CharSectno"/>
        </w:rPr>
        <w:t>27C</w:t>
      </w:r>
      <w:r>
        <w:t>.</w:t>
      </w:r>
      <w:r>
        <w:tab/>
        <w:t>Obstruction</w:t>
      </w:r>
      <w:bookmarkEnd w:id="45"/>
    </w:p>
    <w:p>
      <w:pPr>
        <w:pStyle w:val="Subsection"/>
      </w:pPr>
      <w:r>
        <w:tab/>
        <w:t>(1)</w:t>
      </w:r>
      <w:r>
        <w:tab/>
        <w:t xml:space="preserve">In this section — </w:t>
      </w:r>
    </w:p>
    <w:p>
      <w:pPr>
        <w:pStyle w:val="Defstart"/>
      </w:pPr>
      <w:r>
        <w:tab/>
      </w:r>
      <w:r>
        <w:rPr>
          <w:rStyle w:val="CharDefText"/>
        </w:rPr>
        <w:t>Commission officer</w:t>
      </w:r>
      <w:r>
        <w:t xml:space="preserve"> means — </w:t>
      </w:r>
    </w:p>
    <w:p>
      <w:pPr>
        <w:pStyle w:val="Defpara"/>
      </w:pPr>
      <w:r>
        <w:tab/>
        <w:t>(a)</w:t>
      </w:r>
      <w:r>
        <w:tab/>
        <w:t xml:space="preserve">a person appointed as an officer or employee of the Commission under the </w:t>
      </w:r>
      <w:r>
        <w:rPr>
          <w:i/>
        </w:rPr>
        <w:t>Insurance Commission of Western Australia Act 1986</w:t>
      </w:r>
      <w:r>
        <w:t xml:space="preserve"> section 12(1); or</w:t>
      </w:r>
    </w:p>
    <w:p>
      <w:pPr>
        <w:pStyle w:val="Defpara"/>
      </w:pPr>
      <w:r>
        <w:tab/>
        <w:t>(b)</w:t>
      </w:r>
      <w:r>
        <w:tab/>
        <w:t>a person engaged by the Commission under section 12(4) of that Act.</w:t>
      </w:r>
    </w:p>
    <w:p>
      <w:pPr>
        <w:pStyle w:val="Subsection"/>
      </w:pPr>
      <w:r>
        <w:tab/>
        <w:t>(2)</w:t>
      </w:r>
      <w:r>
        <w:tab/>
        <w:t>A person who obstructs or hinders a Commission officer or other person in the performance of a function under this Act commits an offence.</w:t>
      </w:r>
    </w:p>
    <w:p>
      <w:pPr>
        <w:pStyle w:val="Penstart"/>
      </w:pPr>
      <w:r>
        <w:tab/>
        <w:t>Penalty for this subsection: a fine of $10 000.</w:t>
      </w:r>
    </w:p>
    <w:p>
      <w:pPr>
        <w:pStyle w:val="Footnotesection"/>
      </w:pPr>
      <w:r>
        <w:tab/>
        <w:t>[Section 27C inserted: No. 8 of 2016 s. 52.]</w:t>
      </w:r>
    </w:p>
    <w:p>
      <w:pPr>
        <w:pStyle w:val="Heading5"/>
        <w:rPr>
          <w:snapToGrid w:val="0"/>
        </w:rPr>
      </w:pPr>
      <w:bookmarkStart w:id="46" w:name="_Toc161414772"/>
      <w:r>
        <w:rPr>
          <w:rStyle w:val="CharSectno"/>
        </w:rPr>
        <w:t>28</w:t>
      </w:r>
      <w:r>
        <w:rPr>
          <w:snapToGrid w:val="0"/>
        </w:rPr>
        <w:t>.</w:t>
      </w:r>
      <w:r>
        <w:rPr>
          <w:snapToGrid w:val="0"/>
        </w:rPr>
        <w:tab/>
        <w:t>Offences: general penalty</w:t>
      </w:r>
      <w:bookmarkEnd w:id="46"/>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lastRenderedPageBreak/>
        <w:tab/>
        <w:t>[Section 28 </w:t>
      </w:r>
      <w:r>
        <w:rPr>
          <w:i w:val="0"/>
          <w:vertAlign w:val="superscript"/>
        </w:rPr>
        <w:t>2</w:t>
      </w:r>
      <w:r>
        <w:t xml:space="preserve"> amended: No. 95 of 1966 s. 21; No. 44 of 1971 s. 5.]</w:t>
      </w:r>
    </w:p>
    <w:p>
      <w:pPr>
        <w:pStyle w:val="Heading5"/>
        <w:rPr>
          <w:snapToGrid w:val="0"/>
        </w:rPr>
      </w:pPr>
      <w:bookmarkStart w:id="47" w:name="_Toc161414773"/>
      <w:r>
        <w:rPr>
          <w:rStyle w:val="CharSectno"/>
        </w:rPr>
        <w:t>29</w:t>
      </w:r>
      <w:r>
        <w:rPr>
          <w:snapToGrid w:val="0"/>
        </w:rPr>
        <w:t>.</w:t>
      </w:r>
      <w:r>
        <w:rPr>
          <w:snapToGrid w:val="0"/>
        </w:rPr>
        <w:tab/>
        <w:t>Notice of claim</w:t>
      </w:r>
      <w:bookmarkEnd w:id="47"/>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rStyle w:val="CharDefText"/>
        </w:rPr>
        <w:t>the claimant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lastRenderedPageBreak/>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No. 21 of 1969 s. 5; amended: No. 42 of 1972 s. 8; No. 51 of 1986 s. 46(2); No. 107 of 1987 s. 14; No. 13 of 1994 s. 10.]</w:t>
      </w:r>
    </w:p>
    <w:p>
      <w:pPr>
        <w:pStyle w:val="Heading5"/>
        <w:rPr>
          <w:snapToGrid w:val="0"/>
        </w:rPr>
      </w:pPr>
      <w:bookmarkStart w:id="48" w:name="_Toc161414774"/>
      <w:r>
        <w:rPr>
          <w:rStyle w:val="CharSectno"/>
        </w:rPr>
        <w:t>29A</w:t>
      </w:r>
      <w:r>
        <w:rPr>
          <w:snapToGrid w:val="0"/>
        </w:rPr>
        <w:t xml:space="preserve">. </w:t>
      </w:r>
      <w:r>
        <w:rPr>
          <w:snapToGrid w:val="0"/>
        </w:rPr>
        <w:tab/>
        <w:t>Court may grant leave to proceed</w:t>
      </w:r>
      <w:bookmarkEnd w:id="48"/>
    </w:p>
    <w:p>
      <w:pPr>
        <w:pStyle w:val="Subsection"/>
        <w:rPr>
          <w:snapToGrid w:val="0"/>
        </w:rPr>
      </w:pPr>
      <w:r>
        <w:rPr>
          <w:snapToGrid w:val="0"/>
        </w:rPr>
        <w:tab/>
      </w:r>
      <w:r>
        <w:rPr>
          <w:snapToGrid w:val="0"/>
        </w:rPr>
        <w:tab/>
        <w:t xml:space="preserve">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w:t>
      </w:r>
      <w:r>
        <w:rPr>
          <w:snapToGrid w:val="0"/>
        </w:rPr>
        <w:lastRenderedPageBreak/>
        <w:t>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No. 72 of 1962 s. 10; amended: No. 95 of 1966 s. 19; No. 51 of 1986 s. 46(2); No. 107 of 1987 s. 14; No. 13 of 1994 s. 11; No. 28 of 2003 s. 122(4).]</w:t>
      </w:r>
    </w:p>
    <w:p>
      <w:pPr>
        <w:pStyle w:val="Heading5"/>
      </w:pPr>
      <w:bookmarkStart w:id="49" w:name="_Toc161414775"/>
      <w:r>
        <w:rPr>
          <w:rStyle w:val="CharSectno"/>
        </w:rPr>
        <w:t>30</w:t>
      </w:r>
      <w:r>
        <w:t>.</w:t>
      </w:r>
      <w:r>
        <w:tab/>
        <w:t>Examination of injured person by health professional</w:t>
      </w:r>
      <w:bookmarkEnd w:id="49"/>
    </w:p>
    <w:p>
      <w:pPr>
        <w:pStyle w:val="Subsection"/>
      </w:pPr>
      <w:r>
        <w:tab/>
        <w:t>(1)</w:t>
      </w:r>
      <w:r>
        <w:tab/>
        <w:t xml:space="preserve">In this section — </w:t>
      </w:r>
    </w:p>
    <w:p>
      <w:pPr>
        <w:pStyle w:val="Defstart"/>
      </w:pPr>
      <w:r>
        <w:tab/>
      </w:r>
      <w:r>
        <w:rPr>
          <w:rStyle w:val="CharDefText"/>
        </w:rPr>
        <w:t>health profession</w:t>
      </w:r>
      <w:r>
        <w:t xml:space="preserve"> has the meaning given in the </w:t>
      </w:r>
      <w:r>
        <w:rPr>
          <w:i/>
        </w:rPr>
        <w:t xml:space="preserve">Health Practitioner Regulation National Law (Western Australia) </w:t>
      </w:r>
      <w:r>
        <w:t>section 5;</w:t>
      </w:r>
    </w:p>
    <w:p>
      <w:pPr>
        <w:pStyle w:val="Defstart"/>
      </w:pPr>
      <w:r>
        <w:tab/>
      </w:r>
      <w:r>
        <w:rPr>
          <w:rStyle w:val="CharDefText"/>
        </w:rPr>
        <w:t>health professional</w:t>
      </w:r>
      <w:r>
        <w:t xml:space="preserve">, means — </w:t>
      </w:r>
    </w:p>
    <w:p>
      <w:pPr>
        <w:pStyle w:val="Defpara"/>
      </w:pPr>
      <w:r>
        <w:tab/>
        <w:t>(a)</w:t>
      </w:r>
      <w:r>
        <w:tab/>
        <w:t xml:space="preserve">in relation to the examination of an injured person in Australia — a person registered under the </w:t>
      </w:r>
      <w:r>
        <w:rPr>
          <w:i/>
        </w:rPr>
        <w:t>Health Practitioner Regulation National Law (Western Australia)</w:t>
      </w:r>
      <w:r>
        <w:t xml:space="preserve"> to practise a health profession (other than as a student); or</w:t>
      </w:r>
    </w:p>
    <w:p>
      <w:pPr>
        <w:pStyle w:val="Defpara"/>
      </w:pPr>
      <w:r>
        <w:tab/>
        <w:t>(b)</w:t>
      </w:r>
      <w:r>
        <w:tab/>
        <w:t>in relation to the examination of an injured person in another country — a person licensed, registered or otherwise authorised under a law of that country to practise a health profession (other than as a student).</w:t>
      </w:r>
    </w:p>
    <w:p>
      <w:pPr>
        <w:pStyle w:val="Subsection"/>
      </w:pPr>
      <w:r>
        <w:tab/>
        <w:t>(2)</w:t>
      </w:r>
      <w:r>
        <w:tab/>
        <w:t xml:space="preserve">Where, in accordance with section 29, the Commission has received notice of a claim for damages in relation to the bodily injury of a person (an </w:t>
      </w:r>
      <w:r>
        <w:rPr>
          <w:rStyle w:val="CharDefText"/>
        </w:rPr>
        <w:t>injured person</w:t>
      </w:r>
      <w:r>
        <w:t xml:space="preserve">), the Commission may, </w:t>
      </w:r>
      <w:r>
        <w:lastRenderedPageBreak/>
        <w:t>subject to the regulations, require the injured person from time to time to be examined by a health professional nominated by the Commission.</w:t>
      </w:r>
    </w:p>
    <w:p>
      <w:pPr>
        <w:pStyle w:val="Subsection"/>
      </w:pPr>
      <w:r>
        <w:tab/>
        <w:t>(3)</w:t>
      </w:r>
      <w:r>
        <w:tab/>
        <w:t>The Commission must pay for an examination under subsection (2).</w:t>
      </w:r>
    </w:p>
    <w:p>
      <w:pPr>
        <w:pStyle w:val="Subsection"/>
      </w:pPr>
      <w:r>
        <w:tab/>
        <w:t>(4)</w:t>
      </w:r>
      <w:r>
        <w:tab/>
        <w:t>An injured person may be accompanied at an examination under subsection (2) by a medical adviser but not by a legal adviser.</w:t>
      </w:r>
    </w:p>
    <w:p>
      <w:pPr>
        <w:pStyle w:val="Subsection"/>
      </w:pPr>
      <w:r>
        <w:tab/>
        <w:t>(5)</w:t>
      </w:r>
      <w:r>
        <w:tab/>
        <w:t>If an injured person, without reasonable excuse, refuses to undergo an examination under subsection (2), no action for damages is to be commenced or proceeded with unless the injured person has undergone the examination.</w:t>
      </w:r>
    </w:p>
    <w:p>
      <w:pPr>
        <w:pStyle w:val="Subsection"/>
      </w:pPr>
      <w:r>
        <w:tab/>
        <w:t>(6)</w:t>
      </w:r>
      <w:r>
        <w:tab/>
        <w:t>The costs (if any) allowed by a court to the Commission as the successful defendant, in an action for damages brought against it, may, in the discretion of and upon the certificate of the court, include any expenses incurred by the Commission in the payment of professional fees to a health professional who has conducted an examination under subsection (2).</w:t>
      </w:r>
    </w:p>
    <w:p>
      <w:pPr>
        <w:pStyle w:val="Footnotesection"/>
      </w:pPr>
      <w:r>
        <w:tab/>
        <w:t>[Section 30 inserted: No. 8 of 2016 s. 53.]</w:t>
      </w:r>
    </w:p>
    <w:p>
      <w:pPr>
        <w:pStyle w:val="Ednotesection"/>
        <w:spacing w:before="200"/>
        <w:ind w:left="890" w:hanging="890"/>
      </w:pPr>
      <w:r>
        <w:t>[</w:t>
      </w:r>
      <w:r>
        <w:rPr>
          <w:b/>
        </w:rPr>
        <w:t>31.</w:t>
      </w:r>
      <w:r>
        <w:tab/>
        <w:t>Deleted: No. 81 of 1982 s. 19.]</w:t>
      </w:r>
    </w:p>
    <w:p>
      <w:pPr>
        <w:pStyle w:val="Ednotesection"/>
        <w:spacing w:before="200"/>
        <w:ind w:left="890" w:hanging="890"/>
      </w:pPr>
      <w:r>
        <w:t>[</w:t>
      </w:r>
      <w:r>
        <w:rPr>
          <w:b/>
        </w:rPr>
        <w:t>32.</w:t>
      </w:r>
      <w:r>
        <w:tab/>
        <w:t>Deleted: No. 51 of 1986 s. 46(2).]</w:t>
      </w:r>
    </w:p>
    <w:p>
      <w:pPr>
        <w:pStyle w:val="Ednotesection"/>
        <w:spacing w:before="200"/>
        <w:ind w:left="890" w:hanging="890"/>
      </w:pPr>
      <w:r>
        <w:t>[</w:t>
      </w:r>
      <w:r>
        <w:rPr>
          <w:b/>
        </w:rPr>
        <w:t>32A.</w:t>
      </w:r>
      <w:r>
        <w:tab/>
        <w:t>Deleted: No. 76 of 1996 s. 39.]</w:t>
      </w:r>
    </w:p>
    <w:p>
      <w:pPr>
        <w:pStyle w:val="Heading5"/>
        <w:spacing w:before="260"/>
        <w:rPr>
          <w:snapToGrid w:val="0"/>
        </w:rPr>
      </w:pPr>
      <w:bookmarkStart w:id="50" w:name="_Toc161414776"/>
      <w:r>
        <w:rPr>
          <w:rStyle w:val="CharSectno"/>
        </w:rPr>
        <w:t>33</w:t>
      </w:r>
      <w:r>
        <w:rPr>
          <w:snapToGrid w:val="0"/>
        </w:rPr>
        <w:t>.</w:t>
      </w:r>
      <w:r>
        <w:rPr>
          <w:snapToGrid w:val="0"/>
        </w:rPr>
        <w:tab/>
        <w:t>Regulations</w:t>
      </w:r>
      <w:bookmarkEnd w:id="50"/>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lastRenderedPageBreak/>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No. 95 of 1966 s. 20; amended: No. 37 of 1967 s. 7; No. 44 of 1971 s. 6; No. 42 of 1972 s. 9; No. 111 of 1976 s. 13; No. 51 of 1986 s. 46(2); No. 107 of 1987 s. 14.]</w:t>
      </w:r>
    </w:p>
    <w:p>
      <w:pPr>
        <w:pStyle w:val="Ednotesection"/>
        <w:spacing w:before="160"/>
        <w:ind w:left="890" w:hanging="890"/>
      </w:pPr>
      <w:r>
        <w:t>[</w:t>
      </w:r>
      <w:r>
        <w:rPr>
          <w:b/>
        </w:rPr>
        <w:t>33A.</w:t>
      </w:r>
      <w:r>
        <w:tab/>
        <w:t>Deleted: No. 42 of 1972 s. 10.]</w:t>
      </w:r>
    </w:p>
    <w:p>
      <w:pPr>
        <w:pStyle w:val="Heading5"/>
      </w:pPr>
      <w:bookmarkStart w:id="51" w:name="_Toc161414777"/>
      <w:r>
        <w:rPr>
          <w:rStyle w:val="CharSectno"/>
        </w:rPr>
        <w:t>34</w:t>
      </w:r>
      <w:r>
        <w:t>.</w:t>
      </w:r>
      <w:r>
        <w:tab/>
        <w:t xml:space="preserve">Transitional provision for </w:t>
      </w:r>
      <w:r>
        <w:rPr>
          <w:i/>
        </w:rPr>
        <w:t>Motor Vehicle (Catastrophic Injuries) Act 2016</w:t>
      </w:r>
      <w:bookmarkEnd w:id="5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Motor Vehicle (Catastrophic Injuries) Act 2016</w:t>
      </w:r>
      <w:r>
        <w:t xml:space="preserve"> sections 48 and 51 come into operation;</w:t>
      </w:r>
    </w:p>
    <w:p>
      <w:pPr>
        <w:pStyle w:val="Defstart"/>
      </w:pPr>
      <w:r>
        <w:tab/>
      </w:r>
      <w:r>
        <w:rPr>
          <w:rStyle w:val="CharDefText"/>
        </w:rPr>
        <w:t>issued</w:t>
      </w:r>
      <w:r>
        <w:t xml:space="preserve"> means granted or renewed;</w:t>
      </w:r>
    </w:p>
    <w:p>
      <w:pPr>
        <w:pStyle w:val="Defstart"/>
      </w:pPr>
      <w:r>
        <w:tab/>
      </w:r>
      <w:r>
        <w:rPr>
          <w:rStyle w:val="CharDefText"/>
        </w:rPr>
        <w:t>relevant day</w:t>
      </w:r>
      <w:r>
        <w:t xml:space="preserve"> means the day on which the </w:t>
      </w:r>
      <w:r>
        <w:rPr>
          <w:i/>
        </w:rPr>
        <w:t>Motor Vehicle (Catastrophic Injuries) Act 2016</w:t>
      </w:r>
      <w:r>
        <w:t xml:space="preserve"> section 5 comes into operation;</w:t>
      </w:r>
    </w:p>
    <w:p>
      <w:pPr>
        <w:pStyle w:val="Defstart"/>
      </w:pPr>
      <w:r>
        <w:tab/>
      </w:r>
      <w:r>
        <w:rPr>
          <w:rStyle w:val="CharDefText"/>
        </w:rPr>
        <w:t>repealed provision</w:t>
      </w:r>
      <w:r>
        <w:t xml:space="preserve"> means section 4(8) as enacted before the commencement day.</w:t>
      </w:r>
    </w:p>
    <w:p>
      <w:pPr>
        <w:pStyle w:val="Subsection"/>
      </w:pPr>
      <w:r>
        <w:tab/>
        <w:t>(2)</w:t>
      </w:r>
      <w:r>
        <w:tab/>
        <w:t>If a vehicle licence is issued on or after the commencement day for a period beginning before the relevant day, the repealed provision applies in relation to the issue of the vehicle licence and section 4(8) to (8B) do not apply.</w:t>
      </w:r>
    </w:p>
    <w:p>
      <w:pPr>
        <w:pStyle w:val="Subsection"/>
      </w:pPr>
      <w:r>
        <w:lastRenderedPageBreak/>
        <w:tab/>
        <w:t>(3)</w:t>
      </w:r>
      <w:r>
        <w:tab/>
        <w:t xml:space="preserve">This subsection applies if — </w:t>
      </w:r>
    </w:p>
    <w:p>
      <w:pPr>
        <w:pStyle w:val="Indenta"/>
      </w:pPr>
      <w:r>
        <w:tab/>
        <w:t>(a)</w:t>
      </w:r>
      <w:r>
        <w:tab/>
        <w:t>a vehicle licence that expired before the commencement day has not been renewed before the commencement day; or</w:t>
      </w:r>
    </w:p>
    <w:p>
      <w:pPr>
        <w:pStyle w:val="Indenta"/>
      </w:pPr>
      <w:r>
        <w:tab/>
        <w:t>(b)</w:t>
      </w:r>
      <w:r>
        <w:tab/>
        <w:t>a vehicle licence expires on or after the commencement day but before the relevant day; or</w:t>
      </w:r>
    </w:p>
    <w:p>
      <w:pPr>
        <w:pStyle w:val="Indenta"/>
      </w:pPr>
      <w:r>
        <w:tab/>
        <w:t>(c)</w:t>
      </w:r>
      <w:r>
        <w:tab/>
        <w:t>the period for which a vehicle licence was issued began before the relevant day and the vehicle licence expires on or after the relevant day.</w:t>
      </w:r>
    </w:p>
    <w:p>
      <w:pPr>
        <w:pStyle w:val="Subsection"/>
      </w:pPr>
      <w:r>
        <w:tab/>
        <w:t>(4)</w:t>
      </w:r>
      <w:r>
        <w:tab/>
        <w:t xml:space="preserve">If subsection (3) applies — </w:t>
      </w:r>
    </w:p>
    <w:p>
      <w:pPr>
        <w:pStyle w:val="Indenta"/>
      </w:pPr>
      <w:r>
        <w:tab/>
        <w:t>(a)</w:t>
      </w:r>
      <w:r>
        <w:tab/>
        <w:t>section 21(3) does not apply and, in section 21(2), the reference to the policy related to the vehicle licence is to be taken to be a reference to the policy of insurance incorporated in the vehicle licence as required by the repealed provision; and</w:t>
      </w:r>
    </w:p>
    <w:p>
      <w:pPr>
        <w:pStyle w:val="Indenta"/>
      </w:pPr>
      <w:r>
        <w:tab/>
        <w:t>(b)</w:t>
      </w:r>
      <w:r>
        <w:tab/>
        <w:t>in section 21(2) the reference to section 4(8A)(b) is to be taken to be a reference to paragraph (b) of the repealed provision.</w:t>
      </w:r>
    </w:p>
    <w:p>
      <w:pPr>
        <w:pStyle w:val="Footnotesection"/>
      </w:pPr>
      <w:r>
        <w:tab/>
        <w:t>[Section 34 inserted: No. 8 of 2016 s. 54.]</w:t>
      </w:r>
    </w:p>
    <w:p>
      <w:pPr>
        <w:rPr>
          <w:rStyle w:val="CharDivText"/>
        </w:r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pPr>
      <w:bookmarkStart w:id="52" w:name="_Toc161414778"/>
      <w:r>
        <w:rPr>
          <w:rStyle w:val="CharSchNo"/>
        </w:rPr>
        <w:lastRenderedPageBreak/>
        <w:t>Schedule</w:t>
      </w:r>
      <w:r>
        <w:rPr>
          <w:rStyle w:val="CharSDivNo"/>
        </w:rPr>
        <w:t> </w:t>
      </w:r>
      <w:r>
        <w:t>—</w:t>
      </w:r>
      <w:r>
        <w:rPr>
          <w:rStyle w:val="CharSDivText"/>
        </w:rPr>
        <w:t> </w:t>
      </w:r>
      <w:r>
        <w:rPr>
          <w:rStyle w:val="CharSchText"/>
        </w:rPr>
        <w:t>Form of insurance policy</w:t>
      </w:r>
      <w:bookmarkEnd w:id="52"/>
    </w:p>
    <w:p>
      <w:pPr>
        <w:pStyle w:val="yShoulderClause"/>
      </w:pPr>
      <w:r>
        <w:t>[s. 6]</w:t>
      </w:r>
    </w:p>
    <w:p>
      <w:pPr>
        <w:pStyle w:val="yFootnoteheading"/>
        <w:rPr>
          <w:snapToGrid w:val="0"/>
        </w:rPr>
      </w:pPr>
      <w:r>
        <w:rPr>
          <w:snapToGrid w:val="0"/>
        </w:rPr>
        <w:tab/>
        <w:t>[Heading inserted: No. 19 of 2010 s. 23.]</w:t>
      </w:r>
    </w:p>
    <w:p>
      <w:pPr>
        <w:pStyle w:val="zyMiscellaneousHeading"/>
        <w:rPr>
          <w:b/>
          <w:bCs/>
        </w:rPr>
      </w:pPr>
      <w:r>
        <w:rPr>
          <w:b/>
          <w:bCs/>
        </w:rPr>
        <w:t>INSURANCE POLICY</w:t>
      </w:r>
      <w:r>
        <w:rPr>
          <w:b/>
          <w:bCs/>
        </w:rPr>
        <w:br/>
        <w:t xml:space="preserve">issued under the </w:t>
      </w:r>
      <w:r>
        <w:rPr>
          <w:b/>
          <w:bCs/>
          <w:i/>
          <w:iCs/>
        </w:rPr>
        <w:t>Motor Vehicle (Third Party Insurance) Act 1943</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rStyle w:val="CharDefText"/>
        </w:rPr>
        <w:t>the Act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lastRenderedPageBreak/>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No. 107 of 1987 s. 15; amended: No. 45 of 1996 s. 38; No. 19 of 2010 s. 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nHeading2"/>
      </w:pPr>
      <w:bookmarkStart w:id="54" w:name="_Toc161414779"/>
      <w:r>
        <w:lastRenderedPageBreak/>
        <w:t>Notes</w:t>
      </w:r>
      <w:bookmarkEnd w:id="54"/>
    </w:p>
    <w:p>
      <w:pPr>
        <w:pStyle w:val="nStatement"/>
      </w:pPr>
      <w:r>
        <w:t xml:space="preserve">This is a compilation of the </w:t>
      </w:r>
      <w:r>
        <w:rPr>
          <w:i/>
          <w:noProof/>
        </w:rPr>
        <w:t>Motor Vehicle (Third Party Insurance) Act 1943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 w:name="_Toc161414780"/>
      <w:r>
        <w:t>Compilation table</w:t>
      </w:r>
      <w:bookmarkEnd w:id="55"/>
    </w:p>
    <w:tbl>
      <w:tblPr>
        <w:tblW w:w="7258" w:type="dxa"/>
        <w:tblInd w:w="28" w:type="dxa"/>
        <w:tblLayout w:type="fixed"/>
        <w:tblCellMar>
          <w:left w:w="56" w:type="dxa"/>
          <w:right w:w="56" w:type="dxa"/>
        </w:tblCellMar>
        <w:tblLook w:val="0000" w:firstRow="0" w:lastRow="0" w:firstColumn="0" w:lastColumn="0" w:noHBand="0" w:noVBand="0"/>
      </w:tblPr>
      <w:tblGrid>
        <w:gridCol w:w="2323"/>
        <w:gridCol w:w="1161"/>
        <w:gridCol w:w="1161"/>
        <w:gridCol w:w="2613"/>
      </w:tblGrid>
      <w:tr>
        <w:trPr>
          <w:cantSplit/>
          <w:tblHeader/>
        </w:trPr>
        <w:tc>
          <w:tcPr>
            <w:tcW w:w="2323" w:type="dxa"/>
            <w:tcBorders>
              <w:top w:val="single" w:sz="8" w:space="0" w:color="auto"/>
              <w:bottom w:val="single" w:sz="8" w:space="0" w:color="auto"/>
            </w:tcBorders>
          </w:tcPr>
          <w:p>
            <w:pPr>
              <w:pStyle w:val="nTable"/>
              <w:spacing w:after="40"/>
              <w:rPr>
                <w:b/>
              </w:rPr>
            </w:pPr>
            <w:r>
              <w:rPr>
                <w:b/>
              </w:rPr>
              <w:t>Short title</w:t>
            </w:r>
          </w:p>
        </w:tc>
        <w:tc>
          <w:tcPr>
            <w:tcW w:w="1161" w:type="dxa"/>
            <w:tcBorders>
              <w:top w:val="single" w:sz="8" w:space="0" w:color="auto"/>
              <w:bottom w:val="single" w:sz="8" w:space="0" w:color="auto"/>
            </w:tcBorders>
          </w:tcPr>
          <w:p>
            <w:pPr>
              <w:pStyle w:val="nTable"/>
              <w:spacing w:after="40"/>
              <w:rPr>
                <w:b/>
              </w:rPr>
            </w:pPr>
            <w:r>
              <w:rPr>
                <w:b/>
              </w:rPr>
              <w:t>Number and year</w:t>
            </w:r>
          </w:p>
        </w:tc>
        <w:tc>
          <w:tcPr>
            <w:tcW w:w="1161" w:type="dxa"/>
            <w:tcBorders>
              <w:top w:val="single" w:sz="8" w:space="0" w:color="auto"/>
              <w:bottom w:val="single" w:sz="8" w:space="0" w:color="auto"/>
            </w:tcBorders>
          </w:tcPr>
          <w:p>
            <w:pPr>
              <w:pStyle w:val="nTable"/>
              <w:spacing w:after="40"/>
              <w:rPr>
                <w:b/>
              </w:rPr>
            </w:pPr>
            <w:r>
              <w:rPr>
                <w:b/>
              </w:rPr>
              <w:t>Assent</w:t>
            </w:r>
          </w:p>
        </w:tc>
        <w:tc>
          <w:tcPr>
            <w:tcW w:w="2613" w:type="dxa"/>
            <w:tcBorders>
              <w:top w:val="single" w:sz="8" w:space="0" w:color="auto"/>
              <w:bottom w:val="single" w:sz="8" w:space="0" w:color="auto"/>
            </w:tcBorders>
          </w:tcPr>
          <w:p>
            <w:pPr>
              <w:pStyle w:val="nTable"/>
              <w:spacing w:after="40"/>
              <w:rPr>
                <w:b/>
              </w:rPr>
            </w:pPr>
            <w:r>
              <w:rPr>
                <w:b/>
              </w:rPr>
              <w:t>Commencement</w:t>
            </w:r>
          </w:p>
        </w:tc>
      </w:tr>
      <w:tr>
        <w:trPr>
          <w:cantSplit/>
        </w:trPr>
        <w:tc>
          <w:tcPr>
            <w:tcW w:w="2323" w:type="dxa"/>
          </w:tcPr>
          <w:p>
            <w:pPr>
              <w:pStyle w:val="nTable"/>
              <w:spacing w:after="40"/>
            </w:pPr>
            <w:r>
              <w:rPr>
                <w:i/>
              </w:rPr>
              <w:t>Motor Vehicle (Third Party Insurance) Act 1943</w:t>
            </w:r>
          </w:p>
        </w:tc>
        <w:tc>
          <w:tcPr>
            <w:tcW w:w="1161" w:type="dxa"/>
          </w:tcPr>
          <w:p>
            <w:pPr>
              <w:pStyle w:val="nTable"/>
              <w:spacing w:after="40"/>
            </w:pPr>
            <w:r>
              <w:t>32 of 1943</w:t>
            </w:r>
            <w:r>
              <w:rPr>
                <w:color w:val="000000"/>
              </w:rPr>
              <w:t xml:space="preserve"> (7 Geo. VI No. 27)</w:t>
            </w:r>
          </w:p>
        </w:tc>
        <w:tc>
          <w:tcPr>
            <w:tcW w:w="1161" w:type="dxa"/>
          </w:tcPr>
          <w:p>
            <w:pPr>
              <w:pStyle w:val="nTable"/>
              <w:spacing w:after="40"/>
            </w:pPr>
            <w:r>
              <w:t>12 Nov 1943</w:t>
            </w:r>
          </w:p>
        </w:tc>
        <w:tc>
          <w:tcPr>
            <w:tcW w:w="2613" w:type="dxa"/>
          </w:tcPr>
          <w:p>
            <w:pPr>
              <w:pStyle w:val="nTable"/>
              <w:spacing w:after="40"/>
            </w:pPr>
            <w:r>
              <w:t xml:space="preserve">1 Jul 1944 (see s. 1 and </w:t>
            </w:r>
            <w:r>
              <w:rPr>
                <w:i/>
              </w:rPr>
              <w:t>Gazette</w:t>
            </w:r>
            <w:r>
              <w:t xml:space="preserve"> 12 May 1944 p. 375)</w:t>
            </w:r>
          </w:p>
        </w:tc>
      </w:tr>
      <w:tr>
        <w:trPr>
          <w:cantSplit/>
        </w:trPr>
        <w:tc>
          <w:tcPr>
            <w:tcW w:w="2323" w:type="dxa"/>
          </w:tcPr>
          <w:p>
            <w:pPr>
              <w:pStyle w:val="nTable"/>
              <w:spacing w:after="40"/>
            </w:pPr>
            <w:r>
              <w:rPr>
                <w:i/>
              </w:rPr>
              <w:t>Motor Vehicle (Third Party Insurance) Act Amendment Act 1944</w:t>
            </w:r>
          </w:p>
        </w:tc>
        <w:tc>
          <w:tcPr>
            <w:tcW w:w="1161" w:type="dxa"/>
          </w:tcPr>
          <w:p>
            <w:pPr>
              <w:pStyle w:val="nTable"/>
              <w:spacing w:after="40"/>
            </w:pPr>
            <w:r>
              <w:t xml:space="preserve">40 of 1944 </w:t>
            </w:r>
            <w:r>
              <w:rPr>
                <w:color w:val="000000"/>
              </w:rPr>
              <w:t>(8 and 9 Geo. VI No. 40)</w:t>
            </w:r>
          </w:p>
        </w:tc>
        <w:tc>
          <w:tcPr>
            <w:tcW w:w="1161" w:type="dxa"/>
          </w:tcPr>
          <w:p>
            <w:pPr>
              <w:pStyle w:val="nTable"/>
              <w:spacing w:after="40"/>
            </w:pPr>
            <w:r>
              <w:t>11 Jan 1945</w:t>
            </w:r>
          </w:p>
        </w:tc>
        <w:tc>
          <w:tcPr>
            <w:tcW w:w="2613" w:type="dxa"/>
          </w:tcPr>
          <w:p>
            <w:pPr>
              <w:pStyle w:val="nTable"/>
              <w:spacing w:after="40"/>
            </w:pPr>
            <w:r>
              <w:t>11 Jan 1945</w:t>
            </w:r>
          </w:p>
        </w:tc>
      </w:tr>
      <w:tr>
        <w:trPr>
          <w:cantSplit/>
        </w:trPr>
        <w:tc>
          <w:tcPr>
            <w:tcW w:w="2323" w:type="dxa"/>
          </w:tcPr>
          <w:p>
            <w:pPr>
              <w:pStyle w:val="nTable"/>
              <w:spacing w:after="40"/>
            </w:pPr>
            <w:r>
              <w:rPr>
                <w:i/>
              </w:rPr>
              <w:t>Motor Vehicle (Third Party Insurance) Act Amendment Act 1945</w:t>
            </w:r>
          </w:p>
        </w:tc>
        <w:tc>
          <w:tcPr>
            <w:tcW w:w="1161" w:type="dxa"/>
          </w:tcPr>
          <w:p>
            <w:pPr>
              <w:pStyle w:val="nTable"/>
              <w:spacing w:after="40"/>
            </w:pPr>
            <w:r>
              <w:t xml:space="preserve">7 of 1945 </w:t>
            </w:r>
            <w:r>
              <w:rPr>
                <w:color w:val="000000"/>
              </w:rPr>
              <w:t>(9 Geo. VI No. 7)</w:t>
            </w:r>
          </w:p>
        </w:tc>
        <w:tc>
          <w:tcPr>
            <w:tcW w:w="1161" w:type="dxa"/>
          </w:tcPr>
          <w:p>
            <w:pPr>
              <w:pStyle w:val="nTable"/>
              <w:spacing w:after="40"/>
            </w:pPr>
            <w:r>
              <w:t>27 Nov 1945</w:t>
            </w:r>
          </w:p>
        </w:tc>
        <w:tc>
          <w:tcPr>
            <w:tcW w:w="2613" w:type="dxa"/>
          </w:tcPr>
          <w:p>
            <w:pPr>
              <w:pStyle w:val="nTable"/>
              <w:spacing w:after="40"/>
            </w:pPr>
            <w:r>
              <w:t>27 Nov 1945</w:t>
            </w:r>
          </w:p>
        </w:tc>
      </w:tr>
      <w:tr>
        <w:trPr>
          <w:cantSplit/>
        </w:trPr>
        <w:tc>
          <w:tcPr>
            <w:tcW w:w="7258" w:type="dxa"/>
            <w:gridSpan w:val="4"/>
          </w:tcPr>
          <w:p>
            <w:pPr>
              <w:pStyle w:val="nTable"/>
              <w:spacing w:after="40"/>
            </w:pPr>
            <w:r>
              <w:rPr>
                <w:b/>
              </w:rPr>
              <w:t xml:space="preserve">Reprint of the </w:t>
            </w:r>
            <w:r>
              <w:rPr>
                <w:b/>
                <w:i/>
              </w:rPr>
              <w:t xml:space="preserve">Motor Vehicle (Third Party Insurance) Act 1943 </w:t>
            </w:r>
            <w:r>
              <w:rPr>
                <w:b/>
              </w:rPr>
              <w:t xml:space="preserve">not in a Volume </w:t>
            </w:r>
            <w:r>
              <w:t>(includes amendments listed above)</w:t>
            </w:r>
          </w:p>
        </w:tc>
      </w:tr>
      <w:tr>
        <w:trPr>
          <w:cantSplit/>
        </w:trPr>
        <w:tc>
          <w:tcPr>
            <w:tcW w:w="2323" w:type="dxa"/>
          </w:tcPr>
          <w:p>
            <w:pPr>
              <w:pStyle w:val="nTable"/>
              <w:spacing w:after="40"/>
            </w:pPr>
            <w:r>
              <w:rPr>
                <w:i/>
              </w:rPr>
              <w:t>Motor Vehicle (Third Party Insurance) Act Amendment Act 1948</w:t>
            </w:r>
          </w:p>
        </w:tc>
        <w:tc>
          <w:tcPr>
            <w:tcW w:w="1161" w:type="dxa"/>
          </w:tcPr>
          <w:p>
            <w:pPr>
              <w:pStyle w:val="nTable"/>
              <w:spacing w:after="40"/>
            </w:pPr>
            <w:r>
              <w:t xml:space="preserve">31 of 1948 </w:t>
            </w:r>
            <w:r>
              <w:rPr>
                <w:color w:val="000000"/>
              </w:rPr>
              <w:t>(12 Geo. VI No. 31)</w:t>
            </w:r>
          </w:p>
        </w:tc>
        <w:tc>
          <w:tcPr>
            <w:tcW w:w="1161" w:type="dxa"/>
          </w:tcPr>
          <w:p>
            <w:pPr>
              <w:pStyle w:val="nTable"/>
              <w:spacing w:after="40"/>
            </w:pPr>
            <w:r>
              <w:t>9 Dec 1948</w:t>
            </w:r>
          </w:p>
        </w:tc>
        <w:tc>
          <w:tcPr>
            <w:tcW w:w="2613" w:type="dxa"/>
          </w:tcPr>
          <w:p>
            <w:pPr>
              <w:pStyle w:val="nTable"/>
              <w:spacing w:after="40"/>
            </w:pPr>
            <w:r>
              <w:t xml:space="preserve">Pt. I: 17 Dec 1948 (see s. 2(2) and </w:t>
            </w:r>
            <w:r>
              <w:rPr>
                <w:i/>
              </w:rPr>
              <w:t>Gazette</w:t>
            </w:r>
            <w:r>
              <w:t xml:space="preserve"> 17 Dec 1948 p. 2966);</w:t>
            </w:r>
            <w:r>
              <w:br/>
              <w:t xml:space="preserve">Pt. II: 27 May 1949 (see s. 2(3) and </w:t>
            </w:r>
            <w:r>
              <w:rPr>
                <w:i/>
              </w:rPr>
              <w:t>Gazette</w:t>
            </w:r>
            <w:r>
              <w:t xml:space="preserve"> 27 May 1949 p. 1155)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Apr 1950 in Volume 3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1951</w:t>
            </w:r>
          </w:p>
        </w:tc>
        <w:tc>
          <w:tcPr>
            <w:tcW w:w="1161" w:type="dxa"/>
          </w:tcPr>
          <w:p>
            <w:pPr>
              <w:pStyle w:val="nTable"/>
              <w:spacing w:after="40"/>
            </w:pPr>
            <w:r>
              <w:t xml:space="preserve">40 of 1951 </w:t>
            </w:r>
            <w:r>
              <w:rPr>
                <w:color w:val="000000"/>
              </w:rPr>
              <w:t>(15 and 16 Geo. VI No. 40)</w:t>
            </w:r>
          </w:p>
        </w:tc>
        <w:tc>
          <w:tcPr>
            <w:tcW w:w="1161" w:type="dxa"/>
          </w:tcPr>
          <w:p>
            <w:pPr>
              <w:pStyle w:val="nTable"/>
              <w:spacing w:after="40"/>
            </w:pPr>
            <w:r>
              <w:t>20 Dec 1951</w:t>
            </w:r>
          </w:p>
        </w:tc>
        <w:tc>
          <w:tcPr>
            <w:tcW w:w="2613" w:type="dxa"/>
          </w:tcPr>
          <w:p>
            <w:pPr>
              <w:pStyle w:val="nTable"/>
              <w:spacing w:after="40"/>
            </w:pPr>
            <w:r>
              <w:t>20 Dec 1951</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23 Aug 1954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1954</w:t>
            </w:r>
          </w:p>
        </w:tc>
        <w:tc>
          <w:tcPr>
            <w:tcW w:w="1161" w:type="dxa"/>
          </w:tcPr>
          <w:p>
            <w:pPr>
              <w:pStyle w:val="nTable"/>
              <w:spacing w:after="40"/>
            </w:pPr>
            <w:r>
              <w:t xml:space="preserve">36 of 1954 </w:t>
            </w:r>
            <w:r>
              <w:rPr>
                <w:color w:val="000000"/>
              </w:rPr>
              <w:t>(3 Eliz. II No. 36)</w:t>
            </w:r>
          </w:p>
        </w:tc>
        <w:tc>
          <w:tcPr>
            <w:tcW w:w="1161" w:type="dxa"/>
          </w:tcPr>
          <w:p>
            <w:pPr>
              <w:pStyle w:val="nTable"/>
              <w:spacing w:after="40"/>
            </w:pPr>
            <w:r>
              <w:t>3 Dec 1954</w:t>
            </w:r>
          </w:p>
        </w:tc>
        <w:tc>
          <w:tcPr>
            <w:tcW w:w="2613" w:type="dxa"/>
          </w:tcPr>
          <w:p>
            <w:pPr>
              <w:pStyle w:val="nTable"/>
              <w:spacing w:after="40"/>
            </w:pPr>
            <w:r>
              <w:t>3 Dec 1954</w:t>
            </w:r>
          </w:p>
        </w:tc>
      </w:tr>
      <w:tr>
        <w:trPr>
          <w:cantSplit/>
        </w:trPr>
        <w:tc>
          <w:tcPr>
            <w:tcW w:w="7258" w:type="dxa"/>
            <w:gridSpan w:val="4"/>
          </w:tcPr>
          <w:p>
            <w:pPr>
              <w:pStyle w:val="nTable"/>
              <w:keepNext/>
              <w:spacing w:after="40"/>
            </w:pPr>
            <w:r>
              <w:rPr>
                <w:b/>
              </w:rPr>
              <w:lastRenderedPageBreak/>
              <w:t xml:space="preserve">Reprint of the </w:t>
            </w:r>
            <w:r>
              <w:rPr>
                <w:b/>
                <w:i/>
              </w:rPr>
              <w:t>Motor Vehicle (Third Party Insurance) Act 1943</w:t>
            </w:r>
            <w:r>
              <w:rPr>
                <w:i/>
              </w:rPr>
              <w:t xml:space="preserve"> </w:t>
            </w:r>
            <w:r>
              <w:rPr>
                <w:b/>
              </w:rPr>
              <w:t>approved 12 Jun 1957 in Volume 11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1957</w:t>
            </w:r>
          </w:p>
        </w:tc>
        <w:tc>
          <w:tcPr>
            <w:tcW w:w="1161" w:type="dxa"/>
          </w:tcPr>
          <w:p>
            <w:pPr>
              <w:pStyle w:val="nTable"/>
              <w:keepNext/>
              <w:spacing w:after="40"/>
            </w:pPr>
            <w:r>
              <w:t xml:space="preserve">77 of 1957 </w:t>
            </w:r>
            <w:r>
              <w:rPr>
                <w:color w:val="000000"/>
              </w:rPr>
              <w:t>(6 Eliz. II No. 77)</w:t>
            </w:r>
          </w:p>
        </w:tc>
        <w:tc>
          <w:tcPr>
            <w:tcW w:w="1161" w:type="dxa"/>
          </w:tcPr>
          <w:p>
            <w:pPr>
              <w:pStyle w:val="nTable"/>
              <w:spacing w:after="40"/>
            </w:pPr>
            <w:r>
              <w:t>16 Dec 1957</w:t>
            </w:r>
          </w:p>
        </w:tc>
        <w:tc>
          <w:tcPr>
            <w:tcW w:w="2613" w:type="dxa"/>
          </w:tcPr>
          <w:p>
            <w:pPr>
              <w:pStyle w:val="nTable"/>
              <w:spacing w:after="40"/>
            </w:pPr>
            <w:r>
              <w:t xml:space="preserve">1 Feb 1958 (see s. 2 and </w:t>
            </w:r>
            <w:r>
              <w:rPr>
                <w:i/>
              </w:rPr>
              <w:t>Gazette</w:t>
            </w:r>
            <w:r>
              <w:t xml:space="preserve"> 31 Jan 1958 p. 168)</w:t>
            </w:r>
          </w:p>
        </w:tc>
      </w:tr>
      <w:tr>
        <w:trPr>
          <w:cantSplit/>
        </w:trPr>
        <w:tc>
          <w:tcPr>
            <w:tcW w:w="2323" w:type="dxa"/>
          </w:tcPr>
          <w:p>
            <w:pPr>
              <w:pStyle w:val="nTable"/>
              <w:spacing w:after="40"/>
            </w:pPr>
            <w:r>
              <w:rPr>
                <w:i/>
              </w:rPr>
              <w:t>Motor Vehicle (Third Party Insurance) Act and Traffic Act Amendment Act 1959</w:t>
            </w:r>
          </w:p>
        </w:tc>
        <w:tc>
          <w:tcPr>
            <w:tcW w:w="1161" w:type="dxa"/>
          </w:tcPr>
          <w:p>
            <w:pPr>
              <w:pStyle w:val="nTable"/>
              <w:spacing w:after="40"/>
            </w:pPr>
            <w:r>
              <w:t>18 of 1959</w:t>
            </w:r>
            <w:r>
              <w:rPr>
                <w:color w:val="000000"/>
              </w:rPr>
              <w:t xml:space="preserve"> (8 Eliz. II No. 18)</w:t>
            </w:r>
          </w:p>
        </w:tc>
        <w:tc>
          <w:tcPr>
            <w:tcW w:w="1161" w:type="dxa"/>
          </w:tcPr>
          <w:p>
            <w:pPr>
              <w:pStyle w:val="nTable"/>
              <w:spacing w:after="40"/>
            </w:pPr>
            <w:r>
              <w:t>8 Oct 1959</w:t>
            </w:r>
          </w:p>
        </w:tc>
        <w:tc>
          <w:tcPr>
            <w:tcW w:w="2613" w:type="dxa"/>
          </w:tcPr>
          <w:p>
            <w:pPr>
              <w:pStyle w:val="nTable"/>
              <w:spacing w:after="40"/>
            </w:pPr>
            <w:r>
              <w:t>8 Oct 1959</w:t>
            </w:r>
          </w:p>
        </w:tc>
      </w:tr>
      <w:tr>
        <w:trPr>
          <w:cantSplit/>
        </w:trPr>
        <w:tc>
          <w:tcPr>
            <w:tcW w:w="2323" w:type="dxa"/>
          </w:tcPr>
          <w:p>
            <w:pPr>
              <w:pStyle w:val="nTable"/>
              <w:spacing w:after="40"/>
            </w:pPr>
            <w:r>
              <w:rPr>
                <w:i/>
              </w:rPr>
              <w:t>Motor Vehicle (Third Party Insurance) Act Amendment Act 1959</w:t>
            </w:r>
          </w:p>
        </w:tc>
        <w:tc>
          <w:tcPr>
            <w:tcW w:w="1161" w:type="dxa"/>
          </w:tcPr>
          <w:p>
            <w:pPr>
              <w:pStyle w:val="nTable"/>
              <w:spacing w:after="40"/>
            </w:pPr>
            <w:r>
              <w:t>25 of 1959</w:t>
            </w:r>
            <w:r>
              <w:rPr>
                <w:color w:val="000000"/>
              </w:rPr>
              <w:t xml:space="preserve"> (8 Eliz. II No. 25)</w:t>
            </w:r>
          </w:p>
        </w:tc>
        <w:tc>
          <w:tcPr>
            <w:tcW w:w="1161" w:type="dxa"/>
          </w:tcPr>
          <w:p>
            <w:pPr>
              <w:pStyle w:val="nTable"/>
              <w:spacing w:after="40"/>
            </w:pPr>
            <w:r>
              <w:t>15 Oct 1959</w:t>
            </w:r>
          </w:p>
        </w:tc>
        <w:tc>
          <w:tcPr>
            <w:tcW w:w="2613" w:type="dxa"/>
          </w:tcPr>
          <w:p>
            <w:pPr>
              <w:pStyle w:val="nTable"/>
              <w:spacing w:after="40"/>
            </w:pPr>
            <w:r>
              <w:t xml:space="preserve">4 Dec 1959 (see s. 2 and </w:t>
            </w:r>
            <w:r>
              <w:rPr>
                <w:i/>
              </w:rPr>
              <w:t>Gazette</w:t>
            </w:r>
            <w:r>
              <w:t xml:space="preserve"> 4 Dec 1959 p. 2975)</w:t>
            </w:r>
          </w:p>
        </w:tc>
      </w:tr>
      <w:tr>
        <w:trPr>
          <w:cantSplit/>
        </w:trPr>
        <w:tc>
          <w:tcPr>
            <w:tcW w:w="2323" w:type="dxa"/>
          </w:tcPr>
          <w:p>
            <w:pPr>
              <w:pStyle w:val="nTable"/>
              <w:spacing w:after="40"/>
            </w:pPr>
            <w:r>
              <w:rPr>
                <w:i/>
              </w:rPr>
              <w:t>Motor Vehicle (Third Party Insurance) Act Amendment Act 1960</w:t>
            </w:r>
          </w:p>
        </w:tc>
        <w:tc>
          <w:tcPr>
            <w:tcW w:w="1161" w:type="dxa"/>
          </w:tcPr>
          <w:p>
            <w:pPr>
              <w:pStyle w:val="nTable"/>
              <w:spacing w:after="40"/>
            </w:pPr>
            <w:r>
              <w:t>31 of 1960</w:t>
            </w:r>
            <w:r>
              <w:rPr>
                <w:color w:val="000000"/>
              </w:rPr>
              <w:t xml:space="preserve"> (9 Eliz. II No. 31)</w:t>
            </w:r>
          </w:p>
        </w:tc>
        <w:tc>
          <w:tcPr>
            <w:tcW w:w="1161" w:type="dxa"/>
          </w:tcPr>
          <w:p>
            <w:pPr>
              <w:pStyle w:val="nTable"/>
              <w:spacing w:after="40"/>
            </w:pPr>
            <w:r>
              <w:t>21 Oct 1960</w:t>
            </w:r>
          </w:p>
        </w:tc>
        <w:tc>
          <w:tcPr>
            <w:tcW w:w="2613" w:type="dxa"/>
          </w:tcPr>
          <w:p>
            <w:pPr>
              <w:pStyle w:val="nTable"/>
              <w:spacing w:after="40"/>
            </w:pPr>
            <w:r>
              <w:t>21 Oct 1960</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2 Mar 1961 (not in a Volume)</w:t>
            </w:r>
            <w:r>
              <w:t xml:space="preserve"> (includes amendments listed above)</w:t>
            </w:r>
          </w:p>
        </w:tc>
      </w:tr>
      <w:tr>
        <w:trPr>
          <w:cantSplit/>
        </w:trPr>
        <w:tc>
          <w:tcPr>
            <w:tcW w:w="2323" w:type="dxa"/>
          </w:tcPr>
          <w:p>
            <w:pPr>
              <w:pStyle w:val="nTable"/>
              <w:spacing w:after="40"/>
            </w:pPr>
            <w:r>
              <w:rPr>
                <w:i/>
              </w:rPr>
              <w:t>Motor Vehicle (Third Party Insurance) Act Amendment Act 1961</w:t>
            </w:r>
          </w:p>
        </w:tc>
        <w:tc>
          <w:tcPr>
            <w:tcW w:w="1161" w:type="dxa"/>
          </w:tcPr>
          <w:p>
            <w:pPr>
              <w:pStyle w:val="nTable"/>
              <w:spacing w:after="40"/>
            </w:pPr>
            <w:r>
              <w:t xml:space="preserve">70 of 1961 </w:t>
            </w:r>
            <w:r>
              <w:rPr>
                <w:color w:val="000000"/>
              </w:rPr>
              <w:t>(10 Eliz. II No. 70)</w:t>
            </w:r>
          </w:p>
        </w:tc>
        <w:tc>
          <w:tcPr>
            <w:tcW w:w="1161" w:type="dxa"/>
          </w:tcPr>
          <w:p>
            <w:pPr>
              <w:pStyle w:val="nTable"/>
              <w:spacing w:after="40"/>
            </w:pPr>
            <w:r>
              <w:t>28 Nov 1961</w:t>
            </w:r>
          </w:p>
        </w:tc>
        <w:tc>
          <w:tcPr>
            <w:tcW w:w="2613" w:type="dxa"/>
          </w:tcPr>
          <w:p>
            <w:pPr>
              <w:pStyle w:val="nTable"/>
              <w:spacing w:after="40"/>
            </w:pPr>
            <w:r>
              <w:t>28 Nov 1961</w:t>
            </w:r>
          </w:p>
        </w:tc>
      </w:tr>
      <w:tr>
        <w:trPr>
          <w:cantSplit/>
        </w:trPr>
        <w:tc>
          <w:tcPr>
            <w:tcW w:w="2323" w:type="dxa"/>
          </w:tcPr>
          <w:p>
            <w:pPr>
              <w:pStyle w:val="nTable"/>
              <w:spacing w:after="40"/>
            </w:pPr>
            <w:r>
              <w:rPr>
                <w:i/>
              </w:rPr>
              <w:t>Motor Vehicle (Third Party Insurance) Act Amendment Act 1962</w:t>
            </w:r>
          </w:p>
        </w:tc>
        <w:tc>
          <w:tcPr>
            <w:tcW w:w="1161" w:type="dxa"/>
          </w:tcPr>
          <w:p>
            <w:pPr>
              <w:pStyle w:val="nTable"/>
              <w:spacing w:after="40"/>
            </w:pPr>
            <w:r>
              <w:t xml:space="preserve">57 of 1962 </w:t>
            </w:r>
            <w:r>
              <w:rPr>
                <w:color w:val="000000"/>
              </w:rPr>
              <w:t>(11 Eliz. II No. 57)</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1962</w:t>
            </w:r>
          </w:p>
        </w:tc>
        <w:tc>
          <w:tcPr>
            <w:tcW w:w="1161" w:type="dxa"/>
          </w:tcPr>
          <w:p>
            <w:pPr>
              <w:pStyle w:val="nTable"/>
              <w:spacing w:after="40"/>
            </w:pPr>
            <w:r>
              <w:t xml:space="preserve">72 of 1962 </w:t>
            </w:r>
            <w:r>
              <w:rPr>
                <w:color w:val="000000"/>
              </w:rPr>
              <w:t>(11 Eliz. II No. 72)</w:t>
            </w:r>
          </w:p>
        </w:tc>
        <w:tc>
          <w:tcPr>
            <w:tcW w:w="1161" w:type="dxa"/>
          </w:tcPr>
          <w:p>
            <w:pPr>
              <w:pStyle w:val="nTable"/>
              <w:spacing w:after="40"/>
            </w:pPr>
            <w:r>
              <w:t>30 Nov 1962</w:t>
            </w:r>
          </w:p>
        </w:tc>
        <w:tc>
          <w:tcPr>
            <w:tcW w:w="2613" w:type="dxa"/>
          </w:tcPr>
          <w:p>
            <w:pPr>
              <w:pStyle w:val="nTable"/>
              <w:spacing w:after="40"/>
            </w:pPr>
            <w:r>
              <w:t>30 Nov 1962</w:t>
            </w:r>
          </w:p>
        </w:tc>
      </w:tr>
      <w:tr>
        <w:trPr>
          <w:cantSplit/>
        </w:trPr>
        <w:tc>
          <w:tcPr>
            <w:tcW w:w="2323" w:type="dxa"/>
          </w:tcPr>
          <w:p>
            <w:pPr>
              <w:pStyle w:val="nTable"/>
              <w:spacing w:after="40"/>
            </w:pPr>
            <w:r>
              <w:rPr>
                <w:i/>
              </w:rPr>
              <w:t>Motor Vehicle (Third Party Insurance) Act Amendment Act (No. 2) 1963</w:t>
            </w:r>
          </w:p>
        </w:tc>
        <w:tc>
          <w:tcPr>
            <w:tcW w:w="1161" w:type="dxa"/>
          </w:tcPr>
          <w:p>
            <w:pPr>
              <w:pStyle w:val="nTable"/>
              <w:spacing w:after="40"/>
            </w:pPr>
            <w:r>
              <w:t xml:space="preserve">71 of 1963 </w:t>
            </w:r>
            <w:r>
              <w:rPr>
                <w:color w:val="000000"/>
              </w:rPr>
              <w:t>(12 Eliz. II No. 71)</w:t>
            </w:r>
          </w:p>
        </w:tc>
        <w:tc>
          <w:tcPr>
            <w:tcW w:w="1161" w:type="dxa"/>
          </w:tcPr>
          <w:p>
            <w:pPr>
              <w:pStyle w:val="nTable"/>
              <w:spacing w:after="40"/>
            </w:pPr>
            <w:r>
              <w:t>17 Dec 1963</w:t>
            </w:r>
          </w:p>
        </w:tc>
        <w:tc>
          <w:tcPr>
            <w:tcW w:w="2613" w:type="dxa"/>
          </w:tcPr>
          <w:p>
            <w:pPr>
              <w:pStyle w:val="nTable"/>
              <w:spacing w:after="40"/>
            </w:pPr>
            <w:r>
              <w:t>17 Dec 1963</w:t>
            </w:r>
          </w:p>
        </w:tc>
      </w:tr>
      <w:tr>
        <w:trPr>
          <w:cantSplit/>
        </w:trPr>
        <w:tc>
          <w:tcPr>
            <w:tcW w:w="2323" w:type="dxa"/>
          </w:tcPr>
          <w:p>
            <w:pPr>
              <w:pStyle w:val="nTable"/>
              <w:spacing w:after="40"/>
            </w:pPr>
            <w:r>
              <w:rPr>
                <w:i/>
              </w:rPr>
              <w:t>Motor Vehicle (Third Party Insurance) Act Amendment Act 1964</w:t>
            </w:r>
          </w:p>
        </w:tc>
        <w:tc>
          <w:tcPr>
            <w:tcW w:w="1161" w:type="dxa"/>
          </w:tcPr>
          <w:p>
            <w:pPr>
              <w:pStyle w:val="nTable"/>
              <w:spacing w:after="40"/>
            </w:pPr>
            <w:r>
              <w:t xml:space="preserve">65 of 1964 </w:t>
            </w:r>
            <w:r>
              <w:rPr>
                <w:color w:val="000000"/>
              </w:rPr>
              <w:t>(13 Eliz. II No. 65)</w:t>
            </w:r>
          </w:p>
        </w:tc>
        <w:tc>
          <w:tcPr>
            <w:tcW w:w="1161" w:type="dxa"/>
          </w:tcPr>
          <w:p>
            <w:pPr>
              <w:pStyle w:val="nTable"/>
              <w:spacing w:after="40"/>
            </w:pPr>
            <w:r>
              <w:t>4 Dec 1964</w:t>
            </w:r>
          </w:p>
        </w:tc>
        <w:tc>
          <w:tcPr>
            <w:tcW w:w="2613" w:type="dxa"/>
          </w:tcPr>
          <w:p>
            <w:pPr>
              <w:pStyle w:val="nTable"/>
              <w:spacing w:after="40"/>
            </w:pPr>
            <w:r>
              <w:t>4 Dec 1964</w:t>
            </w:r>
          </w:p>
        </w:tc>
      </w:tr>
      <w:tr>
        <w:trPr>
          <w:cantSplit/>
        </w:trPr>
        <w:tc>
          <w:tcPr>
            <w:tcW w:w="2323" w:type="dxa"/>
          </w:tcPr>
          <w:p>
            <w:pPr>
              <w:pStyle w:val="nTable"/>
              <w:spacing w:after="40"/>
            </w:pPr>
            <w:r>
              <w:rPr>
                <w:i/>
              </w:rPr>
              <w:t>Motor Vehicle (Third Party Insurance) Act Amendment Act 1966</w:t>
            </w:r>
          </w:p>
        </w:tc>
        <w:tc>
          <w:tcPr>
            <w:tcW w:w="1161" w:type="dxa"/>
          </w:tcPr>
          <w:p>
            <w:pPr>
              <w:pStyle w:val="nTable"/>
              <w:spacing w:after="40"/>
            </w:pPr>
            <w:r>
              <w:t>95 of 1966</w:t>
            </w:r>
          </w:p>
        </w:tc>
        <w:tc>
          <w:tcPr>
            <w:tcW w:w="1161" w:type="dxa"/>
          </w:tcPr>
          <w:p>
            <w:pPr>
              <w:pStyle w:val="nTable"/>
              <w:spacing w:after="40"/>
            </w:pPr>
            <w:r>
              <w:t>12 Dec 1966</w:t>
            </w:r>
          </w:p>
        </w:tc>
        <w:tc>
          <w:tcPr>
            <w:tcW w:w="2613" w:type="dxa"/>
          </w:tcPr>
          <w:p>
            <w:pPr>
              <w:pStyle w:val="nTable"/>
              <w:spacing w:after="40"/>
            </w:pPr>
            <w:r>
              <w:t>s. 1, 2, 6</w:t>
            </w:r>
            <w:r>
              <w:noBreakHyphen/>
              <w:t xml:space="preserve">9, 19, 21: 1 Jul 1967 (see s. 2 and </w:t>
            </w:r>
            <w:r>
              <w:rPr>
                <w:i/>
              </w:rPr>
              <w:t>Gazette</w:t>
            </w:r>
            <w:r>
              <w:t xml:space="preserve"> 5 May 1967 p. 1119);</w:t>
            </w:r>
            <w:r>
              <w:br/>
            </w:r>
            <w:r>
              <w:rPr>
                <w:color w:val="000000"/>
              </w:rPr>
              <w:t xml:space="preserve"> s. 3-5, 10-18 and 20:</w:t>
            </w:r>
            <w:r>
              <w:t xml:space="preserve"> 4 Dec 1967 (see s. 2 and </w:t>
            </w:r>
            <w:r>
              <w:rPr>
                <w:i/>
              </w:rPr>
              <w:t>Gazette</w:t>
            </w:r>
            <w:r>
              <w:t xml:space="preserve"> 24 Nov 1967 p. 3195)</w:t>
            </w:r>
          </w:p>
        </w:tc>
      </w:tr>
      <w:tr>
        <w:trPr>
          <w:cantSplit/>
        </w:trPr>
        <w:tc>
          <w:tcPr>
            <w:tcW w:w="2323" w:type="dxa"/>
          </w:tcPr>
          <w:p>
            <w:pPr>
              <w:pStyle w:val="nTable"/>
              <w:keepNext/>
              <w:spacing w:after="40"/>
            </w:pPr>
            <w:r>
              <w:rPr>
                <w:i/>
              </w:rPr>
              <w:lastRenderedPageBreak/>
              <w:t>Motor Vehicle (Third Party Insurance) Act Amendment Act 1967</w:t>
            </w:r>
          </w:p>
        </w:tc>
        <w:tc>
          <w:tcPr>
            <w:tcW w:w="1161" w:type="dxa"/>
          </w:tcPr>
          <w:p>
            <w:pPr>
              <w:pStyle w:val="nTable"/>
              <w:spacing w:after="40"/>
            </w:pPr>
            <w:r>
              <w:t>37 of 1967</w:t>
            </w:r>
          </w:p>
        </w:tc>
        <w:tc>
          <w:tcPr>
            <w:tcW w:w="1161" w:type="dxa"/>
          </w:tcPr>
          <w:p>
            <w:pPr>
              <w:pStyle w:val="nTable"/>
              <w:spacing w:after="40"/>
            </w:pPr>
            <w:r>
              <w:t>21 Nov 1967</w:t>
            </w:r>
          </w:p>
        </w:tc>
        <w:tc>
          <w:tcPr>
            <w:tcW w:w="2613" w:type="dxa"/>
          </w:tcPr>
          <w:p>
            <w:pPr>
              <w:pStyle w:val="nTable"/>
              <w:spacing w:after="40"/>
            </w:pPr>
            <w:r>
              <w:t xml:space="preserve">4 Dec 1967 (see s. 2 and </w:t>
            </w:r>
            <w:r>
              <w:rPr>
                <w:i/>
              </w:rPr>
              <w:t>Gazette</w:t>
            </w:r>
            <w:r>
              <w:t xml:space="preserve"> 24 Nov 1967 p. 3195)</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14 Feb 1968 in Volume 21 of Reprinted Acts</w:t>
            </w:r>
            <w:r>
              <w:t xml:space="preserve"> (includes amendments listed above)</w:t>
            </w:r>
          </w:p>
        </w:tc>
      </w:tr>
      <w:tr>
        <w:trPr>
          <w:cantSplit/>
        </w:trPr>
        <w:tc>
          <w:tcPr>
            <w:tcW w:w="2323" w:type="dxa"/>
          </w:tcPr>
          <w:p>
            <w:pPr>
              <w:pStyle w:val="nTable"/>
              <w:spacing w:after="40"/>
            </w:pPr>
            <w:r>
              <w:rPr>
                <w:i/>
              </w:rPr>
              <w:t>Motor Vehicle (Third Party Insurance) Act Amendment Act (No. 2) 1969</w:t>
            </w:r>
          </w:p>
        </w:tc>
        <w:tc>
          <w:tcPr>
            <w:tcW w:w="1161" w:type="dxa"/>
          </w:tcPr>
          <w:p>
            <w:pPr>
              <w:pStyle w:val="nTable"/>
              <w:spacing w:after="40"/>
            </w:pPr>
            <w:r>
              <w:t>21 of 1969</w:t>
            </w:r>
          </w:p>
        </w:tc>
        <w:tc>
          <w:tcPr>
            <w:tcW w:w="1161" w:type="dxa"/>
          </w:tcPr>
          <w:p>
            <w:pPr>
              <w:pStyle w:val="nTable"/>
              <w:spacing w:after="40"/>
            </w:pPr>
            <w:r>
              <w:t>7 May 1969</w:t>
            </w:r>
          </w:p>
        </w:tc>
        <w:tc>
          <w:tcPr>
            <w:tcW w:w="2613" w:type="dxa"/>
          </w:tcPr>
          <w:p>
            <w:pPr>
              <w:pStyle w:val="nTable"/>
              <w:spacing w:after="40"/>
            </w:pPr>
            <w:r>
              <w:t>7 May 1969</w:t>
            </w:r>
          </w:p>
        </w:tc>
      </w:tr>
      <w:tr>
        <w:trPr>
          <w:cantSplit/>
        </w:trPr>
        <w:tc>
          <w:tcPr>
            <w:tcW w:w="2323" w:type="dxa"/>
          </w:tcPr>
          <w:p>
            <w:pPr>
              <w:pStyle w:val="nTable"/>
              <w:spacing w:after="40"/>
            </w:pPr>
            <w:r>
              <w:rPr>
                <w:i/>
              </w:rPr>
              <w:t>Motor Vehicle (Third Party Insurance) Act Amendment Act 1970</w:t>
            </w:r>
          </w:p>
        </w:tc>
        <w:tc>
          <w:tcPr>
            <w:tcW w:w="1161" w:type="dxa"/>
          </w:tcPr>
          <w:p>
            <w:pPr>
              <w:pStyle w:val="nTable"/>
              <w:spacing w:after="40"/>
            </w:pPr>
            <w:r>
              <w:t>19 of 1970</w:t>
            </w:r>
          </w:p>
        </w:tc>
        <w:tc>
          <w:tcPr>
            <w:tcW w:w="1161" w:type="dxa"/>
          </w:tcPr>
          <w:p>
            <w:pPr>
              <w:pStyle w:val="nTable"/>
              <w:spacing w:after="40"/>
            </w:pPr>
            <w:r>
              <w:t>8 May 1970</w:t>
            </w:r>
          </w:p>
        </w:tc>
        <w:tc>
          <w:tcPr>
            <w:tcW w:w="2613" w:type="dxa"/>
          </w:tcPr>
          <w:p>
            <w:pPr>
              <w:pStyle w:val="nTable"/>
              <w:spacing w:after="40"/>
            </w:pPr>
            <w:r>
              <w:t>8 May 1970</w:t>
            </w:r>
          </w:p>
        </w:tc>
      </w:tr>
      <w:tr>
        <w:trPr>
          <w:cantSplit/>
        </w:trPr>
        <w:tc>
          <w:tcPr>
            <w:tcW w:w="2323" w:type="dxa"/>
          </w:tcPr>
          <w:p>
            <w:pPr>
              <w:pStyle w:val="nTable"/>
              <w:spacing w:after="40"/>
            </w:pPr>
            <w:r>
              <w:rPr>
                <w:i/>
              </w:rPr>
              <w:t>Motor Vehicle (Third Party Insurance) Act Amendment Act 1971</w:t>
            </w:r>
          </w:p>
        </w:tc>
        <w:tc>
          <w:tcPr>
            <w:tcW w:w="1161" w:type="dxa"/>
          </w:tcPr>
          <w:p>
            <w:pPr>
              <w:pStyle w:val="nTable"/>
              <w:spacing w:after="40"/>
            </w:pPr>
            <w:r>
              <w:t>44 of 1971</w:t>
            </w:r>
          </w:p>
        </w:tc>
        <w:tc>
          <w:tcPr>
            <w:tcW w:w="1161" w:type="dxa"/>
          </w:tcPr>
          <w:p>
            <w:pPr>
              <w:pStyle w:val="nTable"/>
              <w:spacing w:after="40"/>
            </w:pPr>
            <w:r>
              <w:t>10 Dec 1971</w:t>
            </w:r>
          </w:p>
        </w:tc>
        <w:tc>
          <w:tcPr>
            <w:tcW w:w="2613" w:type="dxa"/>
          </w:tcPr>
          <w:p>
            <w:pPr>
              <w:pStyle w:val="nTable"/>
              <w:spacing w:after="40"/>
            </w:pPr>
            <w:r>
              <w:t>10 Dec 1971</w:t>
            </w:r>
          </w:p>
        </w:tc>
      </w:tr>
      <w:tr>
        <w:trPr>
          <w:cantSplit/>
        </w:trPr>
        <w:tc>
          <w:tcPr>
            <w:tcW w:w="2323" w:type="dxa"/>
          </w:tcPr>
          <w:p>
            <w:pPr>
              <w:pStyle w:val="nTable"/>
              <w:spacing w:after="40"/>
            </w:pPr>
            <w:r>
              <w:rPr>
                <w:i/>
              </w:rPr>
              <w:t>Motor Vehicle (Third Party Insurance) Act Amendment Act 1972</w:t>
            </w:r>
          </w:p>
        </w:tc>
        <w:tc>
          <w:tcPr>
            <w:tcW w:w="1161" w:type="dxa"/>
          </w:tcPr>
          <w:p>
            <w:pPr>
              <w:pStyle w:val="nTable"/>
              <w:spacing w:after="40"/>
            </w:pPr>
            <w:r>
              <w:t>42 of 1972</w:t>
            </w:r>
          </w:p>
        </w:tc>
        <w:tc>
          <w:tcPr>
            <w:tcW w:w="1161" w:type="dxa"/>
          </w:tcPr>
          <w:p>
            <w:pPr>
              <w:pStyle w:val="nTable"/>
              <w:spacing w:after="40"/>
            </w:pPr>
            <w:r>
              <w:t>16 Jun 1972</w:t>
            </w:r>
          </w:p>
        </w:tc>
        <w:tc>
          <w:tcPr>
            <w:tcW w:w="2613" w:type="dxa"/>
          </w:tcPr>
          <w:p>
            <w:pPr>
              <w:pStyle w:val="nTable"/>
              <w:spacing w:after="40"/>
            </w:pPr>
            <w:r>
              <w:t xml:space="preserve">13 Jul 1972 (see s. 2 and </w:t>
            </w:r>
            <w:r>
              <w:rPr>
                <w:i/>
              </w:rPr>
              <w:t>Gazette</w:t>
            </w:r>
            <w:r>
              <w:t xml:space="preserve"> 30 Jun 1972 p. 2098)</w:t>
            </w:r>
          </w:p>
        </w:tc>
      </w:tr>
      <w:tr>
        <w:trPr>
          <w:cantSplit/>
        </w:trPr>
        <w:tc>
          <w:tcPr>
            <w:tcW w:w="2323" w:type="dxa"/>
          </w:tcPr>
          <w:p>
            <w:pPr>
              <w:pStyle w:val="nTable"/>
              <w:spacing w:after="40"/>
            </w:pPr>
            <w:r>
              <w:rPr>
                <w:i/>
              </w:rPr>
              <w:t>Motor Vehicle (Third Party Insurance) Act Amendment Act 1973</w:t>
            </w:r>
          </w:p>
        </w:tc>
        <w:tc>
          <w:tcPr>
            <w:tcW w:w="1161" w:type="dxa"/>
          </w:tcPr>
          <w:p>
            <w:pPr>
              <w:pStyle w:val="nTable"/>
              <w:spacing w:after="40"/>
            </w:pPr>
            <w:r>
              <w:t>45 of 1973</w:t>
            </w:r>
          </w:p>
        </w:tc>
        <w:tc>
          <w:tcPr>
            <w:tcW w:w="1161" w:type="dxa"/>
          </w:tcPr>
          <w:p>
            <w:pPr>
              <w:pStyle w:val="nTable"/>
              <w:spacing w:after="40"/>
            </w:pPr>
            <w:r>
              <w:t>6 Nov 1973</w:t>
            </w:r>
          </w:p>
        </w:tc>
        <w:tc>
          <w:tcPr>
            <w:tcW w:w="2613" w:type="dxa"/>
          </w:tcPr>
          <w:p>
            <w:pPr>
              <w:pStyle w:val="nTable"/>
              <w:spacing w:after="40"/>
            </w:pPr>
            <w:r>
              <w:t xml:space="preserve">21 Dec 1973 (see s. 2 and </w:t>
            </w:r>
            <w:r>
              <w:rPr>
                <w:i/>
              </w:rPr>
              <w:t>Gazette</w:t>
            </w:r>
            <w:r>
              <w:t xml:space="preserve"> 21 Dec 1973 p. 4662)</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approved 3 May 1974</w:t>
            </w:r>
            <w:r>
              <w:t xml:space="preserve"> (includes amendments listed above)</w:t>
            </w:r>
          </w:p>
        </w:tc>
      </w:tr>
      <w:tr>
        <w:trPr>
          <w:cantSplit/>
        </w:trPr>
        <w:tc>
          <w:tcPr>
            <w:tcW w:w="2323" w:type="dxa"/>
          </w:tcPr>
          <w:p>
            <w:pPr>
              <w:pStyle w:val="nTable"/>
              <w:spacing w:after="40"/>
            </w:pPr>
            <w:r>
              <w:rPr>
                <w:i/>
              </w:rPr>
              <w:t xml:space="preserve">Acts Amendment (Road Traffic) Act 1974 </w:t>
            </w:r>
            <w:r>
              <w:t>Pt. V</w:t>
            </w:r>
          </w:p>
        </w:tc>
        <w:tc>
          <w:tcPr>
            <w:tcW w:w="1161" w:type="dxa"/>
          </w:tcPr>
          <w:p>
            <w:pPr>
              <w:pStyle w:val="nTable"/>
              <w:keepNext/>
              <w:keepLines/>
              <w:spacing w:after="40"/>
            </w:pPr>
            <w:r>
              <w:t>58 of 1974</w:t>
            </w:r>
          </w:p>
        </w:tc>
        <w:tc>
          <w:tcPr>
            <w:tcW w:w="1161" w:type="dxa"/>
          </w:tcPr>
          <w:p>
            <w:pPr>
              <w:pStyle w:val="nTable"/>
              <w:spacing w:after="40"/>
            </w:pPr>
            <w:r>
              <w:t>3 Dec 1974</w:t>
            </w:r>
          </w:p>
        </w:tc>
        <w:tc>
          <w:tcPr>
            <w:tcW w:w="2613" w:type="dxa"/>
          </w:tcPr>
          <w:p>
            <w:pPr>
              <w:pStyle w:val="nTable"/>
              <w:spacing w:after="40"/>
            </w:pPr>
            <w:r>
              <w:t xml:space="preserve">29 Aug 1975 (see s. 2 and </w:t>
            </w:r>
            <w:r>
              <w:rPr>
                <w:i/>
              </w:rPr>
              <w:t>Gazette</w:t>
            </w:r>
            <w:r>
              <w:t xml:space="preserve"> 29 Aug 1975 p. 3085)</w:t>
            </w:r>
          </w:p>
        </w:tc>
      </w:tr>
      <w:tr>
        <w:trPr>
          <w:cantSplit/>
        </w:trPr>
        <w:tc>
          <w:tcPr>
            <w:tcW w:w="2323" w:type="dxa"/>
          </w:tcPr>
          <w:p>
            <w:pPr>
              <w:pStyle w:val="nTable"/>
              <w:spacing w:after="40"/>
            </w:pPr>
            <w:r>
              <w:rPr>
                <w:i/>
              </w:rPr>
              <w:t>Motor Vehicle (Third Party Insurance) Act Amendment Act 1975</w:t>
            </w:r>
          </w:p>
        </w:tc>
        <w:tc>
          <w:tcPr>
            <w:tcW w:w="1161" w:type="dxa"/>
          </w:tcPr>
          <w:p>
            <w:pPr>
              <w:pStyle w:val="nTable"/>
              <w:spacing w:after="40"/>
            </w:pPr>
            <w:r>
              <w:t>7 of 1975</w:t>
            </w:r>
          </w:p>
        </w:tc>
        <w:tc>
          <w:tcPr>
            <w:tcW w:w="1161" w:type="dxa"/>
          </w:tcPr>
          <w:p>
            <w:pPr>
              <w:pStyle w:val="nTable"/>
              <w:spacing w:after="40"/>
            </w:pPr>
            <w:r>
              <w:t>9 May 1975</w:t>
            </w:r>
          </w:p>
        </w:tc>
        <w:tc>
          <w:tcPr>
            <w:tcW w:w="2613" w:type="dxa"/>
          </w:tcPr>
          <w:p>
            <w:pPr>
              <w:pStyle w:val="nTable"/>
              <w:spacing w:after="40"/>
            </w:pPr>
            <w:r>
              <w:t>9 May 1975</w:t>
            </w:r>
          </w:p>
        </w:tc>
      </w:tr>
      <w:tr>
        <w:trPr>
          <w:cantSplit/>
        </w:trPr>
        <w:tc>
          <w:tcPr>
            <w:tcW w:w="2323" w:type="dxa"/>
          </w:tcPr>
          <w:p>
            <w:pPr>
              <w:pStyle w:val="nTable"/>
              <w:spacing w:after="40"/>
            </w:pPr>
            <w:r>
              <w:rPr>
                <w:i/>
              </w:rPr>
              <w:t>Motor Vehicle (Third Party Insurance) Act Amendment Act (No. 2) 1975</w:t>
            </w:r>
          </w:p>
        </w:tc>
        <w:tc>
          <w:tcPr>
            <w:tcW w:w="1161" w:type="dxa"/>
          </w:tcPr>
          <w:p>
            <w:pPr>
              <w:pStyle w:val="nTable"/>
              <w:spacing w:after="40"/>
            </w:pPr>
            <w:r>
              <w:t>55 of 1975</w:t>
            </w:r>
          </w:p>
        </w:tc>
        <w:tc>
          <w:tcPr>
            <w:tcW w:w="1161" w:type="dxa"/>
          </w:tcPr>
          <w:p>
            <w:pPr>
              <w:pStyle w:val="nTable"/>
              <w:spacing w:after="40"/>
            </w:pPr>
            <w:r>
              <w:t>15 Oct 1975</w:t>
            </w:r>
          </w:p>
        </w:tc>
        <w:tc>
          <w:tcPr>
            <w:tcW w:w="2613" w:type="dxa"/>
          </w:tcPr>
          <w:p>
            <w:pPr>
              <w:pStyle w:val="nTable"/>
              <w:spacing w:after="40"/>
            </w:pPr>
            <w:r>
              <w:t>15 Oct 1975</w:t>
            </w:r>
          </w:p>
        </w:tc>
      </w:tr>
      <w:tr>
        <w:trPr>
          <w:cantSplit/>
        </w:trPr>
        <w:tc>
          <w:tcPr>
            <w:tcW w:w="2323" w:type="dxa"/>
          </w:tcPr>
          <w:p>
            <w:pPr>
              <w:pStyle w:val="nTable"/>
              <w:spacing w:after="40"/>
            </w:pPr>
            <w:r>
              <w:rPr>
                <w:i/>
              </w:rPr>
              <w:t xml:space="preserve">Acts Amendment (Expert Evidence) Act 1976 </w:t>
            </w:r>
            <w:r>
              <w:t>Pt. VI</w:t>
            </w:r>
          </w:p>
        </w:tc>
        <w:tc>
          <w:tcPr>
            <w:tcW w:w="1161" w:type="dxa"/>
          </w:tcPr>
          <w:p>
            <w:pPr>
              <w:pStyle w:val="nTable"/>
              <w:spacing w:after="40"/>
            </w:pPr>
            <w:r>
              <w:t>111 of 1976</w:t>
            </w:r>
          </w:p>
        </w:tc>
        <w:tc>
          <w:tcPr>
            <w:tcW w:w="1161" w:type="dxa"/>
          </w:tcPr>
          <w:p>
            <w:pPr>
              <w:pStyle w:val="nTable"/>
              <w:spacing w:after="40"/>
            </w:pPr>
            <w:r>
              <w:t>25 Nov 1976</w:t>
            </w:r>
          </w:p>
        </w:tc>
        <w:tc>
          <w:tcPr>
            <w:tcW w:w="2613" w:type="dxa"/>
          </w:tcPr>
          <w:p>
            <w:pPr>
              <w:pStyle w:val="nTable"/>
              <w:spacing w:after="40"/>
            </w:pPr>
            <w:r>
              <w:t>25 Nov 1976</w:t>
            </w:r>
          </w:p>
        </w:tc>
      </w:tr>
      <w:tr>
        <w:trPr>
          <w:cantSplit/>
        </w:trPr>
        <w:tc>
          <w:tcPr>
            <w:tcW w:w="7258" w:type="dxa"/>
            <w:gridSpan w:val="4"/>
          </w:tcPr>
          <w:p>
            <w:pPr>
              <w:pStyle w:val="nTable"/>
              <w:spacing w:after="40"/>
            </w:pPr>
            <w:r>
              <w:rPr>
                <w:b/>
              </w:rPr>
              <w:t xml:space="preserve">Reprint of the </w:t>
            </w:r>
            <w:r>
              <w:rPr>
                <w:b/>
                <w:i/>
              </w:rPr>
              <w:t>Motor Vehicle (Third Party Insurance) Act 1943</w:t>
            </w:r>
            <w:r>
              <w:rPr>
                <w:i/>
              </w:rPr>
              <w:t xml:space="preserve"> </w:t>
            </w:r>
            <w:r>
              <w:rPr>
                <w:b/>
              </w:rPr>
              <w:t>authorised 12 Jan 1981</w:t>
            </w:r>
            <w:r>
              <w:t xml:space="preserve"> (includes amendments listed above)</w:t>
            </w:r>
          </w:p>
        </w:tc>
      </w:tr>
      <w:tr>
        <w:trPr>
          <w:cantSplit/>
        </w:trPr>
        <w:tc>
          <w:tcPr>
            <w:tcW w:w="2323" w:type="dxa"/>
          </w:tcPr>
          <w:p>
            <w:pPr>
              <w:pStyle w:val="nTable"/>
              <w:spacing w:after="40"/>
            </w:pPr>
            <w:r>
              <w:rPr>
                <w:i/>
              </w:rPr>
              <w:t xml:space="preserve">Acts Amendment (Traffic Board) Act 1981 </w:t>
            </w:r>
            <w:r>
              <w:t>Pt. II</w:t>
            </w:r>
          </w:p>
        </w:tc>
        <w:tc>
          <w:tcPr>
            <w:tcW w:w="1161" w:type="dxa"/>
          </w:tcPr>
          <w:p>
            <w:pPr>
              <w:pStyle w:val="nTable"/>
              <w:spacing w:after="40"/>
            </w:pPr>
            <w:r>
              <w:t>106 of 1981</w:t>
            </w:r>
          </w:p>
        </w:tc>
        <w:tc>
          <w:tcPr>
            <w:tcW w:w="1161" w:type="dxa"/>
          </w:tcPr>
          <w:p>
            <w:pPr>
              <w:pStyle w:val="nTable"/>
              <w:spacing w:after="40"/>
            </w:pPr>
            <w:r>
              <w:t>4 Dec 1981</w:t>
            </w:r>
          </w:p>
        </w:tc>
        <w:tc>
          <w:tcPr>
            <w:tcW w:w="2613" w:type="dxa"/>
          </w:tcPr>
          <w:p>
            <w:pPr>
              <w:pStyle w:val="nTable"/>
              <w:spacing w:after="40"/>
            </w:pPr>
            <w:r>
              <w:t xml:space="preserve">2 Feb 1982 (see s. 2 and </w:t>
            </w:r>
            <w:r>
              <w:rPr>
                <w:i/>
              </w:rPr>
              <w:t>Gazette</w:t>
            </w:r>
            <w:r>
              <w:t xml:space="preserve"> 2 Feb 1982 p. 393)</w:t>
            </w:r>
          </w:p>
        </w:tc>
      </w:tr>
      <w:tr>
        <w:trPr>
          <w:cantSplit/>
        </w:trPr>
        <w:tc>
          <w:tcPr>
            <w:tcW w:w="2323" w:type="dxa"/>
          </w:tcPr>
          <w:p>
            <w:pPr>
              <w:pStyle w:val="nTable"/>
              <w:spacing w:after="40"/>
            </w:pPr>
            <w:r>
              <w:rPr>
                <w:i/>
              </w:rPr>
              <w:lastRenderedPageBreak/>
              <w:t>Motor Vehicle (Third Party Insurance) Amendment Act 1982</w:t>
            </w:r>
          </w:p>
        </w:tc>
        <w:tc>
          <w:tcPr>
            <w:tcW w:w="1161" w:type="dxa"/>
          </w:tcPr>
          <w:p>
            <w:pPr>
              <w:pStyle w:val="nTable"/>
              <w:spacing w:after="40"/>
            </w:pPr>
            <w:r>
              <w:t>81 of 1982</w:t>
            </w:r>
          </w:p>
        </w:tc>
        <w:tc>
          <w:tcPr>
            <w:tcW w:w="1161" w:type="dxa"/>
          </w:tcPr>
          <w:p>
            <w:pPr>
              <w:pStyle w:val="nTable"/>
              <w:spacing w:after="40"/>
            </w:pPr>
            <w:r>
              <w:t>11 Nov 1982</w:t>
            </w:r>
          </w:p>
        </w:tc>
        <w:tc>
          <w:tcPr>
            <w:tcW w:w="2613" w:type="dxa"/>
          </w:tcPr>
          <w:p>
            <w:pPr>
              <w:pStyle w:val="nTable"/>
              <w:spacing w:after="40"/>
            </w:pPr>
            <w:r>
              <w:t xml:space="preserve">25 Feb 1983 (see s. 2 and </w:t>
            </w:r>
            <w:r>
              <w:rPr>
                <w:i/>
              </w:rPr>
              <w:t>Gazette</w:t>
            </w:r>
            <w:r>
              <w:t xml:space="preserve"> 25 Feb 1983 p. 640)</w:t>
            </w:r>
          </w:p>
        </w:tc>
      </w:tr>
      <w:tr>
        <w:trPr>
          <w:cantSplit/>
        </w:trPr>
        <w:tc>
          <w:tcPr>
            <w:tcW w:w="2323" w:type="dxa"/>
          </w:tcPr>
          <w:p>
            <w:pPr>
              <w:pStyle w:val="nTable"/>
              <w:spacing w:after="40"/>
            </w:pPr>
            <w:r>
              <w:rPr>
                <w:i/>
              </w:rPr>
              <w:t xml:space="preserve">Acts Amendment (Financial Administration and Audit) Act 1985 </w:t>
            </w:r>
            <w:r>
              <w:t>s. 3</w:t>
            </w:r>
          </w:p>
        </w:tc>
        <w:tc>
          <w:tcPr>
            <w:tcW w:w="1161" w:type="dxa"/>
          </w:tcPr>
          <w:p>
            <w:pPr>
              <w:pStyle w:val="nTable"/>
              <w:spacing w:after="40"/>
            </w:pPr>
            <w:r>
              <w:t>98 of 1985</w:t>
            </w:r>
          </w:p>
        </w:tc>
        <w:tc>
          <w:tcPr>
            <w:tcW w:w="1161" w:type="dxa"/>
          </w:tcPr>
          <w:p>
            <w:pPr>
              <w:pStyle w:val="nTable"/>
              <w:spacing w:after="40"/>
            </w:pPr>
            <w:r>
              <w:t>4 Dec 1985</w:t>
            </w:r>
          </w:p>
        </w:tc>
        <w:tc>
          <w:tcPr>
            <w:tcW w:w="2613" w:type="dxa"/>
          </w:tcPr>
          <w:p>
            <w:pPr>
              <w:pStyle w:val="nTable"/>
              <w:spacing w:after="40"/>
            </w:pPr>
            <w:r>
              <w:t xml:space="preserve">1 Jul 1986 (see s. 2 and </w:t>
            </w:r>
            <w:r>
              <w:rPr>
                <w:i/>
              </w:rPr>
              <w:t>Gazette</w:t>
            </w:r>
            <w:r>
              <w:t xml:space="preserve"> 30 Jun 1986 p. 2255)</w:t>
            </w:r>
          </w:p>
        </w:tc>
      </w:tr>
      <w:tr>
        <w:trPr>
          <w:cantSplit/>
        </w:trPr>
        <w:tc>
          <w:tcPr>
            <w:tcW w:w="2323" w:type="dxa"/>
          </w:tcPr>
          <w:p>
            <w:pPr>
              <w:pStyle w:val="nTable"/>
              <w:spacing w:after="40"/>
            </w:pPr>
            <w:r>
              <w:rPr>
                <w:i/>
              </w:rPr>
              <w:t xml:space="preserve">State Government Insurance Commission Act 1986 </w:t>
            </w:r>
            <w:r>
              <w:t>s. 46(2)</w:t>
            </w:r>
          </w:p>
        </w:tc>
        <w:tc>
          <w:tcPr>
            <w:tcW w:w="1161" w:type="dxa"/>
          </w:tcPr>
          <w:p>
            <w:pPr>
              <w:pStyle w:val="nTable"/>
              <w:spacing w:after="40"/>
            </w:pPr>
            <w:r>
              <w:t>51 of 1986</w:t>
            </w:r>
          </w:p>
        </w:tc>
        <w:tc>
          <w:tcPr>
            <w:tcW w:w="1161" w:type="dxa"/>
          </w:tcPr>
          <w:p>
            <w:pPr>
              <w:pStyle w:val="nTable"/>
              <w:spacing w:after="40"/>
            </w:pPr>
            <w:r>
              <w:t>5 Aug 1986</w:t>
            </w:r>
          </w:p>
        </w:tc>
        <w:tc>
          <w:tcPr>
            <w:tcW w:w="2613" w:type="dxa"/>
          </w:tcPr>
          <w:p>
            <w:pPr>
              <w:pStyle w:val="nTable"/>
              <w:spacing w:after="40"/>
            </w:pPr>
            <w:r>
              <w:t xml:space="preserve">1 Jan 1987 (see s. 2 and </w:t>
            </w:r>
            <w:r>
              <w:rPr>
                <w:i/>
              </w:rPr>
              <w:t>Gazette</w:t>
            </w:r>
            <w:r>
              <w:t xml:space="preserve"> 19 Dec 1986 p. 4859)</w:t>
            </w:r>
          </w:p>
        </w:tc>
      </w:tr>
      <w:tr>
        <w:trPr>
          <w:cantSplit/>
        </w:trPr>
        <w:tc>
          <w:tcPr>
            <w:tcW w:w="2323" w:type="dxa"/>
          </w:tcPr>
          <w:p>
            <w:pPr>
              <w:pStyle w:val="nTable"/>
              <w:spacing w:after="40"/>
              <w:rPr>
                <w:vertAlign w:val="superscript"/>
              </w:rPr>
            </w:pPr>
            <w:r>
              <w:rPr>
                <w:i/>
              </w:rPr>
              <w:t>Motor Vehicle (Third Party Insurance) Amendment Act 1986</w:t>
            </w:r>
            <w:r>
              <w:rPr>
                <w:vertAlign w:val="superscript"/>
              </w:rPr>
              <w:t> 3</w:t>
            </w:r>
          </w:p>
        </w:tc>
        <w:tc>
          <w:tcPr>
            <w:tcW w:w="1161" w:type="dxa"/>
          </w:tcPr>
          <w:p>
            <w:pPr>
              <w:pStyle w:val="nTable"/>
              <w:keepNext/>
              <w:keepLines/>
              <w:spacing w:after="40"/>
            </w:pPr>
            <w:r>
              <w:t>65 of 1986</w:t>
            </w:r>
          </w:p>
        </w:tc>
        <w:tc>
          <w:tcPr>
            <w:tcW w:w="1161" w:type="dxa"/>
          </w:tcPr>
          <w:p>
            <w:pPr>
              <w:pStyle w:val="nTable"/>
              <w:spacing w:after="40"/>
            </w:pPr>
            <w:r>
              <w:t>28 Nov 1986</w:t>
            </w:r>
          </w:p>
        </w:tc>
        <w:tc>
          <w:tcPr>
            <w:tcW w:w="2613" w:type="dxa"/>
          </w:tcPr>
          <w:p>
            <w:pPr>
              <w:pStyle w:val="nTable"/>
              <w:spacing w:after="40"/>
            </w:pPr>
            <w:r>
              <w:t>28 Nov 1986 (see s. 2)</w:t>
            </w:r>
          </w:p>
        </w:tc>
      </w:tr>
      <w:tr>
        <w:trPr>
          <w:cantSplit/>
        </w:trPr>
        <w:tc>
          <w:tcPr>
            <w:tcW w:w="2323" w:type="dxa"/>
          </w:tcPr>
          <w:p>
            <w:pPr>
              <w:pStyle w:val="nTable"/>
              <w:spacing w:after="40"/>
            </w:pPr>
            <w:r>
              <w:rPr>
                <w:i/>
              </w:rPr>
              <w:t>Motor Vehicle (Third Party Insurance) Amendment Act 1987</w:t>
            </w:r>
          </w:p>
        </w:tc>
        <w:tc>
          <w:tcPr>
            <w:tcW w:w="1161" w:type="dxa"/>
          </w:tcPr>
          <w:p>
            <w:pPr>
              <w:pStyle w:val="nTable"/>
              <w:keepNext/>
              <w:spacing w:after="40"/>
            </w:pPr>
            <w:r>
              <w:t>107 of 1987</w:t>
            </w:r>
          </w:p>
        </w:tc>
        <w:tc>
          <w:tcPr>
            <w:tcW w:w="1161" w:type="dxa"/>
          </w:tcPr>
          <w:p>
            <w:pPr>
              <w:pStyle w:val="nTable"/>
              <w:spacing w:after="40"/>
            </w:pPr>
            <w:r>
              <w:t>16 Dec 1987</w:t>
            </w:r>
          </w:p>
        </w:tc>
        <w:tc>
          <w:tcPr>
            <w:tcW w:w="2613" w:type="dxa"/>
          </w:tcPr>
          <w:p>
            <w:pPr>
              <w:pStyle w:val="nTable"/>
              <w:spacing w:after="40"/>
            </w:pPr>
            <w:r>
              <w:t>16 Dec 1987 (see s. 2)</w:t>
            </w:r>
          </w:p>
        </w:tc>
      </w:tr>
      <w:tr>
        <w:trPr>
          <w:cantSplit/>
        </w:trPr>
        <w:tc>
          <w:tcPr>
            <w:tcW w:w="2323" w:type="dxa"/>
          </w:tcPr>
          <w:p>
            <w:pPr>
              <w:pStyle w:val="nTable"/>
              <w:spacing w:after="40"/>
              <w:rPr>
                <w:vertAlign w:val="superscript"/>
              </w:rPr>
            </w:pPr>
            <w:r>
              <w:rPr>
                <w:i/>
              </w:rPr>
              <w:t xml:space="preserve">Motor Vehicle (Third Party Insurance Surcharge) Repeal Act 1988 </w:t>
            </w:r>
            <w:r>
              <w:t>Pt. 3</w:t>
            </w:r>
            <w:r>
              <w:rPr>
                <w:vertAlign w:val="superscript"/>
              </w:rPr>
              <w:t> 4</w:t>
            </w:r>
          </w:p>
        </w:tc>
        <w:tc>
          <w:tcPr>
            <w:tcW w:w="1161" w:type="dxa"/>
          </w:tcPr>
          <w:p>
            <w:pPr>
              <w:pStyle w:val="nTable"/>
              <w:spacing w:after="40"/>
            </w:pPr>
            <w:r>
              <w:t>8 of 1988</w:t>
            </w:r>
          </w:p>
        </w:tc>
        <w:tc>
          <w:tcPr>
            <w:tcW w:w="1161" w:type="dxa"/>
          </w:tcPr>
          <w:p>
            <w:pPr>
              <w:pStyle w:val="nTable"/>
              <w:spacing w:after="40"/>
            </w:pPr>
            <w:r>
              <w:t>30 Jun 1988</w:t>
            </w:r>
          </w:p>
        </w:tc>
        <w:tc>
          <w:tcPr>
            <w:tcW w:w="2613" w:type="dxa"/>
          </w:tcPr>
          <w:p>
            <w:pPr>
              <w:pStyle w:val="nTable"/>
              <w:spacing w:after="40"/>
            </w:pPr>
            <w:r>
              <w:t>30 Jun 1988 (see s. 2)</w:t>
            </w:r>
          </w:p>
        </w:tc>
      </w:tr>
      <w:tr>
        <w:trPr>
          <w:cantSplit/>
        </w:trPr>
        <w:tc>
          <w:tcPr>
            <w:tcW w:w="7258" w:type="dxa"/>
            <w:gridSpan w:val="4"/>
          </w:tcPr>
          <w:p>
            <w:pPr>
              <w:pStyle w:val="nTable"/>
              <w:spacing w:after="40"/>
            </w:pPr>
            <w:r>
              <w:rPr>
                <w:b/>
              </w:rPr>
              <w:t>Reprint of the</w:t>
            </w:r>
            <w:r>
              <w:rPr>
                <w:b/>
                <w:i/>
              </w:rPr>
              <w:t xml:space="preserve"> Motor Vehicle (Third Party Insurance) Act 1943 </w:t>
            </w:r>
            <w:r>
              <w:rPr>
                <w:b/>
              </w:rPr>
              <w:t>as at 11 Mar 1992</w:t>
            </w:r>
            <w:r>
              <w:t xml:space="preserve"> (includes amendments listed above)</w:t>
            </w:r>
          </w:p>
        </w:tc>
      </w:tr>
      <w:tr>
        <w:trPr>
          <w:cantSplit/>
        </w:trPr>
        <w:tc>
          <w:tcPr>
            <w:tcW w:w="2323" w:type="dxa"/>
          </w:tcPr>
          <w:p>
            <w:pPr>
              <w:pStyle w:val="nTable"/>
              <w:spacing w:after="40"/>
            </w:pPr>
            <w:r>
              <w:rPr>
                <w:i/>
              </w:rPr>
              <w:t xml:space="preserve">Financial Administration Legislation Amendment Act 1993 </w:t>
            </w:r>
            <w:r>
              <w:t>s. 11</w:t>
            </w:r>
          </w:p>
        </w:tc>
        <w:tc>
          <w:tcPr>
            <w:tcW w:w="1161" w:type="dxa"/>
          </w:tcPr>
          <w:p>
            <w:pPr>
              <w:pStyle w:val="nTable"/>
              <w:spacing w:after="40"/>
            </w:pPr>
            <w:r>
              <w:t>6 of 1993</w:t>
            </w:r>
          </w:p>
        </w:tc>
        <w:tc>
          <w:tcPr>
            <w:tcW w:w="1161" w:type="dxa"/>
          </w:tcPr>
          <w:p>
            <w:pPr>
              <w:pStyle w:val="nTable"/>
              <w:spacing w:after="40"/>
            </w:pPr>
            <w:r>
              <w:t>27 Aug 1993</w:t>
            </w:r>
          </w:p>
        </w:tc>
        <w:tc>
          <w:tcPr>
            <w:tcW w:w="2613" w:type="dxa"/>
          </w:tcPr>
          <w:p>
            <w:pPr>
              <w:pStyle w:val="nTable"/>
              <w:spacing w:after="40"/>
            </w:pPr>
            <w:r>
              <w:t>1 Jul 1993 (see s. 2(1))</w:t>
            </w:r>
          </w:p>
        </w:tc>
      </w:tr>
      <w:tr>
        <w:trPr>
          <w:cantSplit/>
        </w:trPr>
        <w:tc>
          <w:tcPr>
            <w:tcW w:w="2323" w:type="dxa"/>
          </w:tcPr>
          <w:p>
            <w:pPr>
              <w:pStyle w:val="nTable"/>
              <w:spacing w:after="40"/>
            </w:pPr>
            <w:r>
              <w:rPr>
                <w:i/>
              </w:rPr>
              <w:t xml:space="preserve">Acts Amendment (Vehicles on Roads) Act 1994 </w:t>
            </w:r>
            <w:r>
              <w:t>Pt. 2</w:t>
            </w:r>
          </w:p>
        </w:tc>
        <w:tc>
          <w:tcPr>
            <w:tcW w:w="1161" w:type="dxa"/>
          </w:tcPr>
          <w:p>
            <w:pPr>
              <w:pStyle w:val="nTable"/>
              <w:spacing w:after="40"/>
            </w:pPr>
            <w:r>
              <w:t>13 of 1994</w:t>
            </w:r>
          </w:p>
        </w:tc>
        <w:tc>
          <w:tcPr>
            <w:tcW w:w="1161" w:type="dxa"/>
          </w:tcPr>
          <w:p>
            <w:pPr>
              <w:pStyle w:val="nTable"/>
              <w:spacing w:after="40"/>
            </w:pPr>
            <w:r>
              <w:t>15 Apr 1994</w:t>
            </w:r>
          </w:p>
        </w:tc>
        <w:tc>
          <w:tcPr>
            <w:tcW w:w="2613" w:type="dxa"/>
          </w:tcPr>
          <w:p>
            <w:pPr>
              <w:pStyle w:val="nTable"/>
              <w:spacing w:after="40"/>
            </w:pPr>
            <w:r>
              <w:t xml:space="preserve">17 May 1994 (see s. 2 and </w:t>
            </w:r>
            <w:r>
              <w:rPr>
                <w:i/>
              </w:rPr>
              <w:t>Gazette</w:t>
            </w:r>
            <w:r>
              <w:t xml:space="preserve"> 17 May 1994 p. 2065)</w:t>
            </w:r>
          </w:p>
        </w:tc>
      </w:tr>
      <w:tr>
        <w:trPr>
          <w:cantSplit/>
        </w:trPr>
        <w:tc>
          <w:tcPr>
            <w:tcW w:w="2323" w:type="dxa"/>
          </w:tcPr>
          <w:p>
            <w:pPr>
              <w:pStyle w:val="nTable"/>
              <w:spacing w:after="40"/>
            </w:pPr>
            <w:r>
              <w:rPr>
                <w:i/>
              </w:rPr>
              <w:t>Motor Vehicle (Third Party Insurance) Amendment Act 1994</w:t>
            </w:r>
          </w:p>
        </w:tc>
        <w:tc>
          <w:tcPr>
            <w:tcW w:w="1161" w:type="dxa"/>
          </w:tcPr>
          <w:p>
            <w:pPr>
              <w:pStyle w:val="nTable"/>
              <w:spacing w:after="40"/>
            </w:pPr>
            <w:r>
              <w:t>17 of 1994</w:t>
            </w:r>
          </w:p>
        </w:tc>
        <w:tc>
          <w:tcPr>
            <w:tcW w:w="1161" w:type="dxa"/>
          </w:tcPr>
          <w:p>
            <w:pPr>
              <w:pStyle w:val="nTable"/>
              <w:spacing w:after="40"/>
            </w:pPr>
            <w:r>
              <w:t>3 May 1994</w:t>
            </w:r>
          </w:p>
        </w:tc>
        <w:tc>
          <w:tcPr>
            <w:tcW w:w="2613" w:type="dxa"/>
          </w:tcPr>
          <w:p>
            <w:pPr>
              <w:pStyle w:val="nTable"/>
              <w:spacing w:after="40"/>
            </w:pPr>
            <w:r>
              <w:t>3 May 1994 (see s. 2)</w:t>
            </w:r>
          </w:p>
        </w:tc>
      </w:tr>
      <w:tr>
        <w:trPr>
          <w:cantSplit/>
        </w:trPr>
        <w:tc>
          <w:tcPr>
            <w:tcW w:w="2323" w:type="dxa"/>
          </w:tcPr>
          <w:p>
            <w:pPr>
              <w:pStyle w:val="nTable"/>
              <w:spacing w:after="40"/>
              <w:rPr>
                <w:i/>
              </w:rPr>
            </w:pPr>
            <w:r>
              <w:rPr>
                <w:i/>
              </w:rPr>
              <w:t>Sentencing (Consequential Provisions) Act 1995</w:t>
            </w:r>
            <w:r>
              <w:t xml:space="preserve"> Pt. 53</w:t>
            </w:r>
          </w:p>
        </w:tc>
        <w:tc>
          <w:tcPr>
            <w:tcW w:w="1161" w:type="dxa"/>
          </w:tcPr>
          <w:p>
            <w:pPr>
              <w:pStyle w:val="nTable"/>
              <w:spacing w:after="40"/>
            </w:pPr>
            <w:r>
              <w:t>78 of 1995</w:t>
            </w:r>
          </w:p>
        </w:tc>
        <w:tc>
          <w:tcPr>
            <w:tcW w:w="1161" w:type="dxa"/>
          </w:tcPr>
          <w:p>
            <w:pPr>
              <w:pStyle w:val="nTable"/>
              <w:spacing w:after="40"/>
            </w:pPr>
            <w:r>
              <w:t>16 Jan 1996</w:t>
            </w:r>
          </w:p>
        </w:tc>
        <w:tc>
          <w:tcPr>
            <w:tcW w:w="2613" w:type="dxa"/>
          </w:tcPr>
          <w:p>
            <w:pPr>
              <w:pStyle w:val="nTable"/>
              <w:spacing w:after="40"/>
            </w:pPr>
            <w:r>
              <w:t xml:space="preserve">4 Nov 1996 (see s. 2 and </w:t>
            </w:r>
            <w:r>
              <w:rPr>
                <w:i/>
              </w:rPr>
              <w:t>Gazette</w:t>
            </w:r>
            <w:r>
              <w:t xml:space="preserve"> 25 Oct 1996 p. 5632)</w:t>
            </w:r>
          </w:p>
        </w:tc>
      </w:tr>
      <w:tr>
        <w:trPr>
          <w:cantSplit/>
        </w:trPr>
        <w:tc>
          <w:tcPr>
            <w:tcW w:w="2323" w:type="dxa"/>
          </w:tcPr>
          <w:p>
            <w:pPr>
              <w:pStyle w:val="nTable"/>
              <w:spacing w:after="40"/>
            </w:pPr>
            <w:r>
              <w:rPr>
                <w:i/>
              </w:rPr>
              <w:t>Local Government (Consequential Amendments) Act 1996</w:t>
            </w:r>
            <w:r>
              <w:t xml:space="preserve"> s. 4</w:t>
            </w:r>
          </w:p>
        </w:tc>
        <w:tc>
          <w:tcPr>
            <w:tcW w:w="1161" w:type="dxa"/>
          </w:tcPr>
          <w:p>
            <w:pPr>
              <w:pStyle w:val="nTable"/>
              <w:spacing w:after="40"/>
            </w:pPr>
            <w:r>
              <w:t>14 of 1996</w:t>
            </w:r>
          </w:p>
        </w:tc>
        <w:tc>
          <w:tcPr>
            <w:tcW w:w="1161" w:type="dxa"/>
          </w:tcPr>
          <w:p>
            <w:pPr>
              <w:pStyle w:val="nTable"/>
              <w:spacing w:after="40"/>
            </w:pPr>
            <w:r>
              <w:t>28 Jun 1996</w:t>
            </w:r>
          </w:p>
        </w:tc>
        <w:tc>
          <w:tcPr>
            <w:tcW w:w="2613" w:type="dxa"/>
          </w:tcPr>
          <w:p>
            <w:pPr>
              <w:pStyle w:val="nTable"/>
              <w:spacing w:after="40"/>
            </w:pPr>
            <w:r>
              <w:t>1 Jul 1996 (see s. 2)</w:t>
            </w:r>
          </w:p>
        </w:tc>
      </w:tr>
      <w:tr>
        <w:trPr>
          <w:cantSplit/>
        </w:trPr>
        <w:tc>
          <w:tcPr>
            <w:tcW w:w="2323" w:type="dxa"/>
          </w:tcPr>
          <w:p>
            <w:pPr>
              <w:pStyle w:val="nTable"/>
              <w:spacing w:after="40"/>
            </w:pPr>
            <w:r>
              <w:rPr>
                <w:i/>
              </w:rPr>
              <w:t>Acts Amendment (ICWA) Act 1996</w:t>
            </w:r>
            <w:r>
              <w:t xml:space="preserve"> s. 38</w:t>
            </w:r>
          </w:p>
        </w:tc>
        <w:tc>
          <w:tcPr>
            <w:tcW w:w="1161" w:type="dxa"/>
          </w:tcPr>
          <w:p>
            <w:pPr>
              <w:pStyle w:val="nTable"/>
              <w:keepNext/>
              <w:spacing w:after="40"/>
            </w:pPr>
            <w:r>
              <w:t>45 of 1996</w:t>
            </w:r>
          </w:p>
        </w:tc>
        <w:tc>
          <w:tcPr>
            <w:tcW w:w="1161" w:type="dxa"/>
          </w:tcPr>
          <w:p>
            <w:pPr>
              <w:pStyle w:val="nTable"/>
              <w:spacing w:after="40"/>
            </w:pPr>
            <w:r>
              <w:t>25 Oct 1996</w:t>
            </w:r>
          </w:p>
        </w:tc>
        <w:tc>
          <w:tcPr>
            <w:tcW w:w="2613" w:type="dxa"/>
          </w:tcPr>
          <w:p>
            <w:pPr>
              <w:pStyle w:val="nTable"/>
              <w:spacing w:after="40"/>
            </w:pPr>
            <w:r>
              <w:t xml:space="preserve">1 Oct 1997 (see s. 2 and </w:t>
            </w:r>
            <w:r>
              <w:rPr>
                <w:i/>
              </w:rPr>
              <w:t>Gazette</w:t>
            </w:r>
            <w:r>
              <w:t xml:space="preserve"> 23 Sep 1997 p. 5357)</w:t>
            </w:r>
          </w:p>
        </w:tc>
      </w:tr>
      <w:tr>
        <w:trPr>
          <w:cantSplit/>
        </w:trPr>
        <w:tc>
          <w:tcPr>
            <w:tcW w:w="2323" w:type="dxa"/>
          </w:tcPr>
          <w:p>
            <w:pPr>
              <w:pStyle w:val="nTable"/>
              <w:spacing w:after="40"/>
            </w:pPr>
            <w:r>
              <w:rPr>
                <w:i/>
              </w:rPr>
              <w:t xml:space="preserve">Road Traffic Amendment Act 1996 </w:t>
            </w:r>
            <w:r>
              <w:t>Pt. 3 Div. 5</w:t>
            </w:r>
          </w:p>
        </w:tc>
        <w:tc>
          <w:tcPr>
            <w:tcW w:w="1161" w:type="dxa"/>
          </w:tcPr>
          <w:p>
            <w:pPr>
              <w:pStyle w:val="nTable"/>
              <w:spacing w:after="40"/>
            </w:pPr>
            <w:r>
              <w:t>76 of 1996</w:t>
            </w:r>
          </w:p>
        </w:tc>
        <w:tc>
          <w:tcPr>
            <w:tcW w:w="1161" w:type="dxa"/>
          </w:tcPr>
          <w:p>
            <w:pPr>
              <w:pStyle w:val="nTable"/>
              <w:spacing w:after="40"/>
            </w:pPr>
            <w:r>
              <w:t>14 Nov 1996</w:t>
            </w:r>
          </w:p>
        </w:tc>
        <w:tc>
          <w:tcPr>
            <w:tcW w:w="2613" w:type="dxa"/>
          </w:tcPr>
          <w:p>
            <w:pPr>
              <w:pStyle w:val="nTable"/>
              <w:spacing w:after="40"/>
            </w:pPr>
            <w:r>
              <w:t xml:space="preserve">1 Feb 1997 (see s. 2 and </w:t>
            </w:r>
            <w:r>
              <w:rPr>
                <w:i/>
              </w:rPr>
              <w:t>Gazette</w:t>
            </w:r>
            <w:r>
              <w:t xml:space="preserve"> 31 Jan 1997 p. 613)</w:t>
            </w:r>
          </w:p>
        </w:tc>
      </w:tr>
      <w:tr>
        <w:trPr>
          <w:cantSplit/>
        </w:trPr>
        <w:tc>
          <w:tcPr>
            <w:tcW w:w="7258" w:type="dxa"/>
            <w:gridSpan w:val="4"/>
          </w:tcPr>
          <w:p>
            <w:pPr>
              <w:pStyle w:val="nTable"/>
              <w:spacing w:after="40"/>
            </w:pPr>
            <w:r>
              <w:rPr>
                <w:b/>
              </w:rPr>
              <w:lastRenderedPageBreak/>
              <w:t>Reprint of the</w:t>
            </w:r>
            <w:r>
              <w:rPr>
                <w:b/>
                <w:i/>
              </w:rPr>
              <w:t xml:space="preserve"> Motor Vehicle (Third Party Insurance) Act 1943</w:t>
            </w:r>
            <w:r>
              <w:rPr>
                <w:i/>
              </w:rPr>
              <w:t xml:space="preserve"> </w:t>
            </w:r>
            <w:r>
              <w:rPr>
                <w:b/>
              </w:rPr>
              <w:t>as at 20 Nov 1998</w:t>
            </w:r>
            <w:r>
              <w:t xml:space="preserve"> (includes amendments listed above)</w:t>
            </w:r>
          </w:p>
        </w:tc>
      </w:tr>
      <w:tr>
        <w:trPr>
          <w:cantSplit/>
        </w:trPr>
        <w:tc>
          <w:tcPr>
            <w:tcW w:w="2323" w:type="dxa"/>
          </w:tcPr>
          <w:p>
            <w:pPr>
              <w:pStyle w:val="nTable"/>
              <w:spacing w:after="40"/>
              <w:rPr>
                <w:i/>
                <w:vertAlign w:val="superscript"/>
              </w:rPr>
            </w:pPr>
            <w:r>
              <w:rPr>
                <w:i/>
                <w:snapToGrid w:val="0"/>
                <w:spacing w:val="6"/>
              </w:rPr>
              <w:t>Machinery of Government (Planning and Infrastructure) Amendment Act 2002</w:t>
            </w:r>
            <w:r>
              <w:rPr>
                <w:snapToGrid w:val="0"/>
                <w:spacing w:val="6"/>
              </w:rPr>
              <w:t xml:space="preserve"> Pt. 4</w:t>
            </w:r>
            <w:r>
              <w:rPr>
                <w:snapToGrid w:val="0"/>
                <w:spacing w:val="6"/>
                <w:vertAlign w:val="superscript"/>
              </w:rPr>
              <w:t> 5</w:t>
            </w:r>
          </w:p>
        </w:tc>
        <w:tc>
          <w:tcPr>
            <w:tcW w:w="1161" w:type="dxa"/>
          </w:tcPr>
          <w:p>
            <w:pPr>
              <w:pStyle w:val="nTable"/>
              <w:spacing w:after="40"/>
            </w:pPr>
            <w:r>
              <w:rPr>
                <w:snapToGrid w:val="0"/>
              </w:rPr>
              <w:t>7 of 2002</w:t>
            </w:r>
          </w:p>
        </w:tc>
        <w:tc>
          <w:tcPr>
            <w:tcW w:w="1161" w:type="dxa"/>
          </w:tcPr>
          <w:p>
            <w:pPr>
              <w:pStyle w:val="nTable"/>
              <w:spacing w:after="40"/>
            </w:pPr>
            <w:r>
              <w:t>19 Jun 2002</w:t>
            </w:r>
          </w:p>
        </w:tc>
        <w:tc>
          <w:tcPr>
            <w:tcW w:w="2613" w:type="dxa"/>
          </w:tcPr>
          <w:p>
            <w:pPr>
              <w:pStyle w:val="nTable"/>
              <w:spacing w:after="40"/>
            </w:pPr>
            <w:r>
              <w:t xml:space="preserve">1 Jul 2002 (see s. 2 and </w:t>
            </w:r>
            <w:r>
              <w:rPr>
                <w:i/>
              </w:rPr>
              <w:t>Gazette</w:t>
            </w:r>
            <w:r>
              <w:t xml:space="preserve"> 28 Jun 2002 p. 3037)</w:t>
            </w:r>
          </w:p>
        </w:tc>
      </w:tr>
      <w:tr>
        <w:trPr>
          <w:cantSplit/>
        </w:trPr>
        <w:tc>
          <w:tcPr>
            <w:tcW w:w="2323" w:type="dxa"/>
          </w:tcPr>
          <w:p>
            <w:pPr>
              <w:pStyle w:val="nTable"/>
              <w:spacing w:after="40"/>
              <w:rPr>
                <w:snapToGrid w:val="0"/>
                <w:spacing w:val="6"/>
              </w:rPr>
            </w:pPr>
            <w:r>
              <w:rPr>
                <w:i/>
                <w:snapToGrid w:val="0"/>
                <w:spacing w:val="6"/>
              </w:rPr>
              <w:t>Acts Amendment (Equality of Status) Act 2003</w:t>
            </w:r>
            <w:r>
              <w:rPr>
                <w:snapToGrid w:val="0"/>
                <w:spacing w:val="6"/>
              </w:rPr>
              <w:t xml:space="preserve"> s. 122</w:t>
            </w:r>
          </w:p>
        </w:tc>
        <w:tc>
          <w:tcPr>
            <w:tcW w:w="1161" w:type="dxa"/>
          </w:tcPr>
          <w:p>
            <w:pPr>
              <w:pStyle w:val="nTable"/>
              <w:spacing w:after="40"/>
              <w:rPr>
                <w:snapToGrid w:val="0"/>
              </w:rPr>
            </w:pPr>
            <w:r>
              <w:rPr>
                <w:snapToGrid w:val="0"/>
              </w:rPr>
              <w:t>28 of 2003</w:t>
            </w:r>
          </w:p>
        </w:tc>
        <w:tc>
          <w:tcPr>
            <w:tcW w:w="1161" w:type="dxa"/>
          </w:tcPr>
          <w:p>
            <w:pPr>
              <w:pStyle w:val="nTable"/>
              <w:spacing w:after="40"/>
            </w:pPr>
            <w:r>
              <w:t>22 May 2003</w:t>
            </w:r>
          </w:p>
        </w:tc>
        <w:tc>
          <w:tcPr>
            <w:tcW w:w="2613" w:type="dxa"/>
          </w:tcPr>
          <w:p>
            <w:pPr>
              <w:pStyle w:val="nTable"/>
              <w:spacing w:after="40"/>
            </w:pPr>
            <w:r>
              <w:t xml:space="preserve">1 Jul 2003 (see s. 2 and </w:t>
            </w:r>
            <w:r>
              <w:rPr>
                <w:i/>
              </w:rPr>
              <w:t xml:space="preserve">Gazette </w:t>
            </w:r>
            <w:r>
              <w:t>30 Jun 2003 p. 2579)</w:t>
            </w:r>
          </w:p>
        </w:tc>
      </w:tr>
      <w:tr>
        <w:trPr>
          <w:cantSplit/>
        </w:trPr>
        <w:tc>
          <w:tcPr>
            <w:tcW w:w="2323" w:type="dxa"/>
          </w:tcPr>
          <w:p>
            <w:pPr>
              <w:pStyle w:val="nTable"/>
              <w:spacing w:after="40"/>
              <w:rPr>
                <w:snapToGrid w:val="0"/>
                <w:spacing w:val="6"/>
              </w:rPr>
            </w:pPr>
            <w:r>
              <w:rPr>
                <w:i/>
                <w:snapToGrid w:val="0"/>
                <w:spacing w:val="6"/>
              </w:rPr>
              <w:t>Acts Amendment and Repeal (Courts and Legal Practice) Act 2003</w:t>
            </w:r>
            <w:r>
              <w:rPr>
                <w:snapToGrid w:val="0"/>
                <w:spacing w:val="6"/>
              </w:rPr>
              <w:t xml:space="preserve"> s. 53</w:t>
            </w:r>
          </w:p>
        </w:tc>
        <w:tc>
          <w:tcPr>
            <w:tcW w:w="1161" w:type="dxa"/>
          </w:tcPr>
          <w:p>
            <w:pPr>
              <w:pStyle w:val="nTable"/>
              <w:spacing w:after="40"/>
              <w:rPr>
                <w:snapToGrid w:val="0"/>
              </w:rPr>
            </w:pPr>
            <w:r>
              <w:rPr>
                <w:snapToGrid w:val="0"/>
              </w:rPr>
              <w:t>65 of 2003</w:t>
            </w:r>
          </w:p>
        </w:tc>
        <w:tc>
          <w:tcPr>
            <w:tcW w:w="1161" w:type="dxa"/>
          </w:tcPr>
          <w:p>
            <w:pPr>
              <w:pStyle w:val="nTable"/>
              <w:spacing w:after="40"/>
            </w:pPr>
            <w:r>
              <w:t>4 Dec 2003</w:t>
            </w:r>
          </w:p>
        </w:tc>
        <w:tc>
          <w:tcPr>
            <w:tcW w:w="2613" w:type="dxa"/>
          </w:tcPr>
          <w:p>
            <w:pPr>
              <w:pStyle w:val="nTable"/>
              <w:spacing w:after="40"/>
            </w:pPr>
            <w:r>
              <w:t xml:space="preserve">1 Jan 2004 (see s. 2 and </w:t>
            </w:r>
            <w:r>
              <w:rPr>
                <w:i/>
              </w:rPr>
              <w:t>Gazette</w:t>
            </w:r>
            <w:r>
              <w:t xml:space="preserve"> 30 Dec 2003 p. 5722)</w:t>
            </w:r>
          </w:p>
        </w:tc>
      </w:tr>
      <w:tr>
        <w:trPr>
          <w:cantSplit/>
        </w:trPr>
        <w:tc>
          <w:tcPr>
            <w:tcW w:w="2323" w:type="dxa"/>
          </w:tcPr>
          <w:p>
            <w:pPr>
              <w:pStyle w:val="nTable"/>
              <w:spacing w:after="40"/>
              <w:rPr>
                <w:i/>
                <w:snapToGrid w:val="0"/>
                <w:spacing w:val="6"/>
              </w:rPr>
            </w:pPr>
            <w:r>
              <w:rPr>
                <w:i/>
                <w:snapToGrid w:val="0"/>
              </w:rPr>
              <w:t>Workers’ Compensation Reform Act 2004</w:t>
            </w:r>
            <w:r>
              <w:rPr>
                <w:snapToGrid w:val="0"/>
              </w:rPr>
              <w:t xml:space="preserve"> s. 174</w:t>
            </w:r>
          </w:p>
        </w:tc>
        <w:tc>
          <w:tcPr>
            <w:tcW w:w="1161" w:type="dxa"/>
          </w:tcPr>
          <w:p>
            <w:pPr>
              <w:pStyle w:val="nTable"/>
              <w:spacing w:after="40"/>
              <w:rPr>
                <w:snapToGrid w:val="0"/>
              </w:rPr>
            </w:pPr>
            <w:r>
              <w:rPr>
                <w:snapToGrid w:val="0"/>
              </w:rPr>
              <w:t>42 of 2004</w:t>
            </w:r>
          </w:p>
        </w:tc>
        <w:tc>
          <w:tcPr>
            <w:tcW w:w="1161" w:type="dxa"/>
          </w:tcPr>
          <w:p>
            <w:pPr>
              <w:pStyle w:val="nTable"/>
              <w:spacing w:after="40"/>
            </w:pPr>
            <w:r>
              <w:t>9 Nov 2004</w:t>
            </w:r>
          </w:p>
        </w:tc>
        <w:tc>
          <w:tcPr>
            <w:tcW w:w="2613" w:type="dxa"/>
          </w:tcPr>
          <w:p>
            <w:pPr>
              <w:pStyle w:val="nTable"/>
              <w:spacing w:after="40"/>
            </w:pPr>
            <w:r>
              <w:rPr>
                <w:snapToGrid w:val="0"/>
                <w:spacing w:val="-2"/>
              </w:rPr>
              <w:t xml:space="preserve">4 Jan 2005 (see s. 2 and </w:t>
            </w:r>
            <w:r>
              <w:rPr>
                <w:i/>
                <w:snapToGrid w:val="0"/>
                <w:spacing w:val="-2"/>
              </w:rPr>
              <w:t>Gazette</w:t>
            </w:r>
            <w:r>
              <w:rPr>
                <w:snapToGrid w:val="0"/>
                <w:spacing w:val="-2"/>
              </w:rPr>
              <w:t xml:space="preserve"> 31 Dec 2004 p. 7131)</w:t>
            </w:r>
          </w:p>
        </w:tc>
      </w:tr>
      <w:tr>
        <w:trPr>
          <w:cantSplit/>
        </w:trPr>
        <w:tc>
          <w:tcPr>
            <w:tcW w:w="2323" w:type="dxa"/>
          </w:tcPr>
          <w:p>
            <w:pPr>
              <w:pStyle w:val="nTable"/>
              <w:spacing w:after="40"/>
              <w:rPr>
                <w:i/>
                <w:snapToGrid w:val="0"/>
              </w:rPr>
            </w:pPr>
            <w:r>
              <w:rPr>
                <w:i/>
                <w:snapToGrid w:val="0"/>
              </w:rPr>
              <w:t>Courts Legislation Amendment and Repeal Act 2004</w:t>
            </w:r>
            <w:r>
              <w:rPr>
                <w:snapToGrid w:val="0"/>
              </w:rPr>
              <w:t xml:space="preserve"> s. 141</w:t>
            </w:r>
          </w:p>
        </w:tc>
        <w:tc>
          <w:tcPr>
            <w:tcW w:w="1161" w:type="dxa"/>
          </w:tcPr>
          <w:p>
            <w:pPr>
              <w:pStyle w:val="nTable"/>
              <w:spacing w:after="40"/>
              <w:rPr>
                <w:snapToGrid w:val="0"/>
              </w:rPr>
            </w:pPr>
            <w:r>
              <w:rPr>
                <w:snapToGrid w:val="0"/>
              </w:rPr>
              <w:t>59 of 2004</w:t>
            </w:r>
          </w:p>
        </w:tc>
        <w:tc>
          <w:tcPr>
            <w:tcW w:w="1161" w:type="dxa"/>
          </w:tcPr>
          <w:p>
            <w:pPr>
              <w:pStyle w:val="nTable"/>
              <w:spacing w:after="40"/>
            </w:pPr>
            <w:r>
              <w:t>23 Nov 2004</w:t>
            </w:r>
          </w:p>
        </w:tc>
        <w:tc>
          <w:tcPr>
            <w:tcW w:w="2613"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323"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61" w:type="dxa"/>
          </w:tcPr>
          <w:p>
            <w:pPr>
              <w:pStyle w:val="nTable"/>
              <w:spacing w:after="40"/>
              <w:rPr>
                <w:snapToGrid w:val="0"/>
              </w:rPr>
            </w:pPr>
            <w:r>
              <w:rPr>
                <w:snapToGrid w:val="0"/>
              </w:rPr>
              <w:t>84 of 2004</w:t>
            </w:r>
          </w:p>
        </w:tc>
        <w:tc>
          <w:tcPr>
            <w:tcW w:w="1161" w:type="dxa"/>
          </w:tcPr>
          <w:p>
            <w:pPr>
              <w:pStyle w:val="nTable"/>
              <w:spacing w:after="40"/>
            </w:pPr>
            <w:r>
              <w:t>16 Dec 2004</w:t>
            </w:r>
          </w:p>
        </w:tc>
        <w:tc>
          <w:tcPr>
            <w:tcW w:w="2613"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258" w:type="dxa"/>
            <w:gridSpan w:val="4"/>
          </w:tcPr>
          <w:p>
            <w:pPr>
              <w:pStyle w:val="nTable"/>
              <w:spacing w:after="40"/>
              <w:rPr>
                <w:snapToGrid w:val="0"/>
              </w:rPr>
            </w:pPr>
            <w:r>
              <w:rPr>
                <w:b/>
              </w:rPr>
              <w:t>Reprint 11: The</w:t>
            </w:r>
            <w:r>
              <w:rPr>
                <w:b/>
                <w:i/>
              </w:rPr>
              <w:t xml:space="preserve"> Motor Vehicle (Third Party Insurance) Act 1943</w:t>
            </w:r>
            <w:r>
              <w:rPr>
                <w:b/>
              </w:rPr>
              <w:t xml:space="preserve"> as at 2 Dec 2005</w:t>
            </w:r>
            <w:r>
              <w:t xml:space="preserve"> (includes amendments listed above)</w:t>
            </w:r>
          </w:p>
        </w:tc>
      </w:tr>
      <w:tr>
        <w:trPr>
          <w:cantSplit/>
        </w:trPr>
        <w:tc>
          <w:tcPr>
            <w:tcW w:w="2323" w:type="dxa"/>
          </w:tcPr>
          <w:p>
            <w:pPr>
              <w:pStyle w:val="nTable"/>
              <w:spacing w:after="40"/>
              <w:rPr>
                <w:snapToGrid w:val="0"/>
              </w:rPr>
            </w:pPr>
            <w:r>
              <w:rPr>
                <w:i/>
                <w:snapToGrid w:val="0"/>
              </w:rPr>
              <w:t>Motor Vehicle (Third Party Insurance) Amendment Act 2006</w:t>
            </w:r>
            <w:r>
              <w:rPr>
                <w:snapToGrid w:val="0"/>
              </w:rPr>
              <w:t xml:space="preserve"> </w:t>
            </w:r>
          </w:p>
        </w:tc>
        <w:tc>
          <w:tcPr>
            <w:tcW w:w="1161" w:type="dxa"/>
          </w:tcPr>
          <w:p>
            <w:pPr>
              <w:pStyle w:val="nTable"/>
              <w:spacing w:after="40"/>
              <w:rPr>
                <w:snapToGrid w:val="0"/>
              </w:rPr>
            </w:pPr>
            <w:r>
              <w:rPr>
                <w:snapToGrid w:val="0"/>
              </w:rPr>
              <w:t>15 of 2006</w:t>
            </w:r>
          </w:p>
        </w:tc>
        <w:tc>
          <w:tcPr>
            <w:tcW w:w="1161" w:type="dxa"/>
          </w:tcPr>
          <w:p>
            <w:pPr>
              <w:pStyle w:val="nTable"/>
              <w:spacing w:after="40"/>
            </w:pPr>
            <w:r>
              <w:t>17 May 2006</w:t>
            </w:r>
          </w:p>
        </w:tc>
        <w:tc>
          <w:tcPr>
            <w:tcW w:w="2613" w:type="dxa"/>
          </w:tcPr>
          <w:p>
            <w:pPr>
              <w:pStyle w:val="nTable"/>
              <w:spacing w:after="40"/>
            </w:pPr>
            <w:r>
              <w:t>Act other than s. 5: 17 May 2006 (see s. 2(1));</w:t>
            </w:r>
            <w:r>
              <w:br/>
              <w:t xml:space="preserve">s. 5: 1 Jul 2006 (see s. 2(2) and </w:t>
            </w:r>
            <w:r>
              <w:rPr>
                <w:i/>
              </w:rPr>
              <w:t xml:space="preserve">Gazette </w:t>
            </w:r>
            <w:r>
              <w:t>16 Jun 2006 p. 2109)</w:t>
            </w:r>
          </w:p>
        </w:tc>
      </w:tr>
      <w:tr>
        <w:trPr>
          <w:cantSplit/>
        </w:trPr>
        <w:tc>
          <w:tcPr>
            <w:tcW w:w="2323" w:type="dxa"/>
          </w:tcPr>
          <w:p>
            <w:pPr>
              <w:pStyle w:val="nTable"/>
              <w:spacing w:after="40"/>
              <w:rPr>
                <w:i/>
                <w:snapToGrid w:val="0"/>
                <w:spacing w:val="6"/>
              </w:rPr>
            </w:pPr>
            <w:r>
              <w:rPr>
                <w:i/>
                <w:snapToGrid w:val="0"/>
              </w:rPr>
              <w:t xml:space="preserve">Financial Legislation Amendment and Repeal Act 2006 </w:t>
            </w:r>
            <w:r>
              <w:rPr>
                <w:snapToGrid w:val="0"/>
              </w:rPr>
              <w:t xml:space="preserve">s. 4 </w:t>
            </w:r>
          </w:p>
        </w:tc>
        <w:tc>
          <w:tcPr>
            <w:tcW w:w="1161" w:type="dxa"/>
          </w:tcPr>
          <w:p>
            <w:pPr>
              <w:pStyle w:val="nTable"/>
              <w:spacing w:after="40"/>
              <w:rPr>
                <w:snapToGrid w:val="0"/>
              </w:rPr>
            </w:pPr>
            <w:r>
              <w:rPr>
                <w:snapToGrid w:val="0"/>
              </w:rPr>
              <w:t xml:space="preserve">77 of 2006 </w:t>
            </w:r>
          </w:p>
        </w:tc>
        <w:tc>
          <w:tcPr>
            <w:tcW w:w="1161" w:type="dxa"/>
          </w:tcPr>
          <w:p>
            <w:pPr>
              <w:pStyle w:val="nTable"/>
              <w:spacing w:after="40"/>
            </w:pPr>
            <w:r>
              <w:rPr>
                <w:snapToGrid w:val="0"/>
              </w:rPr>
              <w:t>21 Dec 2006</w:t>
            </w:r>
          </w:p>
        </w:tc>
        <w:tc>
          <w:tcPr>
            <w:tcW w:w="2613"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323" w:type="dxa"/>
          </w:tcPr>
          <w:p>
            <w:pPr>
              <w:pStyle w:val="nTable"/>
              <w:spacing w:after="40"/>
              <w:rPr>
                <w:i/>
                <w:snapToGrid w:val="0"/>
              </w:rPr>
            </w:pPr>
            <w:r>
              <w:rPr>
                <w:i/>
              </w:rPr>
              <w:t>Duties Legislation Amendment Act 2008</w:t>
            </w:r>
            <w:r>
              <w:rPr>
                <w:iCs/>
              </w:rPr>
              <w:t xml:space="preserve"> Sch. 1 cl. 23</w:t>
            </w:r>
          </w:p>
        </w:tc>
        <w:tc>
          <w:tcPr>
            <w:tcW w:w="1161" w:type="dxa"/>
          </w:tcPr>
          <w:p>
            <w:pPr>
              <w:pStyle w:val="nTable"/>
              <w:spacing w:after="40"/>
              <w:rPr>
                <w:snapToGrid w:val="0"/>
              </w:rPr>
            </w:pPr>
            <w:r>
              <w:t>12 of 2008</w:t>
            </w:r>
          </w:p>
        </w:tc>
        <w:tc>
          <w:tcPr>
            <w:tcW w:w="1161" w:type="dxa"/>
          </w:tcPr>
          <w:p>
            <w:pPr>
              <w:pStyle w:val="nTable"/>
              <w:spacing w:after="40"/>
              <w:rPr>
                <w:snapToGrid w:val="0"/>
              </w:rPr>
            </w:pPr>
            <w:r>
              <w:t>14 Apr 2008</w:t>
            </w:r>
          </w:p>
        </w:tc>
        <w:tc>
          <w:tcPr>
            <w:tcW w:w="2613" w:type="dxa"/>
          </w:tcPr>
          <w:p>
            <w:pPr>
              <w:pStyle w:val="nTable"/>
              <w:spacing w:after="40"/>
              <w:rPr>
                <w:snapToGrid w:val="0"/>
              </w:rPr>
            </w:pPr>
            <w:r>
              <w:t>1 Jul 2008 (see s. 2(d))</w:t>
            </w:r>
          </w:p>
        </w:tc>
      </w:tr>
      <w:tr>
        <w:trPr>
          <w:cantSplit/>
        </w:trPr>
        <w:tc>
          <w:tcPr>
            <w:tcW w:w="2323" w:type="dxa"/>
          </w:tcPr>
          <w:p>
            <w:pPr>
              <w:pStyle w:val="nTable"/>
              <w:spacing w:after="40"/>
              <w:rPr>
                <w:i/>
              </w:rPr>
            </w:pPr>
            <w:r>
              <w:rPr>
                <w:i/>
                <w:iCs/>
                <w:snapToGrid w:val="0"/>
              </w:rPr>
              <w:t>Legal Profession Act 2008</w:t>
            </w:r>
            <w:r>
              <w:rPr>
                <w:snapToGrid w:val="0"/>
              </w:rPr>
              <w:t xml:space="preserve"> s. 682 </w:t>
            </w:r>
          </w:p>
        </w:tc>
        <w:tc>
          <w:tcPr>
            <w:tcW w:w="1161" w:type="dxa"/>
          </w:tcPr>
          <w:p>
            <w:pPr>
              <w:pStyle w:val="nTable"/>
              <w:spacing w:after="40"/>
            </w:pPr>
            <w:r>
              <w:rPr>
                <w:snapToGrid w:val="0"/>
              </w:rPr>
              <w:t>21 of 2008</w:t>
            </w:r>
          </w:p>
        </w:tc>
        <w:tc>
          <w:tcPr>
            <w:tcW w:w="1161" w:type="dxa"/>
          </w:tcPr>
          <w:p>
            <w:pPr>
              <w:pStyle w:val="nTable"/>
              <w:spacing w:after="40"/>
            </w:pPr>
            <w:r>
              <w:rPr>
                <w:snapToGrid w:val="0"/>
              </w:rPr>
              <w:t>27 May 2008</w:t>
            </w:r>
          </w:p>
        </w:tc>
        <w:tc>
          <w:tcPr>
            <w:tcW w:w="2613" w:type="dxa"/>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7258" w:type="dxa"/>
            <w:gridSpan w:val="4"/>
          </w:tcPr>
          <w:p>
            <w:pPr>
              <w:pStyle w:val="nTable"/>
              <w:spacing w:after="40"/>
              <w:rPr>
                <w:snapToGrid w:val="0"/>
                <w:spacing w:val="-2"/>
              </w:rPr>
            </w:pPr>
            <w:r>
              <w:rPr>
                <w:b/>
              </w:rPr>
              <w:t>Reprint 12: The</w:t>
            </w:r>
            <w:r>
              <w:rPr>
                <w:b/>
                <w:i/>
              </w:rPr>
              <w:t xml:space="preserve"> Motor Vehicle (Third Party Insurance) Act 1943</w:t>
            </w:r>
            <w:r>
              <w:rPr>
                <w:b/>
              </w:rPr>
              <w:t xml:space="preserve"> as at 24 Apr 2009</w:t>
            </w:r>
            <w:r>
              <w:t xml:space="preserve"> (includes amendments listed above)</w:t>
            </w:r>
          </w:p>
        </w:tc>
      </w:tr>
      <w:tr>
        <w:trPr>
          <w:cantSplit/>
        </w:trPr>
        <w:tc>
          <w:tcPr>
            <w:tcW w:w="2323" w:type="dxa"/>
          </w:tcPr>
          <w:p>
            <w:pPr>
              <w:pStyle w:val="nTable"/>
              <w:spacing w:after="40"/>
              <w:ind w:right="113"/>
              <w:rPr>
                <w:iCs/>
                <w:snapToGrid w:val="0"/>
              </w:rPr>
            </w:pPr>
            <w:r>
              <w:rPr>
                <w:i/>
                <w:snapToGrid w:val="0"/>
              </w:rPr>
              <w:lastRenderedPageBreak/>
              <w:t>Standardisation of Formatting Act 2010</w:t>
            </w:r>
            <w:r>
              <w:rPr>
                <w:iCs/>
                <w:snapToGrid w:val="0"/>
              </w:rPr>
              <w:t xml:space="preserve"> s. 23 and 51</w:t>
            </w:r>
          </w:p>
        </w:tc>
        <w:tc>
          <w:tcPr>
            <w:tcW w:w="1161" w:type="dxa"/>
          </w:tcPr>
          <w:p>
            <w:pPr>
              <w:pStyle w:val="nTable"/>
              <w:spacing w:after="40"/>
              <w:rPr>
                <w:snapToGrid w:val="0"/>
              </w:rPr>
            </w:pPr>
            <w:r>
              <w:rPr>
                <w:snapToGrid w:val="0"/>
              </w:rPr>
              <w:t>19 of 2010</w:t>
            </w:r>
          </w:p>
        </w:tc>
        <w:tc>
          <w:tcPr>
            <w:tcW w:w="1161" w:type="dxa"/>
          </w:tcPr>
          <w:p>
            <w:pPr>
              <w:pStyle w:val="nTable"/>
              <w:spacing w:after="40"/>
              <w:rPr>
                <w:snapToGrid w:val="0"/>
              </w:rPr>
            </w:pPr>
            <w:r>
              <w:rPr>
                <w:snapToGrid w:val="0"/>
              </w:rPr>
              <w:t>28 Jun 2010</w:t>
            </w:r>
          </w:p>
        </w:tc>
        <w:tc>
          <w:tcPr>
            <w:tcW w:w="261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323" w:type="dxa"/>
          </w:tcPr>
          <w:p>
            <w:pPr>
              <w:pStyle w:val="nTable"/>
              <w:spacing w:after="40"/>
              <w:ind w:right="113"/>
              <w:rPr>
                <w:i/>
                <w:snapToGrid w:val="0"/>
              </w:rPr>
            </w:pPr>
            <w:r>
              <w:rPr>
                <w:i/>
                <w:snapToGrid w:val="0"/>
              </w:rPr>
              <w:t xml:space="preserve">Road Traffic Legislation Amendment Act 2012 </w:t>
            </w:r>
            <w:r>
              <w:rPr>
                <w:snapToGrid w:val="0"/>
              </w:rPr>
              <w:t>Pt. 4 Div. 34</w:t>
            </w:r>
          </w:p>
        </w:tc>
        <w:tc>
          <w:tcPr>
            <w:tcW w:w="1161" w:type="dxa"/>
          </w:tcPr>
          <w:p>
            <w:pPr>
              <w:pStyle w:val="nTable"/>
              <w:spacing w:after="40"/>
              <w:rPr>
                <w:snapToGrid w:val="0"/>
              </w:rPr>
            </w:pPr>
            <w:r>
              <w:rPr>
                <w:snapToGrid w:val="0"/>
              </w:rPr>
              <w:t>8 of 2012</w:t>
            </w:r>
          </w:p>
        </w:tc>
        <w:tc>
          <w:tcPr>
            <w:tcW w:w="1161" w:type="dxa"/>
          </w:tcPr>
          <w:p>
            <w:pPr>
              <w:pStyle w:val="nTable"/>
              <w:spacing w:after="40"/>
              <w:rPr>
                <w:snapToGrid w:val="0"/>
              </w:rPr>
            </w:pPr>
            <w:r>
              <w:t>21 May 2012</w:t>
            </w:r>
          </w:p>
        </w:tc>
        <w:tc>
          <w:tcPr>
            <w:tcW w:w="2613"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323" w:type="dxa"/>
          </w:tcPr>
          <w:p>
            <w:pPr>
              <w:pStyle w:val="nTable"/>
              <w:spacing w:after="40"/>
              <w:ind w:right="113"/>
              <w:rPr>
                <w:snapToGrid w:val="0"/>
              </w:rPr>
            </w:pPr>
            <w:r>
              <w:rPr>
                <w:i/>
                <w:snapToGrid w:val="0"/>
              </w:rPr>
              <w:t xml:space="preserve">Motor Vehicle (Catastrophic Injuries) Act 2016 </w:t>
            </w:r>
            <w:r>
              <w:rPr>
                <w:snapToGrid w:val="0"/>
              </w:rPr>
              <w:t>Pt. 7 Div. 3</w:t>
            </w:r>
          </w:p>
        </w:tc>
        <w:tc>
          <w:tcPr>
            <w:tcW w:w="1161" w:type="dxa"/>
          </w:tcPr>
          <w:p>
            <w:pPr>
              <w:pStyle w:val="nTable"/>
              <w:spacing w:after="40"/>
              <w:rPr>
                <w:snapToGrid w:val="0"/>
              </w:rPr>
            </w:pPr>
            <w:r>
              <w:rPr>
                <w:snapToGrid w:val="0"/>
              </w:rPr>
              <w:t>8 of 2016</w:t>
            </w:r>
          </w:p>
        </w:tc>
        <w:tc>
          <w:tcPr>
            <w:tcW w:w="1161" w:type="dxa"/>
          </w:tcPr>
          <w:p>
            <w:pPr>
              <w:pStyle w:val="nTable"/>
              <w:spacing w:after="40"/>
            </w:pPr>
            <w:r>
              <w:t>14 Apr 2016</w:t>
            </w:r>
          </w:p>
        </w:tc>
        <w:tc>
          <w:tcPr>
            <w:tcW w:w="2613" w:type="dxa"/>
          </w:tcPr>
          <w:p>
            <w:pPr>
              <w:pStyle w:val="nTable"/>
              <w:spacing w:after="40"/>
              <w:rPr>
                <w:snapToGrid w:val="0"/>
              </w:rPr>
            </w:pPr>
            <w:r>
              <w:rPr>
                <w:snapToGrid w:val="0"/>
              </w:rPr>
              <w:t xml:space="preserve">14 May 2016 (see s. 2(b) and </w:t>
            </w:r>
            <w:r>
              <w:rPr>
                <w:i/>
                <w:snapToGrid w:val="0"/>
              </w:rPr>
              <w:t xml:space="preserve">Gazette </w:t>
            </w:r>
            <w:r>
              <w:rPr>
                <w:snapToGrid w:val="0"/>
              </w:rPr>
              <w:t>13 May 2016 p. 1421)</w:t>
            </w:r>
          </w:p>
        </w:tc>
      </w:tr>
      <w:tr>
        <w:trPr>
          <w:cantSplit/>
        </w:trPr>
        <w:tc>
          <w:tcPr>
            <w:tcW w:w="2323" w:type="dxa"/>
            <w:tcBorders>
              <w:bottom w:val="single" w:sz="4" w:space="0" w:color="auto"/>
            </w:tcBorders>
          </w:tcPr>
          <w:p>
            <w:pPr>
              <w:pStyle w:val="nTable"/>
              <w:spacing w:after="40"/>
              <w:ind w:right="113"/>
              <w:rPr>
                <w:i/>
                <w:snapToGrid w:val="0"/>
              </w:rPr>
            </w:pPr>
            <w:r>
              <w:rPr>
                <w:i/>
              </w:rPr>
              <w:t>Legal Profession Uniform Law Application Act 2022</w:t>
            </w:r>
            <w:r>
              <w:t xml:space="preserve"> s. 424</w:t>
            </w:r>
          </w:p>
        </w:tc>
        <w:tc>
          <w:tcPr>
            <w:tcW w:w="1161" w:type="dxa"/>
            <w:tcBorders>
              <w:bottom w:val="single" w:sz="4" w:space="0" w:color="auto"/>
            </w:tcBorders>
          </w:tcPr>
          <w:p>
            <w:pPr>
              <w:pStyle w:val="nTable"/>
              <w:spacing w:after="40"/>
              <w:rPr>
                <w:snapToGrid w:val="0"/>
              </w:rPr>
            </w:pPr>
            <w:r>
              <w:t>9 of 2022</w:t>
            </w:r>
          </w:p>
        </w:tc>
        <w:tc>
          <w:tcPr>
            <w:tcW w:w="1161" w:type="dxa"/>
            <w:tcBorders>
              <w:bottom w:val="single" w:sz="4" w:space="0" w:color="auto"/>
            </w:tcBorders>
          </w:tcPr>
          <w:p>
            <w:pPr>
              <w:pStyle w:val="nTable"/>
              <w:spacing w:after="40"/>
            </w:pPr>
            <w:r>
              <w:t>14 Apr 2022</w:t>
            </w:r>
          </w:p>
        </w:tc>
        <w:tc>
          <w:tcPr>
            <w:tcW w:w="2613"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56" w:name="_Toc161414781"/>
      <w:r>
        <w:t>Uncommenced provisions table</w:t>
      </w:r>
      <w:bookmarkEnd w:id="5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iCs/>
              </w:rPr>
              <w:t>Workers Compensation and Injury Management Act 2023</w:t>
            </w:r>
            <w:r>
              <w:t xml:space="preserve"> Pt. 15 Div. 3 Subdiv. 12</w:t>
            </w:r>
          </w:p>
        </w:tc>
        <w:tc>
          <w:tcPr>
            <w:tcW w:w="1134" w:type="dxa"/>
          </w:tcPr>
          <w:p>
            <w:pPr>
              <w:pStyle w:val="nTable"/>
              <w:spacing w:after="40"/>
            </w:pPr>
            <w:r>
              <w:t>21 of 2023</w:t>
            </w:r>
          </w:p>
        </w:tc>
        <w:tc>
          <w:tcPr>
            <w:tcW w:w="1134" w:type="dxa"/>
          </w:tcPr>
          <w:p>
            <w:pPr>
              <w:pStyle w:val="nTable"/>
              <w:spacing w:after="40"/>
              <w:rPr>
                <w:highlight w:val="yellow"/>
              </w:rPr>
            </w:pPr>
            <w:r>
              <w:t>24 Oct 2023</w:t>
            </w:r>
          </w:p>
        </w:tc>
        <w:tc>
          <w:tcPr>
            <w:tcW w:w="2552" w:type="dxa"/>
          </w:tcPr>
          <w:p>
            <w:pPr>
              <w:pStyle w:val="nTable"/>
              <w:spacing w:after="40"/>
            </w:pPr>
            <w:r>
              <w:rPr>
                <w:noProof/>
              </w:rPr>
              <w:t>1 Jul 2024</w:t>
            </w:r>
            <w:r>
              <w:t xml:space="preserve"> (see s. 2(d)</w:t>
            </w:r>
            <w:r>
              <w:rPr>
                <w:noProof/>
              </w:rPr>
              <w:t xml:space="preserve"> and SL 2024/34 cl. 2</w:t>
            </w:r>
            <w:r>
              <w:t>)</w:t>
            </w:r>
          </w:p>
        </w:tc>
      </w:tr>
    </w:tbl>
    <w:p>
      <w:pPr>
        <w:pStyle w:val="nHeading3"/>
      </w:pPr>
      <w:bookmarkStart w:id="57" w:name="_Toc161414782"/>
      <w:r>
        <w:t>Other notes</w:t>
      </w:r>
      <w:bookmarkEnd w:id="57"/>
    </w:p>
    <w:p>
      <w:pPr>
        <w:pStyle w:val="nNote"/>
        <w:keepNext/>
        <w:spacing w:before="120" w:after="60"/>
        <w:rPr>
          <w:snapToGrid w:val="0"/>
        </w:rPr>
      </w:pPr>
      <w:r>
        <w:rPr>
          <w:snapToGrid w:val="0"/>
          <w:vertAlign w:val="superscript"/>
        </w:rPr>
        <w:t>1</w:t>
      </w:r>
      <w:r>
        <w:rPr>
          <w:snapToGrid w:val="0"/>
        </w:rPr>
        <w:tab/>
        <w:t>For the purposes of s. 3C and 3D, the Amounts A, B, C and D for the financial years beginning after 30 June 1994 up to the date of this compilation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Note"/>
              <w:ind w:left="0" w:firstLine="0"/>
              <w:jc w:val="center"/>
              <w:rPr>
                <w:b/>
                <w:snapToGrid w:val="0"/>
                <w:sz w:val="18"/>
              </w:rPr>
            </w:pPr>
            <w:r>
              <w:rPr>
                <w:b/>
                <w:snapToGrid w:val="0"/>
                <w:sz w:val="18"/>
              </w:rPr>
              <w:t>Financial year beginning</w:t>
            </w:r>
          </w:p>
        </w:tc>
        <w:tc>
          <w:tcPr>
            <w:tcW w:w="1080" w:type="dxa"/>
          </w:tcPr>
          <w:p>
            <w:pPr>
              <w:pStyle w:val="nNote"/>
              <w:ind w:left="0" w:firstLine="0"/>
              <w:jc w:val="center"/>
              <w:rPr>
                <w:b/>
                <w:snapToGrid w:val="0"/>
                <w:sz w:val="18"/>
              </w:rPr>
            </w:pPr>
            <w:r>
              <w:rPr>
                <w:b/>
                <w:snapToGrid w:val="0"/>
                <w:sz w:val="18"/>
              </w:rPr>
              <w:t>Amount A</w:t>
            </w:r>
          </w:p>
        </w:tc>
        <w:tc>
          <w:tcPr>
            <w:tcW w:w="1080" w:type="dxa"/>
          </w:tcPr>
          <w:p>
            <w:pPr>
              <w:pStyle w:val="nNote"/>
              <w:ind w:left="0" w:firstLine="0"/>
              <w:jc w:val="center"/>
              <w:rPr>
                <w:b/>
                <w:snapToGrid w:val="0"/>
                <w:sz w:val="18"/>
              </w:rPr>
            </w:pPr>
            <w:r>
              <w:rPr>
                <w:b/>
                <w:snapToGrid w:val="0"/>
                <w:sz w:val="18"/>
              </w:rPr>
              <w:t>Amount B</w:t>
            </w:r>
          </w:p>
        </w:tc>
        <w:tc>
          <w:tcPr>
            <w:tcW w:w="1080" w:type="dxa"/>
          </w:tcPr>
          <w:p>
            <w:pPr>
              <w:pStyle w:val="nNote"/>
              <w:ind w:left="0" w:firstLine="0"/>
              <w:jc w:val="center"/>
              <w:rPr>
                <w:b/>
                <w:snapToGrid w:val="0"/>
                <w:sz w:val="18"/>
              </w:rPr>
            </w:pPr>
            <w:r>
              <w:rPr>
                <w:b/>
                <w:snapToGrid w:val="0"/>
                <w:sz w:val="18"/>
              </w:rPr>
              <w:t>Amount C</w:t>
            </w:r>
          </w:p>
        </w:tc>
        <w:tc>
          <w:tcPr>
            <w:tcW w:w="1080" w:type="dxa"/>
          </w:tcPr>
          <w:p>
            <w:pPr>
              <w:pStyle w:val="nNote"/>
              <w:ind w:left="0" w:firstLine="0"/>
              <w:jc w:val="center"/>
              <w:rPr>
                <w:b/>
                <w:snapToGrid w:val="0"/>
                <w:sz w:val="18"/>
              </w:rPr>
            </w:pPr>
            <w:r>
              <w:rPr>
                <w:b/>
                <w:snapToGrid w:val="0"/>
                <w:sz w:val="18"/>
              </w:rPr>
              <w:t>Amount D</w:t>
            </w:r>
          </w:p>
        </w:tc>
        <w:tc>
          <w:tcPr>
            <w:tcW w:w="1320" w:type="dxa"/>
          </w:tcPr>
          <w:p>
            <w:pPr>
              <w:pStyle w:val="nNote"/>
              <w:ind w:left="12" w:firstLine="0"/>
              <w:jc w:val="center"/>
              <w:rPr>
                <w:b/>
                <w:snapToGrid w:val="0"/>
                <w:sz w:val="18"/>
              </w:rPr>
            </w:pPr>
            <w:r>
              <w:rPr>
                <w:b/>
                <w:snapToGrid w:val="0"/>
                <w:sz w:val="18"/>
              </w:rPr>
              <w:t>Gazette</w:t>
            </w:r>
          </w:p>
        </w:tc>
      </w:tr>
      <w:tr>
        <w:tc>
          <w:tcPr>
            <w:tcW w:w="1440" w:type="dxa"/>
          </w:tcPr>
          <w:p>
            <w:pPr>
              <w:pStyle w:val="nNote"/>
              <w:ind w:left="0" w:firstLine="0"/>
              <w:rPr>
                <w:snapToGrid w:val="0"/>
                <w:sz w:val="18"/>
              </w:rPr>
            </w:pPr>
            <w:r>
              <w:rPr>
                <w:snapToGrid w:val="0"/>
                <w:sz w:val="18"/>
              </w:rPr>
              <w:t>1 July 1994</w:t>
            </w:r>
          </w:p>
        </w:tc>
        <w:tc>
          <w:tcPr>
            <w:tcW w:w="1080" w:type="dxa"/>
          </w:tcPr>
          <w:p>
            <w:pPr>
              <w:pStyle w:val="nNote"/>
              <w:ind w:left="0" w:firstLine="0"/>
              <w:rPr>
                <w:snapToGrid w:val="0"/>
                <w:sz w:val="18"/>
              </w:rPr>
            </w:pPr>
            <w:r>
              <w:rPr>
                <w:snapToGrid w:val="0"/>
                <w:sz w:val="18"/>
              </w:rPr>
              <w:t>$201 000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24 Jun 1994 p. 2944</w:t>
            </w:r>
          </w:p>
        </w:tc>
      </w:tr>
      <w:tr>
        <w:tc>
          <w:tcPr>
            <w:tcW w:w="1440" w:type="dxa"/>
          </w:tcPr>
          <w:p>
            <w:pPr>
              <w:pStyle w:val="nNote"/>
              <w:ind w:left="0" w:firstLine="0"/>
              <w:rPr>
                <w:snapToGrid w:val="0"/>
                <w:sz w:val="18"/>
              </w:rPr>
            </w:pPr>
            <w:r>
              <w:rPr>
                <w:snapToGrid w:val="0"/>
                <w:sz w:val="18"/>
              </w:rPr>
              <w:t>1 July 1995</w:t>
            </w:r>
          </w:p>
        </w:tc>
        <w:tc>
          <w:tcPr>
            <w:tcW w:w="1080" w:type="dxa"/>
          </w:tcPr>
          <w:p>
            <w:pPr>
              <w:pStyle w:val="nNote"/>
              <w:ind w:left="0" w:firstLine="0"/>
              <w:rPr>
                <w:snapToGrid w:val="0"/>
                <w:sz w:val="18"/>
              </w:rPr>
            </w:pPr>
            <w:r>
              <w:rPr>
                <w:snapToGrid w:val="0"/>
                <w:sz w:val="18"/>
              </w:rPr>
              <w:t>$204 000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$30 500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9 Jun 1995 p. 2285</w:t>
            </w:r>
          </w:p>
        </w:tc>
      </w:tr>
      <w:tr>
        <w:trPr>
          <w:cantSplit/>
        </w:trPr>
        <w:tc>
          <w:tcPr>
            <w:tcW w:w="1440" w:type="dxa"/>
          </w:tcPr>
          <w:p>
            <w:pPr>
              <w:pStyle w:val="nNote"/>
              <w:ind w:left="0" w:firstLine="0"/>
              <w:rPr>
                <w:snapToGrid w:val="0"/>
                <w:sz w:val="18"/>
              </w:rPr>
            </w:pPr>
            <w:r>
              <w:rPr>
                <w:snapToGrid w:val="0"/>
                <w:sz w:val="18"/>
              </w:rPr>
              <w:t>1 July 1996</w:t>
            </w:r>
          </w:p>
        </w:tc>
        <w:tc>
          <w:tcPr>
            <w:tcW w:w="1080" w:type="dxa"/>
          </w:tcPr>
          <w:p>
            <w:pPr>
              <w:pStyle w:val="nNote"/>
              <w:ind w:left="0" w:firstLine="0"/>
              <w:rPr>
                <w:snapToGrid w:val="0"/>
                <w:sz w:val="18"/>
              </w:rPr>
            </w:pPr>
            <w:r>
              <w:rPr>
                <w:snapToGrid w:val="0"/>
                <w:sz w:val="18"/>
              </w:rPr>
              <w:t>$207 000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7 Jun 1996 p. 2415</w:t>
            </w:r>
          </w:p>
        </w:tc>
      </w:tr>
      <w:tr>
        <w:tc>
          <w:tcPr>
            <w:tcW w:w="1440" w:type="dxa"/>
          </w:tcPr>
          <w:p>
            <w:pPr>
              <w:pStyle w:val="nNote"/>
              <w:ind w:left="0" w:firstLine="0"/>
              <w:rPr>
                <w:snapToGrid w:val="0"/>
                <w:sz w:val="18"/>
              </w:rPr>
            </w:pPr>
            <w:r>
              <w:rPr>
                <w:snapToGrid w:val="0"/>
                <w:sz w:val="18"/>
              </w:rPr>
              <w:lastRenderedPageBreak/>
              <w:t>1 July 1997</w:t>
            </w:r>
          </w:p>
        </w:tc>
        <w:tc>
          <w:tcPr>
            <w:tcW w:w="1080" w:type="dxa"/>
          </w:tcPr>
          <w:p>
            <w:pPr>
              <w:pStyle w:val="nNote"/>
              <w:ind w:left="0" w:firstLine="0"/>
              <w:rPr>
                <w:snapToGrid w:val="0"/>
                <w:sz w:val="18"/>
              </w:rPr>
            </w:pPr>
            <w:r>
              <w:rPr>
                <w:snapToGrid w:val="0"/>
                <w:sz w:val="18"/>
              </w:rPr>
              <w:t>$209 000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$31 500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6 Jun 1997 p. 2645</w:t>
            </w:r>
          </w:p>
        </w:tc>
      </w:tr>
      <w:tr>
        <w:tc>
          <w:tcPr>
            <w:tcW w:w="1440" w:type="dxa"/>
          </w:tcPr>
          <w:p>
            <w:pPr>
              <w:pStyle w:val="nNote"/>
              <w:ind w:left="0" w:firstLine="0"/>
              <w:rPr>
                <w:snapToGrid w:val="0"/>
                <w:sz w:val="18"/>
              </w:rPr>
            </w:pPr>
            <w:r>
              <w:rPr>
                <w:snapToGrid w:val="0"/>
                <w:sz w:val="18"/>
              </w:rPr>
              <w:t>1 July 1998</w:t>
            </w:r>
          </w:p>
        </w:tc>
        <w:tc>
          <w:tcPr>
            <w:tcW w:w="1080" w:type="dxa"/>
          </w:tcPr>
          <w:p>
            <w:pPr>
              <w:pStyle w:val="nNote"/>
              <w:ind w:left="0" w:firstLine="0"/>
              <w:rPr>
                <w:snapToGrid w:val="0"/>
                <w:sz w:val="18"/>
              </w:rPr>
            </w:pPr>
            <w:r>
              <w:rPr>
                <w:snapToGrid w:val="0"/>
                <w:sz w:val="18"/>
              </w:rPr>
              <w:t>$212 000</w:t>
            </w:r>
          </w:p>
        </w:tc>
        <w:tc>
          <w:tcPr>
            <w:tcW w:w="1080" w:type="dxa"/>
          </w:tcPr>
          <w:p>
            <w:pPr>
              <w:pStyle w:val="nNote"/>
              <w:ind w:left="0" w:firstLine="0"/>
              <w:rPr>
                <w:snapToGrid w:val="0"/>
                <w:sz w:val="18"/>
              </w:rPr>
            </w:pPr>
            <w:r>
              <w:rPr>
                <w:snapToGrid w:val="0"/>
                <w:sz w:val="18"/>
              </w:rPr>
              <w:t>$10 000</w:t>
            </w:r>
          </w:p>
        </w:tc>
        <w:tc>
          <w:tcPr>
            <w:tcW w:w="1080" w:type="dxa"/>
          </w:tcPr>
          <w:p>
            <w:pPr>
              <w:pStyle w:val="nNote"/>
              <w:ind w:left="0" w:firstLine="0"/>
              <w:rPr>
                <w:snapToGrid w:val="0"/>
                <w:sz w:val="18"/>
              </w:rPr>
            </w:pPr>
            <w:r>
              <w:rPr>
                <w:snapToGrid w:val="0"/>
                <w:sz w:val="18"/>
              </w:rPr>
              <w:t>$32 000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23 Jun 1998 p. 3339</w:t>
            </w:r>
          </w:p>
        </w:tc>
      </w:tr>
      <w:tr>
        <w:tc>
          <w:tcPr>
            <w:tcW w:w="1440" w:type="dxa"/>
          </w:tcPr>
          <w:p>
            <w:pPr>
              <w:pStyle w:val="nNote"/>
              <w:ind w:left="0" w:firstLine="0"/>
              <w:rPr>
                <w:snapToGrid w:val="0"/>
                <w:sz w:val="18"/>
              </w:rPr>
            </w:pPr>
            <w:r>
              <w:rPr>
                <w:snapToGrid w:val="0"/>
                <w:sz w:val="18"/>
              </w:rPr>
              <w:t>1 July 1999</w:t>
            </w:r>
          </w:p>
        </w:tc>
        <w:tc>
          <w:tcPr>
            <w:tcW w:w="1080" w:type="dxa"/>
          </w:tcPr>
          <w:p>
            <w:pPr>
              <w:pStyle w:val="nNote"/>
              <w:ind w:left="0" w:firstLine="0"/>
              <w:rPr>
                <w:snapToGrid w:val="0"/>
                <w:sz w:val="18"/>
              </w:rPr>
            </w:pPr>
            <w:r>
              <w:rPr>
                <w:snapToGrid w:val="0"/>
                <w:sz w:val="18"/>
              </w:rPr>
              <w:t>$219 000</w:t>
            </w:r>
          </w:p>
        </w:tc>
        <w:tc>
          <w:tcPr>
            <w:tcW w:w="1080" w:type="dxa"/>
          </w:tcPr>
          <w:p>
            <w:pPr>
              <w:pStyle w:val="nNote"/>
              <w:ind w:left="0" w:firstLine="0"/>
              <w:rPr>
                <w:snapToGrid w:val="0"/>
                <w:sz w:val="18"/>
              </w:rPr>
            </w:pPr>
            <w:r>
              <w:rPr>
                <w:snapToGrid w:val="0"/>
                <w:sz w:val="18"/>
              </w:rPr>
              <w:t>$10 500</w:t>
            </w:r>
          </w:p>
        </w:tc>
        <w:tc>
          <w:tcPr>
            <w:tcW w:w="1080" w:type="dxa"/>
          </w:tcPr>
          <w:p>
            <w:pPr>
              <w:pStyle w:val="nNote"/>
              <w:ind w:left="0" w:firstLine="0"/>
              <w:rPr>
                <w:snapToGrid w:val="0"/>
                <w:sz w:val="18"/>
              </w:rPr>
            </w:pPr>
            <w:r>
              <w:rPr>
                <w:snapToGrid w:val="0"/>
                <w:sz w:val="18"/>
              </w:rPr>
              <w:t>$33 000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25 Jun 1999 p. 2744</w:t>
            </w:r>
          </w:p>
        </w:tc>
      </w:tr>
      <w:tr>
        <w:tc>
          <w:tcPr>
            <w:tcW w:w="1440" w:type="dxa"/>
          </w:tcPr>
          <w:p>
            <w:pPr>
              <w:pStyle w:val="nNote"/>
              <w:ind w:left="0" w:firstLine="0"/>
              <w:rPr>
                <w:snapToGrid w:val="0"/>
                <w:sz w:val="18"/>
              </w:rPr>
            </w:pPr>
            <w:r>
              <w:rPr>
                <w:snapToGrid w:val="0"/>
                <w:sz w:val="18"/>
              </w:rPr>
              <w:t>1 July 2000</w:t>
            </w:r>
          </w:p>
        </w:tc>
        <w:tc>
          <w:tcPr>
            <w:tcW w:w="1080" w:type="dxa"/>
          </w:tcPr>
          <w:p>
            <w:pPr>
              <w:pStyle w:val="nNote"/>
              <w:ind w:left="0" w:firstLine="0"/>
              <w:rPr>
                <w:snapToGrid w:val="0"/>
                <w:sz w:val="18"/>
              </w:rPr>
            </w:pPr>
            <w:r>
              <w:rPr>
                <w:snapToGrid w:val="0"/>
                <w:sz w:val="18"/>
              </w:rPr>
              <w:t>$225 000</w:t>
            </w:r>
          </w:p>
        </w:tc>
        <w:tc>
          <w:tcPr>
            <w:tcW w:w="1080" w:type="dxa"/>
          </w:tcPr>
          <w:p>
            <w:pPr>
              <w:pStyle w:val="nNote"/>
              <w:ind w:left="0" w:firstLine="0"/>
              <w:rPr>
                <w:snapToGrid w:val="0"/>
                <w:sz w:val="18"/>
              </w:rPr>
            </w:pPr>
            <w:r>
              <w:rPr>
                <w:snapToGrid w:val="0"/>
                <w:sz w:val="18"/>
              </w:rPr>
              <w:t>$11 000</w:t>
            </w:r>
          </w:p>
        </w:tc>
        <w:tc>
          <w:tcPr>
            <w:tcW w:w="1080" w:type="dxa"/>
          </w:tcPr>
          <w:p>
            <w:pPr>
              <w:pStyle w:val="nNote"/>
              <w:ind w:left="0" w:firstLine="0"/>
              <w:rPr>
                <w:snapToGrid w:val="0"/>
                <w:sz w:val="18"/>
              </w:rPr>
            </w:pPr>
            <w:r>
              <w:rPr>
                <w:snapToGrid w:val="0"/>
                <w:sz w:val="18"/>
              </w:rPr>
              <w:t>$34 000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19 May 2000 p. 2441</w:t>
            </w:r>
          </w:p>
        </w:tc>
      </w:tr>
      <w:tr>
        <w:tc>
          <w:tcPr>
            <w:tcW w:w="1440" w:type="dxa"/>
          </w:tcPr>
          <w:p>
            <w:pPr>
              <w:pStyle w:val="nNote"/>
              <w:ind w:left="0" w:firstLine="0"/>
              <w:rPr>
                <w:snapToGrid w:val="0"/>
                <w:sz w:val="18"/>
              </w:rPr>
            </w:pPr>
            <w:r>
              <w:rPr>
                <w:snapToGrid w:val="0"/>
                <w:sz w:val="18"/>
              </w:rPr>
              <w:t>1 July 2001</w:t>
            </w:r>
          </w:p>
        </w:tc>
        <w:tc>
          <w:tcPr>
            <w:tcW w:w="1080" w:type="dxa"/>
          </w:tcPr>
          <w:p>
            <w:pPr>
              <w:pStyle w:val="nNote"/>
              <w:ind w:left="0" w:firstLine="0"/>
              <w:rPr>
                <w:snapToGrid w:val="0"/>
                <w:sz w:val="18"/>
              </w:rPr>
            </w:pPr>
            <w:r>
              <w:rPr>
                <w:snapToGrid w:val="0"/>
                <w:sz w:val="18"/>
              </w:rPr>
              <w:t>$232 000</w:t>
            </w:r>
          </w:p>
        </w:tc>
        <w:tc>
          <w:tcPr>
            <w:tcW w:w="1080" w:type="dxa"/>
          </w:tcPr>
          <w:p>
            <w:pPr>
              <w:pStyle w:val="nNote"/>
              <w:ind w:left="0" w:firstLine="0"/>
              <w:rPr>
                <w:snapToGrid w:val="0"/>
                <w:sz w:val="18"/>
              </w:rPr>
            </w:pPr>
            <w:r>
              <w:rPr>
                <w:snapToGrid w:val="0"/>
                <w:sz w:val="18"/>
              </w:rPr>
              <w:t>$11 500</w:t>
            </w:r>
          </w:p>
        </w:tc>
        <w:tc>
          <w:tcPr>
            <w:tcW w:w="1080" w:type="dxa"/>
          </w:tcPr>
          <w:p>
            <w:pPr>
              <w:pStyle w:val="nNote"/>
              <w:ind w:left="0" w:firstLine="0"/>
              <w:rPr>
                <w:snapToGrid w:val="0"/>
                <w:sz w:val="18"/>
              </w:rPr>
            </w:pPr>
            <w:r>
              <w:rPr>
                <w:snapToGrid w:val="0"/>
                <w:sz w:val="18"/>
              </w:rPr>
              <w:t>$35 000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Jun 2001 p. 3029</w:t>
            </w:r>
          </w:p>
        </w:tc>
      </w:tr>
      <w:tr>
        <w:tc>
          <w:tcPr>
            <w:tcW w:w="1440" w:type="dxa"/>
          </w:tcPr>
          <w:p>
            <w:pPr>
              <w:pStyle w:val="nNote"/>
              <w:ind w:left="0" w:firstLine="0"/>
              <w:rPr>
                <w:snapToGrid w:val="0"/>
                <w:sz w:val="18"/>
              </w:rPr>
            </w:pPr>
            <w:r>
              <w:rPr>
                <w:snapToGrid w:val="0"/>
                <w:sz w:val="18"/>
              </w:rPr>
              <w:t>1 July 2002</w:t>
            </w:r>
          </w:p>
        </w:tc>
        <w:tc>
          <w:tcPr>
            <w:tcW w:w="1080" w:type="dxa"/>
          </w:tcPr>
          <w:p>
            <w:pPr>
              <w:pStyle w:val="nNote"/>
              <w:ind w:left="0" w:firstLine="0"/>
              <w:rPr>
                <w:snapToGrid w:val="0"/>
                <w:sz w:val="18"/>
              </w:rPr>
            </w:pPr>
            <w:r>
              <w:rPr>
                <w:snapToGrid w:val="0"/>
                <w:sz w:val="18"/>
              </w:rPr>
              <w:t>$240 000</w:t>
            </w:r>
          </w:p>
        </w:tc>
        <w:tc>
          <w:tcPr>
            <w:tcW w:w="1080" w:type="dxa"/>
          </w:tcPr>
          <w:p>
            <w:pPr>
              <w:pStyle w:val="nNote"/>
              <w:ind w:left="0" w:firstLine="0"/>
              <w:rPr>
                <w:snapToGrid w:val="0"/>
                <w:sz w:val="18"/>
              </w:rPr>
            </w:pPr>
            <w:r>
              <w:rPr>
                <w:snapToGrid w:val="0"/>
                <w:sz w:val="18"/>
              </w:rPr>
              <w:t>$12 000</w:t>
            </w:r>
          </w:p>
        </w:tc>
        <w:tc>
          <w:tcPr>
            <w:tcW w:w="1080" w:type="dxa"/>
          </w:tcPr>
          <w:p>
            <w:pPr>
              <w:pStyle w:val="nNote"/>
              <w:ind w:left="0" w:firstLine="0"/>
              <w:rPr>
                <w:snapToGrid w:val="0"/>
                <w:sz w:val="18"/>
              </w:rPr>
            </w:pPr>
            <w:r>
              <w:rPr>
                <w:snapToGrid w:val="0"/>
                <w:sz w:val="18"/>
              </w:rPr>
              <w:t>$36 500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28 May 2002 p. 2651</w:t>
            </w:r>
          </w:p>
        </w:tc>
      </w:tr>
      <w:tr>
        <w:tc>
          <w:tcPr>
            <w:tcW w:w="1440" w:type="dxa"/>
          </w:tcPr>
          <w:p>
            <w:pPr>
              <w:pStyle w:val="nNote"/>
              <w:ind w:left="0" w:firstLine="0"/>
              <w:rPr>
                <w:snapToGrid w:val="0"/>
                <w:sz w:val="18"/>
              </w:rPr>
            </w:pPr>
            <w:r>
              <w:rPr>
                <w:snapToGrid w:val="0"/>
                <w:sz w:val="18"/>
              </w:rPr>
              <w:t>1 July 2003</w:t>
            </w:r>
          </w:p>
        </w:tc>
        <w:tc>
          <w:tcPr>
            <w:tcW w:w="1080" w:type="dxa"/>
          </w:tcPr>
          <w:p>
            <w:pPr>
              <w:pStyle w:val="nNote"/>
              <w:keepNext/>
              <w:ind w:left="0" w:firstLine="0"/>
              <w:rPr>
                <w:snapToGrid w:val="0"/>
                <w:sz w:val="18"/>
              </w:rPr>
            </w:pPr>
            <w:r>
              <w:rPr>
                <w:snapToGrid w:val="0"/>
                <w:sz w:val="18"/>
              </w:rPr>
              <w:t>$249 000</w:t>
            </w:r>
          </w:p>
        </w:tc>
        <w:tc>
          <w:tcPr>
            <w:tcW w:w="1080" w:type="dxa"/>
          </w:tcPr>
          <w:p>
            <w:pPr>
              <w:pStyle w:val="nNote"/>
              <w:keepNext/>
              <w:ind w:left="0" w:firstLine="0"/>
              <w:rPr>
                <w:snapToGrid w:val="0"/>
                <w:sz w:val="18"/>
              </w:rPr>
            </w:pPr>
            <w:r>
              <w:rPr>
                <w:snapToGrid w:val="0"/>
                <w:sz w:val="18"/>
              </w:rPr>
              <w:t>$12 500</w:t>
            </w:r>
          </w:p>
        </w:tc>
        <w:tc>
          <w:tcPr>
            <w:tcW w:w="1080" w:type="dxa"/>
          </w:tcPr>
          <w:p>
            <w:pPr>
              <w:pStyle w:val="nNote"/>
              <w:keepNext/>
              <w:ind w:left="0" w:firstLine="0"/>
              <w:rPr>
                <w:snapToGrid w:val="0"/>
                <w:sz w:val="18"/>
              </w:rPr>
            </w:pPr>
            <w:r>
              <w:rPr>
                <w:snapToGrid w:val="0"/>
                <w:sz w:val="18"/>
              </w:rPr>
              <w:t>$38 000</w:t>
            </w:r>
          </w:p>
        </w:tc>
        <w:tc>
          <w:tcPr>
            <w:tcW w:w="1080" w:type="dxa"/>
          </w:tcPr>
          <w:p>
            <w:pPr>
              <w:pStyle w:val="nNote"/>
              <w:keepNext/>
              <w:ind w:left="0" w:firstLine="0"/>
              <w:rPr>
                <w:snapToGrid w:val="0"/>
                <w:sz w:val="18"/>
              </w:rPr>
            </w:pPr>
            <w:r>
              <w:rPr>
                <w:snapToGrid w:val="0"/>
                <w:sz w:val="18"/>
              </w:rPr>
              <w:t>$5 000</w:t>
            </w:r>
          </w:p>
        </w:tc>
        <w:tc>
          <w:tcPr>
            <w:tcW w:w="1320" w:type="dxa"/>
          </w:tcPr>
          <w:p>
            <w:pPr>
              <w:pStyle w:val="nNote"/>
              <w:keepNext/>
              <w:ind w:left="12" w:firstLine="0"/>
              <w:rPr>
                <w:snapToGrid w:val="0"/>
                <w:sz w:val="18"/>
              </w:rPr>
            </w:pPr>
            <w:r>
              <w:rPr>
                <w:snapToGrid w:val="0"/>
                <w:sz w:val="18"/>
              </w:rPr>
              <w:t>23 May 2003 p. 1830</w:t>
            </w:r>
          </w:p>
        </w:tc>
      </w:tr>
      <w:tr>
        <w:tc>
          <w:tcPr>
            <w:tcW w:w="1440" w:type="dxa"/>
          </w:tcPr>
          <w:p>
            <w:pPr>
              <w:pStyle w:val="nNote"/>
              <w:ind w:left="0" w:firstLine="0"/>
              <w:rPr>
                <w:snapToGrid w:val="0"/>
                <w:sz w:val="18"/>
              </w:rPr>
            </w:pPr>
            <w:r>
              <w:rPr>
                <w:snapToGrid w:val="0"/>
                <w:sz w:val="18"/>
              </w:rPr>
              <w:t>1 July 2004</w:t>
            </w:r>
          </w:p>
        </w:tc>
        <w:tc>
          <w:tcPr>
            <w:tcW w:w="1080" w:type="dxa"/>
          </w:tcPr>
          <w:p>
            <w:pPr>
              <w:pStyle w:val="nNote"/>
              <w:keepNext/>
              <w:keepLines/>
              <w:ind w:left="0" w:firstLine="0"/>
              <w:rPr>
                <w:snapToGrid w:val="0"/>
                <w:sz w:val="18"/>
              </w:rPr>
            </w:pPr>
            <w:r>
              <w:rPr>
                <w:snapToGrid w:val="0"/>
                <w:sz w:val="18"/>
              </w:rPr>
              <w:t>$257 000</w:t>
            </w:r>
          </w:p>
        </w:tc>
        <w:tc>
          <w:tcPr>
            <w:tcW w:w="1080" w:type="dxa"/>
          </w:tcPr>
          <w:p>
            <w:pPr>
              <w:pStyle w:val="nNote"/>
              <w:keepNext/>
              <w:keepLines/>
              <w:ind w:left="0" w:firstLine="0"/>
              <w:rPr>
                <w:snapToGrid w:val="0"/>
                <w:sz w:val="18"/>
              </w:rPr>
            </w:pPr>
            <w:r>
              <w:rPr>
                <w:snapToGrid w:val="0"/>
                <w:sz w:val="18"/>
              </w:rPr>
              <w:t>$13 000</w:t>
            </w:r>
          </w:p>
        </w:tc>
        <w:tc>
          <w:tcPr>
            <w:tcW w:w="1080" w:type="dxa"/>
          </w:tcPr>
          <w:p>
            <w:pPr>
              <w:pStyle w:val="nNote"/>
              <w:keepNext/>
              <w:keepLines/>
              <w:ind w:left="0" w:firstLine="0"/>
              <w:rPr>
                <w:snapToGrid w:val="0"/>
                <w:sz w:val="18"/>
              </w:rPr>
            </w:pPr>
            <w:r>
              <w:rPr>
                <w:snapToGrid w:val="0"/>
                <w:sz w:val="18"/>
              </w:rPr>
              <w:t>$39 500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14 May 2004 p. 1459</w:t>
            </w:r>
          </w:p>
        </w:tc>
      </w:tr>
      <w:tr>
        <w:tc>
          <w:tcPr>
            <w:tcW w:w="1440" w:type="dxa"/>
          </w:tcPr>
          <w:p>
            <w:pPr>
              <w:pStyle w:val="nNote"/>
              <w:ind w:left="0" w:firstLine="0"/>
              <w:rPr>
                <w:snapToGrid w:val="0"/>
                <w:sz w:val="18"/>
              </w:rPr>
            </w:pPr>
            <w:r>
              <w:rPr>
                <w:snapToGrid w:val="0"/>
                <w:sz w:val="18"/>
              </w:rPr>
              <w:t>1 July 2005</w:t>
            </w:r>
          </w:p>
        </w:tc>
        <w:tc>
          <w:tcPr>
            <w:tcW w:w="1080" w:type="dxa"/>
          </w:tcPr>
          <w:p>
            <w:pPr>
              <w:pStyle w:val="nNote"/>
              <w:ind w:left="0" w:firstLine="0"/>
              <w:rPr>
                <w:snapToGrid w:val="0"/>
                <w:sz w:val="18"/>
              </w:rPr>
            </w:pPr>
            <w:r>
              <w:rPr>
                <w:snapToGrid w:val="0"/>
                <w:sz w:val="18"/>
              </w:rPr>
              <w:t>$268 000</w:t>
            </w:r>
          </w:p>
        </w:tc>
        <w:tc>
          <w:tcPr>
            <w:tcW w:w="1080" w:type="dxa"/>
          </w:tcPr>
          <w:p>
            <w:pPr>
              <w:pStyle w:val="nNote"/>
              <w:ind w:left="0" w:firstLine="0"/>
              <w:rPr>
                <w:snapToGrid w:val="0"/>
                <w:sz w:val="18"/>
              </w:rPr>
            </w:pPr>
            <w:r>
              <w:rPr>
                <w:snapToGrid w:val="0"/>
                <w:sz w:val="18"/>
              </w:rPr>
              <w:t>$13 500</w:t>
            </w:r>
          </w:p>
        </w:tc>
        <w:tc>
          <w:tcPr>
            <w:tcW w:w="1080" w:type="dxa"/>
          </w:tcPr>
          <w:p>
            <w:pPr>
              <w:pStyle w:val="nNote"/>
              <w:ind w:left="0" w:firstLine="0"/>
              <w:rPr>
                <w:snapToGrid w:val="0"/>
                <w:sz w:val="18"/>
              </w:rPr>
            </w:pPr>
            <w:r>
              <w:rPr>
                <w:snapToGrid w:val="0"/>
                <w:sz w:val="18"/>
              </w:rPr>
              <w:t>$41 000</w:t>
            </w:r>
          </w:p>
        </w:tc>
        <w:tc>
          <w:tcPr>
            <w:tcW w:w="1080" w:type="dxa"/>
          </w:tcPr>
          <w:p>
            <w:pPr>
              <w:pStyle w:val="nNote"/>
              <w:ind w:left="0" w:firstLine="0"/>
              <w:rPr>
                <w:snapToGrid w:val="0"/>
                <w:sz w:val="18"/>
              </w:rPr>
            </w:pPr>
            <w:r>
              <w:rPr>
                <w:snapToGrid w:val="0"/>
                <w:sz w:val="18"/>
              </w:rPr>
              <w:t>$5 000</w:t>
            </w:r>
          </w:p>
        </w:tc>
        <w:tc>
          <w:tcPr>
            <w:tcW w:w="1320" w:type="dxa"/>
          </w:tcPr>
          <w:p>
            <w:pPr>
              <w:pStyle w:val="nNote"/>
              <w:ind w:left="12" w:firstLine="0"/>
              <w:rPr>
                <w:snapToGrid w:val="0"/>
                <w:sz w:val="18"/>
              </w:rPr>
            </w:pPr>
            <w:r>
              <w:rPr>
                <w:snapToGrid w:val="0"/>
                <w:sz w:val="18"/>
              </w:rPr>
              <w:t>22 Apr 2005 p. 1349</w:t>
            </w:r>
          </w:p>
        </w:tc>
      </w:tr>
      <w:tr>
        <w:tc>
          <w:tcPr>
            <w:tcW w:w="1440" w:type="dxa"/>
          </w:tcPr>
          <w:p>
            <w:pPr>
              <w:pStyle w:val="nNote"/>
              <w:ind w:left="0" w:firstLine="0"/>
              <w:rPr>
                <w:snapToGrid w:val="0"/>
                <w:sz w:val="18"/>
              </w:rPr>
            </w:pPr>
            <w:r>
              <w:rPr>
                <w:snapToGrid w:val="0"/>
                <w:sz w:val="18"/>
              </w:rPr>
              <w:t>1 July 2006</w:t>
            </w:r>
          </w:p>
        </w:tc>
        <w:tc>
          <w:tcPr>
            <w:tcW w:w="1080" w:type="dxa"/>
          </w:tcPr>
          <w:p>
            <w:pPr>
              <w:pStyle w:val="nNote"/>
              <w:keepNext/>
              <w:keepLines/>
              <w:ind w:left="0" w:firstLine="0"/>
              <w:rPr>
                <w:snapToGrid w:val="0"/>
                <w:sz w:val="18"/>
              </w:rPr>
            </w:pPr>
            <w:r>
              <w:rPr>
                <w:snapToGrid w:val="0"/>
                <w:sz w:val="18"/>
              </w:rPr>
              <w:t>$279 000</w:t>
            </w:r>
          </w:p>
        </w:tc>
        <w:tc>
          <w:tcPr>
            <w:tcW w:w="1080" w:type="dxa"/>
          </w:tcPr>
          <w:p>
            <w:pPr>
              <w:pStyle w:val="nNote"/>
              <w:keepNext/>
              <w:keepLines/>
              <w:ind w:left="0" w:firstLine="0"/>
              <w:rPr>
                <w:snapToGrid w:val="0"/>
                <w:sz w:val="18"/>
              </w:rPr>
            </w:pPr>
            <w:r>
              <w:rPr>
                <w:snapToGrid w:val="0"/>
                <w:sz w:val="18"/>
              </w:rPr>
              <w:t>$14 000</w:t>
            </w:r>
          </w:p>
        </w:tc>
        <w:tc>
          <w:tcPr>
            <w:tcW w:w="1080" w:type="dxa"/>
          </w:tcPr>
          <w:p>
            <w:pPr>
              <w:pStyle w:val="nNote"/>
              <w:keepNext/>
              <w:keepLines/>
              <w:ind w:left="0" w:firstLine="0"/>
              <w:rPr>
                <w:snapToGrid w:val="0"/>
                <w:sz w:val="18"/>
              </w:rPr>
            </w:pPr>
            <w:r>
              <w:rPr>
                <w:snapToGrid w:val="0"/>
                <w:sz w:val="18"/>
              </w:rPr>
              <w:t>$42 500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28 Apr 2006 p. 1670</w:t>
            </w:r>
          </w:p>
        </w:tc>
      </w:tr>
      <w:tr>
        <w:tc>
          <w:tcPr>
            <w:tcW w:w="1440" w:type="dxa"/>
          </w:tcPr>
          <w:p>
            <w:pPr>
              <w:pStyle w:val="nNote"/>
              <w:ind w:left="0" w:firstLine="0"/>
              <w:rPr>
                <w:snapToGrid w:val="0"/>
                <w:sz w:val="18"/>
              </w:rPr>
            </w:pPr>
            <w:r>
              <w:rPr>
                <w:snapToGrid w:val="0"/>
                <w:sz w:val="18"/>
              </w:rPr>
              <w:t>1 July 2007</w:t>
            </w:r>
          </w:p>
        </w:tc>
        <w:tc>
          <w:tcPr>
            <w:tcW w:w="1080" w:type="dxa"/>
          </w:tcPr>
          <w:p>
            <w:pPr>
              <w:pStyle w:val="nNote"/>
              <w:keepNext/>
              <w:keepLines/>
              <w:ind w:left="0" w:firstLine="0"/>
              <w:rPr>
                <w:snapToGrid w:val="0"/>
                <w:sz w:val="18"/>
              </w:rPr>
            </w:pPr>
            <w:r>
              <w:rPr>
                <w:snapToGrid w:val="0"/>
                <w:sz w:val="18"/>
              </w:rPr>
              <w:t>$292 000</w:t>
            </w:r>
          </w:p>
        </w:tc>
        <w:tc>
          <w:tcPr>
            <w:tcW w:w="1080" w:type="dxa"/>
          </w:tcPr>
          <w:p>
            <w:pPr>
              <w:pStyle w:val="nNote"/>
              <w:keepNext/>
              <w:keepLines/>
              <w:ind w:left="0" w:firstLine="0"/>
              <w:rPr>
                <w:snapToGrid w:val="0"/>
                <w:sz w:val="18"/>
              </w:rPr>
            </w:pPr>
            <w:r>
              <w:rPr>
                <w:snapToGrid w:val="0"/>
                <w:sz w:val="18"/>
              </w:rPr>
              <w:t>$14 500</w:t>
            </w:r>
          </w:p>
        </w:tc>
        <w:tc>
          <w:tcPr>
            <w:tcW w:w="1080" w:type="dxa"/>
          </w:tcPr>
          <w:p>
            <w:pPr>
              <w:pStyle w:val="nNote"/>
              <w:keepNext/>
              <w:keepLines/>
              <w:ind w:left="0" w:firstLine="0"/>
              <w:rPr>
                <w:snapToGrid w:val="0"/>
                <w:sz w:val="18"/>
              </w:rPr>
            </w:pPr>
            <w:r>
              <w:rPr>
                <w:snapToGrid w:val="0"/>
                <w:sz w:val="18"/>
              </w:rPr>
              <w:t>$44 500</w:t>
            </w:r>
          </w:p>
        </w:tc>
        <w:tc>
          <w:tcPr>
            <w:tcW w:w="1080" w:type="dxa"/>
          </w:tcPr>
          <w:p>
            <w:pPr>
              <w:pStyle w:val="nNote"/>
              <w:keepNext/>
              <w:keepLines/>
              <w:ind w:left="0" w:firstLine="0"/>
              <w:rPr>
                <w:snapToGrid w:val="0"/>
                <w:sz w:val="18"/>
              </w:rPr>
            </w:pPr>
            <w:r>
              <w:rPr>
                <w:snapToGrid w:val="0"/>
                <w:sz w:val="18"/>
              </w:rPr>
              <w:t>$5 000</w:t>
            </w:r>
          </w:p>
        </w:tc>
        <w:tc>
          <w:tcPr>
            <w:tcW w:w="1320" w:type="dxa"/>
          </w:tcPr>
          <w:p>
            <w:pPr>
              <w:pStyle w:val="nNote"/>
              <w:keepNext/>
              <w:keepLines/>
              <w:ind w:left="12" w:firstLine="0"/>
              <w:rPr>
                <w:snapToGrid w:val="0"/>
                <w:sz w:val="18"/>
              </w:rPr>
            </w:pPr>
            <w:r>
              <w:rPr>
                <w:snapToGrid w:val="0"/>
                <w:sz w:val="18"/>
              </w:rPr>
              <w:t>3 Apr 2007 p. 1512</w:t>
            </w:r>
          </w:p>
        </w:tc>
      </w:tr>
      <w:tr>
        <w:tc>
          <w:tcPr>
            <w:tcW w:w="1440" w:type="dxa"/>
          </w:tcPr>
          <w:p>
            <w:pPr>
              <w:pStyle w:val="nNote"/>
              <w:ind w:left="0" w:firstLine="0"/>
              <w:rPr>
                <w:snapToGrid w:val="0"/>
                <w:sz w:val="18"/>
              </w:rPr>
            </w:pPr>
            <w:r>
              <w:rPr>
                <w:snapToGrid w:val="0"/>
                <w:sz w:val="18"/>
              </w:rPr>
              <w:t>1 July 2008</w:t>
            </w:r>
          </w:p>
        </w:tc>
        <w:tc>
          <w:tcPr>
            <w:tcW w:w="1080" w:type="dxa"/>
          </w:tcPr>
          <w:p>
            <w:pPr>
              <w:pStyle w:val="nNote"/>
              <w:ind w:left="0" w:firstLine="0"/>
              <w:rPr>
                <w:snapToGrid w:val="0"/>
                <w:sz w:val="18"/>
              </w:rPr>
            </w:pPr>
            <w:r>
              <w:rPr>
                <w:snapToGrid w:val="0"/>
                <w:sz w:val="18"/>
              </w:rPr>
              <w:t>$309 000</w:t>
            </w:r>
          </w:p>
        </w:tc>
        <w:tc>
          <w:tcPr>
            <w:tcW w:w="1080" w:type="dxa"/>
          </w:tcPr>
          <w:p>
            <w:pPr>
              <w:pStyle w:val="nNote"/>
              <w:ind w:left="0" w:firstLine="0"/>
              <w:rPr>
                <w:snapToGrid w:val="0"/>
                <w:sz w:val="18"/>
              </w:rPr>
            </w:pPr>
            <w:r>
              <w:rPr>
                <w:snapToGrid w:val="0"/>
                <w:sz w:val="18"/>
              </w:rPr>
              <w:t>$15 500</w:t>
            </w:r>
          </w:p>
        </w:tc>
        <w:tc>
          <w:tcPr>
            <w:tcW w:w="1080" w:type="dxa"/>
          </w:tcPr>
          <w:p>
            <w:pPr>
              <w:pStyle w:val="nNote"/>
              <w:ind w:left="0" w:firstLine="0"/>
              <w:rPr>
                <w:snapToGrid w:val="0"/>
                <w:sz w:val="18"/>
              </w:rPr>
            </w:pPr>
            <w:r>
              <w:rPr>
                <w:snapToGrid w:val="0"/>
                <w:sz w:val="18"/>
              </w:rPr>
              <w:t>$47 000</w:t>
            </w:r>
          </w:p>
        </w:tc>
        <w:tc>
          <w:tcPr>
            <w:tcW w:w="1080" w:type="dxa"/>
          </w:tcPr>
          <w:p>
            <w:pPr>
              <w:pStyle w:val="nNote"/>
              <w:ind w:left="0" w:firstLine="0"/>
              <w:rPr>
                <w:snapToGrid w:val="0"/>
                <w:sz w:val="18"/>
              </w:rPr>
            </w:pPr>
            <w:r>
              <w:rPr>
                <w:snapToGrid w:val="0"/>
                <w:sz w:val="18"/>
              </w:rPr>
              <w:t>$5 500</w:t>
            </w:r>
          </w:p>
        </w:tc>
        <w:tc>
          <w:tcPr>
            <w:tcW w:w="1320" w:type="dxa"/>
          </w:tcPr>
          <w:p>
            <w:pPr>
              <w:pStyle w:val="nNote"/>
              <w:ind w:left="12" w:firstLine="0"/>
              <w:rPr>
                <w:snapToGrid w:val="0"/>
                <w:sz w:val="18"/>
              </w:rPr>
            </w:pPr>
            <w:r>
              <w:rPr>
                <w:snapToGrid w:val="0"/>
                <w:sz w:val="18"/>
              </w:rPr>
              <w:t>22 Apr 2008 p. 1546</w:t>
            </w:r>
          </w:p>
        </w:tc>
      </w:tr>
      <w:tr>
        <w:tc>
          <w:tcPr>
            <w:tcW w:w="1440" w:type="dxa"/>
          </w:tcPr>
          <w:p>
            <w:pPr>
              <w:pStyle w:val="nNote"/>
              <w:ind w:left="0" w:firstLine="0"/>
              <w:rPr>
                <w:snapToGrid w:val="0"/>
                <w:sz w:val="18"/>
              </w:rPr>
            </w:pPr>
            <w:r>
              <w:rPr>
                <w:snapToGrid w:val="0"/>
                <w:sz w:val="18"/>
              </w:rPr>
              <w:t>1 July 2009</w:t>
            </w:r>
          </w:p>
        </w:tc>
        <w:tc>
          <w:tcPr>
            <w:tcW w:w="1080" w:type="dxa"/>
          </w:tcPr>
          <w:p>
            <w:pPr>
              <w:pStyle w:val="nNote"/>
              <w:ind w:left="0" w:firstLine="0"/>
              <w:rPr>
                <w:snapToGrid w:val="0"/>
                <w:sz w:val="18"/>
              </w:rPr>
            </w:pPr>
            <w:r>
              <w:rPr>
                <w:snapToGrid w:val="0"/>
                <w:sz w:val="18"/>
              </w:rPr>
              <w:t>$327 000</w:t>
            </w:r>
          </w:p>
        </w:tc>
        <w:tc>
          <w:tcPr>
            <w:tcW w:w="1080" w:type="dxa"/>
          </w:tcPr>
          <w:p>
            <w:pPr>
              <w:pStyle w:val="nNote"/>
              <w:ind w:left="0" w:firstLine="0"/>
              <w:rPr>
                <w:snapToGrid w:val="0"/>
                <w:sz w:val="18"/>
              </w:rPr>
            </w:pPr>
            <w:r>
              <w:rPr>
                <w:snapToGrid w:val="0"/>
                <w:sz w:val="18"/>
              </w:rPr>
              <w:t>$16 500</w:t>
            </w:r>
          </w:p>
        </w:tc>
        <w:tc>
          <w:tcPr>
            <w:tcW w:w="1080" w:type="dxa"/>
          </w:tcPr>
          <w:p>
            <w:pPr>
              <w:pStyle w:val="nNote"/>
              <w:ind w:left="0" w:firstLine="0"/>
              <w:rPr>
                <w:snapToGrid w:val="0"/>
                <w:sz w:val="18"/>
              </w:rPr>
            </w:pPr>
            <w:r>
              <w:rPr>
                <w:snapToGrid w:val="0"/>
                <w:sz w:val="18"/>
              </w:rPr>
              <w:t>$49 500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12 May 2009 p. 1542</w:t>
            </w:r>
          </w:p>
        </w:tc>
      </w:tr>
      <w:tr>
        <w:tc>
          <w:tcPr>
            <w:tcW w:w="1440" w:type="dxa"/>
          </w:tcPr>
          <w:p>
            <w:pPr>
              <w:pStyle w:val="nNote"/>
              <w:ind w:left="0" w:firstLine="0"/>
              <w:rPr>
                <w:snapToGrid w:val="0"/>
                <w:sz w:val="18"/>
              </w:rPr>
            </w:pPr>
            <w:r>
              <w:rPr>
                <w:snapToGrid w:val="0"/>
                <w:sz w:val="18"/>
              </w:rPr>
              <w:t>1 July 2010</w:t>
            </w:r>
          </w:p>
        </w:tc>
        <w:tc>
          <w:tcPr>
            <w:tcW w:w="1080" w:type="dxa"/>
          </w:tcPr>
          <w:p>
            <w:pPr>
              <w:pStyle w:val="nNote"/>
              <w:ind w:left="0" w:firstLine="0"/>
              <w:rPr>
                <w:snapToGrid w:val="0"/>
                <w:sz w:val="18"/>
              </w:rPr>
            </w:pPr>
            <w:r>
              <w:rPr>
                <w:snapToGrid w:val="0"/>
                <w:sz w:val="18"/>
              </w:rPr>
              <w:t>$337 000</w:t>
            </w:r>
          </w:p>
        </w:tc>
        <w:tc>
          <w:tcPr>
            <w:tcW w:w="1080" w:type="dxa"/>
          </w:tcPr>
          <w:p>
            <w:pPr>
              <w:pStyle w:val="nNote"/>
              <w:ind w:left="0" w:firstLine="0"/>
              <w:rPr>
                <w:snapToGrid w:val="0"/>
                <w:sz w:val="18"/>
              </w:rPr>
            </w:pPr>
            <w:r>
              <w:rPr>
                <w:snapToGrid w:val="0"/>
                <w:sz w:val="18"/>
              </w:rPr>
              <w:t>$17 000</w:t>
            </w:r>
          </w:p>
        </w:tc>
        <w:tc>
          <w:tcPr>
            <w:tcW w:w="1080" w:type="dxa"/>
          </w:tcPr>
          <w:p>
            <w:pPr>
              <w:pStyle w:val="nNote"/>
              <w:ind w:left="0" w:firstLine="0"/>
              <w:rPr>
                <w:snapToGrid w:val="0"/>
                <w:sz w:val="18"/>
              </w:rPr>
            </w:pPr>
            <w:r>
              <w:rPr>
                <w:snapToGrid w:val="0"/>
                <w:sz w:val="18"/>
              </w:rPr>
              <w:t>$51 000</w:t>
            </w:r>
          </w:p>
        </w:tc>
        <w:tc>
          <w:tcPr>
            <w:tcW w:w="1080" w:type="dxa"/>
          </w:tcPr>
          <w:p>
            <w:pPr>
              <w:pStyle w:val="nNote"/>
              <w:ind w:left="0" w:firstLine="0"/>
              <w:rPr>
                <w:snapToGrid w:val="0"/>
                <w:sz w:val="18"/>
              </w:rPr>
            </w:pPr>
            <w:r>
              <w:rPr>
                <w:snapToGrid w:val="0"/>
                <w:sz w:val="18"/>
              </w:rPr>
              <w:t>$6 000</w:t>
            </w:r>
          </w:p>
        </w:tc>
        <w:tc>
          <w:tcPr>
            <w:tcW w:w="1320" w:type="dxa"/>
          </w:tcPr>
          <w:p>
            <w:pPr>
              <w:pStyle w:val="nNote"/>
              <w:ind w:left="12" w:firstLine="0"/>
              <w:rPr>
                <w:snapToGrid w:val="0"/>
                <w:sz w:val="18"/>
              </w:rPr>
            </w:pPr>
            <w:r>
              <w:rPr>
                <w:snapToGrid w:val="0"/>
                <w:sz w:val="18"/>
              </w:rPr>
              <w:t>23 Apr 2010 p. 1529</w:t>
            </w:r>
          </w:p>
        </w:tc>
      </w:tr>
    </w:tbl>
    <w:p>
      <w:pPr>
        <w:pStyle w:val="nNote"/>
        <w:spacing w:before="160"/>
        <w:rPr>
          <w:snapToGrid w:val="0"/>
        </w:rPr>
      </w:pPr>
      <w:r>
        <w:rPr>
          <w:snapToGrid w:val="0"/>
          <w:vertAlign w:val="superscript"/>
        </w:rPr>
        <w:t>2</w:t>
      </w:r>
      <w:r>
        <w:rPr>
          <w:snapToGrid w:val="0"/>
          <w:vertAlign w:val="superscript"/>
        </w:rPr>
        <w:tab/>
      </w:r>
      <w:r>
        <w:rPr>
          <w:snapToGrid w:val="0"/>
        </w:rPr>
        <w:t>This provision was renumbered in the 1950 Reprint.</w:t>
      </w:r>
    </w:p>
    <w:p>
      <w:pPr>
        <w:pStyle w:val="nNote"/>
        <w:keepNext/>
        <w:spacing w:before="120"/>
        <w:rPr>
          <w:snapToGrid w:val="0"/>
        </w:rPr>
      </w:pPr>
      <w:r>
        <w:rPr>
          <w:snapToGrid w:val="0"/>
          <w:vertAlign w:val="superscript"/>
        </w:rPr>
        <w:t>3</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keepNext/>
        <w:keepLines/>
        <w:rPr>
          <w:snapToGrid w:val="0"/>
        </w:rPr>
      </w:pPr>
      <w:r>
        <w:rPr>
          <w:snapToGrid w:val="0"/>
        </w:rPr>
        <w:lastRenderedPageBreak/>
        <w:tab/>
        <w:t>(b)</w:t>
      </w:r>
      <w:r>
        <w:rPr>
          <w:snapToGrid w:val="0"/>
        </w:rPr>
        <w:tab/>
        <w:t>shall be deemed to have always been as valid and effectual as it would have been,</w:t>
      </w:r>
    </w:p>
    <w:p>
      <w:pPr>
        <w:pStyle w:val="nzSubsection"/>
        <w:keepNext/>
        <w:keepLines/>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keepLines w:val="0"/>
        <w:rPr>
          <w:snapToGrid w:val="0"/>
        </w:rPr>
      </w:pPr>
      <w:r>
        <w:rPr>
          <w:snapToGrid w:val="0"/>
        </w:rPr>
        <w:t>”.</w:t>
      </w:r>
    </w:p>
    <w:p>
      <w:pPr>
        <w:pStyle w:val="nNote"/>
        <w:spacing w:before="100"/>
        <w:rPr>
          <w:snapToGrid w:val="0"/>
        </w:rPr>
      </w:pPr>
      <w:r>
        <w:rPr>
          <w:snapToGrid w:val="0"/>
          <w:vertAlign w:val="superscript"/>
        </w:rPr>
        <w:t>4</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sz w:val="19"/>
        </w:rPr>
        <w:t xml:space="preserve"> </w:t>
      </w:r>
      <w:r>
        <w:rPr>
          <w:snapToGrid w:val="0"/>
        </w:rPr>
        <w:t>is a savings provision that is of no further effect.</w:t>
      </w:r>
    </w:p>
    <w:p>
      <w:pPr>
        <w:pStyle w:val="nNote"/>
        <w:spacing w:before="100"/>
        <w:rPr>
          <w:snapToGrid w:val="0"/>
        </w:rPr>
      </w:pPr>
      <w:r>
        <w:rPr>
          <w:snapToGrid w:val="0"/>
          <w:vertAlign w:val="superscript"/>
        </w:rPr>
        <w:t>5</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lastRenderedPageBreak/>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lastRenderedPageBreak/>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rStyle w:val="CharDefText"/>
        </w:rPr>
        <w:t>relevant Act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keepLines/>
      </w:pPr>
      <w:r>
        <w:tab/>
        <w:t>(2)</w:t>
      </w:r>
      <w:r>
        <w:tab/>
        <w:t>In subsection (1) —</w:t>
      </w:r>
    </w:p>
    <w:p>
      <w:pPr>
        <w:pStyle w:val="nzDefstart"/>
        <w:keepNext/>
        <w:keepLines/>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pPr>
    </w:p>
    <w:p>
      <w:pPr>
        <w:pStyle w:val="nHeading3"/>
      </w:pP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59" w:name="_Toc161414783"/>
      <w:r>
        <w:rPr>
          <w:sz w:val="28"/>
        </w:rPr>
        <w:lastRenderedPageBreak/>
        <w:t>Defined terms</w:t>
      </w:r>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 or proceedings</w:t>
      </w:r>
      <w:r>
        <w:tab/>
        <w:t>16(1)</w:t>
      </w:r>
    </w:p>
    <w:p>
      <w:pPr>
        <w:pStyle w:val="DefinedTerms"/>
      </w:pPr>
      <w:r>
        <w:t>Amount A</w:t>
      </w:r>
      <w:r>
        <w:tab/>
        <w:t>3C(1)</w:t>
      </w:r>
    </w:p>
    <w:p>
      <w:pPr>
        <w:pStyle w:val="DefinedTerms"/>
      </w:pPr>
      <w:r>
        <w:t>Amount B</w:t>
      </w:r>
      <w:r>
        <w:tab/>
        <w:t>3C(1)</w:t>
      </w:r>
    </w:p>
    <w:p>
      <w:pPr>
        <w:pStyle w:val="DefinedTerms"/>
      </w:pPr>
      <w:r>
        <w:t>Amount C</w:t>
      </w:r>
      <w:r>
        <w:tab/>
        <w:t>3C(1)</w:t>
      </w:r>
    </w:p>
    <w:p>
      <w:pPr>
        <w:pStyle w:val="DefinedTerms"/>
      </w:pPr>
      <w:r>
        <w:t>Amount D</w:t>
      </w:r>
      <w:r>
        <w:tab/>
        <w:t>3D(7)</w:t>
      </w:r>
    </w:p>
    <w:p>
      <w:pPr>
        <w:pStyle w:val="DefinedTerms"/>
      </w:pPr>
      <w:r>
        <w:t>assessed treatment, care and support needs</w:t>
      </w:r>
      <w:r>
        <w:tab/>
        <w:t>3(1)</w:t>
      </w:r>
    </w:p>
    <w:p>
      <w:pPr>
        <w:pStyle w:val="DefinedTerms"/>
      </w:pPr>
      <w:r>
        <w:t>catastrophic injury</w:t>
      </w:r>
      <w:r>
        <w:tab/>
        <w:t>3(1)</w:t>
      </w:r>
    </w:p>
    <w:p>
      <w:pPr>
        <w:pStyle w:val="DefinedTerms"/>
      </w:pPr>
      <w:r>
        <w:t>CISS</w:t>
      </w:r>
      <w:r>
        <w:tab/>
        <w:t>3(1)</w:t>
      </w:r>
    </w:p>
    <w:p>
      <w:pPr>
        <w:pStyle w:val="DefinedTerms"/>
      </w:pPr>
      <w:r>
        <w:t>commencement day</w:t>
      </w:r>
      <w:r>
        <w:tab/>
        <w:t>34(1)</w:t>
      </w:r>
    </w:p>
    <w:p>
      <w:pPr>
        <w:pStyle w:val="DefinedTerms"/>
      </w:pPr>
      <w:r>
        <w:t>Commission</w:t>
      </w:r>
      <w:r>
        <w:tab/>
        <w:t>3(1)</w:t>
      </w:r>
    </w:p>
    <w:p>
      <w:pPr>
        <w:pStyle w:val="DefinedTerms"/>
      </w:pPr>
      <w:r>
        <w:t>Commission officer</w:t>
      </w:r>
      <w:r>
        <w:tab/>
        <w:t>27C(1)</w:t>
      </w:r>
    </w:p>
    <w:p>
      <w:pPr>
        <w:pStyle w:val="DefinedTerms"/>
      </w:pPr>
      <w:r>
        <w:t>contract of insurance</w:t>
      </w:r>
      <w:r>
        <w:tab/>
        <w:t>3(1)</w:t>
      </w:r>
    </w:p>
    <w:p>
      <w:pPr>
        <w:pStyle w:val="DefinedTerms"/>
      </w:pPr>
      <w:r>
        <w:t>court</w:t>
      </w:r>
      <w:r>
        <w:tab/>
        <w:t>16(1)</w:t>
      </w:r>
    </w:p>
    <w:p>
      <w:pPr>
        <w:pStyle w:val="DefinedTerms"/>
      </w:pPr>
      <w:r>
        <w:t>Director General</w:t>
      </w:r>
      <w:r>
        <w:tab/>
        <w:t>3(1)</w:t>
      </w:r>
    </w:p>
    <w:p>
      <w:pPr>
        <w:pStyle w:val="DefinedTerms"/>
      </w:pPr>
      <w:r>
        <w:t>District Court</w:t>
      </w:r>
      <w:r>
        <w:tab/>
        <w:t>3(1)</w:t>
      </w:r>
    </w:p>
    <w:p>
      <w:pPr>
        <w:pStyle w:val="DefinedTerms"/>
      </w:pPr>
      <w:r>
        <w:t>driver</w:t>
      </w:r>
      <w:r>
        <w:tab/>
        <w:t>3(1)</w:t>
      </w:r>
    </w:p>
    <w:p>
      <w:pPr>
        <w:pStyle w:val="DefinedTerms"/>
      </w:pPr>
      <w:r>
        <w:t>emergency treatment</w:t>
      </w:r>
      <w:r>
        <w:tab/>
        <w:t>12(4)</w:t>
      </w:r>
    </w:p>
    <w:p>
      <w:pPr>
        <w:pStyle w:val="DefinedTerms"/>
      </w:pPr>
      <w:r>
        <w:t>Fund</w:t>
      </w:r>
      <w:r>
        <w:tab/>
        <w:t>3(1)</w:t>
      </w:r>
    </w:p>
    <w:p>
      <w:pPr>
        <w:pStyle w:val="DefinedTerms"/>
      </w:pPr>
      <w:r>
        <w:t>health profession</w:t>
      </w:r>
      <w:r>
        <w:tab/>
        <w:t>30(1)</w:t>
      </w:r>
    </w:p>
    <w:p>
      <w:pPr>
        <w:pStyle w:val="DefinedTerms"/>
      </w:pPr>
      <w:r>
        <w:t>health professional</w:t>
      </w:r>
      <w:r>
        <w:tab/>
        <w:t>30(1)</w:t>
      </w:r>
    </w:p>
    <w:p>
      <w:pPr>
        <w:pStyle w:val="DefinedTerms"/>
      </w:pPr>
      <w:r>
        <w:t>injured person</w:t>
      </w:r>
      <w:r>
        <w:tab/>
        <w:t>6A(2), 30(2)</w:t>
      </w:r>
    </w:p>
    <w:p>
      <w:pPr>
        <w:pStyle w:val="DefinedTerms"/>
      </w:pPr>
      <w:r>
        <w:t>insured person</w:t>
      </w:r>
      <w:r>
        <w:tab/>
        <w:t>3(1)</w:t>
      </w:r>
    </w:p>
    <w:p>
      <w:pPr>
        <w:pStyle w:val="DefinedTerms"/>
      </w:pPr>
      <w:r>
        <w:t>interim participant</w:t>
      </w:r>
      <w:r>
        <w:tab/>
        <w:t>3EA(1)</w:t>
      </w:r>
    </w:p>
    <w:p>
      <w:pPr>
        <w:pStyle w:val="DefinedTerms"/>
      </w:pPr>
      <w:r>
        <w:t>issued</w:t>
      </w:r>
      <w:r>
        <w:tab/>
        <w:t>34(1)</w:t>
      </w:r>
    </w:p>
    <w:p>
      <w:pPr>
        <w:pStyle w:val="DefinedTerms"/>
      </w:pPr>
      <w:r>
        <w:t>lifetime participant</w:t>
      </w:r>
      <w:r>
        <w:tab/>
        <w:t>3EA(1)</w:t>
      </w:r>
    </w:p>
    <w:p>
      <w:pPr>
        <w:pStyle w:val="DefinedTerms"/>
      </w:pPr>
      <w:r>
        <w:t>Minister</w:t>
      </w:r>
      <w:r>
        <w:tab/>
        <w:t>3(1)</w:t>
      </w:r>
    </w:p>
    <w:p>
      <w:pPr>
        <w:pStyle w:val="DefinedTerms"/>
      </w:pPr>
      <w:r>
        <w:t>motor vehicle</w:t>
      </w:r>
      <w:r>
        <w:tab/>
        <w:t>3(1), 4(10)</w:t>
      </w:r>
    </w:p>
    <w:p>
      <w:pPr>
        <w:pStyle w:val="DefinedTerms"/>
      </w:pPr>
      <w:r>
        <w:t>motor vehicle accident</w:t>
      </w:r>
      <w:r>
        <w:tab/>
        <w:t>6A(1)</w:t>
      </w:r>
    </w:p>
    <w:p>
      <w:pPr>
        <w:pStyle w:val="DefinedTerms"/>
      </w:pPr>
      <w:r>
        <w:t>MV(CI) Act</w:t>
      </w:r>
      <w:r>
        <w:tab/>
        <w:t>3(1)</w:t>
      </w:r>
    </w:p>
    <w:p>
      <w:pPr>
        <w:pStyle w:val="DefinedTerms"/>
      </w:pPr>
      <w:r>
        <w:t>non</w:t>
      </w:r>
      <w:r>
        <w:noBreakHyphen/>
        <w:t>pecuniary loss</w:t>
      </w:r>
      <w:r>
        <w:tab/>
        <w:t>3C(1)</w:t>
      </w:r>
    </w:p>
    <w:p>
      <w:pPr>
        <w:pStyle w:val="DefinedTerms"/>
      </w:pPr>
      <w:r>
        <w:t>owner</w:t>
      </w:r>
      <w:r>
        <w:tab/>
        <w:t>3(1), 3G(3)</w:t>
      </w:r>
    </w:p>
    <w:p>
      <w:pPr>
        <w:pStyle w:val="DefinedTerms"/>
      </w:pPr>
      <w:r>
        <w:t>pending action or proceedings</w:t>
      </w:r>
      <w:r>
        <w:tab/>
        <w:t>16(1)</w:t>
      </w:r>
    </w:p>
    <w:p>
      <w:pPr>
        <w:pStyle w:val="DefinedTerms"/>
      </w:pPr>
      <w:r>
        <w:t>policy of insurance</w:t>
      </w:r>
      <w:r>
        <w:tab/>
        <w:t>3(1)</w:t>
      </w:r>
    </w:p>
    <w:p>
      <w:pPr>
        <w:pStyle w:val="DefinedTerms"/>
      </w:pPr>
      <w:r>
        <w:t>proclaimed date</w:t>
      </w:r>
      <w:r>
        <w:tab/>
        <w:t>16(1)</w:t>
      </w:r>
    </w:p>
    <w:p>
      <w:pPr>
        <w:pStyle w:val="DefinedTerms"/>
      </w:pPr>
      <w:r>
        <w:t>relevant day</w:t>
      </w:r>
      <w:r>
        <w:tab/>
        <w:t>34(1)</w:t>
      </w:r>
    </w:p>
    <w:p>
      <w:pPr>
        <w:pStyle w:val="DefinedTerms"/>
      </w:pPr>
      <w:r>
        <w:t>repealed provision</w:t>
      </w:r>
      <w:r>
        <w:tab/>
        <w:t>34(1)</w:t>
      </w:r>
    </w:p>
    <w:p>
      <w:pPr>
        <w:pStyle w:val="DefinedTerms"/>
      </w:pPr>
      <w:r>
        <w:t>restrictive provisions</w:t>
      </w:r>
      <w:r>
        <w:tab/>
        <w:t>3FA(1)</w:t>
      </w:r>
    </w:p>
    <w:p>
      <w:pPr>
        <w:pStyle w:val="DefinedTerms"/>
      </w:pPr>
      <w:r>
        <w:t>the claimant</w:t>
      </w:r>
      <w:r>
        <w:tab/>
        <w:t>29(2)</w:t>
      </w:r>
    </w:p>
    <w:p>
      <w:pPr>
        <w:pStyle w:val="DefinedTerms"/>
      </w:pPr>
      <w:r>
        <w:t>the recalculation date</w:t>
      </w:r>
      <w:r>
        <w:tab/>
        <w:t>3C(8), 3D(8)</w:t>
      </w:r>
    </w:p>
    <w:p>
      <w:pPr>
        <w:pStyle w:val="DefinedTerms"/>
      </w:pPr>
      <w:r>
        <w:lastRenderedPageBreak/>
        <w:t>the relevant quarter</w:t>
      </w:r>
      <w:r>
        <w:tab/>
        <w:t>3D(4)</w:t>
      </w:r>
    </w:p>
    <w:p>
      <w:pPr>
        <w:pStyle w:val="DefinedTerms"/>
      </w:pPr>
      <w:r>
        <w:t>the Tribunal</w:t>
      </w:r>
      <w:r>
        <w:tab/>
        <w:t>16(1)</w:t>
      </w:r>
    </w:p>
    <w:p>
      <w:pPr>
        <w:pStyle w:val="DefinedTerms"/>
      </w:pPr>
      <w:r>
        <w:t>treatment, care and support needs</w:t>
      </w:r>
      <w:r>
        <w:tab/>
        <w:t>3EA(1), 3FB(1)</w:t>
      </w:r>
    </w:p>
    <w:p>
      <w:pPr>
        <w:pStyle w:val="DefinedTerms"/>
      </w:pPr>
      <w:r>
        <w:t>uninsured motor vehicle</w:t>
      </w:r>
      <w:r>
        <w:tab/>
        <w:t>3(1)</w:t>
      </w:r>
    </w:p>
    <w:p>
      <w:pPr>
        <w:pStyle w:val="DefinedTerms"/>
      </w:pPr>
      <w:r>
        <w:t>Vehicles Act</w:t>
      </w:r>
      <w:r>
        <w:tab/>
        <w:t>3(1)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9EF45D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FF2572" w14:textId="77777777" w:rsidR="004E10A7" w:rsidRDefault="006B63D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34C552B" w14:textId="77777777" w:rsidR="004E10A7" w:rsidRDefault="006B63D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26C026D" w14:textId="77777777" w:rsidR="004E10A7" w:rsidRDefault="006B63D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4A5E518" w14:textId="77777777" w:rsidR="004E10A7" w:rsidRDefault="006B63D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12-j0-02</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12-j0-02</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12-j0-02</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12-j0-02</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12-j0-02</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12-j0-02</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 w:name="Schedule"/>
    <w:bookmarkEnd w:id="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(Third Party Insurance) Act 1943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83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5165931"/>
    <w:docVar w:name="WAFER_20140121110734" w:val="RemoveTocBookmarks,RemoveUnusedBookmarks,RemoveLanguageTags,UsedStyles,ResetPageSize,UpdateArrangement"/>
    <w:docVar w:name="WAFER_20140121110734_GUID" w:val="c62822a2-35b9-4ae9-ae18-b6af35cbd77b"/>
    <w:docVar w:name="WAFER_20140121114603" w:val="RemoveTocBookmarks,RunningHeaders"/>
    <w:docVar w:name="WAFER_20140121114603_GUID" w:val="1e2e29e4-80e9-4670-ba96-66417e54fcb6"/>
    <w:docVar w:name="WAFER_20150416145113" w:val="ResetPageSize,UpdateArrangement,UpdateNTable"/>
    <w:docVar w:name="WAFER_20150416145113_GUID" w:val="dd5e9c7d-ab5e-443b-97fc-b5b8ac18948f"/>
    <w:docVar w:name="WAFER_20151106161337" w:val="UpdateStyles,UsedStyles"/>
    <w:docVar w:name="WAFER_20151106161337_GUID" w:val="780f2910-5565-463a-b756-ed7ac423a4ae"/>
    <w:docVar w:name="WAFER_20160512162311" w:val="RemoveTocBookmarks,RemoveUnusedBookmarks,RemoveLanguageTags,UsedStyles,ResetPageSize"/>
    <w:docVar w:name="WAFER_20160512162311_GUID" w:val="0fc4d1a6-a5d5-441e-9b3e-c2db98837a06"/>
    <w:docVar w:name="WAFER_202204111005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100527_GUID" w:val="b36bc569-463a-4454-b196-5b66ae9a3092"/>
    <w:docVar w:name="WAFER_20220629083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083007_GUID" w:val="6ddbe586-5d24-4ab5-9432-ae1746a36016"/>
    <w:docVar w:name="WAFER_202310201509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50928_GUID" w:val="f4431d49-f0e6-4bb6-bbfe-c73f13e9b6a4"/>
    <w:docVar w:name="WAFER_2023122713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2920_GUID" w:val="a4111e3a-6b9d-4aa5-b176-6ddd5a7fa02f"/>
    <w:docVar w:name="WAFER_2024031516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165931_GUID" w:val="5cba8fb5-0e4e-4a7b-b2ff-6d644b8011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8369"/>
    <o:shapelayout v:ext="edit">
      <o:idmap v:ext="edit" data="1"/>
    </o:shapelayout>
  </w:shapeDefaults>
  <w:decimalSymbol w:val="."/>
  <w:listSeparator w:val=","/>
  <w15:docId w15:val="{93BF15C1-298F-4622-A61F-9CCE0BE11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oleObject" Target="embeddings/oleObject1.bin"/><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19386</Words>
  <Characters>87238</Characters>
  <Application>Microsoft Office Word</Application>
  <DocSecurity>0</DocSecurity>
  <Lines>2565</Lines>
  <Paragraphs>1316</Paragraphs>
  <ScaleCrop>false</ScaleCrop>
  <HeadingPairs>
    <vt:vector size="2" baseType="variant">
      <vt:variant>
        <vt:lpstr>Title</vt:lpstr>
      </vt:variant>
      <vt:variant>
        <vt:i4>1</vt:i4>
      </vt:variant>
    </vt:vector>
  </HeadingPairs>
  <TitlesOfParts>
    <vt:vector size="1" baseType="lpstr">
      <vt:lpstr>Motor Vehicle (Third Party Insurance) Act 1943</vt:lpstr>
    </vt:vector>
  </TitlesOfParts>
  <Manager/>
  <Company/>
  <LinksUpToDate>false</LinksUpToDate>
  <CharactersWithSpaces>105308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1943 - 12-j0-02</dc:title>
  <dc:subject/>
  <dc:creator/>
  <cp:keywords/>
  <dc:description/>
  <cp:lastModifiedBy>Master Repository Process</cp:lastModifiedBy>
  <cp:revision>4</cp:revision>
  <cp:lastPrinted>2010-09-14T06:34:00Z</cp:lastPrinted>
  <dcterms:created xsi:type="dcterms:W3CDTF">2025-06-18T04:31:00Z</dcterms:created>
  <dcterms:modified xsi:type="dcterms:W3CDTF">2025-06-18T04:31:00Z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DocumentType">
    <vt:lpwstr>Act</vt:lpwstr>
  </property>
  <property fmtid="{D5CDD505-2E9C-101B-9397-08002B2CF9AE}" pid="4" name="OwlsUID">
    <vt:i4>527</vt:i4>
  </property>
  <property fmtid="{D5CDD505-2E9C-101B-9397-08002B2CF9AE}" pid="5" name="ReprintNo">
    <vt:lpwstr>12</vt:lpwstr>
  </property>
  <property fmtid="{D5CDD505-2E9C-101B-9397-08002B2CF9AE}" pid="6" name="AsAtDate">
    <vt:lpwstr>24 Oct 2023</vt:lpwstr>
  </property>
  <property fmtid="{D5CDD505-2E9C-101B-9397-08002B2CF9AE}" pid="7" name="Suffix">
    <vt:lpwstr>12-j0-02</vt:lpwstr>
  </property>
  <property fmtid="{D5CDD505-2E9C-101B-9397-08002B2CF9AE}" pid="8" name="Official">
    <vt:lpwstr/>
  </property>
  <property fmtid="{D5CDD505-2E9C-101B-9397-08002B2CF9AE}" pid="9" name="CommencementDate">
    <vt:lpwstr>20231024</vt:lpwstr>
  </property>
  <property fmtid="{D5CDD505-2E9C-101B-9397-08002B2CF9AE}" pid="10" name="CommencementAsAt">
    <vt:filetime>2023-10-23T16:00:00Z</vt:filetime>
  </property>
  <property fmtid="{D5CDD505-2E9C-101B-9397-08002B2CF9AE}" pid="11" name="CommencementYear">
    <vt:lpwstr>2023</vt:lpwstr>
  </property>
</Properties>
</file>