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Safety (Domestic Commercial Vessel National Law Application) Act 2023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Safety (Domestic Commercial Vessel National Law Application) Act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_Toc199321763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_Toc199321764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Purpose of Act</w:t>
      </w:r>
      <w:r>
        <w:tab/>
      </w:r>
      <w:r>
        <w:fldChar w:fldCharType="begin"/>
      </w:r>
      <w:r>
        <w:instrText xml:space="preserve"> PAGEREF _Toc199321765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Terms used</w:t>
      </w:r>
      <w:r>
        <w:tab/>
      </w:r>
      <w:r>
        <w:fldChar w:fldCharType="begin"/>
      </w:r>
      <w:r>
        <w:instrText xml:space="preserve"> PAGEREF _Toc199321766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Act binds Crown</w:t>
      </w:r>
      <w:r>
        <w:tab/>
      </w:r>
      <w:r>
        <w:fldChar w:fldCharType="begin"/>
      </w:r>
      <w:r>
        <w:instrText xml:space="preserve"> PAGEREF _Toc199321767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_Toc199321769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Uncommenced provisions table</w:t>
      </w:r>
      <w:r>
        <w:tab/>
      </w:r>
      <w:r>
        <w:fldChar w:fldCharType="begin"/>
      </w:r>
      <w:r>
        <w:instrText xml:space="preserve"> PAGEREF _Toc199321770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Marine Safety (Domestic Commercial Vessel National Law Application) Act 2023</w:t>
      </w:r>
    </w:p>
    <w:p>
      <w:pPr>
        <w:pStyle w:val="LongTitle"/>
      </w:pPr>
      <w:bookmarkStart w:id="2" w:name="BillCited"/>
      <w:bookmarkEnd w:id="2"/>
      <w:r>
        <w:t xml:space="preserve">An Act — </w:t>
      </w:r>
    </w:p>
    <w:p>
      <w:pPr>
        <w:pStyle w:val="LongTitle"/>
        <w:numPr>
          <w:ilvl w:val="0"/>
          <w:numId w:val="2"/>
        </w:numPr>
        <w:ind w:left="426" w:hanging="426"/>
        <w:rPr>
          <w:snapToGrid w:val="0"/>
        </w:rPr>
      </w:pPr>
      <w:r>
        <w:rPr>
          <w:snapToGrid w:val="0"/>
        </w:rPr>
        <w:t>to apply a national law relating to marine safety for domestic commercial vessels as a law of the State; and</w:t>
      </w:r>
    </w:p>
    <w:p>
      <w:pPr>
        <w:pStyle w:val="LongTitle"/>
        <w:numPr>
          <w:ilvl w:val="0"/>
          <w:numId w:val="2"/>
        </w:numPr>
        <w:ind w:left="426" w:hanging="426"/>
        <w:rPr>
          <w:snapToGrid w:val="0"/>
        </w:rPr>
      </w:pPr>
      <w:r>
        <w:rPr>
          <w:snapToGrid w:val="0"/>
        </w:rPr>
        <w:t xml:space="preserve">to make consequential and other amendments to the </w:t>
      </w:r>
      <w:r>
        <w:rPr>
          <w:i/>
          <w:snapToGrid w:val="0"/>
        </w:rPr>
        <w:t>Western Australian Marine Act 1982</w:t>
      </w:r>
      <w:r>
        <w:rPr>
          <w:snapToGrid w:val="0"/>
        </w:rPr>
        <w:t>; and</w:t>
      </w:r>
    </w:p>
    <w:p>
      <w:pPr>
        <w:pStyle w:val="LongTitle"/>
        <w:numPr>
          <w:ilvl w:val="0"/>
          <w:numId w:val="2"/>
        </w:numPr>
        <w:ind w:left="426" w:hanging="426"/>
        <w:rPr>
          <w:snapToGrid w:val="0"/>
        </w:rPr>
      </w:pPr>
      <w:r>
        <w:rPr>
          <w:snapToGrid w:val="0"/>
        </w:rPr>
        <w:t>to make consequential amendments to various other Acts; and</w:t>
      </w:r>
    </w:p>
    <w:p>
      <w:pPr>
        <w:pStyle w:val="LongTitle"/>
        <w:numPr>
          <w:ilvl w:val="0"/>
          <w:numId w:val="2"/>
        </w:numPr>
        <w:ind w:left="426" w:hanging="426"/>
        <w:rPr>
          <w:snapToGrid w:val="0"/>
        </w:rPr>
      </w:pPr>
      <w:r>
        <w:rPr>
          <w:snapToGrid w:val="0"/>
        </w:rPr>
        <w:t>for related purposes.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3" w:name="_Toc199321762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</w:p>
    <w:p>
      <w:pPr>
        <w:pStyle w:val="Heading5"/>
      </w:pPr>
      <w:bookmarkStart w:id="4" w:name="_Toc199321763"/>
      <w:r>
        <w:rPr>
          <w:rStyle w:val="CharSectno"/>
        </w:rPr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Marine Safety (Domestic Commercial Vessel National Law Application) Act 2023</w:t>
      </w:r>
      <w:r>
        <w:t>.</w:t>
      </w:r>
    </w:p>
    <w:p>
      <w:pPr>
        <w:pStyle w:val="Heading5"/>
      </w:pPr>
      <w:bookmarkStart w:id="5" w:name="_Toc199321764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proclamation, and different days may be fixed for different provisions.</w:t>
      </w:r>
    </w:p>
    <w:p>
      <w:pPr>
        <w:pStyle w:val="Heading5"/>
      </w:pPr>
      <w:bookmarkStart w:id="6" w:name="_Toc199321765"/>
      <w:r>
        <w:rPr>
          <w:rStyle w:val="CharSectno"/>
        </w:rPr>
        <w:t>3</w:t>
      </w:r>
      <w:r>
        <w:t>.</w:t>
      </w:r>
      <w:r>
        <w:tab/>
        <w:t>Purpose of Act</w:t>
      </w:r>
      <w:bookmarkEnd w:id="6"/>
    </w:p>
    <w:p>
      <w:pPr>
        <w:pStyle w:val="Subsection"/>
      </w:pPr>
      <w:r>
        <w:tab/>
        <w:t>(1)</w:t>
      </w:r>
      <w:r>
        <w:tab/>
        <w:t>The purpose of this Act is to adopt in the State a national approach to the regulation of marine safety in relation to domestic commercial vessels.</w:t>
      </w:r>
    </w:p>
    <w:p>
      <w:pPr>
        <w:pStyle w:val="Subsection"/>
      </w:pPr>
      <w:r>
        <w:tab/>
        <w:t>(2)</w:t>
      </w:r>
      <w:r>
        <w:tab/>
        <w:t xml:space="preserve">Accordingly, this Act — </w:t>
      </w:r>
    </w:p>
    <w:p>
      <w:pPr>
        <w:pStyle w:val="Indenta"/>
      </w:pPr>
      <w:r>
        <w:tab/>
        <w:t>(a)</w:t>
      </w:r>
      <w:r>
        <w:tab/>
        <w:t>applies the Commonwealth domestic commercial vessel national law as a law of the State, subject to the disallowance processes under Part 2; and</w:t>
      </w:r>
    </w:p>
    <w:p>
      <w:pPr>
        <w:pStyle w:val="Indenta"/>
      </w:pPr>
      <w:r>
        <w:tab/>
        <w:t>(b)</w:t>
      </w:r>
      <w:r>
        <w:tab/>
        <w:t>provides for the Commonwealth domestic commercial vessel national law and the applied provisions of the State to be administered on a uniform basis by the Commonwealth, and by State officials as delegates of the Commonwealth, as if they constituted a single law of the Commonwealth.</w:t>
      </w:r>
    </w:p>
    <w:p>
      <w:pPr>
        <w:pStyle w:val="Heading5"/>
      </w:pPr>
      <w:bookmarkStart w:id="7" w:name="_Toc199321766"/>
      <w:r>
        <w:rPr>
          <w:rStyle w:val="CharSectno"/>
        </w:rPr>
        <w:t>4</w:t>
      </w:r>
      <w:r>
        <w:t>.</w:t>
      </w:r>
      <w:r>
        <w:tab/>
        <w:t>Terms used</w:t>
      </w:r>
      <w:bookmarkEnd w:id="7"/>
    </w:p>
    <w:p>
      <w:pPr>
        <w:pStyle w:val="Subsection"/>
      </w:pPr>
      <w:r>
        <w:tab/>
        <w:t>(1)</w:t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amend</w:t>
      </w:r>
      <w:r>
        <w:t xml:space="preserve"> includes replace;</w:t>
      </w:r>
    </w:p>
    <w:p>
      <w:pPr>
        <w:pStyle w:val="Defstart"/>
      </w:pPr>
      <w:r>
        <w:tab/>
      </w:r>
      <w:r>
        <w:rPr>
          <w:rStyle w:val="CharDefText"/>
        </w:rPr>
        <w:t>amending Act</w:t>
      </w:r>
      <w:r>
        <w:t xml:space="preserve"> means a Commonwealth Act to the extent that it amends the Marine Safety (Domestic Commercial Vessel) </w:t>
      </w:r>
      <w:r>
        <w:lastRenderedPageBreak/>
        <w:t>National Law of the Commonwealth and that receives the Royal Assent on or after 15 May 2023;</w:t>
      </w:r>
    </w:p>
    <w:p>
      <w:pPr>
        <w:pStyle w:val="Defstart"/>
      </w:pPr>
      <w:r>
        <w:tab/>
      </w:r>
      <w:r>
        <w:rPr>
          <w:rStyle w:val="CharDefText"/>
        </w:rPr>
        <w:t>applied provisions</w:t>
      </w:r>
      <w:r>
        <w:t xml:space="preserve"> means the Domestic Commercial Vessel National Law that applies as a law of the State because of section 6;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section 6 comes into operation;</w:t>
      </w:r>
    </w:p>
    <w:p>
      <w:pPr>
        <w:pStyle w:val="Defstart"/>
      </w:pPr>
      <w:r>
        <w:tab/>
      </w:r>
      <w:r>
        <w:rPr>
          <w:rStyle w:val="CharDefText"/>
        </w:rPr>
        <w:t>Commonwealth administrative laws</w:t>
      </w:r>
      <w:r>
        <w:t xml:space="preserve"> means the following — </w:t>
      </w:r>
    </w:p>
    <w:p>
      <w:pPr>
        <w:pStyle w:val="Defpara"/>
      </w:pPr>
      <w:r>
        <w:tab/>
        <w:t>(a)</w:t>
      </w:r>
      <w:r>
        <w:tab/>
        <w:t xml:space="preserve">the </w:t>
      </w:r>
      <w:r>
        <w:rPr>
          <w:i/>
        </w:rPr>
        <w:t>Administrative Appeals Tribunal Act 1975</w:t>
      </w:r>
      <w:r>
        <w:t xml:space="preserve"> (Commonwealth) (excluding Part IVA);</w:t>
      </w:r>
    </w:p>
    <w:p>
      <w:pPr>
        <w:pStyle w:val="Defpara"/>
      </w:pPr>
      <w:r>
        <w:tab/>
        <w:t>(b)</w:t>
      </w:r>
      <w:r>
        <w:tab/>
        <w:t xml:space="preserve">the </w:t>
      </w:r>
      <w:r>
        <w:rPr>
          <w:i/>
        </w:rPr>
        <w:t>Freedom of Information Act 1982</w:t>
      </w:r>
      <w:r>
        <w:t xml:space="preserve"> (Commonwealth);</w:t>
      </w:r>
    </w:p>
    <w:p>
      <w:pPr>
        <w:pStyle w:val="Defpara"/>
      </w:pPr>
      <w:r>
        <w:tab/>
        <w:t>(c)</w:t>
      </w:r>
      <w:r>
        <w:tab/>
        <w:t xml:space="preserve">the </w:t>
      </w:r>
      <w:r>
        <w:rPr>
          <w:i/>
        </w:rPr>
        <w:t>Ombudsman Act 1976</w:t>
      </w:r>
      <w:r>
        <w:t xml:space="preserve"> (Commonwealth);</w:t>
      </w:r>
    </w:p>
    <w:p>
      <w:pPr>
        <w:pStyle w:val="Defpara"/>
      </w:pPr>
      <w:r>
        <w:tab/>
        <w:t>(d)</w:t>
      </w:r>
      <w:r>
        <w:tab/>
        <w:t xml:space="preserve">the </w:t>
      </w:r>
      <w:r>
        <w:rPr>
          <w:i/>
        </w:rPr>
        <w:t>Privacy Act 1988</w:t>
      </w:r>
      <w:r>
        <w:t xml:space="preserve"> (Commonwealth);</w:t>
      </w:r>
    </w:p>
    <w:p>
      <w:pPr>
        <w:pStyle w:val="Defpara"/>
      </w:pPr>
      <w:r>
        <w:tab/>
        <w:t>(e)</w:t>
      </w:r>
      <w:r>
        <w:tab/>
        <w:t>the legislative instruments in force under those Acts;</w:t>
      </w:r>
    </w:p>
    <w:p>
      <w:pPr>
        <w:pStyle w:val="Defstart"/>
      </w:pPr>
      <w:r>
        <w:tab/>
      </w:r>
      <w:r>
        <w:rPr>
          <w:rStyle w:val="CharDefText"/>
        </w:rPr>
        <w:t>Commonwealth domestic commercial vessel national law</w:t>
      </w:r>
      <w:r>
        <w:t xml:space="preserve"> means the provisions of the following Acts or legislative instruments — </w:t>
      </w:r>
    </w:p>
    <w:p>
      <w:pPr>
        <w:pStyle w:val="Defpara"/>
      </w:pPr>
      <w:r>
        <w:tab/>
        <w:t>(a)</w:t>
      </w:r>
      <w:r>
        <w:tab/>
        <w:t>the Marine Safety (Domestic Commercial Vessel) National Law of the Commonwealth;</w:t>
      </w:r>
    </w:p>
    <w:p>
      <w:pPr>
        <w:pStyle w:val="Defpara"/>
      </w:pPr>
      <w:r>
        <w:tab/>
        <w:t>(b)</w:t>
      </w:r>
      <w:r>
        <w:tab/>
        <w:t>the legislative instruments in force under that Law;</w:t>
      </w:r>
    </w:p>
    <w:p>
      <w:pPr>
        <w:pStyle w:val="Defpara"/>
      </w:pPr>
      <w:r>
        <w:tab/>
        <w:t>(c)</w:t>
      </w:r>
      <w:r>
        <w:tab/>
        <w:t>any other provision of a Commonwealth Act (or of a legislative instrument in force under a Commonwealth Act) that is of a savings or transitional nature consequent on the enactment or amendment of that Law;</w:t>
      </w:r>
    </w:p>
    <w:p>
      <w:pPr>
        <w:pStyle w:val="Defstart"/>
      </w:pPr>
      <w:r>
        <w:tab/>
      </w:r>
      <w:r>
        <w:rPr>
          <w:rStyle w:val="CharDefText"/>
        </w:rPr>
        <w:t>legislative instrument</w:t>
      </w:r>
      <w:r>
        <w:t xml:space="preserve"> means a regulation or other legislative instrument;</w:t>
      </w:r>
    </w:p>
    <w:p>
      <w:pPr>
        <w:pStyle w:val="Defstart"/>
        <w:shd w:val="clear" w:color="auto" w:fill="FFFFFF" w:themeFill="background1"/>
      </w:pPr>
      <w:r>
        <w:tab/>
      </w:r>
      <w:r>
        <w:rPr>
          <w:rStyle w:val="CharDefText"/>
        </w:rPr>
        <w:t>Marine Safety (Domestic Commercial Vessel) National Law of the Commonwealth</w:t>
      </w:r>
      <w:r>
        <w:t xml:space="preserve"> means the provisions applying as a law of the Commonwealth because of the </w:t>
      </w:r>
      <w:r>
        <w:rPr>
          <w:i/>
        </w:rPr>
        <w:t>Marine Safety (Domestic Commercial Vessel) National Law Act 2012</w:t>
      </w:r>
      <w:r>
        <w:t xml:space="preserve"> (Commonwealth) section 4;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Scheduled Law</w:t>
      </w:r>
      <w:r>
        <w:t xml:space="preserve"> means the Marine Safety (Domestic Commercial Vessel) National Law set out in the </w:t>
      </w:r>
      <w:r>
        <w:rPr>
          <w:i/>
        </w:rPr>
        <w:t>Marine Safety (Domestic Commercial Vessel) National Law Act 2012</w:t>
      </w:r>
      <w:r>
        <w:t xml:space="preserve"> (Commonwealth) Schedule 1.</w:t>
      </w:r>
    </w:p>
    <w:p>
      <w:pPr>
        <w:pStyle w:val="Subsection"/>
      </w:pPr>
      <w:r>
        <w:tab/>
        <w:t>(2)</w:t>
      </w:r>
      <w:r>
        <w:tab/>
        <w:t xml:space="preserve">A reference in this Act to a legislative instrument under the Scheduled Law is a reference to a legislative instrument to the extent made or amended — </w:t>
      </w:r>
    </w:p>
    <w:p>
      <w:pPr>
        <w:pStyle w:val="Indenta"/>
      </w:pPr>
      <w:r>
        <w:tab/>
        <w:t>(a)</w:t>
      </w:r>
      <w:r>
        <w:tab/>
        <w:t>under the Scheduled Law; or</w:t>
      </w:r>
    </w:p>
    <w:p>
      <w:pPr>
        <w:pStyle w:val="Indenta"/>
      </w:pPr>
      <w:r>
        <w:tab/>
        <w:t>(b)</w:t>
      </w:r>
      <w:r>
        <w:tab/>
        <w:t>by a provision of a Commonwealth Act for the purposes of the Scheduled Law.</w:t>
      </w:r>
    </w:p>
    <w:p>
      <w:pPr>
        <w:pStyle w:val="Subsection"/>
      </w:pPr>
      <w:r>
        <w:tab/>
        <w:t>(3)</w:t>
      </w:r>
      <w:r>
        <w:tab/>
        <w:t>Terms used in this Act and also in the Commonwealth domestic commercial vessel national law have the same meanings in this Act as they have in that law.</w:t>
      </w:r>
    </w:p>
    <w:p>
      <w:pPr>
        <w:pStyle w:val="Heading5"/>
      </w:pPr>
      <w:bookmarkStart w:id="8" w:name="_Toc199321767"/>
      <w:r>
        <w:rPr>
          <w:rStyle w:val="CharSectno"/>
        </w:rPr>
        <w:t>5</w:t>
      </w:r>
      <w:r>
        <w:t>.</w:t>
      </w:r>
      <w:r>
        <w:tab/>
        <w:t>Act binds Crown</w:t>
      </w:r>
      <w:bookmarkEnd w:id="8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Ednotepart"/>
      </w:pPr>
      <w:r>
        <w:t>[Parts 2</w:t>
      </w:r>
      <w:r>
        <w:noBreakHyphen/>
        <w:t>10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9" w:name="_Toc199321768"/>
      <w:r>
        <w:lastRenderedPageBreak/>
        <w:t>Notes</w:t>
      </w:r>
      <w:bookmarkEnd w:id="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Marine Safety (Domestic Commercial Vessel National Law Application) Act 2023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0" w:name="_Toc199321769"/>
      <w:r>
        <w:t>Compilation table</w:t>
      </w:r>
      <w:bookmarkEnd w:id="10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Marine Safety (Domestic Commercial Vessel National Law Application) Act 2023</w:t>
            </w:r>
            <w:r>
              <w:rPr>
                <w:iCs/>
                <w:noProof/>
              </w:rPr>
              <w:t xml:space="preserve"> Pt. 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24 of 2023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24 Oct 2023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24 Oct 2023 (see s. 2(a))</w:t>
            </w:r>
          </w:p>
        </w:tc>
      </w:tr>
    </w:tbl>
    <w:p>
      <w:pPr>
        <w:pStyle w:val="nHeading3"/>
      </w:pPr>
      <w:bookmarkStart w:id="11" w:name="_Toc199321770"/>
      <w:r>
        <w:t>Uncommenced provisions table</w:t>
      </w:r>
      <w:bookmarkEnd w:id="11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7088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Marine Safety (Domestic Commercial Vessel National Law Application) Act 2023</w:t>
            </w:r>
            <w:r>
              <w:rPr>
                <w:iCs/>
                <w:noProof/>
              </w:rPr>
              <w:t xml:space="preserve"> (other than Pt. 1)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24 of 2023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24 Oct 2023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To be proclaimed (see s. 2(b))</w:t>
            </w:r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3" w:name="_Toc199321771"/>
      <w:r>
        <w:rPr>
          <w:sz w:val="28"/>
        </w:rPr>
        <w:lastRenderedPageBreak/>
        <w:t>Defined terms</w:t>
      </w:r>
      <w:bookmarkEnd w:id="1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amend</w:t>
      </w:r>
      <w:r>
        <w:tab/>
        <w:t>4(1)</w:t>
      </w:r>
    </w:p>
    <w:p>
      <w:pPr>
        <w:pStyle w:val="DefinedTerms"/>
      </w:pPr>
      <w:r>
        <w:t>amending Act</w:t>
      </w:r>
      <w:r>
        <w:tab/>
        <w:t>4(1)</w:t>
      </w:r>
    </w:p>
    <w:p>
      <w:pPr>
        <w:pStyle w:val="DefinedTerms"/>
      </w:pPr>
      <w:r>
        <w:t>applied provisions</w:t>
      </w:r>
      <w:r>
        <w:tab/>
        <w:t>4(1)</w:t>
      </w:r>
    </w:p>
    <w:p>
      <w:pPr>
        <w:pStyle w:val="DefinedTerms"/>
      </w:pPr>
      <w:r>
        <w:t>commencement day</w:t>
      </w:r>
      <w:r>
        <w:tab/>
        <w:t>4(1)</w:t>
      </w:r>
    </w:p>
    <w:p>
      <w:pPr>
        <w:pStyle w:val="DefinedTerms"/>
      </w:pPr>
      <w:r>
        <w:t>Commonwealth administrative laws</w:t>
      </w:r>
      <w:r>
        <w:tab/>
        <w:t>4(1)</w:t>
      </w:r>
    </w:p>
    <w:p>
      <w:pPr>
        <w:pStyle w:val="DefinedTerms"/>
      </w:pPr>
      <w:r>
        <w:t>Commonwealth domestic commercial vessel national law</w:t>
      </w:r>
      <w:r>
        <w:tab/>
        <w:t>4(1)</w:t>
      </w:r>
    </w:p>
    <w:p>
      <w:pPr>
        <w:pStyle w:val="DefinedTerms"/>
      </w:pPr>
      <w:r>
        <w:t>legislative instrument</w:t>
      </w:r>
      <w:r>
        <w:tab/>
        <w:t>4(1)</w:t>
      </w:r>
    </w:p>
    <w:p>
      <w:pPr>
        <w:pStyle w:val="DefinedTerms"/>
      </w:pPr>
      <w:r>
        <w:t>Marine Safety (Domestic Commercial Vessel) National Law of the Commonwealth</w:t>
      </w:r>
      <w:r>
        <w:tab/>
        <w:t>4(1)</w:t>
      </w:r>
    </w:p>
    <w:p>
      <w:pPr>
        <w:pStyle w:val="DefinedTerms"/>
      </w:pPr>
      <w:r>
        <w:t>Scheduled Law</w:t>
      </w:r>
      <w:r>
        <w:tab/>
        <w:t>4(1)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EFDED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8480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7E7DA345" w14:textId="60A26190" w:rsidR="000A451D" w:rsidRDefault="000A451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ED7B9D" w14:textId="77777777" w:rsidR="000A451D" w:rsidRDefault="000A451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5ABFF18" w14:textId="1776242A" w:rsidR="000A451D" w:rsidRDefault="000A451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265F305" w14:textId="77777777" w:rsidR="000A451D" w:rsidRDefault="000A451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540"/>
      <w:gridCol w:w="175"/>
    </w:tblGrid>
    <w:tr>
      <w:trPr>
        <w:gridAfter w:val="1"/>
        <w:wAfter w:w="175" w:type="dxa"/>
        <w:jc w:val="center"/>
      </w:trPr>
      <w:tc>
        <w:tcPr>
          <w:tcW w:w="708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284"/>
      <w:gridCol w:w="5431"/>
      <w:gridCol w:w="1548"/>
    </w:tblGrid>
    <w:tr>
      <w:trPr>
        <w:gridBefore w:val="1"/>
        <w:wBefore w:w="284" w:type="dxa"/>
        <w:cantSplit/>
        <w:jc w:val="center"/>
      </w:trPr>
      <w:tc>
        <w:tcPr>
          <w:tcW w:w="6979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4" w:name="DefinedTerms"/>
    <w:bookmarkEnd w:id="14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8B555D4"/>
    <w:multiLevelType w:val="multilevel"/>
    <w:tmpl w:val="7E6C6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13"/>
  </w:num>
  <w:num w:numId="5">
    <w:abstractNumId w:val="12"/>
  </w:num>
  <w:num w:numId="6">
    <w:abstractNumId w:val="14"/>
  </w:num>
  <w:num w:numId="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1673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1227131541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2304191630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419163027_GUID" w:val="af1d2eba-0721-43e8-87c4-133cabec2679"/>
    <w:docVar w:name="WAFER_202304261202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426120220_GUID" w:val="0c5d2118-c0d6-4fba-8a81-092c6c11dae9"/>
    <w:docVar w:name="WAFER_202305091610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509161000_GUID" w:val="46682c0a-fcac-4cd3-8ca0-8559a79ad316"/>
    <w:docVar w:name="WAFER_202305161409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16140916_GUID" w:val="eec8b652-6340-4534-b237-395d412a8e03"/>
    <w:docVar w:name="WAFER_202310241558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024155825_GUID" w:val="a260b408-fadc-44cd-9c48-8624b358a6e2"/>
    <w:docVar w:name="WAFER_202312271315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7131541_GUID" w:val="29114483-76bd-4e5c-9506-366d4b253c7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7"/>
    <o:shapelayout v:ext="edit">
      <o:idmap v:ext="edit" data="1"/>
    </o:shapelayout>
  </w:shapeDefaults>
  <w:decimalSymbol w:val="."/>
  <w:listSeparator w:val=","/>
  <w15:docId w15:val="{E2174316-C596-4489-A67C-4C8C51B6B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9D63E-FC25-47B7-B5C5-4F43E4F4D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971</Words>
  <Characters>5131</Characters>
  <Application>Microsoft Office Word</Application>
  <DocSecurity>0</DocSecurity>
  <Lines>190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5980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Safety (Domestic Commercial Vessel National Law Application) Act 2023 - 00-a0-01</dc:title>
  <dc:subject/>
  <dc:creator/>
  <cp:keywords/>
  <dc:description/>
  <cp:lastModifiedBy>Master Repository Process</cp:lastModifiedBy>
  <cp:revision>4</cp:revision>
  <cp:lastPrinted>2023-10-24T07:44:00Z</cp:lastPrinted>
  <dcterms:created xsi:type="dcterms:W3CDTF">2025-05-28T02:49:00Z</dcterms:created>
  <dcterms:modified xsi:type="dcterms:W3CDTF">2025-05-28T02:49:00Z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24 of 2023</vt:lpwstr>
  </property>
  <property fmtid="{D5CDD505-2E9C-101B-9397-08002B2CF9AE}" pid="3" name="DocumentType">
    <vt:lpwstr>Act</vt:lpwstr>
  </property>
  <property fmtid="{D5CDD505-2E9C-101B-9397-08002B2CF9AE}" pid="4" name="AsAtDate">
    <vt:lpwstr>24 Oct 2023</vt:lpwstr>
  </property>
  <property fmtid="{D5CDD505-2E9C-101B-9397-08002B2CF9AE}" pid="5" name="Suffix">
    <vt:lpwstr>00-a0-01</vt:lpwstr>
  </property>
  <property fmtid="{D5CDD505-2E9C-101B-9397-08002B2CF9AE}" pid="6" name="Official">
    <vt:lpwstr/>
  </property>
  <property fmtid="{D5CDD505-2E9C-101B-9397-08002B2CF9AE}" pid="7" name="CommencementDate">
    <vt:lpwstr>20231024</vt:lpwstr>
  </property>
  <property fmtid="{D5CDD505-2E9C-101B-9397-08002B2CF9AE}" pid="8" name="CommencementAsAt">
    <vt:filetime>2023-10-23T16:00:00Z</vt:filetime>
  </property>
  <property fmtid="{D5CDD505-2E9C-101B-9397-08002B2CF9AE}" pid="9" name="CommencementYear">
    <vt:lpwstr>2023</vt:lpwstr>
  </property>
</Properties>
</file>