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Workers Compensation and Injury Management Act 2023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Workers Compensation and Injury Management Act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1 — General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_Toc199323719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_Toc199323720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Act binds Crown</w:t>
      </w:r>
      <w:r>
        <w:tab/>
      </w:r>
      <w:r>
        <w:fldChar w:fldCharType="begin"/>
      </w:r>
      <w:r>
        <w:instrText xml:space="preserve"> PAGEREF _Toc199323721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No contracting out</w:t>
      </w:r>
      <w:r>
        <w:tab/>
      </w:r>
      <w:r>
        <w:fldChar w:fldCharType="begin"/>
      </w:r>
      <w:r>
        <w:instrText xml:space="preserve"> PAGEREF _Toc199323722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_Toc199323724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Uncommenced provisions table</w:t>
      </w:r>
      <w:r>
        <w:tab/>
      </w:r>
      <w:r>
        <w:fldChar w:fldCharType="begin"/>
      </w:r>
      <w:r>
        <w:instrText xml:space="preserve"> PAGEREF _Toc199323725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950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  <w:suppressLineNumbers/>
      </w:pPr>
      <w:r>
        <w:t>Workers Compensation and Injury Management Act 2023</w:t>
      </w:r>
    </w:p>
    <w:p>
      <w:pPr>
        <w:pStyle w:val="LongTitle"/>
        <w:suppressLineNumbers/>
        <w:rPr>
          <w:snapToGrid w:val="0"/>
        </w:rPr>
      </w:pPr>
      <w:bookmarkStart w:id="2" w:name="BillCited"/>
      <w:bookmarkEnd w:id="2"/>
      <w:r>
        <w:t>An Act</w:t>
      </w:r>
      <w:r>
        <w:rPr>
          <w:snapToGrid w:val="0"/>
        </w:rPr>
        <w:t> —</w:t>
      </w:r>
    </w:p>
    <w:p>
      <w:pPr>
        <w:pStyle w:val="LongTitle"/>
        <w:suppressLineNumbers/>
        <w:ind w:left="425" w:hanging="425"/>
      </w:pPr>
      <w:r>
        <w:rPr>
          <w:snapToGrid w:val="0"/>
        </w:rPr>
        <w:t>●</w:t>
      </w:r>
      <w:r>
        <w:rPr>
          <w:snapToGrid w:val="0"/>
        </w:rPr>
        <w:tab/>
      </w:r>
      <w:r>
        <w:t>to provide for employers to be liable to compensate workers who suffer injuries from employment; and</w:t>
      </w:r>
    </w:p>
    <w:p>
      <w:pPr>
        <w:pStyle w:val="LongTitle"/>
        <w:suppressLineNumbers/>
        <w:ind w:left="425" w:hanging="425"/>
      </w:pPr>
      <w:r>
        <w:rPr>
          <w:snapToGrid w:val="0"/>
        </w:rPr>
        <w:t>●</w:t>
      </w:r>
      <w:r>
        <w:rPr>
          <w:snapToGrid w:val="0"/>
        </w:rPr>
        <w:tab/>
      </w:r>
      <w:r>
        <w:t>to establish a scheme for compulsory insurance against that liability; and</w:t>
      </w:r>
    </w:p>
    <w:p>
      <w:pPr>
        <w:pStyle w:val="LongTitle"/>
        <w:suppressLineNumbers/>
        <w:ind w:left="425" w:hanging="425"/>
      </w:pPr>
      <w:r>
        <w:rPr>
          <w:snapToGrid w:val="0"/>
        </w:rPr>
        <w:t>●</w:t>
      </w:r>
      <w:r>
        <w:rPr>
          <w:snapToGrid w:val="0"/>
        </w:rPr>
        <w:tab/>
      </w:r>
      <w:r>
        <w:t>to provide for the management of those injuries; and</w:t>
      </w:r>
    </w:p>
    <w:p>
      <w:pPr>
        <w:pStyle w:val="LongTitle"/>
        <w:suppressLineNumbers/>
        <w:ind w:left="425" w:hanging="425"/>
      </w:pPr>
      <w:r>
        <w:rPr>
          <w:snapToGrid w:val="0"/>
        </w:rPr>
        <w:t>●</w:t>
      </w:r>
      <w:r>
        <w:rPr>
          <w:snapToGrid w:val="0"/>
        </w:rPr>
        <w:tab/>
      </w:r>
      <w:r>
        <w:t>to provide for the resolution of disputes; and</w:t>
      </w:r>
    </w:p>
    <w:p>
      <w:pPr>
        <w:pStyle w:val="LongTitle"/>
        <w:suppressLineNumbers/>
        <w:ind w:left="425" w:hanging="425"/>
      </w:pPr>
      <w:r>
        <w:rPr>
          <w:snapToGrid w:val="0"/>
        </w:rPr>
        <w:t>●</w:t>
      </w:r>
      <w:r>
        <w:rPr>
          <w:snapToGrid w:val="0"/>
        </w:rPr>
        <w:tab/>
      </w:r>
      <w:r>
        <w:t>to make administrative and other related provisions; and</w:t>
      </w:r>
    </w:p>
    <w:p>
      <w:pPr>
        <w:pStyle w:val="LongTitle"/>
        <w:suppressLineNumbers/>
        <w:ind w:left="425" w:hanging="425"/>
      </w:pPr>
      <w:r>
        <w:rPr>
          <w:snapToGrid w:val="0"/>
        </w:rPr>
        <w:t>●</w:t>
      </w:r>
      <w:r>
        <w:rPr>
          <w:snapToGrid w:val="0"/>
        </w:rPr>
        <w:tab/>
      </w:r>
      <w:r>
        <w:t>to make consequential and related amendments to, and repeals of, various written laws.</w:t>
      </w:r>
    </w:p>
    <w:p>
      <w:pPr>
        <w:pStyle w:val="Heading2"/>
      </w:pPr>
      <w:bookmarkStart w:id="3" w:name="_Toc199323717"/>
      <w:r>
        <w:rPr>
          <w:rStyle w:val="CharPartNo"/>
        </w:rPr>
        <w:lastRenderedPageBreak/>
        <w:t>Part 1</w:t>
      </w:r>
      <w:r>
        <w:t> — </w:t>
      </w:r>
      <w:r>
        <w:rPr>
          <w:rStyle w:val="CharPartText"/>
        </w:rPr>
        <w:t>Preliminary</w:t>
      </w:r>
      <w:bookmarkEnd w:id="3"/>
    </w:p>
    <w:p>
      <w:pPr>
        <w:pStyle w:val="Heading3"/>
      </w:pPr>
      <w:bookmarkStart w:id="4" w:name="_Toc199323718"/>
      <w:r>
        <w:rPr>
          <w:rStyle w:val="CharDivNo"/>
        </w:rPr>
        <w:t>Division 1</w:t>
      </w:r>
      <w:r>
        <w:t> — </w:t>
      </w:r>
      <w:r>
        <w:rPr>
          <w:rStyle w:val="CharDivText"/>
        </w:rPr>
        <w:t>General</w:t>
      </w:r>
      <w:bookmarkEnd w:id="4"/>
    </w:p>
    <w:p>
      <w:pPr>
        <w:pStyle w:val="Heading5"/>
      </w:pPr>
      <w:bookmarkStart w:id="5" w:name="_Toc199323719"/>
      <w:r>
        <w:rPr>
          <w:rStyle w:val="CharSectno"/>
        </w:rPr>
        <w:t>1</w:t>
      </w:r>
      <w:r>
        <w:t>.</w:t>
      </w:r>
      <w:r>
        <w:tab/>
        <w:t>Short title</w:t>
      </w:r>
      <w:bookmarkEnd w:id="5"/>
    </w:p>
    <w:p>
      <w:pPr>
        <w:pStyle w:val="Subsection"/>
      </w:pPr>
      <w:r>
        <w:tab/>
      </w:r>
      <w:r>
        <w:tab/>
        <w:t xml:space="preserve">This is the </w:t>
      </w:r>
      <w:r>
        <w:rPr>
          <w:i/>
        </w:rPr>
        <w:t>Workers Compensation and Injury Management Act 2023</w:t>
      </w:r>
      <w:r>
        <w:t>.</w:t>
      </w:r>
    </w:p>
    <w:p>
      <w:pPr>
        <w:pStyle w:val="Heading5"/>
      </w:pPr>
      <w:bookmarkStart w:id="6" w:name="_Toc199323720"/>
      <w:r>
        <w:rPr>
          <w:rStyle w:val="CharSectno"/>
        </w:rPr>
        <w:t>2</w:t>
      </w:r>
      <w:r>
        <w:t>.</w:t>
      </w:r>
      <w:r>
        <w:tab/>
        <w:t>Commencement</w:t>
      </w:r>
      <w:bookmarkEnd w:id="6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Part 1 (but only Division 1) — on the day on which this Act receives the Royal Assent (</w:t>
      </w:r>
      <w:r>
        <w:rPr>
          <w:rStyle w:val="CharDefText"/>
        </w:rPr>
        <w:t>assent day</w:t>
      </w:r>
      <w:r>
        <w:t>);</w:t>
      </w:r>
    </w:p>
    <w:p>
      <w:pPr>
        <w:pStyle w:val="Indenta"/>
      </w:pPr>
      <w:r>
        <w:tab/>
        <w:t>(b)</w:t>
      </w:r>
      <w:r>
        <w:tab/>
        <w:t>Part 14 (but only Divisions 1, 4 and 10 and only sections 542, 543, 545, 574, 579, 603, 606 and 609) — on the day after assent day;</w:t>
      </w:r>
    </w:p>
    <w:p>
      <w:pPr>
        <w:pStyle w:val="Indenta"/>
      </w:pPr>
      <w:r>
        <w:tab/>
        <w:t>(c)</w:t>
      </w:r>
      <w:r>
        <w:tab/>
        <w:t xml:space="preserve">Part 15 Division 3 Subdivision 18 — </w:t>
      </w:r>
    </w:p>
    <w:p>
      <w:pPr>
        <w:pStyle w:val="Indenti"/>
      </w:pPr>
      <w:r>
        <w:tab/>
        <w:t>(i)</w:t>
      </w:r>
      <w:r>
        <w:tab/>
        <w:t xml:space="preserve">if the </w:t>
      </w:r>
      <w:r>
        <w:rPr>
          <w:i/>
        </w:rPr>
        <w:t xml:space="preserve">Criminal Law (Mental Impairment) Act 2023 </w:t>
      </w:r>
      <w:r>
        <w:t>section 188 comes into operation on or before assent day — when section 66 of this Act comes into operation; or</w:t>
      </w:r>
    </w:p>
    <w:p>
      <w:pPr>
        <w:pStyle w:val="Indenti"/>
      </w:pPr>
      <w:r>
        <w:tab/>
        <w:t>(ii)</w:t>
      </w:r>
      <w:r>
        <w:tab/>
        <w:t xml:space="preserve">otherwise — when the </w:t>
      </w:r>
      <w:r>
        <w:rPr>
          <w:i/>
        </w:rPr>
        <w:t xml:space="preserve">Criminal Law (Mental Impairment) Act 2023 </w:t>
      </w:r>
      <w:r>
        <w:t>section 188 comes into operation;</w:t>
      </w:r>
    </w:p>
    <w:p>
      <w:pPr>
        <w:pStyle w:val="Indenta"/>
      </w:pPr>
      <w:r>
        <w:tab/>
        <w:t>(d)</w:t>
      </w:r>
      <w:r>
        <w:tab/>
        <w:t>the rest of the Act — on a day fixed by proclamation, and different days may be fixed for different provisions.</w:t>
      </w:r>
    </w:p>
    <w:p>
      <w:pPr>
        <w:pStyle w:val="Heading5"/>
      </w:pPr>
      <w:bookmarkStart w:id="7" w:name="_Toc199323721"/>
      <w:r>
        <w:rPr>
          <w:rStyle w:val="CharSectno"/>
        </w:rPr>
        <w:t>3</w:t>
      </w:r>
      <w:r>
        <w:t>.</w:t>
      </w:r>
      <w:r>
        <w:tab/>
        <w:t>Act binds Crown</w:t>
      </w:r>
      <w:bookmarkEnd w:id="7"/>
    </w:p>
    <w:p>
      <w:pPr>
        <w:pStyle w:val="Subsection"/>
      </w:pPr>
      <w:r>
        <w:tab/>
      </w:r>
      <w:r>
        <w:tab/>
        <w:t>This Act binds the Crown in right of Western Australia and, so far as the legislative power of the Parliament permits, the Crown in all its other capacities.</w:t>
      </w:r>
    </w:p>
    <w:p>
      <w:pPr>
        <w:pStyle w:val="Heading5"/>
      </w:pPr>
      <w:bookmarkStart w:id="8" w:name="_Toc199323722"/>
      <w:r>
        <w:rPr>
          <w:rStyle w:val="CharSectno"/>
        </w:rPr>
        <w:lastRenderedPageBreak/>
        <w:t>4</w:t>
      </w:r>
      <w:r>
        <w:t>.</w:t>
      </w:r>
      <w:r>
        <w:tab/>
        <w:t>No contracting out</w:t>
      </w:r>
      <w:bookmarkEnd w:id="8"/>
    </w:p>
    <w:p>
      <w:pPr>
        <w:pStyle w:val="Subsection"/>
      </w:pPr>
      <w:r>
        <w:tab/>
        <w:t>(1)</w:t>
      </w:r>
      <w:r>
        <w:tab/>
        <w:t>The application of this Act or any of its provisions cannot be excluded, restricted or modified by contract, agreement or other arrangement, except as provided by this Act.</w:t>
      </w:r>
    </w:p>
    <w:p>
      <w:pPr>
        <w:pStyle w:val="Subsection"/>
      </w:pPr>
      <w:r>
        <w:tab/>
        <w:t>(2)</w:t>
      </w:r>
      <w:r>
        <w:tab/>
        <w:t>A person who enters into a contract, agreement or other arrangement that purports to exclude, restrict or modify the application of this Act or any of its provisions, except as provided by this Act, commits an offence.</w:t>
      </w:r>
    </w:p>
    <w:p>
      <w:pPr>
        <w:pStyle w:val="Penstart"/>
      </w:pPr>
      <w:r>
        <w:tab/>
        <w:t>Penalty for this subsection: a fine of $15 000.</w:t>
      </w:r>
    </w:p>
    <w:p>
      <w:pPr>
        <w:pStyle w:val="Ednotedivision"/>
      </w:pPr>
      <w:r>
        <w:t>[Div. 2</w:t>
      </w:r>
      <w:r>
        <w:noBreakHyphen/>
        <w:t>4 have not come into operation.]</w:t>
      </w:r>
    </w:p>
    <w:p>
      <w:pPr>
        <w:pStyle w:val="Ednotepart"/>
      </w:pPr>
      <w:r>
        <w:t>[Parts 2-15 have not come into operation.]</w:t>
      </w:r>
    </w:p>
    <w:p>
      <w:pPr>
        <w:pStyle w:val="CentredBaseLine"/>
        <w:jc w:val="center"/>
        <w:rPr>
          <w:sz w:val="24"/>
        </w:rPr>
        <w:sectPr>
          <w:headerReference w:type="even" r:id="rId21"/>
          <w:headerReference w:type="default" r:id="rId22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titlePg/>
          <w:docGrid w:linePitch="326"/>
        </w:sectPr>
      </w:pPr>
      <w:r>
        <w:rPr>
          <w:noProof/>
          <w:sz w:val="24"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nHeading2"/>
      </w:pPr>
      <w:bookmarkStart w:id="9" w:name="_Toc199323723"/>
      <w:r>
        <w:lastRenderedPageBreak/>
        <w:t>Notes</w:t>
      </w:r>
      <w:bookmarkEnd w:id="9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Workers Compensation and Injury Management Act 2023</w:t>
      </w:r>
      <w:r>
        <w:rPr>
          <w:iCs/>
          <w:noProof/>
        </w:rPr>
        <w:t>.</w:t>
      </w:r>
      <w:r>
        <w:t xml:space="preserve"> For provisions that have come into operation see the compilation table. For provisions that have not yet come into operation see the uncommenced provisions table.</w:t>
      </w:r>
    </w:p>
    <w:p>
      <w:pPr>
        <w:pStyle w:val="nHeading3"/>
      </w:pPr>
      <w:bookmarkStart w:id="10" w:name="_Toc199323724"/>
      <w:r>
        <w:t>Compilation table</w:t>
      </w:r>
      <w:bookmarkEnd w:id="10"/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 xml:space="preserve">Workers Compensation and Injury Management Act 2023 </w:t>
            </w:r>
            <w:r>
              <w:rPr>
                <w:noProof/>
              </w:rPr>
              <w:t>Pt. 1 Div. 1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21 of 2023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24 Oct 2023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noProof/>
              </w:rPr>
              <w:t>24 Oct 2023 (see s. 2(a))</w:t>
            </w:r>
          </w:p>
        </w:tc>
      </w:tr>
    </w:tbl>
    <w:p>
      <w:pPr>
        <w:pStyle w:val="nHeading3"/>
      </w:pPr>
      <w:bookmarkStart w:id="11" w:name="_Toc199323725"/>
      <w:r>
        <w:t>Uncommenced provisions table</w:t>
      </w:r>
      <w:bookmarkEnd w:id="11"/>
    </w:p>
    <w:p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Acts as passed</w:t>
      </w:r>
      <w:r>
        <w:t xml:space="preserve"> on the WA Legislation website.</w:t>
      </w:r>
    </w:p>
    <w:tbl>
      <w:tblPr>
        <w:tblW w:w="7088" w:type="dxa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 xml:space="preserve">Workers Compensation and Injury Management Amendment Act 2023 </w:t>
            </w:r>
            <w:r>
              <w:rPr>
                <w:noProof/>
              </w:rPr>
              <w:t>(other than Pt. 1 Div. 1)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21 of 2023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24 Oct 2023</w:t>
            </w:r>
          </w:p>
        </w:tc>
        <w:tc>
          <w:tcPr>
            <w:tcW w:w="2552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noProof/>
              </w:rPr>
              <w:t>Pt. 14 (but only Div. 1, 4 and 10 and only s. 542, 543, 545, 574, 579, 603, 606 and 609): 25 Oct 2023 (see s. 2(b));</w:t>
            </w:r>
          </w:p>
          <w:p>
            <w:pPr>
              <w:pStyle w:val="nTable"/>
              <w:spacing w:after="40"/>
              <w:rPr>
                <w:noProof/>
              </w:rPr>
            </w:pPr>
            <w:r>
              <w:rPr>
                <w:noProof/>
              </w:rPr>
              <w:t xml:space="preserve">Pt 15 Div. 3 Subdiv. 18: </w:t>
            </w:r>
            <w:r>
              <w:t xml:space="preserve">if the </w:t>
            </w:r>
            <w:r>
              <w:rPr>
                <w:i/>
              </w:rPr>
              <w:t xml:space="preserve">Criminal Law (Mental Impairment) Act 2023 </w:t>
            </w:r>
            <w:r>
              <w:t xml:space="preserve">s. 188 comes into operation on or before assent day — when s. 66 of this Act comes into operation; or otherwise — when the </w:t>
            </w:r>
            <w:r>
              <w:rPr>
                <w:i/>
              </w:rPr>
              <w:t xml:space="preserve">Criminal Law (Mental Impairment) Act 2023 </w:t>
            </w:r>
            <w:r>
              <w:t>s. 188 comes into operation</w:t>
            </w:r>
            <w:r>
              <w:rPr>
                <w:noProof/>
              </w:rPr>
              <w:t xml:space="preserve"> (see s. 2(c));</w:t>
            </w:r>
          </w:p>
          <w:p>
            <w:pPr>
              <w:pStyle w:val="nTable"/>
              <w:spacing w:after="40"/>
              <w:rPr>
                <w:noProof/>
              </w:rPr>
            </w:pPr>
            <w:r>
              <w:rPr>
                <w:noProof/>
              </w:rPr>
              <w:t>Act other than Pt. 14 Div. 1 s. 542, 543 and 545, Pt. 14 Div. 4 s. 574 and 579, Pt. 14 Div. 10 s. 603, 606 and 609 and Pt. 15 Div. 3 Subdiv. 18: to be proclaimed (see s. 2(d))</w:t>
            </w:r>
          </w:p>
        </w:tc>
      </w:tr>
      <w:tr>
        <w:tc>
          <w:tcPr>
            <w:tcW w:w="2268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  <w:noProof/>
              </w:rPr>
              <w:lastRenderedPageBreak/>
              <w:t xml:space="preserve">Workers Compensation and Injury Management Act 2023 </w:t>
            </w:r>
            <w:r>
              <w:rPr>
                <w:noProof/>
              </w:rPr>
              <w:t>s. 4-8</w:t>
            </w:r>
          </w:p>
        </w:tc>
        <w:tc>
          <w:tcPr>
            <w:tcW w:w="1134" w:type="dxa"/>
            <w:tcBorders>
              <w:top w:val="nil"/>
            </w:tcBorders>
          </w:tcPr>
          <w:p>
            <w:pPr>
              <w:pStyle w:val="nTable"/>
              <w:spacing w:after="40"/>
            </w:pPr>
            <w:r>
              <w:t>22 of 2023</w:t>
            </w:r>
          </w:p>
        </w:tc>
        <w:tc>
          <w:tcPr>
            <w:tcW w:w="1134" w:type="dxa"/>
            <w:tcBorders>
              <w:top w:val="nil"/>
            </w:tcBorders>
          </w:tcPr>
          <w:p>
            <w:pPr>
              <w:pStyle w:val="nTable"/>
              <w:spacing w:after="40"/>
            </w:pPr>
            <w:r>
              <w:t>24 Oct 2023</w:t>
            </w:r>
          </w:p>
        </w:tc>
        <w:tc>
          <w:tcPr>
            <w:tcW w:w="2552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noProof/>
              </w:rPr>
              <w:t xml:space="preserve">s. 4: operative on the commencement of </w:t>
            </w:r>
            <w:r>
              <w:t xml:space="preserve">the </w:t>
            </w:r>
            <w:r>
              <w:rPr>
                <w:i/>
              </w:rPr>
              <w:t xml:space="preserve">Workers Compensation and Injury Management Act 2023 </w:t>
            </w:r>
            <w:r>
              <w:t>section 261 (see s. 2(b));</w:t>
            </w:r>
          </w:p>
          <w:p>
            <w:pPr>
              <w:pStyle w:val="nTable"/>
              <w:spacing w:after="40"/>
              <w:rPr>
                <w:noProof/>
              </w:rPr>
            </w:pPr>
            <w:r>
              <w:rPr>
                <w:noProof/>
              </w:rPr>
              <w:t xml:space="preserve">s. 5: operative on the commencement of </w:t>
            </w:r>
            <w:r>
              <w:t xml:space="preserve">the </w:t>
            </w:r>
            <w:r>
              <w:rPr>
                <w:i/>
              </w:rPr>
              <w:t xml:space="preserve">Workers Compensation and Injury Management Act 2023 </w:t>
            </w:r>
            <w:r>
              <w:t>section 263 (see s. 2(c));</w:t>
            </w:r>
          </w:p>
          <w:p>
            <w:pPr>
              <w:pStyle w:val="nTable"/>
              <w:spacing w:after="40"/>
              <w:rPr>
                <w:noProof/>
              </w:rPr>
            </w:pPr>
            <w:r>
              <w:rPr>
                <w:noProof/>
              </w:rPr>
              <w:t xml:space="preserve">s. 6: operative on the commencement of </w:t>
            </w:r>
            <w:r>
              <w:t xml:space="preserve">the </w:t>
            </w:r>
            <w:r>
              <w:rPr>
                <w:i/>
              </w:rPr>
              <w:t xml:space="preserve">Workers Compensation and Injury Management Act 2023 </w:t>
            </w:r>
            <w:r>
              <w:t>section 300 (see s. 2(d))</w:t>
            </w:r>
          </w:p>
          <w:p>
            <w:pPr>
              <w:pStyle w:val="nTable"/>
              <w:spacing w:after="40"/>
              <w:rPr>
                <w:noProof/>
              </w:rPr>
            </w:pPr>
            <w:r>
              <w:rPr>
                <w:noProof/>
              </w:rPr>
              <w:t xml:space="preserve">s. 7: operative on the commencement of </w:t>
            </w:r>
            <w:r>
              <w:t xml:space="preserve">the </w:t>
            </w:r>
            <w:r>
              <w:rPr>
                <w:i/>
              </w:rPr>
              <w:t xml:space="preserve">Workers Compensation and Injury Management Act 2023 </w:t>
            </w:r>
            <w:r>
              <w:t>section 302 (see s. 2(e))</w:t>
            </w:r>
          </w:p>
          <w:p>
            <w:pPr>
              <w:pStyle w:val="nTable"/>
              <w:spacing w:after="40"/>
              <w:rPr>
                <w:noProof/>
              </w:rPr>
            </w:pPr>
            <w:r>
              <w:rPr>
                <w:noProof/>
              </w:rPr>
              <w:t xml:space="preserve">s. 8: operative on the commencement of </w:t>
            </w:r>
            <w:r>
              <w:t xml:space="preserve">the </w:t>
            </w:r>
            <w:r>
              <w:rPr>
                <w:i/>
              </w:rPr>
              <w:t xml:space="preserve">Workers Compensation and Injury Management Act 2023 </w:t>
            </w:r>
            <w:r>
              <w:t>section 491 (see s. 2(f))</w:t>
            </w:r>
          </w:p>
        </w:tc>
      </w:tr>
    </w:tbl>
    <w:p>
      <w:pPr>
        <w:sectPr>
          <w:headerReference w:type="even" r:id="rId24"/>
          <w:headerReference w:type="default" r:id="rId25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3" w:name="_Toc199323726"/>
      <w:r>
        <w:rPr>
          <w:sz w:val="28"/>
        </w:rPr>
        <w:lastRenderedPageBreak/>
        <w:t>Defined terms</w:t>
      </w:r>
      <w:bookmarkEnd w:id="13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assent day</w:t>
      </w:r>
      <w:r>
        <w:tab/>
        <w:t>2</w:t>
      </w:r>
    </w:p>
    <w:p/>
    <w:p>
      <w:pPr>
        <w:sectPr>
          <w:headerReference w:type="even" r:id="rId26"/>
          <w:headerReference w:type="default" r:id="rId27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696C7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72576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EFPQIAAHgEAAAOAAAAZHJzL2Uyb0RvYy54bWysVFGP2jAMfp+0/xDlfbQw7tgqyolxYpqE&#10;7k7ipnsOaUIjpXGWBFr26+ekhWO3PU3jIdixY/v7bHd+1zWaHIXzCkxJx6OcEmE4VMrsS/r9ef3h&#10;EyU+MFMxDUaU9CQ8vVu8fzdvbSEmUIOuhCMYxPiitSWtQ7BFlnlei4b5EVhh0CjBNSyg6vZZ5ViL&#10;0RudTfL8NmvBVdYBF97j7X1vpIsUX0rBw6OUXgSiS4q1hXS6dO7imS3mrNg7ZmvFhzLYP1TRMGUw&#10;6SXUPQuMHJz6I1SjuAMPMow4NBlIqbhIGBDNOH+DZlszKxIWJMfbC03+/4XlD8cnR1RV0gklhjXY&#10;ouUh1OBUOEVyWusL9Nla9ArdF+iwyed7j5cRcyddE/8RDUE70ny6UCu6QHh8NJnlOVo4mm6nM1Ri&#10;lOz1sXU+fBXQkCiU1GHnEqHsuPGhdz27xFwetKrWSuukuP1upR05MuzyOv2G6L+5aUNazP7xJk+R&#10;DcT3fWhtsJiItccUpdDtuoGAHVQnxO+gHx9v+VphlRvmwxNzOC8IDHcgPOIhNWASGCRKkMqff7uP&#10;/thGtFLS4vyV1P84MCco0d8MNvjzeDqNA5uU6c1sgoq7tuyuLebQrADBj3HbLE9i9A/6LEoHzQuu&#10;yjJmRRMzHHOXNJzFVei3AleNi+UyOeGIWhY2Zmt5DB2pjj147l6Ys0OjAnb4Ac6Tyoo3/ep940sD&#10;OFggVWpmJLhndeAdxzuNw7CKcX+u9eT1+sFY/AIAAP//AwBQSwMEFAAGAAgAAAAhAGN/LhvcAAAA&#10;CQEAAA8AAABkcnMvZG93bnJldi54bWxMT8tOwzAQvCPxD9YicaN2w0NRiFNVSJyqHgilcHTjJYka&#10;r4PttOHvWU5w250ZzaNczW4QJwyx96RhuVAgkBpve2o17F6fb3IQMRmyZvCEGr4xwqq6vChNYf2Z&#10;XvBUp1awCcXCaOhSGgspY9OhM3HhRyTmPn1wJvEbWmmDObO5G2Sm1IN0pidO6MyITx02x3pyGj62&#10;/f12v1m/57Wa6reveXO83Qetr6/m9SOIhHP6E8Nvfa4OFXc6+IlsFIMGHpIYXeYZX8xzGogDI1l+&#10;p0BWpfy/oPoBAAD//wMAUEsBAi0AFAAGAAgAAAAhALaDOJL+AAAA4QEAABMAAAAAAAAAAAAAAAAA&#10;AAAAAFtDb250ZW50X1R5cGVzXS54bWxQSwECLQAUAAYACAAAACEAOP0h/9YAAACUAQAACwAAAAAA&#10;AAAAAAAAAAAvAQAAX3JlbHMvLnJlbHNQSwECLQAUAAYACAAAACEADq+BBT0CAAB4BAAADgAAAAAA&#10;AAAAAAAAAAAuAgAAZHJzL2Uyb0RvYy54bWxQSwECLQAUAAYACAAAACEAY38uG9wAAAAJAQAADwAA&#10;AAAAAAAAAAAAAACXBAAAZHJzL2Rvd25yZXYueG1sUEsFBgAAAAAEAAQA8wAAAKAFAAAAAA==&#10;" stroked="f" strokeweight=".5pt">
                <v:textbox>
                  <w:txbxContent>
                    <w:p w14:paraId="4B43043A" w14:textId="12803DFF" w:rsidR="00617EBA" w:rsidRDefault="00617EB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505FF48" w14:textId="77777777" w:rsidR="00617EBA" w:rsidRDefault="00617EB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21F61AC" w14:textId="5C32A4EC" w:rsidR="00617EBA" w:rsidRDefault="00617EB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8F2C844" w14:textId="77777777" w:rsidR="00617EBA" w:rsidRDefault="00617EBA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Oct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00-a0-02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Oct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00-a0-02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Oct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00-a0-02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iv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Oct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00-a0-02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Oct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iv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00-a0-02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Oct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iv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00-a0-02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 Compensation and Injury Management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 Compensation and Injury Management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 Compensation and Injury Management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 Compensation and Injury Management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 Compensation and Injury Management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 Compensation and Injury Management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2" w:name="Compilation"/>
    <w:bookmarkEnd w:id="12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 Compensation and Injury Management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 Compensation and Injury Management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14" w:name="DefinedTerms"/>
    <w:bookmarkEnd w:id="14"/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4B76088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AFD2E2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2"/>
  </w:num>
  <w:num w:numId="4">
    <w:abstractNumId w:val="13"/>
  </w:num>
  <w:num w:numId="5">
    <w:abstractNumId w:val="21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6"/>
  </w:num>
  <w:num w:numId="17">
    <w:abstractNumId w:val="18"/>
  </w:num>
  <w:num w:numId="18">
    <w:abstractNumId w:val="20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hideSpellingErrors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324609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31227144307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208163642" w:val="RemoveTocBookmarks,RemoveUnusedBookmarks,RemoveLanguageTags,UsedStyles,ResetPageSize"/>
    <w:docVar w:name="WAFER_20190208163642_GUID" w:val="659bd990-e8c8-4070-8037-f103d03707d0"/>
    <w:docVar w:name="WAFER_20191206110434" w:val="RemoveTocBookmarks,RemoveUnusedBookmarks,RemoveLanguageTags,ResetPageSize,RunningHeaders,UpdateStyles,UsedStyles"/>
    <w:docVar w:name="WAFER_20191206110434_GUID" w:val="7a294e70-546b-4bff-8da7-b14bb09b3248"/>
    <w:docVar w:name="WAFER_20191206114102" w:val="RemoveTocBookmarks,RemoveUnusedBookmarks,RemoveLanguageTags,ResetPageSize,RunningHeaders,UpdateStyles,UsedStyles"/>
    <w:docVar w:name="WAFER_20191206114102_GUID" w:val="c7ebeeb4-1a67-480f-a7bc-8aab31834741"/>
    <w:docVar w:name="WAFER_20191206120300" w:val="RemoveTocBookmarks,RemoveUnusedBookmarks,RemoveLanguageTags,ResetPageSize,RunningHeaders,UpdateStyles,UsedStyles"/>
    <w:docVar w:name="WAFER_20191206120300_GUID" w:val="93aace8f-776e-45b2-8bd9-1ca315d9590e"/>
    <w:docVar w:name="WAFER_20191206123320" w:val="RemoveTocBookmarks,RemoveUnusedBookmarks,RemoveLanguageTags,ResetPageSize,RunningHeaders,UpdateStyles,UsedStyles"/>
    <w:docVar w:name="WAFER_20191206123320_GUID" w:val="229e5f2d-12e3-47f9-a28f-ea94230bb409"/>
    <w:docVar w:name="WAFER_20191209134538" w:val="RemoveTocBookmarks,RemoveUnusedBookmarks,RemoveLanguageTags,ResetPageSize,RunningHeaders,UpdateStyles,UsedStyles"/>
    <w:docVar w:name="WAFER_20191209134538_GUID" w:val="6e43a1e4-a796-4b55-9a6b-a5c7cec34e71"/>
    <w:docVar w:name="WAFER_20191209155156" w:val="RemoveTocBookmarks,RemoveUnusedBookmarks,RemoveLanguageTags,ResetPageSize,RunningHeaders,UpdateStyles,UsedStyles"/>
    <w:docVar w:name="WAFER_20191209155156_GUID" w:val="796669d8-c23c-4070-9df8-22e9b744d62d"/>
    <w:docVar w:name="WAFER_20200203091858" w:val="RemoveTocBookmarks,RemoveUnusedBookmarks,RemoveLanguageTags,RemoveSmartTags,ResetPageSize,RunningHeaders,UpdateStyles,UsedStyles"/>
    <w:docVar w:name="WAFER_20200203091858_GUID" w:val="6721aec1-4305-4354-965c-e2ba9795f0e2"/>
    <w:docVar w:name="WAFER_20200522082818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522082818_GUID" w:val="277f6461-21d0-43c1-8dce-2c1a362507cd"/>
    <w:docVar w:name="WAFER_2020061714001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617140011_GUID" w:val="2987d0bd-fb14-432b-9f92-ed10413a223c"/>
    <w:docVar w:name="WAFER_2020081411555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814115554_GUID" w:val="49cebde5-56cd-4a6f-95d6-c40e67e1a077"/>
    <w:docVar w:name="WAFER_2020081815450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818154504_GUID" w:val="94e12253-01bb-43c6-a3c2-b6f1b121b1b5"/>
    <w:docVar w:name="WAFER_2020082016094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820160944_GUID" w:val="4ec1d498-33cf-46da-bce1-f6c83f8171a6"/>
    <w:docVar w:name="WAFER_2020082508521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825085213_GUID" w:val="0e6894a1-c929-4365-a564-4a1f81208ff4"/>
    <w:docVar w:name="WAFER_2020082513070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825130706_GUID" w:val="f3a9b9c7-3698-44c8-a08a-ab14309f08aa"/>
    <w:docVar w:name="WAFER_2020082716500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827165003_GUID" w:val="fecd49c3-54ac-4e2d-8f50-8593670e1138"/>
    <w:docVar w:name="WAFER_2020092109303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1093035_GUID" w:val="9d6b289b-5a63-4fca-9cd6-71b5b4a2f8df"/>
    <w:docVar w:name="WAFER_2020100112012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01120127_GUID" w:val="1a5958bf-6ca2-4b42-a25f-4dcf38516bad"/>
    <w:docVar w:name="WAFER_2020100117355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1001173559_GUID" w:val="100fc366-a7d0-41b0-ac02-70b2f04e469c"/>
    <w:docVar w:name="WAFER_20201021093638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1021093638_GUID" w:val="287c381c-bbfe-4bab-b80a-ecda90dd0ab9"/>
    <w:docVar w:name="WAFER_2020102111482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1114825_GUID" w:val="0ae66411-94a8-4c74-81ca-82bd6b49cbb5"/>
    <w:docVar w:name="WAFER_20201021123228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1123228_GUID" w:val="e0cfd0ed-102b-4eec-a32e-5b30f356005f"/>
    <w:docVar w:name="WAFER_2020102211333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1022113332_GUID" w:val="98dd925c-69b7-4320-83ed-f2a44d71f144"/>
    <w:docVar w:name="WAFER_2020102214095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2140959_GUID" w:val="601d861a-cfc4-4805-8776-2fa3fc020723"/>
    <w:docVar w:name="WAFER_2020111114443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1111144437_GUID" w:val="d2e88f72-f09f-4352-a05b-2174e4b207c5"/>
    <w:docVar w:name="WAFER_2020111313584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113135845_GUID" w:val="10496818-32a9-43c6-8741-b15f90f3f7e8"/>
    <w:docVar w:name="WAFER_2020111608550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116085509_GUID" w:val="0f04874b-f675-4fe2-8b8c-6ad87bee433e"/>
    <w:docVar w:name="WAFER_2020111708480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117084807_GUID" w:val="4c8ce708-f376-4d29-b23f-99b715e92532"/>
    <w:docVar w:name="WAFER_20201117084923" w:val="RemoveDocumentProtection.CheckForDocumentProtection,RemoveCustomizations.CheckForCustomization,RemoveBackground.CheckForBackground,RemoveDocumentProtection.CheckForDocumentProtection,RemoveCustomizations.CheckForCustomization,RemoveBackground.CheckForBackground,RemoveBadTrackChanges.RemoveTags"/>
    <w:docVar w:name="WAFER_20201117084923_GUID" w:val="15e97909-1790-4684-a39c-9796b9774160"/>
    <w:docVar w:name="WAFER_2020111913191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119131919_GUID" w:val="9a55b268-77d5-4a28-b4f2-145f6b178c96"/>
    <w:docVar w:name="WAFER_2021042710531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427105313_GUID" w:val="1ea9d6d8-6ba1-4e3f-bf1a-3fb67d74cdb0"/>
    <w:docVar w:name="WAFER_2021052413230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524132301_GUID" w:val="7abb4226-ab5b-454e-b21c-024b2ca369ba"/>
    <w:docVar w:name="WAFER_20210526105208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526105208_GUID" w:val="fb78a43e-7957-4603-952e-95d147315d1c"/>
    <w:docVar w:name="WAFER_2021060910423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09104232_GUID" w:val="fbb7daeb-2d69-428b-8145-053716464ed6"/>
    <w:docVar w:name="WAFER_20220526130416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0526130416_GUID" w:val="a11d4731-8333-4e36-bef3-13790ea61c07"/>
    <w:docVar w:name="WAFER_20220706104939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706104939_GUID" w:val="d96f8530-3932-4ae3-bbd7-5aadf405d85b"/>
    <w:docVar w:name="WAFER_2022092009244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0920092443_GUID" w:val="ad592f40-b81c-4550-88e0-f3fa9044644f"/>
    <w:docVar w:name="WAFER_20220923141948" w:val="RemoveAutoUpdateStyles.CheckForAutoUpdateStyles,RemoveDocumentProtection.CheckForDocumentProtection,RemoveCustomizations.CheckForCustomization,RemoveBackground.CheckForBackground,ChangeTrackAuthors.CountDifferentAuthors,RemoveAutoUpdateStyles.CheckForAutoUpdateStyles,RemoveDocumentProtection.CheckForDocumentProtection,RemoveCustomizations.CheckForCustomization,RemoveBackground.CheckForBackground,ChangeTrackAuthors.CountDifferentAuthors,RemoveBadTrackChanges.RemoveTags"/>
    <w:docVar w:name="WAFER_20220923141948_GUID" w:val="476df363-5966-44f2-a1f0-4075c7c1b3c4"/>
    <w:docVar w:name="WAFER_20220923142028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923142028_GUID" w:val="a35f5757-e703-40d4-86a6-78a758f6078c"/>
    <w:docVar w:name="WAFER_2022100310263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1003102635_GUID" w:val="77c994b8-e55c-4d5b-b19a-092cf157f8cb"/>
    <w:docVar w:name="WAFER_20221130085142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1130085142_GUID" w:val="90edd418-a658-4b86-b4ca-c73a6bf72e1f"/>
    <w:docVar w:name="WAFER_20221201153417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1201153417_GUID" w:val="809767e2-1486-415f-99f1-f43d2271bf0d"/>
    <w:docVar w:name="WAFER_20230124095256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30124095256_GUID" w:val="e649da37-179d-49cb-9a90-d20484019734"/>
    <w:docVar w:name="WAFER_20230124101653" w:val="RemoveAutoUpdateStyles.CheckForAutoUpdateStyles,RemoveDocumentProtection.CheckForDocumentProtection,RemoveCustomizations.CheckForCustomization,RemoveBackground.CheckForBackground,ChangeTrackAuthors.CountDifferentAuthors,RemoveAutoUpdateStyles.CheckForAutoUpdateStyles,RemoveDocumentProtection.CheckForDocumentProtection,RemoveCustomizations.CheckForCustomization,RemoveBackground.CheckForBackground,ChangeTrackAuthors.CountDifferentAuthors,RemoveDraftersNotes.RemoveTags"/>
    <w:docVar w:name="WAFER_20230124101653_GUID" w:val="93da3a71-5058-4c4a-9ba7-2cb26f07a0ab"/>
    <w:docVar w:name="WAFER_2023051115440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30511154406_GUID" w:val="ae8d580b-8d47-40c4-bc82-6b0e7a179709"/>
    <w:docVar w:name="WAFER_2023101110585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LanguageTags.RemoveTags,RemoveSmartTags.RemoveTags,RemoveBadTrackChanges.RemoveTags"/>
    <w:docVar w:name="WAFER_20231011105854_GUID" w:val="ab0190ce-9e5d-482a-8ef2-0c366d9d1eea"/>
    <w:docVar w:name="WAFER_2023102414400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024144006_GUID" w:val="a0fccdeb-657f-486e-b6ae-efa8c6da0802"/>
    <w:docVar w:name="WAFER_202312271443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7144307_GUID" w:val="47964b22-dc33-443c-8ae2-0734e3af500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4609"/>
    <o:shapelayout v:ext="edit">
      <o:idmap v:ext="edit" data="1"/>
    </o:shapelayout>
  </w:shapeDefaults>
  <w:decimalSymbol w:val="."/>
  <w:listSeparator w:val=","/>
  <w15:docId w15:val="{DC2574F0-E51C-4810-960D-C77F14EB2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uiPriority w:val="9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uiPriority w:val="9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uiPriority w:val="9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link w:val="Heading5Char"/>
    <w:uiPriority w:val="9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uiPriority w:val="39"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uiPriority w:val="39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link w:val="SubsectionChar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uiPriority w:val="99"/>
    <w:pPr>
      <w:tabs>
        <w:tab w:val="num" w:pos="360"/>
      </w:tabs>
    </w:pPr>
  </w:style>
  <w:style w:type="paragraph" w:styleId="ListNumber4">
    <w:name w:val="List Number 4"/>
    <w:basedOn w:val="Normal"/>
    <w:uiPriority w:val="99"/>
    <w:pPr>
      <w:tabs>
        <w:tab w:val="num" w:pos="360"/>
      </w:tabs>
    </w:pPr>
  </w:style>
  <w:style w:type="paragraph" w:styleId="ListNumber5">
    <w:name w:val="List Number 5"/>
    <w:basedOn w:val="Normal"/>
    <w:uiPriority w:val="99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Heading5Char">
    <w:name w:val="Heading 5 Char"/>
    <w:basedOn w:val="DefaultParagraphFont"/>
    <w:link w:val="Heading5"/>
    <w:uiPriority w:val="9"/>
    <w:rPr>
      <w:b/>
      <w:sz w:val="24"/>
    </w:rPr>
  </w:style>
  <w:style w:type="character" w:customStyle="1" w:styleId="SubsectionChar">
    <w:name w:val="Subsection Char"/>
    <w:link w:val="Subsection"/>
    <w:locked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43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2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2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5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image" Target="media/image2.png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footer" Target="footer7.xm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993909-C9B6-4CF4-9014-28681EE44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898</Words>
  <Characters>4275</Characters>
  <Application>Microsoft Office Word</Application>
  <DocSecurity>0</DocSecurity>
  <Lines>185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5066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Workers Compensation and Injury Management Act 2023 - 00-a0-02</dc:title>
  <dc:subject/>
  <dc:creator/>
  <cp:keywords/>
  <dc:description/>
  <cp:lastModifiedBy>Master Repository Process</cp:lastModifiedBy>
  <cp:revision>4</cp:revision>
  <cp:lastPrinted>2023-10-18T07:46:00Z</cp:lastPrinted>
  <dcterms:created xsi:type="dcterms:W3CDTF">2025-05-28T03:21:00Z</dcterms:created>
  <dcterms:modified xsi:type="dcterms:W3CDTF">2025-05-28T03:21:00Z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21 of 2023</vt:lpwstr>
  </property>
  <property fmtid="{D5CDD505-2E9C-101B-9397-08002B2CF9AE}" pid="3" name="DocumentType">
    <vt:lpwstr>Act</vt:lpwstr>
  </property>
  <property fmtid="{D5CDD505-2E9C-101B-9397-08002B2CF9AE}" pid="4" name="AsAtDate">
    <vt:lpwstr>24 Oct 2023</vt:lpwstr>
  </property>
  <property fmtid="{D5CDD505-2E9C-101B-9397-08002B2CF9AE}" pid="5" name="Suffix">
    <vt:lpwstr>00-a0-02</vt:lpwstr>
  </property>
  <property fmtid="{D5CDD505-2E9C-101B-9397-08002B2CF9AE}" pid="6" name="Official">
    <vt:lpwstr/>
  </property>
  <property fmtid="{D5CDD505-2E9C-101B-9397-08002B2CF9AE}" pid="7" name="CommencementDate">
    <vt:lpwstr>20231024</vt:lpwstr>
  </property>
  <property fmtid="{D5CDD505-2E9C-101B-9397-08002B2CF9AE}" pid="8" name="CommencementAsAt">
    <vt:filetime>2023-10-23T16:00:00Z</vt:filetime>
  </property>
  <property fmtid="{D5CDD505-2E9C-101B-9397-08002B2CF9AE}" pid="9" name="CommencementYear">
    <vt:lpwstr>2023</vt:lpwstr>
  </property>
</Properties>
</file>