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_Toc161752429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_Toc161752430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_Toc161752431 \h </w:instrText>
      </w:r>
      <w:r>
        <w:fldChar w:fldCharType="separate"/>
      </w:r>
      <w:r>
        <w:t>2</w:t>
      </w:r>
      <w:r>
        <w:fldChar w:fldCharType="end"/>
      </w:r>
    </w:p>
    <w:p>
      <w:pPr>
        <w:pStyle w:val="TOC8"/>
        <w:rPr>
          <w:rFonts w:asciiTheme="minorHAnsi" w:eastAsiaTheme="minorEastAsia" w:hAnsiTheme="minorHAnsi" w:cstheme="minorBidi"/>
          <w:szCs w:val="22"/>
        </w:rPr>
      </w:pPr>
      <w:r>
        <w:t>4.</w:t>
      </w:r>
      <w:r>
        <w:tab/>
        <w:t>No contracting out</w:t>
      </w:r>
      <w:r>
        <w:tab/>
      </w:r>
      <w:r>
        <w:fldChar w:fldCharType="begin"/>
      </w:r>
      <w:r>
        <w:instrText xml:space="preserve"> PAGEREF _Toc161752432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14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542.</w:t>
      </w:r>
      <w:r>
        <w:tab/>
        <w:t>Terms used</w:t>
      </w:r>
      <w:r>
        <w:tab/>
      </w:r>
      <w:r>
        <w:fldChar w:fldCharType="begin"/>
      </w:r>
      <w:r>
        <w:instrText xml:space="preserve"> PAGEREF _Toc161752435 \h </w:instrText>
      </w:r>
      <w:r>
        <w:fldChar w:fldCharType="separate"/>
      </w:r>
      <w:r>
        <w:t>4</w:t>
      </w:r>
      <w:r>
        <w:fldChar w:fldCharType="end"/>
      </w:r>
    </w:p>
    <w:p>
      <w:pPr>
        <w:pStyle w:val="TOC8"/>
        <w:rPr>
          <w:rFonts w:asciiTheme="minorHAnsi" w:eastAsiaTheme="minorEastAsia" w:hAnsiTheme="minorHAnsi" w:cstheme="minorBidi"/>
          <w:szCs w:val="22"/>
        </w:rPr>
      </w:pPr>
      <w:r>
        <w:t>543.</w:t>
      </w:r>
      <w:r>
        <w:tab/>
        <w:t>Expressions used in former Act</w:t>
      </w:r>
      <w:r>
        <w:tab/>
      </w:r>
      <w:r>
        <w:fldChar w:fldCharType="begin"/>
      </w:r>
      <w:r>
        <w:instrText xml:space="preserve"> PAGEREF _Toc161752436 \h </w:instrText>
      </w:r>
      <w:r>
        <w:fldChar w:fldCharType="separate"/>
      </w:r>
      <w:r>
        <w:t>4</w:t>
      </w:r>
      <w:r>
        <w:fldChar w:fldCharType="end"/>
      </w:r>
    </w:p>
    <w:p>
      <w:pPr>
        <w:pStyle w:val="TOC8"/>
        <w:rPr>
          <w:rFonts w:asciiTheme="minorHAnsi" w:eastAsiaTheme="minorEastAsia" w:hAnsiTheme="minorHAnsi" w:cstheme="minorBidi"/>
          <w:szCs w:val="22"/>
        </w:rPr>
      </w:pPr>
      <w:r>
        <w:t>545.</w:t>
      </w:r>
      <w:r>
        <w:tab/>
      </w:r>
      <w:r>
        <w:rPr>
          <w:i/>
        </w:rPr>
        <w:t>Interpretation Act 1984</w:t>
      </w:r>
      <w:r>
        <w:t xml:space="preserve"> not affected</w:t>
      </w:r>
      <w:r>
        <w:tab/>
      </w:r>
      <w:r>
        <w:fldChar w:fldCharType="begin"/>
      </w:r>
      <w:r>
        <w:instrText xml:space="preserve"> PAGEREF _Toc161752437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4 — Dispute resolution</w:t>
      </w:r>
    </w:p>
    <w:p>
      <w:pPr>
        <w:pStyle w:val="TOC8"/>
        <w:rPr>
          <w:rFonts w:asciiTheme="minorHAnsi" w:eastAsiaTheme="minorEastAsia" w:hAnsiTheme="minorHAnsi" w:cstheme="minorBidi"/>
          <w:szCs w:val="22"/>
        </w:rPr>
      </w:pPr>
      <w:r>
        <w:t>574.</w:t>
      </w:r>
      <w:r>
        <w:tab/>
        <w:t>Conciliation rules, arbitration rules and practice notes</w:t>
      </w:r>
      <w:r>
        <w:tab/>
      </w:r>
      <w:r>
        <w:fldChar w:fldCharType="begin"/>
      </w:r>
      <w:r>
        <w:instrText xml:space="preserve"> PAGEREF _Toc161752439 \h </w:instrText>
      </w:r>
      <w:r>
        <w:fldChar w:fldCharType="separate"/>
      </w:r>
      <w:r>
        <w:t>5</w:t>
      </w:r>
      <w:r>
        <w:fldChar w:fldCharType="end"/>
      </w:r>
    </w:p>
    <w:p>
      <w:pPr>
        <w:pStyle w:val="TOC8"/>
        <w:rPr>
          <w:rFonts w:asciiTheme="minorHAnsi" w:eastAsiaTheme="minorEastAsia" w:hAnsiTheme="minorHAnsi" w:cstheme="minorBidi"/>
          <w:szCs w:val="22"/>
        </w:rPr>
      </w:pPr>
      <w:r>
        <w:t>579.</w:t>
      </w:r>
      <w:r>
        <w:tab/>
        <w:t>Costs determination</w:t>
      </w:r>
      <w:r>
        <w:tab/>
      </w:r>
      <w:r>
        <w:fldChar w:fldCharType="begin"/>
      </w:r>
      <w:r>
        <w:instrText xml:space="preserve"> PAGEREF _Toc161752440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10 — Administration</w:t>
      </w:r>
    </w:p>
    <w:p>
      <w:pPr>
        <w:pStyle w:val="TOC8"/>
        <w:rPr>
          <w:rFonts w:asciiTheme="minorHAnsi" w:eastAsiaTheme="minorEastAsia" w:hAnsiTheme="minorHAnsi" w:cstheme="minorBidi"/>
          <w:szCs w:val="22"/>
        </w:rPr>
      </w:pPr>
      <w:r>
        <w:t>603.</w:t>
      </w:r>
      <w:r>
        <w:tab/>
        <w:t>Term used: WorkCover Western Australia Authority</w:t>
      </w:r>
      <w:r>
        <w:tab/>
      </w:r>
      <w:r>
        <w:fldChar w:fldCharType="begin"/>
      </w:r>
      <w:r>
        <w:instrText xml:space="preserve"> PAGEREF _Toc161752442 \h </w:instrText>
      </w:r>
      <w:r>
        <w:fldChar w:fldCharType="separate"/>
      </w:r>
      <w:r>
        <w:t>7</w:t>
      </w:r>
      <w:r>
        <w:fldChar w:fldCharType="end"/>
      </w:r>
    </w:p>
    <w:p>
      <w:pPr>
        <w:pStyle w:val="TOC8"/>
        <w:rPr>
          <w:rFonts w:asciiTheme="minorHAnsi" w:eastAsiaTheme="minorEastAsia" w:hAnsiTheme="minorHAnsi" w:cstheme="minorBidi"/>
          <w:szCs w:val="22"/>
        </w:rPr>
      </w:pPr>
      <w:r>
        <w:t>606.</w:t>
      </w:r>
      <w:r>
        <w:tab/>
        <w:t>Exercise of powers of Board before commencement day</w:t>
      </w:r>
      <w:r>
        <w:tab/>
      </w:r>
      <w:r>
        <w:fldChar w:fldCharType="begin"/>
      </w:r>
      <w:r>
        <w:instrText xml:space="preserve"> PAGEREF _Toc161752443 \h </w:instrText>
      </w:r>
      <w:r>
        <w:fldChar w:fldCharType="separate"/>
      </w:r>
      <w:r>
        <w:t>7</w:t>
      </w:r>
      <w:r>
        <w:fldChar w:fldCharType="end"/>
      </w:r>
    </w:p>
    <w:p>
      <w:pPr>
        <w:pStyle w:val="TOC8"/>
        <w:rPr>
          <w:rFonts w:asciiTheme="minorHAnsi" w:eastAsiaTheme="minorEastAsia" w:hAnsiTheme="minorHAnsi" w:cstheme="minorBidi"/>
          <w:szCs w:val="22"/>
        </w:rPr>
      </w:pPr>
      <w:r>
        <w:t>609.</w:t>
      </w:r>
      <w:r>
        <w:tab/>
        <w:t>Exercise of powers of CEO before commencement day</w:t>
      </w:r>
      <w:r>
        <w:tab/>
      </w:r>
      <w:r>
        <w:fldChar w:fldCharType="begin"/>
      </w:r>
      <w:r>
        <w:instrText xml:space="preserve"> PAGEREF _Toc161752444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_Toc161752446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_Toc161752447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950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Workers Compensation and Injury Management Act 2023</w:t>
      </w:r>
    </w:p>
    <w:p>
      <w:pPr>
        <w:pStyle w:val="LongTitle"/>
        <w:suppressLineNumbers/>
        <w:rPr>
          <w:snapToGrid w:val="0"/>
        </w:rPr>
      </w:pPr>
      <w:bookmarkStart w:id="2" w:name="BillCited"/>
      <w:bookmarkEnd w:id="2"/>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3" w:name="_Toc161319746"/>
      <w:bookmarkStart w:id="4" w:name="_Toc161320424"/>
      <w:bookmarkStart w:id="5" w:name="_Toc161752057"/>
      <w:bookmarkStart w:id="6" w:name="_Toc161752085"/>
      <w:bookmarkStart w:id="7" w:name="_Toc161752427"/>
      <w:r>
        <w:rPr>
          <w:rStyle w:val="CharPartNo"/>
        </w:rPr>
        <w:lastRenderedPageBreak/>
        <w:t>Part 1</w:t>
      </w:r>
      <w:r>
        <w:t> — </w:t>
      </w:r>
      <w:r>
        <w:rPr>
          <w:rStyle w:val="CharPartText"/>
        </w:rPr>
        <w:t>Preliminary</w:t>
      </w:r>
      <w:bookmarkEnd w:id="3"/>
      <w:bookmarkEnd w:id="4"/>
      <w:bookmarkEnd w:id="5"/>
      <w:bookmarkEnd w:id="6"/>
      <w:bookmarkEnd w:id="7"/>
    </w:p>
    <w:p>
      <w:pPr>
        <w:pStyle w:val="Heading3"/>
      </w:pPr>
      <w:bookmarkStart w:id="8" w:name="_Toc161319747"/>
      <w:bookmarkStart w:id="9" w:name="_Toc161320425"/>
      <w:bookmarkStart w:id="10" w:name="_Toc161752058"/>
      <w:bookmarkStart w:id="11" w:name="_Toc161752086"/>
      <w:bookmarkStart w:id="12" w:name="_Toc161752428"/>
      <w:r>
        <w:rPr>
          <w:rStyle w:val="CharDivNo"/>
        </w:rPr>
        <w:t>Division 1</w:t>
      </w:r>
      <w:r>
        <w:t> — </w:t>
      </w:r>
      <w:r>
        <w:rPr>
          <w:rStyle w:val="CharDivText"/>
        </w:rPr>
        <w:t>General</w:t>
      </w:r>
      <w:bookmarkEnd w:id="8"/>
      <w:bookmarkEnd w:id="9"/>
      <w:bookmarkEnd w:id="10"/>
      <w:bookmarkEnd w:id="11"/>
      <w:bookmarkEnd w:id="12"/>
    </w:p>
    <w:p>
      <w:pPr>
        <w:pStyle w:val="Heading5"/>
      </w:pPr>
      <w:bookmarkStart w:id="13" w:name="_Toc161752429"/>
      <w:r>
        <w:rPr>
          <w:rStyle w:val="CharSectno"/>
        </w:rPr>
        <w:t>1</w:t>
      </w:r>
      <w:r>
        <w:t>.</w:t>
      </w:r>
      <w:r>
        <w:tab/>
        <w:t>Short title</w:t>
      </w:r>
      <w:bookmarkEnd w:id="13"/>
    </w:p>
    <w:p>
      <w:pPr>
        <w:pStyle w:val="Subsection"/>
      </w:pPr>
      <w:r>
        <w:tab/>
      </w:r>
      <w:r>
        <w:tab/>
        <w:t xml:space="preserve">This is the </w:t>
      </w:r>
      <w:r>
        <w:rPr>
          <w:i/>
        </w:rPr>
        <w:t>Workers Compensation and Injury Management Act 2023</w:t>
      </w:r>
      <w:r>
        <w:t>.</w:t>
      </w:r>
    </w:p>
    <w:p>
      <w:pPr>
        <w:pStyle w:val="Heading5"/>
      </w:pPr>
      <w:bookmarkStart w:id="14" w:name="_Toc161752430"/>
      <w:r>
        <w:rPr>
          <w:rStyle w:val="CharSectno"/>
        </w:rPr>
        <w:t>2</w:t>
      </w:r>
      <w:r>
        <w:t>.</w:t>
      </w:r>
      <w:r>
        <w:tab/>
        <w:t>Commencement</w:t>
      </w:r>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15" w:name="_Toc161752431"/>
      <w:r>
        <w:rPr>
          <w:rStyle w:val="CharSectno"/>
        </w:rPr>
        <w:t>3</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Heading5"/>
      </w:pPr>
      <w:bookmarkStart w:id="16" w:name="_Toc161752432"/>
      <w:r>
        <w:rPr>
          <w:rStyle w:val="CharSectno"/>
        </w:rPr>
        <w:lastRenderedPageBreak/>
        <w:t>4</w:t>
      </w:r>
      <w:r>
        <w:t>.</w:t>
      </w:r>
      <w:r>
        <w:tab/>
        <w:t>No contracting out</w:t>
      </w:r>
      <w:bookmarkEnd w:id="16"/>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Ednotedivision"/>
      </w:pPr>
      <w:r>
        <w:t>[Div. 2</w:t>
      </w:r>
      <w:r>
        <w:noBreakHyphen/>
        <w:t>4 have not come into operation.]</w:t>
      </w:r>
    </w:p>
    <w:p>
      <w:pPr>
        <w:pStyle w:val="Ednotepart"/>
      </w:pPr>
      <w:r>
        <w:t>[Parts 2-13 have not come into operation.]</w:t>
      </w:r>
    </w:p>
    <w:p>
      <w:pPr>
        <w:pStyle w:val="Heading2"/>
      </w:pPr>
      <w:bookmarkStart w:id="17" w:name="_Toc161319752"/>
      <w:bookmarkStart w:id="18" w:name="_Toc161320430"/>
      <w:bookmarkStart w:id="19" w:name="_Toc161752063"/>
      <w:bookmarkStart w:id="20" w:name="_Toc161752091"/>
      <w:bookmarkStart w:id="21" w:name="_Toc161752433"/>
      <w:r>
        <w:rPr>
          <w:rStyle w:val="CharPartNo"/>
        </w:rPr>
        <w:lastRenderedPageBreak/>
        <w:t>Part 14</w:t>
      </w:r>
      <w:r>
        <w:t> — </w:t>
      </w:r>
      <w:r>
        <w:rPr>
          <w:rStyle w:val="CharPartText"/>
        </w:rPr>
        <w:t>Savings and transitional provisions</w:t>
      </w:r>
      <w:bookmarkEnd w:id="17"/>
      <w:bookmarkEnd w:id="18"/>
      <w:bookmarkEnd w:id="19"/>
      <w:bookmarkEnd w:id="20"/>
      <w:bookmarkEnd w:id="21"/>
    </w:p>
    <w:p>
      <w:pPr>
        <w:pStyle w:val="Heading3"/>
      </w:pPr>
      <w:bookmarkStart w:id="22" w:name="_Toc161319753"/>
      <w:bookmarkStart w:id="23" w:name="_Toc161320431"/>
      <w:bookmarkStart w:id="24" w:name="_Toc161752064"/>
      <w:bookmarkStart w:id="25" w:name="_Toc161752092"/>
      <w:bookmarkStart w:id="26" w:name="_Toc161752434"/>
      <w:r>
        <w:rPr>
          <w:rStyle w:val="CharDivNo"/>
        </w:rPr>
        <w:t>Division 1</w:t>
      </w:r>
      <w:r>
        <w:t> — </w:t>
      </w:r>
      <w:r>
        <w:rPr>
          <w:rStyle w:val="CharDivText"/>
        </w:rPr>
        <w:t>General</w:t>
      </w:r>
      <w:bookmarkEnd w:id="22"/>
      <w:bookmarkEnd w:id="23"/>
      <w:bookmarkEnd w:id="24"/>
      <w:bookmarkEnd w:id="25"/>
      <w:bookmarkEnd w:id="26"/>
    </w:p>
    <w:p>
      <w:pPr>
        <w:pStyle w:val="Heading5"/>
      </w:pPr>
      <w:bookmarkStart w:id="27" w:name="_Toc161752435"/>
      <w:r>
        <w:rPr>
          <w:rStyle w:val="CharSectno"/>
        </w:rPr>
        <w:t>542</w:t>
      </w:r>
      <w:r>
        <w:t>.</w:t>
      </w:r>
      <w:r>
        <w:tab/>
        <w:t>Terms used</w:t>
      </w:r>
      <w:bookmarkEnd w:id="27"/>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28" w:name="_Toc161752436"/>
      <w:r>
        <w:rPr>
          <w:rStyle w:val="CharSectno"/>
        </w:rPr>
        <w:t>543</w:t>
      </w:r>
      <w:r>
        <w:t>.</w:t>
      </w:r>
      <w:r>
        <w:tab/>
        <w:t>Expressions used in former Act</w:t>
      </w:r>
      <w:bookmarkEnd w:id="28"/>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Ednotesection"/>
      </w:pPr>
      <w:r>
        <w:t>[</w:t>
      </w:r>
      <w:r>
        <w:rPr>
          <w:b/>
        </w:rPr>
        <w:t>544.</w:t>
      </w:r>
      <w:r>
        <w:tab/>
        <w:t>Has not come into operation</w:t>
      </w:r>
      <w:r>
        <w:rPr>
          <w:i w:val="0"/>
        </w:rPr>
        <w:t>.</w:t>
      </w:r>
      <w:r>
        <w:t>]</w:t>
      </w:r>
    </w:p>
    <w:p>
      <w:pPr>
        <w:pStyle w:val="Heading5"/>
      </w:pPr>
      <w:bookmarkStart w:id="29" w:name="_Toc161752437"/>
      <w:r>
        <w:rPr>
          <w:rStyle w:val="CharSectno"/>
        </w:rPr>
        <w:t>545</w:t>
      </w:r>
      <w:r>
        <w:t>.</w:t>
      </w:r>
      <w:r>
        <w:tab/>
      </w:r>
      <w:r>
        <w:rPr>
          <w:i/>
        </w:rPr>
        <w:t>Interpretation Act 1984</w:t>
      </w:r>
      <w:r>
        <w:t xml:space="preserve"> not affected</w:t>
      </w:r>
      <w:bookmarkEnd w:id="29"/>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Ednotesection"/>
      </w:pPr>
      <w:r>
        <w:t>[</w:t>
      </w:r>
      <w:r>
        <w:rPr>
          <w:b/>
        </w:rPr>
        <w:t>546-554.</w:t>
      </w:r>
      <w:r>
        <w:tab/>
        <w:t>Have not come into operation</w:t>
      </w:r>
      <w:r>
        <w:rPr>
          <w:i w:val="0"/>
        </w:rPr>
        <w:t>.</w:t>
      </w:r>
      <w:r>
        <w:t>]</w:t>
      </w:r>
    </w:p>
    <w:p>
      <w:pPr>
        <w:pStyle w:val="Ednotedivision"/>
      </w:pPr>
      <w:r>
        <w:t>[Divisions 2-3 (s. 555</w:t>
      </w:r>
      <w:r>
        <w:noBreakHyphen/>
        <w:t>570) have not come into operation.]</w:t>
      </w:r>
    </w:p>
    <w:p>
      <w:pPr>
        <w:pStyle w:val="Heading3"/>
      </w:pPr>
      <w:bookmarkStart w:id="30" w:name="_Toc161319757"/>
      <w:bookmarkStart w:id="31" w:name="_Toc161320435"/>
      <w:bookmarkStart w:id="32" w:name="_Toc161752068"/>
      <w:bookmarkStart w:id="33" w:name="_Toc161752096"/>
      <w:bookmarkStart w:id="34" w:name="_Toc161752438"/>
      <w:r>
        <w:rPr>
          <w:rStyle w:val="CharDivNo"/>
        </w:rPr>
        <w:lastRenderedPageBreak/>
        <w:t>Division 4</w:t>
      </w:r>
      <w:r>
        <w:t> — </w:t>
      </w:r>
      <w:r>
        <w:rPr>
          <w:rStyle w:val="CharDivText"/>
        </w:rPr>
        <w:t>Dispute resolution</w:t>
      </w:r>
      <w:bookmarkEnd w:id="30"/>
      <w:bookmarkEnd w:id="31"/>
      <w:bookmarkEnd w:id="32"/>
      <w:bookmarkEnd w:id="33"/>
      <w:bookmarkEnd w:id="34"/>
    </w:p>
    <w:p>
      <w:pPr>
        <w:pStyle w:val="Ednotesection"/>
      </w:pPr>
      <w:r>
        <w:t>[</w:t>
      </w:r>
      <w:r>
        <w:rPr>
          <w:b/>
        </w:rPr>
        <w:t>571-573.</w:t>
      </w:r>
      <w:r>
        <w:tab/>
        <w:t>Have not come into operation</w:t>
      </w:r>
      <w:r>
        <w:rPr>
          <w:i w:val="0"/>
        </w:rPr>
        <w:t>.</w:t>
      </w:r>
      <w:r>
        <w:t>]</w:t>
      </w:r>
    </w:p>
    <w:p>
      <w:pPr>
        <w:pStyle w:val="Heading5"/>
      </w:pPr>
      <w:bookmarkStart w:id="35" w:name="_Toc161752439"/>
      <w:r>
        <w:rPr>
          <w:rStyle w:val="CharSectno"/>
        </w:rPr>
        <w:t>574</w:t>
      </w:r>
      <w:r>
        <w:t>.</w:t>
      </w:r>
      <w:r>
        <w:tab/>
        <w:t>Conciliation rules, arbitration rules and practice notes</w:t>
      </w:r>
      <w:bookmarkEnd w:id="35"/>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pPr>
      <w:r>
        <w:tab/>
        <w:t>(4)</w:t>
      </w:r>
      <w:r>
        <w:tab/>
        <w:t xml:space="preserve">The arbitration rules — </w:t>
      </w:r>
    </w:p>
    <w:p>
      <w:pPr>
        <w:pStyle w:val="Indenta"/>
      </w:pPr>
      <w:r>
        <w:tab/>
        <w:t>(a)</w:t>
      </w:r>
      <w:r>
        <w:tab/>
        <w:t>come into operation on commencement day; and</w:t>
      </w:r>
    </w:p>
    <w:p>
      <w:pPr>
        <w:pStyle w:val="Indenta"/>
      </w:pPr>
      <w:r>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 xml:space="preserve">The person holding office as Registrar under the former Act may, before commencement day and despite section 384 not </w:t>
      </w:r>
      <w:r>
        <w:lastRenderedPageBreak/>
        <w:t>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Ednotesection"/>
      </w:pPr>
      <w:r>
        <w:t>[</w:t>
      </w:r>
      <w:r>
        <w:rPr>
          <w:b/>
        </w:rPr>
        <w:t>575-578.</w:t>
      </w:r>
      <w:r>
        <w:tab/>
        <w:t>Have not come into operation</w:t>
      </w:r>
      <w:r>
        <w:rPr>
          <w:i w:val="0"/>
        </w:rPr>
        <w:t>.</w:t>
      </w:r>
      <w:r>
        <w:t>]</w:t>
      </w:r>
    </w:p>
    <w:p>
      <w:pPr>
        <w:pStyle w:val="Heading5"/>
      </w:pPr>
      <w:bookmarkStart w:id="36" w:name="_Toc161752440"/>
      <w:r>
        <w:rPr>
          <w:rStyle w:val="CharSectno"/>
        </w:rPr>
        <w:t>579</w:t>
      </w:r>
      <w:r>
        <w:t>.</w:t>
      </w:r>
      <w:r>
        <w:tab/>
        <w:t>Costs determination</w:t>
      </w:r>
      <w:bookmarkEnd w:id="36"/>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lastRenderedPageBreak/>
        <w:tab/>
        <w:t>(5)</w:t>
      </w:r>
      <w:r>
        <w:tab/>
        <w:t>If an approved costs determination is not in effect on commencement day under section 407 as applied by subsections (3) and (4) of this section, the costs determination in effect immediately before commencement day under 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Ednotedivision"/>
      </w:pPr>
      <w:r>
        <w:t>[Divisions 5</w:t>
      </w:r>
      <w:r>
        <w:noBreakHyphen/>
        <w:t>9 (s. 580</w:t>
      </w:r>
      <w:r>
        <w:noBreakHyphen/>
        <w:t>602) have not come into operation.]</w:t>
      </w:r>
    </w:p>
    <w:p>
      <w:pPr>
        <w:pStyle w:val="Heading3"/>
      </w:pPr>
      <w:bookmarkStart w:id="37" w:name="_Toc161319760"/>
      <w:bookmarkStart w:id="38" w:name="_Toc161320438"/>
      <w:bookmarkStart w:id="39" w:name="_Toc161752071"/>
      <w:bookmarkStart w:id="40" w:name="_Toc161752099"/>
      <w:bookmarkStart w:id="41" w:name="_Toc161752441"/>
      <w:r>
        <w:rPr>
          <w:rStyle w:val="CharDivNo"/>
        </w:rPr>
        <w:t>Division 10</w:t>
      </w:r>
      <w:r>
        <w:t> — </w:t>
      </w:r>
      <w:r>
        <w:rPr>
          <w:rStyle w:val="CharDivText"/>
        </w:rPr>
        <w:t>Administration</w:t>
      </w:r>
      <w:bookmarkEnd w:id="37"/>
      <w:bookmarkEnd w:id="38"/>
      <w:bookmarkEnd w:id="39"/>
      <w:bookmarkEnd w:id="40"/>
      <w:bookmarkEnd w:id="41"/>
    </w:p>
    <w:p>
      <w:pPr>
        <w:pStyle w:val="Heading5"/>
      </w:pPr>
      <w:bookmarkStart w:id="42" w:name="_Toc161752442"/>
      <w:r>
        <w:rPr>
          <w:rStyle w:val="CharSectno"/>
        </w:rPr>
        <w:t>603</w:t>
      </w:r>
      <w:r>
        <w:t>.</w:t>
      </w:r>
      <w:r>
        <w:tab/>
        <w:t>Term used: WorkCover Western Australia Authority</w:t>
      </w:r>
      <w:bookmarkEnd w:id="42"/>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Ednotesection"/>
      </w:pPr>
      <w:r>
        <w:t>[</w:t>
      </w:r>
      <w:r>
        <w:rPr>
          <w:b/>
        </w:rPr>
        <w:t>604, 605.</w:t>
      </w:r>
      <w:r>
        <w:tab/>
        <w:t>Have not come into operation</w:t>
      </w:r>
      <w:r>
        <w:rPr>
          <w:i w:val="0"/>
        </w:rPr>
        <w:t>.</w:t>
      </w:r>
      <w:r>
        <w:t>]</w:t>
      </w:r>
    </w:p>
    <w:p>
      <w:pPr>
        <w:pStyle w:val="Heading5"/>
      </w:pPr>
      <w:bookmarkStart w:id="43" w:name="_Toc161752443"/>
      <w:r>
        <w:rPr>
          <w:rStyle w:val="CharSectno"/>
        </w:rPr>
        <w:t>606</w:t>
      </w:r>
      <w:r>
        <w:t>.</w:t>
      </w:r>
      <w:r>
        <w:tab/>
        <w:t>Exercise of powers of Board before commencement day</w:t>
      </w:r>
      <w:bookmarkEnd w:id="43"/>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lastRenderedPageBreak/>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Ednotesection"/>
      </w:pPr>
      <w:r>
        <w:t>[</w:t>
      </w:r>
      <w:r>
        <w:rPr>
          <w:b/>
        </w:rPr>
        <w:t>607, 608.</w:t>
      </w:r>
      <w:r>
        <w:tab/>
        <w:t>Have not come into operation</w:t>
      </w:r>
      <w:r>
        <w:rPr>
          <w:i w:val="0"/>
        </w:rPr>
        <w:t>.</w:t>
      </w:r>
      <w:r>
        <w:t>]</w:t>
      </w:r>
    </w:p>
    <w:p>
      <w:pPr>
        <w:pStyle w:val="Heading5"/>
      </w:pPr>
      <w:bookmarkStart w:id="44" w:name="_Toc161752444"/>
      <w:r>
        <w:rPr>
          <w:rStyle w:val="CharSectno"/>
        </w:rPr>
        <w:t>609</w:t>
      </w:r>
      <w:r>
        <w:t>.</w:t>
      </w:r>
      <w:r>
        <w:tab/>
        <w:t>Exercise of powers of CEO before commencement day</w:t>
      </w:r>
      <w:bookmarkEnd w:id="44"/>
    </w:p>
    <w:p>
      <w:pPr>
        <w:pStyle w:val="Subsection"/>
      </w:pPr>
      <w:r>
        <w:tab/>
        <w:t>(1)</w:t>
      </w:r>
      <w:r>
        <w:tab/>
        <w:t>The chief executive officer of the WorkCover Western Australia Authority may, before commencement day, exercise any power 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Ednotesection"/>
      </w:pPr>
      <w:r>
        <w:t>[</w:t>
      </w:r>
      <w:r>
        <w:rPr>
          <w:b/>
        </w:rPr>
        <w:t>610-614.</w:t>
      </w:r>
      <w:r>
        <w:tab/>
        <w:t>Have not come into operation</w:t>
      </w:r>
      <w:r>
        <w:rPr>
          <w:i w:val="0"/>
        </w:rPr>
        <w:t>.</w:t>
      </w:r>
      <w:r>
        <w:t>]</w:t>
      </w:r>
    </w:p>
    <w:p>
      <w:pPr>
        <w:pStyle w:val="Ednotepart"/>
      </w:pPr>
      <w:r>
        <w:lastRenderedPageBreak/>
        <w:t>[Pt. 15 has not come into operation.]</w:t>
      </w:r>
    </w:p>
    <w:p>
      <w:pPr>
        <w:pStyle w:val="CentredBaseLine"/>
        <w:jc w:val="center"/>
        <w:rPr>
          <w:sz w:val="24"/>
        </w:rPr>
        <w:sectPr>
          <w:headerReference w:type="even" r:id="rId21"/>
          <w:headerReference w:type="default" r:id="rId22"/>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45" w:name="_Toc161319764"/>
      <w:bookmarkStart w:id="46" w:name="_Toc161320442"/>
      <w:bookmarkStart w:id="47" w:name="_Toc161752075"/>
      <w:bookmarkStart w:id="48" w:name="_Toc161752103"/>
      <w:bookmarkStart w:id="49" w:name="_Toc161752445"/>
      <w:r>
        <w:lastRenderedPageBreak/>
        <w:t>Notes</w:t>
      </w:r>
      <w:bookmarkEnd w:id="45"/>
      <w:bookmarkEnd w:id="46"/>
      <w:bookmarkEnd w:id="47"/>
      <w:bookmarkEnd w:id="48"/>
      <w:bookmarkEnd w:id="49"/>
    </w:p>
    <w:p>
      <w:pPr>
        <w:pStyle w:val="nStatement"/>
      </w:pPr>
      <w:r>
        <w:t xml:space="preserve">This is a compilation of the </w:t>
      </w:r>
      <w:r>
        <w:rPr>
          <w:i/>
          <w:noProof/>
        </w:rPr>
        <w:t>Workers Compensation and Injury Management Act 2023</w:t>
      </w:r>
      <w:r>
        <w:t>. For provisions that have come into operation see the compilation table. For provisions that have not yet come into operation see the uncommenced provisions table.</w:t>
      </w:r>
    </w:p>
    <w:p>
      <w:pPr>
        <w:pStyle w:val="nHeading3"/>
      </w:pPr>
      <w:bookmarkStart w:id="50" w:name="_Toc161752446"/>
      <w:r>
        <w:t>Compilation table</w:t>
      </w:r>
      <w:bookmarkEnd w:id="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Workers Compensation and Injury Management Act 2023 </w:t>
            </w:r>
            <w:r>
              <w:rPr>
                <w:noProof/>
              </w:rPr>
              <w:t>Pt. 1 Div. 1, Pt. 14 (but only Div. 1, 4 and 10 and only s. 542, 543, 545, 574, 579, 603, 606 and 609)</w:t>
            </w:r>
          </w:p>
        </w:tc>
        <w:tc>
          <w:tcPr>
            <w:tcW w:w="1134" w:type="dxa"/>
          </w:tcPr>
          <w:p>
            <w:pPr>
              <w:pStyle w:val="nTable"/>
              <w:spacing w:after="40"/>
            </w:pPr>
            <w:r>
              <w:t>21 of 2023</w:t>
            </w:r>
          </w:p>
        </w:tc>
        <w:tc>
          <w:tcPr>
            <w:tcW w:w="1134" w:type="dxa"/>
          </w:tcPr>
          <w:p>
            <w:pPr>
              <w:pStyle w:val="nTable"/>
              <w:spacing w:after="40"/>
            </w:pPr>
            <w:r>
              <w:t>24 Oct 2023</w:t>
            </w:r>
          </w:p>
        </w:tc>
        <w:tc>
          <w:tcPr>
            <w:tcW w:w="2552" w:type="dxa"/>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p>
        </w:tc>
      </w:tr>
    </w:tbl>
    <w:p>
      <w:pPr>
        <w:pStyle w:val="nHeading3"/>
      </w:pPr>
      <w:bookmarkStart w:id="51" w:name="_Toc161752447"/>
      <w:r>
        <w:t>Uncommenced provisions table</w:t>
      </w:r>
      <w:bookmarkEnd w:id="5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 xml:space="preserve">Workers Compensation and Injury Management Act 2023 </w:t>
            </w:r>
            <w:r>
              <w:rPr>
                <w:noProof/>
              </w:rPr>
              <w:t>(other than Pt. 1 Div. 1, Pt. 14 Div. 1 s. 542, 543 and 545, Pt. 14 Div. 4 s. 574 and 579, Pt. 14 Div. 10 s. 603, 606 and 609)</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 xml:space="preserve">Pt. 15 Div. 3 Subdiv. 18: </w:t>
            </w:r>
            <w:r>
              <w:t xml:space="preserve">if the </w:t>
            </w:r>
            <w:r>
              <w:rPr>
                <w:i/>
              </w:rPr>
              <w:t xml:space="preserve">Criminal Law (Mental Impairment) Act 2023 </w:t>
            </w:r>
            <w:r>
              <w:t xml:space="preserve">s. 188 comes into operation on or before assent day — when s. 66 of this Act comes into operation; or otherwise — when the </w:t>
            </w:r>
            <w:r>
              <w:rPr>
                <w:i/>
              </w:rPr>
              <w:t xml:space="preserve">Criminal Law (Mental Impairment) Act 2023 </w:t>
            </w:r>
            <w:r>
              <w:t>s. 188 comes into operation</w:t>
            </w:r>
            <w:r>
              <w:rPr>
                <w:noProof/>
              </w:rPr>
              <w:t xml:space="preserve"> (see s. 2(c));</w:t>
            </w:r>
          </w:p>
          <w:p>
            <w:pPr>
              <w:pStyle w:val="nTable"/>
              <w:spacing w:after="40"/>
            </w:pPr>
            <w:r>
              <w:rPr>
                <w:noProof/>
              </w:rPr>
              <w:t>Act other than Pt. 14 Div. 1 s. 542, 543 and 545, Pt. 14 Div. 4 s. 574 and 579, Pt. 14 Div. 10 s. 603, 606 and 609 and Pt. 15 Div. 3 Subdiv. 18: 1 Jul 2024 (see s. 2(d) and SL 2024/34 cl. 2)</w:t>
            </w:r>
          </w:p>
        </w:tc>
      </w:tr>
      <w:tr>
        <w:tc>
          <w:tcPr>
            <w:tcW w:w="2268" w:type="dxa"/>
            <w:tcBorders>
              <w:top w:val="nil"/>
            </w:tcBorders>
          </w:tcPr>
          <w:p>
            <w:pPr>
              <w:pStyle w:val="nTable"/>
              <w:spacing w:after="40"/>
              <w:rPr>
                <w:i/>
                <w:noProof/>
              </w:rPr>
            </w:pPr>
            <w:r>
              <w:rPr>
                <w:i/>
                <w:noProof/>
              </w:rPr>
              <w:lastRenderedPageBreak/>
              <w:t xml:space="preserve">Workers Compensation and Injury Management Amendment Act 2023 </w:t>
            </w:r>
            <w:r>
              <w:rPr>
                <w:noProof/>
              </w:rPr>
              <w:t>s. 4</w:t>
            </w:r>
            <w:r>
              <w:rPr>
                <w:noProof/>
              </w:rPr>
              <w:noBreakHyphen/>
              <w:t>8</w:t>
            </w:r>
          </w:p>
        </w:tc>
        <w:tc>
          <w:tcPr>
            <w:tcW w:w="1134" w:type="dxa"/>
            <w:tcBorders>
              <w:top w:val="nil"/>
            </w:tcBorders>
          </w:tcPr>
          <w:p>
            <w:pPr>
              <w:pStyle w:val="nTable"/>
              <w:spacing w:after="40"/>
            </w:pPr>
            <w:r>
              <w:t>22 of 2023</w:t>
            </w:r>
          </w:p>
        </w:tc>
        <w:tc>
          <w:tcPr>
            <w:tcW w:w="1134" w:type="dxa"/>
            <w:tcBorders>
              <w:top w:val="nil"/>
            </w:tcBorders>
          </w:tcPr>
          <w:p>
            <w:pPr>
              <w:pStyle w:val="nTable"/>
              <w:spacing w:after="40"/>
            </w:pPr>
            <w:r>
              <w:t>24 Oct 2023</w:t>
            </w:r>
          </w:p>
        </w:tc>
        <w:tc>
          <w:tcPr>
            <w:tcW w:w="2552" w:type="dxa"/>
            <w:tcBorders>
              <w:top w:val="nil"/>
            </w:tcBorders>
          </w:tcPr>
          <w:p>
            <w:pPr>
              <w:pStyle w:val="nTable"/>
              <w:spacing w:after="40"/>
              <w:rPr>
                <w:noProof/>
              </w:rPr>
            </w:pPr>
            <w:r>
              <w:rPr>
                <w:noProof/>
              </w:rPr>
              <w:t>s. 4: 1 Jul 2024</w:t>
            </w:r>
            <w:r>
              <w:t xml:space="preserve"> (see s. 2(b)</w:t>
            </w:r>
            <w:r>
              <w:rPr>
                <w:noProof/>
              </w:rPr>
              <w:t xml:space="preserve"> and SL 2024/34 cl. 2)</w:t>
            </w:r>
            <w:r>
              <w:t>;</w:t>
            </w:r>
            <w:r>
              <w:br/>
            </w:r>
            <w:r>
              <w:rPr>
                <w:noProof/>
              </w:rPr>
              <w:t>s. 5: 1 Jul 2024</w:t>
            </w:r>
            <w:r>
              <w:t xml:space="preserve"> (see s. 2(c)</w:t>
            </w:r>
            <w:r>
              <w:rPr>
                <w:noProof/>
              </w:rPr>
              <w:t xml:space="preserve"> and SL 2024/34 cl. 2)</w:t>
            </w:r>
            <w:r>
              <w:t>;</w:t>
            </w:r>
            <w:r>
              <w:br/>
            </w:r>
            <w:r>
              <w:rPr>
                <w:noProof/>
              </w:rPr>
              <w:t>s. 6: 1 Jul 2024</w:t>
            </w:r>
            <w:r>
              <w:t xml:space="preserve"> (see s. 2(d)</w:t>
            </w:r>
            <w:r>
              <w:rPr>
                <w:noProof/>
              </w:rPr>
              <w:t xml:space="preserve"> and SL 2024/34 cl. 2</w:t>
            </w:r>
            <w:r>
              <w:t>);</w:t>
            </w:r>
            <w:r>
              <w:br/>
            </w:r>
            <w:r>
              <w:rPr>
                <w:noProof/>
              </w:rPr>
              <w:t>s. 7: 1 Jul 2024</w:t>
            </w:r>
            <w:r>
              <w:t xml:space="preserve"> (see s. 2(e)</w:t>
            </w:r>
            <w:r>
              <w:rPr>
                <w:noProof/>
              </w:rPr>
              <w:t xml:space="preserve"> and SL 2024/34 cl. 2)</w:t>
            </w:r>
            <w:r>
              <w:t>;</w:t>
            </w:r>
            <w:r>
              <w:br/>
            </w:r>
            <w:r>
              <w:rPr>
                <w:noProof/>
              </w:rPr>
              <w:t>s. 8: 1 Jul 2024</w:t>
            </w:r>
            <w:r>
              <w:t xml:space="preserve"> (see s. 2(f)</w:t>
            </w:r>
            <w:r>
              <w:rPr>
                <w:noProof/>
              </w:rPr>
              <w:t xml:space="preserve"> and SL 2024/34 cl. 2)</w:t>
            </w:r>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53" w:name="_Toc161319767"/>
      <w:bookmarkStart w:id="54" w:name="_Toc161320445"/>
      <w:bookmarkStart w:id="55" w:name="_Toc161752078"/>
      <w:bookmarkStart w:id="56" w:name="_Toc161752106"/>
      <w:bookmarkStart w:id="57" w:name="_Toc161752448"/>
      <w:r>
        <w:rPr>
          <w:sz w:val="28"/>
        </w:rPr>
        <w:lastRenderedPageBreak/>
        <w:t>Defined terms</w:t>
      </w:r>
      <w:bookmarkEnd w:id="53"/>
      <w:bookmarkEnd w:id="54"/>
      <w:bookmarkEnd w:id="55"/>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Pr>
        <w:pStyle w:val="DefinedTerms"/>
      </w:pPr>
      <w:r>
        <w:t>commencement day</w:t>
      </w:r>
      <w:r>
        <w:tab/>
        <w:t>542</w:t>
      </w:r>
    </w:p>
    <w:p>
      <w:pPr>
        <w:pStyle w:val="DefinedTerms"/>
      </w:pPr>
      <w:r>
        <w:t>former Act</w:t>
      </w:r>
      <w:r>
        <w:tab/>
        <w:t>542</w:t>
      </w:r>
    </w:p>
    <w:p>
      <w:pPr>
        <w:pStyle w:val="DefinedTerms"/>
      </w:pPr>
      <w:r>
        <w:t>pending matter</w:t>
      </w:r>
      <w:r>
        <w:tab/>
        <w:t>542</w:t>
      </w:r>
    </w:p>
    <w:p>
      <w:pPr>
        <w:pStyle w:val="DefinedTerms"/>
      </w:pPr>
      <w:r>
        <w:t>WorkCover Western Australia Authority</w:t>
      </w:r>
      <w:r>
        <w:tab/>
        <w:t>603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6B8DD7"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8335807" w14:textId="208FDD76" w:rsidR="00A44FB5" w:rsidRDefault="0087583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68F2">
                        <w:rPr>
                          <w:sz w:val="16"/>
                        </w:rPr>
                        <w:t>2023</w:t>
                      </w:r>
                      <w:r>
                        <w:rPr>
                          <w:sz w:val="16"/>
                        </w:rPr>
                        <w:fldChar w:fldCharType="end"/>
                      </w:r>
                      <w:r>
                        <w:rPr>
                          <w:sz w:val="16"/>
                        </w:rPr>
                        <w:t>.</w:t>
                      </w:r>
                    </w:p>
                    <w:p w14:paraId="54C4BFBC" w14:textId="77777777" w:rsidR="00A44FB5" w:rsidRDefault="0087583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FC7C2C" w14:textId="77868564" w:rsidR="00A44FB5" w:rsidRDefault="0087583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68F2">
                        <w:rPr>
                          <w:sz w:val="16"/>
                        </w:rPr>
                        <w:t>2023</w:t>
                      </w:r>
                      <w:r>
                        <w:rPr>
                          <w:sz w:val="16"/>
                        </w:rPr>
                        <w:fldChar w:fldCharType="end"/>
                      </w:r>
                      <w:r>
                        <w:rPr>
                          <w:sz w:val="16"/>
                        </w:rPr>
                        <w:t>.</w:t>
                      </w:r>
                    </w:p>
                    <w:p w14:paraId="63345489" w14:textId="77777777" w:rsidR="00A44FB5" w:rsidRDefault="0087583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8" w:name="DefinedTerms"/>
    <w:bookmarkEnd w:id="5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307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141440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0753"/>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2157</Words>
  <Characters>10420</Characters>
  <Application>Microsoft Office Word</Application>
  <DocSecurity>0</DocSecurity>
  <Lines>347</Lines>
  <Paragraphs>202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12375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2023 - 00-b0-02</dc:title>
  <dc:subject/>
  <dc:creator/>
  <cp:keywords/>
  <dc:description/>
  <cp:lastModifiedBy>Master Repository Process</cp:lastModifiedBy>
  <cp:revision>4</cp:revision>
  <cp:lastPrinted>2023-10-18T07:46:00Z</cp:lastPrinted>
  <dcterms:created xsi:type="dcterms:W3CDTF">2025-06-09T01:59:00Z</dcterms:created>
  <dcterms:modified xsi:type="dcterms:W3CDTF">2025-06-09T01:59:00Z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AsAtDate">
    <vt:lpwstr>25 Oct 2023</vt:lpwstr>
  </property>
  <property fmtid="{D5CDD505-2E9C-101B-9397-08002B2CF9AE}" pid="5" name="Suffix">
    <vt:lpwstr>00-b0-02</vt:lpwstr>
  </property>
  <property fmtid="{D5CDD505-2E9C-101B-9397-08002B2CF9AE}" pid="6" name="Official">
    <vt:lpwstr/>
  </property>
  <property fmtid="{D5CDD505-2E9C-101B-9397-08002B2CF9AE}" pid="7" name="CommencementDate">
    <vt:lpwstr>20231025</vt:lpwstr>
  </property>
  <property fmtid="{D5CDD505-2E9C-101B-9397-08002B2CF9AE}" pid="8" name="CommencementAsAt">
    <vt:filetime>2023-10-24T16:00:00Z</vt:filetime>
  </property>
  <property fmtid="{D5CDD505-2E9C-101B-9397-08002B2CF9AE}" pid="9" name="CommencementYear">
    <vt:lpwstr>2023</vt:lpwstr>
  </property>
</Properties>
</file>