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_Toc154742632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_Toc154742633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_Toc154742635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_Toc154742636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_Toc154742637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_Toc154742638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_Toc154742639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_Toc154742641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_Toc154742642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_Toc154742643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_Toc154742646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_Toc154742648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_Toc154742649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_Toc154742651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_Toc154742652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_Toc154742653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_Toc154742654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_Toc154742655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_Toc154742658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_Toc154742661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_Toc154742662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_Toc154742664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_Toc154742665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_Toc154742666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_Toc154742668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_Toc154742669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_Toc154742671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_Toc154742672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_Toc154742674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_Toc154742675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_Toc154742676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_Toc154742677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_Toc154742678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Local Aboriginal cultural heritage services</w:t>
      </w:r>
    </w:p>
    <w:p>
      <w:pPr>
        <w:pStyle w:val="TOC6"/>
        <w:tabs>
          <w:tab w:val="right" w:leader="dot" w:pos="7077"/>
        </w:tabs>
        <w:rPr>
          <w:rFonts w:asciiTheme="minorHAnsi" w:eastAsiaTheme="minorEastAsia" w:hAnsiTheme="minorHAnsi" w:cstheme="minorBidi"/>
          <w:b w:val="0"/>
          <w:sz w:val="22"/>
          <w:szCs w:val="22"/>
        </w:rPr>
      </w:pPr>
      <w:r>
        <w:t>Subdivision 1 — Purpose and nature of local ACH services</w:t>
      </w:r>
    </w:p>
    <w:p>
      <w:pPr>
        <w:pStyle w:val="TOC8"/>
        <w:rPr>
          <w:rFonts w:asciiTheme="minorHAnsi" w:eastAsiaTheme="minorEastAsia" w:hAnsiTheme="minorHAnsi" w:cstheme="minorBidi"/>
          <w:szCs w:val="22"/>
        </w:rPr>
      </w:pPr>
      <w:r>
        <w:t>34.</w:t>
      </w:r>
      <w:r>
        <w:tab/>
        <w:t>Purpose of local ACH service</w:t>
      </w:r>
      <w:r>
        <w:tab/>
      </w:r>
      <w:r>
        <w:fldChar w:fldCharType="begin"/>
      </w:r>
      <w:r>
        <w:instrText xml:space="preserve"> PAGEREF _Toc154742681 \h </w:instrText>
      </w:r>
      <w:r>
        <w:fldChar w:fldCharType="separate"/>
      </w:r>
      <w:r>
        <w:t>33</w:t>
      </w:r>
      <w:r>
        <w:fldChar w:fldCharType="end"/>
      </w:r>
    </w:p>
    <w:p>
      <w:pPr>
        <w:pStyle w:val="TOC8"/>
        <w:rPr>
          <w:rFonts w:asciiTheme="minorHAnsi" w:eastAsiaTheme="minorEastAsia" w:hAnsiTheme="minorHAnsi" w:cstheme="minorBidi"/>
          <w:szCs w:val="22"/>
        </w:rPr>
      </w:pPr>
      <w:r>
        <w:t>35.</w:t>
      </w:r>
      <w:r>
        <w:tab/>
        <w:t>Nature of local ACH service</w:t>
      </w:r>
      <w:r>
        <w:tab/>
      </w:r>
      <w:r>
        <w:fldChar w:fldCharType="begin"/>
      </w:r>
      <w:r>
        <w:instrText xml:space="preserve"> PAGEREF _Toc154742682 \h </w:instrText>
      </w:r>
      <w:r>
        <w:fldChar w:fldCharType="separate"/>
      </w:r>
      <w:r>
        <w:t>33</w:t>
      </w:r>
      <w:r>
        <w:fldChar w:fldCharType="end"/>
      </w:r>
    </w:p>
    <w:p>
      <w:pPr>
        <w:pStyle w:val="TOC6"/>
        <w:tabs>
          <w:tab w:val="right" w:leader="dot" w:pos="7077"/>
        </w:tabs>
        <w:rPr>
          <w:rFonts w:asciiTheme="minorHAnsi" w:eastAsiaTheme="minorEastAsia" w:hAnsiTheme="minorHAnsi" w:cstheme="minorBidi"/>
          <w:b w:val="0"/>
          <w:sz w:val="22"/>
          <w:szCs w:val="22"/>
        </w:rPr>
      </w:pPr>
      <w:r>
        <w:t>Subdivision 2 — Designation as local ACH service</w:t>
      </w:r>
    </w:p>
    <w:p>
      <w:pPr>
        <w:pStyle w:val="TOC8"/>
        <w:rPr>
          <w:rFonts w:asciiTheme="minorHAnsi" w:eastAsiaTheme="minorEastAsia" w:hAnsiTheme="minorHAnsi" w:cstheme="minorBidi"/>
          <w:szCs w:val="22"/>
        </w:rPr>
      </w:pPr>
      <w:r>
        <w:t>36.</w:t>
      </w:r>
      <w:r>
        <w:tab/>
        <w:t>ACH Council must designate local ACH service</w:t>
      </w:r>
      <w:r>
        <w:tab/>
      </w:r>
      <w:r>
        <w:fldChar w:fldCharType="begin"/>
      </w:r>
      <w:r>
        <w:instrText xml:space="preserve"> PAGEREF _Toc154742684 \h </w:instrText>
      </w:r>
      <w:r>
        <w:fldChar w:fldCharType="separate"/>
      </w:r>
      <w:r>
        <w:t>34</w:t>
      </w:r>
      <w:r>
        <w:fldChar w:fldCharType="end"/>
      </w:r>
    </w:p>
    <w:p>
      <w:pPr>
        <w:pStyle w:val="TOC8"/>
        <w:rPr>
          <w:rFonts w:asciiTheme="minorHAnsi" w:eastAsiaTheme="minorEastAsia" w:hAnsiTheme="minorHAnsi" w:cstheme="minorBidi"/>
          <w:szCs w:val="22"/>
        </w:rPr>
      </w:pPr>
      <w:r>
        <w:t>37.</w:t>
      </w:r>
      <w:r>
        <w:tab/>
        <w:t>Designation of local ACH service</w:t>
      </w:r>
      <w:r>
        <w:tab/>
      </w:r>
      <w:r>
        <w:fldChar w:fldCharType="begin"/>
      </w:r>
      <w:r>
        <w:instrText xml:space="preserve"> PAGEREF _Toc154742685 \h </w:instrText>
      </w:r>
      <w:r>
        <w:fldChar w:fldCharType="separate"/>
      </w:r>
      <w:r>
        <w:t>34</w:t>
      </w:r>
      <w:r>
        <w:fldChar w:fldCharType="end"/>
      </w:r>
    </w:p>
    <w:p>
      <w:pPr>
        <w:pStyle w:val="TOC8"/>
        <w:rPr>
          <w:rFonts w:asciiTheme="minorHAnsi" w:eastAsiaTheme="minorEastAsia" w:hAnsiTheme="minorHAnsi" w:cstheme="minorBidi"/>
          <w:szCs w:val="22"/>
        </w:rPr>
      </w:pPr>
      <w:r>
        <w:t>38.</w:t>
      </w:r>
      <w:r>
        <w:tab/>
        <w:t>Application to be designated as local ACH service</w:t>
      </w:r>
      <w:r>
        <w:tab/>
      </w:r>
      <w:r>
        <w:fldChar w:fldCharType="begin"/>
      </w:r>
      <w:r>
        <w:instrText xml:space="preserve"> PAGEREF _Toc154742686 \h </w:instrText>
      </w:r>
      <w:r>
        <w:fldChar w:fldCharType="separate"/>
      </w:r>
      <w:r>
        <w:t>34</w:t>
      </w:r>
      <w:r>
        <w:fldChar w:fldCharType="end"/>
      </w:r>
    </w:p>
    <w:p>
      <w:pPr>
        <w:pStyle w:val="TOC8"/>
        <w:rPr>
          <w:rFonts w:asciiTheme="minorHAnsi" w:eastAsiaTheme="minorEastAsia" w:hAnsiTheme="minorHAnsi" w:cstheme="minorBidi"/>
          <w:szCs w:val="22"/>
        </w:rPr>
      </w:pPr>
      <w:r>
        <w:t>39.</w:t>
      </w:r>
      <w:r>
        <w:tab/>
        <w:t>Requirements for designation as local ACH service</w:t>
      </w:r>
      <w:r>
        <w:tab/>
      </w:r>
      <w:r>
        <w:fldChar w:fldCharType="begin"/>
      </w:r>
      <w:r>
        <w:instrText xml:space="preserve"> PAGEREF _Toc154742687 \h </w:instrText>
      </w:r>
      <w:r>
        <w:fldChar w:fldCharType="separate"/>
      </w:r>
      <w:r>
        <w:t>35</w:t>
      </w:r>
      <w:r>
        <w:fldChar w:fldCharType="end"/>
      </w:r>
    </w:p>
    <w:p>
      <w:pPr>
        <w:pStyle w:val="TOC8"/>
        <w:rPr>
          <w:rFonts w:asciiTheme="minorHAnsi" w:eastAsiaTheme="minorEastAsia" w:hAnsiTheme="minorHAnsi" w:cstheme="minorBidi"/>
          <w:szCs w:val="22"/>
        </w:rPr>
      </w:pPr>
      <w:r>
        <w:t>40.</w:t>
      </w:r>
      <w:r>
        <w:tab/>
        <w:t>Order of priority of designation</w:t>
      </w:r>
      <w:r>
        <w:tab/>
      </w:r>
      <w:r>
        <w:fldChar w:fldCharType="begin"/>
      </w:r>
      <w:r>
        <w:instrText xml:space="preserve"> PAGEREF _Toc154742688 \h </w:instrText>
      </w:r>
      <w:r>
        <w:fldChar w:fldCharType="separate"/>
      </w:r>
      <w:r>
        <w:t>36</w:t>
      </w:r>
      <w:r>
        <w:fldChar w:fldCharType="end"/>
      </w:r>
    </w:p>
    <w:p>
      <w:pPr>
        <w:pStyle w:val="TOC8"/>
        <w:rPr>
          <w:rFonts w:asciiTheme="minorHAnsi" w:eastAsiaTheme="minorEastAsia" w:hAnsiTheme="minorHAnsi" w:cstheme="minorBidi"/>
          <w:szCs w:val="22"/>
        </w:rPr>
      </w:pPr>
      <w:r>
        <w:t>41.</w:t>
      </w:r>
      <w:r>
        <w:tab/>
        <w:t>ACH Council must give public notice of designation</w:t>
      </w:r>
      <w:r>
        <w:tab/>
      </w:r>
      <w:r>
        <w:fldChar w:fldCharType="begin"/>
      </w:r>
      <w:r>
        <w:instrText xml:space="preserve"> PAGEREF _Toc154742689 \h </w:instrText>
      </w:r>
      <w:r>
        <w:fldChar w:fldCharType="separate"/>
      </w:r>
      <w:r>
        <w:t>37</w:t>
      </w:r>
      <w:r>
        <w:fldChar w:fldCharType="end"/>
      </w:r>
    </w:p>
    <w:p>
      <w:pPr>
        <w:pStyle w:val="TOC8"/>
        <w:rPr>
          <w:rFonts w:asciiTheme="minorHAnsi" w:eastAsiaTheme="minorEastAsia" w:hAnsiTheme="minorHAnsi" w:cstheme="minorBidi"/>
          <w:szCs w:val="22"/>
        </w:rPr>
      </w:pPr>
      <w:r>
        <w:t>42.</w:t>
      </w:r>
      <w:r>
        <w:tab/>
        <w:t>Duration of designation as local ACH service for area</w:t>
      </w:r>
      <w:r>
        <w:tab/>
      </w:r>
      <w:r>
        <w:fldChar w:fldCharType="begin"/>
      </w:r>
      <w:r>
        <w:instrText xml:space="preserve"> PAGEREF _Toc154742690 \h </w:instrText>
      </w:r>
      <w:r>
        <w:fldChar w:fldCharType="separate"/>
      </w:r>
      <w:r>
        <w:t>38</w:t>
      </w:r>
      <w:r>
        <w:fldChar w:fldCharType="end"/>
      </w:r>
    </w:p>
    <w:p>
      <w:pPr>
        <w:pStyle w:val="TOC8"/>
        <w:rPr>
          <w:rFonts w:asciiTheme="minorHAnsi" w:eastAsiaTheme="minorEastAsia" w:hAnsiTheme="minorHAnsi" w:cstheme="minorBidi"/>
          <w:szCs w:val="22"/>
        </w:rPr>
      </w:pPr>
      <w:r>
        <w:t>43.</w:t>
      </w:r>
      <w:r>
        <w:tab/>
        <w:t>Suspension or cancellation of designation as local ACH service for area or part of area</w:t>
      </w:r>
      <w:r>
        <w:tab/>
      </w:r>
      <w:r>
        <w:fldChar w:fldCharType="begin"/>
      </w:r>
      <w:r>
        <w:instrText xml:space="preserve"> PAGEREF _Toc154742691 \h </w:instrText>
      </w:r>
      <w:r>
        <w:fldChar w:fldCharType="separate"/>
      </w:r>
      <w:r>
        <w:t>38</w:t>
      </w:r>
      <w:r>
        <w:fldChar w:fldCharType="end"/>
      </w:r>
    </w:p>
    <w:p>
      <w:pPr>
        <w:pStyle w:val="TOC8"/>
        <w:rPr>
          <w:rFonts w:asciiTheme="minorHAnsi" w:eastAsiaTheme="minorEastAsia" w:hAnsiTheme="minorHAnsi" w:cstheme="minorBidi"/>
          <w:szCs w:val="22"/>
        </w:rPr>
      </w:pPr>
      <w:r>
        <w:t>44.</w:t>
      </w:r>
      <w:r>
        <w:tab/>
        <w:t>Change to area for local ACH service</w:t>
      </w:r>
      <w:r>
        <w:tab/>
      </w:r>
      <w:r>
        <w:fldChar w:fldCharType="begin"/>
      </w:r>
      <w:r>
        <w:instrText xml:space="preserve"> PAGEREF _Toc154742692 \h </w:instrText>
      </w:r>
      <w:r>
        <w:fldChar w:fldCharType="separate"/>
      </w:r>
      <w:r>
        <w:t>40</w:t>
      </w:r>
      <w:r>
        <w:fldChar w:fldCharType="end"/>
      </w:r>
    </w:p>
    <w:p>
      <w:pPr>
        <w:pStyle w:val="TOC8"/>
        <w:rPr>
          <w:rFonts w:asciiTheme="minorHAnsi" w:eastAsiaTheme="minorEastAsia" w:hAnsiTheme="minorHAnsi" w:cstheme="minorBidi"/>
          <w:szCs w:val="22"/>
        </w:rPr>
      </w:pPr>
      <w:r>
        <w:t>45.</w:t>
      </w:r>
      <w:r>
        <w:tab/>
        <w:t>Change to local ACH service</w:t>
      </w:r>
      <w:r>
        <w:tab/>
      </w:r>
      <w:r>
        <w:fldChar w:fldCharType="begin"/>
      </w:r>
      <w:r>
        <w:instrText xml:space="preserve"> PAGEREF _Toc154742693 \h </w:instrText>
      </w:r>
      <w:r>
        <w:fldChar w:fldCharType="separate"/>
      </w:r>
      <w:r>
        <w:t>41</w:t>
      </w:r>
      <w:r>
        <w:fldChar w:fldCharType="end"/>
      </w:r>
    </w:p>
    <w:p>
      <w:pPr>
        <w:pStyle w:val="TOC8"/>
        <w:rPr>
          <w:rFonts w:asciiTheme="minorHAnsi" w:eastAsiaTheme="minorEastAsia" w:hAnsiTheme="minorHAnsi" w:cstheme="minorBidi"/>
          <w:szCs w:val="22"/>
        </w:rPr>
      </w:pPr>
      <w:r>
        <w:t>46.</w:t>
      </w:r>
      <w:r>
        <w:tab/>
        <w:t>Objection to decision of ACH Council</w:t>
      </w:r>
      <w:r>
        <w:tab/>
      </w:r>
      <w:r>
        <w:fldChar w:fldCharType="begin"/>
      </w:r>
      <w:r>
        <w:instrText xml:space="preserve"> PAGEREF _Toc154742694 \h </w:instrText>
      </w:r>
      <w:r>
        <w:fldChar w:fldCharType="separate"/>
      </w:r>
      <w:r>
        <w:t>42</w:t>
      </w:r>
      <w:r>
        <w:fldChar w:fldCharType="end"/>
      </w:r>
    </w:p>
    <w:p>
      <w:pPr>
        <w:pStyle w:val="TOC8"/>
        <w:rPr>
          <w:rFonts w:asciiTheme="minorHAnsi" w:eastAsiaTheme="minorEastAsia" w:hAnsiTheme="minorHAnsi" w:cstheme="minorBidi"/>
          <w:szCs w:val="22"/>
        </w:rPr>
      </w:pPr>
      <w:r>
        <w:t>47.</w:t>
      </w:r>
      <w:r>
        <w:tab/>
        <w:t>Notice of decision must be given</w:t>
      </w:r>
      <w:r>
        <w:tab/>
      </w:r>
      <w:r>
        <w:fldChar w:fldCharType="begin"/>
      </w:r>
      <w:r>
        <w:instrText xml:space="preserve"> PAGEREF _Toc154742695 \h </w:instrText>
      </w:r>
      <w:r>
        <w:fldChar w:fldCharType="separate"/>
      </w:r>
      <w:r>
        <w:t>43</w:t>
      </w:r>
      <w:r>
        <w:fldChar w:fldCharType="end"/>
      </w:r>
    </w:p>
    <w:p>
      <w:pPr>
        <w:pStyle w:val="TOC6"/>
        <w:tabs>
          <w:tab w:val="right" w:leader="dot" w:pos="7077"/>
        </w:tabs>
        <w:rPr>
          <w:rFonts w:asciiTheme="minorHAnsi" w:eastAsiaTheme="minorEastAsia" w:hAnsiTheme="minorHAnsi" w:cstheme="minorBidi"/>
          <w:b w:val="0"/>
          <w:sz w:val="22"/>
          <w:szCs w:val="22"/>
        </w:rPr>
      </w:pPr>
      <w:r>
        <w:t>Subdivision 3 — Local ACH service functions and related provisions</w:t>
      </w:r>
    </w:p>
    <w:p>
      <w:pPr>
        <w:pStyle w:val="TOC8"/>
        <w:rPr>
          <w:rFonts w:asciiTheme="minorHAnsi" w:eastAsiaTheme="minorEastAsia" w:hAnsiTheme="minorHAnsi" w:cstheme="minorBidi"/>
          <w:szCs w:val="22"/>
        </w:rPr>
      </w:pPr>
      <w:r>
        <w:t>48.</w:t>
      </w:r>
      <w:r>
        <w:tab/>
        <w:t>Local ACH service functions</w:t>
      </w:r>
      <w:r>
        <w:tab/>
      </w:r>
      <w:r>
        <w:fldChar w:fldCharType="begin"/>
      </w:r>
      <w:r>
        <w:instrText xml:space="preserve"> PAGEREF _Toc154742697 \h </w:instrText>
      </w:r>
      <w:r>
        <w:fldChar w:fldCharType="separate"/>
      </w:r>
      <w:r>
        <w:t>44</w:t>
      </w:r>
      <w:r>
        <w:fldChar w:fldCharType="end"/>
      </w:r>
    </w:p>
    <w:p>
      <w:pPr>
        <w:pStyle w:val="TOC8"/>
        <w:rPr>
          <w:rFonts w:asciiTheme="minorHAnsi" w:eastAsiaTheme="minorEastAsia" w:hAnsiTheme="minorHAnsi" w:cstheme="minorBidi"/>
          <w:szCs w:val="22"/>
        </w:rPr>
      </w:pPr>
      <w:r>
        <w:t>49.</w:t>
      </w:r>
      <w:r>
        <w:tab/>
        <w:t>Fee for services provided by local ACH service</w:t>
      </w:r>
      <w:r>
        <w:tab/>
      </w:r>
      <w:r>
        <w:fldChar w:fldCharType="begin"/>
      </w:r>
      <w:r>
        <w:instrText xml:space="preserve"> PAGEREF _Toc154742698 \h </w:instrText>
      </w:r>
      <w:r>
        <w:fldChar w:fldCharType="separate"/>
      </w:r>
      <w:r>
        <w:t>45</w:t>
      </w:r>
      <w:r>
        <w:fldChar w:fldCharType="end"/>
      </w:r>
    </w:p>
    <w:p>
      <w:pPr>
        <w:pStyle w:val="TOC8"/>
        <w:rPr>
          <w:rFonts w:asciiTheme="minorHAnsi" w:eastAsiaTheme="minorEastAsia" w:hAnsiTheme="minorHAnsi" w:cstheme="minorBidi"/>
          <w:szCs w:val="22"/>
        </w:rPr>
      </w:pPr>
      <w:r>
        <w:t>50.</w:t>
      </w:r>
      <w:r>
        <w:tab/>
        <w:t>Variation of fee structure for services provided by local ACH service</w:t>
      </w:r>
      <w:r>
        <w:tab/>
      </w:r>
      <w:r>
        <w:fldChar w:fldCharType="begin"/>
      </w:r>
      <w:r>
        <w:instrText xml:space="preserve"> PAGEREF _Toc154742699 \h </w:instrText>
      </w:r>
      <w:r>
        <w:fldChar w:fldCharType="separate"/>
      </w:r>
      <w:r>
        <w:t>46</w:t>
      </w:r>
      <w:r>
        <w:fldChar w:fldCharType="end"/>
      </w:r>
    </w:p>
    <w:p>
      <w:pPr>
        <w:pStyle w:val="TOC6"/>
        <w:tabs>
          <w:tab w:val="right" w:leader="dot" w:pos="7077"/>
        </w:tabs>
        <w:rPr>
          <w:rFonts w:asciiTheme="minorHAnsi" w:eastAsiaTheme="minorEastAsia" w:hAnsiTheme="minorHAnsi" w:cstheme="minorBidi"/>
          <w:b w:val="0"/>
          <w:sz w:val="22"/>
          <w:szCs w:val="22"/>
        </w:rPr>
      </w:pPr>
      <w:r>
        <w:t>Subdivision 4 — Funding for local ACH services</w:t>
      </w:r>
    </w:p>
    <w:p>
      <w:pPr>
        <w:pStyle w:val="TOC8"/>
        <w:rPr>
          <w:rFonts w:asciiTheme="minorHAnsi" w:eastAsiaTheme="minorEastAsia" w:hAnsiTheme="minorHAnsi" w:cstheme="minorBidi"/>
          <w:szCs w:val="22"/>
        </w:rPr>
      </w:pPr>
      <w:r>
        <w:t>51.</w:t>
      </w:r>
      <w:r>
        <w:tab/>
        <w:t>Funding for local ACH services</w:t>
      </w:r>
      <w:r>
        <w:tab/>
      </w:r>
      <w:r>
        <w:fldChar w:fldCharType="begin"/>
      </w:r>
      <w:r>
        <w:instrText xml:space="preserve"> PAGEREF _Toc154742701 \h </w:instrText>
      </w:r>
      <w:r>
        <w:fldChar w:fldCharType="separate"/>
      </w:r>
      <w:r>
        <w:t>46</w:t>
      </w:r>
      <w:r>
        <w:fldChar w:fldCharType="end"/>
      </w:r>
    </w:p>
    <w:p>
      <w:pPr>
        <w:pStyle w:val="TOC8"/>
        <w:rPr>
          <w:rFonts w:asciiTheme="minorHAnsi" w:eastAsiaTheme="minorEastAsia" w:hAnsiTheme="minorHAnsi" w:cstheme="minorBidi"/>
          <w:szCs w:val="22"/>
        </w:rPr>
      </w:pPr>
      <w:r>
        <w:t>52.</w:t>
      </w:r>
      <w:r>
        <w:tab/>
        <w:t>Contravention of funding conditions</w:t>
      </w:r>
      <w:r>
        <w:tab/>
      </w:r>
      <w:r>
        <w:fldChar w:fldCharType="begin"/>
      </w:r>
      <w:r>
        <w:instrText xml:space="preserve"> PAGEREF _Toc154742702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3 — Rights and duties in relation to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53.</w:t>
      </w:r>
      <w:r>
        <w:tab/>
        <w:t>Terms used</w:t>
      </w:r>
      <w:r>
        <w:tab/>
      </w:r>
      <w:r>
        <w:fldChar w:fldCharType="begin"/>
      </w:r>
      <w:r>
        <w:instrText xml:space="preserve"> PAGEREF _Toc154742705 \h </w:instrText>
      </w:r>
      <w:r>
        <w:fldChar w:fldCharType="separate"/>
      </w:r>
      <w:r>
        <w:t>49</w:t>
      </w:r>
      <w:r>
        <w:fldChar w:fldCharType="end"/>
      </w:r>
    </w:p>
    <w:p>
      <w:pPr>
        <w:pStyle w:val="TOC8"/>
        <w:rPr>
          <w:rFonts w:asciiTheme="minorHAnsi" w:eastAsiaTheme="minorEastAsia" w:hAnsiTheme="minorHAnsi" w:cstheme="minorBidi"/>
          <w:szCs w:val="22"/>
        </w:rPr>
      </w:pPr>
      <w:r>
        <w:t>54.</w:t>
      </w:r>
      <w:r>
        <w:tab/>
        <w:t>No compensation under this Part</w:t>
      </w:r>
      <w:r>
        <w:tab/>
      </w:r>
      <w:r>
        <w:fldChar w:fldCharType="begin"/>
      </w:r>
      <w:r>
        <w:instrText xml:space="preserve"> PAGEREF _Toc154742706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Aboriginal ancestral remains</w:t>
      </w:r>
    </w:p>
    <w:p>
      <w:pPr>
        <w:pStyle w:val="TOC8"/>
        <w:rPr>
          <w:rFonts w:asciiTheme="minorHAnsi" w:eastAsiaTheme="minorEastAsia" w:hAnsiTheme="minorHAnsi" w:cstheme="minorBidi"/>
          <w:szCs w:val="22"/>
        </w:rPr>
      </w:pPr>
      <w:r>
        <w:t>55.</w:t>
      </w:r>
      <w:r>
        <w:tab/>
        <w:t>Rights of Aboriginal people in relation to Aboriginal ancestral remains</w:t>
      </w:r>
      <w:r>
        <w:tab/>
      </w:r>
      <w:r>
        <w:fldChar w:fldCharType="begin"/>
      </w:r>
      <w:r>
        <w:instrText xml:space="preserve"> PAGEREF _Toc154742708 \h </w:instrText>
      </w:r>
      <w:r>
        <w:fldChar w:fldCharType="separate"/>
      </w:r>
      <w:r>
        <w:t>49</w:t>
      </w:r>
      <w:r>
        <w:fldChar w:fldCharType="end"/>
      </w:r>
    </w:p>
    <w:p>
      <w:pPr>
        <w:pStyle w:val="TOC8"/>
        <w:rPr>
          <w:rFonts w:asciiTheme="minorHAnsi" w:eastAsiaTheme="minorEastAsia" w:hAnsiTheme="minorHAnsi" w:cstheme="minorBidi"/>
          <w:szCs w:val="22"/>
        </w:rPr>
      </w:pPr>
      <w:r>
        <w:t>56.</w:t>
      </w:r>
      <w:r>
        <w:tab/>
        <w:t>ACH Council must be notified about Aboriginal ancestral remains</w:t>
      </w:r>
      <w:r>
        <w:tab/>
      </w:r>
      <w:r>
        <w:fldChar w:fldCharType="begin"/>
      </w:r>
      <w:r>
        <w:instrText xml:space="preserve"> PAGEREF _Toc154742709 \h </w:instrText>
      </w:r>
      <w:r>
        <w:fldChar w:fldCharType="separate"/>
      </w:r>
      <w:r>
        <w:t>50</w:t>
      </w:r>
      <w:r>
        <w:fldChar w:fldCharType="end"/>
      </w:r>
    </w:p>
    <w:p>
      <w:pPr>
        <w:pStyle w:val="TOC8"/>
        <w:rPr>
          <w:rFonts w:asciiTheme="minorHAnsi" w:eastAsiaTheme="minorEastAsia" w:hAnsiTheme="minorHAnsi" w:cstheme="minorBidi"/>
          <w:szCs w:val="22"/>
        </w:rPr>
      </w:pPr>
      <w:r>
        <w:t>57.</w:t>
      </w:r>
      <w:r>
        <w:tab/>
        <w:t>Duty of organisations to return Aboriginal ancestral remains</w:t>
      </w:r>
      <w:r>
        <w:tab/>
      </w:r>
      <w:r>
        <w:fldChar w:fldCharType="begin"/>
      </w:r>
      <w:r>
        <w:instrText xml:space="preserve"> PAGEREF _Toc154742710 \h </w:instrText>
      </w:r>
      <w:r>
        <w:fldChar w:fldCharType="separate"/>
      </w:r>
      <w:r>
        <w:t>51</w:t>
      </w:r>
      <w:r>
        <w:fldChar w:fldCharType="end"/>
      </w:r>
    </w:p>
    <w:p>
      <w:pPr>
        <w:pStyle w:val="TOC8"/>
        <w:rPr>
          <w:rFonts w:asciiTheme="minorHAnsi" w:eastAsiaTheme="minorEastAsia" w:hAnsiTheme="minorHAnsi" w:cstheme="minorBidi"/>
          <w:szCs w:val="22"/>
        </w:rPr>
      </w:pPr>
      <w:r>
        <w:t>58.</w:t>
      </w:r>
      <w:r>
        <w:tab/>
        <w:t>Duty of individuals to transfer Aboriginal ancestral remains to custody of ACH Council</w:t>
      </w:r>
      <w:r>
        <w:tab/>
      </w:r>
      <w:r>
        <w:fldChar w:fldCharType="begin"/>
      </w:r>
      <w:r>
        <w:instrText xml:space="preserve"> PAGEREF _Toc154742711 \h </w:instrText>
      </w:r>
      <w:r>
        <w:fldChar w:fldCharType="separate"/>
      </w:r>
      <w:r>
        <w:t>52</w:t>
      </w:r>
      <w:r>
        <w:fldChar w:fldCharType="end"/>
      </w:r>
    </w:p>
    <w:p>
      <w:pPr>
        <w:pStyle w:val="TOC8"/>
        <w:rPr>
          <w:rFonts w:asciiTheme="minorHAnsi" w:eastAsiaTheme="minorEastAsia" w:hAnsiTheme="minorHAnsi" w:cstheme="minorBidi"/>
          <w:szCs w:val="22"/>
        </w:rPr>
      </w:pPr>
      <w:r>
        <w:t>59.</w:t>
      </w:r>
      <w:r>
        <w:tab/>
        <w:t>Transfer of Aboriginal ancestral remains by coroner</w:t>
      </w:r>
      <w:r>
        <w:tab/>
      </w:r>
      <w:r>
        <w:fldChar w:fldCharType="begin"/>
      </w:r>
      <w:r>
        <w:instrText xml:space="preserve"> PAGEREF _Toc154742712 \h </w:instrText>
      </w:r>
      <w:r>
        <w:fldChar w:fldCharType="separate"/>
      </w:r>
      <w:r>
        <w:t>52</w:t>
      </w:r>
      <w:r>
        <w:fldChar w:fldCharType="end"/>
      </w:r>
    </w:p>
    <w:p>
      <w:pPr>
        <w:pStyle w:val="TOC8"/>
        <w:rPr>
          <w:rFonts w:asciiTheme="minorHAnsi" w:eastAsiaTheme="minorEastAsia" w:hAnsiTheme="minorHAnsi" w:cstheme="minorBidi"/>
          <w:szCs w:val="22"/>
        </w:rPr>
      </w:pPr>
      <w:r>
        <w:t>60.</w:t>
      </w:r>
      <w:r>
        <w:tab/>
        <w:t>Aboriginal ancestral remains transferred to custody of ACH Council</w:t>
      </w:r>
      <w:r>
        <w:tab/>
      </w:r>
      <w:r>
        <w:fldChar w:fldCharType="begin"/>
      </w:r>
      <w:r>
        <w:instrText xml:space="preserve"> PAGEREF _Toc154742713 \h </w:instrText>
      </w:r>
      <w:r>
        <w:fldChar w:fldCharType="separate"/>
      </w:r>
      <w:r>
        <w:t>52</w:t>
      </w:r>
      <w:r>
        <w:fldChar w:fldCharType="end"/>
      </w:r>
    </w:p>
    <w:p>
      <w:pPr>
        <w:pStyle w:val="TOC8"/>
        <w:rPr>
          <w:rFonts w:asciiTheme="minorHAnsi" w:eastAsiaTheme="minorEastAsia" w:hAnsiTheme="minorHAnsi" w:cstheme="minorBidi"/>
          <w:szCs w:val="22"/>
        </w:rPr>
      </w:pPr>
      <w:r>
        <w:t>61.</w:t>
      </w:r>
      <w:r>
        <w:tab/>
        <w:t>Aboriginal ancestral remains must not be disturbed or removed</w:t>
      </w:r>
      <w:r>
        <w:tab/>
      </w:r>
      <w:r>
        <w:fldChar w:fldCharType="begin"/>
      </w:r>
      <w:r>
        <w:instrText xml:space="preserve"> PAGEREF _Toc154742714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t>Division 3 — Secret or sacred objects</w:t>
      </w:r>
    </w:p>
    <w:p>
      <w:pPr>
        <w:pStyle w:val="TOC8"/>
        <w:rPr>
          <w:rFonts w:asciiTheme="minorHAnsi" w:eastAsiaTheme="minorEastAsia" w:hAnsiTheme="minorHAnsi" w:cstheme="minorBidi"/>
          <w:szCs w:val="22"/>
        </w:rPr>
      </w:pPr>
      <w:r>
        <w:t>62.</w:t>
      </w:r>
      <w:r>
        <w:tab/>
        <w:t>Term used: prescribed public authority</w:t>
      </w:r>
      <w:r>
        <w:tab/>
      </w:r>
      <w:r>
        <w:fldChar w:fldCharType="begin"/>
      </w:r>
      <w:r>
        <w:instrText xml:space="preserve"> PAGEREF _Toc154742716 \h </w:instrText>
      </w:r>
      <w:r>
        <w:fldChar w:fldCharType="separate"/>
      </w:r>
      <w:r>
        <w:t>54</w:t>
      </w:r>
      <w:r>
        <w:fldChar w:fldCharType="end"/>
      </w:r>
    </w:p>
    <w:p>
      <w:pPr>
        <w:pStyle w:val="TOC8"/>
        <w:rPr>
          <w:rFonts w:asciiTheme="minorHAnsi" w:eastAsiaTheme="minorEastAsia" w:hAnsiTheme="minorHAnsi" w:cstheme="minorBidi"/>
          <w:szCs w:val="22"/>
        </w:rPr>
      </w:pPr>
      <w:r>
        <w:t>63.</w:t>
      </w:r>
      <w:r>
        <w:tab/>
        <w:t>Rights of Aboriginal people in relation to secret or sacred objects</w:t>
      </w:r>
      <w:r>
        <w:tab/>
      </w:r>
      <w:r>
        <w:fldChar w:fldCharType="begin"/>
      </w:r>
      <w:r>
        <w:instrText xml:space="preserve"> PAGEREF _Toc154742717 \h </w:instrText>
      </w:r>
      <w:r>
        <w:fldChar w:fldCharType="separate"/>
      </w:r>
      <w:r>
        <w:t>54</w:t>
      </w:r>
      <w:r>
        <w:fldChar w:fldCharType="end"/>
      </w:r>
    </w:p>
    <w:p>
      <w:pPr>
        <w:pStyle w:val="TOC8"/>
        <w:rPr>
          <w:rFonts w:asciiTheme="minorHAnsi" w:eastAsiaTheme="minorEastAsia" w:hAnsiTheme="minorHAnsi" w:cstheme="minorBidi"/>
          <w:szCs w:val="22"/>
        </w:rPr>
      </w:pPr>
      <w:r>
        <w:t>64.</w:t>
      </w:r>
      <w:r>
        <w:tab/>
        <w:t>ACH Council must be notified about secret or sacred objects</w:t>
      </w:r>
      <w:r>
        <w:tab/>
      </w:r>
      <w:r>
        <w:fldChar w:fldCharType="begin"/>
      </w:r>
      <w:r>
        <w:instrText xml:space="preserve"> PAGEREF _Toc154742718 \h </w:instrText>
      </w:r>
      <w:r>
        <w:fldChar w:fldCharType="separate"/>
      </w:r>
      <w:r>
        <w:t>55</w:t>
      </w:r>
      <w:r>
        <w:fldChar w:fldCharType="end"/>
      </w:r>
    </w:p>
    <w:p>
      <w:pPr>
        <w:pStyle w:val="TOC8"/>
        <w:rPr>
          <w:rFonts w:asciiTheme="minorHAnsi" w:eastAsiaTheme="minorEastAsia" w:hAnsiTheme="minorHAnsi" w:cstheme="minorBidi"/>
          <w:szCs w:val="22"/>
        </w:rPr>
      </w:pPr>
      <w:r>
        <w:t>65.</w:t>
      </w:r>
      <w:r>
        <w:tab/>
        <w:t>Duty of prescribed public authorities to return secret or sacred objects</w:t>
      </w:r>
      <w:r>
        <w:tab/>
      </w:r>
      <w:r>
        <w:fldChar w:fldCharType="begin"/>
      </w:r>
      <w:r>
        <w:instrText xml:space="preserve"> PAGEREF _Toc154742719 \h </w:instrText>
      </w:r>
      <w:r>
        <w:fldChar w:fldCharType="separate"/>
      </w:r>
      <w:r>
        <w:t>55</w:t>
      </w:r>
      <w:r>
        <w:fldChar w:fldCharType="end"/>
      </w:r>
    </w:p>
    <w:p>
      <w:pPr>
        <w:pStyle w:val="TOC8"/>
        <w:rPr>
          <w:rFonts w:asciiTheme="minorHAnsi" w:eastAsiaTheme="minorEastAsia" w:hAnsiTheme="minorHAnsi" w:cstheme="minorBidi"/>
          <w:szCs w:val="22"/>
        </w:rPr>
      </w:pPr>
      <w:r>
        <w:t>66.</w:t>
      </w:r>
      <w:r>
        <w:tab/>
        <w:t>Secret or sacred objects transferred to custody of ACH Council</w:t>
      </w:r>
      <w:r>
        <w:tab/>
      </w:r>
      <w:r>
        <w:fldChar w:fldCharType="begin"/>
      </w:r>
      <w:r>
        <w:instrText xml:space="preserve"> PAGEREF _Toc154742720 \h </w:instrText>
      </w:r>
      <w:r>
        <w:fldChar w:fldCharType="separate"/>
      </w:r>
      <w:r>
        <w:t>56</w:t>
      </w:r>
      <w:r>
        <w:fldChar w:fldCharType="end"/>
      </w:r>
    </w:p>
    <w:p>
      <w:pPr>
        <w:pStyle w:val="TOC8"/>
        <w:rPr>
          <w:rFonts w:asciiTheme="minorHAnsi" w:eastAsiaTheme="minorEastAsia" w:hAnsiTheme="minorHAnsi" w:cstheme="minorBidi"/>
          <w:szCs w:val="22"/>
        </w:rPr>
      </w:pPr>
      <w:r>
        <w:t>67.</w:t>
      </w:r>
      <w:r>
        <w:tab/>
        <w:t>Secret or sacred objects must not be sold or removed from the State</w:t>
      </w:r>
      <w:r>
        <w:tab/>
      </w:r>
      <w:r>
        <w:fldChar w:fldCharType="begin"/>
      </w:r>
      <w:r>
        <w:instrText xml:space="preserve"> PAGEREF _Toc154742721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4 — Duty to report Aboriginal cultural heritage to ACH Council</w:t>
      </w:r>
    </w:p>
    <w:p>
      <w:pPr>
        <w:pStyle w:val="TOC8"/>
        <w:rPr>
          <w:rFonts w:asciiTheme="minorHAnsi" w:eastAsiaTheme="minorEastAsia" w:hAnsiTheme="minorHAnsi" w:cstheme="minorBidi"/>
          <w:szCs w:val="22"/>
        </w:rPr>
      </w:pPr>
      <w:r>
        <w:t>68.</w:t>
      </w:r>
      <w:r>
        <w:tab/>
        <w:t>Reporting Aboriginal cultural heritage</w:t>
      </w:r>
      <w:r>
        <w:tab/>
      </w:r>
      <w:r>
        <w:fldChar w:fldCharType="begin"/>
      </w:r>
      <w:r>
        <w:instrText xml:space="preserve"> PAGEREF _Toc154742723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4 — Protected areas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69.</w:t>
      </w:r>
      <w:r>
        <w:tab/>
        <w:t>Terms used</w:t>
      </w:r>
      <w:r>
        <w:tab/>
      </w:r>
      <w:r>
        <w:fldChar w:fldCharType="begin"/>
      </w:r>
      <w:r>
        <w:instrText xml:space="preserve"> PAGEREF _Toc154742726 \h </w:instrText>
      </w:r>
      <w:r>
        <w:fldChar w:fldCharType="separate"/>
      </w:r>
      <w:r>
        <w:t>59</w:t>
      </w:r>
      <w:r>
        <w:fldChar w:fldCharType="end"/>
      </w:r>
    </w:p>
    <w:p>
      <w:pPr>
        <w:pStyle w:val="TOC8"/>
        <w:rPr>
          <w:rFonts w:asciiTheme="minorHAnsi" w:eastAsiaTheme="minorEastAsia" w:hAnsiTheme="minorHAnsi" w:cstheme="minorBidi"/>
          <w:szCs w:val="22"/>
        </w:rPr>
      </w:pPr>
      <w:r>
        <w:t>70.</w:t>
      </w:r>
      <w:r>
        <w:tab/>
        <w:t>Purpose of protected area order</w:t>
      </w:r>
      <w:r>
        <w:tab/>
      </w:r>
      <w:r>
        <w:fldChar w:fldCharType="begin"/>
      </w:r>
      <w:r>
        <w:instrText xml:space="preserve"> PAGEREF _Toc154742727 \h </w:instrText>
      </w:r>
      <w:r>
        <w:fldChar w:fldCharType="separate"/>
      </w:r>
      <w:r>
        <w:t>59</w:t>
      </w:r>
      <w:r>
        <w:fldChar w:fldCharType="end"/>
      </w:r>
    </w:p>
    <w:p>
      <w:pPr>
        <w:pStyle w:val="TOC8"/>
        <w:rPr>
          <w:rFonts w:asciiTheme="minorHAnsi" w:eastAsiaTheme="minorEastAsia" w:hAnsiTheme="minorHAnsi" w:cstheme="minorBidi"/>
          <w:szCs w:val="22"/>
        </w:rPr>
      </w:pPr>
      <w:r>
        <w:t>71.</w:t>
      </w:r>
      <w:r>
        <w:tab/>
        <w:t>Protected area order guidelines must be considered</w:t>
      </w:r>
      <w:r>
        <w:tab/>
      </w:r>
      <w:r>
        <w:fldChar w:fldCharType="begin"/>
      </w:r>
      <w:r>
        <w:instrText xml:space="preserve"> PAGEREF _Toc154742728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Application for area to be declared as protected area</w:t>
      </w:r>
    </w:p>
    <w:p>
      <w:pPr>
        <w:pStyle w:val="TOC8"/>
        <w:rPr>
          <w:rFonts w:asciiTheme="minorHAnsi" w:eastAsiaTheme="minorEastAsia" w:hAnsiTheme="minorHAnsi" w:cstheme="minorBidi"/>
          <w:szCs w:val="22"/>
        </w:rPr>
      </w:pPr>
      <w:r>
        <w:t>72.</w:t>
      </w:r>
      <w:r>
        <w:tab/>
        <w:t>Application for area to be declared as protected area</w:t>
      </w:r>
      <w:r>
        <w:tab/>
      </w:r>
      <w:r>
        <w:fldChar w:fldCharType="begin"/>
      </w:r>
      <w:r>
        <w:instrText xml:space="preserve"> PAGEREF _Toc154742730 \h </w:instrText>
      </w:r>
      <w:r>
        <w:fldChar w:fldCharType="separate"/>
      </w:r>
      <w:r>
        <w:t>60</w:t>
      </w:r>
      <w:r>
        <w:fldChar w:fldCharType="end"/>
      </w:r>
    </w:p>
    <w:p>
      <w:pPr>
        <w:pStyle w:val="TOC8"/>
        <w:rPr>
          <w:rFonts w:asciiTheme="minorHAnsi" w:eastAsiaTheme="minorEastAsia" w:hAnsiTheme="minorHAnsi" w:cstheme="minorBidi"/>
          <w:szCs w:val="22"/>
        </w:rPr>
      </w:pPr>
      <w:r>
        <w:t>73.</w:t>
      </w:r>
      <w:r>
        <w:tab/>
        <w:t>Further information in support of application</w:t>
      </w:r>
      <w:r>
        <w:tab/>
      </w:r>
      <w:r>
        <w:fldChar w:fldCharType="begin"/>
      </w:r>
      <w:r>
        <w:instrText xml:space="preserve"> PAGEREF _Toc154742731 \h </w:instrText>
      </w:r>
      <w:r>
        <w:fldChar w:fldCharType="separate"/>
      </w:r>
      <w:r>
        <w:t>61</w:t>
      </w:r>
      <w:r>
        <w:fldChar w:fldCharType="end"/>
      </w:r>
    </w:p>
    <w:p>
      <w:pPr>
        <w:pStyle w:val="TOC8"/>
        <w:rPr>
          <w:rFonts w:asciiTheme="minorHAnsi" w:eastAsiaTheme="minorEastAsia" w:hAnsiTheme="minorHAnsi" w:cstheme="minorBidi"/>
          <w:szCs w:val="22"/>
        </w:rPr>
      </w:pPr>
      <w:r>
        <w:t>74.</w:t>
      </w:r>
      <w:r>
        <w:tab/>
        <w:t>ACH Council may refuse to consider some applications</w:t>
      </w:r>
      <w:r>
        <w:tab/>
      </w:r>
      <w:r>
        <w:fldChar w:fldCharType="begin"/>
      </w:r>
      <w:r>
        <w:instrText xml:space="preserve"> PAGEREF _Toc154742732 \h </w:instrText>
      </w:r>
      <w:r>
        <w:fldChar w:fldCharType="separate"/>
      </w:r>
      <w:r>
        <w:t>61</w:t>
      </w:r>
      <w:r>
        <w:fldChar w:fldCharType="end"/>
      </w:r>
    </w:p>
    <w:p>
      <w:pPr>
        <w:pStyle w:val="TOC8"/>
        <w:rPr>
          <w:rFonts w:asciiTheme="minorHAnsi" w:eastAsiaTheme="minorEastAsia" w:hAnsiTheme="minorHAnsi" w:cstheme="minorBidi"/>
          <w:szCs w:val="22"/>
        </w:rPr>
      </w:pPr>
      <w:r>
        <w:t>75.</w:t>
      </w:r>
      <w:r>
        <w:tab/>
        <w:t>ACH Council must notify certain persons about application</w:t>
      </w:r>
      <w:r>
        <w:tab/>
      </w:r>
      <w:r>
        <w:fldChar w:fldCharType="begin"/>
      </w:r>
      <w:r>
        <w:instrText xml:space="preserve"> PAGEREF _Toc154742733 \h </w:instrText>
      </w:r>
      <w:r>
        <w:fldChar w:fldCharType="separate"/>
      </w:r>
      <w:r>
        <w:t>62</w:t>
      </w:r>
      <w:r>
        <w:fldChar w:fldCharType="end"/>
      </w:r>
    </w:p>
    <w:p>
      <w:pPr>
        <w:pStyle w:val="TOC8"/>
        <w:rPr>
          <w:rFonts w:asciiTheme="minorHAnsi" w:eastAsiaTheme="minorEastAsia" w:hAnsiTheme="minorHAnsi" w:cstheme="minorBidi"/>
          <w:szCs w:val="22"/>
        </w:rPr>
      </w:pPr>
      <w:r>
        <w:t>76.</w:t>
      </w:r>
      <w:r>
        <w:tab/>
        <w:t>Preliminary assessment by ACH Council</w:t>
      </w:r>
      <w:r>
        <w:tab/>
      </w:r>
      <w:r>
        <w:fldChar w:fldCharType="begin"/>
      </w:r>
      <w:r>
        <w:instrText xml:space="preserve"> PAGEREF _Toc154742734 \h </w:instrText>
      </w:r>
      <w:r>
        <w:fldChar w:fldCharType="separate"/>
      </w:r>
      <w:r>
        <w:t>62</w:t>
      </w:r>
      <w:r>
        <w:fldChar w:fldCharType="end"/>
      </w:r>
    </w:p>
    <w:p>
      <w:pPr>
        <w:pStyle w:val="TOC8"/>
        <w:rPr>
          <w:rFonts w:asciiTheme="minorHAnsi" w:eastAsiaTheme="minorEastAsia" w:hAnsiTheme="minorHAnsi" w:cstheme="minorBidi"/>
          <w:szCs w:val="22"/>
        </w:rPr>
      </w:pPr>
      <w:r>
        <w:t>77.</w:t>
      </w:r>
      <w:r>
        <w:tab/>
        <w:t>Giving public notice of intention to seek that area be declared as protected area</w:t>
      </w:r>
      <w:r>
        <w:tab/>
      </w:r>
      <w:r>
        <w:fldChar w:fldCharType="begin"/>
      </w:r>
      <w:r>
        <w:instrText xml:space="preserve"> PAGEREF _Toc154742735 \h </w:instrText>
      </w:r>
      <w:r>
        <w:fldChar w:fldCharType="separate"/>
      </w:r>
      <w:r>
        <w:t>63</w:t>
      </w:r>
      <w:r>
        <w:fldChar w:fldCharType="end"/>
      </w:r>
    </w:p>
    <w:p>
      <w:pPr>
        <w:pStyle w:val="TOC8"/>
        <w:rPr>
          <w:rFonts w:asciiTheme="minorHAnsi" w:eastAsiaTheme="minorEastAsia" w:hAnsiTheme="minorHAnsi" w:cstheme="minorBidi"/>
          <w:szCs w:val="22"/>
        </w:rPr>
      </w:pPr>
      <w:r>
        <w:t>78.</w:t>
      </w:r>
      <w:r>
        <w:tab/>
        <w:t>Review of preliminary assessment of ACH Council that area not be declared as protected area</w:t>
      </w:r>
      <w:r>
        <w:tab/>
      </w:r>
      <w:r>
        <w:fldChar w:fldCharType="begin"/>
      </w:r>
      <w:r>
        <w:instrText xml:space="preserve"> PAGEREF _Toc154742736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Recommendation of ACH Council</w:t>
      </w:r>
    </w:p>
    <w:p>
      <w:pPr>
        <w:pStyle w:val="TOC8"/>
        <w:rPr>
          <w:rFonts w:asciiTheme="minorHAnsi" w:eastAsiaTheme="minorEastAsia" w:hAnsiTheme="minorHAnsi" w:cstheme="minorBidi"/>
          <w:szCs w:val="22"/>
        </w:rPr>
      </w:pPr>
      <w:r>
        <w:t>79.</w:t>
      </w:r>
      <w:r>
        <w:tab/>
        <w:t>Recommendation of ACH Council</w:t>
      </w:r>
      <w:r>
        <w:tab/>
      </w:r>
      <w:r>
        <w:fldChar w:fldCharType="begin"/>
      </w:r>
      <w:r>
        <w:instrText xml:space="preserve"> PAGEREF _Toc154742738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4 — Decision of Minister</w:t>
      </w:r>
    </w:p>
    <w:p>
      <w:pPr>
        <w:pStyle w:val="TOC8"/>
        <w:rPr>
          <w:rFonts w:asciiTheme="minorHAnsi" w:eastAsiaTheme="minorEastAsia" w:hAnsiTheme="minorHAnsi" w:cstheme="minorBidi"/>
          <w:szCs w:val="22"/>
        </w:rPr>
      </w:pPr>
      <w:r>
        <w:t>80.</w:t>
      </w:r>
      <w:r>
        <w:tab/>
        <w:t>Minister may request further information</w:t>
      </w:r>
      <w:r>
        <w:tab/>
      </w:r>
      <w:r>
        <w:fldChar w:fldCharType="begin"/>
      </w:r>
      <w:r>
        <w:instrText xml:space="preserve"> PAGEREF _Toc154742740 \h </w:instrText>
      </w:r>
      <w:r>
        <w:fldChar w:fldCharType="separate"/>
      </w:r>
      <w:r>
        <w:t>68</w:t>
      </w:r>
      <w:r>
        <w:fldChar w:fldCharType="end"/>
      </w:r>
    </w:p>
    <w:p>
      <w:pPr>
        <w:pStyle w:val="TOC8"/>
        <w:rPr>
          <w:rFonts w:asciiTheme="minorHAnsi" w:eastAsiaTheme="minorEastAsia" w:hAnsiTheme="minorHAnsi" w:cstheme="minorBidi"/>
          <w:szCs w:val="22"/>
        </w:rPr>
      </w:pPr>
      <w:r>
        <w:t>81.</w:t>
      </w:r>
      <w:r>
        <w:tab/>
        <w:t>Decision of Minister</w:t>
      </w:r>
      <w:r>
        <w:tab/>
      </w:r>
      <w:r>
        <w:fldChar w:fldCharType="begin"/>
      </w:r>
      <w:r>
        <w:instrText xml:space="preserve"> PAGEREF _Toc154742741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5 — Declaration of protected area</w:t>
      </w:r>
    </w:p>
    <w:p>
      <w:pPr>
        <w:pStyle w:val="TOC8"/>
        <w:rPr>
          <w:rFonts w:asciiTheme="minorHAnsi" w:eastAsiaTheme="minorEastAsia" w:hAnsiTheme="minorHAnsi" w:cstheme="minorBidi"/>
          <w:szCs w:val="22"/>
        </w:rPr>
      </w:pPr>
      <w:r>
        <w:t>82.</w:t>
      </w:r>
      <w:r>
        <w:tab/>
        <w:t>Protected area orders</w:t>
      </w:r>
      <w:r>
        <w:tab/>
      </w:r>
      <w:r>
        <w:fldChar w:fldCharType="begin"/>
      </w:r>
      <w:r>
        <w:instrText xml:space="preserve"> PAGEREF _Toc154742743 \h </w:instrText>
      </w:r>
      <w:r>
        <w:fldChar w:fldCharType="separate"/>
      </w:r>
      <w:r>
        <w:t>70</w:t>
      </w:r>
      <w:r>
        <w:fldChar w:fldCharType="end"/>
      </w:r>
    </w:p>
    <w:p>
      <w:pPr>
        <w:pStyle w:val="TOC8"/>
        <w:rPr>
          <w:rFonts w:asciiTheme="minorHAnsi" w:eastAsiaTheme="minorEastAsia" w:hAnsiTheme="minorHAnsi" w:cstheme="minorBidi"/>
          <w:szCs w:val="22"/>
        </w:rPr>
      </w:pPr>
      <w:r>
        <w:t>83.</w:t>
      </w:r>
      <w:r>
        <w:tab/>
        <w:t>Amending and repealing orders</w:t>
      </w:r>
      <w:r>
        <w:tab/>
      </w:r>
      <w:r>
        <w:fldChar w:fldCharType="begin"/>
      </w:r>
      <w:r>
        <w:instrText xml:space="preserve"> PAGEREF _Toc154742744 \h </w:instrText>
      </w:r>
      <w:r>
        <w:fldChar w:fldCharType="separate"/>
      </w:r>
      <w:r>
        <w:t>70</w:t>
      </w:r>
      <w:r>
        <w:fldChar w:fldCharType="end"/>
      </w:r>
    </w:p>
    <w:p>
      <w:pPr>
        <w:pStyle w:val="TOC8"/>
        <w:rPr>
          <w:rFonts w:asciiTheme="minorHAnsi" w:eastAsiaTheme="minorEastAsia" w:hAnsiTheme="minorHAnsi" w:cstheme="minorBidi"/>
          <w:szCs w:val="22"/>
        </w:rPr>
      </w:pPr>
      <w:r>
        <w:t>84.</w:t>
      </w:r>
      <w:r>
        <w:tab/>
        <w:t>Order to correct error</w:t>
      </w:r>
      <w:r>
        <w:tab/>
      </w:r>
      <w:r>
        <w:fldChar w:fldCharType="begin"/>
      </w:r>
      <w:r>
        <w:instrText xml:space="preserve"> PAGEREF _Toc154742745 \h </w:instrText>
      </w:r>
      <w:r>
        <w:fldChar w:fldCharType="separate"/>
      </w:r>
      <w:r>
        <w:t>72</w:t>
      </w:r>
      <w:r>
        <w:fldChar w:fldCharType="end"/>
      </w:r>
    </w:p>
    <w:p>
      <w:pPr>
        <w:pStyle w:val="TOC8"/>
        <w:rPr>
          <w:rFonts w:asciiTheme="minorHAnsi" w:eastAsiaTheme="minorEastAsia" w:hAnsiTheme="minorHAnsi" w:cstheme="minorBidi"/>
          <w:szCs w:val="22"/>
        </w:rPr>
      </w:pPr>
      <w:r>
        <w:t>85.</w:t>
      </w:r>
      <w:r>
        <w:tab/>
        <w:t>Repeal of protected area order, or amendment to reduce area declared as protected area</w:t>
      </w:r>
      <w:r>
        <w:tab/>
      </w:r>
      <w:r>
        <w:fldChar w:fldCharType="begin"/>
      </w:r>
      <w:r>
        <w:instrText xml:space="preserve"> PAGEREF _Toc154742746 \h </w:instrText>
      </w:r>
      <w:r>
        <w:fldChar w:fldCharType="separate"/>
      </w:r>
      <w:r>
        <w:t>72</w:t>
      </w:r>
      <w:r>
        <w:fldChar w:fldCharType="end"/>
      </w:r>
    </w:p>
    <w:p>
      <w:pPr>
        <w:pStyle w:val="TOC8"/>
        <w:rPr>
          <w:rFonts w:asciiTheme="minorHAnsi" w:eastAsiaTheme="minorEastAsia" w:hAnsiTheme="minorHAnsi" w:cstheme="minorBidi"/>
          <w:szCs w:val="22"/>
        </w:rPr>
      </w:pPr>
      <w:r>
        <w:t>86.</w:t>
      </w:r>
      <w:r>
        <w:tab/>
        <w:t>Provisions about protected area orders</w:t>
      </w:r>
      <w:r>
        <w:tab/>
      </w:r>
      <w:r>
        <w:fldChar w:fldCharType="begin"/>
      </w:r>
      <w:r>
        <w:instrText xml:space="preserve"> PAGEREF _Toc154742747 \h </w:instrText>
      </w:r>
      <w:r>
        <w:fldChar w:fldCharType="separate"/>
      </w:r>
      <w:r>
        <w:t>72</w:t>
      </w:r>
      <w:r>
        <w:fldChar w:fldCharType="end"/>
      </w:r>
    </w:p>
    <w:p>
      <w:pPr>
        <w:pStyle w:val="TOC8"/>
        <w:rPr>
          <w:rFonts w:asciiTheme="minorHAnsi" w:eastAsiaTheme="minorEastAsia" w:hAnsiTheme="minorHAnsi" w:cstheme="minorBidi"/>
          <w:szCs w:val="22"/>
        </w:rPr>
      </w:pPr>
      <w:r>
        <w:t>87.</w:t>
      </w:r>
      <w:r>
        <w:tab/>
        <w:t>Lodgment of notification with Registrar and modification and withdrawal of notification</w:t>
      </w:r>
      <w:r>
        <w:tab/>
      </w:r>
      <w:r>
        <w:fldChar w:fldCharType="begin"/>
      </w:r>
      <w:r>
        <w:instrText xml:space="preserve"> PAGEREF _Toc154742748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t>Division 6 — Contravention of conditions on protected area orders</w:t>
      </w:r>
    </w:p>
    <w:p>
      <w:pPr>
        <w:pStyle w:val="TOC8"/>
        <w:rPr>
          <w:rFonts w:asciiTheme="minorHAnsi" w:eastAsiaTheme="minorEastAsia" w:hAnsiTheme="minorHAnsi" w:cstheme="minorBidi"/>
          <w:szCs w:val="22"/>
        </w:rPr>
      </w:pPr>
      <w:r>
        <w:t>88.</w:t>
      </w:r>
      <w:r>
        <w:tab/>
        <w:t>Contravention of conditions on protected area order</w:t>
      </w:r>
      <w:r>
        <w:tab/>
      </w:r>
      <w:r>
        <w:fldChar w:fldCharType="begin"/>
      </w:r>
      <w:r>
        <w:instrText xml:space="preserve"> PAGEREF _Toc154742750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5 — Offences about harming Aboriginal cultural heritage and </w:t>
      </w:r>
      <w:r>
        <w:lastRenderedPageBreak/>
        <w:t>compensation for harm to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89.</w:t>
      </w:r>
      <w:r>
        <w:tab/>
        <w:t>Application of Part</w:t>
      </w:r>
      <w:r>
        <w:tab/>
      </w:r>
      <w:r>
        <w:fldChar w:fldCharType="begin"/>
      </w:r>
      <w:r>
        <w:instrText xml:space="preserve"> PAGEREF _Toc154742753 \h </w:instrText>
      </w:r>
      <w:r>
        <w:fldChar w:fldCharType="separate"/>
      </w:r>
      <w:r>
        <w:t>75</w:t>
      </w:r>
      <w:r>
        <w:fldChar w:fldCharType="end"/>
      </w:r>
    </w:p>
    <w:p>
      <w:pPr>
        <w:pStyle w:val="TOC8"/>
        <w:rPr>
          <w:rFonts w:asciiTheme="minorHAnsi" w:eastAsiaTheme="minorEastAsia" w:hAnsiTheme="minorHAnsi" w:cstheme="minorBidi"/>
          <w:szCs w:val="22"/>
        </w:rPr>
      </w:pPr>
      <w:r>
        <w:t>90.</w:t>
      </w:r>
      <w:r>
        <w:tab/>
        <w:t>Meaning of harm to Aboriginal cultural heritage</w:t>
      </w:r>
      <w:r>
        <w:tab/>
      </w:r>
      <w:r>
        <w:fldChar w:fldCharType="begin"/>
      </w:r>
      <w:r>
        <w:instrText xml:space="preserve"> PAGEREF _Toc154742754 \h </w:instrText>
      </w:r>
      <w:r>
        <w:fldChar w:fldCharType="separate"/>
      </w:r>
      <w:r>
        <w:t>75</w:t>
      </w:r>
      <w:r>
        <w:fldChar w:fldCharType="end"/>
      </w:r>
    </w:p>
    <w:p>
      <w:pPr>
        <w:pStyle w:val="TOC8"/>
        <w:rPr>
          <w:rFonts w:asciiTheme="minorHAnsi" w:eastAsiaTheme="minorEastAsia" w:hAnsiTheme="minorHAnsi" w:cstheme="minorBidi"/>
          <w:szCs w:val="22"/>
        </w:rPr>
      </w:pPr>
      <w:r>
        <w:t>91.</w:t>
      </w:r>
      <w:r>
        <w:tab/>
        <w:t>Meaning of serious harm and material harm to Aboriginal cultural heritage</w:t>
      </w:r>
      <w:r>
        <w:tab/>
      </w:r>
      <w:r>
        <w:fldChar w:fldCharType="begin"/>
      </w:r>
      <w:r>
        <w:instrText xml:space="preserve"> PAGEREF _Toc154742755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2 — Offences: harm to Aboriginal cultural heritage</w:t>
      </w:r>
    </w:p>
    <w:p>
      <w:pPr>
        <w:pStyle w:val="TOC8"/>
        <w:rPr>
          <w:rFonts w:asciiTheme="minorHAnsi" w:eastAsiaTheme="minorEastAsia" w:hAnsiTheme="minorHAnsi" w:cstheme="minorBidi"/>
          <w:szCs w:val="22"/>
        </w:rPr>
      </w:pPr>
      <w:r>
        <w:t>92.</w:t>
      </w:r>
      <w:r>
        <w:tab/>
        <w:t>Serious harm to Aboriginal cultural heritage</w:t>
      </w:r>
      <w:r>
        <w:tab/>
      </w:r>
      <w:r>
        <w:fldChar w:fldCharType="begin"/>
      </w:r>
      <w:r>
        <w:instrText xml:space="preserve"> PAGEREF _Toc154742757 \h </w:instrText>
      </w:r>
      <w:r>
        <w:fldChar w:fldCharType="separate"/>
      </w:r>
      <w:r>
        <w:t>76</w:t>
      </w:r>
      <w:r>
        <w:fldChar w:fldCharType="end"/>
      </w:r>
    </w:p>
    <w:p>
      <w:pPr>
        <w:pStyle w:val="TOC8"/>
        <w:rPr>
          <w:rFonts w:asciiTheme="minorHAnsi" w:eastAsiaTheme="minorEastAsia" w:hAnsiTheme="minorHAnsi" w:cstheme="minorBidi"/>
          <w:szCs w:val="22"/>
        </w:rPr>
      </w:pPr>
      <w:r>
        <w:t>93.</w:t>
      </w:r>
      <w:r>
        <w:tab/>
        <w:t>Serious harm to Aboriginal cultural heritage, including by accident</w:t>
      </w:r>
      <w:r>
        <w:tab/>
      </w:r>
      <w:r>
        <w:fldChar w:fldCharType="begin"/>
      </w:r>
      <w:r>
        <w:instrText xml:space="preserve"> PAGEREF _Toc154742758 \h </w:instrText>
      </w:r>
      <w:r>
        <w:fldChar w:fldCharType="separate"/>
      </w:r>
      <w:r>
        <w:t>77</w:t>
      </w:r>
      <w:r>
        <w:fldChar w:fldCharType="end"/>
      </w:r>
    </w:p>
    <w:p>
      <w:pPr>
        <w:pStyle w:val="TOC8"/>
        <w:rPr>
          <w:rFonts w:asciiTheme="minorHAnsi" w:eastAsiaTheme="minorEastAsia" w:hAnsiTheme="minorHAnsi" w:cstheme="minorBidi"/>
          <w:szCs w:val="22"/>
        </w:rPr>
      </w:pPr>
      <w:r>
        <w:t>94.</w:t>
      </w:r>
      <w:r>
        <w:tab/>
        <w:t>Material harm to Aboriginal cultural heritage</w:t>
      </w:r>
      <w:r>
        <w:tab/>
      </w:r>
      <w:r>
        <w:fldChar w:fldCharType="begin"/>
      </w:r>
      <w:r>
        <w:instrText xml:space="preserve"> PAGEREF _Toc154742759 \h </w:instrText>
      </w:r>
      <w:r>
        <w:fldChar w:fldCharType="separate"/>
      </w:r>
      <w:r>
        <w:t>77</w:t>
      </w:r>
      <w:r>
        <w:fldChar w:fldCharType="end"/>
      </w:r>
    </w:p>
    <w:p>
      <w:pPr>
        <w:pStyle w:val="TOC8"/>
        <w:rPr>
          <w:rFonts w:asciiTheme="minorHAnsi" w:eastAsiaTheme="minorEastAsia" w:hAnsiTheme="minorHAnsi" w:cstheme="minorBidi"/>
          <w:szCs w:val="22"/>
        </w:rPr>
      </w:pPr>
      <w:r>
        <w:t>95.</w:t>
      </w:r>
      <w:r>
        <w:tab/>
        <w:t>Harm to Aboriginal cultural heritage</w:t>
      </w:r>
      <w:r>
        <w:tab/>
      </w:r>
      <w:r>
        <w:fldChar w:fldCharType="begin"/>
      </w:r>
      <w:r>
        <w:instrText xml:space="preserve"> PAGEREF _Toc154742760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3 — Defences: harm to Aboriginal cultural heritage</w:t>
      </w:r>
    </w:p>
    <w:p>
      <w:pPr>
        <w:pStyle w:val="TOC8"/>
        <w:rPr>
          <w:rFonts w:asciiTheme="minorHAnsi" w:eastAsiaTheme="minorEastAsia" w:hAnsiTheme="minorHAnsi" w:cstheme="minorBidi"/>
          <w:szCs w:val="22"/>
        </w:rPr>
      </w:pPr>
      <w:r>
        <w:t>96.</w:t>
      </w:r>
      <w:r>
        <w:tab/>
        <w:t>Defence of authority under Part 6 Division 4</w:t>
      </w:r>
      <w:r>
        <w:tab/>
      </w:r>
      <w:r>
        <w:fldChar w:fldCharType="begin"/>
      </w:r>
      <w:r>
        <w:instrText xml:space="preserve"> PAGEREF _Toc154742762 \h </w:instrText>
      </w:r>
      <w:r>
        <w:fldChar w:fldCharType="separate"/>
      </w:r>
      <w:r>
        <w:t>78</w:t>
      </w:r>
      <w:r>
        <w:fldChar w:fldCharType="end"/>
      </w:r>
    </w:p>
    <w:p>
      <w:pPr>
        <w:pStyle w:val="TOC8"/>
        <w:rPr>
          <w:rFonts w:asciiTheme="minorHAnsi" w:eastAsiaTheme="minorEastAsia" w:hAnsiTheme="minorHAnsi" w:cstheme="minorBidi"/>
          <w:szCs w:val="22"/>
        </w:rPr>
      </w:pPr>
      <w:r>
        <w:t>97.</w:t>
      </w:r>
      <w:r>
        <w:tab/>
        <w:t>Defences that apply in relation to protected areas</w:t>
      </w:r>
      <w:r>
        <w:tab/>
      </w:r>
      <w:r>
        <w:fldChar w:fldCharType="begin"/>
      </w:r>
      <w:r>
        <w:instrText xml:space="preserve"> PAGEREF _Toc154742763 \h </w:instrText>
      </w:r>
      <w:r>
        <w:fldChar w:fldCharType="separate"/>
      </w:r>
      <w:r>
        <w:t>79</w:t>
      </w:r>
      <w:r>
        <w:fldChar w:fldCharType="end"/>
      </w:r>
    </w:p>
    <w:p>
      <w:pPr>
        <w:pStyle w:val="TOC8"/>
        <w:rPr>
          <w:rFonts w:asciiTheme="minorHAnsi" w:eastAsiaTheme="minorEastAsia" w:hAnsiTheme="minorHAnsi" w:cstheme="minorBidi"/>
          <w:szCs w:val="22"/>
        </w:rPr>
      </w:pPr>
      <w:r>
        <w:t>98.</w:t>
      </w:r>
      <w:r>
        <w:tab/>
        <w:t>Other defences</w:t>
      </w:r>
      <w:r>
        <w:tab/>
      </w:r>
      <w:r>
        <w:fldChar w:fldCharType="begin"/>
      </w:r>
      <w:r>
        <w:instrText xml:space="preserve"> PAGEREF _Toc154742764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4 — Compensation for harm to Aboriginal cultural heritage</w:t>
      </w:r>
    </w:p>
    <w:p>
      <w:pPr>
        <w:pStyle w:val="TOC8"/>
        <w:rPr>
          <w:rFonts w:asciiTheme="minorHAnsi" w:eastAsiaTheme="minorEastAsia" w:hAnsiTheme="minorHAnsi" w:cstheme="minorBidi"/>
          <w:szCs w:val="22"/>
        </w:rPr>
      </w:pPr>
      <w:r>
        <w:t>99.</w:t>
      </w:r>
      <w:r>
        <w:tab/>
        <w:t>Compensation for harm to Aboriginal cultural heritage</w:t>
      </w:r>
      <w:r>
        <w:tab/>
      </w:r>
      <w:r>
        <w:fldChar w:fldCharType="begin"/>
      </w:r>
      <w:r>
        <w:instrText xml:space="preserve"> PAGEREF _Toc154742766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_Toc154742769 \h </w:instrText>
      </w:r>
      <w:r>
        <w:fldChar w:fldCharType="separate"/>
      </w:r>
      <w:r>
        <w:t>82</w:t>
      </w:r>
      <w:r>
        <w:fldChar w:fldCharType="end"/>
      </w:r>
    </w:p>
    <w:p>
      <w:pPr>
        <w:pStyle w:val="TOC8"/>
        <w:rPr>
          <w:rFonts w:asciiTheme="minorHAnsi" w:eastAsiaTheme="minorEastAsia" w:hAnsiTheme="minorHAnsi" w:cstheme="minorBidi"/>
          <w:szCs w:val="22"/>
        </w:rPr>
      </w:pPr>
      <w:r>
        <w:t>101.</w:t>
      </w:r>
      <w:r>
        <w:tab/>
        <w:t>Consultation about proposed activities</w:t>
      </w:r>
      <w:r>
        <w:tab/>
      </w:r>
      <w:r>
        <w:fldChar w:fldCharType="begin"/>
      </w:r>
      <w:r>
        <w:instrText xml:space="preserve"> PAGEREF _Toc154742770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2 — Due diligence assessment</w:t>
      </w:r>
    </w:p>
    <w:p>
      <w:pPr>
        <w:pStyle w:val="TOC8"/>
        <w:rPr>
          <w:rFonts w:asciiTheme="minorHAnsi" w:eastAsiaTheme="minorEastAsia" w:hAnsiTheme="minorHAnsi" w:cstheme="minorBidi"/>
          <w:szCs w:val="22"/>
        </w:rPr>
      </w:pPr>
      <w:r>
        <w:t>102.</w:t>
      </w:r>
      <w:r>
        <w:tab/>
        <w:t>Due diligence assessment</w:t>
      </w:r>
      <w:r>
        <w:tab/>
      </w:r>
      <w:r>
        <w:fldChar w:fldCharType="begin"/>
      </w:r>
      <w:r>
        <w:instrText xml:space="preserve"> PAGEREF _Toc154742772 \h </w:instrText>
      </w:r>
      <w:r>
        <w:fldChar w:fldCharType="separate"/>
      </w:r>
      <w:r>
        <w:t>85</w:t>
      </w:r>
      <w:r>
        <w:fldChar w:fldCharType="end"/>
      </w:r>
    </w:p>
    <w:p>
      <w:pPr>
        <w:pStyle w:val="TOC8"/>
        <w:rPr>
          <w:rFonts w:asciiTheme="minorHAnsi" w:eastAsiaTheme="minorEastAsia" w:hAnsiTheme="minorHAnsi" w:cstheme="minorBidi"/>
          <w:szCs w:val="22"/>
        </w:rPr>
      </w:pPr>
      <w:r>
        <w:t>103.</w:t>
      </w:r>
      <w:r>
        <w:tab/>
        <w:t>Due diligence assessment not required for exempt activity</w:t>
      </w:r>
      <w:r>
        <w:tab/>
      </w:r>
      <w:r>
        <w:fldChar w:fldCharType="begin"/>
      </w:r>
      <w:r>
        <w:instrText xml:space="preserve"> PAGEREF _Toc154742773 \h </w:instrText>
      </w:r>
      <w:r>
        <w:fldChar w:fldCharType="separate"/>
      </w:r>
      <w:r>
        <w:t>86</w:t>
      </w:r>
      <w:r>
        <w:fldChar w:fldCharType="end"/>
      </w:r>
    </w:p>
    <w:p>
      <w:pPr>
        <w:pStyle w:val="TOC8"/>
        <w:rPr>
          <w:rFonts w:asciiTheme="minorHAnsi" w:eastAsiaTheme="minorEastAsia" w:hAnsiTheme="minorHAnsi" w:cstheme="minorBidi"/>
          <w:szCs w:val="22"/>
        </w:rPr>
      </w:pPr>
      <w:r>
        <w:t>104.</w:t>
      </w:r>
      <w:r>
        <w:tab/>
        <w:t>Proponent may seek confirmation about proposed activity</w:t>
      </w:r>
      <w:r>
        <w:tab/>
      </w:r>
      <w:r>
        <w:fldChar w:fldCharType="begin"/>
      </w:r>
      <w:r>
        <w:instrText xml:space="preserve"> PAGEREF _Toc154742774 \h </w:instrText>
      </w:r>
      <w:r>
        <w:fldChar w:fldCharType="separate"/>
      </w:r>
      <w:r>
        <w:t>86</w:t>
      </w:r>
      <w:r>
        <w:fldChar w:fldCharType="end"/>
      </w:r>
    </w:p>
    <w:p>
      <w:pPr>
        <w:pStyle w:val="TOC8"/>
        <w:rPr>
          <w:rFonts w:asciiTheme="minorHAnsi" w:eastAsiaTheme="minorEastAsia" w:hAnsiTheme="minorHAnsi" w:cstheme="minorBidi"/>
          <w:szCs w:val="22"/>
        </w:rPr>
      </w:pPr>
      <w:r>
        <w:lastRenderedPageBreak/>
        <w:t>105.</w:t>
      </w:r>
      <w:r>
        <w:tab/>
        <w:t>Responsibility for undertaking due diligence assessment</w:t>
      </w:r>
      <w:r>
        <w:tab/>
      </w:r>
      <w:r>
        <w:fldChar w:fldCharType="begin"/>
      </w:r>
      <w:r>
        <w:instrText xml:space="preserve"> PAGEREF _Toc154742775 \h </w:instrText>
      </w:r>
      <w:r>
        <w:fldChar w:fldCharType="separate"/>
      </w:r>
      <w:r>
        <w:t>88</w:t>
      </w:r>
      <w:r>
        <w:fldChar w:fldCharType="end"/>
      </w:r>
    </w:p>
    <w:p>
      <w:pPr>
        <w:pStyle w:val="TOC8"/>
        <w:rPr>
          <w:rFonts w:asciiTheme="minorHAnsi" w:eastAsiaTheme="minorEastAsia" w:hAnsiTheme="minorHAnsi" w:cstheme="minorBidi"/>
          <w:szCs w:val="22"/>
        </w:rPr>
      </w:pPr>
      <w:r>
        <w:t>106.</w:t>
      </w:r>
      <w:r>
        <w:tab/>
        <w:t>Related agreement may be used to satisfy some due diligence requirements</w:t>
      </w:r>
      <w:r>
        <w:tab/>
      </w:r>
      <w:r>
        <w:fldChar w:fldCharType="begin"/>
      </w:r>
      <w:r>
        <w:instrText xml:space="preserve"> PAGEREF _Toc154742776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Persons to be notified or persons to be consulted about activities or proposed activities</w:t>
      </w:r>
    </w:p>
    <w:p>
      <w:pPr>
        <w:pStyle w:val="TOC8"/>
        <w:rPr>
          <w:rFonts w:asciiTheme="minorHAnsi" w:eastAsiaTheme="minorEastAsia" w:hAnsiTheme="minorHAnsi" w:cstheme="minorBidi"/>
          <w:szCs w:val="22"/>
        </w:rPr>
      </w:pPr>
      <w:r>
        <w:t>107.</w:t>
      </w:r>
      <w:r>
        <w:tab/>
        <w:t>Persons to be notified or persons to be consulted about activities or proposed activities</w:t>
      </w:r>
      <w:r>
        <w:tab/>
      </w:r>
      <w:r>
        <w:fldChar w:fldCharType="begin"/>
      </w:r>
      <w:r>
        <w:instrText xml:space="preserve"> PAGEREF _Toc154742778 \h </w:instrText>
      </w:r>
      <w:r>
        <w:fldChar w:fldCharType="separate"/>
      </w:r>
      <w:r>
        <w:t>88</w:t>
      </w:r>
      <w:r>
        <w:fldChar w:fldCharType="end"/>
      </w:r>
    </w:p>
    <w:p>
      <w:pPr>
        <w:pStyle w:val="TOC8"/>
        <w:rPr>
          <w:rFonts w:asciiTheme="minorHAnsi" w:eastAsiaTheme="minorEastAsia" w:hAnsiTheme="minorHAnsi" w:cstheme="minorBidi"/>
          <w:szCs w:val="22"/>
        </w:rPr>
      </w:pPr>
      <w:r>
        <w:t>108.</w:t>
      </w:r>
      <w:r>
        <w:tab/>
        <w:t>Assistance to identify persons to be notified or persons to be consulted</w:t>
      </w:r>
      <w:r>
        <w:tab/>
      </w:r>
      <w:r>
        <w:fldChar w:fldCharType="begin"/>
      </w:r>
      <w:r>
        <w:instrText xml:space="preserve"> PAGEREF _Toc154742779 \h </w:instrText>
      </w:r>
      <w:r>
        <w:fldChar w:fldCharType="separate"/>
      </w:r>
      <w:r>
        <w:t>89</w:t>
      </w:r>
      <w:r>
        <w:fldChar w:fldCharType="end"/>
      </w:r>
    </w:p>
    <w:p>
      <w:pPr>
        <w:pStyle w:val="TOC4"/>
        <w:tabs>
          <w:tab w:val="right" w:leader="dot" w:pos="7077"/>
        </w:tabs>
        <w:rPr>
          <w:rFonts w:asciiTheme="minorHAnsi" w:eastAsiaTheme="minorEastAsia" w:hAnsiTheme="minorHAnsi" w:cstheme="minorBidi"/>
          <w:b w:val="0"/>
          <w:szCs w:val="22"/>
        </w:rPr>
      </w:pPr>
      <w:r>
        <w:t>Division 4 — Authority to carry out activity that may harm Aboriginal cultural heritage</w:t>
      </w:r>
    </w:p>
    <w:p>
      <w:pPr>
        <w:pStyle w:val="TOC8"/>
        <w:rPr>
          <w:rFonts w:asciiTheme="minorHAnsi" w:eastAsiaTheme="minorEastAsia" w:hAnsiTheme="minorHAnsi" w:cstheme="minorBidi"/>
          <w:szCs w:val="22"/>
        </w:rPr>
      </w:pPr>
      <w:r>
        <w:t>109.</w:t>
      </w:r>
      <w:r>
        <w:tab/>
        <w:t>Authority to carry out exempt activity</w:t>
      </w:r>
      <w:r>
        <w:tab/>
      </w:r>
      <w:r>
        <w:fldChar w:fldCharType="begin"/>
      </w:r>
      <w:r>
        <w:instrText xml:space="preserve"> PAGEREF _Toc154742781 \h </w:instrText>
      </w:r>
      <w:r>
        <w:fldChar w:fldCharType="separate"/>
      </w:r>
      <w:r>
        <w:t>89</w:t>
      </w:r>
      <w:r>
        <w:fldChar w:fldCharType="end"/>
      </w:r>
    </w:p>
    <w:p>
      <w:pPr>
        <w:pStyle w:val="TOC8"/>
        <w:rPr>
          <w:rFonts w:asciiTheme="minorHAnsi" w:eastAsiaTheme="minorEastAsia" w:hAnsiTheme="minorHAnsi" w:cstheme="minorBidi"/>
          <w:szCs w:val="22"/>
        </w:rPr>
      </w:pPr>
      <w:r>
        <w:t>110.</w:t>
      </w:r>
      <w:r>
        <w:tab/>
        <w:t>Authority to carry out tier 1 activity that may harm Aboriginal cultural heritage</w:t>
      </w:r>
      <w:r>
        <w:tab/>
      </w:r>
      <w:r>
        <w:fldChar w:fldCharType="begin"/>
      </w:r>
      <w:r>
        <w:instrText xml:space="preserve"> PAGEREF _Toc154742782 \h </w:instrText>
      </w:r>
      <w:r>
        <w:fldChar w:fldCharType="separate"/>
      </w:r>
      <w:r>
        <w:t>90</w:t>
      </w:r>
      <w:r>
        <w:fldChar w:fldCharType="end"/>
      </w:r>
    </w:p>
    <w:p>
      <w:pPr>
        <w:pStyle w:val="TOC8"/>
        <w:rPr>
          <w:rFonts w:asciiTheme="minorHAnsi" w:eastAsiaTheme="minorEastAsia" w:hAnsiTheme="minorHAnsi" w:cstheme="minorBidi"/>
          <w:szCs w:val="22"/>
        </w:rPr>
      </w:pPr>
      <w:r>
        <w:t>111.</w:t>
      </w:r>
      <w:r>
        <w:tab/>
        <w:t>Authority to carry out tier 2 activity that may harm Aboriginal cultural heritage</w:t>
      </w:r>
      <w:r>
        <w:tab/>
      </w:r>
      <w:r>
        <w:fldChar w:fldCharType="begin"/>
      </w:r>
      <w:r>
        <w:instrText xml:space="preserve"> PAGEREF _Toc154742783 \h </w:instrText>
      </w:r>
      <w:r>
        <w:fldChar w:fldCharType="separate"/>
      </w:r>
      <w:r>
        <w:t>90</w:t>
      </w:r>
      <w:r>
        <w:fldChar w:fldCharType="end"/>
      </w:r>
    </w:p>
    <w:p>
      <w:pPr>
        <w:pStyle w:val="TOC8"/>
        <w:rPr>
          <w:rFonts w:asciiTheme="minorHAnsi" w:eastAsiaTheme="minorEastAsia" w:hAnsiTheme="minorHAnsi" w:cstheme="minorBidi"/>
          <w:szCs w:val="22"/>
        </w:rPr>
      </w:pPr>
      <w:r>
        <w:t>112.</w:t>
      </w:r>
      <w:r>
        <w:tab/>
        <w:t>Authority to carry out tier 3 activity that may harm Aboriginal cultural heritage</w:t>
      </w:r>
      <w:r>
        <w:tab/>
      </w:r>
      <w:r>
        <w:fldChar w:fldCharType="begin"/>
      </w:r>
      <w:r>
        <w:instrText xml:space="preserve"> PAGEREF _Toc154742784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5 — ACH permits</w:t>
      </w:r>
    </w:p>
    <w:p>
      <w:pPr>
        <w:pStyle w:val="TOC6"/>
        <w:tabs>
          <w:tab w:val="right" w:leader="dot" w:pos="7077"/>
        </w:tabs>
        <w:rPr>
          <w:rFonts w:asciiTheme="minorHAnsi" w:eastAsiaTheme="minorEastAsia" w:hAnsiTheme="minorHAnsi" w:cstheme="minorBidi"/>
          <w:b w:val="0"/>
          <w:sz w:val="22"/>
          <w:szCs w:val="22"/>
        </w:rPr>
      </w:pPr>
      <w:r>
        <w:t>Subdivision 1 — Notice of intention to carry out tier 2 activity</w:t>
      </w:r>
    </w:p>
    <w:p>
      <w:pPr>
        <w:pStyle w:val="TOC8"/>
        <w:rPr>
          <w:rFonts w:asciiTheme="minorHAnsi" w:eastAsiaTheme="minorEastAsia" w:hAnsiTheme="minorHAnsi" w:cstheme="minorBidi"/>
          <w:szCs w:val="22"/>
        </w:rPr>
      </w:pPr>
      <w:r>
        <w:t>113.</w:t>
      </w:r>
      <w:r>
        <w:tab/>
        <w:t>Notice of intention to carry out tier 2 activity</w:t>
      </w:r>
      <w:r>
        <w:tab/>
      </w:r>
      <w:r>
        <w:fldChar w:fldCharType="begin"/>
      </w:r>
      <w:r>
        <w:instrText xml:space="preserve"> PAGEREF _Toc154742787 \h </w:instrText>
      </w:r>
      <w:r>
        <w:fldChar w:fldCharType="separate"/>
      </w:r>
      <w:r>
        <w:t>91</w:t>
      </w:r>
      <w:r>
        <w:fldChar w:fldCharType="end"/>
      </w:r>
    </w:p>
    <w:p>
      <w:pPr>
        <w:pStyle w:val="TOC8"/>
        <w:rPr>
          <w:rFonts w:asciiTheme="minorHAnsi" w:eastAsiaTheme="minorEastAsia" w:hAnsiTheme="minorHAnsi" w:cstheme="minorBidi"/>
          <w:szCs w:val="22"/>
        </w:rPr>
      </w:pPr>
      <w:r>
        <w:t>114.</w:t>
      </w:r>
      <w:r>
        <w:tab/>
        <w:t>Notification carried out under related agreement</w:t>
      </w:r>
      <w:r>
        <w:tab/>
      </w:r>
      <w:r>
        <w:fldChar w:fldCharType="begin"/>
      </w:r>
      <w:r>
        <w:instrText xml:space="preserve"> PAGEREF _Toc154742788 \h </w:instrText>
      </w:r>
      <w:r>
        <w:fldChar w:fldCharType="separate"/>
      </w:r>
      <w:r>
        <w:t>92</w:t>
      </w:r>
      <w:r>
        <w:fldChar w:fldCharType="end"/>
      </w:r>
    </w:p>
    <w:p>
      <w:pPr>
        <w:pStyle w:val="TOC6"/>
        <w:tabs>
          <w:tab w:val="right" w:leader="dot" w:pos="7077"/>
        </w:tabs>
        <w:rPr>
          <w:rFonts w:asciiTheme="minorHAnsi" w:eastAsiaTheme="minorEastAsia" w:hAnsiTheme="minorHAnsi" w:cstheme="minorBidi"/>
          <w:b w:val="0"/>
          <w:sz w:val="22"/>
          <w:szCs w:val="22"/>
        </w:rPr>
      </w:pPr>
      <w:r>
        <w:t>Subdivision 2 — Grant of ACH permit</w:t>
      </w:r>
    </w:p>
    <w:p>
      <w:pPr>
        <w:pStyle w:val="TOC8"/>
        <w:rPr>
          <w:rFonts w:asciiTheme="minorHAnsi" w:eastAsiaTheme="minorEastAsia" w:hAnsiTheme="minorHAnsi" w:cstheme="minorBidi"/>
          <w:szCs w:val="22"/>
        </w:rPr>
      </w:pPr>
      <w:r>
        <w:t>115.</w:t>
      </w:r>
      <w:r>
        <w:tab/>
        <w:t>Application for ACH permit</w:t>
      </w:r>
      <w:r>
        <w:tab/>
      </w:r>
      <w:r>
        <w:fldChar w:fldCharType="begin"/>
      </w:r>
      <w:r>
        <w:instrText xml:space="preserve"> PAGEREF _Toc154742790 \h </w:instrText>
      </w:r>
      <w:r>
        <w:fldChar w:fldCharType="separate"/>
      </w:r>
      <w:r>
        <w:t>92</w:t>
      </w:r>
      <w:r>
        <w:fldChar w:fldCharType="end"/>
      </w:r>
    </w:p>
    <w:p>
      <w:pPr>
        <w:pStyle w:val="TOC8"/>
        <w:rPr>
          <w:rFonts w:asciiTheme="minorHAnsi" w:eastAsiaTheme="minorEastAsia" w:hAnsiTheme="minorHAnsi" w:cstheme="minorBidi"/>
          <w:szCs w:val="22"/>
        </w:rPr>
      </w:pPr>
      <w:r>
        <w:t>116.</w:t>
      </w:r>
      <w:r>
        <w:tab/>
        <w:t>Further information in support of application</w:t>
      </w:r>
      <w:r>
        <w:tab/>
      </w:r>
      <w:r>
        <w:fldChar w:fldCharType="begin"/>
      </w:r>
      <w:r>
        <w:instrText xml:space="preserve"> PAGEREF _Toc154742791 \h </w:instrText>
      </w:r>
      <w:r>
        <w:fldChar w:fldCharType="separate"/>
      </w:r>
      <w:r>
        <w:t>93</w:t>
      </w:r>
      <w:r>
        <w:fldChar w:fldCharType="end"/>
      </w:r>
    </w:p>
    <w:p>
      <w:pPr>
        <w:pStyle w:val="TOC8"/>
        <w:rPr>
          <w:rFonts w:asciiTheme="minorHAnsi" w:eastAsiaTheme="minorEastAsia" w:hAnsiTheme="minorHAnsi" w:cstheme="minorBidi"/>
          <w:szCs w:val="22"/>
        </w:rPr>
      </w:pPr>
      <w:r>
        <w:t>117.</w:t>
      </w:r>
      <w:r>
        <w:tab/>
        <w:t>ACH Council may refuse to consider some applications</w:t>
      </w:r>
      <w:r>
        <w:tab/>
      </w:r>
      <w:r>
        <w:fldChar w:fldCharType="begin"/>
      </w:r>
      <w:r>
        <w:instrText xml:space="preserve"> PAGEREF _Toc154742792 \h </w:instrText>
      </w:r>
      <w:r>
        <w:fldChar w:fldCharType="separate"/>
      </w:r>
      <w:r>
        <w:t>93</w:t>
      </w:r>
      <w:r>
        <w:fldChar w:fldCharType="end"/>
      </w:r>
    </w:p>
    <w:p>
      <w:pPr>
        <w:pStyle w:val="TOC8"/>
        <w:rPr>
          <w:rFonts w:asciiTheme="minorHAnsi" w:eastAsiaTheme="minorEastAsia" w:hAnsiTheme="minorHAnsi" w:cstheme="minorBidi"/>
          <w:szCs w:val="22"/>
        </w:rPr>
      </w:pPr>
      <w:r>
        <w:t>118.</w:t>
      </w:r>
      <w:r>
        <w:tab/>
        <w:t>ACH Council to give notice of application</w:t>
      </w:r>
      <w:r>
        <w:tab/>
      </w:r>
      <w:r>
        <w:fldChar w:fldCharType="begin"/>
      </w:r>
      <w:r>
        <w:instrText xml:space="preserve"> PAGEREF _Toc154742793 \h </w:instrText>
      </w:r>
      <w:r>
        <w:fldChar w:fldCharType="separate"/>
      </w:r>
      <w:r>
        <w:t>94</w:t>
      </w:r>
      <w:r>
        <w:fldChar w:fldCharType="end"/>
      </w:r>
    </w:p>
    <w:p>
      <w:pPr>
        <w:pStyle w:val="TOC8"/>
        <w:rPr>
          <w:rFonts w:asciiTheme="minorHAnsi" w:eastAsiaTheme="minorEastAsia" w:hAnsiTheme="minorHAnsi" w:cstheme="minorBidi"/>
          <w:szCs w:val="22"/>
        </w:rPr>
      </w:pPr>
      <w:r>
        <w:t>119.</w:t>
      </w:r>
      <w:r>
        <w:tab/>
        <w:t>Decision of ACH Council on application for ACH permit</w:t>
      </w:r>
      <w:r>
        <w:tab/>
      </w:r>
      <w:r>
        <w:fldChar w:fldCharType="begin"/>
      </w:r>
      <w:r>
        <w:instrText xml:space="preserve"> PAGEREF _Toc154742794 \h </w:instrText>
      </w:r>
      <w:r>
        <w:fldChar w:fldCharType="separate"/>
      </w:r>
      <w:r>
        <w:t>94</w:t>
      </w:r>
      <w:r>
        <w:fldChar w:fldCharType="end"/>
      </w:r>
    </w:p>
    <w:p>
      <w:pPr>
        <w:pStyle w:val="TOC8"/>
        <w:rPr>
          <w:rFonts w:asciiTheme="minorHAnsi" w:eastAsiaTheme="minorEastAsia" w:hAnsiTheme="minorHAnsi" w:cstheme="minorBidi"/>
          <w:szCs w:val="22"/>
        </w:rPr>
      </w:pPr>
      <w:r>
        <w:t>120.</w:t>
      </w:r>
      <w:r>
        <w:tab/>
        <w:t>Grant of ACH permit</w:t>
      </w:r>
      <w:r>
        <w:tab/>
      </w:r>
      <w:r>
        <w:fldChar w:fldCharType="begin"/>
      </w:r>
      <w:r>
        <w:instrText xml:space="preserve"> PAGEREF _Toc154742795 \h </w:instrText>
      </w:r>
      <w:r>
        <w:fldChar w:fldCharType="separate"/>
      </w:r>
      <w:r>
        <w:t>95</w:t>
      </w:r>
      <w:r>
        <w:fldChar w:fldCharType="end"/>
      </w:r>
    </w:p>
    <w:p>
      <w:pPr>
        <w:pStyle w:val="TOC8"/>
        <w:rPr>
          <w:rFonts w:asciiTheme="minorHAnsi" w:eastAsiaTheme="minorEastAsia" w:hAnsiTheme="minorHAnsi" w:cstheme="minorBidi"/>
          <w:szCs w:val="22"/>
        </w:rPr>
      </w:pPr>
      <w:r>
        <w:t>121.</w:t>
      </w:r>
      <w:r>
        <w:tab/>
        <w:t>Duration of ACH permit</w:t>
      </w:r>
      <w:r>
        <w:tab/>
      </w:r>
      <w:r>
        <w:fldChar w:fldCharType="begin"/>
      </w:r>
      <w:r>
        <w:instrText xml:space="preserve"> PAGEREF _Toc154742796 \h </w:instrText>
      </w:r>
      <w:r>
        <w:fldChar w:fldCharType="separate"/>
      </w:r>
      <w:r>
        <w:t>96</w:t>
      </w:r>
      <w:r>
        <w:fldChar w:fldCharType="end"/>
      </w:r>
    </w:p>
    <w:p>
      <w:pPr>
        <w:pStyle w:val="TOC6"/>
        <w:tabs>
          <w:tab w:val="right" w:leader="dot" w:pos="7077"/>
        </w:tabs>
        <w:rPr>
          <w:rFonts w:asciiTheme="minorHAnsi" w:eastAsiaTheme="minorEastAsia" w:hAnsiTheme="minorHAnsi" w:cstheme="minorBidi"/>
          <w:b w:val="0"/>
          <w:sz w:val="22"/>
          <w:szCs w:val="22"/>
        </w:rPr>
      </w:pPr>
      <w:r>
        <w:t>Subdivision 3 — Extension of ACH permit</w:t>
      </w:r>
    </w:p>
    <w:p>
      <w:pPr>
        <w:pStyle w:val="TOC8"/>
        <w:rPr>
          <w:rFonts w:asciiTheme="minorHAnsi" w:eastAsiaTheme="minorEastAsia" w:hAnsiTheme="minorHAnsi" w:cstheme="minorBidi"/>
          <w:szCs w:val="22"/>
        </w:rPr>
      </w:pPr>
      <w:r>
        <w:t>122.</w:t>
      </w:r>
      <w:r>
        <w:tab/>
        <w:t>Application for extension of ACH permit</w:t>
      </w:r>
      <w:r>
        <w:tab/>
      </w:r>
      <w:r>
        <w:fldChar w:fldCharType="begin"/>
      </w:r>
      <w:r>
        <w:instrText xml:space="preserve"> PAGEREF _Toc154742798 \h </w:instrText>
      </w:r>
      <w:r>
        <w:fldChar w:fldCharType="separate"/>
      </w:r>
      <w:r>
        <w:t>97</w:t>
      </w:r>
      <w:r>
        <w:fldChar w:fldCharType="end"/>
      </w:r>
    </w:p>
    <w:p>
      <w:pPr>
        <w:pStyle w:val="TOC8"/>
        <w:rPr>
          <w:rFonts w:asciiTheme="minorHAnsi" w:eastAsiaTheme="minorEastAsia" w:hAnsiTheme="minorHAnsi" w:cstheme="minorBidi"/>
          <w:szCs w:val="22"/>
        </w:rPr>
      </w:pPr>
      <w:r>
        <w:t>123.</w:t>
      </w:r>
      <w:r>
        <w:tab/>
        <w:t>Further information in support of application</w:t>
      </w:r>
      <w:r>
        <w:tab/>
      </w:r>
      <w:r>
        <w:fldChar w:fldCharType="begin"/>
      </w:r>
      <w:r>
        <w:instrText xml:space="preserve"> PAGEREF _Toc154742799 \h </w:instrText>
      </w:r>
      <w:r>
        <w:fldChar w:fldCharType="separate"/>
      </w:r>
      <w:r>
        <w:t>97</w:t>
      </w:r>
      <w:r>
        <w:fldChar w:fldCharType="end"/>
      </w:r>
    </w:p>
    <w:p>
      <w:pPr>
        <w:pStyle w:val="TOC8"/>
        <w:rPr>
          <w:rFonts w:asciiTheme="minorHAnsi" w:eastAsiaTheme="minorEastAsia" w:hAnsiTheme="minorHAnsi" w:cstheme="minorBidi"/>
          <w:szCs w:val="22"/>
        </w:rPr>
      </w:pPr>
      <w:r>
        <w:lastRenderedPageBreak/>
        <w:t>124.</w:t>
      </w:r>
      <w:r>
        <w:tab/>
        <w:t>ACH Council may refuse to consider some applications</w:t>
      </w:r>
      <w:r>
        <w:tab/>
      </w:r>
      <w:r>
        <w:fldChar w:fldCharType="begin"/>
      </w:r>
      <w:r>
        <w:instrText xml:space="preserve"> PAGEREF _Toc154742800 \h </w:instrText>
      </w:r>
      <w:r>
        <w:fldChar w:fldCharType="separate"/>
      </w:r>
      <w:r>
        <w:t>98</w:t>
      </w:r>
      <w:r>
        <w:fldChar w:fldCharType="end"/>
      </w:r>
    </w:p>
    <w:p>
      <w:pPr>
        <w:pStyle w:val="TOC8"/>
        <w:rPr>
          <w:rFonts w:asciiTheme="minorHAnsi" w:eastAsiaTheme="minorEastAsia" w:hAnsiTheme="minorHAnsi" w:cstheme="minorBidi"/>
          <w:szCs w:val="22"/>
        </w:rPr>
      </w:pPr>
      <w:r>
        <w:t>125.</w:t>
      </w:r>
      <w:r>
        <w:tab/>
        <w:t>ACH Council to give notice of application for extension of ACH permit</w:t>
      </w:r>
      <w:r>
        <w:tab/>
      </w:r>
      <w:r>
        <w:fldChar w:fldCharType="begin"/>
      </w:r>
      <w:r>
        <w:instrText xml:space="preserve"> PAGEREF _Toc154742801 \h </w:instrText>
      </w:r>
      <w:r>
        <w:fldChar w:fldCharType="separate"/>
      </w:r>
      <w:r>
        <w:t>98</w:t>
      </w:r>
      <w:r>
        <w:fldChar w:fldCharType="end"/>
      </w:r>
    </w:p>
    <w:p>
      <w:pPr>
        <w:pStyle w:val="TOC8"/>
        <w:rPr>
          <w:rFonts w:asciiTheme="minorHAnsi" w:eastAsiaTheme="minorEastAsia" w:hAnsiTheme="minorHAnsi" w:cstheme="minorBidi"/>
          <w:szCs w:val="22"/>
        </w:rPr>
      </w:pPr>
      <w:r>
        <w:t>126.</w:t>
      </w:r>
      <w:r>
        <w:tab/>
        <w:t>Decision on application for extension of ACH permit</w:t>
      </w:r>
      <w:r>
        <w:tab/>
      </w:r>
      <w:r>
        <w:fldChar w:fldCharType="begin"/>
      </w:r>
      <w:r>
        <w:instrText xml:space="preserve"> PAGEREF _Toc154742802 \h </w:instrText>
      </w:r>
      <w:r>
        <w:fldChar w:fldCharType="separate"/>
      </w:r>
      <w:r>
        <w:t>98</w:t>
      </w:r>
      <w:r>
        <w:fldChar w:fldCharType="end"/>
      </w:r>
    </w:p>
    <w:p>
      <w:pPr>
        <w:pStyle w:val="TOC6"/>
        <w:tabs>
          <w:tab w:val="right" w:leader="dot" w:pos="7077"/>
        </w:tabs>
        <w:rPr>
          <w:rFonts w:asciiTheme="minorHAnsi" w:eastAsiaTheme="minorEastAsia" w:hAnsiTheme="minorHAnsi" w:cstheme="minorBidi"/>
          <w:b w:val="0"/>
          <w:sz w:val="22"/>
          <w:szCs w:val="22"/>
        </w:rPr>
      </w:pPr>
      <w:r>
        <w:t>Subdivision 4 — Other matters</w:t>
      </w:r>
    </w:p>
    <w:p>
      <w:pPr>
        <w:pStyle w:val="TOC8"/>
        <w:rPr>
          <w:rFonts w:asciiTheme="minorHAnsi" w:eastAsiaTheme="minorEastAsia" w:hAnsiTheme="minorHAnsi" w:cstheme="minorBidi"/>
          <w:szCs w:val="22"/>
        </w:rPr>
      </w:pPr>
      <w:r>
        <w:t>127.</w:t>
      </w:r>
      <w:r>
        <w:tab/>
        <w:t>ACH Council must be notified of transfer of ACH permit</w:t>
      </w:r>
      <w:r>
        <w:tab/>
      </w:r>
      <w:r>
        <w:fldChar w:fldCharType="begin"/>
      </w:r>
      <w:r>
        <w:instrText xml:space="preserve"> PAGEREF _Toc154742804 \h </w:instrText>
      </w:r>
      <w:r>
        <w:fldChar w:fldCharType="separate"/>
      </w:r>
      <w:r>
        <w:t>100</w:t>
      </w:r>
      <w:r>
        <w:fldChar w:fldCharType="end"/>
      </w:r>
    </w:p>
    <w:p>
      <w:pPr>
        <w:pStyle w:val="TOC8"/>
        <w:rPr>
          <w:rFonts w:asciiTheme="minorHAnsi" w:eastAsiaTheme="minorEastAsia" w:hAnsiTheme="minorHAnsi" w:cstheme="minorBidi"/>
          <w:szCs w:val="22"/>
        </w:rPr>
      </w:pPr>
      <w:r>
        <w:t>128.</w:t>
      </w:r>
      <w:r>
        <w:tab/>
        <w:t>Conditions</w:t>
      </w:r>
      <w:r>
        <w:tab/>
      </w:r>
      <w:r>
        <w:fldChar w:fldCharType="begin"/>
      </w:r>
      <w:r>
        <w:instrText xml:space="preserve"> PAGEREF _Toc154742805 \h </w:instrText>
      </w:r>
      <w:r>
        <w:fldChar w:fldCharType="separate"/>
      </w:r>
      <w:r>
        <w:t>100</w:t>
      </w:r>
      <w:r>
        <w:fldChar w:fldCharType="end"/>
      </w:r>
    </w:p>
    <w:p>
      <w:pPr>
        <w:pStyle w:val="TOC8"/>
        <w:rPr>
          <w:rFonts w:asciiTheme="minorHAnsi" w:eastAsiaTheme="minorEastAsia" w:hAnsiTheme="minorHAnsi" w:cstheme="minorBidi"/>
          <w:szCs w:val="22"/>
        </w:rPr>
      </w:pPr>
      <w:r>
        <w:t>129.</w:t>
      </w:r>
      <w:r>
        <w:tab/>
        <w:t>Amendment of ACH permit area</w:t>
      </w:r>
      <w:r>
        <w:tab/>
      </w:r>
      <w:r>
        <w:fldChar w:fldCharType="begin"/>
      </w:r>
      <w:r>
        <w:instrText xml:space="preserve"> PAGEREF _Toc154742806 \h </w:instrText>
      </w:r>
      <w:r>
        <w:fldChar w:fldCharType="separate"/>
      </w:r>
      <w:r>
        <w:t>102</w:t>
      </w:r>
      <w:r>
        <w:fldChar w:fldCharType="end"/>
      </w:r>
    </w:p>
    <w:p>
      <w:pPr>
        <w:pStyle w:val="TOC8"/>
        <w:rPr>
          <w:rFonts w:asciiTheme="minorHAnsi" w:eastAsiaTheme="minorEastAsia" w:hAnsiTheme="minorHAnsi" w:cstheme="minorBidi"/>
          <w:szCs w:val="22"/>
        </w:rPr>
      </w:pPr>
      <w:r>
        <w:t>130.</w:t>
      </w:r>
      <w:r>
        <w:tab/>
        <w:t>Suspension or cancellation of ACH permit</w:t>
      </w:r>
      <w:r>
        <w:tab/>
      </w:r>
      <w:r>
        <w:fldChar w:fldCharType="begin"/>
      </w:r>
      <w:r>
        <w:instrText xml:space="preserve"> PAGEREF _Toc154742807 \h </w:instrText>
      </w:r>
      <w:r>
        <w:fldChar w:fldCharType="separate"/>
      </w:r>
      <w:r>
        <w:t>102</w:t>
      </w:r>
      <w:r>
        <w:fldChar w:fldCharType="end"/>
      </w:r>
    </w:p>
    <w:p>
      <w:pPr>
        <w:pStyle w:val="TOC8"/>
        <w:rPr>
          <w:rFonts w:asciiTheme="minorHAnsi" w:eastAsiaTheme="minorEastAsia" w:hAnsiTheme="minorHAnsi" w:cstheme="minorBidi"/>
          <w:szCs w:val="22"/>
        </w:rPr>
      </w:pPr>
      <w:r>
        <w:t>131.</w:t>
      </w:r>
      <w:r>
        <w:tab/>
        <w:t>Objection to decision of ACH Council</w:t>
      </w:r>
      <w:r>
        <w:tab/>
      </w:r>
      <w:r>
        <w:fldChar w:fldCharType="begin"/>
      </w:r>
      <w:r>
        <w:instrText xml:space="preserve"> PAGEREF _Toc154742808 \h </w:instrText>
      </w:r>
      <w:r>
        <w:fldChar w:fldCharType="separate"/>
      </w:r>
      <w:r>
        <w:t>104</w:t>
      </w:r>
      <w:r>
        <w:fldChar w:fldCharType="end"/>
      </w:r>
    </w:p>
    <w:p>
      <w:pPr>
        <w:pStyle w:val="TOC8"/>
        <w:rPr>
          <w:rFonts w:asciiTheme="minorHAnsi" w:eastAsiaTheme="minorEastAsia" w:hAnsiTheme="minorHAnsi" w:cstheme="minorBidi"/>
          <w:szCs w:val="22"/>
        </w:rPr>
      </w:pPr>
      <w:r>
        <w:t>132.</w:t>
      </w:r>
      <w:r>
        <w:tab/>
        <w:t>Notice of decision must be given</w:t>
      </w:r>
      <w:r>
        <w:tab/>
      </w:r>
      <w:r>
        <w:fldChar w:fldCharType="begin"/>
      </w:r>
      <w:r>
        <w:instrText xml:space="preserve"> PAGEREF _Toc154742809 \h </w:instrText>
      </w:r>
      <w:r>
        <w:fldChar w:fldCharType="separate"/>
      </w:r>
      <w:r>
        <w:t>105</w:t>
      </w:r>
      <w:r>
        <w:fldChar w:fldCharType="end"/>
      </w:r>
    </w:p>
    <w:p>
      <w:pPr>
        <w:pStyle w:val="TOC8"/>
        <w:rPr>
          <w:rFonts w:asciiTheme="minorHAnsi" w:eastAsiaTheme="minorEastAsia" w:hAnsiTheme="minorHAnsi" w:cstheme="minorBidi"/>
          <w:szCs w:val="22"/>
        </w:rPr>
      </w:pPr>
      <w:r>
        <w:t>133.</w:t>
      </w:r>
      <w:r>
        <w:tab/>
        <w:t>Contravention of conditions on ACH permit</w:t>
      </w:r>
      <w:r>
        <w:tab/>
      </w:r>
      <w:r>
        <w:fldChar w:fldCharType="begin"/>
      </w:r>
      <w:r>
        <w:instrText xml:space="preserve"> PAGEREF _Toc154742810 \h </w:instrText>
      </w:r>
      <w:r>
        <w:fldChar w:fldCharType="separate"/>
      </w:r>
      <w:r>
        <w:t>106</w:t>
      </w:r>
      <w:r>
        <w:fldChar w:fldCharType="end"/>
      </w:r>
    </w:p>
    <w:p>
      <w:pPr>
        <w:pStyle w:val="TOC4"/>
        <w:tabs>
          <w:tab w:val="right" w:leader="dot" w:pos="7077"/>
        </w:tabs>
        <w:rPr>
          <w:rFonts w:asciiTheme="minorHAnsi" w:eastAsiaTheme="minorEastAsia" w:hAnsiTheme="minorHAnsi" w:cstheme="minorBidi"/>
          <w:b w:val="0"/>
          <w:szCs w:val="22"/>
        </w:rPr>
      </w:pPr>
      <w:r>
        <w:t>Division 6 — ACH management plans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134.</w:t>
      </w:r>
      <w:r>
        <w:tab/>
        <w:t>When ACH management plan required</w:t>
      </w:r>
      <w:r>
        <w:tab/>
      </w:r>
      <w:r>
        <w:fldChar w:fldCharType="begin"/>
      </w:r>
      <w:r>
        <w:instrText xml:space="preserve"> PAGEREF _Toc154742813 \h </w:instrText>
      </w:r>
      <w:r>
        <w:fldChar w:fldCharType="separate"/>
      </w:r>
      <w:r>
        <w:t>106</w:t>
      </w:r>
      <w:r>
        <w:fldChar w:fldCharType="end"/>
      </w:r>
    </w:p>
    <w:p>
      <w:pPr>
        <w:pStyle w:val="TOC8"/>
        <w:rPr>
          <w:rFonts w:asciiTheme="minorHAnsi" w:eastAsiaTheme="minorEastAsia" w:hAnsiTheme="minorHAnsi" w:cstheme="minorBidi"/>
          <w:szCs w:val="22"/>
        </w:rPr>
      </w:pPr>
      <w:r>
        <w:t>135.</w:t>
      </w:r>
      <w:r>
        <w:tab/>
        <w:t>Meaning of interested Aboriginal party for ACH management plan</w:t>
      </w:r>
      <w:r>
        <w:tab/>
      </w:r>
      <w:r>
        <w:fldChar w:fldCharType="begin"/>
      </w:r>
      <w:r>
        <w:instrText xml:space="preserve"> PAGEREF _Toc154742814 \h </w:instrText>
      </w:r>
      <w:r>
        <w:fldChar w:fldCharType="separate"/>
      </w:r>
      <w:r>
        <w:t>107</w:t>
      </w:r>
      <w:r>
        <w:fldChar w:fldCharType="end"/>
      </w:r>
    </w:p>
    <w:p>
      <w:pPr>
        <w:pStyle w:val="TOC8"/>
        <w:rPr>
          <w:rFonts w:asciiTheme="minorHAnsi" w:eastAsiaTheme="minorEastAsia" w:hAnsiTheme="minorHAnsi" w:cstheme="minorBidi"/>
          <w:szCs w:val="22"/>
        </w:rPr>
      </w:pPr>
      <w:r>
        <w:t>136.</w:t>
      </w:r>
      <w:r>
        <w:tab/>
        <w:t>Assistance to identify each interested Aboriginal party</w:t>
      </w:r>
      <w:r>
        <w:tab/>
      </w:r>
      <w:r>
        <w:fldChar w:fldCharType="begin"/>
      </w:r>
      <w:r>
        <w:instrText xml:space="preserve"> PAGEREF _Toc154742815 \h </w:instrText>
      </w:r>
      <w:r>
        <w:fldChar w:fldCharType="separate"/>
      </w:r>
      <w:r>
        <w:t>107</w:t>
      </w:r>
      <w:r>
        <w:fldChar w:fldCharType="end"/>
      </w:r>
    </w:p>
    <w:p>
      <w:pPr>
        <w:pStyle w:val="TOC8"/>
        <w:rPr>
          <w:rFonts w:asciiTheme="minorHAnsi" w:eastAsiaTheme="minorEastAsia" w:hAnsiTheme="minorHAnsi" w:cstheme="minorBidi"/>
          <w:szCs w:val="22"/>
        </w:rPr>
      </w:pPr>
      <w:r>
        <w:t>137.</w:t>
      </w:r>
      <w:r>
        <w:tab/>
        <w:t>ACH management plan</w:t>
      </w:r>
      <w:r>
        <w:tab/>
      </w:r>
      <w:r>
        <w:fldChar w:fldCharType="begin"/>
      </w:r>
      <w:r>
        <w:instrText xml:space="preserve"> PAGEREF _Toc154742816 \h </w:instrText>
      </w:r>
      <w:r>
        <w:fldChar w:fldCharType="separate"/>
      </w:r>
      <w:r>
        <w:t>108</w:t>
      </w:r>
      <w:r>
        <w:fldChar w:fldCharType="end"/>
      </w:r>
    </w:p>
    <w:p>
      <w:pPr>
        <w:pStyle w:val="TOC8"/>
        <w:rPr>
          <w:rFonts w:asciiTheme="minorHAnsi" w:eastAsiaTheme="minorEastAsia" w:hAnsiTheme="minorHAnsi" w:cstheme="minorBidi"/>
          <w:szCs w:val="22"/>
        </w:rPr>
      </w:pPr>
      <w:r>
        <w:t>138.</w:t>
      </w:r>
      <w:r>
        <w:tab/>
        <w:t>Provisions in related agreement</w:t>
      </w:r>
      <w:r>
        <w:tab/>
      </w:r>
      <w:r>
        <w:fldChar w:fldCharType="begin"/>
      </w:r>
      <w:r>
        <w:instrText xml:space="preserve"> PAGEREF _Toc154742817 \h </w:instrText>
      </w:r>
      <w:r>
        <w:fldChar w:fldCharType="separate"/>
      </w:r>
      <w:r>
        <w:t>109</w:t>
      </w:r>
      <w:r>
        <w:fldChar w:fldCharType="end"/>
      </w:r>
    </w:p>
    <w:p>
      <w:pPr>
        <w:pStyle w:val="TOC8"/>
        <w:rPr>
          <w:rFonts w:asciiTheme="minorHAnsi" w:eastAsiaTheme="minorEastAsia" w:hAnsiTheme="minorHAnsi" w:cstheme="minorBidi"/>
          <w:szCs w:val="22"/>
        </w:rPr>
      </w:pPr>
      <w:r>
        <w:t>139.</w:t>
      </w:r>
      <w:r>
        <w:tab/>
        <w:t>Obligation to consult on ACH management plan</w:t>
      </w:r>
      <w:r>
        <w:tab/>
      </w:r>
      <w:r>
        <w:fldChar w:fldCharType="begin"/>
      </w:r>
      <w:r>
        <w:instrText xml:space="preserve"> PAGEREF _Toc154742818 \h </w:instrText>
      </w:r>
      <w:r>
        <w:fldChar w:fldCharType="separate"/>
      </w:r>
      <w:r>
        <w:t>110</w:t>
      </w:r>
      <w:r>
        <w:fldChar w:fldCharType="end"/>
      </w:r>
    </w:p>
    <w:p>
      <w:pPr>
        <w:pStyle w:val="TOC8"/>
        <w:rPr>
          <w:rFonts w:asciiTheme="minorHAnsi" w:eastAsiaTheme="minorEastAsia" w:hAnsiTheme="minorHAnsi" w:cstheme="minorBidi"/>
          <w:szCs w:val="22"/>
        </w:rPr>
      </w:pPr>
      <w:r>
        <w:t>140.</w:t>
      </w:r>
      <w:r>
        <w:tab/>
        <w:t>Consultation carried out under related agreement</w:t>
      </w:r>
      <w:r>
        <w:tab/>
      </w:r>
      <w:r>
        <w:fldChar w:fldCharType="begin"/>
      </w:r>
      <w:r>
        <w:instrText xml:space="preserve"> PAGEREF _Toc154742819 \h </w:instrText>
      </w:r>
      <w:r>
        <w:fldChar w:fldCharType="separate"/>
      </w:r>
      <w:r>
        <w:t>110</w:t>
      </w:r>
      <w:r>
        <w:fldChar w:fldCharType="end"/>
      </w:r>
    </w:p>
    <w:p>
      <w:pPr>
        <w:pStyle w:val="TOC8"/>
        <w:rPr>
          <w:rFonts w:asciiTheme="minorHAnsi" w:eastAsiaTheme="minorEastAsia" w:hAnsiTheme="minorHAnsi" w:cstheme="minorBidi"/>
          <w:szCs w:val="22"/>
        </w:rPr>
      </w:pPr>
      <w:r>
        <w:t>141.</w:t>
      </w:r>
      <w:r>
        <w:tab/>
        <w:t>Proponent must take steps to identify and understand characteristics of Aboriginal cultural heritage in area</w:t>
      </w:r>
      <w:r>
        <w:tab/>
      </w:r>
      <w:r>
        <w:fldChar w:fldCharType="begin"/>
      </w:r>
      <w:r>
        <w:instrText xml:space="preserve"> PAGEREF _Toc154742820 \h </w:instrText>
      </w:r>
      <w:r>
        <w:fldChar w:fldCharType="separate"/>
      </w:r>
      <w:r>
        <w:t>110</w:t>
      </w:r>
      <w:r>
        <w:fldChar w:fldCharType="end"/>
      </w:r>
    </w:p>
    <w:p>
      <w:pPr>
        <w:pStyle w:val="TOC8"/>
        <w:rPr>
          <w:rFonts w:asciiTheme="minorHAnsi" w:eastAsiaTheme="minorEastAsia" w:hAnsiTheme="minorHAnsi" w:cstheme="minorBidi"/>
          <w:szCs w:val="22"/>
        </w:rPr>
      </w:pPr>
      <w:r>
        <w:t>142.</w:t>
      </w:r>
      <w:r>
        <w:tab/>
        <w:t>Notice about proposed ACH management plan to each interested Aboriginal party</w:t>
      </w:r>
      <w:r>
        <w:tab/>
      </w:r>
      <w:r>
        <w:fldChar w:fldCharType="begin"/>
      </w:r>
      <w:r>
        <w:instrText xml:space="preserve"> PAGEREF _Toc154742821 \h </w:instrText>
      </w:r>
      <w:r>
        <w:fldChar w:fldCharType="separate"/>
      </w:r>
      <w:r>
        <w:t>110</w:t>
      </w:r>
      <w:r>
        <w:fldChar w:fldCharType="end"/>
      </w:r>
    </w:p>
    <w:p>
      <w:pPr>
        <w:pStyle w:val="TOC8"/>
        <w:rPr>
          <w:rFonts w:asciiTheme="minorHAnsi" w:eastAsiaTheme="minorEastAsia" w:hAnsiTheme="minorHAnsi" w:cstheme="minorBidi"/>
          <w:szCs w:val="22"/>
        </w:rPr>
      </w:pPr>
      <w:r>
        <w:t>143.</w:t>
      </w:r>
      <w:r>
        <w:tab/>
        <w:t>Reaching agreement about ACH management plan</w:t>
      </w:r>
      <w:r>
        <w:tab/>
      </w:r>
      <w:r>
        <w:fldChar w:fldCharType="begin"/>
      </w:r>
      <w:r>
        <w:instrText xml:space="preserve"> PAGEREF _Toc154742822 \h </w:instrText>
      </w:r>
      <w:r>
        <w:fldChar w:fldCharType="separate"/>
      </w:r>
      <w:r>
        <w:t>111</w:t>
      </w:r>
      <w:r>
        <w:fldChar w:fldCharType="end"/>
      </w:r>
    </w:p>
    <w:p>
      <w:pPr>
        <w:pStyle w:val="TOC8"/>
        <w:rPr>
          <w:rFonts w:asciiTheme="minorHAnsi" w:eastAsiaTheme="minorEastAsia" w:hAnsiTheme="minorHAnsi" w:cstheme="minorBidi"/>
          <w:szCs w:val="22"/>
        </w:rPr>
      </w:pPr>
      <w:r>
        <w:t>144.</w:t>
      </w:r>
      <w:r>
        <w:tab/>
        <w:t>Application for approval of ACH management plan if agreement reached</w:t>
      </w:r>
      <w:r>
        <w:tab/>
      </w:r>
      <w:r>
        <w:fldChar w:fldCharType="begin"/>
      </w:r>
      <w:r>
        <w:instrText xml:space="preserve"> PAGEREF _Toc154742823 \h </w:instrText>
      </w:r>
      <w:r>
        <w:fldChar w:fldCharType="separate"/>
      </w:r>
      <w:r>
        <w:t>112</w:t>
      </w:r>
      <w:r>
        <w:fldChar w:fldCharType="end"/>
      </w:r>
    </w:p>
    <w:p>
      <w:pPr>
        <w:pStyle w:val="TOC8"/>
        <w:rPr>
          <w:rFonts w:asciiTheme="minorHAnsi" w:eastAsiaTheme="minorEastAsia" w:hAnsiTheme="minorHAnsi" w:cstheme="minorBidi"/>
          <w:szCs w:val="22"/>
        </w:rPr>
      </w:pPr>
      <w:r>
        <w:t>145.</w:t>
      </w:r>
      <w:r>
        <w:tab/>
        <w:t>Application for authorisation of ACH management if agreement not reached</w:t>
      </w:r>
      <w:r>
        <w:tab/>
      </w:r>
      <w:r>
        <w:fldChar w:fldCharType="begin"/>
      </w:r>
      <w:r>
        <w:instrText xml:space="preserve"> PAGEREF _Toc154742824 \h </w:instrText>
      </w:r>
      <w:r>
        <w:fldChar w:fldCharType="separate"/>
      </w:r>
      <w:r>
        <w:t>112</w:t>
      </w:r>
      <w:r>
        <w:fldChar w:fldCharType="end"/>
      </w:r>
    </w:p>
    <w:p>
      <w:pPr>
        <w:pStyle w:val="TOC6"/>
        <w:tabs>
          <w:tab w:val="right" w:leader="dot" w:pos="7077"/>
        </w:tabs>
        <w:rPr>
          <w:rFonts w:asciiTheme="minorHAnsi" w:eastAsiaTheme="minorEastAsia" w:hAnsiTheme="minorHAnsi" w:cstheme="minorBidi"/>
          <w:b w:val="0"/>
          <w:sz w:val="22"/>
          <w:szCs w:val="22"/>
        </w:rPr>
      </w:pPr>
      <w:r>
        <w:t>Subdivision 2 — Approval of ACH management plan</w:t>
      </w:r>
    </w:p>
    <w:p>
      <w:pPr>
        <w:pStyle w:val="TOC8"/>
        <w:rPr>
          <w:rFonts w:asciiTheme="minorHAnsi" w:eastAsiaTheme="minorEastAsia" w:hAnsiTheme="minorHAnsi" w:cstheme="minorBidi"/>
          <w:szCs w:val="22"/>
        </w:rPr>
      </w:pPr>
      <w:r>
        <w:t>146.</w:t>
      </w:r>
      <w:r>
        <w:tab/>
        <w:t>Informed consent</w:t>
      </w:r>
      <w:r>
        <w:tab/>
      </w:r>
      <w:r>
        <w:fldChar w:fldCharType="begin"/>
      </w:r>
      <w:r>
        <w:instrText xml:space="preserve"> PAGEREF _Toc154742826 \h </w:instrText>
      </w:r>
      <w:r>
        <w:fldChar w:fldCharType="separate"/>
      </w:r>
      <w:r>
        <w:t>112</w:t>
      </w:r>
      <w:r>
        <w:fldChar w:fldCharType="end"/>
      </w:r>
    </w:p>
    <w:p>
      <w:pPr>
        <w:pStyle w:val="TOC8"/>
        <w:rPr>
          <w:rFonts w:asciiTheme="minorHAnsi" w:eastAsiaTheme="minorEastAsia" w:hAnsiTheme="minorHAnsi" w:cstheme="minorBidi"/>
          <w:szCs w:val="22"/>
        </w:rPr>
      </w:pPr>
      <w:r>
        <w:lastRenderedPageBreak/>
        <w:t>147.</w:t>
      </w:r>
      <w:r>
        <w:tab/>
        <w:t>Application for approval of ACH management plan</w:t>
      </w:r>
      <w:r>
        <w:tab/>
      </w:r>
      <w:r>
        <w:fldChar w:fldCharType="begin"/>
      </w:r>
      <w:r>
        <w:instrText xml:space="preserve"> PAGEREF _Toc154742827 \h </w:instrText>
      </w:r>
      <w:r>
        <w:fldChar w:fldCharType="separate"/>
      </w:r>
      <w:r>
        <w:t>113</w:t>
      </w:r>
      <w:r>
        <w:fldChar w:fldCharType="end"/>
      </w:r>
    </w:p>
    <w:p>
      <w:pPr>
        <w:pStyle w:val="TOC8"/>
        <w:rPr>
          <w:rFonts w:asciiTheme="minorHAnsi" w:eastAsiaTheme="minorEastAsia" w:hAnsiTheme="minorHAnsi" w:cstheme="minorBidi"/>
          <w:szCs w:val="22"/>
        </w:rPr>
      </w:pPr>
      <w:r>
        <w:t>148.</w:t>
      </w:r>
      <w:r>
        <w:tab/>
        <w:t>Further information in support of application</w:t>
      </w:r>
      <w:r>
        <w:tab/>
      </w:r>
      <w:r>
        <w:fldChar w:fldCharType="begin"/>
      </w:r>
      <w:r>
        <w:instrText xml:space="preserve"> PAGEREF _Toc154742828 \h </w:instrText>
      </w:r>
      <w:r>
        <w:fldChar w:fldCharType="separate"/>
      </w:r>
      <w:r>
        <w:t>114</w:t>
      </w:r>
      <w:r>
        <w:fldChar w:fldCharType="end"/>
      </w:r>
    </w:p>
    <w:p>
      <w:pPr>
        <w:pStyle w:val="TOC8"/>
        <w:rPr>
          <w:rFonts w:asciiTheme="minorHAnsi" w:eastAsiaTheme="minorEastAsia" w:hAnsiTheme="minorHAnsi" w:cstheme="minorBidi"/>
          <w:szCs w:val="22"/>
        </w:rPr>
      </w:pPr>
      <w:r>
        <w:t>149.</w:t>
      </w:r>
      <w:r>
        <w:tab/>
        <w:t>ACH Council may refuse to consider some applications</w:t>
      </w:r>
      <w:r>
        <w:tab/>
      </w:r>
      <w:r>
        <w:fldChar w:fldCharType="begin"/>
      </w:r>
      <w:r>
        <w:instrText xml:space="preserve"> PAGEREF _Toc154742829 \h </w:instrText>
      </w:r>
      <w:r>
        <w:fldChar w:fldCharType="separate"/>
      </w:r>
      <w:r>
        <w:t>115</w:t>
      </w:r>
      <w:r>
        <w:fldChar w:fldCharType="end"/>
      </w:r>
    </w:p>
    <w:p>
      <w:pPr>
        <w:pStyle w:val="TOC8"/>
        <w:rPr>
          <w:rFonts w:asciiTheme="minorHAnsi" w:eastAsiaTheme="minorEastAsia" w:hAnsiTheme="minorHAnsi" w:cstheme="minorBidi"/>
          <w:szCs w:val="22"/>
        </w:rPr>
      </w:pPr>
      <w:r>
        <w:t>150.</w:t>
      </w:r>
      <w:r>
        <w:tab/>
        <w:t>Decision of ACH Council</w:t>
      </w:r>
      <w:r>
        <w:tab/>
      </w:r>
      <w:r>
        <w:fldChar w:fldCharType="begin"/>
      </w:r>
      <w:r>
        <w:instrText xml:space="preserve"> PAGEREF _Toc154742830 \h </w:instrText>
      </w:r>
      <w:r>
        <w:fldChar w:fldCharType="separate"/>
      </w:r>
      <w:r>
        <w:t>115</w:t>
      </w:r>
      <w:r>
        <w:fldChar w:fldCharType="end"/>
      </w:r>
    </w:p>
    <w:p>
      <w:pPr>
        <w:pStyle w:val="TOC8"/>
        <w:rPr>
          <w:rFonts w:asciiTheme="minorHAnsi" w:eastAsiaTheme="minorEastAsia" w:hAnsiTheme="minorHAnsi" w:cstheme="minorBidi"/>
          <w:szCs w:val="22"/>
        </w:rPr>
      </w:pPr>
      <w:r>
        <w:t>151.</w:t>
      </w:r>
      <w:r>
        <w:tab/>
        <w:t>Approval of ACH management plan</w:t>
      </w:r>
      <w:r>
        <w:tab/>
      </w:r>
      <w:r>
        <w:fldChar w:fldCharType="begin"/>
      </w:r>
      <w:r>
        <w:instrText xml:space="preserve"> PAGEREF _Toc154742831 \h </w:instrText>
      </w:r>
      <w:r>
        <w:fldChar w:fldCharType="separate"/>
      </w:r>
      <w:r>
        <w:t>117</w:t>
      </w:r>
      <w:r>
        <w:fldChar w:fldCharType="end"/>
      </w:r>
    </w:p>
    <w:p>
      <w:pPr>
        <w:pStyle w:val="TOC8"/>
        <w:rPr>
          <w:rFonts w:asciiTheme="minorHAnsi" w:eastAsiaTheme="minorEastAsia" w:hAnsiTheme="minorHAnsi" w:cstheme="minorBidi"/>
          <w:szCs w:val="22"/>
        </w:rPr>
      </w:pPr>
      <w:r>
        <w:t>152.</w:t>
      </w:r>
      <w:r>
        <w:tab/>
        <w:t>Duration of ACH management plan approval</w:t>
      </w:r>
      <w:r>
        <w:tab/>
      </w:r>
      <w:r>
        <w:fldChar w:fldCharType="begin"/>
      </w:r>
      <w:r>
        <w:instrText xml:space="preserve"> PAGEREF _Toc154742832 \h </w:instrText>
      </w:r>
      <w:r>
        <w:fldChar w:fldCharType="separate"/>
      </w:r>
      <w:r>
        <w:t>117</w:t>
      </w:r>
      <w:r>
        <w:fldChar w:fldCharType="end"/>
      </w:r>
    </w:p>
    <w:p>
      <w:pPr>
        <w:pStyle w:val="TOC8"/>
        <w:rPr>
          <w:rFonts w:asciiTheme="minorHAnsi" w:eastAsiaTheme="minorEastAsia" w:hAnsiTheme="minorHAnsi" w:cstheme="minorBidi"/>
          <w:szCs w:val="22"/>
        </w:rPr>
      </w:pPr>
      <w:r>
        <w:t>153.</w:t>
      </w:r>
      <w:r>
        <w:tab/>
        <w:t>Conditions</w:t>
      </w:r>
      <w:r>
        <w:tab/>
      </w:r>
      <w:r>
        <w:fldChar w:fldCharType="begin"/>
      </w:r>
      <w:r>
        <w:instrText xml:space="preserve"> PAGEREF _Toc154742833 \h </w:instrText>
      </w:r>
      <w:r>
        <w:fldChar w:fldCharType="separate"/>
      </w:r>
      <w:r>
        <w:t>118</w:t>
      </w:r>
      <w:r>
        <w:fldChar w:fldCharType="end"/>
      </w:r>
    </w:p>
    <w:p>
      <w:pPr>
        <w:pStyle w:val="TOC8"/>
        <w:rPr>
          <w:rFonts w:asciiTheme="minorHAnsi" w:eastAsiaTheme="minorEastAsia" w:hAnsiTheme="minorHAnsi" w:cstheme="minorBidi"/>
          <w:szCs w:val="22"/>
        </w:rPr>
      </w:pPr>
      <w:r>
        <w:t>154.</w:t>
      </w:r>
      <w:r>
        <w:tab/>
        <w:t>Suspension or cancellation of ACH management plan approval</w:t>
      </w:r>
      <w:r>
        <w:tab/>
      </w:r>
      <w:r>
        <w:fldChar w:fldCharType="begin"/>
      </w:r>
      <w:r>
        <w:instrText xml:space="preserve"> PAGEREF _Toc154742834 \h </w:instrText>
      </w:r>
      <w:r>
        <w:fldChar w:fldCharType="separate"/>
      </w:r>
      <w:r>
        <w:t>118</w:t>
      </w:r>
      <w:r>
        <w:fldChar w:fldCharType="end"/>
      </w:r>
    </w:p>
    <w:p>
      <w:pPr>
        <w:pStyle w:val="TOC8"/>
        <w:rPr>
          <w:rFonts w:asciiTheme="minorHAnsi" w:eastAsiaTheme="minorEastAsia" w:hAnsiTheme="minorHAnsi" w:cstheme="minorBidi"/>
          <w:szCs w:val="22"/>
        </w:rPr>
      </w:pPr>
      <w:r>
        <w:t>155.</w:t>
      </w:r>
      <w:r>
        <w:tab/>
        <w:t>Objection to decision of ACH Council</w:t>
      </w:r>
      <w:r>
        <w:tab/>
      </w:r>
      <w:r>
        <w:fldChar w:fldCharType="begin"/>
      </w:r>
      <w:r>
        <w:instrText xml:space="preserve"> PAGEREF _Toc154742835 \h </w:instrText>
      </w:r>
      <w:r>
        <w:fldChar w:fldCharType="separate"/>
      </w:r>
      <w:r>
        <w:t>119</w:t>
      </w:r>
      <w:r>
        <w:fldChar w:fldCharType="end"/>
      </w:r>
    </w:p>
    <w:p>
      <w:pPr>
        <w:pStyle w:val="TOC8"/>
        <w:rPr>
          <w:rFonts w:asciiTheme="minorHAnsi" w:eastAsiaTheme="minorEastAsia" w:hAnsiTheme="minorHAnsi" w:cstheme="minorBidi"/>
          <w:szCs w:val="22"/>
        </w:rPr>
      </w:pPr>
      <w:r>
        <w:t>156.</w:t>
      </w:r>
      <w:r>
        <w:tab/>
        <w:t>Notice of decision must be given</w:t>
      </w:r>
      <w:r>
        <w:tab/>
      </w:r>
      <w:r>
        <w:fldChar w:fldCharType="begin"/>
      </w:r>
      <w:r>
        <w:instrText xml:space="preserve"> PAGEREF _Toc154742836 \h </w:instrText>
      </w:r>
      <w:r>
        <w:fldChar w:fldCharType="separate"/>
      </w:r>
      <w:r>
        <w:t>120</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Authorisation of ACH management plan by Minister</w:t>
      </w:r>
    </w:p>
    <w:p>
      <w:pPr>
        <w:pStyle w:val="TOC8"/>
        <w:rPr>
          <w:rFonts w:asciiTheme="minorHAnsi" w:eastAsiaTheme="minorEastAsia" w:hAnsiTheme="minorHAnsi" w:cstheme="minorBidi"/>
          <w:szCs w:val="22"/>
        </w:rPr>
      </w:pPr>
      <w:r>
        <w:t>157.</w:t>
      </w:r>
      <w:r>
        <w:tab/>
        <w:t>Application for authorisation of ACH management plan</w:t>
      </w:r>
      <w:r>
        <w:tab/>
      </w:r>
      <w:r>
        <w:fldChar w:fldCharType="begin"/>
      </w:r>
      <w:r>
        <w:instrText xml:space="preserve"> PAGEREF _Toc154742838 \h </w:instrText>
      </w:r>
      <w:r>
        <w:fldChar w:fldCharType="separate"/>
      </w:r>
      <w:r>
        <w:t>121</w:t>
      </w:r>
      <w:r>
        <w:fldChar w:fldCharType="end"/>
      </w:r>
    </w:p>
    <w:p>
      <w:pPr>
        <w:pStyle w:val="TOC8"/>
        <w:rPr>
          <w:rFonts w:asciiTheme="minorHAnsi" w:eastAsiaTheme="minorEastAsia" w:hAnsiTheme="minorHAnsi" w:cstheme="minorBidi"/>
          <w:szCs w:val="22"/>
        </w:rPr>
      </w:pPr>
      <w:r>
        <w:t>158.</w:t>
      </w:r>
      <w:r>
        <w:tab/>
        <w:t>Further information in support of application</w:t>
      </w:r>
      <w:r>
        <w:tab/>
      </w:r>
      <w:r>
        <w:fldChar w:fldCharType="begin"/>
      </w:r>
      <w:r>
        <w:instrText xml:space="preserve"> PAGEREF _Toc154742839 \h </w:instrText>
      </w:r>
      <w:r>
        <w:fldChar w:fldCharType="separate"/>
      </w:r>
      <w:r>
        <w:t>122</w:t>
      </w:r>
      <w:r>
        <w:fldChar w:fldCharType="end"/>
      </w:r>
    </w:p>
    <w:p>
      <w:pPr>
        <w:pStyle w:val="TOC8"/>
        <w:rPr>
          <w:rFonts w:asciiTheme="minorHAnsi" w:eastAsiaTheme="minorEastAsia" w:hAnsiTheme="minorHAnsi" w:cstheme="minorBidi"/>
          <w:szCs w:val="22"/>
        </w:rPr>
      </w:pPr>
      <w:r>
        <w:t>159.</w:t>
      </w:r>
      <w:r>
        <w:tab/>
        <w:t>ACH Council may refuse to consider some applications</w:t>
      </w:r>
      <w:r>
        <w:tab/>
      </w:r>
      <w:r>
        <w:fldChar w:fldCharType="begin"/>
      </w:r>
      <w:r>
        <w:instrText xml:space="preserve"> PAGEREF _Toc154742840 \h </w:instrText>
      </w:r>
      <w:r>
        <w:fldChar w:fldCharType="separate"/>
      </w:r>
      <w:r>
        <w:t>122</w:t>
      </w:r>
      <w:r>
        <w:fldChar w:fldCharType="end"/>
      </w:r>
    </w:p>
    <w:p>
      <w:pPr>
        <w:pStyle w:val="TOC8"/>
        <w:rPr>
          <w:rFonts w:asciiTheme="minorHAnsi" w:eastAsiaTheme="minorEastAsia" w:hAnsiTheme="minorHAnsi" w:cstheme="minorBidi"/>
          <w:szCs w:val="22"/>
        </w:rPr>
      </w:pPr>
      <w:r>
        <w:t>160.</w:t>
      </w:r>
      <w:r>
        <w:tab/>
        <w:t>Assistance to reach agreement on ACH management plan</w:t>
      </w:r>
      <w:r>
        <w:tab/>
      </w:r>
      <w:r>
        <w:fldChar w:fldCharType="begin"/>
      </w:r>
      <w:r>
        <w:instrText xml:space="preserve"> PAGEREF _Toc154742841 \h </w:instrText>
      </w:r>
      <w:r>
        <w:fldChar w:fldCharType="separate"/>
      </w:r>
      <w:r>
        <w:t>123</w:t>
      </w:r>
      <w:r>
        <w:fldChar w:fldCharType="end"/>
      </w:r>
    </w:p>
    <w:p>
      <w:pPr>
        <w:pStyle w:val="TOC8"/>
        <w:rPr>
          <w:rFonts w:asciiTheme="minorHAnsi" w:eastAsiaTheme="minorEastAsia" w:hAnsiTheme="minorHAnsi" w:cstheme="minorBidi"/>
          <w:szCs w:val="22"/>
        </w:rPr>
      </w:pPr>
      <w:r>
        <w:t>161.</w:t>
      </w:r>
      <w:r>
        <w:tab/>
        <w:t>ACH Council may approve ACH management plan if agreement reached</w:t>
      </w:r>
      <w:r>
        <w:tab/>
      </w:r>
      <w:r>
        <w:fldChar w:fldCharType="begin"/>
      </w:r>
      <w:r>
        <w:instrText xml:space="preserve"> PAGEREF _Toc154742842 \h </w:instrText>
      </w:r>
      <w:r>
        <w:fldChar w:fldCharType="separate"/>
      </w:r>
      <w:r>
        <w:t>124</w:t>
      </w:r>
      <w:r>
        <w:fldChar w:fldCharType="end"/>
      </w:r>
    </w:p>
    <w:p>
      <w:pPr>
        <w:pStyle w:val="TOC8"/>
        <w:rPr>
          <w:rFonts w:asciiTheme="minorHAnsi" w:eastAsiaTheme="minorEastAsia" w:hAnsiTheme="minorHAnsi" w:cstheme="minorBidi"/>
          <w:szCs w:val="22"/>
        </w:rPr>
      </w:pPr>
      <w:r>
        <w:t>162.</w:t>
      </w:r>
      <w:r>
        <w:tab/>
        <w:t>Recommendation of ACH Council</w:t>
      </w:r>
      <w:r>
        <w:tab/>
      </w:r>
      <w:r>
        <w:fldChar w:fldCharType="begin"/>
      </w:r>
      <w:r>
        <w:instrText xml:space="preserve"> PAGEREF _Toc154742843 \h </w:instrText>
      </w:r>
      <w:r>
        <w:fldChar w:fldCharType="separate"/>
      </w:r>
      <w:r>
        <w:t>125</w:t>
      </w:r>
      <w:r>
        <w:fldChar w:fldCharType="end"/>
      </w:r>
    </w:p>
    <w:p>
      <w:pPr>
        <w:pStyle w:val="TOC8"/>
        <w:rPr>
          <w:rFonts w:asciiTheme="minorHAnsi" w:eastAsiaTheme="minorEastAsia" w:hAnsiTheme="minorHAnsi" w:cstheme="minorBidi"/>
          <w:szCs w:val="22"/>
        </w:rPr>
      </w:pPr>
      <w:r>
        <w:t>163.</w:t>
      </w:r>
      <w:r>
        <w:tab/>
        <w:t>Recommendation of ACH management plan</w:t>
      </w:r>
      <w:r>
        <w:tab/>
      </w:r>
      <w:r>
        <w:fldChar w:fldCharType="begin"/>
      </w:r>
      <w:r>
        <w:instrText xml:space="preserve"> PAGEREF _Toc154742844 \h </w:instrText>
      </w:r>
      <w:r>
        <w:fldChar w:fldCharType="separate"/>
      </w:r>
      <w:r>
        <w:t>126</w:t>
      </w:r>
      <w:r>
        <w:fldChar w:fldCharType="end"/>
      </w:r>
    </w:p>
    <w:p>
      <w:pPr>
        <w:pStyle w:val="TOC8"/>
        <w:rPr>
          <w:rFonts w:asciiTheme="minorHAnsi" w:eastAsiaTheme="minorEastAsia" w:hAnsiTheme="minorHAnsi" w:cstheme="minorBidi"/>
          <w:szCs w:val="22"/>
        </w:rPr>
      </w:pPr>
      <w:r>
        <w:t>164.</w:t>
      </w:r>
      <w:r>
        <w:tab/>
        <w:t>Minister may request further information</w:t>
      </w:r>
      <w:r>
        <w:tab/>
      </w:r>
      <w:r>
        <w:fldChar w:fldCharType="begin"/>
      </w:r>
      <w:r>
        <w:instrText xml:space="preserve"> PAGEREF _Toc154742845 \h </w:instrText>
      </w:r>
      <w:r>
        <w:fldChar w:fldCharType="separate"/>
      </w:r>
      <w:r>
        <w:t>127</w:t>
      </w:r>
      <w:r>
        <w:fldChar w:fldCharType="end"/>
      </w:r>
    </w:p>
    <w:p>
      <w:pPr>
        <w:pStyle w:val="TOC8"/>
        <w:rPr>
          <w:rFonts w:asciiTheme="minorHAnsi" w:eastAsiaTheme="minorEastAsia" w:hAnsiTheme="minorHAnsi" w:cstheme="minorBidi"/>
          <w:szCs w:val="22"/>
        </w:rPr>
      </w:pPr>
      <w:r>
        <w:t>165.</w:t>
      </w:r>
      <w:r>
        <w:tab/>
        <w:t>Decision of Minister</w:t>
      </w:r>
      <w:r>
        <w:tab/>
      </w:r>
      <w:r>
        <w:fldChar w:fldCharType="begin"/>
      </w:r>
      <w:r>
        <w:instrText xml:space="preserve"> PAGEREF _Toc154742846 \h </w:instrText>
      </w:r>
      <w:r>
        <w:fldChar w:fldCharType="separate"/>
      </w:r>
      <w:r>
        <w:t>128</w:t>
      </w:r>
      <w:r>
        <w:fldChar w:fldCharType="end"/>
      </w:r>
    </w:p>
    <w:p>
      <w:pPr>
        <w:pStyle w:val="TOC8"/>
        <w:rPr>
          <w:rFonts w:asciiTheme="minorHAnsi" w:eastAsiaTheme="minorEastAsia" w:hAnsiTheme="minorHAnsi" w:cstheme="minorBidi"/>
          <w:szCs w:val="22"/>
        </w:rPr>
      </w:pPr>
      <w:r>
        <w:t>166.</w:t>
      </w:r>
      <w:r>
        <w:tab/>
        <w:t>Duration of ACH management plan authorisation</w:t>
      </w:r>
      <w:r>
        <w:tab/>
      </w:r>
      <w:r>
        <w:fldChar w:fldCharType="begin"/>
      </w:r>
      <w:r>
        <w:instrText xml:space="preserve"> PAGEREF _Toc154742847 \h </w:instrText>
      </w:r>
      <w:r>
        <w:fldChar w:fldCharType="separate"/>
      </w:r>
      <w:r>
        <w:t>129</w:t>
      </w:r>
      <w:r>
        <w:fldChar w:fldCharType="end"/>
      </w:r>
    </w:p>
    <w:p>
      <w:pPr>
        <w:pStyle w:val="TOC8"/>
        <w:rPr>
          <w:rFonts w:asciiTheme="minorHAnsi" w:eastAsiaTheme="minorEastAsia" w:hAnsiTheme="minorHAnsi" w:cstheme="minorBidi"/>
          <w:szCs w:val="22"/>
        </w:rPr>
      </w:pPr>
      <w:r>
        <w:t>167.</w:t>
      </w:r>
      <w:r>
        <w:tab/>
        <w:t>Conditions</w:t>
      </w:r>
      <w:r>
        <w:tab/>
      </w:r>
      <w:r>
        <w:fldChar w:fldCharType="begin"/>
      </w:r>
      <w:r>
        <w:instrText xml:space="preserve"> PAGEREF _Toc154742848 \h </w:instrText>
      </w:r>
      <w:r>
        <w:fldChar w:fldCharType="separate"/>
      </w:r>
      <w:r>
        <w:t>129</w:t>
      </w:r>
      <w:r>
        <w:fldChar w:fldCharType="end"/>
      </w:r>
    </w:p>
    <w:p>
      <w:pPr>
        <w:pStyle w:val="TOC8"/>
        <w:rPr>
          <w:rFonts w:asciiTheme="minorHAnsi" w:eastAsiaTheme="minorEastAsia" w:hAnsiTheme="minorHAnsi" w:cstheme="minorBidi"/>
          <w:szCs w:val="22"/>
        </w:rPr>
      </w:pPr>
      <w:r>
        <w:t>168.</w:t>
      </w:r>
      <w:r>
        <w:tab/>
        <w:t>Suspension or cancellation of authorisation of ACH management plan</w:t>
      </w:r>
      <w:r>
        <w:tab/>
      </w:r>
      <w:r>
        <w:fldChar w:fldCharType="begin"/>
      </w:r>
      <w:r>
        <w:instrText xml:space="preserve"> PAGEREF _Toc154742849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4 — Other provisions about ACH management plans</w:t>
      </w:r>
    </w:p>
    <w:p>
      <w:pPr>
        <w:pStyle w:val="TOC8"/>
        <w:rPr>
          <w:rFonts w:asciiTheme="minorHAnsi" w:eastAsiaTheme="minorEastAsia" w:hAnsiTheme="minorHAnsi" w:cstheme="minorBidi"/>
          <w:szCs w:val="22"/>
        </w:rPr>
      </w:pPr>
      <w:r>
        <w:t>169.</w:t>
      </w:r>
      <w:r>
        <w:tab/>
        <w:t>Approval of amended ACH management plan</w:t>
      </w:r>
      <w:r>
        <w:tab/>
      </w:r>
      <w:r>
        <w:fldChar w:fldCharType="begin"/>
      </w:r>
      <w:r>
        <w:instrText xml:space="preserve"> PAGEREF _Toc154742851 \h </w:instrText>
      </w:r>
      <w:r>
        <w:fldChar w:fldCharType="separate"/>
      </w:r>
      <w:r>
        <w:t>132</w:t>
      </w:r>
      <w:r>
        <w:fldChar w:fldCharType="end"/>
      </w:r>
    </w:p>
    <w:p>
      <w:pPr>
        <w:pStyle w:val="TOC8"/>
        <w:rPr>
          <w:rFonts w:asciiTheme="minorHAnsi" w:eastAsiaTheme="minorEastAsia" w:hAnsiTheme="minorHAnsi" w:cstheme="minorBidi"/>
          <w:szCs w:val="22"/>
        </w:rPr>
      </w:pPr>
      <w:r>
        <w:t>170.</w:t>
      </w:r>
      <w:r>
        <w:tab/>
        <w:t>Authorisation of amended ACH management plan</w:t>
      </w:r>
      <w:r>
        <w:tab/>
      </w:r>
      <w:r>
        <w:fldChar w:fldCharType="begin"/>
      </w:r>
      <w:r>
        <w:instrText xml:space="preserve"> PAGEREF _Toc154742852 \h </w:instrText>
      </w:r>
      <w:r>
        <w:fldChar w:fldCharType="separate"/>
      </w:r>
      <w:r>
        <w:t>133</w:t>
      </w:r>
      <w:r>
        <w:fldChar w:fldCharType="end"/>
      </w:r>
    </w:p>
    <w:p>
      <w:pPr>
        <w:pStyle w:val="TOC8"/>
        <w:rPr>
          <w:rFonts w:asciiTheme="minorHAnsi" w:eastAsiaTheme="minorEastAsia" w:hAnsiTheme="minorHAnsi" w:cstheme="minorBidi"/>
          <w:szCs w:val="22"/>
        </w:rPr>
      </w:pPr>
      <w:r>
        <w:t>171.</w:t>
      </w:r>
      <w:r>
        <w:tab/>
        <w:t>Change to identity of parties to ACH management plan</w:t>
      </w:r>
      <w:r>
        <w:tab/>
      </w:r>
      <w:r>
        <w:fldChar w:fldCharType="begin"/>
      </w:r>
      <w:r>
        <w:instrText xml:space="preserve"> PAGEREF _Toc154742853 \h </w:instrText>
      </w:r>
      <w:r>
        <w:fldChar w:fldCharType="separate"/>
      </w:r>
      <w:r>
        <w:t>134</w:t>
      </w:r>
      <w:r>
        <w:fldChar w:fldCharType="end"/>
      </w:r>
    </w:p>
    <w:p>
      <w:pPr>
        <w:pStyle w:val="TOC8"/>
        <w:rPr>
          <w:rFonts w:asciiTheme="minorHAnsi" w:eastAsiaTheme="minorEastAsia" w:hAnsiTheme="minorHAnsi" w:cstheme="minorBidi"/>
          <w:szCs w:val="22"/>
        </w:rPr>
      </w:pPr>
      <w:r>
        <w:lastRenderedPageBreak/>
        <w:t>172.</w:t>
      </w:r>
      <w:r>
        <w:tab/>
        <w:t>Approved or authorised ACH management plan continues to have effect despite change to identity of party</w:t>
      </w:r>
      <w:r>
        <w:tab/>
      </w:r>
      <w:r>
        <w:fldChar w:fldCharType="begin"/>
      </w:r>
      <w:r>
        <w:instrText xml:space="preserve"> PAGEREF _Toc154742854 \h </w:instrText>
      </w:r>
      <w:r>
        <w:fldChar w:fldCharType="separate"/>
      </w:r>
      <w:r>
        <w:t>135</w:t>
      </w:r>
      <w:r>
        <w:fldChar w:fldCharType="end"/>
      </w:r>
    </w:p>
    <w:p>
      <w:pPr>
        <w:pStyle w:val="TOC8"/>
        <w:rPr>
          <w:rFonts w:asciiTheme="minorHAnsi" w:eastAsiaTheme="minorEastAsia" w:hAnsiTheme="minorHAnsi" w:cstheme="minorBidi"/>
          <w:szCs w:val="22"/>
        </w:rPr>
      </w:pPr>
      <w:r>
        <w:t>173.</w:t>
      </w:r>
      <w:r>
        <w:tab/>
        <w:t>Contravention of conditions on approved or authorised ACH management plan</w:t>
      </w:r>
      <w:r>
        <w:tab/>
      </w:r>
      <w:r>
        <w:fldChar w:fldCharType="begin"/>
      </w:r>
      <w:r>
        <w:instrText xml:space="preserve"> PAGEREF _Toc154742855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5 — Aboriginal cultural heritage of State significance</w:t>
      </w:r>
    </w:p>
    <w:p>
      <w:pPr>
        <w:pStyle w:val="TOC8"/>
        <w:rPr>
          <w:rFonts w:asciiTheme="minorHAnsi" w:eastAsiaTheme="minorEastAsia" w:hAnsiTheme="minorHAnsi" w:cstheme="minorBidi"/>
          <w:szCs w:val="22"/>
        </w:rPr>
      </w:pPr>
      <w:r>
        <w:t>174.</w:t>
      </w:r>
      <w:r>
        <w:tab/>
        <w:t>State significance guidelines must be considered</w:t>
      </w:r>
      <w:r>
        <w:tab/>
      </w:r>
      <w:r>
        <w:fldChar w:fldCharType="begin"/>
      </w:r>
      <w:r>
        <w:instrText xml:space="preserve"> PAGEREF _Toc154742857 \h </w:instrText>
      </w:r>
      <w:r>
        <w:fldChar w:fldCharType="separate"/>
      </w:r>
      <w:r>
        <w:t>136</w:t>
      </w:r>
      <w:r>
        <w:fldChar w:fldCharType="end"/>
      </w:r>
    </w:p>
    <w:p>
      <w:pPr>
        <w:pStyle w:val="TOC8"/>
        <w:rPr>
          <w:rFonts w:asciiTheme="minorHAnsi" w:eastAsiaTheme="minorEastAsia" w:hAnsiTheme="minorHAnsi" w:cstheme="minorBidi"/>
          <w:szCs w:val="22"/>
        </w:rPr>
      </w:pPr>
      <w:r>
        <w:t>175.</w:t>
      </w:r>
      <w:r>
        <w:tab/>
        <w:t>Notice must be given if ACH Council forms view that Aboriginal cultural heritage may be of State significance</w:t>
      </w:r>
      <w:r>
        <w:tab/>
      </w:r>
      <w:r>
        <w:fldChar w:fldCharType="begin"/>
      </w:r>
      <w:r>
        <w:instrText xml:space="preserve"> PAGEREF _Toc154742858 \h </w:instrText>
      </w:r>
      <w:r>
        <w:fldChar w:fldCharType="separate"/>
      </w:r>
      <w:r>
        <w:t>136</w:t>
      </w:r>
      <w:r>
        <w:fldChar w:fldCharType="end"/>
      </w:r>
    </w:p>
    <w:p>
      <w:pPr>
        <w:pStyle w:val="TOC8"/>
        <w:rPr>
          <w:rFonts w:asciiTheme="minorHAnsi" w:eastAsiaTheme="minorEastAsia" w:hAnsiTheme="minorHAnsi" w:cstheme="minorBidi"/>
          <w:szCs w:val="22"/>
        </w:rPr>
      </w:pPr>
      <w:r>
        <w:t>176.</w:t>
      </w:r>
      <w:r>
        <w:tab/>
        <w:t>Determination about Aboriginal cultural heritage of State significance</w:t>
      </w:r>
      <w:r>
        <w:tab/>
      </w:r>
      <w:r>
        <w:fldChar w:fldCharType="begin"/>
      </w:r>
      <w:r>
        <w:instrText xml:space="preserve"> PAGEREF _Toc154742859 \h </w:instrText>
      </w:r>
      <w:r>
        <w:fldChar w:fldCharType="separate"/>
      </w:r>
      <w:r>
        <w:t>138</w:t>
      </w:r>
      <w:r>
        <w:fldChar w:fldCharType="end"/>
      </w:r>
    </w:p>
    <w:p>
      <w:pPr>
        <w:pStyle w:val="TOC8"/>
        <w:rPr>
          <w:rFonts w:asciiTheme="minorHAnsi" w:eastAsiaTheme="minorEastAsia" w:hAnsiTheme="minorHAnsi" w:cstheme="minorBidi"/>
          <w:szCs w:val="22"/>
        </w:rPr>
      </w:pPr>
      <w:r>
        <w:t>177.</w:t>
      </w:r>
      <w:r>
        <w:tab/>
        <w:t>Continuation of applications</w:t>
      </w:r>
      <w:r>
        <w:tab/>
      </w:r>
      <w:r>
        <w:fldChar w:fldCharType="begin"/>
      </w:r>
      <w:r>
        <w:instrText xml:space="preserve"> PAGEREF _Toc154742860 \h </w:instrText>
      </w:r>
      <w:r>
        <w:fldChar w:fldCharType="separate"/>
      </w:r>
      <w:r>
        <w:t>139</w:t>
      </w:r>
      <w:r>
        <w:fldChar w:fldCharType="end"/>
      </w:r>
    </w:p>
    <w:p>
      <w:pPr>
        <w:pStyle w:val="TOC2"/>
        <w:tabs>
          <w:tab w:val="right" w:leader="dot" w:pos="7077"/>
        </w:tabs>
        <w:rPr>
          <w:rFonts w:asciiTheme="minorHAnsi" w:eastAsiaTheme="minorEastAsia" w:hAnsiTheme="minorHAnsi" w:cstheme="minorBidi"/>
          <w:b w:val="0"/>
          <w:sz w:val="22"/>
          <w:szCs w:val="22"/>
        </w:rPr>
      </w:pPr>
      <w:r>
        <w:t>Part 7 — Stop activity orders, prohibition orders and remediation orders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178.</w:t>
      </w:r>
      <w:r>
        <w:tab/>
        <w:t>Terms used</w:t>
      </w:r>
      <w:r>
        <w:tab/>
      </w:r>
      <w:r>
        <w:fldChar w:fldCharType="begin"/>
      </w:r>
      <w:r>
        <w:instrText xml:space="preserve"> PAGEREF _Toc154742863 \h </w:instrText>
      </w:r>
      <w:r>
        <w:fldChar w:fldCharType="separate"/>
      </w:r>
      <w:r>
        <w:t>141</w:t>
      </w:r>
      <w:r>
        <w:fldChar w:fldCharType="end"/>
      </w:r>
    </w:p>
    <w:p>
      <w:pPr>
        <w:pStyle w:val="TOC8"/>
        <w:rPr>
          <w:rFonts w:asciiTheme="minorHAnsi" w:eastAsiaTheme="minorEastAsia" w:hAnsiTheme="minorHAnsi" w:cstheme="minorBidi"/>
          <w:szCs w:val="22"/>
        </w:rPr>
      </w:pPr>
      <w:r>
        <w:t>179.</w:t>
      </w:r>
      <w:r>
        <w:tab/>
        <w:t>Application of Part</w:t>
      </w:r>
      <w:r>
        <w:tab/>
      </w:r>
      <w:r>
        <w:fldChar w:fldCharType="begin"/>
      </w:r>
      <w:r>
        <w:instrText xml:space="preserve"> PAGEREF _Toc154742864 \h </w:instrText>
      </w:r>
      <w:r>
        <w:fldChar w:fldCharType="separate"/>
      </w:r>
      <w:r>
        <w:t>142</w:t>
      </w:r>
      <w:r>
        <w:fldChar w:fldCharType="end"/>
      </w:r>
    </w:p>
    <w:p>
      <w:pPr>
        <w:pStyle w:val="TOC4"/>
        <w:tabs>
          <w:tab w:val="right" w:leader="dot" w:pos="7077"/>
        </w:tabs>
        <w:rPr>
          <w:rFonts w:asciiTheme="minorHAnsi" w:eastAsiaTheme="minorEastAsia" w:hAnsiTheme="minorHAnsi" w:cstheme="minorBidi"/>
          <w:b w:val="0"/>
          <w:szCs w:val="22"/>
        </w:rPr>
      </w:pPr>
      <w:r>
        <w:t>Division 2 — Stop activity orders</w:t>
      </w:r>
    </w:p>
    <w:p>
      <w:pPr>
        <w:pStyle w:val="TOC8"/>
        <w:rPr>
          <w:rFonts w:asciiTheme="minorHAnsi" w:eastAsiaTheme="minorEastAsia" w:hAnsiTheme="minorHAnsi" w:cstheme="minorBidi"/>
          <w:szCs w:val="22"/>
        </w:rPr>
      </w:pPr>
      <w:r>
        <w:t>180.</w:t>
      </w:r>
      <w:r>
        <w:tab/>
        <w:t>Stop activity order may be given by Minister in certain circumstances</w:t>
      </w:r>
      <w:r>
        <w:tab/>
      </w:r>
      <w:r>
        <w:fldChar w:fldCharType="begin"/>
      </w:r>
      <w:r>
        <w:instrText xml:space="preserve"> PAGEREF _Toc154742866 \h </w:instrText>
      </w:r>
      <w:r>
        <w:fldChar w:fldCharType="separate"/>
      </w:r>
      <w:r>
        <w:t>142</w:t>
      </w:r>
      <w:r>
        <w:fldChar w:fldCharType="end"/>
      </w:r>
    </w:p>
    <w:p>
      <w:pPr>
        <w:pStyle w:val="TOC8"/>
        <w:rPr>
          <w:rFonts w:asciiTheme="minorHAnsi" w:eastAsiaTheme="minorEastAsia" w:hAnsiTheme="minorHAnsi" w:cstheme="minorBidi"/>
          <w:szCs w:val="22"/>
        </w:rPr>
      </w:pPr>
      <w:r>
        <w:t>181.</w:t>
      </w:r>
      <w:r>
        <w:tab/>
        <w:t>Contents of stop activity order</w:t>
      </w:r>
      <w:r>
        <w:tab/>
      </w:r>
      <w:r>
        <w:fldChar w:fldCharType="begin"/>
      </w:r>
      <w:r>
        <w:instrText xml:space="preserve"> PAGEREF _Toc154742867 \h </w:instrText>
      </w:r>
      <w:r>
        <w:fldChar w:fldCharType="separate"/>
      </w:r>
      <w:r>
        <w:t>144</w:t>
      </w:r>
      <w:r>
        <w:fldChar w:fldCharType="end"/>
      </w:r>
    </w:p>
    <w:p>
      <w:pPr>
        <w:pStyle w:val="TOC8"/>
        <w:rPr>
          <w:rFonts w:asciiTheme="minorHAnsi" w:eastAsiaTheme="minorEastAsia" w:hAnsiTheme="minorHAnsi" w:cstheme="minorBidi"/>
          <w:szCs w:val="22"/>
        </w:rPr>
      </w:pPr>
      <w:r>
        <w:t>182.</w:t>
      </w:r>
      <w:r>
        <w:tab/>
        <w:t>Extension of duration of stop activity order</w:t>
      </w:r>
      <w:r>
        <w:tab/>
      </w:r>
      <w:r>
        <w:fldChar w:fldCharType="begin"/>
      </w:r>
      <w:r>
        <w:instrText xml:space="preserve"> PAGEREF _Toc154742868 \h </w:instrText>
      </w:r>
      <w:r>
        <w:fldChar w:fldCharType="separate"/>
      </w:r>
      <w:r>
        <w:t>145</w:t>
      </w:r>
      <w:r>
        <w:fldChar w:fldCharType="end"/>
      </w:r>
    </w:p>
    <w:p>
      <w:pPr>
        <w:pStyle w:val="TOC8"/>
        <w:rPr>
          <w:rFonts w:asciiTheme="minorHAnsi" w:eastAsiaTheme="minorEastAsia" w:hAnsiTheme="minorHAnsi" w:cstheme="minorBidi"/>
          <w:szCs w:val="22"/>
        </w:rPr>
      </w:pPr>
      <w:r>
        <w:t>183.</w:t>
      </w:r>
      <w:r>
        <w:tab/>
        <w:t>Compliance with stop activity order</w:t>
      </w:r>
      <w:r>
        <w:tab/>
      </w:r>
      <w:r>
        <w:fldChar w:fldCharType="begin"/>
      </w:r>
      <w:r>
        <w:instrText xml:space="preserve"> PAGEREF _Toc154742869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3 — Prohibition orders</w:t>
      </w:r>
    </w:p>
    <w:p>
      <w:pPr>
        <w:pStyle w:val="TOC8"/>
        <w:rPr>
          <w:rFonts w:asciiTheme="minorHAnsi" w:eastAsiaTheme="minorEastAsia" w:hAnsiTheme="minorHAnsi" w:cstheme="minorBidi"/>
          <w:szCs w:val="22"/>
        </w:rPr>
      </w:pPr>
      <w:r>
        <w:t>184.</w:t>
      </w:r>
      <w:r>
        <w:tab/>
        <w:t>Recommendations by ACH Council about prohibition orders under section 185(1) or 186(1)(b)</w:t>
      </w:r>
      <w:r>
        <w:tab/>
      </w:r>
      <w:r>
        <w:fldChar w:fldCharType="begin"/>
      </w:r>
      <w:r>
        <w:instrText xml:space="preserve"> PAGEREF _Toc154742871 \h </w:instrText>
      </w:r>
      <w:r>
        <w:fldChar w:fldCharType="separate"/>
      </w:r>
      <w:r>
        <w:t>146</w:t>
      </w:r>
      <w:r>
        <w:fldChar w:fldCharType="end"/>
      </w:r>
    </w:p>
    <w:p>
      <w:pPr>
        <w:pStyle w:val="TOC8"/>
        <w:rPr>
          <w:rFonts w:asciiTheme="minorHAnsi" w:eastAsiaTheme="minorEastAsia" w:hAnsiTheme="minorHAnsi" w:cstheme="minorBidi"/>
          <w:szCs w:val="22"/>
        </w:rPr>
      </w:pPr>
      <w:r>
        <w:t>185.</w:t>
      </w:r>
      <w:r>
        <w:tab/>
        <w:t>ACH Council may make recommendation about prohibition orders in certain circumstances</w:t>
      </w:r>
      <w:r>
        <w:tab/>
      </w:r>
      <w:r>
        <w:fldChar w:fldCharType="begin"/>
      </w:r>
      <w:r>
        <w:instrText xml:space="preserve"> PAGEREF _Toc154742872 \h </w:instrText>
      </w:r>
      <w:r>
        <w:fldChar w:fldCharType="separate"/>
      </w:r>
      <w:r>
        <w:t>146</w:t>
      </w:r>
      <w:r>
        <w:fldChar w:fldCharType="end"/>
      </w:r>
    </w:p>
    <w:p>
      <w:pPr>
        <w:pStyle w:val="TOC8"/>
        <w:rPr>
          <w:rFonts w:asciiTheme="minorHAnsi" w:eastAsiaTheme="minorEastAsia" w:hAnsiTheme="minorHAnsi" w:cstheme="minorBidi"/>
          <w:szCs w:val="22"/>
        </w:rPr>
      </w:pPr>
      <w:r>
        <w:t>186.</w:t>
      </w:r>
      <w:r>
        <w:tab/>
        <w:t>ACH Council must make recommendation about prohibition order while stop activity order of effect</w:t>
      </w:r>
      <w:r>
        <w:tab/>
      </w:r>
      <w:r>
        <w:fldChar w:fldCharType="begin"/>
      </w:r>
      <w:r>
        <w:instrText xml:space="preserve"> PAGEREF _Toc154742873 \h </w:instrText>
      </w:r>
      <w:r>
        <w:fldChar w:fldCharType="separate"/>
      </w:r>
      <w:r>
        <w:t>148</w:t>
      </w:r>
      <w:r>
        <w:fldChar w:fldCharType="end"/>
      </w:r>
    </w:p>
    <w:p>
      <w:pPr>
        <w:pStyle w:val="TOC8"/>
        <w:rPr>
          <w:rFonts w:asciiTheme="minorHAnsi" w:eastAsiaTheme="minorEastAsia" w:hAnsiTheme="minorHAnsi" w:cstheme="minorBidi"/>
          <w:szCs w:val="22"/>
        </w:rPr>
      </w:pPr>
      <w:r>
        <w:t>187.</w:t>
      </w:r>
      <w:r>
        <w:tab/>
        <w:t>ACH Council must give notice before making recommendation about prohibition order</w:t>
      </w:r>
      <w:r>
        <w:tab/>
      </w:r>
      <w:r>
        <w:fldChar w:fldCharType="begin"/>
      </w:r>
      <w:r>
        <w:instrText xml:space="preserve"> PAGEREF _Toc154742874 \h </w:instrText>
      </w:r>
      <w:r>
        <w:fldChar w:fldCharType="separate"/>
      </w:r>
      <w:r>
        <w:t>149</w:t>
      </w:r>
      <w:r>
        <w:fldChar w:fldCharType="end"/>
      </w:r>
    </w:p>
    <w:p>
      <w:pPr>
        <w:pStyle w:val="TOC8"/>
        <w:rPr>
          <w:rFonts w:asciiTheme="minorHAnsi" w:eastAsiaTheme="minorEastAsia" w:hAnsiTheme="minorHAnsi" w:cstheme="minorBidi"/>
          <w:szCs w:val="22"/>
        </w:rPr>
      </w:pPr>
      <w:r>
        <w:t>188.</w:t>
      </w:r>
      <w:r>
        <w:tab/>
        <w:t>Prohibition order may be given by Minister</w:t>
      </w:r>
      <w:r>
        <w:tab/>
      </w:r>
      <w:r>
        <w:fldChar w:fldCharType="begin"/>
      </w:r>
      <w:r>
        <w:instrText xml:space="preserve"> PAGEREF _Toc154742875 \h </w:instrText>
      </w:r>
      <w:r>
        <w:fldChar w:fldCharType="separate"/>
      </w:r>
      <w:r>
        <w:t>151</w:t>
      </w:r>
      <w:r>
        <w:fldChar w:fldCharType="end"/>
      </w:r>
    </w:p>
    <w:p>
      <w:pPr>
        <w:pStyle w:val="TOC8"/>
        <w:rPr>
          <w:rFonts w:asciiTheme="minorHAnsi" w:eastAsiaTheme="minorEastAsia" w:hAnsiTheme="minorHAnsi" w:cstheme="minorBidi"/>
          <w:szCs w:val="22"/>
        </w:rPr>
      </w:pPr>
      <w:r>
        <w:t>189.</w:t>
      </w:r>
      <w:r>
        <w:tab/>
        <w:t>Contents of prohibition order</w:t>
      </w:r>
      <w:r>
        <w:tab/>
      </w:r>
      <w:r>
        <w:fldChar w:fldCharType="begin"/>
      </w:r>
      <w:r>
        <w:instrText xml:space="preserve"> PAGEREF _Toc154742876 \h </w:instrText>
      </w:r>
      <w:r>
        <w:fldChar w:fldCharType="separate"/>
      </w:r>
      <w:r>
        <w:t>152</w:t>
      </w:r>
      <w:r>
        <w:fldChar w:fldCharType="end"/>
      </w:r>
    </w:p>
    <w:p>
      <w:pPr>
        <w:pStyle w:val="TOC8"/>
        <w:rPr>
          <w:rFonts w:asciiTheme="minorHAnsi" w:eastAsiaTheme="minorEastAsia" w:hAnsiTheme="minorHAnsi" w:cstheme="minorBidi"/>
          <w:szCs w:val="22"/>
        </w:rPr>
      </w:pPr>
      <w:r>
        <w:lastRenderedPageBreak/>
        <w:t>190.</w:t>
      </w:r>
      <w:r>
        <w:tab/>
        <w:t>Compliance with prohibition order</w:t>
      </w:r>
      <w:r>
        <w:tab/>
      </w:r>
      <w:r>
        <w:fldChar w:fldCharType="begin"/>
      </w:r>
      <w:r>
        <w:instrText xml:space="preserve"> PAGEREF _Toc154742877 \h </w:instrText>
      </w:r>
      <w:r>
        <w:fldChar w:fldCharType="separate"/>
      </w:r>
      <w:r>
        <w:t>153</w:t>
      </w:r>
      <w:r>
        <w:fldChar w:fldCharType="end"/>
      </w:r>
    </w:p>
    <w:p>
      <w:pPr>
        <w:pStyle w:val="TOC8"/>
        <w:rPr>
          <w:rFonts w:asciiTheme="minorHAnsi" w:eastAsiaTheme="minorEastAsia" w:hAnsiTheme="minorHAnsi" w:cstheme="minorBidi"/>
          <w:szCs w:val="22"/>
        </w:rPr>
      </w:pPr>
      <w:r>
        <w:t>191.</w:t>
      </w:r>
      <w:r>
        <w:tab/>
        <w:t>Extension of duration of prohibition order</w:t>
      </w:r>
      <w:r>
        <w:tab/>
      </w:r>
      <w:r>
        <w:fldChar w:fldCharType="begin"/>
      </w:r>
      <w:r>
        <w:instrText xml:space="preserve"> PAGEREF _Toc154742878 \h </w:instrText>
      </w:r>
      <w:r>
        <w:fldChar w:fldCharType="separate"/>
      </w:r>
      <w:r>
        <w:t>153</w:t>
      </w:r>
      <w:r>
        <w:fldChar w:fldCharType="end"/>
      </w:r>
    </w:p>
    <w:p>
      <w:pPr>
        <w:pStyle w:val="TOC8"/>
        <w:rPr>
          <w:rFonts w:asciiTheme="minorHAnsi" w:eastAsiaTheme="minorEastAsia" w:hAnsiTheme="minorHAnsi" w:cstheme="minorBidi"/>
          <w:szCs w:val="22"/>
        </w:rPr>
      </w:pPr>
      <w:r>
        <w:t>192.</w:t>
      </w:r>
      <w:r>
        <w:tab/>
        <w:t>Notice by Minister before extension of duration of prohibition order</w:t>
      </w:r>
      <w:r>
        <w:tab/>
      </w:r>
      <w:r>
        <w:fldChar w:fldCharType="begin"/>
      </w:r>
      <w:r>
        <w:instrText xml:space="preserve"> PAGEREF _Toc154742879 \h </w:instrText>
      </w:r>
      <w:r>
        <w:fldChar w:fldCharType="separate"/>
      </w:r>
      <w:r>
        <w:t>154</w:t>
      </w:r>
      <w:r>
        <w:fldChar w:fldCharType="end"/>
      </w:r>
    </w:p>
    <w:p>
      <w:pPr>
        <w:pStyle w:val="TOC4"/>
        <w:tabs>
          <w:tab w:val="right" w:leader="dot" w:pos="7077"/>
        </w:tabs>
        <w:rPr>
          <w:rFonts w:asciiTheme="minorHAnsi" w:eastAsiaTheme="minorEastAsia" w:hAnsiTheme="minorHAnsi" w:cstheme="minorBidi"/>
          <w:b w:val="0"/>
          <w:szCs w:val="22"/>
        </w:rPr>
      </w:pPr>
      <w:r>
        <w:t>Division 4 — Remediation orders</w:t>
      </w:r>
    </w:p>
    <w:p>
      <w:pPr>
        <w:pStyle w:val="TOC8"/>
        <w:rPr>
          <w:rFonts w:asciiTheme="minorHAnsi" w:eastAsiaTheme="minorEastAsia" w:hAnsiTheme="minorHAnsi" w:cstheme="minorBidi"/>
          <w:szCs w:val="22"/>
        </w:rPr>
      </w:pPr>
      <w:r>
        <w:t>193.</w:t>
      </w:r>
      <w:r>
        <w:tab/>
        <w:t>ACH Council may recommend remediation order</w:t>
      </w:r>
      <w:r>
        <w:tab/>
      </w:r>
      <w:r>
        <w:fldChar w:fldCharType="begin"/>
      </w:r>
      <w:r>
        <w:instrText xml:space="preserve"> PAGEREF _Toc154742881 \h </w:instrText>
      </w:r>
      <w:r>
        <w:fldChar w:fldCharType="separate"/>
      </w:r>
      <w:r>
        <w:t>154</w:t>
      </w:r>
      <w:r>
        <w:fldChar w:fldCharType="end"/>
      </w:r>
    </w:p>
    <w:p>
      <w:pPr>
        <w:pStyle w:val="TOC8"/>
        <w:rPr>
          <w:rFonts w:asciiTheme="minorHAnsi" w:eastAsiaTheme="minorEastAsia" w:hAnsiTheme="minorHAnsi" w:cstheme="minorBidi"/>
          <w:szCs w:val="22"/>
        </w:rPr>
      </w:pPr>
      <w:r>
        <w:t>194.</w:t>
      </w:r>
      <w:r>
        <w:tab/>
        <w:t>Remediation order may be given by Minister</w:t>
      </w:r>
      <w:r>
        <w:tab/>
      </w:r>
      <w:r>
        <w:fldChar w:fldCharType="begin"/>
      </w:r>
      <w:r>
        <w:instrText xml:space="preserve"> PAGEREF _Toc154742882 \h </w:instrText>
      </w:r>
      <w:r>
        <w:fldChar w:fldCharType="separate"/>
      </w:r>
      <w:r>
        <w:t>155</w:t>
      </w:r>
      <w:r>
        <w:fldChar w:fldCharType="end"/>
      </w:r>
    </w:p>
    <w:p>
      <w:pPr>
        <w:pStyle w:val="TOC8"/>
        <w:rPr>
          <w:rFonts w:asciiTheme="minorHAnsi" w:eastAsiaTheme="minorEastAsia" w:hAnsiTheme="minorHAnsi" w:cstheme="minorBidi"/>
          <w:szCs w:val="22"/>
        </w:rPr>
      </w:pPr>
      <w:r>
        <w:t>195.</w:t>
      </w:r>
      <w:r>
        <w:tab/>
        <w:t>Contents of remediation order</w:t>
      </w:r>
      <w:r>
        <w:tab/>
      </w:r>
      <w:r>
        <w:fldChar w:fldCharType="begin"/>
      </w:r>
      <w:r>
        <w:instrText xml:space="preserve"> PAGEREF _Toc154742883 \h </w:instrText>
      </w:r>
      <w:r>
        <w:fldChar w:fldCharType="separate"/>
      </w:r>
      <w:r>
        <w:t>155</w:t>
      </w:r>
      <w:r>
        <w:fldChar w:fldCharType="end"/>
      </w:r>
    </w:p>
    <w:p>
      <w:pPr>
        <w:pStyle w:val="TOC8"/>
        <w:rPr>
          <w:rFonts w:asciiTheme="minorHAnsi" w:eastAsiaTheme="minorEastAsia" w:hAnsiTheme="minorHAnsi" w:cstheme="minorBidi"/>
          <w:szCs w:val="22"/>
        </w:rPr>
      </w:pPr>
      <w:r>
        <w:t>196.</w:t>
      </w:r>
      <w:r>
        <w:tab/>
        <w:t>Compliance with remediation order</w:t>
      </w:r>
      <w:r>
        <w:tab/>
      </w:r>
      <w:r>
        <w:fldChar w:fldCharType="begin"/>
      </w:r>
      <w:r>
        <w:instrText xml:space="preserve"> PAGEREF _Toc154742884 \h </w:instrText>
      </w:r>
      <w:r>
        <w:fldChar w:fldCharType="separate"/>
      </w:r>
      <w:r>
        <w:t>156</w:t>
      </w:r>
      <w:r>
        <w:fldChar w:fldCharType="end"/>
      </w:r>
    </w:p>
    <w:p>
      <w:pPr>
        <w:pStyle w:val="TOC8"/>
        <w:rPr>
          <w:rFonts w:asciiTheme="minorHAnsi" w:eastAsiaTheme="minorEastAsia" w:hAnsiTheme="minorHAnsi" w:cstheme="minorBidi"/>
          <w:szCs w:val="22"/>
        </w:rPr>
      </w:pPr>
      <w:r>
        <w:t>197.</w:t>
      </w:r>
      <w:r>
        <w:tab/>
        <w:t>Other persons may carry out remediation if order contravened</w:t>
      </w:r>
      <w:r>
        <w:tab/>
      </w:r>
      <w:r>
        <w:fldChar w:fldCharType="begin"/>
      </w:r>
      <w:r>
        <w:instrText xml:space="preserve"> PAGEREF _Toc154742885 \h </w:instrText>
      </w:r>
      <w:r>
        <w:fldChar w:fldCharType="separate"/>
      </w:r>
      <w:r>
        <w:t>156</w:t>
      </w:r>
      <w:r>
        <w:fldChar w:fldCharType="end"/>
      </w:r>
    </w:p>
    <w:p>
      <w:pPr>
        <w:pStyle w:val="TOC8"/>
        <w:rPr>
          <w:rFonts w:asciiTheme="minorHAnsi" w:eastAsiaTheme="minorEastAsia" w:hAnsiTheme="minorHAnsi" w:cstheme="minorBidi"/>
          <w:szCs w:val="22"/>
        </w:rPr>
      </w:pPr>
      <w:r>
        <w:t>198.</w:t>
      </w:r>
      <w:r>
        <w:tab/>
        <w:t>Entry to carry out remediation</w:t>
      </w:r>
      <w:r>
        <w:tab/>
      </w:r>
      <w:r>
        <w:fldChar w:fldCharType="begin"/>
      </w:r>
      <w:r>
        <w:instrText xml:space="preserve"> PAGEREF _Toc154742886 \h </w:instrText>
      </w:r>
      <w:r>
        <w:fldChar w:fldCharType="separate"/>
      </w:r>
      <w:r>
        <w:t>156</w:t>
      </w:r>
      <w:r>
        <w:fldChar w:fldCharType="end"/>
      </w:r>
    </w:p>
    <w:p>
      <w:pPr>
        <w:pStyle w:val="TOC8"/>
        <w:rPr>
          <w:rFonts w:asciiTheme="minorHAnsi" w:eastAsiaTheme="minorEastAsia" w:hAnsiTheme="minorHAnsi" w:cstheme="minorBidi"/>
          <w:szCs w:val="22"/>
        </w:rPr>
      </w:pPr>
      <w:r>
        <w:t>199.</w:t>
      </w:r>
      <w:r>
        <w:tab/>
        <w:t>Recovery by person given remediation order</w:t>
      </w:r>
      <w:r>
        <w:tab/>
      </w:r>
      <w:r>
        <w:fldChar w:fldCharType="begin"/>
      </w:r>
      <w:r>
        <w:instrText xml:space="preserve"> PAGEREF _Toc154742887 \h </w:instrText>
      </w:r>
      <w:r>
        <w:fldChar w:fldCharType="separate"/>
      </w:r>
      <w:r>
        <w:t>157</w:t>
      </w:r>
      <w:r>
        <w:fldChar w:fldCharType="end"/>
      </w:r>
    </w:p>
    <w:p>
      <w:pPr>
        <w:pStyle w:val="TOC4"/>
        <w:tabs>
          <w:tab w:val="right" w:leader="dot" w:pos="7077"/>
        </w:tabs>
        <w:rPr>
          <w:rFonts w:asciiTheme="minorHAnsi" w:eastAsiaTheme="minorEastAsia" w:hAnsiTheme="minorHAnsi" w:cstheme="minorBidi"/>
          <w:b w:val="0"/>
          <w:szCs w:val="22"/>
        </w:rPr>
      </w:pPr>
      <w:r>
        <w:t>Division 5 — Other provisions about orders under this Part</w:t>
      </w:r>
    </w:p>
    <w:p>
      <w:pPr>
        <w:pStyle w:val="TOC8"/>
        <w:rPr>
          <w:rFonts w:asciiTheme="minorHAnsi" w:eastAsiaTheme="minorEastAsia" w:hAnsiTheme="minorHAnsi" w:cstheme="minorBidi"/>
          <w:szCs w:val="22"/>
        </w:rPr>
      </w:pPr>
      <w:r>
        <w:t>200.</w:t>
      </w:r>
      <w:r>
        <w:tab/>
        <w:t>General matters about orders under this Part</w:t>
      </w:r>
      <w:r>
        <w:tab/>
      </w:r>
      <w:r>
        <w:fldChar w:fldCharType="begin"/>
      </w:r>
      <w:r>
        <w:instrText xml:space="preserve"> PAGEREF _Toc154742889 \h </w:instrText>
      </w:r>
      <w:r>
        <w:fldChar w:fldCharType="separate"/>
      </w:r>
      <w:r>
        <w:t>157</w:t>
      </w:r>
      <w:r>
        <w:fldChar w:fldCharType="end"/>
      </w:r>
    </w:p>
    <w:p>
      <w:pPr>
        <w:pStyle w:val="TOC8"/>
        <w:rPr>
          <w:rFonts w:asciiTheme="minorHAnsi" w:eastAsiaTheme="minorEastAsia" w:hAnsiTheme="minorHAnsi" w:cstheme="minorBidi"/>
          <w:szCs w:val="22"/>
        </w:rPr>
      </w:pPr>
      <w:r>
        <w:t>201.</w:t>
      </w:r>
      <w:r>
        <w:tab/>
        <w:t>Directions in orders under this Part</w:t>
      </w:r>
      <w:r>
        <w:tab/>
      </w:r>
      <w:r>
        <w:fldChar w:fldCharType="begin"/>
      </w:r>
      <w:r>
        <w:instrText xml:space="preserve"> PAGEREF _Toc154742890 \h </w:instrText>
      </w:r>
      <w:r>
        <w:fldChar w:fldCharType="separate"/>
      </w:r>
      <w:r>
        <w:t>157</w:t>
      </w:r>
      <w:r>
        <w:fldChar w:fldCharType="end"/>
      </w:r>
    </w:p>
    <w:p>
      <w:pPr>
        <w:pStyle w:val="TOC8"/>
        <w:rPr>
          <w:rFonts w:asciiTheme="minorHAnsi" w:eastAsiaTheme="minorEastAsia" w:hAnsiTheme="minorHAnsi" w:cstheme="minorBidi"/>
          <w:szCs w:val="22"/>
        </w:rPr>
      </w:pPr>
      <w:r>
        <w:t>202.</w:t>
      </w:r>
      <w:r>
        <w:tab/>
        <w:t>Duration of orders under this Part</w:t>
      </w:r>
      <w:r>
        <w:tab/>
      </w:r>
      <w:r>
        <w:fldChar w:fldCharType="begin"/>
      </w:r>
      <w:r>
        <w:instrText xml:space="preserve"> PAGEREF _Toc154742891 \h </w:instrText>
      </w:r>
      <w:r>
        <w:fldChar w:fldCharType="separate"/>
      </w:r>
      <w:r>
        <w:t>158</w:t>
      </w:r>
      <w:r>
        <w:fldChar w:fldCharType="end"/>
      </w:r>
    </w:p>
    <w:p>
      <w:pPr>
        <w:pStyle w:val="TOC8"/>
        <w:rPr>
          <w:rFonts w:asciiTheme="minorHAnsi" w:eastAsiaTheme="minorEastAsia" w:hAnsiTheme="minorHAnsi" w:cstheme="minorBidi"/>
          <w:szCs w:val="22"/>
        </w:rPr>
      </w:pPr>
      <w:r>
        <w:t>203.</w:t>
      </w:r>
      <w:r>
        <w:tab/>
        <w:t>Amendment or cancellation of certain orders under this Part</w:t>
      </w:r>
      <w:r>
        <w:tab/>
      </w:r>
      <w:r>
        <w:fldChar w:fldCharType="begin"/>
      </w:r>
      <w:r>
        <w:instrText xml:space="preserve"> PAGEREF _Toc154742892 \h </w:instrText>
      </w:r>
      <w:r>
        <w:fldChar w:fldCharType="separate"/>
      </w:r>
      <w:r>
        <w:t>158</w:t>
      </w:r>
      <w:r>
        <w:fldChar w:fldCharType="end"/>
      </w:r>
    </w:p>
    <w:p>
      <w:pPr>
        <w:pStyle w:val="TOC8"/>
        <w:rPr>
          <w:rFonts w:asciiTheme="minorHAnsi" w:eastAsiaTheme="minorEastAsia" w:hAnsiTheme="minorHAnsi" w:cstheme="minorBidi"/>
          <w:szCs w:val="22"/>
        </w:rPr>
      </w:pPr>
      <w:r>
        <w:t>204.</w:t>
      </w:r>
      <w:r>
        <w:tab/>
        <w:t>Notification by Minister before amending or cancelling prohibition order</w:t>
      </w:r>
      <w:r>
        <w:tab/>
      </w:r>
      <w:r>
        <w:fldChar w:fldCharType="begin"/>
      </w:r>
      <w:r>
        <w:instrText xml:space="preserve"> PAGEREF _Toc154742893 \h </w:instrText>
      </w:r>
      <w:r>
        <w:fldChar w:fldCharType="separate"/>
      </w:r>
      <w:r>
        <w:t>159</w:t>
      </w:r>
      <w:r>
        <w:fldChar w:fldCharType="end"/>
      </w:r>
    </w:p>
    <w:p>
      <w:pPr>
        <w:pStyle w:val="TOC8"/>
        <w:rPr>
          <w:rFonts w:asciiTheme="minorHAnsi" w:eastAsiaTheme="minorEastAsia" w:hAnsiTheme="minorHAnsi" w:cstheme="minorBidi"/>
          <w:szCs w:val="22"/>
        </w:rPr>
      </w:pPr>
      <w:r>
        <w:t>205.</w:t>
      </w:r>
      <w:r>
        <w:tab/>
        <w:t>Display of order under this Part</w:t>
      </w:r>
      <w:r>
        <w:tab/>
      </w:r>
      <w:r>
        <w:fldChar w:fldCharType="begin"/>
      </w:r>
      <w:r>
        <w:instrText xml:space="preserve"> PAGEREF _Toc154742894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8 — Aboriginal cultural heritage protection agreements</w:t>
      </w:r>
    </w:p>
    <w:p>
      <w:pPr>
        <w:pStyle w:val="TOC8"/>
        <w:rPr>
          <w:rFonts w:asciiTheme="minorHAnsi" w:eastAsiaTheme="minorEastAsia" w:hAnsiTheme="minorHAnsi" w:cstheme="minorBidi"/>
          <w:szCs w:val="22"/>
        </w:rPr>
      </w:pPr>
      <w:r>
        <w:t>206.</w:t>
      </w:r>
      <w:r>
        <w:tab/>
        <w:t>ACH protection agreement</w:t>
      </w:r>
      <w:r>
        <w:tab/>
      </w:r>
      <w:r>
        <w:fldChar w:fldCharType="begin"/>
      </w:r>
      <w:r>
        <w:instrText xml:space="preserve"> PAGEREF _Toc154742896 \h </w:instrText>
      </w:r>
      <w:r>
        <w:fldChar w:fldCharType="separate"/>
      </w:r>
      <w:r>
        <w:t>160</w:t>
      </w:r>
      <w:r>
        <w:fldChar w:fldCharType="end"/>
      </w:r>
    </w:p>
    <w:p>
      <w:pPr>
        <w:pStyle w:val="TOC8"/>
        <w:rPr>
          <w:rFonts w:asciiTheme="minorHAnsi" w:eastAsiaTheme="minorEastAsia" w:hAnsiTheme="minorHAnsi" w:cstheme="minorBidi"/>
          <w:szCs w:val="22"/>
        </w:rPr>
      </w:pPr>
      <w:r>
        <w:t>207.</w:t>
      </w:r>
      <w:r>
        <w:tab/>
        <w:t>Endorsement of ACH protection agreement</w:t>
      </w:r>
      <w:r>
        <w:tab/>
      </w:r>
      <w:r>
        <w:fldChar w:fldCharType="begin"/>
      </w:r>
      <w:r>
        <w:instrText xml:space="preserve"> PAGEREF _Toc154742897 \h </w:instrText>
      </w:r>
      <w:r>
        <w:fldChar w:fldCharType="separate"/>
      </w:r>
      <w:r>
        <w:t>161</w:t>
      </w:r>
      <w:r>
        <w:fldChar w:fldCharType="end"/>
      </w:r>
    </w:p>
    <w:p>
      <w:pPr>
        <w:pStyle w:val="TOC8"/>
        <w:rPr>
          <w:rFonts w:asciiTheme="minorHAnsi" w:eastAsiaTheme="minorEastAsia" w:hAnsiTheme="minorHAnsi" w:cstheme="minorBidi"/>
          <w:szCs w:val="22"/>
        </w:rPr>
      </w:pPr>
      <w:r>
        <w:t>208.</w:t>
      </w:r>
      <w:r>
        <w:tab/>
        <w:t>Further information in support of submission</w:t>
      </w:r>
      <w:r>
        <w:tab/>
      </w:r>
      <w:r>
        <w:fldChar w:fldCharType="begin"/>
      </w:r>
      <w:r>
        <w:instrText xml:space="preserve"> PAGEREF _Toc154742898 \h </w:instrText>
      </w:r>
      <w:r>
        <w:fldChar w:fldCharType="separate"/>
      </w:r>
      <w:r>
        <w:t>161</w:t>
      </w:r>
      <w:r>
        <w:fldChar w:fldCharType="end"/>
      </w:r>
    </w:p>
    <w:p>
      <w:pPr>
        <w:pStyle w:val="TOC8"/>
        <w:rPr>
          <w:rFonts w:asciiTheme="minorHAnsi" w:eastAsiaTheme="minorEastAsia" w:hAnsiTheme="minorHAnsi" w:cstheme="minorBidi"/>
          <w:szCs w:val="22"/>
        </w:rPr>
      </w:pPr>
      <w:r>
        <w:t>209.</w:t>
      </w:r>
      <w:r>
        <w:tab/>
        <w:t>ACH Council may refuse to consider some submissions</w:t>
      </w:r>
      <w:r>
        <w:tab/>
      </w:r>
      <w:r>
        <w:fldChar w:fldCharType="begin"/>
      </w:r>
      <w:r>
        <w:instrText xml:space="preserve"> PAGEREF _Toc154742899 \h </w:instrText>
      </w:r>
      <w:r>
        <w:fldChar w:fldCharType="separate"/>
      </w:r>
      <w:r>
        <w:t>161</w:t>
      </w:r>
      <w:r>
        <w:fldChar w:fldCharType="end"/>
      </w:r>
    </w:p>
    <w:p>
      <w:pPr>
        <w:pStyle w:val="TOC8"/>
        <w:rPr>
          <w:rFonts w:asciiTheme="minorHAnsi" w:eastAsiaTheme="minorEastAsia" w:hAnsiTheme="minorHAnsi" w:cstheme="minorBidi"/>
          <w:szCs w:val="22"/>
        </w:rPr>
      </w:pPr>
      <w:r>
        <w:t>210.</w:t>
      </w:r>
      <w:r>
        <w:tab/>
        <w:t>Decision of ACH Council</w:t>
      </w:r>
      <w:r>
        <w:tab/>
      </w:r>
      <w:r>
        <w:fldChar w:fldCharType="begin"/>
      </w:r>
      <w:r>
        <w:instrText xml:space="preserve"> PAGEREF _Toc154742900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9 — Aboriginal Cultural Heritage Directory</w:t>
      </w:r>
    </w:p>
    <w:p>
      <w:pPr>
        <w:pStyle w:val="TOC4"/>
        <w:tabs>
          <w:tab w:val="right" w:leader="dot" w:pos="7077"/>
        </w:tabs>
        <w:rPr>
          <w:rFonts w:asciiTheme="minorHAnsi" w:eastAsiaTheme="minorEastAsia" w:hAnsiTheme="minorHAnsi" w:cstheme="minorBidi"/>
          <w:b w:val="0"/>
          <w:szCs w:val="22"/>
        </w:rPr>
      </w:pPr>
      <w:r>
        <w:t>Division 1 — ACH Directory</w:t>
      </w:r>
    </w:p>
    <w:p>
      <w:pPr>
        <w:pStyle w:val="TOC8"/>
        <w:rPr>
          <w:rFonts w:asciiTheme="minorHAnsi" w:eastAsiaTheme="minorEastAsia" w:hAnsiTheme="minorHAnsi" w:cstheme="minorBidi"/>
          <w:szCs w:val="22"/>
        </w:rPr>
      </w:pPr>
      <w:r>
        <w:t>211.</w:t>
      </w:r>
      <w:r>
        <w:tab/>
        <w:t>ACH Directory</w:t>
      </w:r>
      <w:r>
        <w:tab/>
      </w:r>
      <w:r>
        <w:fldChar w:fldCharType="begin"/>
      </w:r>
      <w:r>
        <w:instrText xml:space="preserve"> PAGEREF _Toc154742903 \h </w:instrText>
      </w:r>
      <w:r>
        <w:fldChar w:fldCharType="separate"/>
      </w:r>
      <w:r>
        <w:t>163</w:t>
      </w:r>
      <w:r>
        <w:fldChar w:fldCharType="end"/>
      </w:r>
    </w:p>
    <w:p>
      <w:pPr>
        <w:pStyle w:val="TOC8"/>
        <w:rPr>
          <w:rFonts w:asciiTheme="minorHAnsi" w:eastAsiaTheme="minorEastAsia" w:hAnsiTheme="minorHAnsi" w:cstheme="minorBidi"/>
          <w:szCs w:val="22"/>
        </w:rPr>
      </w:pPr>
      <w:r>
        <w:t>212.</w:t>
      </w:r>
      <w:r>
        <w:tab/>
        <w:t>Purposes of ACH Directory</w:t>
      </w:r>
      <w:r>
        <w:tab/>
      </w:r>
      <w:r>
        <w:fldChar w:fldCharType="begin"/>
      </w:r>
      <w:r>
        <w:instrText xml:space="preserve"> PAGEREF _Toc154742904 \h </w:instrText>
      </w:r>
      <w:r>
        <w:fldChar w:fldCharType="separate"/>
      </w:r>
      <w:r>
        <w:t>163</w:t>
      </w:r>
      <w:r>
        <w:fldChar w:fldCharType="end"/>
      </w:r>
    </w:p>
    <w:p>
      <w:pPr>
        <w:pStyle w:val="TOC8"/>
        <w:rPr>
          <w:rFonts w:asciiTheme="minorHAnsi" w:eastAsiaTheme="minorEastAsia" w:hAnsiTheme="minorHAnsi" w:cstheme="minorBidi"/>
          <w:szCs w:val="22"/>
        </w:rPr>
      </w:pPr>
      <w:r>
        <w:t>213.</w:t>
      </w:r>
      <w:r>
        <w:tab/>
        <w:t>Information and documents on ACH Directory</w:t>
      </w:r>
      <w:r>
        <w:tab/>
      </w:r>
      <w:r>
        <w:fldChar w:fldCharType="begin"/>
      </w:r>
      <w:r>
        <w:instrText xml:space="preserve"> PAGEREF _Toc154742905 \h </w:instrText>
      </w:r>
      <w:r>
        <w:fldChar w:fldCharType="separate"/>
      </w:r>
      <w:r>
        <w:t>163</w:t>
      </w:r>
      <w:r>
        <w:fldChar w:fldCharType="end"/>
      </w:r>
    </w:p>
    <w:p>
      <w:pPr>
        <w:pStyle w:val="TOC8"/>
        <w:rPr>
          <w:rFonts w:asciiTheme="minorHAnsi" w:eastAsiaTheme="minorEastAsia" w:hAnsiTheme="minorHAnsi" w:cstheme="minorBidi"/>
          <w:szCs w:val="22"/>
        </w:rPr>
      </w:pPr>
      <w:r>
        <w:lastRenderedPageBreak/>
        <w:t>214.</w:t>
      </w:r>
      <w:r>
        <w:tab/>
        <w:t>Accuracy of ACH Directory</w:t>
      </w:r>
      <w:r>
        <w:tab/>
      </w:r>
      <w:r>
        <w:fldChar w:fldCharType="begin"/>
      </w:r>
      <w:r>
        <w:instrText xml:space="preserve"> PAGEREF _Toc154742906 \h </w:instrText>
      </w:r>
      <w:r>
        <w:fldChar w:fldCharType="separate"/>
      </w:r>
      <w:r>
        <w:t>165</w:t>
      </w:r>
      <w:r>
        <w:fldChar w:fldCharType="end"/>
      </w:r>
    </w:p>
    <w:p>
      <w:pPr>
        <w:pStyle w:val="TOC8"/>
        <w:rPr>
          <w:rFonts w:asciiTheme="minorHAnsi" w:eastAsiaTheme="minorEastAsia" w:hAnsiTheme="minorHAnsi" w:cstheme="minorBidi"/>
          <w:szCs w:val="22"/>
        </w:rPr>
      </w:pPr>
      <w:r>
        <w:t>215.</w:t>
      </w:r>
      <w:r>
        <w:tab/>
        <w:t>Removing information and documents from ACH Directory</w:t>
      </w:r>
      <w:r>
        <w:tab/>
      </w:r>
      <w:r>
        <w:fldChar w:fldCharType="begin"/>
      </w:r>
      <w:r>
        <w:instrText xml:space="preserve"> PAGEREF _Toc154742907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Access to ACH Directory</w:t>
      </w:r>
    </w:p>
    <w:p>
      <w:pPr>
        <w:pStyle w:val="TOC8"/>
        <w:rPr>
          <w:rFonts w:asciiTheme="minorHAnsi" w:eastAsiaTheme="minorEastAsia" w:hAnsiTheme="minorHAnsi" w:cstheme="minorBidi"/>
          <w:szCs w:val="22"/>
        </w:rPr>
      </w:pPr>
      <w:r>
        <w:t>216.</w:t>
      </w:r>
      <w:r>
        <w:tab/>
        <w:t>Access to ACH Directory</w:t>
      </w:r>
      <w:r>
        <w:tab/>
      </w:r>
      <w:r>
        <w:fldChar w:fldCharType="begin"/>
      </w:r>
      <w:r>
        <w:instrText xml:space="preserve"> PAGEREF _Toc154742909 \h </w:instrText>
      </w:r>
      <w:r>
        <w:fldChar w:fldCharType="separate"/>
      </w:r>
      <w:r>
        <w:t>166</w:t>
      </w:r>
      <w:r>
        <w:fldChar w:fldCharType="end"/>
      </w:r>
    </w:p>
    <w:p>
      <w:pPr>
        <w:pStyle w:val="TOC8"/>
        <w:rPr>
          <w:rFonts w:asciiTheme="minorHAnsi" w:eastAsiaTheme="minorEastAsia" w:hAnsiTheme="minorHAnsi" w:cstheme="minorBidi"/>
          <w:szCs w:val="22"/>
        </w:rPr>
      </w:pPr>
      <w:r>
        <w:t>217.</w:t>
      </w:r>
      <w:r>
        <w:tab/>
        <w:t>Access for Aboriginal people</w:t>
      </w:r>
      <w:r>
        <w:tab/>
      </w:r>
      <w:r>
        <w:fldChar w:fldCharType="begin"/>
      </w:r>
      <w:r>
        <w:instrText xml:space="preserve"> PAGEREF _Toc154742910 \h </w:instrText>
      </w:r>
      <w:r>
        <w:fldChar w:fldCharType="separate"/>
      </w:r>
      <w:r>
        <w:t>167</w:t>
      </w:r>
      <w:r>
        <w:fldChar w:fldCharType="end"/>
      </w:r>
    </w:p>
    <w:p>
      <w:pPr>
        <w:pStyle w:val="TOC8"/>
        <w:rPr>
          <w:rFonts w:asciiTheme="minorHAnsi" w:eastAsiaTheme="minorEastAsia" w:hAnsiTheme="minorHAnsi" w:cstheme="minorBidi"/>
          <w:szCs w:val="22"/>
        </w:rPr>
      </w:pPr>
      <w:r>
        <w:t>218.</w:t>
      </w:r>
      <w:r>
        <w:tab/>
        <w:t>Access to information about protected areas and management of activities</w:t>
      </w:r>
      <w:r>
        <w:tab/>
      </w:r>
      <w:r>
        <w:fldChar w:fldCharType="begin"/>
      </w:r>
      <w:r>
        <w:instrText xml:space="preserve"> PAGEREF _Toc154742911 \h </w:instrText>
      </w:r>
      <w:r>
        <w:fldChar w:fldCharType="separate"/>
      </w:r>
      <w:r>
        <w:t>167</w:t>
      </w:r>
      <w:r>
        <w:fldChar w:fldCharType="end"/>
      </w:r>
    </w:p>
    <w:p>
      <w:pPr>
        <w:pStyle w:val="TOC8"/>
        <w:rPr>
          <w:rFonts w:asciiTheme="minorHAnsi" w:eastAsiaTheme="minorEastAsia" w:hAnsiTheme="minorHAnsi" w:cstheme="minorBidi"/>
          <w:szCs w:val="22"/>
        </w:rPr>
      </w:pPr>
      <w:r>
        <w:t>219.</w:t>
      </w:r>
      <w:r>
        <w:tab/>
        <w:t>Access for proponents of activities</w:t>
      </w:r>
      <w:r>
        <w:tab/>
      </w:r>
      <w:r>
        <w:fldChar w:fldCharType="begin"/>
      </w:r>
      <w:r>
        <w:instrText xml:space="preserve"> PAGEREF _Toc154742912 \h </w:instrText>
      </w:r>
      <w:r>
        <w:fldChar w:fldCharType="separate"/>
      </w:r>
      <w:r>
        <w:t>168</w:t>
      </w:r>
      <w:r>
        <w:fldChar w:fldCharType="end"/>
      </w:r>
    </w:p>
    <w:p>
      <w:pPr>
        <w:pStyle w:val="TOC8"/>
        <w:rPr>
          <w:rFonts w:asciiTheme="minorHAnsi" w:eastAsiaTheme="minorEastAsia" w:hAnsiTheme="minorHAnsi" w:cstheme="minorBidi"/>
          <w:szCs w:val="22"/>
        </w:rPr>
      </w:pPr>
      <w:r>
        <w:t>220.</w:t>
      </w:r>
      <w:r>
        <w:tab/>
        <w:t>Access for research</w:t>
      </w:r>
      <w:r>
        <w:tab/>
      </w:r>
      <w:r>
        <w:fldChar w:fldCharType="begin"/>
      </w:r>
      <w:r>
        <w:instrText xml:space="preserve"> PAGEREF _Toc154742913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t>Part 10 — Securing compliance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221.</w:t>
      </w:r>
      <w:r>
        <w:tab/>
        <w:t>Terms used</w:t>
      </w:r>
      <w:r>
        <w:tab/>
      </w:r>
      <w:r>
        <w:fldChar w:fldCharType="begin"/>
      </w:r>
      <w:r>
        <w:instrText xml:space="preserve"> PAGEREF _Toc154742916 \h </w:instrText>
      </w:r>
      <w:r>
        <w:fldChar w:fldCharType="separate"/>
      </w:r>
      <w:r>
        <w:t>170</w:t>
      </w:r>
      <w:r>
        <w:fldChar w:fldCharType="end"/>
      </w:r>
    </w:p>
    <w:p>
      <w:pPr>
        <w:pStyle w:val="TOC8"/>
        <w:rPr>
          <w:rFonts w:asciiTheme="minorHAnsi" w:eastAsiaTheme="minorEastAsia" w:hAnsiTheme="minorHAnsi" w:cstheme="minorBidi"/>
          <w:szCs w:val="22"/>
        </w:rPr>
      </w:pPr>
      <w:r>
        <w:t>222.</w:t>
      </w:r>
      <w:r>
        <w:tab/>
        <w:t>Reasonably suspects</w:t>
      </w:r>
      <w:r>
        <w:tab/>
      </w:r>
      <w:r>
        <w:fldChar w:fldCharType="begin"/>
      </w:r>
      <w:r>
        <w:instrText xml:space="preserve"> PAGEREF _Toc154742917 \h </w:instrText>
      </w:r>
      <w:r>
        <w:fldChar w:fldCharType="separate"/>
      </w:r>
      <w:r>
        <w:t>170</w:t>
      </w:r>
      <w:r>
        <w:fldChar w:fldCharType="end"/>
      </w:r>
    </w:p>
    <w:p>
      <w:pPr>
        <w:pStyle w:val="TOC8"/>
        <w:rPr>
          <w:rFonts w:asciiTheme="minorHAnsi" w:eastAsiaTheme="minorEastAsia" w:hAnsiTheme="minorHAnsi" w:cstheme="minorBidi"/>
          <w:szCs w:val="22"/>
        </w:rPr>
      </w:pPr>
      <w:r>
        <w:t>223.</w:t>
      </w:r>
      <w:r>
        <w:tab/>
        <w:t>Thing relevant to an offence</w:t>
      </w:r>
      <w:r>
        <w:tab/>
      </w:r>
      <w:r>
        <w:fldChar w:fldCharType="begin"/>
      </w:r>
      <w:r>
        <w:instrText xml:space="preserve"> PAGEREF _Toc154742918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Division 2 — Inspectors</w:t>
      </w:r>
    </w:p>
    <w:p>
      <w:pPr>
        <w:pStyle w:val="TOC8"/>
        <w:rPr>
          <w:rFonts w:asciiTheme="minorHAnsi" w:eastAsiaTheme="minorEastAsia" w:hAnsiTheme="minorHAnsi" w:cstheme="minorBidi"/>
          <w:szCs w:val="22"/>
        </w:rPr>
      </w:pPr>
      <w:r>
        <w:t>224.</w:t>
      </w:r>
      <w:r>
        <w:tab/>
        <w:t>Inspectors</w:t>
      </w:r>
      <w:r>
        <w:tab/>
      </w:r>
      <w:r>
        <w:fldChar w:fldCharType="begin"/>
      </w:r>
      <w:r>
        <w:instrText xml:space="preserve"> PAGEREF _Toc154742920 \h </w:instrText>
      </w:r>
      <w:r>
        <w:fldChar w:fldCharType="separate"/>
      </w:r>
      <w:r>
        <w:t>171</w:t>
      </w:r>
      <w:r>
        <w:fldChar w:fldCharType="end"/>
      </w:r>
    </w:p>
    <w:p>
      <w:pPr>
        <w:pStyle w:val="TOC8"/>
        <w:rPr>
          <w:rFonts w:asciiTheme="minorHAnsi" w:eastAsiaTheme="minorEastAsia" w:hAnsiTheme="minorHAnsi" w:cstheme="minorBidi"/>
          <w:szCs w:val="22"/>
        </w:rPr>
      </w:pPr>
      <w:r>
        <w:t>225.</w:t>
      </w:r>
      <w:r>
        <w:tab/>
        <w:t>Aboriginal inspectors</w:t>
      </w:r>
      <w:r>
        <w:tab/>
      </w:r>
      <w:r>
        <w:fldChar w:fldCharType="begin"/>
      </w:r>
      <w:r>
        <w:instrText xml:space="preserve"> PAGEREF _Toc154742921 \h </w:instrText>
      </w:r>
      <w:r>
        <w:fldChar w:fldCharType="separate"/>
      </w:r>
      <w:r>
        <w:t>172</w:t>
      </w:r>
      <w:r>
        <w:fldChar w:fldCharType="end"/>
      </w:r>
    </w:p>
    <w:p>
      <w:pPr>
        <w:pStyle w:val="TOC8"/>
        <w:rPr>
          <w:rFonts w:asciiTheme="minorHAnsi" w:eastAsiaTheme="minorEastAsia" w:hAnsiTheme="minorHAnsi" w:cstheme="minorBidi"/>
          <w:szCs w:val="22"/>
        </w:rPr>
      </w:pPr>
      <w:r>
        <w:t>226.</w:t>
      </w:r>
      <w:r>
        <w:tab/>
        <w:t>Identity cards</w:t>
      </w:r>
      <w:r>
        <w:tab/>
      </w:r>
      <w:r>
        <w:fldChar w:fldCharType="begin"/>
      </w:r>
      <w:r>
        <w:instrText xml:space="preserve"> PAGEREF _Toc154742922 \h </w:instrText>
      </w:r>
      <w:r>
        <w:fldChar w:fldCharType="separate"/>
      </w:r>
      <w:r>
        <w:t>172</w:t>
      </w:r>
      <w:r>
        <w:fldChar w:fldCharType="end"/>
      </w:r>
    </w:p>
    <w:p>
      <w:pPr>
        <w:pStyle w:val="TOC8"/>
        <w:rPr>
          <w:rFonts w:asciiTheme="minorHAnsi" w:eastAsiaTheme="minorEastAsia" w:hAnsiTheme="minorHAnsi" w:cstheme="minorBidi"/>
          <w:szCs w:val="22"/>
        </w:rPr>
      </w:pPr>
      <w:r>
        <w:t>227.</w:t>
      </w:r>
      <w:r>
        <w:tab/>
        <w:t>Production or display of identity card</w:t>
      </w:r>
      <w:r>
        <w:tab/>
      </w:r>
      <w:r>
        <w:fldChar w:fldCharType="begin"/>
      </w:r>
      <w:r>
        <w:instrText xml:space="preserve"> PAGEREF _Toc154742923 \h </w:instrText>
      </w:r>
      <w:r>
        <w:fldChar w:fldCharType="separate"/>
      </w:r>
      <w:r>
        <w:t>173</w:t>
      </w:r>
      <w:r>
        <w:fldChar w:fldCharType="end"/>
      </w:r>
    </w:p>
    <w:p>
      <w:pPr>
        <w:pStyle w:val="TOC8"/>
        <w:rPr>
          <w:rFonts w:asciiTheme="minorHAnsi" w:eastAsiaTheme="minorEastAsia" w:hAnsiTheme="minorHAnsi" w:cstheme="minorBidi"/>
          <w:szCs w:val="22"/>
        </w:rPr>
      </w:pPr>
      <w:r>
        <w:t>228.</w:t>
      </w:r>
      <w:r>
        <w:tab/>
        <w:t>Police officers have powers of inspectors</w:t>
      </w:r>
      <w:r>
        <w:tab/>
      </w:r>
      <w:r>
        <w:fldChar w:fldCharType="begin"/>
      </w:r>
      <w:r>
        <w:instrText xml:space="preserve"> PAGEREF _Toc154742924 \h </w:instrText>
      </w:r>
      <w:r>
        <w:fldChar w:fldCharType="separate"/>
      </w:r>
      <w:r>
        <w:t>174</w:t>
      </w:r>
      <w:r>
        <w:fldChar w:fldCharType="end"/>
      </w:r>
    </w:p>
    <w:p>
      <w:pPr>
        <w:pStyle w:val="TOC8"/>
        <w:rPr>
          <w:rFonts w:asciiTheme="minorHAnsi" w:eastAsiaTheme="minorEastAsia" w:hAnsiTheme="minorHAnsi" w:cstheme="minorBidi"/>
          <w:szCs w:val="22"/>
        </w:rPr>
      </w:pPr>
      <w:r>
        <w:t>229.</w:t>
      </w:r>
      <w:r>
        <w:tab/>
        <w:t>Impersonating an inspector or an Aboriginal inspector</w:t>
      </w:r>
      <w:r>
        <w:tab/>
      </w:r>
      <w:r>
        <w:fldChar w:fldCharType="begin"/>
      </w:r>
      <w:r>
        <w:instrText xml:space="preserve"> PAGEREF _Toc154742925 \h </w:instrText>
      </w:r>
      <w:r>
        <w:fldChar w:fldCharType="separate"/>
      </w:r>
      <w:r>
        <w:t>174</w:t>
      </w:r>
      <w:r>
        <w:fldChar w:fldCharType="end"/>
      </w:r>
    </w:p>
    <w:p>
      <w:pPr>
        <w:pStyle w:val="TOC4"/>
        <w:tabs>
          <w:tab w:val="right" w:leader="dot" w:pos="7077"/>
        </w:tabs>
        <w:rPr>
          <w:rFonts w:asciiTheme="minorHAnsi" w:eastAsiaTheme="minorEastAsia" w:hAnsiTheme="minorHAnsi" w:cstheme="minorBidi"/>
          <w:b w:val="0"/>
          <w:szCs w:val="22"/>
        </w:rPr>
      </w:pPr>
      <w:r>
        <w:t>Division 3 — Inspection and related powers</w:t>
      </w:r>
    </w:p>
    <w:p>
      <w:pPr>
        <w:pStyle w:val="TOC8"/>
        <w:rPr>
          <w:rFonts w:asciiTheme="minorHAnsi" w:eastAsiaTheme="minorEastAsia" w:hAnsiTheme="minorHAnsi" w:cstheme="minorBidi"/>
          <w:szCs w:val="22"/>
        </w:rPr>
      </w:pPr>
      <w:r>
        <w:t>230.</w:t>
      </w:r>
      <w:r>
        <w:tab/>
        <w:t>Purposes for which inspection may be carried out</w:t>
      </w:r>
      <w:r>
        <w:tab/>
      </w:r>
      <w:r>
        <w:fldChar w:fldCharType="begin"/>
      </w:r>
      <w:r>
        <w:instrText xml:space="preserve"> PAGEREF _Toc154742927 \h </w:instrText>
      </w:r>
      <w:r>
        <w:fldChar w:fldCharType="separate"/>
      </w:r>
      <w:r>
        <w:t>174</w:t>
      </w:r>
      <w:r>
        <w:fldChar w:fldCharType="end"/>
      </w:r>
    </w:p>
    <w:p>
      <w:pPr>
        <w:pStyle w:val="TOC8"/>
        <w:rPr>
          <w:rFonts w:asciiTheme="minorHAnsi" w:eastAsiaTheme="minorEastAsia" w:hAnsiTheme="minorHAnsi" w:cstheme="minorBidi"/>
          <w:szCs w:val="22"/>
        </w:rPr>
      </w:pPr>
      <w:r>
        <w:t>231.</w:t>
      </w:r>
      <w:r>
        <w:tab/>
        <w:t>Power to enter places</w:t>
      </w:r>
      <w:r>
        <w:tab/>
      </w:r>
      <w:r>
        <w:fldChar w:fldCharType="begin"/>
      </w:r>
      <w:r>
        <w:instrText xml:space="preserve"> PAGEREF _Toc154742928 \h </w:instrText>
      </w:r>
      <w:r>
        <w:fldChar w:fldCharType="separate"/>
      </w:r>
      <w:r>
        <w:t>174</w:t>
      </w:r>
      <w:r>
        <w:fldChar w:fldCharType="end"/>
      </w:r>
    </w:p>
    <w:p>
      <w:pPr>
        <w:pStyle w:val="TOC8"/>
        <w:rPr>
          <w:rFonts w:asciiTheme="minorHAnsi" w:eastAsiaTheme="minorEastAsia" w:hAnsiTheme="minorHAnsi" w:cstheme="minorBidi"/>
          <w:szCs w:val="22"/>
        </w:rPr>
      </w:pPr>
      <w:r>
        <w:t>232.</w:t>
      </w:r>
      <w:r>
        <w:tab/>
        <w:t>Entering Aboriginal places</w:t>
      </w:r>
      <w:r>
        <w:tab/>
      </w:r>
      <w:r>
        <w:fldChar w:fldCharType="begin"/>
      </w:r>
      <w:r>
        <w:instrText xml:space="preserve"> PAGEREF _Toc154742929 \h </w:instrText>
      </w:r>
      <w:r>
        <w:fldChar w:fldCharType="separate"/>
      </w:r>
      <w:r>
        <w:t>175</w:t>
      </w:r>
      <w:r>
        <w:fldChar w:fldCharType="end"/>
      </w:r>
    </w:p>
    <w:p>
      <w:pPr>
        <w:pStyle w:val="TOC8"/>
        <w:rPr>
          <w:rFonts w:asciiTheme="minorHAnsi" w:eastAsiaTheme="minorEastAsia" w:hAnsiTheme="minorHAnsi" w:cstheme="minorBidi"/>
          <w:szCs w:val="22"/>
        </w:rPr>
      </w:pPr>
      <w:r>
        <w:t>233.</w:t>
      </w:r>
      <w:r>
        <w:tab/>
        <w:t>Power to enter includes power to enter some other places</w:t>
      </w:r>
      <w:r>
        <w:tab/>
      </w:r>
      <w:r>
        <w:fldChar w:fldCharType="begin"/>
      </w:r>
      <w:r>
        <w:instrText xml:space="preserve"> PAGEREF _Toc154742930 \h </w:instrText>
      </w:r>
      <w:r>
        <w:fldChar w:fldCharType="separate"/>
      </w:r>
      <w:r>
        <w:t>176</w:t>
      </w:r>
      <w:r>
        <w:fldChar w:fldCharType="end"/>
      </w:r>
    </w:p>
    <w:p>
      <w:pPr>
        <w:pStyle w:val="TOC8"/>
        <w:rPr>
          <w:rFonts w:asciiTheme="minorHAnsi" w:eastAsiaTheme="minorEastAsia" w:hAnsiTheme="minorHAnsi" w:cstheme="minorBidi"/>
          <w:szCs w:val="22"/>
        </w:rPr>
      </w:pPr>
      <w:r>
        <w:t>234.</w:t>
      </w:r>
      <w:r>
        <w:tab/>
        <w:t>Power to stop and enter vehicles, and ancillary powers</w:t>
      </w:r>
      <w:r>
        <w:tab/>
      </w:r>
      <w:r>
        <w:fldChar w:fldCharType="begin"/>
      </w:r>
      <w:r>
        <w:instrText xml:space="preserve"> PAGEREF _Toc154742931 \h </w:instrText>
      </w:r>
      <w:r>
        <w:fldChar w:fldCharType="separate"/>
      </w:r>
      <w:r>
        <w:t>176</w:t>
      </w:r>
      <w:r>
        <w:fldChar w:fldCharType="end"/>
      </w:r>
    </w:p>
    <w:p>
      <w:pPr>
        <w:pStyle w:val="TOC8"/>
        <w:rPr>
          <w:rFonts w:asciiTheme="minorHAnsi" w:eastAsiaTheme="minorEastAsia" w:hAnsiTheme="minorHAnsi" w:cstheme="minorBidi"/>
          <w:szCs w:val="22"/>
        </w:rPr>
      </w:pPr>
      <w:r>
        <w:t>235.</w:t>
      </w:r>
      <w:r>
        <w:tab/>
        <w:t>Application of CI Act s. 31</w:t>
      </w:r>
      <w:r>
        <w:tab/>
      </w:r>
      <w:r>
        <w:fldChar w:fldCharType="begin"/>
      </w:r>
      <w:r>
        <w:instrText xml:space="preserve"> PAGEREF _Toc154742932 \h </w:instrText>
      </w:r>
      <w:r>
        <w:fldChar w:fldCharType="separate"/>
      </w:r>
      <w:r>
        <w:t>176</w:t>
      </w:r>
      <w:r>
        <w:fldChar w:fldCharType="end"/>
      </w:r>
    </w:p>
    <w:p>
      <w:pPr>
        <w:pStyle w:val="TOC8"/>
        <w:rPr>
          <w:rFonts w:asciiTheme="minorHAnsi" w:eastAsiaTheme="minorEastAsia" w:hAnsiTheme="minorHAnsi" w:cstheme="minorBidi"/>
          <w:szCs w:val="22"/>
        </w:rPr>
      </w:pPr>
      <w:r>
        <w:t>236.</w:t>
      </w:r>
      <w:r>
        <w:tab/>
        <w:t>Other powers related to inspection</w:t>
      </w:r>
      <w:r>
        <w:tab/>
      </w:r>
      <w:r>
        <w:fldChar w:fldCharType="begin"/>
      </w:r>
      <w:r>
        <w:instrText xml:space="preserve"> PAGEREF _Toc154742933 \h </w:instrText>
      </w:r>
      <w:r>
        <w:fldChar w:fldCharType="separate"/>
      </w:r>
      <w:r>
        <w:t>177</w:t>
      </w:r>
      <w:r>
        <w:fldChar w:fldCharType="end"/>
      </w:r>
    </w:p>
    <w:p>
      <w:pPr>
        <w:pStyle w:val="TOC8"/>
        <w:rPr>
          <w:rFonts w:asciiTheme="minorHAnsi" w:eastAsiaTheme="minorEastAsia" w:hAnsiTheme="minorHAnsi" w:cstheme="minorBidi"/>
          <w:szCs w:val="22"/>
        </w:rPr>
      </w:pPr>
      <w:r>
        <w:t>237.</w:t>
      </w:r>
      <w:r>
        <w:tab/>
        <w:t>Obtaining records</w:t>
      </w:r>
      <w:r>
        <w:tab/>
      </w:r>
      <w:r>
        <w:fldChar w:fldCharType="begin"/>
      </w:r>
      <w:r>
        <w:instrText xml:space="preserve"> PAGEREF _Toc154742934 \h </w:instrText>
      </w:r>
      <w:r>
        <w:fldChar w:fldCharType="separate"/>
      </w:r>
      <w:r>
        <w:t>178</w:t>
      </w:r>
      <w:r>
        <w:fldChar w:fldCharType="end"/>
      </w:r>
    </w:p>
    <w:p>
      <w:pPr>
        <w:pStyle w:val="TOC8"/>
        <w:rPr>
          <w:rFonts w:asciiTheme="minorHAnsi" w:eastAsiaTheme="minorEastAsia" w:hAnsiTheme="minorHAnsi" w:cstheme="minorBidi"/>
          <w:szCs w:val="22"/>
        </w:rPr>
      </w:pPr>
      <w:r>
        <w:t>238.</w:t>
      </w:r>
      <w:r>
        <w:tab/>
        <w:t>Directions</w:t>
      </w:r>
      <w:r>
        <w:tab/>
      </w:r>
      <w:r>
        <w:fldChar w:fldCharType="begin"/>
      </w:r>
      <w:r>
        <w:instrText xml:space="preserve"> PAGEREF _Toc154742935 \h </w:instrText>
      </w:r>
      <w:r>
        <w:fldChar w:fldCharType="separate"/>
      </w:r>
      <w:r>
        <w:t>179</w:t>
      </w:r>
      <w:r>
        <w:fldChar w:fldCharType="end"/>
      </w:r>
    </w:p>
    <w:p>
      <w:pPr>
        <w:pStyle w:val="TOC8"/>
        <w:rPr>
          <w:rFonts w:asciiTheme="minorHAnsi" w:eastAsiaTheme="minorEastAsia" w:hAnsiTheme="minorHAnsi" w:cstheme="minorBidi"/>
          <w:szCs w:val="22"/>
        </w:rPr>
      </w:pPr>
      <w:r>
        <w:t>239.</w:t>
      </w:r>
      <w:r>
        <w:tab/>
        <w:t>Seizure of thing relevant to an offence</w:t>
      </w:r>
      <w:r>
        <w:tab/>
      </w:r>
      <w:r>
        <w:fldChar w:fldCharType="begin"/>
      </w:r>
      <w:r>
        <w:instrText xml:space="preserve"> PAGEREF _Toc154742936 \h </w:instrText>
      </w:r>
      <w:r>
        <w:fldChar w:fldCharType="separate"/>
      </w:r>
      <w:r>
        <w:t>180</w:t>
      </w:r>
      <w:r>
        <w:fldChar w:fldCharType="end"/>
      </w:r>
    </w:p>
    <w:p>
      <w:pPr>
        <w:pStyle w:val="TOC8"/>
        <w:rPr>
          <w:rFonts w:asciiTheme="minorHAnsi" w:eastAsiaTheme="minorEastAsia" w:hAnsiTheme="minorHAnsi" w:cstheme="minorBidi"/>
          <w:szCs w:val="22"/>
        </w:rPr>
      </w:pPr>
      <w:r>
        <w:t>240.</w:t>
      </w:r>
      <w:r>
        <w:tab/>
        <w:t>Security of seized things</w:t>
      </w:r>
      <w:r>
        <w:tab/>
      </w:r>
      <w:r>
        <w:fldChar w:fldCharType="begin"/>
      </w:r>
      <w:r>
        <w:instrText xml:space="preserve"> PAGEREF _Toc154742937 \h </w:instrText>
      </w:r>
      <w:r>
        <w:fldChar w:fldCharType="separate"/>
      </w:r>
      <w:r>
        <w:t>181</w:t>
      </w:r>
      <w:r>
        <w:fldChar w:fldCharType="end"/>
      </w:r>
    </w:p>
    <w:p>
      <w:pPr>
        <w:pStyle w:val="TOC8"/>
        <w:rPr>
          <w:rFonts w:asciiTheme="minorHAnsi" w:eastAsiaTheme="minorEastAsia" w:hAnsiTheme="minorHAnsi" w:cstheme="minorBidi"/>
          <w:szCs w:val="22"/>
        </w:rPr>
      </w:pPr>
      <w:r>
        <w:t>241.</w:t>
      </w:r>
      <w:r>
        <w:tab/>
        <w:t>Dealing with seized things</w:t>
      </w:r>
      <w:r>
        <w:tab/>
      </w:r>
      <w:r>
        <w:fldChar w:fldCharType="begin"/>
      </w:r>
      <w:r>
        <w:instrText xml:space="preserve"> PAGEREF _Toc154742938 \h </w:instrText>
      </w:r>
      <w:r>
        <w:fldChar w:fldCharType="separate"/>
      </w:r>
      <w:r>
        <w:t>182</w:t>
      </w:r>
      <w:r>
        <w:fldChar w:fldCharType="end"/>
      </w:r>
    </w:p>
    <w:p>
      <w:pPr>
        <w:pStyle w:val="TOC8"/>
        <w:rPr>
          <w:rFonts w:asciiTheme="minorHAnsi" w:eastAsiaTheme="minorEastAsia" w:hAnsiTheme="minorHAnsi" w:cstheme="minorBidi"/>
          <w:szCs w:val="22"/>
        </w:rPr>
      </w:pPr>
      <w:r>
        <w:lastRenderedPageBreak/>
        <w:t>242.</w:t>
      </w:r>
      <w:r>
        <w:tab/>
        <w:t>Dealing with Aboriginal ancestral remains</w:t>
      </w:r>
      <w:r>
        <w:tab/>
      </w:r>
      <w:r>
        <w:fldChar w:fldCharType="begin"/>
      </w:r>
      <w:r>
        <w:instrText xml:space="preserve"> PAGEREF _Toc154742939 \h </w:instrText>
      </w:r>
      <w:r>
        <w:fldChar w:fldCharType="separate"/>
      </w:r>
      <w:r>
        <w:t>183</w:t>
      </w:r>
      <w:r>
        <w:fldChar w:fldCharType="end"/>
      </w:r>
    </w:p>
    <w:p>
      <w:pPr>
        <w:pStyle w:val="TOC8"/>
        <w:rPr>
          <w:rFonts w:asciiTheme="minorHAnsi" w:eastAsiaTheme="minorEastAsia" w:hAnsiTheme="minorHAnsi" w:cstheme="minorBidi"/>
          <w:szCs w:val="22"/>
        </w:rPr>
      </w:pPr>
      <w:r>
        <w:t>243.</w:t>
      </w:r>
      <w:r>
        <w:tab/>
        <w:t>Forensic examination</w:t>
      </w:r>
      <w:r>
        <w:tab/>
      </w:r>
      <w:r>
        <w:fldChar w:fldCharType="begin"/>
      </w:r>
      <w:r>
        <w:instrText xml:space="preserve"> PAGEREF _Toc154742940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t>Division 4 — Entry warrants</w:t>
      </w:r>
    </w:p>
    <w:p>
      <w:pPr>
        <w:pStyle w:val="TOC8"/>
        <w:rPr>
          <w:rFonts w:asciiTheme="minorHAnsi" w:eastAsiaTheme="minorEastAsia" w:hAnsiTheme="minorHAnsi" w:cstheme="minorBidi"/>
          <w:szCs w:val="22"/>
        </w:rPr>
      </w:pPr>
      <w:r>
        <w:t>244.</w:t>
      </w:r>
      <w:r>
        <w:tab/>
        <w:t>Applying for entry warrant</w:t>
      </w:r>
      <w:r>
        <w:tab/>
      </w:r>
      <w:r>
        <w:fldChar w:fldCharType="begin"/>
      </w:r>
      <w:r>
        <w:instrText xml:space="preserve"> PAGEREF _Toc154742942 \h </w:instrText>
      </w:r>
      <w:r>
        <w:fldChar w:fldCharType="separate"/>
      </w:r>
      <w:r>
        <w:t>184</w:t>
      </w:r>
      <w:r>
        <w:fldChar w:fldCharType="end"/>
      </w:r>
    </w:p>
    <w:p>
      <w:pPr>
        <w:pStyle w:val="TOC8"/>
        <w:rPr>
          <w:rFonts w:asciiTheme="minorHAnsi" w:eastAsiaTheme="minorEastAsia" w:hAnsiTheme="minorHAnsi" w:cstheme="minorBidi"/>
          <w:szCs w:val="22"/>
        </w:rPr>
      </w:pPr>
      <w:r>
        <w:t>245.</w:t>
      </w:r>
      <w:r>
        <w:tab/>
        <w:t>Making application for entry warrant</w:t>
      </w:r>
      <w:r>
        <w:tab/>
      </w:r>
      <w:r>
        <w:fldChar w:fldCharType="begin"/>
      </w:r>
      <w:r>
        <w:instrText xml:space="preserve"> PAGEREF _Toc154742943 \h </w:instrText>
      </w:r>
      <w:r>
        <w:fldChar w:fldCharType="separate"/>
      </w:r>
      <w:r>
        <w:t>184</w:t>
      </w:r>
      <w:r>
        <w:fldChar w:fldCharType="end"/>
      </w:r>
    </w:p>
    <w:p>
      <w:pPr>
        <w:pStyle w:val="TOC8"/>
        <w:rPr>
          <w:rFonts w:asciiTheme="minorHAnsi" w:eastAsiaTheme="minorEastAsia" w:hAnsiTheme="minorHAnsi" w:cstheme="minorBidi"/>
          <w:szCs w:val="22"/>
        </w:rPr>
      </w:pPr>
      <w:r>
        <w:t>246.</w:t>
      </w:r>
      <w:r>
        <w:tab/>
        <w:t>Further provisions relating to application for entry warrant</w:t>
      </w:r>
      <w:r>
        <w:tab/>
      </w:r>
      <w:r>
        <w:fldChar w:fldCharType="begin"/>
      </w:r>
      <w:r>
        <w:instrText xml:space="preserve"> PAGEREF _Toc154742944 \h </w:instrText>
      </w:r>
      <w:r>
        <w:fldChar w:fldCharType="separate"/>
      </w:r>
      <w:r>
        <w:t>186</w:t>
      </w:r>
      <w:r>
        <w:fldChar w:fldCharType="end"/>
      </w:r>
    </w:p>
    <w:p>
      <w:pPr>
        <w:pStyle w:val="TOC8"/>
        <w:rPr>
          <w:rFonts w:asciiTheme="minorHAnsi" w:eastAsiaTheme="minorEastAsia" w:hAnsiTheme="minorHAnsi" w:cstheme="minorBidi"/>
          <w:szCs w:val="22"/>
        </w:rPr>
      </w:pPr>
      <w:r>
        <w:t>247.</w:t>
      </w:r>
      <w:r>
        <w:tab/>
        <w:t>Issuing entry warrant</w:t>
      </w:r>
      <w:r>
        <w:tab/>
      </w:r>
      <w:r>
        <w:fldChar w:fldCharType="begin"/>
      </w:r>
      <w:r>
        <w:instrText xml:space="preserve"> PAGEREF _Toc154742945 \h </w:instrText>
      </w:r>
      <w:r>
        <w:fldChar w:fldCharType="separate"/>
      </w:r>
      <w:r>
        <w:t>187</w:t>
      </w:r>
      <w:r>
        <w:fldChar w:fldCharType="end"/>
      </w:r>
    </w:p>
    <w:p>
      <w:pPr>
        <w:pStyle w:val="TOC8"/>
        <w:rPr>
          <w:rFonts w:asciiTheme="minorHAnsi" w:eastAsiaTheme="minorEastAsia" w:hAnsiTheme="minorHAnsi" w:cstheme="minorBidi"/>
          <w:szCs w:val="22"/>
        </w:rPr>
      </w:pPr>
      <w:r>
        <w:t>248.</w:t>
      </w:r>
      <w:r>
        <w:tab/>
        <w:t>Effect of entry warrant</w:t>
      </w:r>
      <w:r>
        <w:tab/>
      </w:r>
      <w:r>
        <w:fldChar w:fldCharType="begin"/>
      </w:r>
      <w:r>
        <w:instrText xml:space="preserve"> PAGEREF _Toc154742946 \h </w:instrText>
      </w:r>
      <w:r>
        <w:fldChar w:fldCharType="separate"/>
      </w:r>
      <w:r>
        <w:t>187</w:t>
      </w:r>
      <w:r>
        <w:fldChar w:fldCharType="end"/>
      </w:r>
    </w:p>
    <w:p>
      <w:pPr>
        <w:pStyle w:val="TOC8"/>
        <w:rPr>
          <w:rFonts w:asciiTheme="minorHAnsi" w:eastAsiaTheme="minorEastAsia" w:hAnsiTheme="minorHAnsi" w:cstheme="minorBidi"/>
          <w:szCs w:val="22"/>
        </w:rPr>
      </w:pPr>
      <w:r>
        <w:t>249.</w:t>
      </w:r>
      <w:r>
        <w:tab/>
        <w:t>Execution of entry warrant</w:t>
      </w:r>
      <w:r>
        <w:tab/>
      </w:r>
      <w:r>
        <w:fldChar w:fldCharType="begin"/>
      </w:r>
      <w:r>
        <w:instrText xml:space="preserve"> PAGEREF _Toc154742947 \h </w:instrText>
      </w:r>
      <w:r>
        <w:fldChar w:fldCharType="separate"/>
      </w:r>
      <w:r>
        <w:t>188</w:t>
      </w:r>
      <w:r>
        <w:fldChar w:fldCharType="end"/>
      </w:r>
    </w:p>
    <w:p>
      <w:pPr>
        <w:pStyle w:val="TOC4"/>
        <w:tabs>
          <w:tab w:val="right" w:leader="dot" w:pos="7077"/>
        </w:tabs>
        <w:rPr>
          <w:rFonts w:asciiTheme="minorHAnsi" w:eastAsiaTheme="minorEastAsia" w:hAnsiTheme="minorHAnsi" w:cstheme="minorBidi"/>
          <w:b w:val="0"/>
          <w:szCs w:val="22"/>
        </w:rPr>
      </w:pPr>
      <w:r>
        <w:t>Division 5 — Other provisions</w:t>
      </w:r>
    </w:p>
    <w:p>
      <w:pPr>
        <w:pStyle w:val="TOC8"/>
        <w:rPr>
          <w:rFonts w:asciiTheme="minorHAnsi" w:eastAsiaTheme="minorEastAsia" w:hAnsiTheme="minorHAnsi" w:cstheme="minorBidi"/>
          <w:szCs w:val="22"/>
        </w:rPr>
      </w:pPr>
      <w:r>
        <w:t>250.</w:t>
      </w:r>
      <w:r>
        <w:tab/>
        <w:t>Direction may be given orally or in writing</w:t>
      </w:r>
      <w:r>
        <w:tab/>
      </w:r>
      <w:r>
        <w:fldChar w:fldCharType="begin"/>
      </w:r>
      <w:r>
        <w:instrText xml:space="preserve"> PAGEREF _Toc154742949 \h </w:instrText>
      </w:r>
      <w:r>
        <w:fldChar w:fldCharType="separate"/>
      </w:r>
      <w:r>
        <w:t>188</w:t>
      </w:r>
      <w:r>
        <w:fldChar w:fldCharType="end"/>
      </w:r>
    </w:p>
    <w:p>
      <w:pPr>
        <w:pStyle w:val="TOC8"/>
        <w:rPr>
          <w:rFonts w:asciiTheme="minorHAnsi" w:eastAsiaTheme="minorEastAsia" w:hAnsiTheme="minorHAnsi" w:cstheme="minorBidi"/>
          <w:szCs w:val="22"/>
        </w:rPr>
      </w:pPr>
      <w:r>
        <w:t>251.</w:t>
      </w:r>
      <w:r>
        <w:tab/>
        <w:t>Time and place for compliance with direction</w:t>
      </w:r>
      <w:r>
        <w:tab/>
      </w:r>
      <w:r>
        <w:fldChar w:fldCharType="begin"/>
      </w:r>
      <w:r>
        <w:instrText xml:space="preserve"> PAGEREF _Toc154742950 \h </w:instrText>
      </w:r>
      <w:r>
        <w:fldChar w:fldCharType="separate"/>
      </w:r>
      <w:r>
        <w:t>188</w:t>
      </w:r>
      <w:r>
        <w:fldChar w:fldCharType="end"/>
      </w:r>
    </w:p>
    <w:p>
      <w:pPr>
        <w:pStyle w:val="TOC8"/>
        <w:rPr>
          <w:rFonts w:asciiTheme="minorHAnsi" w:eastAsiaTheme="minorEastAsia" w:hAnsiTheme="minorHAnsi" w:cstheme="minorBidi"/>
          <w:szCs w:val="22"/>
        </w:rPr>
      </w:pPr>
      <w:r>
        <w:t>252.</w:t>
      </w:r>
      <w:r>
        <w:tab/>
        <w:t>Contravention of directions</w:t>
      </w:r>
      <w:r>
        <w:tab/>
      </w:r>
      <w:r>
        <w:fldChar w:fldCharType="begin"/>
      </w:r>
      <w:r>
        <w:instrText xml:space="preserve"> PAGEREF _Toc154742951 \h </w:instrText>
      </w:r>
      <w:r>
        <w:fldChar w:fldCharType="separate"/>
      </w:r>
      <w:r>
        <w:t>188</w:t>
      </w:r>
      <w:r>
        <w:fldChar w:fldCharType="end"/>
      </w:r>
    </w:p>
    <w:p>
      <w:pPr>
        <w:pStyle w:val="TOC8"/>
        <w:rPr>
          <w:rFonts w:asciiTheme="minorHAnsi" w:eastAsiaTheme="minorEastAsia" w:hAnsiTheme="minorHAnsi" w:cstheme="minorBidi"/>
          <w:szCs w:val="22"/>
        </w:rPr>
      </w:pPr>
      <w:r>
        <w:t>253.</w:t>
      </w:r>
      <w:r>
        <w:tab/>
        <w:t>Exercise of power may be recorded</w:t>
      </w:r>
      <w:r>
        <w:tab/>
      </w:r>
      <w:r>
        <w:fldChar w:fldCharType="begin"/>
      </w:r>
      <w:r>
        <w:instrText xml:space="preserve"> PAGEREF _Toc154742952 \h </w:instrText>
      </w:r>
      <w:r>
        <w:fldChar w:fldCharType="separate"/>
      </w:r>
      <w:r>
        <w:t>188</w:t>
      </w:r>
      <w:r>
        <w:fldChar w:fldCharType="end"/>
      </w:r>
    </w:p>
    <w:p>
      <w:pPr>
        <w:pStyle w:val="TOC8"/>
        <w:rPr>
          <w:rFonts w:asciiTheme="minorHAnsi" w:eastAsiaTheme="minorEastAsia" w:hAnsiTheme="minorHAnsi" w:cstheme="minorBidi"/>
          <w:szCs w:val="22"/>
        </w:rPr>
      </w:pPr>
      <w:r>
        <w:t>254.</w:t>
      </w:r>
      <w:r>
        <w:tab/>
        <w:t>Assistance to exercise powers</w:t>
      </w:r>
      <w:r>
        <w:tab/>
      </w:r>
      <w:r>
        <w:fldChar w:fldCharType="begin"/>
      </w:r>
      <w:r>
        <w:instrText xml:space="preserve"> PAGEREF _Toc154742953 \h </w:instrText>
      </w:r>
      <w:r>
        <w:fldChar w:fldCharType="separate"/>
      </w:r>
      <w:r>
        <w:t>189</w:t>
      </w:r>
      <w:r>
        <w:fldChar w:fldCharType="end"/>
      </w:r>
    </w:p>
    <w:p>
      <w:pPr>
        <w:pStyle w:val="TOC8"/>
        <w:rPr>
          <w:rFonts w:asciiTheme="minorHAnsi" w:eastAsiaTheme="minorEastAsia" w:hAnsiTheme="minorHAnsi" w:cstheme="minorBidi"/>
          <w:szCs w:val="22"/>
        </w:rPr>
      </w:pPr>
      <w:r>
        <w:t>255.</w:t>
      </w:r>
      <w:r>
        <w:tab/>
        <w:t>Application of CI Act s. 154 and 155</w:t>
      </w:r>
      <w:r>
        <w:tab/>
      </w:r>
      <w:r>
        <w:fldChar w:fldCharType="begin"/>
      </w:r>
      <w:r>
        <w:instrText xml:space="preserve"> PAGEREF _Toc154742954 \h </w:instrText>
      </w:r>
      <w:r>
        <w:fldChar w:fldCharType="separate"/>
      </w:r>
      <w:r>
        <w:t>189</w:t>
      </w:r>
      <w:r>
        <w:fldChar w:fldCharType="end"/>
      </w:r>
    </w:p>
    <w:p>
      <w:pPr>
        <w:pStyle w:val="TOC8"/>
        <w:rPr>
          <w:rFonts w:asciiTheme="minorHAnsi" w:eastAsiaTheme="minorEastAsia" w:hAnsiTheme="minorHAnsi" w:cstheme="minorBidi"/>
          <w:szCs w:val="22"/>
        </w:rPr>
      </w:pPr>
      <w:r>
        <w:t>256.</w:t>
      </w:r>
      <w:r>
        <w:tab/>
        <w:t>Obstruction of inspector</w:t>
      </w:r>
      <w:r>
        <w:tab/>
      </w:r>
      <w:r>
        <w:fldChar w:fldCharType="begin"/>
      </w:r>
      <w:r>
        <w:instrText xml:space="preserve"> PAGEREF _Toc154742955 \h </w:instrText>
      </w:r>
      <w:r>
        <w:fldChar w:fldCharType="separate"/>
      </w:r>
      <w:r>
        <w:t>189</w:t>
      </w:r>
      <w:r>
        <w:fldChar w:fldCharType="end"/>
      </w:r>
    </w:p>
    <w:p>
      <w:pPr>
        <w:pStyle w:val="TOC8"/>
        <w:rPr>
          <w:rFonts w:asciiTheme="minorHAnsi" w:eastAsiaTheme="minorEastAsia" w:hAnsiTheme="minorHAnsi" w:cstheme="minorBidi"/>
          <w:szCs w:val="22"/>
        </w:rPr>
      </w:pPr>
      <w:r>
        <w:t>257.</w:t>
      </w:r>
      <w:r>
        <w:tab/>
        <w:t>Self</w:t>
      </w:r>
      <w:r>
        <w:noBreakHyphen/>
        <w:t>incrimination not an excuse</w:t>
      </w:r>
      <w:r>
        <w:tab/>
      </w:r>
      <w:r>
        <w:fldChar w:fldCharType="begin"/>
      </w:r>
      <w:r>
        <w:instrText xml:space="preserve"> PAGEREF _Toc154742956 \h </w:instrText>
      </w:r>
      <w:r>
        <w:fldChar w:fldCharType="separate"/>
      </w:r>
      <w:r>
        <w:t>190</w:t>
      </w:r>
      <w:r>
        <w:fldChar w:fldCharType="end"/>
      </w:r>
    </w:p>
    <w:p>
      <w:pPr>
        <w:pStyle w:val="TOC8"/>
        <w:rPr>
          <w:rFonts w:asciiTheme="minorHAnsi" w:eastAsiaTheme="minorEastAsia" w:hAnsiTheme="minorHAnsi" w:cstheme="minorBidi"/>
          <w:szCs w:val="22"/>
        </w:rPr>
      </w:pPr>
      <w:r>
        <w:t>258.</w:t>
      </w:r>
      <w:r>
        <w:tab/>
        <w:t>Orders for forfeiture or disposal of seized things</w:t>
      </w:r>
      <w:r>
        <w:tab/>
      </w:r>
      <w:r>
        <w:fldChar w:fldCharType="begin"/>
      </w:r>
      <w:r>
        <w:instrText xml:space="preserve"> PAGEREF _Toc154742957 \h </w:instrText>
      </w:r>
      <w:r>
        <w:fldChar w:fldCharType="separate"/>
      </w:r>
      <w:r>
        <w:t>190</w:t>
      </w:r>
      <w:r>
        <w:fldChar w:fldCharType="end"/>
      </w:r>
    </w:p>
    <w:p>
      <w:pPr>
        <w:pStyle w:val="TOC8"/>
        <w:rPr>
          <w:rFonts w:asciiTheme="minorHAnsi" w:eastAsiaTheme="minorEastAsia" w:hAnsiTheme="minorHAnsi" w:cstheme="minorBidi"/>
          <w:szCs w:val="22"/>
        </w:rPr>
      </w:pPr>
      <w:r>
        <w:t>259.</w:t>
      </w:r>
      <w:r>
        <w:tab/>
        <w:t xml:space="preserve">Application of </w:t>
      </w:r>
      <w:r>
        <w:rPr>
          <w:i/>
        </w:rPr>
        <w:t>Criminal and Found Property Disposal Act 2006</w:t>
      </w:r>
      <w:r>
        <w:tab/>
      </w:r>
      <w:r>
        <w:fldChar w:fldCharType="begin"/>
      </w:r>
      <w:r>
        <w:instrText xml:space="preserve"> PAGEREF _Toc154742958 \h </w:instrText>
      </w:r>
      <w:r>
        <w:fldChar w:fldCharType="separate"/>
      </w:r>
      <w:r>
        <w:t>190</w:t>
      </w:r>
      <w:r>
        <w:fldChar w:fldCharType="end"/>
      </w:r>
    </w:p>
    <w:p>
      <w:pPr>
        <w:pStyle w:val="TOC2"/>
        <w:tabs>
          <w:tab w:val="right" w:leader="dot" w:pos="7077"/>
        </w:tabs>
        <w:rPr>
          <w:rFonts w:asciiTheme="minorHAnsi" w:eastAsiaTheme="minorEastAsia" w:hAnsiTheme="minorHAnsi" w:cstheme="minorBidi"/>
          <w:b w:val="0"/>
          <w:sz w:val="22"/>
          <w:szCs w:val="22"/>
        </w:rPr>
      </w:pPr>
      <w:r>
        <w:t>Part 11 — Legal proceedings</w:t>
      </w:r>
    </w:p>
    <w:p>
      <w:pPr>
        <w:pStyle w:val="TOC4"/>
        <w:tabs>
          <w:tab w:val="right" w:leader="dot" w:pos="7077"/>
        </w:tabs>
        <w:rPr>
          <w:rFonts w:asciiTheme="minorHAnsi" w:eastAsiaTheme="minorEastAsia" w:hAnsiTheme="minorHAnsi" w:cstheme="minorBidi"/>
          <w:b w:val="0"/>
          <w:szCs w:val="22"/>
        </w:rPr>
      </w:pPr>
      <w:r>
        <w:t>Division 1 — General provisions relating to offences</w:t>
      </w:r>
    </w:p>
    <w:p>
      <w:pPr>
        <w:pStyle w:val="TOC8"/>
        <w:rPr>
          <w:rFonts w:asciiTheme="minorHAnsi" w:eastAsiaTheme="minorEastAsia" w:hAnsiTheme="minorHAnsi" w:cstheme="minorBidi"/>
          <w:szCs w:val="22"/>
        </w:rPr>
      </w:pPr>
      <w:r>
        <w:t>260.</w:t>
      </w:r>
      <w:r>
        <w:tab/>
        <w:t>Who may commence proceedings</w:t>
      </w:r>
      <w:r>
        <w:tab/>
      </w:r>
      <w:r>
        <w:fldChar w:fldCharType="begin"/>
      </w:r>
      <w:r>
        <w:instrText xml:space="preserve"> PAGEREF _Toc154742961 \h </w:instrText>
      </w:r>
      <w:r>
        <w:fldChar w:fldCharType="separate"/>
      </w:r>
      <w:r>
        <w:t>192</w:t>
      </w:r>
      <w:r>
        <w:fldChar w:fldCharType="end"/>
      </w:r>
    </w:p>
    <w:p>
      <w:pPr>
        <w:pStyle w:val="TOC8"/>
        <w:rPr>
          <w:rFonts w:asciiTheme="minorHAnsi" w:eastAsiaTheme="minorEastAsia" w:hAnsiTheme="minorHAnsi" w:cstheme="minorBidi"/>
          <w:szCs w:val="22"/>
        </w:rPr>
      </w:pPr>
      <w:r>
        <w:t>261.</w:t>
      </w:r>
      <w:r>
        <w:tab/>
        <w:t>Time limit for prosecution of simple offence</w:t>
      </w:r>
      <w:r>
        <w:tab/>
      </w:r>
      <w:r>
        <w:fldChar w:fldCharType="begin"/>
      </w:r>
      <w:r>
        <w:instrText xml:space="preserve"> PAGEREF _Toc154742962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Division 2 — Court may order costs and expenses</w:t>
      </w:r>
    </w:p>
    <w:p>
      <w:pPr>
        <w:pStyle w:val="TOC8"/>
        <w:rPr>
          <w:rFonts w:asciiTheme="minorHAnsi" w:eastAsiaTheme="minorEastAsia" w:hAnsiTheme="minorHAnsi" w:cstheme="minorBidi"/>
          <w:szCs w:val="22"/>
        </w:rPr>
      </w:pPr>
      <w:r>
        <w:t>262.</w:t>
      </w:r>
      <w:r>
        <w:tab/>
        <w:t>Court may order costs and expenses</w:t>
      </w:r>
      <w:r>
        <w:tab/>
      </w:r>
      <w:r>
        <w:fldChar w:fldCharType="begin"/>
      </w:r>
      <w:r>
        <w:instrText xml:space="preserve"> PAGEREF _Toc154742964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Criminal liability of body corporate officers, employees and others</w:t>
      </w:r>
    </w:p>
    <w:p>
      <w:pPr>
        <w:pStyle w:val="TOC8"/>
        <w:rPr>
          <w:rFonts w:asciiTheme="minorHAnsi" w:eastAsiaTheme="minorEastAsia" w:hAnsiTheme="minorHAnsi" w:cstheme="minorBidi"/>
          <w:szCs w:val="22"/>
        </w:rPr>
      </w:pPr>
      <w:r>
        <w:t>263.</w:t>
      </w:r>
      <w:r>
        <w:tab/>
        <w:t>Liability of officers for offence by body corporate</w:t>
      </w:r>
      <w:r>
        <w:tab/>
      </w:r>
      <w:r>
        <w:fldChar w:fldCharType="begin"/>
      </w:r>
      <w:r>
        <w:instrText xml:space="preserve"> PAGEREF _Toc154742966 \h </w:instrText>
      </w:r>
      <w:r>
        <w:fldChar w:fldCharType="separate"/>
      </w:r>
      <w:r>
        <w:t>193</w:t>
      </w:r>
      <w:r>
        <w:fldChar w:fldCharType="end"/>
      </w:r>
    </w:p>
    <w:p>
      <w:pPr>
        <w:pStyle w:val="TOC8"/>
        <w:rPr>
          <w:rFonts w:asciiTheme="minorHAnsi" w:eastAsiaTheme="minorEastAsia" w:hAnsiTheme="minorHAnsi" w:cstheme="minorBidi"/>
          <w:szCs w:val="22"/>
        </w:rPr>
      </w:pPr>
      <w:r>
        <w:t>266.</w:t>
      </w:r>
      <w:r>
        <w:tab/>
        <w:t>Liability of partners</w:t>
      </w:r>
      <w:r>
        <w:tab/>
      </w:r>
      <w:r>
        <w:fldChar w:fldCharType="begin"/>
      </w:r>
      <w:r>
        <w:instrText xml:space="preserve"> PAGEREF _Toc154742967 \h </w:instrText>
      </w:r>
      <w:r>
        <w:fldChar w:fldCharType="separate"/>
      </w:r>
      <w:r>
        <w:t>194</w:t>
      </w:r>
      <w:r>
        <w:fldChar w:fldCharType="end"/>
      </w:r>
    </w:p>
    <w:p>
      <w:pPr>
        <w:pStyle w:val="TOC8"/>
        <w:rPr>
          <w:rFonts w:asciiTheme="minorHAnsi" w:eastAsiaTheme="minorEastAsia" w:hAnsiTheme="minorHAnsi" w:cstheme="minorBidi"/>
          <w:szCs w:val="22"/>
        </w:rPr>
      </w:pPr>
      <w:r>
        <w:t>267.</w:t>
      </w:r>
      <w:r>
        <w:tab/>
        <w:t>Liability of principals for offence by agent</w:t>
      </w:r>
      <w:r>
        <w:tab/>
      </w:r>
      <w:r>
        <w:fldChar w:fldCharType="begin"/>
      </w:r>
      <w:r>
        <w:instrText xml:space="preserve"> PAGEREF _Toc154742968 \h </w:instrText>
      </w:r>
      <w:r>
        <w:fldChar w:fldCharType="separate"/>
      </w:r>
      <w:r>
        <w:t>194</w:t>
      </w:r>
      <w:r>
        <w:fldChar w:fldCharType="end"/>
      </w:r>
    </w:p>
    <w:p>
      <w:pPr>
        <w:pStyle w:val="TOC8"/>
        <w:rPr>
          <w:rFonts w:asciiTheme="minorHAnsi" w:eastAsiaTheme="minorEastAsia" w:hAnsiTheme="minorHAnsi" w:cstheme="minorBidi"/>
          <w:szCs w:val="22"/>
        </w:rPr>
      </w:pPr>
      <w:r>
        <w:t>268.</w:t>
      </w:r>
      <w:r>
        <w:tab/>
        <w:t>Liability of employer for offences by employee</w:t>
      </w:r>
      <w:r>
        <w:tab/>
      </w:r>
      <w:r>
        <w:fldChar w:fldCharType="begin"/>
      </w:r>
      <w:r>
        <w:instrText xml:space="preserve"> PAGEREF _Toc154742969 \h </w:instrText>
      </w:r>
      <w:r>
        <w:fldChar w:fldCharType="separate"/>
      </w:r>
      <w:r>
        <w:t>195</w:t>
      </w:r>
      <w:r>
        <w:fldChar w:fldCharType="end"/>
      </w:r>
    </w:p>
    <w:p>
      <w:pPr>
        <w:pStyle w:val="TOC8"/>
        <w:rPr>
          <w:rFonts w:asciiTheme="minorHAnsi" w:eastAsiaTheme="minorEastAsia" w:hAnsiTheme="minorHAnsi" w:cstheme="minorBidi"/>
          <w:szCs w:val="22"/>
        </w:rPr>
      </w:pPr>
      <w:r>
        <w:t>269.</w:t>
      </w:r>
      <w:r>
        <w:tab/>
        <w:t>Liability of employees and agents</w:t>
      </w:r>
      <w:r>
        <w:tab/>
      </w:r>
      <w:r>
        <w:fldChar w:fldCharType="begin"/>
      </w:r>
      <w:r>
        <w:instrText xml:space="preserve"> PAGEREF _Toc154742970 \h </w:instrText>
      </w:r>
      <w:r>
        <w:fldChar w:fldCharType="separate"/>
      </w:r>
      <w:r>
        <w:t>196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Evidentiary provisions</w:t>
      </w:r>
    </w:p>
    <w:p>
      <w:pPr>
        <w:pStyle w:val="TOC8"/>
        <w:rPr>
          <w:rFonts w:asciiTheme="minorHAnsi" w:eastAsiaTheme="minorEastAsia" w:hAnsiTheme="minorHAnsi" w:cstheme="minorBidi"/>
          <w:szCs w:val="22"/>
        </w:rPr>
      </w:pPr>
      <w:r>
        <w:t>270.</w:t>
      </w:r>
      <w:r>
        <w:tab/>
        <w:t>Application of Division</w:t>
      </w:r>
      <w:r>
        <w:tab/>
      </w:r>
      <w:r>
        <w:fldChar w:fldCharType="begin"/>
      </w:r>
      <w:r>
        <w:instrText xml:space="preserve"> PAGEREF _Toc154742972 \h </w:instrText>
      </w:r>
      <w:r>
        <w:fldChar w:fldCharType="separate"/>
      </w:r>
      <w:r>
        <w:t>196</w:t>
      </w:r>
      <w:r>
        <w:fldChar w:fldCharType="end"/>
      </w:r>
    </w:p>
    <w:p>
      <w:pPr>
        <w:pStyle w:val="TOC8"/>
        <w:rPr>
          <w:rFonts w:asciiTheme="minorHAnsi" w:eastAsiaTheme="minorEastAsia" w:hAnsiTheme="minorHAnsi" w:cstheme="minorBidi"/>
          <w:szCs w:val="22"/>
        </w:rPr>
      </w:pPr>
      <w:r>
        <w:t>271.</w:t>
      </w:r>
      <w:r>
        <w:tab/>
        <w:t>Certain matters taken to be proved if alleged in prosecution notice or indictment</w:t>
      </w:r>
      <w:r>
        <w:tab/>
      </w:r>
      <w:r>
        <w:fldChar w:fldCharType="begin"/>
      </w:r>
      <w:r>
        <w:instrText xml:space="preserve"> PAGEREF _Toc154742973 \h </w:instrText>
      </w:r>
      <w:r>
        <w:fldChar w:fldCharType="separate"/>
      </w:r>
      <w:r>
        <w:t>196</w:t>
      </w:r>
      <w:r>
        <w:fldChar w:fldCharType="end"/>
      </w:r>
    </w:p>
    <w:p>
      <w:pPr>
        <w:pStyle w:val="TOC8"/>
        <w:rPr>
          <w:rFonts w:asciiTheme="minorHAnsi" w:eastAsiaTheme="minorEastAsia" w:hAnsiTheme="minorHAnsi" w:cstheme="minorBidi"/>
          <w:szCs w:val="22"/>
        </w:rPr>
      </w:pPr>
      <w:r>
        <w:t>272.</w:t>
      </w:r>
      <w:r>
        <w:tab/>
        <w:t>Evidence of certain matters if stated in certificate</w:t>
      </w:r>
      <w:r>
        <w:tab/>
      </w:r>
      <w:r>
        <w:fldChar w:fldCharType="begin"/>
      </w:r>
      <w:r>
        <w:instrText xml:space="preserve"> PAGEREF _Toc154742974 \h </w:instrText>
      </w:r>
      <w:r>
        <w:fldChar w:fldCharType="separate"/>
      </w:r>
      <w:r>
        <w:t>197</w:t>
      </w:r>
      <w:r>
        <w:fldChar w:fldCharType="end"/>
      </w:r>
    </w:p>
    <w:p>
      <w:pPr>
        <w:pStyle w:val="TOC8"/>
        <w:rPr>
          <w:rFonts w:asciiTheme="minorHAnsi" w:eastAsiaTheme="minorEastAsia" w:hAnsiTheme="minorHAnsi" w:cstheme="minorBidi"/>
          <w:szCs w:val="22"/>
        </w:rPr>
      </w:pPr>
      <w:r>
        <w:t>273.</w:t>
      </w:r>
      <w:r>
        <w:tab/>
        <w:t>Evidence in relation to documents</w:t>
      </w:r>
      <w:r>
        <w:tab/>
      </w:r>
      <w:r>
        <w:fldChar w:fldCharType="begin"/>
      </w:r>
      <w:r>
        <w:instrText xml:space="preserve"> PAGEREF _Toc154742975 \h </w:instrText>
      </w:r>
      <w:r>
        <w:fldChar w:fldCharType="separate"/>
      </w:r>
      <w:r>
        <w:t>201</w:t>
      </w:r>
      <w:r>
        <w:fldChar w:fldCharType="end"/>
      </w:r>
    </w:p>
    <w:p>
      <w:pPr>
        <w:pStyle w:val="TOC8"/>
        <w:rPr>
          <w:rFonts w:asciiTheme="minorHAnsi" w:eastAsiaTheme="minorEastAsia" w:hAnsiTheme="minorHAnsi" w:cstheme="minorBidi"/>
          <w:szCs w:val="22"/>
        </w:rPr>
      </w:pPr>
      <w:r>
        <w:t>274.</w:t>
      </w:r>
      <w:r>
        <w:tab/>
        <w:t>Onus of proving certain matters</w:t>
      </w:r>
      <w:r>
        <w:tab/>
      </w:r>
      <w:r>
        <w:fldChar w:fldCharType="begin"/>
      </w:r>
      <w:r>
        <w:instrText xml:space="preserve"> PAGEREF _Toc154742976 \h </w:instrText>
      </w:r>
      <w:r>
        <w:fldChar w:fldCharType="separate"/>
      </w:r>
      <w:r>
        <w:t>202</w:t>
      </w:r>
      <w:r>
        <w:fldChar w:fldCharType="end"/>
      </w:r>
    </w:p>
    <w:p>
      <w:pPr>
        <w:pStyle w:val="TOC2"/>
        <w:tabs>
          <w:tab w:val="right" w:leader="dot" w:pos="7077"/>
        </w:tabs>
        <w:rPr>
          <w:rFonts w:asciiTheme="minorHAnsi" w:eastAsiaTheme="minorEastAsia" w:hAnsiTheme="minorHAnsi" w:cstheme="minorBidi"/>
          <w:b w:val="0"/>
          <w:sz w:val="22"/>
          <w:szCs w:val="22"/>
        </w:rPr>
      </w:pPr>
      <w:r>
        <w:t>Part 12 — Review by State Administrative Tribunal</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275.</w:t>
      </w:r>
      <w:r>
        <w:tab/>
        <w:t>Application of Part</w:t>
      </w:r>
      <w:r>
        <w:tab/>
      </w:r>
      <w:r>
        <w:fldChar w:fldCharType="begin"/>
      </w:r>
      <w:r>
        <w:instrText xml:space="preserve"> PAGEREF _Toc154742979 \h </w:instrText>
      </w:r>
      <w:r>
        <w:fldChar w:fldCharType="separate"/>
      </w:r>
      <w:r>
        <w:t>203</w:t>
      </w:r>
      <w:r>
        <w:fldChar w:fldCharType="end"/>
      </w:r>
    </w:p>
    <w:p>
      <w:pPr>
        <w:pStyle w:val="TOC8"/>
        <w:rPr>
          <w:rFonts w:asciiTheme="minorHAnsi" w:eastAsiaTheme="minorEastAsia" w:hAnsiTheme="minorHAnsi" w:cstheme="minorBidi"/>
          <w:szCs w:val="22"/>
        </w:rPr>
      </w:pPr>
      <w:r>
        <w:t>276.</w:t>
      </w:r>
      <w:r>
        <w:tab/>
        <w:t>Terms used</w:t>
      </w:r>
      <w:r>
        <w:tab/>
      </w:r>
      <w:r>
        <w:fldChar w:fldCharType="begin"/>
      </w:r>
      <w:r>
        <w:instrText xml:space="preserve"> PAGEREF _Toc154742980 \h </w:instrText>
      </w:r>
      <w:r>
        <w:fldChar w:fldCharType="separate"/>
      </w:r>
      <w:r>
        <w:t>203</w:t>
      </w:r>
      <w:r>
        <w:fldChar w:fldCharType="end"/>
      </w:r>
    </w:p>
    <w:p>
      <w:pPr>
        <w:pStyle w:val="TOC4"/>
        <w:tabs>
          <w:tab w:val="right" w:leader="dot" w:pos="7077"/>
        </w:tabs>
        <w:rPr>
          <w:rFonts w:asciiTheme="minorHAnsi" w:eastAsiaTheme="minorEastAsia" w:hAnsiTheme="minorHAnsi" w:cstheme="minorBidi"/>
          <w:b w:val="0"/>
          <w:szCs w:val="22"/>
        </w:rPr>
      </w:pPr>
      <w:r>
        <w:t>Division 2 — Review by State Administrative Tribunal</w:t>
      </w:r>
    </w:p>
    <w:p>
      <w:pPr>
        <w:pStyle w:val="TOC8"/>
        <w:rPr>
          <w:rFonts w:asciiTheme="minorHAnsi" w:eastAsiaTheme="minorEastAsia" w:hAnsiTheme="minorHAnsi" w:cstheme="minorBidi"/>
          <w:szCs w:val="22"/>
        </w:rPr>
      </w:pPr>
      <w:r>
        <w:t>277.</w:t>
      </w:r>
      <w:r>
        <w:tab/>
        <w:t>Review of certain decisions</w:t>
      </w:r>
      <w:r>
        <w:tab/>
      </w:r>
      <w:r>
        <w:fldChar w:fldCharType="begin"/>
      </w:r>
      <w:r>
        <w:instrText xml:space="preserve"> PAGEREF _Toc154742982 \h </w:instrText>
      </w:r>
      <w:r>
        <w:fldChar w:fldCharType="separate"/>
      </w:r>
      <w:r>
        <w:t>203</w:t>
      </w:r>
      <w:r>
        <w:fldChar w:fldCharType="end"/>
      </w:r>
    </w:p>
    <w:p>
      <w:pPr>
        <w:pStyle w:val="TOC8"/>
        <w:rPr>
          <w:rFonts w:asciiTheme="minorHAnsi" w:eastAsiaTheme="minorEastAsia" w:hAnsiTheme="minorHAnsi" w:cstheme="minorBidi"/>
          <w:szCs w:val="22"/>
        </w:rPr>
      </w:pPr>
      <w:r>
        <w:t>278.</w:t>
      </w:r>
      <w:r>
        <w:tab/>
        <w:t>Notice of reviewable decisions must be given</w:t>
      </w:r>
      <w:r>
        <w:tab/>
      </w:r>
      <w:r>
        <w:fldChar w:fldCharType="begin"/>
      </w:r>
      <w:r>
        <w:instrText xml:space="preserve"> PAGEREF _Toc154742983 \h </w:instrText>
      </w:r>
      <w:r>
        <w:fldChar w:fldCharType="separate"/>
      </w:r>
      <w:r>
        <w:t>205</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1 — Aboriginal Cultural Heritage Account and Aboriginal Cultural Heritage Compensation Fund</w:t>
      </w:r>
    </w:p>
    <w:p>
      <w:pPr>
        <w:pStyle w:val="TOC6"/>
        <w:tabs>
          <w:tab w:val="right" w:leader="dot" w:pos="7077"/>
        </w:tabs>
        <w:rPr>
          <w:rFonts w:asciiTheme="minorHAnsi" w:eastAsiaTheme="minorEastAsia" w:hAnsiTheme="minorHAnsi" w:cstheme="minorBidi"/>
          <w:b w:val="0"/>
          <w:sz w:val="22"/>
          <w:szCs w:val="22"/>
        </w:rPr>
      </w:pPr>
      <w:r>
        <w:t>Subdivision 1 — Aboriginal Cultural Heritage Account</w:t>
      </w:r>
    </w:p>
    <w:p>
      <w:pPr>
        <w:pStyle w:val="TOC8"/>
        <w:rPr>
          <w:rFonts w:asciiTheme="minorHAnsi" w:eastAsiaTheme="minorEastAsia" w:hAnsiTheme="minorHAnsi" w:cstheme="minorBidi"/>
          <w:szCs w:val="22"/>
        </w:rPr>
      </w:pPr>
      <w:r>
        <w:t>279.</w:t>
      </w:r>
      <w:r>
        <w:tab/>
        <w:t>Aboriginal Cultural Heritage Account</w:t>
      </w:r>
      <w:r>
        <w:tab/>
      </w:r>
      <w:r>
        <w:fldChar w:fldCharType="begin"/>
      </w:r>
      <w:r>
        <w:instrText xml:space="preserve"> PAGEREF _Toc154742987 \h </w:instrText>
      </w:r>
      <w:r>
        <w:fldChar w:fldCharType="separate"/>
      </w:r>
      <w:r>
        <w:t>206</w:t>
      </w:r>
      <w:r>
        <w:fldChar w:fldCharType="end"/>
      </w:r>
    </w:p>
    <w:p>
      <w:pPr>
        <w:pStyle w:val="TOC6"/>
        <w:tabs>
          <w:tab w:val="right" w:leader="dot" w:pos="7077"/>
        </w:tabs>
        <w:rPr>
          <w:rFonts w:asciiTheme="minorHAnsi" w:eastAsiaTheme="minorEastAsia" w:hAnsiTheme="minorHAnsi" w:cstheme="minorBidi"/>
          <w:b w:val="0"/>
          <w:sz w:val="22"/>
          <w:szCs w:val="22"/>
        </w:rPr>
      </w:pPr>
      <w:r>
        <w:t>Subdivision 2 — Aboriginal Cultural Heritage Compensation Fund</w:t>
      </w:r>
    </w:p>
    <w:p>
      <w:pPr>
        <w:pStyle w:val="TOC8"/>
        <w:rPr>
          <w:rFonts w:asciiTheme="minorHAnsi" w:eastAsiaTheme="minorEastAsia" w:hAnsiTheme="minorHAnsi" w:cstheme="minorBidi"/>
          <w:szCs w:val="22"/>
        </w:rPr>
      </w:pPr>
      <w:r>
        <w:t>280.</w:t>
      </w:r>
      <w:r>
        <w:tab/>
        <w:t>Aboriginal Cultural Heritage Compensation Fund</w:t>
      </w:r>
      <w:r>
        <w:tab/>
      </w:r>
      <w:r>
        <w:fldChar w:fldCharType="begin"/>
      </w:r>
      <w:r>
        <w:instrText xml:space="preserve"> PAGEREF _Toc154742989 \h </w:instrText>
      </w:r>
      <w:r>
        <w:fldChar w:fldCharType="separate"/>
      </w:r>
      <w:r>
        <w:t>207</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Provisions relating to accounts established under this Division</w:t>
      </w:r>
    </w:p>
    <w:p>
      <w:pPr>
        <w:pStyle w:val="TOC8"/>
        <w:rPr>
          <w:rFonts w:asciiTheme="minorHAnsi" w:eastAsiaTheme="minorEastAsia" w:hAnsiTheme="minorHAnsi" w:cstheme="minorBidi"/>
          <w:szCs w:val="22"/>
        </w:rPr>
      </w:pPr>
      <w:r>
        <w:t>281.</w:t>
      </w:r>
      <w:r>
        <w:tab/>
        <w:t xml:space="preserve">Application of </w:t>
      </w:r>
      <w:r>
        <w:rPr>
          <w:i/>
        </w:rPr>
        <w:t>Financial Management Act 2006</w:t>
      </w:r>
      <w:r>
        <w:t xml:space="preserve"> and </w:t>
      </w:r>
      <w:r>
        <w:rPr>
          <w:i/>
        </w:rPr>
        <w:t>Auditor General Act 2006</w:t>
      </w:r>
      <w:r>
        <w:tab/>
      </w:r>
      <w:r>
        <w:fldChar w:fldCharType="begin"/>
      </w:r>
      <w:r>
        <w:instrText xml:space="preserve"> PAGEREF _Toc154742991 \h </w:instrText>
      </w:r>
      <w:r>
        <w:fldChar w:fldCharType="separate"/>
      </w:r>
      <w:r>
        <w:t>208</w:t>
      </w:r>
      <w:r>
        <w:fldChar w:fldCharType="end"/>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_Toc154742993 \h </w:instrText>
      </w:r>
      <w:r>
        <w:fldChar w:fldCharType="separate"/>
      </w:r>
      <w:r>
        <w:t>209</w:t>
      </w:r>
      <w:r>
        <w:fldChar w:fldCharType="end"/>
      </w:r>
    </w:p>
    <w:p>
      <w:pPr>
        <w:pStyle w:val="TOC8"/>
        <w:rPr>
          <w:rFonts w:asciiTheme="minorHAnsi" w:eastAsiaTheme="minorEastAsia" w:hAnsiTheme="minorHAnsi" w:cstheme="minorBidi"/>
          <w:szCs w:val="22"/>
        </w:rPr>
      </w:pPr>
      <w:r>
        <w:t>283.</w:t>
      </w:r>
      <w:r>
        <w:tab/>
        <w:t>Giving notice generally</w:t>
      </w:r>
      <w:r>
        <w:tab/>
      </w:r>
      <w:r>
        <w:fldChar w:fldCharType="begin"/>
      </w:r>
      <w:r>
        <w:instrText xml:space="preserve"> PAGEREF _Toc154742994 \h </w:instrText>
      </w:r>
      <w:r>
        <w:fldChar w:fldCharType="separate"/>
      </w:r>
      <w:r>
        <w:t>209</w:t>
      </w:r>
      <w:r>
        <w:fldChar w:fldCharType="end"/>
      </w:r>
    </w:p>
    <w:p>
      <w:pPr>
        <w:pStyle w:val="TOC8"/>
        <w:rPr>
          <w:rFonts w:asciiTheme="minorHAnsi" w:eastAsiaTheme="minorEastAsia" w:hAnsiTheme="minorHAnsi" w:cstheme="minorBidi"/>
          <w:szCs w:val="22"/>
        </w:rPr>
      </w:pPr>
      <w:r>
        <w:t>284.</w:t>
      </w:r>
      <w:r>
        <w:tab/>
        <w:t>Giving notice to landholder or occupier of land</w:t>
      </w:r>
      <w:r>
        <w:tab/>
      </w:r>
      <w:r>
        <w:fldChar w:fldCharType="begin"/>
      </w:r>
      <w:r>
        <w:instrText xml:space="preserve"> PAGEREF _Toc154742995 \h </w:instrText>
      </w:r>
      <w:r>
        <w:fldChar w:fldCharType="separate"/>
      </w:r>
      <w:r>
        <w:t>210</w:t>
      </w:r>
      <w:r>
        <w:fldChar w:fldCharType="end"/>
      </w:r>
    </w:p>
    <w:p>
      <w:pPr>
        <w:pStyle w:val="TOC8"/>
        <w:rPr>
          <w:rFonts w:asciiTheme="minorHAnsi" w:eastAsiaTheme="minorEastAsia" w:hAnsiTheme="minorHAnsi" w:cstheme="minorBidi"/>
          <w:szCs w:val="22"/>
        </w:rPr>
      </w:pPr>
      <w:r>
        <w:t>285.</w:t>
      </w:r>
      <w:r>
        <w:tab/>
        <w:t>Giving certain notices</w:t>
      </w:r>
      <w:r>
        <w:tab/>
      </w:r>
      <w:r>
        <w:fldChar w:fldCharType="begin"/>
      </w:r>
      <w:r>
        <w:instrText xml:space="preserve"> PAGEREF _Toc154742996 \h </w:instrText>
      </w:r>
      <w:r>
        <w:fldChar w:fldCharType="separate"/>
      </w:r>
      <w:r>
        <w:t>211</w:t>
      </w:r>
      <w:r>
        <w:fldChar w:fldCharType="end"/>
      </w:r>
    </w:p>
    <w:p>
      <w:pPr>
        <w:pStyle w:val="TOC8"/>
        <w:rPr>
          <w:rFonts w:asciiTheme="minorHAnsi" w:eastAsiaTheme="minorEastAsia" w:hAnsiTheme="minorHAnsi" w:cstheme="minorBidi"/>
          <w:szCs w:val="22"/>
        </w:rPr>
      </w:pPr>
      <w:r>
        <w:t>286.</w:t>
      </w:r>
      <w:r>
        <w:tab/>
        <w:t>Defects in notice</w:t>
      </w:r>
      <w:r>
        <w:tab/>
      </w:r>
      <w:r>
        <w:fldChar w:fldCharType="begin"/>
      </w:r>
      <w:r>
        <w:instrText xml:space="preserve"> PAGEREF _Toc154742997 \h </w:instrText>
      </w:r>
      <w:r>
        <w:fldChar w:fldCharType="separate"/>
      </w:r>
      <w:r>
        <w:t>212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_Toc154743000 \h </w:instrText>
      </w:r>
      <w:r>
        <w:fldChar w:fldCharType="separate"/>
      </w:r>
      <w:r>
        <w:t>212</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_Toc154743001 \h </w:instrText>
      </w:r>
      <w:r>
        <w:fldChar w:fldCharType="separate"/>
      </w:r>
      <w:r>
        <w:t>212</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_Toc154743002 \h </w:instrText>
      </w:r>
      <w:r>
        <w:fldChar w:fldCharType="separate"/>
      </w:r>
      <w:r>
        <w:t>213</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_Toc154743003 \h </w:instrText>
      </w:r>
      <w:r>
        <w:fldChar w:fldCharType="separate"/>
      </w:r>
      <w:r>
        <w:t>214</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_Toc154743004 \h </w:instrText>
      </w:r>
      <w:r>
        <w:fldChar w:fldCharType="separate"/>
      </w:r>
      <w:r>
        <w:t>214</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_Toc154743005 \h </w:instrText>
      </w:r>
      <w:r>
        <w:fldChar w:fldCharType="separate"/>
      </w:r>
      <w:r>
        <w:t>214</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_Toc154743006 \h </w:instrText>
      </w:r>
      <w:r>
        <w:fldChar w:fldCharType="separate"/>
      </w:r>
      <w:r>
        <w:t>216</w:t>
      </w:r>
      <w:r>
        <w:fldChar w:fldCharType="end"/>
      </w:r>
    </w:p>
    <w:p>
      <w:pPr>
        <w:pStyle w:val="TOC6"/>
        <w:tabs>
          <w:tab w:val="right" w:leader="dot" w:pos="7077"/>
        </w:tabs>
        <w:rPr>
          <w:rFonts w:asciiTheme="minorHAnsi" w:eastAsiaTheme="minorEastAsia" w:hAnsiTheme="minorHAnsi" w:cstheme="minorBidi"/>
          <w:b w:val="0"/>
          <w:sz w:val="22"/>
          <w:szCs w:val="22"/>
        </w:rPr>
      </w:pPr>
      <w:r>
        <w:t>Subdivision 2 — Guidelines</w:t>
      </w:r>
    </w:p>
    <w:p>
      <w:pPr>
        <w:pStyle w:val="TOC8"/>
        <w:rPr>
          <w:rFonts w:asciiTheme="minorHAnsi" w:eastAsiaTheme="minorEastAsia" w:hAnsiTheme="minorHAnsi" w:cstheme="minorBidi"/>
          <w:szCs w:val="22"/>
        </w:rPr>
      </w:pPr>
      <w:r>
        <w:t>294.</w:t>
      </w:r>
      <w:r>
        <w:tab/>
        <w:t>Guidelines</w:t>
      </w:r>
      <w:r>
        <w:tab/>
      </w:r>
      <w:r>
        <w:fldChar w:fldCharType="begin"/>
      </w:r>
      <w:r>
        <w:instrText xml:space="preserve"> PAGEREF _Toc154743008 \h </w:instrText>
      </w:r>
      <w:r>
        <w:fldChar w:fldCharType="separate"/>
      </w:r>
      <w:r>
        <w:t>217</w:t>
      </w:r>
      <w:r>
        <w:fldChar w:fldCharType="end"/>
      </w:r>
    </w:p>
    <w:p>
      <w:pPr>
        <w:pStyle w:val="TOC8"/>
        <w:rPr>
          <w:rFonts w:asciiTheme="minorHAnsi" w:eastAsiaTheme="minorEastAsia" w:hAnsiTheme="minorHAnsi" w:cstheme="minorBidi"/>
          <w:szCs w:val="22"/>
        </w:rPr>
      </w:pPr>
      <w:r>
        <w:t>295.</w:t>
      </w:r>
      <w:r>
        <w:tab/>
        <w:t>Preparation of guidelines</w:t>
      </w:r>
      <w:r>
        <w:tab/>
      </w:r>
      <w:r>
        <w:fldChar w:fldCharType="begin"/>
      </w:r>
      <w:r>
        <w:instrText xml:space="preserve"> PAGEREF _Toc154743009 \h </w:instrText>
      </w:r>
      <w:r>
        <w:fldChar w:fldCharType="separate"/>
      </w:r>
      <w:r>
        <w:t>218</w:t>
      </w:r>
      <w:r>
        <w:fldChar w:fldCharType="end"/>
      </w:r>
    </w:p>
    <w:p>
      <w:pPr>
        <w:pStyle w:val="TOC8"/>
        <w:rPr>
          <w:rFonts w:asciiTheme="minorHAnsi" w:eastAsiaTheme="minorEastAsia" w:hAnsiTheme="minorHAnsi" w:cstheme="minorBidi"/>
          <w:szCs w:val="22"/>
        </w:rPr>
      </w:pPr>
      <w:r>
        <w:t>296.</w:t>
      </w:r>
      <w:r>
        <w:tab/>
        <w:t>Consultation on proposed guidelines</w:t>
      </w:r>
      <w:r>
        <w:tab/>
      </w:r>
      <w:r>
        <w:fldChar w:fldCharType="begin"/>
      </w:r>
      <w:r>
        <w:instrText xml:space="preserve"> PAGEREF _Toc154743010 \h </w:instrText>
      </w:r>
      <w:r>
        <w:fldChar w:fldCharType="separate"/>
      </w:r>
      <w:r>
        <w:t>218</w:t>
      </w:r>
      <w:r>
        <w:fldChar w:fldCharType="end"/>
      </w:r>
    </w:p>
    <w:p>
      <w:pPr>
        <w:pStyle w:val="TOC8"/>
        <w:rPr>
          <w:rFonts w:asciiTheme="minorHAnsi" w:eastAsiaTheme="minorEastAsia" w:hAnsiTheme="minorHAnsi" w:cstheme="minorBidi"/>
          <w:szCs w:val="22"/>
        </w:rPr>
      </w:pPr>
      <w:r>
        <w:t>297.</w:t>
      </w:r>
      <w:r>
        <w:tab/>
        <w:t>Approval of Minister</w:t>
      </w:r>
      <w:r>
        <w:tab/>
      </w:r>
      <w:r>
        <w:fldChar w:fldCharType="begin"/>
      </w:r>
      <w:r>
        <w:instrText xml:space="preserve"> PAGEREF _Toc154743011 \h </w:instrText>
      </w:r>
      <w:r>
        <w:fldChar w:fldCharType="separate"/>
      </w:r>
      <w:r>
        <w:t>219</w:t>
      </w:r>
      <w:r>
        <w:fldChar w:fldCharType="end"/>
      </w:r>
    </w:p>
    <w:p>
      <w:pPr>
        <w:pStyle w:val="TOC8"/>
        <w:rPr>
          <w:rFonts w:asciiTheme="minorHAnsi" w:eastAsiaTheme="minorEastAsia" w:hAnsiTheme="minorHAnsi" w:cstheme="minorBidi"/>
          <w:szCs w:val="22"/>
        </w:rPr>
      </w:pPr>
      <w:r>
        <w:t>298.</w:t>
      </w:r>
      <w:r>
        <w:tab/>
        <w:t>Provisions about guidelines</w:t>
      </w:r>
      <w:r>
        <w:tab/>
      </w:r>
      <w:r>
        <w:fldChar w:fldCharType="begin"/>
      </w:r>
      <w:r>
        <w:instrText xml:space="preserve"> PAGEREF _Toc154743012 \h </w:instrText>
      </w:r>
      <w:r>
        <w:fldChar w:fldCharType="separate"/>
      </w:r>
      <w:r>
        <w:t>219</w:t>
      </w:r>
      <w:r>
        <w:fldChar w:fldCharType="end"/>
      </w:r>
    </w:p>
    <w:p>
      <w:pPr>
        <w:pStyle w:val="TOC8"/>
        <w:rPr>
          <w:rFonts w:asciiTheme="minorHAnsi" w:eastAsiaTheme="minorEastAsia" w:hAnsiTheme="minorHAnsi" w:cstheme="minorBidi"/>
          <w:szCs w:val="22"/>
        </w:rPr>
      </w:pPr>
      <w:r>
        <w:t>299.</w:t>
      </w:r>
      <w:r>
        <w:tab/>
        <w:t>Amending or repealing guidelines</w:t>
      </w:r>
      <w:r>
        <w:tab/>
      </w:r>
      <w:r>
        <w:fldChar w:fldCharType="begin"/>
      </w:r>
      <w:r>
        <w:instrText xml:space="preserve"> PAGEREF _Toc154743013 \h </w:instrText>
      </w:r>
      <w:r>
        <w:fldChar w:fldCharType="separate"/>
      </w:r>
      <w:r>
        <w:t>219</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300.</w:t>
      </w:r>
      <w:r>
        <w:tab/>
        <w:t>No circumventing or contracting out</w:t>
      </w:r>
      <w:r>
        <w:tab/>
      </w:r>
      <w:r>
        <w:fldChar w:fldCharType="begin"/>
      </w:r>
      <w:r>
        <w:instrText xml:space="preserve"> PAGEREF _Toc154743015 \h </w:instrText>
      </w:r>
      <w:r>
        <w:fldChar w:fldCharType="separate"/>
      </w:r>
      <w:r>
        <w:t>220</w:t>
      </w:r>
      <w:r>
        <w:fldChar w:fldCharType="end"/>
      </w:r>
    </w:p>
    <w:p>
      <w:pPr>
        <w:pStyle w:val="TOC8"/>
        <w:rPr>
          <w:rFonts w:asciiTheme="minorHAnsi" w:eastAsiaTheme="minorEastAsia" w:hAnsiTheme="minorHAnsi" w:cstheme="minorBidi"/>
          <w:szCs w:val="22"/>
        </w:rPr>
      </w:pPr>
      <w:r>
        <w:t>301.</w:t>
      </w:r>
      <w:r>
        <w:tab/>
        <w:t>Delegation by Minister</w:t>
      </w:r>
      <w:r>
        <w:tab/>
      </w:r>
      <w:r>
        <w:fldChar w:fldCharType="begin"/>
      </w:r>
      <w:r>
        <w:instrText xml:space="preserve"> PAGEREF _Toc154743016 \h </w:instrText>
      </w:r>
      <w:r>
        <w:fldChar w:fldCharType="separate"/>
      </w:r>
      <w:r>
        <w:t>220</w:t>
      </w:r>
      <w:r>
        <w:fldChar w:fldCharType="end"/>
      </w:r>
    </w:p>
    <w:p>
      <w:pPr>
        <w:pStyle w:val="TOC8"/>
        <w:rPr>
          <w:rFonts w:asciiTheme="minorHAnsi" w:eastAsiaTheme="minorEastAsia" w:hAnsiTheme="minorHAnsi" w:cstheme="minorBidi"/>
          <w:szCs w:val="22"/>
        </w:rPr>
      </w:pPr>
      <w:r>
        <w:t>302.</w:t>
      </w:r>
      <w:r>
        <w:tab/>
        <w:t>Delegation by CEO</w:t>
      </w:r>
      <w:r>
        <w:tab/>
      </w:r>
      <w:r>
        <w:fldChar w:fldCharType="begin"/>
      </w:r>
      <w:r>
        <w:instrText xml:space="preserve"> PAGEREF _Toc154743017 \h </w:instrText>
      </w:r>
      <w:r>
        <w:fldChar w:fldCharType="separate"/>
      </w:r>
      <w:r>
        <w:t>221</w:t>
      </w:r>
      <w:r>
        <w:fldChar w:fldCharType="end"/>
      </w:r>
    </w:p>
    <w:p>
      <w:pPr>
        <w:pStyle w:val="TOC8"/>
        <w:rPr>
          <w:rFonts w:asciiTheme="minorHAnsi" w:eastAsiaTheme="minorEastAsia" w:hAnsiTheme="minorHAnsi" w:cstheme="minorBidi"/>
          <w:szCs w:val="22"/>
        </w:rPr>
      </w:pPr>
      <w:r>
        <w:t>303.</w:t>
      </w:r>
      <w:r>
        <w:tab/>
        <w:t>CEO may disclose information</w:t>
      </w:r>
      <w:r>
        <w:tab/>
      </w:r>
      <w:r>
        <w:fldChar w:fldCharType="begin"/>
      </w:r>
      <w:r>
        <w:instrText xml:space="preserve"> PAGEREF _Toc154743018 \h </w:instrText>
      </w:r>
      <w:r>
        <w:fldChar w:fldCharType="separate"/>
      </w:r>
      <w:r>
        <w:t>222</w:t>
      </w:r>
      <w:r>
        <w:fldChar w:fldCharType="end"/>
      </w:r>
    </w:p>
    <w:p>
      <w:pPr>
        <w:pStyle w:val="TOC8"/>
        <w:rPr>
          <w:rFonts w:asciiTheme="minorHAnsi" w:eastAsiaTheme="minorEastAsia" w:hAnsiTheme="minorHAnsi" w:cstheme="minorBidi"/>
          <w:szCs w:val="22"/>
        </w:rPr>
      </w:pPr>
      <w:r>
        <w:t>304.</w:t>
      </w:r>
      <w:r>
        <w:tab/>
        <w:t>Giving false or misleading information</w:t>
      </w:r>
      <w:r>
        <w:tab/>
      </w:r>
      <w:r>
        <w:fldChar w:fldCharType="begin"/>
      </w:r>
      <w:r>
        <w:instrText xml:space="preserve"> PAGEREF _Toc154743019 \h </w:instrText>
      </w:r>
      <w:r>
        <w:fldChar w:fldCharType="separate"/>
      </w:r>
      <w:r>
        <w:t>224</w:t>
      </w:r>
      <w:r>
        <w:fldChar w:fldCharType="end"/>
      </w:r>
    </w:p>
    <w:p>
      <w:pPr>
        <w:pStyle w:val="TOC8"/>
        <w:rPr>
          <w:rFonts w:asciiTheme="minorHAnsi" w:eastAsiaTheme="minorEastAsia" w:hAnsiTheme="minorHAnsi" w:cstheme="minorBidi"/>
          <w:szCs w:val="22"/>
        </w:rPr>
      </w:pPr>
      <w:r>
        <w:t>305.</w:t>
      </w:r>
      <w:r>
        <w:tab/>
        <w:t>Protection from liability for wrongdoing</w:t>
      </w:r>
      <w:r>
        <w:tab/>
      </w:r>
      <w:r>
        <w:fldChar w:fldCharType="begin"/>
      </w:r>
      <w:r>
        <w:instrText xml:space="preserve"> PAGEREF _Toc154743020 \h </w:instrText>
      </w:r>
      <w:r>
        <w:fldChar w:fldCharType="separate"/>
      </w:r>
      <w:r>
        <w:t>224</w:t>
      </w:r>
      <w:r>
        <w:fldChar w:fldCharType="end"/>
      </w:r>
    </w:p>
    <w:p>
      <w:pPr>
        <w:pStyle w:val="TOC8"/>
        <w:rPr>
          <w:rFonts w:asciiTheme="minorHAnsi" w:eastAsiaTheme="minorEastAsia" w:hAnsiTheme="minorHAnsi" w:cstheme="minorBidi"/>
          <w:szCs w:val="22"/>
        </w:rPr>
      </w:pPr>
      <w:r>
        <w:t>306.</w:t>
      </w:r>
      <w:r>
        <w:tab/>
        <w:t>Confidentiality</w:t>
      </w:r>
      <w:r>
        <w:tab/>
      </w:r>
      <w:r>
        <w:fldChar w:fldCharType="begin"/>
      </w:r>
      <w:r>
        <w:instrText xml:space="preserve"> PAGEREF _Toc154743021 \h </w:instrText>
      </w:r>
      <w:r>
        <w:fldChar w:fldCharType="separate"/>
      </w:r>
      <w:r>
        <w:t>225</w:t>
      </w:r>
      <w:r>
        <w:fldChar w:fldCharType="end"/>
      </w:r>
    </w:p>
    <w:p>
      <w:pPr>
        <w:pStyle w:val="TOC8"/>
        <w:rPr>
          <w:rFonts w:asciiTheme="minorHAnsi" w:eastAsiaTheme="minorEastAsia" w:hAnsiTheme="minorHAnsi" w:cstheme="minorBidi"/>
          <w:szCs w:val="22"/>
        </w:rPr>
      </w:pPr>
      <w:r>
        <w:t>307.</w:t>
      </w:r>
      <w:r>
        <w:tab/>
        <w:t>CEO may approve forms</w:t>
      </w:r>
      <w:r>
        <w:tab/>
      </w:r>
      <w:r>
        <w:fldChar w:fldCharType="begin"/>
      </w:r>
      <w:r>
        <w:instrText xml:space="preserve"> PAGEREF _Toc154743022 \h </w:instrText>
      </w:r>
      <w:r>
        <w:fldChar w:fldCharType="separate"/>
      </w:r>
      <w:r>
        <w:t>226</w:t>
      </w:r>
      <w:r>
        <w:fldChar w:fldCharType="end"/>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_Toc154743023 \h </w:instrText>
      </w:r>
      <w:r>
        <w:fldChar w:fldCharType="separate"/>
      </w:r>
      <w:r>
        <w:t>226</w:t>
      </w:r>
      <w:r>
        <w:fldChar w:fldCharType="end"/>
      </w:r>
    </w:p>
    <w:p>
      <w:pPr>
        <w:pStyle w:val="TOC8"/>
        <w:rPr>
          <w:rFonts w:asciiTheme="minorHAnsi" w:eastAsiaTheme="minorEastAsia" w:hAnsiTheme="minorHAnsi" w:cstheme="minorBidi"/>
          <w:szCs w:val="22"/>
        </w:rPr>
      </w:pPr>
      <w:r>
        <w:t>309.</w:t>
      </w:r>
      <w:r>
        <w:tab/>
        <w:t>Review of Act</w:t>
      </w:r>
      <w:r>
        <w:tab/>
      </w:r>
      <w:r>
        <w:fldChar w:fldCharType="begin"/>
      </w:r>
      <w:r>
        <w:instrText xml:space="preserve"> PAGEREF _Toc154743024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Division 1 — Repeals</w:t>
      </w:r>
    </w:p>
    <w:p>
      <w:pPr>
        <w:pStyle w:val="TOC8"/>
        <w:rPr>
          <w:rFonts w:asciiTheme="minorHAnsi" w:eastAsiaTheme="minorEastAsia" w:hAnsiTheme="minorHAnsi" w:cstheme="minorBidi"/>
          <w:szCs w:val="22"/>
        </w:rPr>
      </w:pPr>
      <w:r>
        <w:t>312.</w:t>
      </w:r>
      <w:r>
        <w:tab/>
      </w:r>
      <w:r>
        <w:rPr>
          <w:i/>
        </w:rPr>
        <w:t>Aboriginal Heritage (Marandoo) Act 1992</w:t>
      </w:r>
      <w:r>
        <w:t xml:space="preserve"> repealed</w:t>
      </w:r>
      <w:r>
        <w:tab/>
      </w:r>
      <w:r>
        <w:fldChar w:fldCharType="begin"/>
      </w:r>
      <w:r>
        <w:instrText xml:space="preserve"> PAGEREF _Toc154743027 \h </w:instrText>
      </w:r>
      <w:r>
        <w:fldChar w:fldCharType="separate"/>
      </w:r>
      <w:r>
        <w:t>228</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_Toc154743030 \h </w:instrText>
      </w:r>
      <w:r>
        <w:fldChar w:fldCharType="separate"/>
      </w:r>
      <w:r>
        <w:t>228</w:t>
      </w:r>
      <w:r>
        <w:fldChar w:fldCharType="end"/>
      </w:r>
    </w:p>
    <w:p>
      <w:pPr>
        <w:pStyle w:val="TOC6"/>
        <w:tabs>
          <w:tab w:val="right" w:leader="dot" w:pos="7077"/>
        </w:tabs>
        <w:rPr>
          <w:rFonts w:asciiTheme="minorHAnsi" w:eastAsiaTheme="minorEastAsia" w:hAnsiTheme="minorHAnsi" w:cstheme="minorBidi"/>
          <w:b w:val="0"/>
          <w:sz w:val="22"/>
          <w:szCs w:val="22"/>
        </w:rPr>
      </w:pPr>
      <w:r>
        <w:t>Subdivision 2 — Protected areas</w:t>
      </w:r>
    </w:p>
    <w:p>
      <w:pPr>
        <w:pStyle w:val="TOC8"/>
        <w:rPr>
          <w:rFonts w:asciiTheme="minorHAnsi" w:eastAsiaTheme="minorEastAsia" w:hAnsiTheme="minorHAnsi" w:cstheme="minorBidi"/>
          <w:szCs w:val="22"/>
        </w:rPr>
      </w:pPr>
      <w:r>
        <w:t>314.</w:t>
      </w:r>
      <w:r>
        <w:tab/>
        <w:t>Terms used</w:t>
      </w:r>
      <w:r>
        <w:tab/>
      </w:r>
      <w:r>
        <w:fldChar w:fldCharType="begin"/>
      </w:r>
      <w:r>
        <w:instrText xml:space="preserve"> PAGEREF _Toc154743032 \h </w:instrText>
      </w:r>
      <w:r>
        <w:fldChar w:fldCharType="separate"/>
      </w:r>
      <w:r>
        <w:t>229</w:t>
      </w:r>
      <w:r>
        <w:fldChar w:fldCharType="end"/>
      </w:r>
    </w:p>
    <w:p>
      <w:pPr>
        <w:pStyle w:val="TOC8"/>
        <w:rPr>
          <w:rFonts w:asciiTheme="minorHAnsi" w:eastAsiaTheme="minorEastAsia" w:hAnsiTheme="minorHAnsi" w:cstheme="minorBidi"/>
          <w:szCs w:val="22"/>
        </w:rPr>
      </w:pPr>
      <w:r>
        <w:t>315.</w:t>
      </w:r>
      <w:r>
        <w:tab/>
        <w:t>Historical protected area orders</w:t>
      </w:r>
      <w:r>
        <w:tab/>
      </w:r>
      <w:r>
        <w:fldChar w:fldCharType="begin"/>
      </w:r>
      <w:r>
        <w:instrText xml:space="preserve"> PAGEREF _Toc154743033 \h </w:instrText>
      </w:r>
      <w:r>
        <w:fldChar w:fldCharType="separate"/>
      </w:r>
      <w:r>
        <w:t>229</w:t>
      </w:r>
      <w:r>
        <w:fldChar w:fldCharType="end"/>
      </w:r>
    </w:p>
    <w:p>
      <w:pPr>
        <w:pStyle w:val="TOC8"/>
        <w:rPr>
          <w:rFonts w:asciiTheme="minorHAnsi" w:eastAsiaTheme="minorEastAsia" w:hAnsiTheme="minorHAnsi" w:cstheme="minorBidi"/>
          <w:szCs w:val="22"/>
        </w:rPr>
      </w:pPr>
      <w:r>
        <w:t>316.</w:t>
      </w:r>
      <w:r>
        <w:tab/>
        <w:t>Continuation of former protected area orders</w:t>
      </w:r>
      <w:r>
        <w:tab/>
      </w:r>
      <w:r>
        <w:fldChar w:fldCharType="begin"/>
      </w:r>
      <w:r>
        <w:instrText xml:space="preserve"> PAGEREF _Toc154743034 \h </w:instrText>
      </w:r>
      <w:r>
        <w:fldChar w:fldCharType="separate"/>
      </w:r>
      <w:r>
        <w:t>230</w:t>
      </w:r>
      <w:r>
        <w:fldChar w:fldCharType="end"/>
      </w:r>
    </w:p>
    <w:p>
      <w:pPr>
        <w:pStyle w:val="TOC8"/>
        <w:rPr>
          <w:rFonts w:asciiTheme="minorHAnsi" w:eastAsiaTheme="minorEastAsia" w:hAnsiTheme="minorHAnsi" w:cstheme="minorBidi"/>
          <w:szCs w:val="22"/>
        </w:rPr>
      </w:pPr>
      <w:r>
        <w:t>317.</w:t>
      </w:r>
      <w:r>
        <w:tab/>
        <w:t>Conditions on former protected area orders</w:t>
      </w:r>
      <w:r>
        <w:tab/>
      </w:r>
      <w:r>
        <w:fldChar w:fldCharType="begin"/>
      </w:r>
      <w:r>
        <w:instrText xml:space="preserve"> PAGEREF _Toc154743035 \h </w:instrText>
      </w:r>
      <w:r>
        <w:fldChar w:fldCharType="separate"/>
      </w:r>
      <w:r>
        <w:t>231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AH Act section 18 consents and AH Act approvals</w:t>
      </w:r>
    </w:p>
    <w:p>
      <w:pPr>
        <w:pStyle w:val="TOC8"/>
        <w:rPr>
          <w:rFonts w:asciiTheme="minorHAnsi" w:eastAsiaTheme="minorEastAsia" w:hAnsiTheme="minorHAnsi" w:cstheme="minorBidi"/>
          <w:szCs w:val="22"/>
        </w:rPr>
      </w:pPr>
      <w:r>
        <w:t>318.</w:t>
      </w:r>
      <w:r>
        <w:tab/>
        <w:t>Terms used</w:t>
      </w:r>
      <w:r>
        <w:tab/>
      </w:r>
      <w:r>
        <w:fldChar w:fldCharType="begin"/>
      </w:r>
      <w:r>
        <w:instrText xml:space="preserve"> PAGEREF _Toc154743037 \h </w:instrText>
      </w:r>
      <w:r>
        <w:fldChar w:fldCharType="separate"/>
      </w:r>
      <w:r>
        <w:t>231</w:t>
      </w:r>
      <w:r>
        <w:fldChar w:fldCharType="end"/>
      </w:r>
    </w:p>
    <w:p>
      <w:pPr>
        <w:pStyle w:val="TOC8"/>
        <w:rPr>
          <w:rFonts w:asciiTheme="minorHAnsi" w:eastAsiaTheme="minorEastAsia" w:hAnsiTheme="minorHAnsi" w:cstheme="minorBidi"/>
          <w:szCs w:val="22"/>
        </w:rPr>
      </w:pPr>
      <w:r>
        <w:t>319.</w:t>
      </w:r>
      <w:r>
        <w:tab/>
        <w:t>AH Act section 18 consents no longer in force</w:t>
      </w:r>
      <w:r>
        <w:tab/>
      </w:r>
      <w:r>
        <w:fldChar w:fldCharType="begin"/>
      </w:r>
      <w:r>
        <w:instrText xml:space="preserve"> PAGEREF _Toc154743038 \h </w:instrText>
      </w:r>
      <w:r>
        <w:fldChar w:fldCharType="separate"/>
      </w:r>
      <w:r>
        <w:t>232</w:t>
      </w:r>
      <w:r>
        <w:fldChar w:fldCharType="end"/>
      </w:r>
    </w:p>
    <w:p>
      <w:pPr>
        <w:pStyle w:val="TOC8"/>
        <w:rPr>
          <w:rFonts w:asciiTheme="minorHAnsi" w:eastAsiaTheme="minorEastAsia" w:hAnsiTheme="minorHAnsi" w:cstheme="minorBidi"/>
          <w:szCs w:val="22"/>
        </w:rPr>
      </w:pPr>
      <w:r>
        <w:t>320.</w:t>
      </w:r>
      <w:r>
        <w:tab/>
        <w:t>AH Act approvals no longer in force</w:t>
      </w:r>
      <w:r>
        <w:tab/>
      </w:r>
      <w:r>
        <w:fldChar w:fldCharType="begin"/>
      </w:r>
      <w:r>
        <w:instrText xml:space="preserve"> PAGEREF _Toc154743039 \h </w:instrText>
      </w:r>
      <w:r>
        <w:fldChar w:fldCharType="separate"/>
      </w:r>
      <w:r>
        <w:t>232</w:t>
      </w:r>
      <w:r>
        <w:fldChar w:fldCharType="end"/>
      </w:r>
    </w:p>
    <w:p>
      <w:pPr>
        <w:pStyle w:val="TOC8"/>
        <w:rPr>
          <w:rFonts w:asciiTheme="minorHAnsi" w:eastAsiaTheme="minorEastAsia" w:hAnsiTheme="minorHAnsi" w:cstheme="minorBidi"/>
          <w:szCs w:val="22"/>
        </w:rPr>
      </w:pPr>
      <w:r>
        <w:t>321.</w:t>
      </w:r>
      <w:r>
        <w:tab/>
        <w:t>AH Act section 18 consents taken to be authorised ACH management plans in some circumstances</w:t>
      </w:r>
      <w:r>
        <w:tab/>
      </w:r>
      <w:r>
        <w:fldChar w:fldCharType="begin"/>
      </w:r>
      <w:r>
        <w:instrText xml:space="preserve"> PAGEREF _Toc154743040 \h </w:instrText>
      </w:r>
      <w:r>
        <w:fldChar w:fldCharType="separate"/>
      </w:r>
      <w:r>
        <w:t>233</w:t>
      </w:r>
      <w:r>
        <w:fldChar w:fldCharType="end"/>
      </w:r>
    </w:p>
    <w:p>
      <w:pPr>
        <w:pStyle w:val="TOC8"/>
        <w:rPr>
          <w:rFonts w:asciiTheme="minorHAnsi" w:eastAsiaTheme="minorEastAsia" w:hAnsiTheme="minorHAnsi" w:cstheme="minorBidi"/>
          <w:szCs w:val="22"/>
        </w:rPr>
      </w:pPr>
      <w:r>
        <w:t>322.</w:t>
      </w:r>
      <w:r>
        <w:tab/>
        <w:t>AH Act section 18 consents taken to be authorisation under Part 6 Division 4 in some circumstances</w:t>
      </w:r>
      <w:r>
        <w:tab/>
      </w:r>
      <w:r>
        <w:fldChar w:fldCharType="begin"/>
      </w:r>
      <w:r>
        <w:instrText xml:space="preserve"> PAGEREF _Toc154743041 \h </w:instrText>
      </w:r>
      <w:r>
        <w:fldChar w:fldCharType="separate"/>
      </w:r>
      <w:r>
        <w:t>234</w:t>
      </w:r>
      <w:r>
        <w:fldChar w:fldCharType="end"/>
      </w:r>
    </w:p>
    <w:p>
      <w:pPr>
        <w:pStyle w:val="TOC8"/>
        <w:rPr>
          <w:rFonts w:asciiTheme="minorHAnsi" w:eastAsiaTheme="minorEastAsia" w:hAnsiTheme="minorHAnsi" w:cstheme="minorBidi"/>
          <w:szCs w:val="22"/>
        </w:rPr>
      </w:pPr>
      <w:r>
        <w:t>323.</w:t>
      </w:r>
      <w:r>
        <w:tab/>
        <w:t>AH Act approvals taken to be ACH permits in some circumstances</w:t>
      </w:r>
      <w:r>
        <w:tab/>
      </w:r>
      <w:r>
        <w:fldChar w:fldCharType="begin"/>
      </w:r>
      <w:r>
        <w:instrText xml:space="preserve"> PAGEREF _Toc154743042 \h </w:instrText>
      </w:r>
      <w:r>
        <w:fldChar w:fldCharType="separate"/>
      </w:r>
      <w:r>
        <w:t>235</w:t>
      </w:r>
      <w:r>
        <w:fldChar w:fldCharType="end"/>
      </w:r>
    </w:p>
    <w:p>
      <w:pPr>
        <w:pStyle w:val="TOC8"/>
        <w:rPr>
          <w:rFonts w:asciiTheme="minorHAnsi" w:eastAsiaTheme="minorEastAsia" w:hAnsiTheme="minorHAnsi" w:cstheme="minorBidi"/>
          <w:szCs w:val="22"/>
        </w:rPr>
      </w:pPr>
      <w:r>
        <w:t>324.</w:t>
      </w:r>
      <w:r>
        <w:tab/>
        <w:t>AH Act approvals taken to be authorisation under Part 6 Division 4 in some circumstances</w:t>
      </w:r>
      <w:r>
        <w:tab/>
      </w:r>
      <w:r>
        <w:fldChar w:fldCharType="begin"/>
      </w:r>
      <w:r>
        <w:instrText xml:space="preserve"> PAGEREF _Toc154743043 \h </w:instrText>
      </w:r>
      <w:r>
        <w:fldChar w:fldCharType="separate"/>
      </w:r>
      <w:r>
        <w:t>236</w:t>
      </w:r>
      <w:r>
        <w:fldChar w:fldCharType="end"/>
      </w:r>
    </w:p>
    <w:p>
      <w:pPr>
        <w:pStyle w:val="TOC8"/>
        <w:rPr>
          <w:rFonts w:asciiTheme="minorHAnsi" w:eastAsiaTheme="minorEastAsia" w:hAnsiTheme="minorHAnsi" w:cstheme="minorBidi"/>
          <w:szCs w:val="22"/>
        </w:rPr>
      </w:pPr>
      <w:r>
        <w:t>325.</w:t>
      </w:r>
      <w:r>
        <w:tab/>
        <w:t>Expiry of historical AH Act section 18 consents</w:t>
      </w:r>
      <w:r>
        <w:tab/>
      </w:r>
      <w:r>
        <w:fldChar w:fldCharType="begin"/>
      </w:r>
      <w:r>
        <w:instrText xml:space="preserve"> PAGEREF _Toc154743044 \h </w:instrText>
      </w:r>
      <w:r>
        <w:fldChar w:fldCharType="separate"/>
      </w:r>
      <w:r>
        <w:t>237</w:t>
      </w:r>
      <w:r>
        <w:fldChar w:fldCharType="end"/>
      </w:r>
    </w:p>
    <w:p>
      <w:pPr>
        <w:pStyle w:val="TOC8"/>
        <w:rPr>
          <w:rFonts w:asciiTheme="minorHAnsi" w:eastAsiaTheme="minorEastAsia" w:hAnsiTheme="minorHAnsi" w:cstheme="minorBidi"/>
          <w:szCs w:val="22"/>
        </w:rPr>
      </w:pPr>
      <w:r>
        <w:t>326.</w:t>
      </w:r>
      <w:r>
        <w:tab/>
        <w:t>Extension of duration of transitional AH Act section 18 consents</w:t>
      </w:r>
      <w:r>
        <w:tab/>
      </w:r>
      <w:r>
        <w:fldChar w:fldCharType="begin"/>
      </w:r>
      <w:r>
        <w:instrText xml:space="preserve"> PAGEREF _Toc154743045 \h </w:instrText>
      </w:r>
      <w:r>
        <w:fldChar w:fldCharType="separate"/>
      </w:r>
      <w:r>
        <w:t>238</w:t>
      </w:r>
      <w:r>
        <w:fldChar w:fldCharType="end"/>
      </w:r>
    </w:p>
    <w:p>
      <w:pPr>
        <w:pStyle w:val="TOC6"/>
        <w:tabs>
          <w:tab w:val="right" w:leader="dot" w:pos="7077"/>
        </w:tabs>
        <w:rPr>
          <w:rFonts w:asciiTheme="minorHAnsi" w:eastAsiaTheme="minorEastAsia" w:hAnsiTheme="minorHAnsi" w:cstheme="minorBidi"/>
          <w:b w:val="0"/>
          <w:sz w:val="22"/>
          <w:szCs w:val="22"/>
        </w:rPr>
      </w:pPr>
      <w:r>
        <w:t>Subdivision 4 — Marandoo Act area</w:t>
      </w:r>
    </w:p>
    <w:p>
      <w:pPr>
        <w:pStyle w:val="TOC8"/>
        <w:rPr>
          <w:rFonts w:asciiTheme="minorHAnsi" w:eastAsiaTheme="minorEastAsia" w:hAnsiTheme="minorHAnsi" w:cstheme="minorBidi"/>
          <w:szCs w:val="22"/>
        </w:rPr>
      </w:pPr>
      <w:r>
        <w:t>327.</w:t>
      </w:r>
      <w:r>
        <w:tab/>
        <w:t>Terms used</w:t>
      </w:r>
      <w:r>
        <w:tab/>
      </w:r>
      <w:r>
        <w:fldChar w:fldCharType="begin"/>
      </w:r>
      <w:r>
        <w:instrText xml:space="preserve"> PAGEREF _Toc154743047 \h </w:instrText>
      </w:r>
      <w:r>
        <w:fldChar w:fldCharType="separate"/>
      </w:r>
      <w:r>
        <w:t>239</w:t>
      </w:r>
      <w:r>
        <w:fldChar w:fldCharType="end"/>
      </w:r>
    </w:p>
    <w:p>
      <w:pPr>
        <w:pStyle w:val="TOC8"/>
        <w:rPr>
          <w:rFonts w:asciiTheme="minorHAnsi" w:eastAsiaTheme="minorEastAsia" w:hAnsiTheme="minorHAnsi" w:cstheme="minorBidi"/>
          <w:szCs w:val="22"/>
        </w:rPr>
      </w:pPr>
      <w:r>
        <w:t>328.</w:t>
      </w:r>
      <w:r>
        <w:tab/>
        <w:t>Historical AH Act section 18 consent taken to be held</w:t>
      </w:r>
      <w:r>
        <w:tab/>
      </w:r>
      <w:r>
        <w:fldChar w:fldCharType="begin"/>
      </w:r>
      <w:r>
        <w:instrText xml:space="preserve"> PAGEREF _Toc154743048 \h </w:instrText>
      </w:r>
      <w:r>
        <w:fldChar w:fldCharType="separate"/>
      </w:r>
      <w:r>
        <w:t>240</w:t>
      </w:r>
      <w:r>
        <w:fldChar w:fldCharType="end"/>
      </w:r>
    </w:p>
    <w:p>
      <w:pPr>
        <w:pStyle w:val="TOC8"/>
        <w:rPr>
          <w:rFonts w:asciiTheme="minorHAnsi" w:eastAsiaTheme="minorEastAsia" w:hAnsiTheme="minorHAnsi" w:cstheme="minorBidi"/>
          <w:szCs w:val="22"/>
        </w:rPr>
      </w:pPr>
      <w:r>
        <w:t>329.</w:t>
      </w:r>
      <w:r>
        <w:tab/>
        <w:t>Minister may approve reduced area</w:t>
      </w:r>
      <w:r>
        <w:tab/>
      </w:r>
      <w:r>
        <w:fldChar w:fldCharType="begin"/>
      </w:r>
      <w:r>
        <w:instrText xml:space="preserve"> PAGEREF _Toc154743049 \h </w:instrText>
      </w:r>
      <w:r>
        <w:fldChar w:fldCharType="separate"/>
      </w:r>
      <w:r>
        <w:t>240</w:t>
      </w:r>
      <w:r>
        <w:fldChar w:fldCharType="end"/>
      </w:r>
    </w:p>
    <w:p>
      <w:pPr>
        <w:pStyle w:val="TOC8"/>
        <w:rPr>
          <w:rFonts w:asciiTheme="minorHAnsi" w:eastAsiaTheme="minorEastAsia" w:hAnsiTheme="minorHAnsi" w:cstheme="minorBidi"/>
          <w:szCs w:val="22"/>
        </w:rPr>
      </w:pPr>
      <w:r>
        <w:t>330.</w:t>
      </w:r>
      <w:r>
        <w:tab/>
        <w:t>Purported section 18 consents are of no effect</w:t>
      </w:r>
      <w:r>
        <w:tab/>
      </w:r>
      <w:r>
        <w:fldChar w:fldCharType="begin"/>
      </w:r>
      <w:r>
        <w:instrText xml:space="preserve"> PAGEREF _Toc154743050 \h </w:instrText>
      </w:r>
      <w:r>
        <w:fldChar w:fldCharType="separate"/>
      </w:r>
      <w:r>
        <w:t>241</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331.</w:t>
      </w:r>
      <w:r>
        <w:tab/>
        <w:t>Information and documents on former register transferred to ACH Directory</w:t>
      </w:r>
      <w:r>
        <w:tab/>
      </w:r>
      <w:r>
        <w:fldChar w:fldCharType="begin"/>
      </w:r>
      <w:r>
        <w:instrText xml:space="preserve"> PAGEREF _Toc154743052 \h </w:instrText>
      </w:r>
      <w:r>
        <w:fldChar w:fldCharType="separate"/>
      </w:r>
      <w:r>
        <w:t>242</w:t>
      </w:r>
      <w:r>
        <w:fldChar w:fldCharType="end"/>
      </w:r>
    </w:p>
    <w:p>
      <w:pPr>
        <w:pStyle w:val="TOC8"/>
        <w:rPr>
          <w:rFonts w:asciiTheme="minorHAnsi" w:eastAsiaTheme="minorEastAsia" w:hAnsiTheme="minorHAnsi" w:cstheme="minorBidi"/>
          <w:szCs w:val="22"/>
        </w:rPr>
      </w:pPr>
      <w:r>
        <w:t>332.</w:t>
      </w:r>
      <w:r>
        <w:tab/>
        <w:t>Unfinished business</w:t>
      </w:r>
      <w:r>
        <w:tab/>
      </w:r>
      <w:r>
        <w:fldChar w:fldCharType="begin"/>
      </w:r>
      <w:r>
        <w:instrText xml:space="preserve"> PAGEREF _Toc154743053 \h </w:instrText>
      </w:r>
      <w:r>
        <w:fldChar w:fldCharType="separate"/>
      </w:r>
      <w:r>
        <w:t>242</w:t>
      </w:r>
      <w:r>
        <w:fldChar w:fldCharType="end"/>
      </w:r>
    </w:p>
    <w:p>
      <w:pPr>
        <w:pStyle w:val="TOC8"/>
        <w:rPr>
          <w:rFonts w:asciiTheme="minorHAnsi" w:eastAsiaTheme="minorEastAsia" w:hAnsiTheme="minorHAnsi" w:cstheme="minorBidi"/>
          <w:szCs w:val="22"/>
        </w:rPr>
      </w:pPr>
      <w:r>
        <w:t>333.</w:t>
      </w:r>
      <w:r>
        <w:tab/>
        <w:t>ACMC abolished</w:t>
      </w:r>
      <w:r>
        <w:tab/>
      </w:r>
      <w:r>
        <w:fldChar w:fldCharType="begin"/>
      </w:r>
      <w:r>
        <w:instrText xml:space="preserve"> PAGEREF _Toc154743054 \h </w:instrText>
      </w:r>
      <w:r>
        <w:fldChar w:fldCharType="separate"/>
      </w:r>
      <w:r>
        <w:t>242</w:t>
      </w:r>
      <w:r>
        <w:fldChar w:fldCharType="end"/>
      </w:r>
    </w:p>
    <w:p>
      <w:pPr>
        <w:pStyle w:val="TOC8"/>
        <w:rPr>
          <w:rFonts w:asciiTheme="minorHAnsi" w:eastAsiaTheme="minorEastAsia" w:hAnsiTheme="minorHAnsi" w:cstheme="minorBidi"/>
          <w:szCs w:val="22"/>
        </w:rPr>
      </w:pPr>
      <w:r>
        <w:t>334.</w:t>
      </w:r>
      <w:r>
        <w:tab/>
        <w:t>Completion of things commenced</w:t>
      </w:r>
      <w:r>
        <w:tab/>
      </w:r>
      <w:r>
        <w:fldChar w:fldCharType="begin"/>
      </w:r>
      <w:r>
        <w:instrText xml:space="preserve"> PAGEREF _Toc154743055 \h </w:instrText>
      </w:r>
      <w:r>
        <w:fldChar w:fldCharType="separate"/>
      </w:r>
      <w:r>
        <w:t>242</w:t>
      </w:r>
      <w:r>
        <w:fldChar w:fldCharType="end"/>
      </w:r>
    </w:p>
    <w:p>
      <w:pPr>
        <w:pStyle w:val="TOC8"/>
        <w:rPr>
          <w:rFonts w:asciiTheme="minorHAnsi" w:eastAsiaTheme="minorEastAsia" w:hAnsiTheme="minorHAnsi" w:cstheme="minorBidi"/>
          <w:szCs w:val="22"/>
        </w:rPr>
      </w:pPr>
      <w:r>
        <w:lastRenderedPageBreak/>
        <w:t>335.</w:t>
      </w:r>
      <w:r>
        <w:tab/>
        <w:t xml:space="preserve">References to </w:t>
      </w:r>
      <w:r>
        <w:rPr>
          <w:i/>
        </w:rPr>
        <w:t>Aboriginal Heritage Act 1972</w:t>
      </w:r>
      <w:r>
        <w:tab/>
      </w:r>
      <w:r>
        <w:fldChar w:fldCharType="begin"/>
      </w:r>
      <w:r>
        <w:instrText xml:space="preserve"> PAGEREF _Toc154743056 \h </w:instrText>
      </w:r>
      <w:r>
        <w:fldChar w:fldCharType="separate"/>
      </w:r>
      <w:r>
        <w:t>243</w:t>
      </w:r>
      <w:r>
        <w:fldChar w:fldCharType="end"/>
      </w:r>
    </w:p>
    <w:p>
      <w:pPr>
        <w:pStyle w:val="TOC8"/>
        <w:rPr>
          <w:rFonts w:asciiTheme="minorHAnsi" w:eastAsiaTheme="minorEastAsia" w:hAnsiTheme="minorHAnsi" w:cstheme="minorBidi"/>
          <w:szCs w:val="22"/>
        </w:rPr>
      </w:pPr>
      <w:r>
        <w:t>336.</w:t>
      </w:r>
      <w:r>
        <w:tab/>
        <w:t>Transitional regulations</w:t>
      </w:r>
      <w:r>
        <w:tab/>
      </w:r>
      <w:r>
        <w:fldChar w:fldCharType="begin"/>
      </w:r>
      <w:r>
        <w:instrText xml:space="preserve"> PAGEREF _Toc154743057 \h </w:instrText>
      </w:r>
      <w:r>
        <w:fldChar w:fldCharType="separate"/>
      </w:r>
      <w:r>
        <w:t>243</w:t>
      </w:r>
      <w:r>
        <w:fldChar w:fldCharType="end"/>
      </w:r>
    </w:p>
    <w:p>
      <w:pPr>
        <w:pStyle w:val="TOC8"/>
        <w:rPr>
          <w:rFonts w:asciiTheme="minorHAnsi" w:eastAsiaTheme="minorEastAsia" w:hAnsiTheme="minorHAnsi" w:cstheme="minorBidi"/>
          <w:szCs w:val="22"/>
        </w:rPr>
      </w:pPr>
      <w:r>
        <w:t>337.</w:t>
      </w:r>
      <w:r>
        <w:tab/>
      </w:r>
      <w:r>
        <w:rPr>
          <w:i/>
        </w:rPr>
        <w:t>Interpretation Act 1984</w:t>
      </w:r>
      <w:r>
        <w:t xml:space="preserve"> not affected</w:t>
      </w:r>
      <w:r>
        <w:tab/>
      </w:r>
      <w:r>
        <w:fldChar w:fldCharType="begin"/>
      </w:r>
      <w:r>
        <w:instrText xml:space="preserve"> PAGEREF _Toc154743058 \h </w:instrText>
      </w:r>
      <w:r>
        <w:fldChar w:fldCharType="separate"/>
      </w:r>
      <w:r>
        <w:t>244</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_Toc154743061 \h </w:instrText>
      </w:r>
      <w:r>
        <w:fldChar w:fldCharType="separate"/>
      </w:r>
      <w:r>
        <w:t>245</w:t>
      </w:r>
      <w:r>
        <w:fldChar w:fldCharType="end"/>
      </w:r>
    </w:p>
    <w:p>
      <w:pPr>
        <w:pStyle w:val="TOC4"/>
        <w:tabs>
          <w:tab w:val="right" w:leader="dot" w:pos="7077"/>
        </w:tabs>
        <w:rPr>
          <w:rFonts w:asciiTheme="minorHAnsi" w:eastAsiaTheme="minorEastAsia" w:hAnsiTheme="minorHAnsi" w:cstheme="minorBidi"/>
          <w:b w:val="0"/>
          <w:szCs w:val="22"/>
        </w:rPr>
      </w:pPr>
      <w:r>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_Toc154743063 \h </w:instrText>
      </w:r>
      <w:r>
        <w:fldChar w:fldCharType="separate"/>
      </w:r>
      <w:r>
        <w:t>245</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_Toc154743064 \h </w:instrText>
      </w:r>
      <w:r>
        <w:fldChar w:fldCharType="separate"/>
      </w:r>
      <w:r>
        <w:t>245</w:t>
      </w:r>
      <w:r>
        <w:fldChar w:fldCharType="end"/>
      </w:r>
    </w:p>
    <w:p>
      <w:pPr>
        <w:pStyle w:val="TOC4"/>
        <w:tabs>
          <w:tab w:val="right" w:leader="dot" w:pos="7077"/>
        </w:tabs>
        <w:rPr>
          <w:rFonts w:asciiTheme="minorHAnsi" w:eastAsiaTheme="minorEastAsia" w:hAnsiTheme="minorHAnsi" w:cstheme="minorBidi"/>
          <w:b w:val="0"/>
          <w:szCs w:val="22"/>
        </w:rPr>
      </w:pPr>
      <w:r>
        <w:t>Division 3 — Amendments commencing on transition day</w:t>
      </w:r>
    </w:p>
    <w:p>
      <w:pPr>
        <w:pStyle w:val="TOC8"/>
        <w:rPr>
          <w:rFonts w:asciiTheme="minorHAnsi" w:eastAsiaTheme="minorEastAsia" w:hAnsiTheme="minorHAnsi" w:cstheme="minorBidi"/>
          <w:szCs w:val="22"/>
        </w:rPr>
      </w:pPr>
      <w:r>
        <w:t>341.</w:t>
      </w:r>
      <w:r>
        <w:tab/>
        <w:t>Long title replaced</w:t>
      </w:r>
      <w:r>
        <w:tab/>
      </w:r>
      <w:r>
        <w:fldChar w:fldCharType="begin"/>
      </w:r>
      <w:r>
        <w:instrText xml:space="preserve"> PAGEREF _Toc154743066 \h </w:instrText>
      </w:r>
      <w:r>
        <w:fldChar w:fldCharType="separate"/>
      </w:r>
      <w:r>
        <w:t>246</w:t>
      </w:r>
      <w:r>
        <w:fldChar w:fldCharType="end"/>
      </w:r>
    </w:p>
    <w:p>
      <w:pPr>
        <w:pStyle w:val="TOC8"/>
        <w:rPr>
          <w:rFonts w:asciiTheme="minorHAnsi" w:eastAsiaTheme="minorEastAsia" w:hAnsiTheme="minorHAnsi" w:cstheme="minorBidi"/>
          <w:szCs w:val="22"/>
        </w:rPr>
      </w:pPr>
      <w:r>
        <w:t>342.</w:t>
      </w:r>
      <w:r>
        <w:tab/>
        <w:t>Sections 4A and 4B inserted</w:t>
      </w:r>
      <w:r>
        <w:tab/>
      </w:r>
      <w:r>
        <w:fldChar w:fldCharType="begin"/>
      </w:r>
      <w:r>
        <w:instrText xml:space="preserve"> PAGEREF _Toc154743067 \h </w:instrText>
      </w:r>
      <w:r>
        <w:fldChar w:fldCharType="separate"/>
      </w:r>
      <w:r>
        <w:t>247</w:t>
      </w:r>
      <w:r>
        <w:fldChar w:fldCharType="end"/>
      </w:r>
    </w:p>
    <w:p>
      <w:pPr>
        <w:pStyle w:val="TOC9"/>
        <w:rPr>
          <w:rFonts w:asciiTheme="minorHAnsi" w:eastAsiaTheme="minorEastAsia" w:hAnsiTheme="minorHAnsi" w:cstheme="minorBidi"/>
          <w:noProof/>
          <w:sz w:val="22"/>
          <w:szCs w:val="22"/>
        </w:rPr>
      </w:pPr>
      <w:r>
        <w:rPr>
          <w:noProof/>
        </w:rPr>
        <w:t>4A.</w:t>
      </w:r>
      <w:r>
        <w:rPr>
          <w:noProof/>
        </w:rPr>
        <w:tab/>
        <w:t>Application of Act limited</w:t>
      </w:r>
      <w:r>
        <w:rPr>
          <w:noProof/>
        </w:rPr>
        <w:tab/>
      </w:r>
      <w:r>
        <w:rPr>
          <w:noProof/>
        </w:rPr>
        <w:fldChar w:fldCharType="begin"/>
      </w:r>
      <w:r>
        <w:rPr>
          <w:noProof/>
        </w:rPr>
        <w:instrText xml:space="preserve"> PAGEREF _Toc154743068 \h </w:instrText>
      </w:r>
      <w:r>
        <w:rPr>
          <w:noProof/>
        </w:rPr>
      </w:r>
      <w:r>
        <w:rPr>
          <w:noProof/>
        </w:rPr>
        <w:fldChar w:fldCharType="separate"/>
      </w:r>
      <w:r>
        <w:rPr>
          <w:noProof/>
        </w:rPr>
        <w:t>247</w:t>
      </w:r>
      <w:r>
        <w:rPr>
          <w:noProof/>
        </w:rPr>
        <w:fldChar w:fldCharType="end"/>
      </w:r>
    </w:p>
    <w:p>
      <w:pPr>
        <w:pStyle w:val="TOC9"/>
        <w:rPr>
          <w:rFonts w:asciiTheme="minorHAnsi" w:eastAsiaTheme="minorEastAsia" w:hAnsiTheme="minorHAnsi" w:cstheme="minorBidi"/>
          <w:noProof/>
          <w:sz w:val="22"/>
          <w:szCs w:val="22"/>
        </w:rPr>
      </w:pPr>
      <w:r>
        <w:rPr>
          <w:noProof/>
        </w:rPr>
        <w:t>4B.</w:t>
      </w:r>
      <w:r>
        <w:rPr>
          <w:noProof/>
        </w:rPr>
        <w:tab/>
        <w:t>Act continues to apply for certain purposes only</w:t>
      </w:r>
      <w:r>
        <w:rPr>
          <w:noProof/>
        </w:rPr>
        <w:tab/>
      </w:r>
      <w:r>
        <w:rPr>
          <w:noProof/>
        </w:rPr>
        <w:fldChar w:fldCharType="begin"/>
      </w:r>
      <w:r>
        <w:rPr>
          <w:noProof/>
        </w:rPr>
        <w:instrText xml:space="preserve"> PAGEREF _Toc154743069 \h </w:instrText>
      </w:r>
      <w:r>
        <w:rPr>
          <w:noProof/>
        </w:rPr>
      </w:r>
      <w:r>
        <w:rPr>
          <w:noProof/>
        </w:rPr>
        <w:fldChar w:fldCharType="separate"/>
      </w:r>
      <w:r>
        <w:rPr>
          <w:noProof/>
        </w:rPr>
        <w:t>247</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16 — Other Acts amended</w:t>
      </w:r>
    </w:p>
    <w:p>
      <w:pPr>
        <w:pStyle w:val="TOC8"/>
        <w:rPr>
          <w:rFonts w:asciiTheme="minorHAnsi" w:eastAsiaTheme="minorEastAsia" w:hAnsiTheme="minorHAnsi" w:cstheme="minorBidi"/>
          <w:szCs w:val="22"/>
        </w:rPr>
      </w:pPr>
      <w:r>
        <w:t>343.</w:t>
      </w:r>
      <w:r>
        <w:tab/>
      </w:r>
      <w:r>
        <w:rPr>
          <w:i/>
        </w:rPr>
        <w:t>Conservation and Land Management Act 1984</w:t>
      </w:r>
      <w:r>
        <w:t xml:space="preserve"> amended</w:t>
      </w:r>
      <w:r>
        <w:tab/>
      </w:r>
      <w:r>
        <w:fldChar w:fldCharType="begin"/>
      </w:r>
      <w:r>
        <w:instrText xml:space="preserve"> PAGEREF _Toc154743071 \h </w:instrText>
      </w:r>
      <w:r>
        <w:fldChar w:fldCharType="separate"/>
      </w:r>
      <w:r>
        <w:t>248</w:t>
      </w:r>
      <w:r>
        <w:fldChar w:fldCharType="end"/>
      </w:r>
    </w:p>
    <w:p>
      <w:pPr>
        <w:pStyle w:val="TOC8"/>
        <w:rPr>
          <w:rFonts w:asciiTheme="minorHAnsi" w:eastAsiaTheme="minorEastAsia" w:hAnsiTheme="minorHAnsi" w:cstheme="minorBidi"/>
          <w:szCs w:val="22"/>
        </w:rPr>
      </w:pPr>
      <w:r>
        <w:t>344.</w:t>
      </w:r>
      <w:r>
        <w:tab/>
      </w:r>
      <w:r>
        <w:rPr>
          <w:i/>
        </w:rPr>
        <w:t>Constitution Acts Amendment Act 1899</w:t>
      </w:r>
      <w:r>
        <w:t xml:space="preserve"> amended</w:t>
      </w:r>
      <w:r>
        <w:tab/>
      </w:r>
      <w:r>
        <w:fldChar w:fldCharType="begin"/>
      </w:r>
      <w:r>
        <w:instrText xml:space="preserve"> PAGEREF _Toc154743072 \h </w:instrText>
      </w:r>
      <w:r>
        <w:fldChar w:fldCharType="separate"/>
      </w:r>
      <w:r>
        <w:t>248</w:t>
      </w:r>
      <w:r>
        <w:fldChar w:fldCharType="end"/>
      </w:r>
    </w:p>
    <w:p>
      <w:pPr>
        <w:pStyle w:val="TOC8"/>
        <w:rPr>
          <w:rFonts w:asciiTheme="minorHAnsi" w:eastAsiaTheme="minorEastAsia" w:hAnsiTheme="minorHAnsi" w:cstheme="minorBidi"/>
          <w:szCs w:val="22"/>
        </w:rPr>
      </w:pPr>
      <w:r>
        <w:t>345.</w:t>
      </w:r>
      <w:r>
        <w:tab/>
      </w:r>
      <w:r>
        <w:rPr>
          <w:i/>
        </w:rPr>
        <w:t>Control of Vehicles (Off</w:t>
      </w:r>
      <w:r>
        <w:rPr>
          <w:i/>
        </w:rPr>
        <w:noBreakHyphen/>
        <w:t>road Areas) Act 1978</w:t>
      </w:r>
      <w:r>
        <w:t xml:space="preserve"> amended</w:t>
      </w:r>
      <w:r>
        <w:tab/>
      </w:r>
      <w:r>
        <w:fldChar w:fldCharType="begin"/>
      </w:r>
      <w:r>
        <w:instrText xml:space="preserve"> PAGEREF _Toc154743073 \h </w:instrText>
      </w:r>
      <w:r>
        <w:fldChar w:fldCharType="separate"/>
      </w:r>
      <w:r>
        <w:t>249</w:t>
      </w:r>
      <w:r>
        <w:fldChar w:fldCharType="end"/>
      </w:r>
    </w:p>
    <w:p>
      <w:pPr>
        <w:pStyle w:val="TOC8"/>
        <w:rPr>
          <w:rFonts w:asciiTheme="minorHAnsi" w:eastAsiaTheme="minorEastAsia" w:hAnsiTheme="minorHAnsi" w:cstheme="minorBidi"/>
          <w:szCs w:val="22"/>
        </w:rPr>
      </w:pPr>
      <w:r>
        <w:t>346.</w:t>
      </w:r>
      <w:r>
        <w:tab/>
      </w:r>
      <w:r>
        <w:rPr>
          <w:i/>
        </w:rPr>
        <w:t>Coroners Act 1996</w:t>
      </w:r>
      <w:r>
        <w:t xml:space="preserve"> amended</w:t>
      </w:r>
      <w:r>
        <w:tab/>
      </w:r>
      <w:r>
        <w:fldChar w:fldCharType="begin"/>
      </w:r>
      <w:r>
        <w:instrText xml:space="preserve"> PAGEREF _Toc154743074 \h </w:instrText>
      </w:r>
      <w:r>
        <w:fldChar w:fldCharType="separate"/>
      </w:r>
      <w:r>
        <w:t>249</w:t>
      </w:r>
      <w:r>
        <w:fldChar w:fldCharType="end"/>
      </w:r>
    </w:p>
    <w:p>
      <w:pPr>
        <w:pStyle w:val="TOC9"/>
        <w:rPr>
          <w:rFonts w:asciiTheme="minorHAnsi" w:eastAsiaTheme="minorEastAsia" w:hAnsiTheme="minorHAnsi" w:cstheme="minorBidi"/>
          <w:noProof/>
          <w:sz w:val="22"/>
          <w:szCs w:val="22"/>
        </w:rPr>
      </w:pPr>
      <w:r>
        <w:rPr>
          <w:noProof/>
        </w:rPr>
        <w:t>19B.</w:t>
      </w:r>
      <w:r>
        <w:rPr>
          <w:noProof/>
        </w:rPr>
        <w:tab/>
        <w:t>Investigations and Aboriginal ancestral remains</w:t>
      </w:r>
      <w:r>
        <w:rPr>
          <w:noProof/>
        </w:rPr>
        <w:tab/>
      </w:r>
      <w:r>
        <w:rPr>
          <w:noProof/>
        </w:rPr>
        <w:fldChar w:fldCharType="begin"/>
      </w:r>
      <w:r>
        <w:rPr>
          <w:noProof/>
        </w:rPr>
        <w:instrText xml:space="preserve"> PAGEREF _Toc154743075 \h </w:instrText>
      </w:r>
      <w:r>
        <w:rPr>
          <w:noProof/>
        </w:rPr>
      </w:r>
      <w:r>
        <w:rPr>
          <w:noProof/>
        </w:rPr>
        <w:fldChar w:fldCharType="separate"/>
      </w:r>
      <w:r>
        <w:rPr>
          <w:noProof/>
        </w:rPr>
        <w:t>249</w:t>
      </w:r>
      <w:r>
        <w:rPr>
          <w:noProof/>
        </w:rPr>
        <w:fldChar w:fldCharType="end"/>
      </w:r>
    </w:p>
    <w:p>
      <w:pPr>
        <w:pStyle w:val="TOC8"/>
        <w:rPr>
          <w:rFonts w:asciiTheme="minorHAnsi" w:eastAsiaTheme="minorEastAsia" w:hAnsiTheme="minorHAnsi" w:cstheme="minorBidi"/>
          <w:szCs w:val="22"/>
        </w:rPr>
      </w:pPr>
      <w:r>
        <w:t>347.</w:t>
      </w:r>
      <w:r>
        <w:tab/>
      </w:r>
      <w:r>
        <w:rPr>
          <w:i/>
        </w:rPr>
        <w:t>COVID</w:t>
      </w:r>
      <w:r>
        <w:rPr>
          <w:i/>
        </w:rPr>
        <w:noBreakHyphen/>
        <w:t>19 Response and Economic Recovery Omnibus Act 2020</w:t>
      </w:r>
      <w:r>
        <w:t xml:space="preserve"> amended</w:t>
      </w:r>
      <w:r>
        <w:tab/>
      </w:r>
      <w:r>
        <w:fldChar w:fldCharType="begin"/>
      </w:r>
      <w:r>
        <w:instrText xml:space="preserve"> PAGEREF _Toc154743076 \h </w:instrText>
      </w:r>
      <w:r>
        <w:fldChar w:fldCharType="separate"/>
      </w:r>
      <w:r>
        <w:t>250</w:t>
      </w:r>
      <w:r>
        <w:fldChar w:fldCharType="end"/>
      </w:r>
    </w:p>
    <w:p>
      <w:pPr>
        <w:pStyle w:val="TOC8"/>
        <w:rPr>
          <w:rFonts w:asciiTheme="minorHAnsi" w:eastAsiaTheme="minorEastAsia" w:hAnsiTheme="minorHAnsi" w:cstheme="minorBidi"/>
          <w:szCs w:val="22"/>
        </w:rPr>
      </w:pPr>
      <w:r>
        <w:t>348.</w:t>
      </w:r>
      <w:r>
        <w:tab/>
      </w:r>
      <w:r>
        <w:rPr>
          <w:i/>
        </w:rPr>
        <w:t>Environmental Protection Act 1986</w:t>
      </w:r>
      <w:r>
        <w:t xml:space="preserve"> amended</w:t>
      </w:r>
      <w:r>
        <w:tab/>
      </w:r>
      <w:r>
        <w:fldChar w:fldCharType="begin"/>
      </w:r>
      <w:r>
        <w:instrText xml:space="preserve"> PAGEREF _Toc154743077 \h </w:instrText>
      </w:r>
      <w:r>
        <w:fldChar w:fldCharType="separate"/>
      </w:r>
      <w:r>
        <w:t>250</w:t>
      </w:r>
      <w:r>
        <w:fldChar w:fldCharType="end"/>
      </w:r>
    </w:p>
    <w:p>
      <w:pPr>
        <w:pStyle w:val="TOC8"/>
        <w:rPr>
          <w:rFonts w:asciiTheme="minorHAnsi" w:eastAsiaTheme="minorEastAsia" w:hAnsiTheme="minorHAnsi" w:cstheme="minorBidi"/>
          <w:szCs w:val="22"/>
        </w:rPr>
      </w:pPr>
      <w:r>
        <w:t>349.</w:t>
      </w:r>
      <w:r>
        <w:tab/>
      </w:r>
      <w:r>
        <w:rPr>
          <w:i/>
        </w:rPr>
        <w:t>Heritage Act 2018</w:t>
      </w:r>
      <w:r>
        <w:t xml:space="preserve"> amended</w:t>
      </w:r>
      <w:r>
        <w:tab/>
      </w:r>
      <w:r>
        <w:fldChar w:fldCharType="begin"/>
      </w:r>
      <w:r>
        <w:instrText xml:space="preserve"> PAGEREF _Toc154743078 \h </w:instrText>
      </w:r>
      <w:r>
        <w:fldChar w:fldCharType="separate"/>
      </w:r>
      <w:r>
        <w:t>250</w:t>
      </w:r>
      <w:r>
        <w:fldChar w:fldCharType="end"/>
      </w:r>
    </w:p>
    <w:p>
      <w:pPr>
        <w:pStyle w:val="TOC8"/>
        <w:rPr>
          <w:rFonts w:asciiTheme="minorHAnsi" w:eastAsiaTheme="minorEastAsia" w:hAnsiTheme="minorHAnsi" w:cstheme="minorBidi"/>
          <w:szCs w:val="22"/>
        </w:rPr>
      </w:pPr>
      <w:r>
        <w:t>350.</w:t>
      </w:r>
      <w:r>
        <w:tab/>
      </w:r>
      <w:r>
        <w:rPr>
          <w:i/>
        </w:rPr>
        <w:t>Planning and Development Act 2005</w:t>
      </w:r>
      <w:r>
        <w:t xml:space="preserve"> amended</w:t>
      </w:r>
      <w:r>
        <w:tab/>
      </w:r>
      <w:r>
        <w:fldChar w:fldCharType="begin"/>
      </w:r>
      <w:r>
        <w:instrText xml:space="preserve"> PAGEREF _Toc154743079 \h </w:instrText>
      </w:r>
      <w:r>
        <w:fldChar w:fldCharType="separate"/>
      </w:r>
      <w:r>
        <w:t>251</w:t>
      </w:r>
      <w:r>
        <w:fldChar w:fldCharType="end"/>
      </w:r>
    </w:p>
    <w:p>
      <w:pPr>
        <w:pStyle w:val="TOC8"/>
        <w:rPr>
          <w:rFonts w:asciiTheme="minorHAnsi" w:eastAsiaTheme="minorEastAsia" w:hAnsiTheme="minorHAnsi" w:cstheme="minorBidi"/>
          <w:szCs w:val="22"/>
        </w:rPr>
      </w:pPr>
      <w:r>
        <w:t>351.</w:t>
      </w:r>
      <w:r>
        <w:tab/>
      </w:r>
      <w:r>
        <w:rPr>
          <w:i/>
        </w:rPr>
        <w:t>Railway (Tilley to Karara) Act 2010</w:t>
      </w:r>
      <w:r>
        <w:t> amended</w:t>
      </w:r>
      <w:r>
        <w:tab/>
      </w:r>
      <w:r>
        <w:fldChar w:fldCharType="begin"/>
      </w:r>
      <w:r>
        <w:instrText xml:space="preserve"> PAGEREF _Toc154743080 \h </w:instrText>
      </w:r>
      <w:r>
        <w:fldChar w:fldCharType="separate"/>
      </w:r>
      <w:r>
        <w:t>251</w:t>
      </w:r>
      <w:r>
        <w:fldChar w:fldCharType="end"/>
      </w:r>
    </w:p>
    <w:p>
      <w:pPr>
        <w:pStyle w:val="TOC8"/>
        <w:rPr>
          <w:rFonts w:asciiTheme="minorHAnsi" w:eastAsiaTheme="minorEastAsia" w:hAnsiTheme="minorHAnsi" w:cstheme="minorBidi"/>
          <w:szCs w:val="22"/>
        </w:rPr>
      </w:pPr>
      <w:r>
        <w:t>352.</w:t>
      </w:r>
      <w:r>
        <w:tab/>
      </w:r>
      <w:r>
        <w:rPr>
          <w:i/>
        </w:rPr>
        <w:t>Sentencing Act 1995</w:t>
      </w:r>
      <w:r>
        <w:t xml:space="preserve"> amended</w:t>
      </w:r>
      <w:r>
        <w:tab/>
      </w:r>
      <w:r>
        <w:fldChar w:fldCharType="begin"/>
      </w:r>
      <w:r>
        <w:instrText xml:space="preserve"> PAGEREF _Toc154743081 \h </w:instrText>
      </w:r>
      <w:r>
        <w:fldChar w:fldCharType="separate"/>
      </w:r>
      <w:r>
        <w:t>251</w:t>
      </w:r>
      <w:r>
        <w:fldChar w:fldCharType="end"/>
      </w:r>
    </w:p>
    <w:p>
      <w:pPr>
        <w:pStyle w:val="TOC8"/>
        <w:rPr>
          <w:rFonts w:asciiTheme="minorHAnsi" w:eastAsiaTheme="minorEastAsia" w:hAnsiTheme="minorHAnsi" w:cstheme="minorBidi"/>
          <w:szCs w:val="22"/>
        </w:rPr>
      </w:pPr>
      <w:r>
        <w:t>353.</w:t>
      </w:r>
      <w:r>
        <w:tab/>
      </w:r>
      <w:r>
        <w:rPr>
          <w:i/>
        </w:rPr>
        <w:t>State Records Act 2000</w:t>
      </w:r>
      <w:r>
        <w:t xml:space="preserve"> amended</w:t>
      </w:r>
      <w:r>
        <w:tab/>
      </w:r>
      <w:r>
        <w:fldChar w:fldCharType="begin"/>
      </w:r>
      <w:r>
        <w:instrText xml:space="preserve"> PAGEREF _Toc154743082 \h </w:instrText>
      </w:r>
      <w:r>
        <w:fldChar w:fldCharType="separate"/>
      </w:r>
      <w:r>
        <w:t>252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_Toc154743084 \h </w:instrText>
      </w:r>
      <w:r>
        <w:fldChar w:fldCharType="separate"/>
      </w:r>
      <w:r>
        <w:t>253</w:t>
      </w:r>
      <w:r>
        <w:fldChar w:fldCharType="end"/>
      </w:r>
    </w:p>
    <w:p>
      <w:pPr>
        <w:pStyle w:val="TOC8"/>
        <w:rPr>
          <w:rFonts w:asciiTheme="minorHAnsi" w:eastAsiaTheme="minorEastAsia" w:hAnsiTheme="minorHAnsi" w:cstheme="minorBidi"/>
          <w:szCs w:val="22"/>
        </w:rPr>
      </w:pPr>
      <w:r>
        <w:lastRenderedPageBreak/>
        <w:t>Uncommenced provisions table</w:t>
      </w:r>
      <w:r>
        <w:tab/>
      </w:r>
      <w:r>
        <w:fldChar w:fldCharType="begin"/>
      </w:r>
      <w:r>
        <w:instrText xml:space="preserve"> PAGEREF _Toc154743085 \h </w:instrText>
      </w:r>
      <w:r>
        <w:fldChar w:fldCharType="separate"/>
      </w:r>
      <w:r>
        <w:t>254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54742630"/>
      <w:r>
        <w:rPr>
          <w:rStyle w:val="CharPartNo"/>
        </w:rPr>
        <w:lastRenderedPageBreak/>
        <w:t>Part 1</w:t>
      </w:r>
      <w:r>
        <w:t> — </w:t>
      </w:r>
      <w:r>
        <w:rPr>
          <w:rStyle w:val="CharPartText"/>
        </w:rPr>
        <w:t>Preliminary</w:t>
      </w:r>
      <w:bookmarkEnd w:id="4"/>
    </w:p>
    <w:p>
      <w:pPr>
        <w:pStyle w:val="Heading3"/>
      </w:pPr>
      <w:bookmarkStart w:id="5" w:name="_Toc154742631"/>
      <w:r>
        <w:rPr>
          <w:rStyle w:val="CharDivNo"/>
        </w:rPr>
        <w:t>Division 1</w:t>
      </w:r>
      <w:r>
        <w:t> — </w:t>
      </w:r>
      <w:r>
        <w:rPr>
          <w:rStyle w:val="CharDivText"/>
        </w:rPr>
        <w:t>Introduction</w:t>
      </w:r>
      <w:bookmarkEnd w:id="5"/>
    </w:p>
    <w:p>
      <w:pPr>
        <w:pStyle w:val="Heading5"/>
      </w:pPr>
      <w:bookmarkStart w:id="6" w:name="_Toc154742632"/>
      <w:r>
        <w:rPr>
          <w:rStyle w:val="CharSectno"/>
        </w:rPr>
        <w:t>1</w:t>
      </w:r>
      <w:r>
        <w:t>.</w:t>
      </w:r>
      <w:r>
        <w:tab/>
        <w:t>Short title</w:t>
      </w:r>
      <w:bookmarkEnd w:id="6"/>
    </w:p>
    <w:p>
      <w:pPr>
        <w:pStyle w:val="Subsection"/>
      </w:pPr>
      <w:r>
        <w:tab/>
      </w:r>
      <w:r>
        <w:tab/>
        <w:t>This is the</w:t>
      </w:r>
      <w:r>
        <w:rPr>
          <w:i/>
        </w:rPr>
        <w:t xml:space="preserve"> Aboriginal Cultural Heritage Act 2021</w:t>
      </w:r>
      <w:r>
        <w:t>.</w:t>
      </w:r>
    </w:p>
    <w:p>
      <w:pPr>
        <w:pStyle w:val="Heading5"/>
      </w:pPr>
      <w:bookmarkStart w:id="7" w:name="_Toc154742633"/>
      <w:r>
        <w:rPr>
          <w:rStyle w:val="CharSectno"/>
        </w:rPr>
        <w:t>2</w:t>
      </w:r>
      <w:r>
        <w:t>.</w:t>
      </w:r>
      <w:r>
        <w:tab/>
        <w:t>Commencement</w:t>
      </w:r>
      <w:bookmarkEnd w:id="7"/>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8" w:name="_Toc154742634"/>
      <w:r>
        <w:rPr>
          <w:rStyle w:val="CharDivNo"/>
        </w:rPr>
        <w:t>Division 2</w:t>
      </w:r>
      <w:r>
        <w:t> — </w:t>
      </w:r>
      <w:r>
        <w:rPr>
          <w:rStyle w:val="CharDivText"/>
        </w:rPr>
        <w:t>Overview of Act</w:t>
      </w:r>
      <w:bookmarkEnd w:id="8"/>
    </w:p>
    <w:p>
      <w:pPr>
        <w:pStyle w:val="Heading5"/>
      </w:pPr>
      <w:bookmarkStart w:id="9" w:name="_Toc154742635"/>
      <w:r>
        <w:rPr>
          <w:rStyle w:val="CharSectno"/>
        </w:rPr>
        <w:t>3</w:t>
      </w:r>
      <w:r>
        <w:t>.</w:t>
      </w:r>
      <w:r>
        <w:tab/>
        <w:t>Overview of Act</w:t>
      </w:r>
      <w:bookmarkEnd w:id="9"/>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0" w:name="_Toc154742636"/>
      <w:r>
        <w:rPr>
          <w:rStyle w:val="CharSectno"/>
        </w:rPr>
        <w:lastRenderedPageBreak/>
        <w:t>4</w:t>
      </w:r>
      <w:r>
        <w:t>.</w:t>
      </w:r>
      <w:r>
        <w:tab/>
        <w:t>What Act is about</w:t>
      </w:r>
      <w:bookmarkEnd w:id="10"/>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1" w:name="_Toc154742637"/>
      <w:r>
        <w:rPr>
          <w:rStyle w:val="CharSectno"/>
        </w:rPr>
        <w:t>5</w:t>
      </w:r>
      <w:r>
        <w:t>.</w:t>
      </w:r>
      <w:r>
        <w:tab/>
        <w:t>Main topics dealt with in Act and where to find them</w:t>
      </w:r>
      <w:bookmarkEnd w:id="11"/>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2" w:name="_Toc154742638"/>
      <w:r>
        <w:rPr>
          <w:rStyle w:val="CharSectno"/>
        </w:rPr>
        <w:lastRenderedPageBreak/>
        <w:t>6</w:t>
      </w:r>
      <w:r>
        <w:t>.</w:t>
      </w:r>
      <w:r>
        <w:tab/>
        <w:t>Other things dealt with in Act and where to find them</w:t>
      </w:r>
      <w:bookmarkEnd w:id="12"/>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13" w:name="_Toc154742639"/>
      <w:r>
        <w:rPr>
          <w:rStyle w:val="CharSectno"/>
        </w:rPr>
        <w:t>7</w:t>
      </w:r>
      <w:r>
        <w:t>.</w:t>
      </w:r>
      <w:r>
        <w:tab/>
        <w:t>Overview is a guide</w:t>
      </w:r>
      <w:bookmarkEnd w:id="13"/>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14" w:name="_Toc154742640"/>
      <w:r>
        <w:rPr>
          <w:rStyle w:val="CharDivNo"/>
        </w:rPr>
        <w:lastRenderedPageBreak/>
        <w:t>Division 3</w:t>
      </w:r>
      <w:r>
        <w:t> — </w:t>
      </w:r>
      <w:r>
        <w:rPr>
          <w:rStyle w:val="CharDivText"/>
        </w:rPr>
        <w:t>Objects and principles</w:t>
      </w:r>
      <w:bookmarkEnd w:id="14"/>
    </w:p>
    <w:p>
      <w:pPr>
        <w:pStyle w:val="Heading5"/>
      </w:pPr>
      <w:bookmarkStart w:id="15" w:name="_Toc154742641"/>
      <w:r>
        <w:rPr>
          <w:rStyle w:val="CharSectno"/>
        </w:rPr>
        <w:t>8</w:t>
      </w:r>
      <w:r>
        <w:t>.</w:t>
      </w:r>
      <w:r>
        <w:tab/>
        <w:t>Objects of Act</w:t>
      </w:r>
      <w:bookmarkEnd w:id="15"/>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16" w:name="_Toc154742642"/>
      <w:r>
        <w:rPr>
          <w:rStyle w:val="CharSectno"/>
        </w:rPr>
        <w:t>9</w:t>
      </w:r>
      <w:r>
        <w:t>.</w:t>
      </w:r>
      <w:r>
        <w:tab/>
        <w:t>Principles relating to Aboriginal cultural heritage</w:t>
      </w:r>
      <w:bookmarkEnd w:id="1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17" w:name="_Toc154742643"/>
      <w:r>
        <w:rPr>
          <w:rStyle w:val="CharSectno"/>
        </w:rPr>
        <w:lastRenderedPageBreak/>
        <w:t>10</w:t>
      </w:r>
      <w:r>
        <w:t>.</w:t>
      </w:r>
      <w:r>
        <w:tab/>
        <w:t>Principles relating to management of activities that may harm Aboriginal cultural heritage</w:t>
      </w:r>
      <w:bookmarkEnd w:id="17"/>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18" w:name="_Toc154742644"/>
      <w:r>
        <w:rPr>
          <w:rStyle w:val="CharDivNo"/>
        </w:rPr>
        <w:t>Division 4</w:t>
      </w:r>
      <w:r>
        <w:t> — </w:t>
      </w:r>
      <w:r>
        <w:rPr>
          <w:rStyle w:val="CharDivText"/>
        </w:rPr>
        <w:t>Interpretation</w:t>
      </w:r>
      <w:bookmarkEnd w:id="18"/>
    </w:p>
    <w:p>
      <w:pPr>
        <w:pStyle w:val="Heading4"/>
      </w:pPr>
      <w:bookmarkStart w:id="19" w:name="_Toc154742645"/>
      <w:r>
        <w:t>Subdivision 1 — Terms used</w:t>
      </w:r>
      <w:bookmarkEnd w:id="19"/>
    </w:p>
    <w:p>
      <w:pPr>
        <w:pStyle w:val="Heading5"/>
      </w:pPr>
      <w:bookmarkStart w:id="20" w:name="_Toc154742646"/>
      <w:r>
        <w:rPr>
          <w:rStyle w:val="CharSectno"/>
        </w:rPr>
        <w:t>11</w:t>
      </w:r>
      <w:r>
        <w:t>.</w:t>
      </w:r>
      <w:r>
        <w:tab/>
        <w:t>Terms used</w:t>
      </w:r>
      <w:bookmarkEnd w:id="20"/>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21" w:name="_Toc154742647"/>
      <w:r>
        <w:t>Subdivision 2 — Other key terms</w:t>
      </w:r>
      <w:bookmarkEnd w:id="21"/>
    </w:p>
    <w:p>
      <w:pPr>
        <w:pStyle w:val="Heading5"/>
      </w:pPr>
      <w:bookmarkStart w:id="22" w:name="_Toc154742648"/>
      <w:r>
        <w:rPr>
          <w:rStyle w:val="CharSectno"/>
        </w:rPr>
        <w:t>12</w:t>
      </w:r>
      <w:r>
        <w:t>.</w:t>
      </w:r>
      <w:r>
        <w:tab/>
        <w:t>Meaning of Aboriginal cultural heritage and related terms</w:t>
      </w:r>
      <w:bookmarkEnd w:id="22"/>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23" w:name="_Toc154742649"/>
      <w:r>
        <w:rPr>
          <w:rStyle w:val="CharSectno"/>
        </w:rPr>
        <w:lastRenderedPageBreak/>
        <w:t>13</w:t>
      </w:r>
      <w:r>
        <w:t>.</w:t>
      </w:r>
      <w:r>
        <w:tab/>
        <w:t>Meaning of located in relation to Aboriginal cultural heritage</w:t>
      </w:r>
      <w:bookmarkEnd w:id="23"/>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24" w:name="_Toc154742650"/>
      <w:r>
        <w:rPr>
          <w:rStyle w:val="CharDivNo"/>
        </w:rPr>
        <w:t>Division 5</w:t>
      </w:r>
      <w:r>
        <w:t> — </w:t>
      </w:r>
      <w:r>
        <w:rPr>
          <w:rStyle w:val="CharDivText"/>
        </w:rPr>
        <w:t>Other provisions of general application</w:t>
      </w:r>
      <w:bookmarkEnd w:id="24"/>
    </w:p>
    <w:p>
      <w:pPr>
        <w:pStyle w:val="Heading5"/>
      </w:pPr>
      <w:bookmarkStart w:id="25" w:name="_Toc154742651"/>
      <w:r>
        <w:rPr>
          <w:rStyle w:val="CharSectno"/>
        </w:rPr>
        <w:t>14</w:t>
      </w:r>
      <w:r>
        <w:t>.</w:t>
      </w:r>
      <w:r>
        <w:tab/>
        <w:t>Act binds Crown</w:t>
      </w:r>
      <w:bookmarkEnd w:id="25"/>
    </w:p>
    <w:p>
      <w:pPr>
        <w:pStyle w:val="Subsection"/>
      </w:pPr>
      <w:r>
        <w:tab/>
      </w:r>
      <w:r>
        <w:tab/>
        <w:t>This Act binds the Crown in right of Western Australia and, so far as the legislative power of the Parliament permits, the Crown in all its other capacities.</w:t>
      </w:r>
    </w:p>
    <w:p>
      <w:pPr>
        <w:pStyle w:val="Heading5"/>
      </w:pPr>
      <w:bookmarkStart w:id="26" w:name="_Toc154742652"/>
      <w:r>
        <w:rPr>
          <w:rStyle w:val="CharSectno"/>
        </w:rPr>
        <w:t>15</w:t>
      </w:r>
      <w:r>
        <w:t>.</w:t>
      </w:r>
      <w:r>
        <w:tab/>
        <w:t>Act does not apply to certain objects</w:t>
      </w:r>
      <w:bookmarkEnd w:id="26"/>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27" w:name="_Toc154742653"/>
      <w:r>
        <w:rPr>
          <w:rStyle w:val="CharSectno"/>
        </w:rPr>
        <w:t>16</w:t>
      </w:r>
      <w:r>
        <w:t>.</w:t>
      </w:r>
      <w:r>
        <w:tab/>
        <w:t>Native title rights and interests</w:t>
      </w:r>
      <w:bookmarkEnd w:id="27"/>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28" w:name="_Toc154742654"/>
      <w:r>
        <w:rPr>
          <w:rStyle w:val="CharSectno"/>
        </w:rPr>
        <w:lastRenderedPageBreak/>
        <w:t>17</w:t>
      </w:r>
      <w:r>
        <w:t>.</w:t>
      </w:r>
      <w:r>
        <w:tab/>
      </w:r>
      <w:r>
        <w:rPr>
          <w:i/>
        </w:rPr>
        <w:t>Coroners Act 1996</w:t>
      </w:r>
      <w:r>
        <w:t xml:space="preserve"> not affected</w:t>
      </w:r>
      <w:bookmarkEnd w:id="28"/>
    </w:p>
    <w:p>
      <w:pPr>
        <w:pStyle w:val="Subsection"/>
      </w:pPr>
      <w:r>
        <w:tab/>
      </w:r>
      <w:r>
        <w:tab/>
        <w:t xml:space="preserve">Subject to section 59, nothing in this Act affects the operation of the </w:t>
      </w:r>
      <w:r>
        <w:rPr>
          <w:i/>
        </w:rPr>
        <w:t>Coroners Act 1996</w:t>
      </w:r>
      <w:r>
        <w:t>.</w:t>
      </w:r>
    </w:p>
    <w:p>
      <w:pPr>
        <w:pStyle w:val="Heading5"/>
      </w:pPr>
      <w:bookmarkStart w:id="29" w:name="_Toc154742655"/>
      <w:r>
        <w:rPr>
          <w:rStyle w:val="CharSectno"/>
        </w:rPr>
        <w:t>18</w:t>
      </w:r>
      <w:r>
        <w:t>.</w:t>
      </w:r>
      <w:r>
        <w:tab/>
      </w:r>
      <w:r>
        <w:rPr>
          <w:i/>
        </w:rPr>
        <w:t>Freedom of Information Act 1992</w:t>
      </w:r>
      <w:r>
        <w:t xml:space="preserve"> does not apply to culturally sensitive information</w:t>
      </w:r>
      <w:bookmarkEnd w:id="29"/>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30" w:name="_Toc154742656"/>
      <w:r>
        <w:rPr>
          <w:rStyle w:val="CharPartNo"/>
        </w:rPr>
        <w:lastRenderedPageBreak/>
        <w:t>Part 2</w:t>
      </w:r>
      <w:r>
        <w:t> — </w:t>
      </w:r>
      <w:r>
        <w:rPr>
          <w:rStyle w:val="CharPartText"/>
        </w:rPr>
        <w:t>Aboriginal Cultural Heritage Council and local Aboriginal cultural heritage services</w:t>
      </w:r>
      <w:bookmarkEnd w:id="30"/>
    </w:p>
    <w:p>
      <w:pPr>
        <w:pStyle w:val="Heading3"/>
      </w:pPr>
      <w:bookmarkStart w:id="31" w:name="_Toc154742657"/>
      <w:r>
        <w:rPr>
          <w:rStyle w:val="CharDivNo"/>
        </w:rPr>
        <w:t>Division 1</w:t>
      </w:r>
      <w:r>
        <w:t> — </w:t>
      </w:r>
      <w:r>
        <w:rPr>
          <w:rStyle w:val="CharDivText"/>
        </w:rPr>
        <w:t>Interpretation</w:t>
      </w:r>
      <w:bookmarkEnd w:id="31"/>
    </w:p>
    <w:p>
      <w:pPr>
        <w:pStyle w:val="Heading5"/>
      </w:pPr>
      <w:bookmarkStart w:id="32" w:name="_Toc154742658"/>
      <w:r>
        <w:rPr>
          <w:rStyle w:val="CharSectno"/>
        </w:rPr>
        <w:t>19</w:t>
      </w:r>
      <w:r>
        <w:t>.</w:t>
      </w:r>
      <w:r>
        <w:tab/>
        <w:t>Terms used</w:t>
      </w:r>
      <w:bookmarkEnd w:id="3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33" w:name="_Toc154742659"/>
      <w:r>
        <w:rPr>
          <w:rStyle w:val="CharDivNo"/>
        </w:rPr>
        <w:t>Division 2</w:t>
      </w:r>
      <w:r>
        <w:t> — </w:t>
      </w:r>
      <w:r>
        <w:rPr>
          <w:rStyle w:val="CharDivText"/>
        </w:rPr>
        <w:t>Aboriginal Cultural Heritage Council</w:t>
      </w:r>
      <w:bookmarkEnd w:id="33"/>
    </w:p>
    <w:p>
      <w:pPr>
        <w:pStyle w:val="Heading4"/>
      </w:pPr>
      <w:bookmarkStart w:id="34" w:name="_Toc154742660"/>
      <w:r>
        <w:t>Subdivision 1 — ACH Council established</w:t>
      </w:r>
      <w:bookmarkEnd w:id="34"/>
    </w:p>
    <w:p>
      <w:pPr>
        <w:pStyle w:val="Heading5"/>
      </w:pPr>
      <w:bookmarkStart w:id="35" w:name="_Toc154742661"/>
      <w:r>
        <w:rPr>
          <w:rStyle w:val="CharSectno"/>
        </w:rPr>
        <w:t>20</w:t>
      </w:r>
      <w:r>
        <w:t>.</w:t>
      </w:r>
      <w:r>
        <w:tab/>
        <w:t>ACH Council established</w:t>
      </w:r>
      <w:bookmarkEnd w:id="35"/>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36" w:name="_Toc154742662"/>
      <w:r>
        <w:rPr>
          <w:rStyle w:val="CharSectno"/>
        </w:rPr>
        <w:lastRenderedPageBreak/>
        <w:t>21</w:t>
      </w:r>
      <w:r>
        <w:t>.</w:t>
      </w:r>
      <w:r>
        <w:tab/>
        <w:t>Composition of ACH Council</w:t>
      </w:r>
      <w:bookmarkEnd w:id="36"/>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37" w:name="_Toc154742663"/>
      <w:r>
        <w:t>Subdivision 2 — Functions and powers</w:t>
      </w:r>
      <w:bookmarkEnd w:id="37"/>
    </w:p>
    <w:p>
      <w:pPr>
        <w:pStyle w:val="Heading5"/>
      </w:pPr>
      <w:bookmarkStart w:id="38" w:name="_Toc154742664"/>
      <w:r>
        <w:rPr>
          <w:rStyle w:val="CharSectno"/>
        </w:rPr>
        <w:t>22</w:t>
      </w:r>
      <w:r>
        <w:t>.</w:t>
      </w:r>
      <w:r>
        <w:tab/>
        <w:t>Functions of ACH Council</w:t>
      </w:r>
      <w:bookmarkEnd w:id="38"/>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39" w:name="_Toc154742665"/>
      <w:r>
        <w:rPr>
          <w:rStyle w:val="CharSectno"/>
        </w:rPr>
        <w:t>23</w:t>
      </w:r>
      <w:r>
        <w:t>.</w:t>
      </w:r>
      <w:r>
        <w:tab/>
        <w:t>Powers of ACH Council</w:t>
      </w:r>
      <w:bookmarkEnd w:id="39"/>
    </w:p>
    <w:p>
      <w:pPr>
        <w:pStyle w:val="Subsection"/>
        <w:spacing w:before="240"/>
      </w:pPr>
      <w:r>
        <w:tab/>
      </w:r>
      <w:r>
        <w:tab/>
        <w:t>The ACH Council has all the powers it needs to perform its functions.</w:t>
      </w:r>
    </w:p>
    <w:p>
      <w:pPr>
        <w:pStyle w:val="Heading5"/>
      </w:pPr>
      <w:bookmarkStart w:id="40" w:name="_Toc154742666"/>
      <w:r>
        <w:rPr>
          <w:rStyle w:val="CharSectno"/>
        </w:rPr>
        <w:t>24</w:t>
      </w:r>
      <w:r>
        <w:t>.</w:t>
      </w:r>
      <w:r>
        <w:tab/>
        <w:t>Delegation by ACH Council</w:t>
      </w:r>
      <w:bookmarkEnd w:id="40"/>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41" w:name="_Toc154742667"/>
      <w:r>
        <w:t>Subdivision 3 — Staff and assistance</w:t>
      </w:r>
      <w:bookmarkEnd w:id="41"/>
    </w:p>
    <w:p>
      <w:pPr>
        <w:pStyle w:val="Heading5"/>
      </w:pPr>
      <w:bookmarkStart w:id="42" w:name="_Toc154742668"/>
      <w:r>
        <w:rPr>
          <w:rStyle w:val="CharSectno"/>
        </w:rPr>
        <w:t>25</w:t>
      </w:r>
      <w:r>
        <w:t>.</w:t>
      </w:r>
      <w:r>
        <w:tab/>
        <w:t>Facilities and services</w:t>
      </w:r>
      <w:bookmarkEnd w:id="42"/>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43" w:name="_Toc154742669"/>
      <w:r>
        <w:rPr>
          <w:rStyle w:val="CharSectno"/>
        </w:rPr>
        <w:t>26</w:t>
      </w:r>
      <w:r>
        <w:t>.</w:t>
      </w:r>
      <w:r>
        <w:tab/>
        <w:t>Assistance</w:t>
      </w:r>
      <w:bookmarkEnd w:id="43"/>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44" w:name="_Toc154742670"/>
      <w:r>
        <w:t>Subdivision 4 — Accountability and financial arrangements</w:t>
      </w:r>
      <w:bookmarkEnd w:id="44"/>
    </w:p>
    <w:p>
      <w:pPr>
        <w:pStyle w:val="Heading5"/>
      </w:pPr>
      <w:bookmarkStart w:id="45" w:name="_Toc154742671"/>
      <w:r>
        <w:rPr>
          <w:rStyle w:val="CharSectno"/>
        </w:rPr>
        <w:t>27</w:t>
      </w:r>
      <w:r>
        <w:t>.</w:t>
      </w:r>
      <w:r>
        <w:tab/>
        <w:t>Minister may give directions</w:t>
      </w:r>
      <w:bookmarkEnd w:id="45"/>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46" w:name="_Toc154742672"/>
      <w:r>
        <w:rPr>
          <w:rStyle w:val="CharSectno"/>
        </w:rPr>
        <w:t>28</w:t>
      </w:r>
      <w:r>
        <w:t>.</w:t>
      </w:r>
      <w:r>
        <w:tab/>
        <w:t>Minister to have access to information</w:t>
      </w:r>
      <w:bookmarkEnd w:id="46"/>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47" w:name="_Toc154742673"/>
      <w:r>
        <w:t>Subdivision 5 — Other matters</w:t>
      </w:r>
      <w:bookmarkEnd w:id="47"/>
    </w:p>
    <w:p>
      <w:pPr>
        <w:pStyle w:val="Heading5"/>
      </w:pPr>
      <w:bookmarkStart w:id="48" w:name="_Toc154742674"/>
      <w:r>
        <w:rPr>
          <w:rStyle w:val="CharSectno"/>
        </w:rPr>
        <w:t>29</w:t>
      </w:r>
      <w:r>
        <w:t>.</w:t>
      </w:r>
      <w:r>
        <w:tab/>
        <w:t>Annual report of ACH Council</w:t>
      </w:r>
      <w:bookmarkEnd w:id="48"/>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49" w:name="_Toc154742675"/>
      <w:r>
        <w:rPr>
          <w:rStyle w:val="CharSectno"/>
        </w:rPr>
        <w:t>30</w:t>
      </w:r>
      <w:r>
        <w:t>.</w:t>
      </w:r>
      <w:r>
        <w:tab/>
        <w:t>Committees</w:t>
      </w:r>
      <w:bookmarkEnd w:id="49"/>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50" w:name="_Toc154742676"/>
      <w:r>
        <w:rPr>
          <w:rStyle w:val="CharSectno"/>
        </w:rPr>
        <w:t>31</w:t>
      </w:r>
      <w:r>
        <w:t>.</w:t>
      </w:r>
      <w:r>
        <w:tab/>
        <w:t>Procedures</w:t>
      </w:r>
      <w:bookmarkEnd w:id="50"/>
    </w:p>
    <w:p>
      <w:pPr>
        <w:pStyle w:val="Subsection"/>
      </w:pPr>
      <w:r>
        <w:tab/>
      </w:r>
      <w:r>
        <w:tab/>
        <w:t>Subject to the regulations, the ACH Council may determine its own procedures.</w:t>
      </w:r>
    </w:p>
    <w:p>
      <w:pPr>
        <w:pStyle w:val="Heading5"/>
      </w:pPr>
      <w:bookmarkStart w:id="51" w:name="_Toc154742677"/>
      <w:r>
        <w:rPr>
          <w:rStyle w:val="CharSectno"/>
        </w:rPr>
        <w:t>32</w:t>
      </w:r>
      <w:r>
        <w:t>.</w:t>
      </w:r>
      <w:r>
        <w:tab/>
        <w:t>Remuneration of members of ACH Council or committee</w:t>
      </w:r>
      <w:bookmarkEnd w:id="51"/>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52" w:name="_Toc154742678"/>
      <w:r>
        <w:rPr>
          <w:rStyle w:val="CharSectno"/>
        </w:rPr>
        <w:lastRenderedPageBreak/>
        <w:t>33</w:t>
      </w:r>
      <w:r>
        <w:t>.</w:t>
      </w:r>
      <w:r>
        <w:tab/>
        <w:t>Impersonating member of ACH Council</w:t>
      </w:r>
      <w:bookmarkEnd w:id="52"/>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53" w:name="_Toc154742679"/>
      <w:r>
        <w:rPr>
          <w:rStyle w:val="CharDivNo"/>
        </w:rPr>
        <w:t>Division 3</w:t>
      </w:r>
      <w:r>
        <w:t> — </w:t>
      </w:r>
      <w:r>
        <w:rPr>
          <w:rStyle w:val="CharDivText"/>
        </w:rPr>
        <w:t>Local Aboriginal cultural heritage services</w:t>
      </w:r>
      <w:bookmarkEnd w:id="53"/>
    </w:p>
    <w:p>
      <w:pPr>
        <w:pStyle w:val="Heading4"/>
      </w:pPr>
      <w:bookmarkStart w:id="54" w:name="_Toc154742680"/>
      <w:r>
        <w:t>Subdivision 1 — Purpose and nature of local ACH services</w:t>
      </w:r>
      <w:bookmarkEnd w:id="54"/>
    </w:p>
    <w:p>
      <w:pPr>
        <w:pStyle w:val="Heading5"/>
      </w:pPr>
      <w:bookmarkStart w:id="55" w:name="_Toc154742681"/>
      <w:r>
        <w:rPr>
          <w:rStyle w:val="CharSectno"/>
        </w:rPr>
        <w:t>34</w:t>
      </w:r>
      <w:r>
        <w:t>.</w:t>
      </w:r>
      <w:r>
        <w:tab/>
        <w:t>Purpose of local ACH service</w:t>
      </w:r>
      <w:bookmarkEnd w:id="55"/>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56" w:name="_Toc154742682"/>
      <w:r>
        <w:rPr>
          <w:rStyle w:val="CharSectno"/>
        </w:rPr>
        <w:t>35</w:t>
      </w:r>
      <w:r>
        <w:t>.</w:t>
      </w:r>
      <w:r>
        <w:tab/>
        <w:t>Nature of local ACH service</w:t>
      </w:r>
      <w:bookmarkEnd w:id="56"/>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57" w:name="_Toc154742683"/>
      <w:r>
        <w:lastRenderedPageBreak/>
        <w:t>Subdivision 2 — Designation as local ACH service</w:t>
      </w:r>
      <w:bookmarkEnd w:id="57"/>
    </w:p>
    <w:p>
      <w:pPr>
        <w:pStyle w:val="Heading5"/>
      </w:pPr>
      <w:bookmarkStart w:id="58" w:name="_Toc154742684"/>
      <w:r>
        <w:rPr>
          <w:rStyle w:val="CharSectno"/>
        </w:rPr>
        <w:t>36</w:t>
      </w:r>
      <w:r>
        <w:t>.</w:t>
      </w:r>
      <w:r>
        <w:tab/>
        <w:t>ACH Council must designate local ACH service</w:t>
      </w:r>
      <w:bookmarkEnd w:id="58"/>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59" w:name="_Toc154742685"/>
      <w:r>
        <w:rPr>
          <w:rStyle w:val="CharSectno"/>
        </w:rPr>
        <w:t>37</w:t>
      </w:r>
      <w:r>
        <w:t>.</w:t>
      </w:r>
      <w:r>
        <w:tab/>
        <w:t>Designation of local ACH service</w:t>
      </w:r>
      <w:bookmarkEnd w:id="59"/>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60" w:name="_Toc154742686"/>
      <w:r>
        <w:rPr>
          <w:rStyle w:val="CharSectno"/>
        </w:rPr>
        <w:t>38</w:t>
      </w:r>
      <w:r>
        <w:t>.</w:t>
      </w:r>
      <w:r>
        <w:tab/>
        <w:t>Application to be designated as local ACH service</w:t>
      </w:r>
      <w:bookmarkEnd w:id="60"/>
    </w:p>
    <w:p>
      <w:pPr>
        <w:pStyle w:val="Subsection"/>
      </w:pPr>
      <w:r>
        <w:tab/>
      </w:r>
      <w:r>
        <w:tab/>
        <w:t>A person described in section 40(1) may apply, in the approved form, to the ACH Council to be designated as the local ACH service for an area.</w:t>
      </w:r>
    </w:p>
    <w:p>
      <w:pPr>
        <w:pStyle w:val="Heading5"/>
      </w:pPr>
      <w:bookmarkStart w:id="61" w:name="_Toc154742687"/>
      <w:r>
        <w:rPr>
          <w:rStyle w:val="CharSectno"/>
        </w:rPr>
        <w:lastRenderedPageBreak/>
        <w:t>39</w:t>
      </w:r>
      <w:r>
        <w:t>.</w:t>
      </w:r>
      <w:r>
        <w:tab/>
        <w:t>Requirements for designation as local ACH service</w:t>
      </w:r>
      <w:bookmarkEnd w:id="61"/>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62" w:name="_Toc154742688"/>
      <w:r>
        <w:rPr>
          <w:rStyle w:val="CharSectno"/>
        </w:rPr>
        <w:lastRenderedPageBreak/>
        <w:t>40</w:t>
      </w:r>
      <w:r>
        <w:t>.</w:t>
      </w:r>
      <w:r>
        <w:tab/>
        <w:t>Order of priority of designation</w:t>
      </w:r>
      <w:bookmarkEnd w:id="62"/>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lastRenderedPageBreak/>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63" w:name="_Toc154742689"/>
      <w:r>
        <w:rPr>
          <w:rStyle w:val="CharSectno"/>
        </w:rPr>
        <w:t>41</w:t>
      </w:r>
      <w:r>
        <w:t>.</w:t>
      </w:r>
      <w:r>
        <w:tab/>
        <w:t>ACH Council must give public notice of designation</w:t>
      </w:r>
      <w:bookmarkEnd w:id="63"/>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lastRenderedPageBreak/>
        <w:tab/>
        <w:t>(c)</w:t>
      </w:r>
      <w:r>
        <w:tab/>
        <w:t>details of how the person may be contacted;</w:t>
      </w:r>
    </w:p>
    <w:p>
      <w:pPr>
        <w:pStyle w:val="Indenta"/>
      </w:pPr>
      <w:r>
        <w:tab/>
        <w:t>(d)</w:t>
      </w:r>
      <w:r>
        <w:tab/>
        <w:t>the other information, if any, prescribed for the purposes of this paragraph.</w:t>
      </w:r>
    </w:p>
    <w:p>
      <w:pPr>
        <w:pStyle w:val="Heading5"/>
      </w:pPr>
      <w:bookmarkStart w:id="64" w:name="_Toc154742690"/>
      <w:r>
        <w:rPr>
          <w:rStyle w:val="CharSectno"/>
        </w:rPr>
        <w:t>42</w:t>
      </w:r>
      <w:r>
        <w:t>.</w:t>
      </w:r>
      <w:r>
        <w:tab/>
        <w:t>Duration of designation as local ACH service for area</w:t>
      </w:r>
      <w:bookmarkEnd w:id="64"/>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65" w:name="_Toc154742691"/>
      <w:r>
        <w:rPr>
          <w:rStyle w:val="CharSectno"/>
        </w:rPr>
        <w:t>43</w:t>
      </w:r>
      <w:r>
        <w:t>.</w:t>
      </w:r>
      <w:r>
        <w:tab/>
        <w:t>Suspension or cancellation of designation as local ACH service for area or part of area</w:t>
      </w:r>
      <w:bookmarkEnd w:id="65"/>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lastRenderedPageBreak/>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lastRenderedPageBreak/>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66" w:name="_Toc154742692"/>
      <w:r>
        <w:rPr>
          <w:rStyle w:val="CharSectno"/>
        </w:rPr>
        <w:t>44</w:t>
      </w:r>
      <w:r>
        <w:t>.</w:t>
      </w:r>
      <w:r>
        <w:tab/>
        <w:t>Change to area for local ACH service</w:t>
      </w:r>
      <w:bookmarkEnd w:id="66"/>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lastRenderedPageBreak/>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67" w:name="_Toc154742693"/>
      <w:r>
        <w:rPr>
          <w:rStyle w:val="CharSectno"/>
        </w:rPr>
        <w:t>45</w:t>
      </w:r>
      <w:r>
        <w:t>.</w:t>
      </w:r>
      <w:r>
        <w:tab/>
        <w:t>Change to local ACH service</w:t>
      </w:r>
      <w:bookmarkEnd w:id="67"/>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68" w:name="_Toc154742694"/>
      <w:r>
        <w:rPr>
          <w:rStyle w:val="CharSectno"/>
        </w:rPr>
        <w:lastRenderedPageBreak/>
        <w:t>46</w:t>
      </w:r>
      <w:r>
        <w:t>.</w:t>
      </w:r>
      <w:r>
        <w:tab/>
        <w:t>Objection to decision of ACH Council</w:t>
      </w:r>
      <w:bookmarkEnd w:id="68"/>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lastRenderedPageBreak/>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69" w:name="_Toc154742695"/>
      <w:r>
        <w:rPr>
          <w:rStyle w:val="CharSectno"/>
        </w:rPr>
        <w:t>47</w:t>
      </w:r>
      <w:r>
        <w:t>.</w:t>
      </w:r>
      <w:r>
        <w:tab/>
        <w:t>Notice of decision must be given</w:t>
      </w:r>
      <w:bookmarkEnd w:id="69"/>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70" w:name="_Toc154742696"/>
      <w:r>
        <w:lastRenderedPageBreak/>
        <w:t>Subdivision 3 — Local ACH service functions and related provisions</w:t>
      </w:r>
      <w:bookmarkEnd w:id="70"/>
    </w:p>
    <w:p>
      <w:pPr>
        <w:pStyle w:val="Heading5"/>
      </w:pPr>
      <w:bookmarkStart w:id="71" w:name="_Toc154742697"/>
      <w:r>
        <w:rPr>
          <w:rStyle w:val="CharSectno"/>
        </w:rPr>
        <w:t>48</w:t>
      </w:r>
      <w:r>
        <w:t>.</w:t>
      </w:r>
      <w:r>
        <w:tab/>
        <w:t>Local ACH service functions</w:t>
      </w:r>
      <w:bookmarkEnd w:id="71"/>
      <w:r>
        <w:t xml:space="preserve"> </w:t>
      </w:r>
    </w:p>
    <w:p>
      <w:pPr>
        <w:pStyle w:val="Subsection"/>
      </w:pPr>
      <w:r>
        <w:tab/>
        <w:t>(1)</w:t>
      </w:r>
      <w:r>
        <w:tab/>
        <w:t xml:space="preserve">Local ACH service functions that are, as far as practicable, to be provided in relation to an area by the person designated as the local ACH service for that area are as follows— </w:t>
      </w:r>
    </w:p>
    <w:p>
      <w:pPr>
        <w:pStyle w:val="Indenta"/>
      </w:pPr>
      <w:r>
        <w:tab/>
        <w:t>(a)</w:t>
      </w:r>
      <w:r>
        <w:tab/>
        <w:t xml:space="preserve">for the purpose of the management of activities that may harm Aboriginal cultural heritage located in the area under Part 6 —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t>(b)</w:t>
      </w:r>
      <w:r>
        <w:tab/>
        <w:t>to make, or to facilitate the making of, ACH management plans in respect of the area;</w:t>
      </w:r>
    </w:p>
    <w:p>
      <w:pPr>
        <w:pStyle w:val="Indenta"/>
      </w:pPr>
      <w:r>
        <w:tab/>
        <w:t>(c)</w:t>
      </w:r>
      <w:r>
        <w:tab/>
        <w:t>to provide advice to proponents carrying out, or intending to carry out, activities in the area about whether Aboriginal cultural heritage is located in the area and the characteristics of Aboriginal cultural heritage located in the area;</w:t>
      </w:r>
    </w:p>
    <w:p>
      <w:pPr>
        <w:pStyle w:val="Indenta"/>
      </w:pPr>
      <w:r>
        <w:tab/>
        <w:t>(d)</w:t>
      </w:r>
      <w:r>
        <w:tab/>
        <w:t>to provide information to the ACH Council about Aboriginal cultural heritage located in the area to assist the Council to perform its functions under this Act, and to improve the accuracy of the ACH Directory;</w:t>
      </w:r>
    </w:p>
    <w:p>
      <w:pPr>
        <w:pStyle w:val="Indenta"/>
      </w:pPr>
      <w:r>
        <w:tab/>
        <w:t>(e)</w:t>
      </w:r>
      <w:r>
        <w:tab/>
        <w:t>to make submissions, and provide information, to the Council about proposals for activities to be carried out in the area and the management of those activities so as to avoid, or minimise, the risk of harm being caused to Aboriginal cultural heritage by the activities;</w:t>
      </w:r>
    </w:p>
    <w:p>
      <w:pPr>
        <w:pStyle w:val="Indenta"/>
      </w:pPr>
      <w:r>
        <w:tab/>
        <w:t>(f)</w:t>
      </w:r>
      <w:r>
        <w:tab/>
        <w:t>to engage, as appropriate, with other local ACH services, native title parties and knowledge holders about Aboriginal cultural heritage that extends beyond the geographic boundaries of the area;</w:t>
      </w:r>
    </w:p>
    <w:p>
      <w:pPr>
        <w:pStyle w:val="Indenta"/>
      </w:pPr>
      <w:r>
        <w:lastRenderedPageBreak/>
        <w:tab/>
        <w:t>(g)</w:t>
      </w:r>
      <w:r>
        <w:tab/>
        <w:t>to undertake, either directly or indirectly, on</w:t>
      </w:r>
      <w:r>
        <w:noBreakHyphen/>
        <w:t>ground identification, maintenance, conservation and preservation of Aboriginal cultural heritage located in the area;</w:t>
      </w:r>
    </w:p>
    <w:p>
      <w:pPr>
        <w:pStyle w:val="Indenta"/>
      </w:pPr>
      <w:r>
        <w:tab/>
        <w:t>(h)</w:t>
      </w:r>
      <w:r>
        <w:tab/>
        <w:t>to report to the Council about matters related to the provision of local ACH service functions as required by the regulations;</w:t>
      </w:r>
    </w:p>
    <w:p>
      <w:pPr>
        <w:pStyle w:val="Indenta"/>
      </w:pPr>
      <w:r>
        <w:tab/>
        <w:t>(i)</w:t>
      </w:r>
      <w:r>
        <w:tab/>
        <w:t>to undertake, either directly or indirectly, any activity in relation to protecting, preserving, conserving or managing Aboriginal cultural heritage, agreed under an approved or authorised ACH management plan to be a function of the person designated as the local ACH service for the purposes of this paragraph;</w:t>
      </w:r>
    </w:p>
    <w:p>
      <w:pPr>
        <w:pStyle w:val="Indenta"/>
      </w:pPr>
      <w:r>
        <w:tab/>
        <w:t>(j)</w:t>
      </w:r>
      <w:r>
        <w:tab/>
        <w:t>other functions, if any, prescribed for the purposes of this paragraph.</w:t>
      </w:r>
    </w:p>
    <w:p>
      <w:pPr>
        <w:pStyle w:val="Subsection"/>
      </w:pPr>
      <w:r>
        <w:tab/>
        <w:t>(2)</w:t>
      </w:r>
      <w:r>
        <w:tab/>
        <w:t>A person designated as a local ACH service must use its best endeavours to provide the functions set out in subsection (1) in a timely manner.</w:t>
      </w:r>
    </w:p>
    <w:p>
      <w:pPr>
        <w:pStyle w:val="Heading5"/>
      </w:pPr>
      <w:bookmarkStart w:id="72" w:name="_Toc154742698"/>
      <w:r>
        <w:rPr>
          <w:rStyle w:val="CharSectno"/>
        </w:rPr>
        <w:t>49</w:t>
      </w:r>
      <w:r>
        <w:t>.</w:t>
      </w:r>
      <w:r>
        <w:tab/>
        <w:t>Fee for services provided by local ACH service</w:t>
      </w:r>
      <w:bookmarkEnd w:id="72"/>
    </w:p>
    <w:p>
      <w:pPr>
        <w:pStyle w:val="Subsection"/>
      </w:pPr>
      <w:r>
        <w:tab/>
        <w:t>(1)</w:t>
      </w:r>
      <w:r>
        <w:tab/>
        <w:t>Subject to subsection (3), a person designated as a local ACH service may charge a fee for services that it provides in connection with any local ACH service functions that it provides in relation to the area for which it is designated.</w:t>
      </w:r>
    </w:p>
    <w:p>
      <w:pPr>
        <w:pStyle w:val="Subsection"/>
      </w:pPr>
      <w:r>
        <w:tab/>
        <w:t>(2)</w:t>
      </w:r>
      <w:r>
        <w:tab/>
        <w:t xml:space="preserve">A fee charged must be in accordance with — </w:t>
      </w:r>
    </w:p>
    <w:p>
      <w:pPr>
        <w:pStyle w:val="Indenta"/>
      </w:pPr>
      <w:r>
        <w:tab/>
        <w:t>(a)</w:t>
      </w:r>
      <w:r>
        <w:tab/>
        <w:t>the fee structure that the person designated as a local ACH service had in place at the time it was designated; or</w:t>
      </w:r>
    </w:p>
    <w:p>
      <w:pPr>
        <w:pStyle w:val="Indenta"/>
      </w:pPr>
      <w:r>
        <w:tab/>
        <w:t>(b)</w:t>
      </w:r>
      <w:r>
        <w:tab/>
        <w:t>if a variation of the fee structure is later approved by the ACH Council under section 50(2) — the fee structure as varied.</w:t>
      </w:r>
    </w:p>
    <w:p>
      <w:pPr>
        <w:pStyle w:val="Subsection"/>
      </w:pPr>
      <w:r>
        <w:tab/>
        <w:t>(3)</w:t>
      </w:r>
      <w:r>
        <w:tab/>
        <w:t xml:space="preserve">However, a person designated as a local ACH service cannot charge a fee for services that it provides to the Department or </w:t>
      </w:r>
      <w:r>
        <w:lastRenderedPageBreak/>
        <w:t>the ACH Council in connection with any local ACH service functions.</w:t>
      </w:r>
    </w:p>
    <w:p>
      <w:pPr>
        <w:pStyle w:val="Subsection"/>
      </w:pPr>
      <w:r>
        <w:tab/>
        <w:t>(4)</w:t>
      </w:r>
      <w:r>
        <w:tab/>
        <w:t>If a fee for services charged by a person designated as a local ACH service under subsection (1) is not paid, the person may recover the fee as a debt due in a court of competent jurisdiction.</w:t>
      </w:r>
    </w:p>
    <w:p>
      <w:pPr>
        <w:pStyle w:val="Heading5"/>
      </w:pPr>
      <w:bookmarkStart w:id="73" w:name="_Toc154742699"/>
      <w:r>
        <w:rPr>
          <w:rStyle w:val="CharSectno"/>
        </w:rPr>
        <w:t>50</w:t>
      </w:r>
      <w:r>
        <w:t>.</w:t>
      </w:r>
      <w:r>
        <w:tab/>
        <w:t>Variation of fee structure for services provided by local ACH service</w:t>
      </w:r>
      <w:bookmarkEnd w:id="73"/>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Heading4"/>
      </w:pPr>
      <w:bookmarkStart w:id="74" w:name="_Toc154742700"/>
      <w:r>
        <w:t>Subdivision 4 — Funding for local ACH services</w:t>
      </w:r>
      <w:bookmarkEnd w:id="74"/>
    </w:p>
    <w:p>
      <w:pPr>
        <w:pStyle w:val="Heading5"/>
      </w:pPr>
      <w:bookmarkStart w:id="75" w:name="_Toc154742701"/>
      <w:r>
        <w:rPr>
          <w:rStyle w:val="CharSectno"/>
        </w:rPr>
        <w:t>51</w:t>
      </w:r>
      <w:r>
        <w:t>.</w:t>
      </w:r>
      <w:r>
        <w:tab/>
        <w:t>Funding for local ACH services</w:t>
      </w:r>
      <w:bookmarkEnd w:id="75"/>
    </w:p>
    <w:p>
      <w:pPr>
        <w:pStyle w:val="Subsection"/>
      </w:pPr>
      <w:r>
        <w:tab/>
        <w:t>(1)</w:t>
      </w:r>
      <w:r>
        <w:tab/>
        <w:t>The CEO may, with the prior written approval of the Minister, decide that funding is to be paid to a person designated as the local ACH service for an area for the purpose of enabling the person to provide local ACH service functions for the area.</w:t>
      </w:r>
    </w:p>
    <w:p>
      <w:pPr>
        <w:pStyle w:val="Subsection"/>
      </w:pPr>
      <w:r>
        <w:tab/>
        <w:t>(2)</w:t>
      </w:r>
      <w:r>
        <w:tab/>
        <w:t xml:space="preserve">If the CEO decides that funding is to be paid under subsection (1) to a person designated as the local ACH service for an area, the CEO must make a written determination setting out — </w:t>
      </w:r>
    </w:p>
    <w:p>
      <w:pPr>
        <w:pStyle w:val="Indenta"/>
      </w:pPr>
      <w:r>
        <w:tab/>
        <w:t>(a)</w:t>
      </w:r>
      <w:r>
        <w:tab/>
        <w:t xml:space="preserve">the amount of money to be paid as funding to the person (the </w:t>
      </w:r>
      <w:r>
        <w:rPr>
          <w:rStyle w:val="CharDefText"/>
        </w:rPr>
        <w:t>funding sum</w:t>
      </w:r>
      <w:r>
        <w:t>); and</w:t>
      </w:r>
    </w:p>
    <w:p>
      <w:pPr>
        <w:pStyle w:val="Indenta"/>
      </w:pPr>
      <w:r>
        <w:lastRenderedPageBreak/>
        <w:tab/>
        <w:t>(b)</w:t>
      </w:r>
      <w:r>
        <w:tab/>
        <w:t xml:space="preserve">the manner in which the funding sum must be paid to the person, including whether the funding sum must be paid — </w:t>
      </w:r>
    </w:p>
    <w:p>
      <w:pPr>
        <w:pStyle w:val="Indenti"/>
      </w:pPr>
      <w:r>
        <w:tab/>
        <w:t>(i)</w:t>
      </w:r>
      <w:r>
        <w:tab/>
        <w:t>in a lump sum or in periodic payments; and</w:t>
      </w:r>
    </w:p>
    <w:p>
      <w:pPr>
        <w:pStyle w:val="Indenti"/>
      </w:pPr>
      <w:r>
        <w:tab/>
        <w:t>(ii)</w:t>
      </w:r>
      <w:r>
        <w:tab/>
        <w:t xml:space="preserve">in relation to all or part of a financial year, or another period not exceeding 3 years (the </w:t>
      </w:r>
      <w:r>
        <w:rPr>
          <w:rStyle w:val="CharDefText"/>
        </w:rPr>
        <w:t>funding period</w:t>
      </w:r>
      <w:r>
        <w:t>);</w:t>
      </w:r>
    </w:p>
    <w:p>
      <w:pPr>
        <w:pStyle w:val="Indenta"/>
      </w:pPr>
      <w:r>
        <w:tab/>
      </w:r>
      <w:r>
        <w:tab/>
        <w:t>and</w:t>
      </w:r>
    </w:p>
    <w:p>
      <w:pPr>
        <w:pStyle w:val="Indenta"/>
      </w:pPr>
      <w:r>
        <w:tab/>
        <w:t>(c)</w:t>
      </w:r>
      <w:r>
        <w:tab/>
        <w:t xml:space="preserve">the conditions, if any, to which the payment of the funding sum is subject, including, but not limited to the following — </w:t>
      </w:r>
    </w:p>
    <w:p>
      <w:pPr>
        <w:pStyle w:val="Indenti"/>
      </w:pPr>
      <w:r>
        <w:tab/>
        <w:t>(i)</w:t>
      </w:r>
      <w:r>
        <w:tab/>
        <w:t>the purpose for which the funding sum, or a part of it, must be spent;</w:t>
      </w:r>
    </w:p>
    <w:p>
      <w:pPr>
        <w:pStyle w:val="Indenti"/>
      </w:pPr>
      <w:r>
        <w:tab/>
        <w:t>(ii)</w:t>
      </w:r>
      <w:r>
        <w:tab/>
        <w:t>the provision of information relating to the expenditure of the funding sum, including the production and publication of financial statements;</w:t>
      </w:r>
    </w:p>
    <w:p>
      <w:pPr>
        <w:pStyle w:val="Indenti"/>
      </w:pPr>
      <w:r>
        <w:tab/>
        <w:t>(iii)</w:t>
      </w:r>
      <w:r>
        <w:tab/>
        <w:t>the continuing satisfactory performance by the person in providing local ACH service functions for the area.</w:t>
      </w:r>
    </w:p>
    <w:p>
      <w:pPr>
        <w:pStyle w:val="Subsection"/>
      </w:pPr>
      <w:r>
        <w:tab/>
        <w:t>(3)</w:t>
      </w:r>
      <w:r>
        <w:tab/>
        <w:t>A determination under subsection (2) must be made in accordance with the criteria, if any, prescribed.</w:t>
      </w:r>
    </w:p>
    <w:p>
      <w:pPr>
        <w:pStyle w:val="Subsection"/>
      </w:pPr>
      <w:r>
        <w:tab/>
        <w:t>(4)</w:t>
      </w:r>
      <w:r>
        <w:tab/>
        <w:t>In addition to any condition imposed under subsection (2)(c), the payment of a funding sum is subject to the condition that if the designation of the person to whom the funding sum was paid is cancelled under section 43 during the funding period then an amount equal to any uncommitted amount of the funding sum at the time when the designation is cancelled must be paid to the ACH Council.</w:t>
      </w:r>
    </w:p>
    <w:p>
      <w:pPr>
        <w:pStyle w:val="Subsection"/>
      </w:pPr>
      <w:r>
        <w:tab/>
        <w:t>(5)</w:t>
      </w:r>
      <w:r>
        <w:tab/>
        <w:t xml:space="preserve">In subsection (4) — </w:t>
      </w:r>
    </w:p>
    <w:p>
      <w:pPr>
        <w:pStyle w:val="Defstart"/>
      </w:pPr>
      <w:r>
        <w:tab/>
      </w:r>
      <w:r>
        <w:rPr>
          <w:rStyle w:val="CharDefText"/>
        </w:rPr>
        <w:t>uncommitted amount</w:t>
      </w:r>
      <w:r>
        <w:t xml:space="preserve">, in relation to a funding sum paid to a person designated as a local ACH service for an area, means the difference, if any, between — </w:t>
      </w:r>
    </w:p>
    <w:p>
      <w:pPr>
        <w:pStyle w:val="Defpara"/>
      </w:pPr>
      <w:r>
        <w:lastRenderedPageBreak/>
        <w:tab/>
        <w:t>(a)</w:t>
      </w:r>
      <w:r>
        <w:tab/>
        <w:t>the amount of the funding sum that has been paid to the person at the time when the designation is cancelled; and</w:t>
      </w:r>
    </w:p>
    <w:p>
      <w:pPr>
        <w:pStyle w:val="Defpara"/>
      </w:pPr>
      <w:r>
        <w:tab/>
        <w:t>(b)</w:t>
      </w:r>
      <w:r>
        <w:tab/>
        <w:t xml:space="preserve">the amount of the funding sum that, at the time when the designation is cancelled — </w:t>
      </w:r>
    </w:p>
    <w:p>
      <w:pPr>
        <w:pStyle w:val="Defsubpara"/>
      </w:pPr>
      <w:r>
        <w:tab/>
        <w:t>(i)</w:t>
      </w:r>
      <w:r>
        <w:tab/>
        <w:t>has already been spent for the purpose of enabling the person to provide local ACH service functions for the area; or</w:t>
      </w:r>
    </w:p>
    <w:p>
      <w:pPr>
        <w:pStyle w:val="Defsubpara"/>
      </w:pPr>
      <w:r>
        <w:tab/>
        <w:t>(ii)</w:t>
      </w:r>
      <w:r>
        <w:tab/>
        <w:t>for which liability has already been incurred for the purpose of enabling the person to provide local ACH service functions for the area.</w:t>
      </w:r>
    </w:p>
    <w:p>
      <w:pPr>
        <w:pStyle w:val="Subsection"/>
      </w:pPr>
      <w:r>
        <w:tab/>
        <w:t>(6)</w:t>
      </w:r>
      <w:r>
        <w:tab/>
        <w:t>The CEO must ensure that a person designated as a local ACH service who is paid a funding sum under this section is given written notice of the conditions to which the payment of the funding sum to the person is subject under subsections (2)(c) and (4).</w:t>
      </w:r>
    </w:p>
    <w:p>
      <w:pPr>
        <w:pStyle w:val="Subsection"/>
      </w:pPr>
      <w:r>
        <w:tab/>
        <w:t>(7)</w:t>
      </w:r>
      <w:r>
        <w:tab/>
        <w:t>Funding under this section is payable in accordance with a determination of the CEO under subsection (2).</w:t>
      </w:r>
    </w:p>
    <w:p>
      <w:pPr>
        <w:pStyle w:val="Heading5"/>
      </w:pPr>
      <w:bookmarkStart w:id="76" w:name="_Toc154742702"/>
      <w:r>
        <w:rPr>
          <w:rStyle w:val="CharSectno"/>
        </w:rPr>
        <w:t>52</w:t>
      </w:r>
      <w:r>
        <w:t>.</w:t>
      </w:r>
      <w:r>
        <w:tab/>
        <w:t>Contravention of funding conditions</w:t>
      </w:r>
      <w:bookmarkEnd w:id="76"/>
    </w:p>
    <w:p>
      <w:pPr>
        <w:pStyle w:val="Subsection"/>
      </w:pPr>
      <w:r>
        <w:tab/>
        <w:t>(1)</w:t>
      </w:r>
      <w:r>
        <w:tab/>
        <w:t>A person designated, or formerly designated, as a local ACH service must not contravene a condition to which the payment of a funding sum to the person is subject under section 51(2)(c) or (4).</w:t>
      </w:r>
    </w:p>
    <w:p>
      <w:pPr>
        <w:pStyle w:val="Penstart"/>
      </w:pPr>
      <w:r>
        <w:tab/>
        <w:t>Penalty for this subsection: a fine of $10 000.</w:t>
      </w:r>
    </w:p>
    <w:p>
      <w:pPr>
        <w:pStyle w:val="Subsection"/>
      </w:pPr>
      <w:r>
        <w:tab/>
        <w:t>(2)</w:t>
      </w:r>
      <w:r>
        <w:tab/>
        <w:t xml:space="preserve">In subsection (1) — </w:t>
      </w:r>
    </w:p>
    <w:p>
      <w:pPr>
        <w:pStyle w:val="Defstart"/>
      </w:pPr>
      <w:r>
        <w:tab/>
      </w:r>
      <w:r>
        <w:rPr>
          <w:rStyle w:val="CharDefText"/>
        </w:rPr>
        <w:t>funding sum</w:t>
      </w:r>
      <w:r>
        <w:t xml:space="preserve"> has the meaning given in section 51(2)(a).</w:t>
      </w:r>
    </w:p>
    <w:p>
      <w:pPr>
        <w:pStyle w:val="Heading2"/>
      </w:pPr>
      <w:bookmarkStart w:id="77" w:name="_Toc154742703"/>
      <w:r>
        <w:rPr>
          <w:rStyle w:val="CharPartNo"/>
        </w:rPr>
        <w:lastRenderedPageBreak/>
        <w:t>Part 3</w:t>
      </w:r>
      <w:r>
        <w:t> — </w:t>
      </w:r>
      <w:r>
        <w:rPr>
          <w:rStyle w:val="CharPartText"/>
        </w:rPr>
        <w:t>Rights and duties in relation to Aboriginal cultural heritage</w:t>
      </w:r>
      <w:bookmarkEnd w:id="77"/>
    </w:p>
    <w:p>
      <w:pPr>
        <w:pStyle w:val="Heading3"/>
      </w:pPr>
      <w:bookmarkStart w:id="78" w:name="_Toc154742704"/>
      <w:r>
        <w:rPr>
          <w:rStyle w:val="CharDivNo"/>
        </w:rPr>
        <w:t>Division 1</w:t>
      </w:r>
      <w:r>
        <w:t> — </w:t>
      </w:r>
      <w:r>
        <w:rPr>
          <w:rStyle w:val="CharDivText"/>
        </w:rPr>
        <w:t>Preliminary</w:t>
      </w:r>
      <w:bookmarkEnd w:id="78"/>
    </w:p>
    <w:p>
      <w:pPr>
        <w:pStyle w:val="Heading5"/>
      </w:pPr>
      <w:bookmarkStart w:id="79" w:name="_Toc154742705"/>
      <w:r>
        <w:rPr>
          <w:rStyle w:val="CharSectno"/>
        </w:rPr>
        <w:t>53</w:t>
      </w:r>
      <w:r>
        <w:t>.</w:t>
      </w:r>
      <w:r>
        <w:tab/>
        <w:t>Terms used</w:t>
      </w:r>
      <w:bookmarkEnd w:id="79"/>
    </w:p>
    <w:p>
      <w:pPr>
        <w:pStyle w:val="Subsection"/>
      </w:pPr>
      <w:r>
        <w:tab/>
      </w:r>
      <w:r>
        <w:tab/>
        <w:t xml:space="preserve">In this Part — </w:t>
      </w:r>
    </w:p>
    <w:p>
      <w:pPr>
        <w:pStyle w:val="Defstart"/>
      </w:pPr>
      <w:r>
        <w:tab/>
      </w:r>
      <w:r>
        <w:rPr>
          <w:rStyle w:val="CharDefText"/>
        </w:rPr>
        <w:t>custodian</w:t>
      </w:r>
      <w:r>
        <w:t xml:space="preserve"> — </w:t>
      </w:r>
    </w:p>
    <w:p>
      <w:pPr>
        <w:pStyle w:val="Defpara"/>
      </w:pPr>
      <w:r>
        <w:tab/>
        <w:t>(a)</w:t>
      </w:r>
      <w:r>
        <w:tab/>
        <w:t>in relation to Aboriginal ancestral remains — has the meaning given in section 55(1)(a); or</w:t>
      </w:r>
    </w:p>
    <w:p>
      <w:pPr>
        <w:pStyle w:val="Defpara"/>
      </w:pPr>
      <w:r>
        <w:tab/>
        <w:t>(b)</w:t>
      </w:r>
      <w:r>
        <w:tab/>
        <w:t>in relation to a secret or sacred object — has the meaning given in section 63(1)(a);</w:t>
      </w:r>
    </w:p>
    <w:p>
      <w:pPr>
        <w:pStyle w:val="Defstart"/>
      </w:pPr>
      <w:r>
        <w:tab/>
      </w:r>
      <w:r>
        <w:rPr>
          <w:rStyle w:val="CharDefText"/>
        </w:rPr>
        <w:t>organisation</w:t>
      </w:r>
      <w:r>
        <w:t xml:space="preserve"> means any person other than the following — </w:t>
      </w:r>
    </w:p>
    <w:p>
      <w:pPr>
        <w:pStyle w:val="Defpara"/>
      </w:pPr>
      <w:r>
        <w:tab/>
        <w:t>(a)</w:t>
      </w:r>
      <w:r>
        <w:tab/>
        <w:t>an individual;</w:t>
      </w:r>
    </w:p>
    <w:p>
      <w:pPr>
        <w:pStyle w:val="Defpara"/>
      </w:pPr>
      <w:r>
        <w:tab/>
        <w:t>(b)</w:t>
      </w:r>
      <w:r>
        <w:tab/>
        <w:t>the WA Museum.</w:t>
      </w:r>
    </w:p>
    <w:p>
      <w:pPr>
        <w:pStyle w:val="Heading5"/>
      </w:pPr>
      <w:bookmarkStart w:id="80" w:name="_Toc154742706"/>
      <w:r>
        <w:rPr>
          <w:rStyle w:val="CharSectno"/>
        </w:rPr>
        <w:t>54</w:t>
      </w:r>
      <w:r>
        <w:t>.</w:t>
      </w:r>
      <w:r>
        <w:tab/>
        <w:t>No compensation under this Part</w:t>
      </w:r>
      <w:bookmarkEnd w:id="80"/>
    </w:p>
    <w:p>
      <w:pPr>
        <w:pStyle w:val="Subsection"/>
      </w:pPr>
      <w:r>
        <w:tab/>
      </w:r>
      <w:r>
        <w:tab/>
        <w:t>A person is not entitled to any compensation for loss resulting from the operation of this Part.</w:t>
      </w:r>
    </w:p>
    <w:p>
      <w:pPr>
        <w:pStyle w:val="Heading3"/>
      </w:pPr>
      <w:bookmarkStart w:id="81" w:name="_Toc154742707"/>
      <w:r>
        <w:rPr>
          <w:rStyle w:val="CharDivNo"/>
        </w:rPr>
        <w:t>Division 2</w:t>
      </w:r>
      <w:r>
        <w:t> — </w:t>
      </w:r>
      <w:r>
        <w:rPr>
          <w:rStyle w:val="CharDivText"/>
        </w:rPr>
        <w:t>Aboriginal ancestral remains</w:t>
      </w:r>
      <w:bookmarkEnd w:id="81"/>
    </w:p>
    <w:p>
      <w:pPr>
        <w:pStyle w:val="Heading5"/>
      </w:pPr>
      <w:bookmarkStart w:id="82" w:name="_Toc154742708"/>
      <w:r>
        <w:rPr>
          <w:rStyle w:val="CharSectno"/>
        </w:rPr>
        <w:t>55</w:t>
      </w:r>
      <w:r>
        <w:t>.</w:t>
      </w:r>
      <w:r>
        <w:tab/>
        <w:t>Rights of Aboriginal people in relation to Aboriginal ancestral remains</w:t>
      </w:r>
      <w:bookmarkEnd w:id="82"/>
    </w:p>
    <w:p>
      <w:pPr>
        <w:pStyle w:val="Subsection"/>
      </w:pPr>
      <w:r>
        <w:tab/>
        <w:t>(1)</w:t>
      </w:r>
      <w:r>
        <w:tab/>
        <w:t xml:space="preserve">An Aboriginal person, group or community that has traditional rights, interests and responsibilities in respect of an area in which Aboriginal ancestral remains are located, or are reasonably believed to have originated from, is — </w:t>
      </w:r>
    </w:p>
    <w:p>
      <w:pPr>
        <w:pStyle w:val="Indenta"/>
      </w:pPr>
      <w:r>
        <w:tab/>
        <w:t>(a)</w:t>
      </w:r>
      <w:r>
        <w:tab/>
        <w:t xml:space="preserve">a </w:t>
      </w:r>
      <w:r>
        <w:rPr>
          <w:rStyle w:val="CharDefText"/>
          <w:snapToGrid w:val="0"/>
        </w:rPr>
        <w:t>custodian</w:t>
      </w:r>
      <w:r>
        <w:t xml:space="preserve"> of the ancestral remains; and </w:t>
      </w:r>
    </w:p>
    <w:p>
      <w:pPr>
        <w:pStyle w:val="Indenta"/>
      </w:pPr>
      <w:r>
        <w:tab/>
        <w:t>(b)</w:t>
      </w:r>
      <w:r>
        <w:tab/>
        <w:t>entitled to possession and control of the ancestral remains.</w:t>
      </w:r>
    </w:p>
    <w:p>
      <w:pPr>
        <w:pStyle w:val="Subsection"/>
      </w:pPr>
      <w:r>
        <w:lastRenderedPageBreak/>
        <w:tab/>
        <w:t>(2)</w:t>
      </w:r>
      <w:r>
        <w:tab/>
        <w:t>Subsection (1) applies to Aboriginal ancestral remains regardless of who may have had possession or control of the ancestral remains before the commencement of this section.</w:t>
      </w:r>
    </w:p>
    <w:p>
      <w:pPr>
        <w:pStyle w:val="Heading5"/>
      </w:pPr>
      <w:bookmarkStart w:id="83" w:name="_Toc154742709"/>
      <w:r>
        <w:rPr>
          <w:rStyle w:val="CharSectno"/>
        </w:rPr>
        <w:t>56</w:t>
      </w:r>
      <w:r>
        <w:t>.</w:t>
      </w:r>
      <w:r>
        <w:tab/>
        <w:t>ACH Council must be notified about Aboriginal ancestral remains</w:t>
      </w:r>
      <w:bookmarkEnd w:id="83"/>
    </w:p>
    <w:p>
      <w:pPr>
        <w:pStyle w:val="Subsection"/>
      </w:pPr>
      <w:r>
        <w:tab/>
        <w:t>(1)</w:t>
      </w:r>
      <w:r>
        <w:tab/>
        <w:t xml:space="preserve">An organisation or individual that is in possession of Aboriginal ancestral remains must, within the prescribed period, give written notice to the ACH Council — </w:t>
      </w:r>
    </w:p>
    <w:p>
      <w:pPr>
        <w:pStyle w:val="Indenta"/>
      </w:pPr>
      <w:r>
        <w:tab/>
        <w:t>(a)</w:t>
      </w:r>
      <w:r>
        <w:tab/>
        <w:t>stating that they are in possession of the ancestral remains; and</w:t>
      </w:r>
    </w:p>
    <w:p>
      <w:pPr>
        <w:pStyle w:val="Indenta"/>
      </w:pPr>
      <w:r>
        <w:tab/>
        <w:t>(b)</w:t>
      </w:r>
      <w:r>
        <w:tab/>
        <w:t>describing the ancestral remains; and</w:t>
      </w:r>
    </w:p>
    <w:p>
      <w:pPr>
        <w:pStyle w:val="Indenta"/>
      </w:pPr>
      <w:r>
        <w:tab/>
        <w:t>(c)</w:t>
      </w:r>
      <w:r>
        <w:tab/>
        <w:t>containing any other information in their possession about the ancestral remains, including information about how they came to be in possession of the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Aboriginal ancestral remains; or</w:t>
      </w:r>
    </w:p>
    <w:p>
      <w:pPr>
        <w:pStyle w:val="Indenta"/>
      </w:pPr>
      <w:r>
        <w:tab/>
        <w:t>(b)</w:t>
      </w:r>
      <w:r>
        <w:tab/>
        <w:t>an organisation or individual acting at the written request of an Aboriginal person described in paragraph (a); or</w:t>
      </w:r>
    </w:p>
    <w:p>
      <w:pPr>
        <w:pStyle w:val="Indenta"/>
      </w:pPr>
      <w:r>
        <w:tab/>
        <w:t>(c)</w:t>
      </w:r>
      <w:r>
        <w:tab/>
        <w:t>an organisation that, or individual who, reasonably believes that the ACH Council is already aware that the organisation or individual is in possession of the Aboriginal ancestral remains.</w:t>
      </w:r>
    </w:p>
    <w:p>
      <w:pPr>
        <w:pStyle w:val="Heading5"/>
      </w:pPr>
      <w:bookmarkStart w:id="84" w:name="_Toc154742710"/>
      <w:r>
        <w:rPr>
          <w:rStyle w:val="CharSectno"/>
        </w:rPr>
        <w:lastRenderedPageBreak/>
        <w:t>57</w:t>
      </w:r>
      <w:r>
        <w:t>.</w:t>
      </w:r>
      <w:r>
        <w:tab/>
        <w:t>Duty of organisations to return Aboriginal ancestral remains</w:t>
      </w:r>
      <w:bookmarkEnd w:id="84"/>
    </w:p>
    <w:p>
      <w:pPr>
        <w:pStyle w:val="Subsection"/>
      </w:pPr>
      <w:r>
        <w:tab/>
        <w:t>(1)</w:t>
      </w:r>
      <w:r>
        <w:tab/>
        <w:t xml:space="preserve">An organisation that is in possession of Aboriginal ancestral remains and has given notice under section 56(1) must, within the prescribed period — </w:t>
      </w:r>
    </w:p>
    <w:p>
      <w:pPr>
        <w:pStyle w:val="Indenta"/>
      </w:pPr>
      <w:r>
        <w:tab/>
        <w:t>(a)</w:t>
      </w:r>
      <w:r>
        <w:tab/>
        <w:t>identify a custodian of the ancestral remains; and</w:t>
      </w:r>
    </w:p>
    <w:p>
      <w:pPr>
        <w:pStyle w:val="Indenta"/>
      </w:pPr>
      <w:r>
        <w:tab/>
        <w:t>(b)</w:t>
      </w:r>
      <w:r>
        <w:tab/>
        <w:t xml:space="preserve">either — </w:t>
      </w:r>
    </w:p>
    <w:p>
      <w:pPr>
        <w:pStyle w:val="Indenti"/>
      </w:pPr>
      <w:r>
        <w:tab/>
        <w:t>(i)</w:t>
      </w:r>
      <w:r>
        <w:tab/>
        <w:t>return the ancestral remains to a custodian of the ancestral remains; or</w:t>
      </w:r>
    </w:p>
    <w:p>
      <w:pPr>
        <w:pStyle w:val="Indenti"/>
      </w:pPr>
      <w:r>
        <w:tab/>
        <w:t>(ii)</w:t>
      </w:r>
      <w:r>
        <w:tab/>
        <w:t>at the request of a custodian of the ancestral remains, agree to continue to hold the ancestral remains on behalf of the custodians of the ancestral remains until a custodian of the ancestral remains requests otherwise.</w:t>
      </w:r>
    </w:p>
    <w:p>
      <w:pPr>
        <w:pStyle w:val="Penstart"/>
      </w:pPr>
      <w:r>
        <w:tab/>
        <w:t>Penalty for this subsection: a fine of $20 000.</w:t>
      </w:r>
    </w:p>
    <w:p>
      <w:pPr>
        <w:pStyle w:val="Subsection"/>
      </w:pPr>
      <w:r>
        <w:tab/>
        <w:t>(2)</w:t>
      </w:r>
      <w:r>
        <w:tab/>
        <w:t>An organisation must seek the advice of the ACH Council as to compliance with subsection (1).</w:t>
      </w:r>
    </w:p>
    <w:p>
      <w:pPr>
        <w:pStyle w:val="Subsection"/>
        <w:keepNext/>
      </w:pPr>
      <w:r>
        <w:tab/>
        <w:t>(3)</w:t>
      </w:r>
      <w:r>
        <w:tab/>
        <w:t xml:space="preserve">It is a defence to a charge of an offence under subsection (1) to prove that the organisation — </w:t>
      </w:r>
    </w:p>
    <w:p>
      <w:pPr>
        <w:pStyle w:val="Indenta"/>
      </w:pPr>
      <w:r>
        <w:tab/>
        <w:t>(a)</w:t>
      </w:r>
      <w:r>
        <w:tab/>
        <w:t>could not, after taking reasonable steps to do so, identify a custodian of Aboriginal ancestral remains that are in its possession; and</w:t>
      </w:r>
    </w:p>
    <w:p>
      <w:pPr>
        <w:pStyle w:val="Indenta"/>
      </w:pPr>
      <w:r>
        <w:tab/>
        <w:t>(b)</w:t>
      </w:r>
      <w:r>
        <w:tab/>
        <w:t>has transferred the ancestral remains into the custody of the ACH Council.</w:t>
      </w:r>
    </w:p>
    <w:p>
      <w:pPr>
        <w:pStyle w:val="Subsection"/>
      </w:pPr>
      <w:r>
        <w:tab/>
        <w:t>(4)</w:t>
      </w:r>
      <w:r>
        <w:tab/>
        <w:t xml:space="preserve">An organisation must give written notice to the ACH Council within the prescribed period after the organisation, in accordance with subsection (1)(b), has either — </w:t>
      </w:r>
    </w:p>
    <w:p>
      <w:pPr>
        <w:pStyle w:val="Indenta"/>
      </w:pPr>
      <w:r>
        <w:tab/>
        <w:t>(a)</w:t>
      </w:r>
      <w:r>
        <w:tab/>
        <w:t>returned Aboriginal ancestral remains to a custodian of the ancestral remains; or</w:t>
      </w:r>
    </w:p>
    <w:p>
      <w:pPr>
        <w:pStyle w:val="Indenta"/>
      </w:pPr>
      <w:r>
        <w:tab/>
        <w:t>(b)</w:t>
      </w:r>
      <w:r>
        <w:tab/>
        <w:t xml:space="preserve">been requested by a custodian of Aboriginal ancestral remains to continue to hold the ancestral remains on </w:t>
      </w:r>
      <w:r>
        <w:lastRenderedPageBreak/>
        <w:t>behalf of the custodians of the ancestral remains until a custodian of the ancestral remains requests otherwise.</w:t>
      </w:r>
    </w:p>
    <w:p>
      <w:pPr>
        <w:pStyle w:val="Penstart"/>
      </w:pPr>
      <w:r>
        <w:tab/>
        <w:t>Penalty for this subsection: a fine of $10 000.</w:t>
      </w:r>
    </w:p>
    <w:p>
      <w:pPr>
        <w:pStyle w:val="Heading5"/>
      </w:pPr>
      <w:bookmarkStart w:id="85" w:name="_Toc154742711"/>
      <w:r>
        <w:rPr>
          <w:rStyle w:val="CharSectno"/>
        </w:rPr>
        <w:t>58</w:t>
      </w:r>
      <w:r>
        <w:t>.</w:t>
      </w:r>
      <w:r>
        <w:tab/>
        <w:t>Duty of individuals to transfer Aboriginal ancestral remains to custody of ACH Council</w:t>
      </w:r>
      <w:bookmarkEnd w:id="85"/>
    </w:p>
    <w:p>
      <w:pPr>
        <w:pStyle w:val="Subsection"/>
      </w:pPr>
      <w:r>
        <w:tab/>
        <w:t>(1)</w:t>
      </w:r>
      <w:r>
        <w:tab/>
        <w:t>An individual who is in possession of Aboriginal ancestral remains and has given notice under section 56(1) must, within the prescribed period, take reasonable steps to transfer the ancestral remains into the custody of the ACH Council.</w:t>
      </w:r>
    </w:p>
    <w:p>
      <w:pPr>
        <w:pStyle w:val="Penstart"/>
      </w:pPr>
      <w:r>
        <w:tab/>
        <w:t>Penalty for this subsection: a fine of $20 000.</w:t>
      </w:r>
    </w:p>
    <w:p>
      <w:pPr>
        <w:pStyle w:val="Subsection"/>
      </w:pPr>
      <w:r>
        <w:tab/>
        <w:t>(2)</w:t>
      </w:r>
      <w:r>
        <w:tab/>
        <w:t>An individual must seek the advice of the ACH Council as to compliance with subsection (1).</w:t>
      </w:r>
    </w:p>
    <w:p>
      <w:pPr>
        <w:pStyle w:val="Heading5"/>
      </w:pPr>
      <w:bookmarkStart w:id="86" w:name="_Toc154742712"/>
      <w:r>
        <w:rPr>
          <w:rStyle w:val="CharSectno"/>
        </w:rPr>
        <w:t>59</w:t>
      </w:r>
      <w:r>
        <w:t>.</w:t>
      </w:r>
      <w:r>
        <w:tab/>
        <w:t>Transfer of Aboriginal ancestral remains by coroner</w:t>
      </w:r>
      <w:bookmarkEnd w:id="86"/>
    </w:p>
    <w:p>
      <w:pPr>
        <w:pStyle w:val="Subsection"/>
      </w:pPr>
      <w:r>
        <w:tab/>
      </w:r>
      <w:r>
        <w:tab/>
        <w:t xml:space="preserve">A coroner who has notified the ACH Council under the </w:t>
      </w:r>
      <w:r>
        <w:rPr>
          <w:i/>
        </w:rPr>
        <w:t>Coroners Act 1996</w:t>
      </w:r>
      <w:r>
        <w:t xml:space="preserve"> section 19B that a body is, or is likely to be, Aboriginal ancestral remains must, as soon as practicable, transfer any ancestral remains the subject of the notice into the custody of the ACH Council.</w:t>
      </w:r>
    </w:p>
    <w:p>
      <w:pPr>
        <w:pStyle w:val="Heading5"/>
      </w:pPr>
      <w:bookmarkStart w:id="87" w:name="_Toc154742713"/>
      <w:r>
        <w:rPr>
          <w:rStyle w:val="CharSectno"/>
        </w:rPr>
        <w:t>60</w:t>
      </w:r>
      <w:r>
        <w:t>.</w:t>
      </w:r>
      <w:r>
        <w:tab/>
        <w:t>Aboriginal ancestral remains transferred to custody of ACH Council</w:t>
      </w:r>
      <w:bookmarkEnd w:id="87"/>
    </w:p>
    <w:p>
      <w:pPr>
        <w:pStyle w:val="Subsection"/>
      </w:pPr>
      <w:r>
        <w:tab/>
      </w:r>
      <w:r>
        <w:tab/>
        <w:t xml:space="preserve">The ACH Council may arrange for Aboriginal ancestral remains transferred into its custody under this Act to, as appropriate in relation to particular ancestral remains — </w:t>
      </w:r>
    </w:p>
    <w:p>
      <w:pPr>
        <w:pStyle w:val="Indenta"/>
      </w:pPr>
      <w:r>
        <w:tab/>
        <w:t>(a)</w:t>
      </w:r>
      <w:r>
        <w:tab/>
        <w:t>be returned to a custodian of the ancestral remains; or</w:t>
      </w:r>
    </w:p>
    <w:p>
      <w:pPr>
        <w:pStyle w:val="Indenta"/>
      </w:pPr>
      <w:r>
        <w:tab/>
        <w:t>(b)</w:t>
      </w:r>
      <w:r>
        <w:tab/>
        <w:t>at the request of a custodian of the ancestral remains — be held by the Council in safekeeping on behalf of the custodians of the ancestral remains; or</w:t>
      </w:r>
    </w:p>
    <w:p>
      <w:pPr>
        <w:pStyle w:val="Indenta"/>
      </w:pPr>
      <w:r>
        <w:tab/>
        <w:t>(c)</w:t>
      </w:r>
      <w:r>
        <w:tab/>
        <w:t>if the Council cannot identify a custodian of the ancestral remains — be dealt with in a manner that the Council considers appropriate.</w:t>
      </w:r>
    </w:p>
    <w:p>
      <w:pPr>
        <w:pStyle w:val="Heading5"/>
      </w:pPr>
      <w:bookmarkStart w:id="88" w:name="_Toc154742714"/>
      <w:r>
        <w:rPr>
          <w:rStyle w:val="CharSectno"/>
        </w:rPr>
        <w:lastRenderedPageBreak/>
        <w:t>61</w:t>
      </w:r>
      <w:r>
        <w:t>.</w:t>
      </w:r>
      <w:r>
        <w:tab/>
        <w:t>Aboriginal ancestral remains must not be disturbed or removed</w:t>
      </w:r>
      <w:bookmarkEnd w:id="88"/>
    </w:p>
    <w:p>
      <w:pPr>
        <w:pStyle w:val="Subsection"/>
      </w:pPr>
      <w:r>
        <w:tab/>
        <w:t>(1)</w:t>
      </w:r>
      <w:r>
        <w:tab/>
        <w:t xml:space="preserve">A person must not — </w:t>
      </w:r>
    </w:p>
    <w:p>
      <w:pPr>
        <w:pStyle w:val="Indenta"/>
      </w:pPr>
      <w:r>
        <w:tab/>
        <w:t>(a)</w:t>
      </w:r>
      <w:r>
        <w:tab/>
        <w:t>disturb or remove Aboriginal ancestral remains on any land; or</w:t>
      </w:r>
    </w:p>
    <w:p>
      <w:pPr>
        <w:pStyle w:val="Indenta"/>
      </w:pPr>
      <w:r>
        <w:tab/>
        <w:t>(b)</w:t>
      </w:r>
      <w:r>
        <w:tab/>
        <w:t>sell, exchange or otherwise dispose of Aboriginal ancestral remains; or</w:t>
      </w:r>
    </w:p>
    <w:p>
      <w:pPr>
        <w:pStyle w:val="Indenta"/>
      </w:pPr>
      <w:r>
        <w:tab/>
        <w:t>(c)</w:t>
      </w:r>
      <w:r>
        <w:tab/>
        <w:t>remove Aboriginal ancestral remains from the State; or</w:t>
      </w:r>
    </w:p>
    <w:p>
      <w:pPr>
        <w:pStyle w:val="Indenta"/>
      </w:pPr>
      <w:r>
        <w:tab/>
        <w:t>(d)</w:t>
      </w:r>
      <w:r>
        <w:tab/>
        <w:t>cause or permit Aboriginal ancestral remains to be removed from the State; or</w:t>
      </w:r>
    </w:p>
    <w:p>
      <w:pPr>
        <w:pStyle w:val="Indenta"/>
      </w:pPr>
      <w:r>
        <w:tab/>
        <w:t>(e)</w:t>
      </w:r>
      <w:r>
        <w:tab/>
        <w:t>conceal Aboriginal ancestral remains.</w:t>
      </w:r>
    </w:p>
    <w:p>
      <w:pPr>
        <w:pStyle w:val="Penstart"/>
      </w:pPr>
      <w:r>
        <w:tab/>
        <w:t>Penalty for this subsection: a fine of $20 000.</w:t>
      </w:r>
    </w:p>
    <w:p>
      <w:pPr>
        <w:pStyle w:val="Subsection"/>
      </w:pPr>
      <w:r>
        <w:tab/>
        <w:t>(2)</w:t>
      </w:r>
      <w:r>
        <w:tab/>
        <w:t xml:space="preserve">However, subsection (1) does not apply to Aboriginal ancestral remains being dealt with — </w:t>
      </w:r>
    </w:p>
    <w:p>
      <w:pPr>
        <w:pStyle w:val="Indenta"/>
      </w:pPr>
      <w:r>
        <w:tab/>
        <w:t>(a)</w:t>
      </w:r>
      <w:r>
        <w:tab/>
        <w:t>by an Aboriginal person acting in accordance with the person’s traditional rights, interests and responsibilities in respect of the ancestral remains; or</w:t>
      </w:r>
    </w:p>
    <w:p>
      <w:pPr>
        <w:pStyle w:val="Indenta"/>
      </w:pPr>
      <w:r>
        <w:tab/>
        <w:t>(b)</w:t>
      </w:r>
      <w:r>
        <w:tab/>
        <w:t>in accordance with this Part.</w:t>
      </w:r>
    </w:p>
    <w:p>
      <w:pPr>
        <w:pStyle w:val="Subsection"/>
      </w:pPr>
      <w:r>
        <w:tab/>
        <w:t>(3)</w:t>
      </w:r>
      <w:r>
        <w:tab/>
        <w:t xml:space="preserve">It is a defence to a charge of an offence under subsection (1)(a) to prove that — </w:t>
      </w:r>
    </w:p>
    <w:p>
      <w:pPr>
        <w:pStyle w:val="Indenta"/>
      </w:pPr>
      <w:r>
        <w:tab/>
        <w:t>(a)</w:t>
      </w:r>
      <w:r>
        <w:tab/>
        <w:t xml:space="preserve">the person charged — </w:t>
      </w:r>
    </w:p>
    <w:p>
      <w:pPr>
        <w:pStyle w:val="Indenti"/>
      </w:pPr>
      <w:r>
        <w:tab/>
        <w:t>(i)</w:t>
      </w:r>
      <w:r>
        <w:tab/>
        <w:t>was carrying out an activity that was authorised under Part 6 Division 4; or</w:t>
      </w:r>
    </w:p>
    <w:p>
      <w:pPr>
        <w:pStyle w:val="Indenti"/>
      </w:pPr>
      <w:r>
        <w:tab/>
        <w:t>(ii)</w:t>
      </w:r>
      <w:r>
        <w:tab/>
        <w:t>was performing a function under this Act or another written law; or</w:t>
      </w:r>
    </w:p>
    <w:p>
      <w:pPr>
        <w:pStyle w:val="Indenti"/>
      </w:pPr>
      <w:r>
        <w:tab/>
        <w:t>(iii)</w:t>
      </w:r>
      <w:r>
        <w:tab/>
        <w:t>was lawfully on the land where the Aboriginal ancestral remains were present and did not reasonably suspect that ancestral remains were present on the land or that the person’s actions would disturb or remove Aboriginal ancestral remains present on the land;</w:t>
      </w:r>
    </w:p>
    <w:p>
      <w:pPr>
        <w:pStyle w:val="Indenta"/>
      </w:pPr>
      <w:r>
        <w:lastRenderedPageBreak/>
        <w:tab/>
      </w:r>
      <w:r>
        <w:tab/>
        <w:t>and</w:t>
      </w:r>
    </w:p>
    <w:p>
      <w:pPr>
        <w:pStyle w:val="Indenta"/>
      </w:pPr>
      <w:r>
        <w:tab/>
        <w:t>(b)</w:t>
      </w:r>
      <w:r>
        <w:tab/>
        <w:t>the person ceased carrying out the activity, performing the function or taking the action that caused the disturbance or removal of the ancestral remains as soon as practicable after the person became aware of the presence of the ancestral remains.</w:t>
      </w:r>
    </w:p>
    <w:p>
      <w:pPr>
        <w:pStyle w:val="Heading3"/>
      </w:pPr>
      <w:bookmarkStart w:id="89" w:name="_Toc154742715"/>
      <w:r>
        <w:rPr>
          <w:rStyle w:val="CharDivNo"/>
        </w:rPr>
        <w:t>Division 3</w:t>
      </w:r>
      <w:r>
        <w:t> — </w:t>
      </w:r>
      <w:r>
        <w:rPr>
          <w:rStyle w:val="CharDivText"/>
        </w:rPr>
        <w:t>Secret or sacred objects</w:t>
      </w:r>
      <w:bookmarkEnd w:id="89"/>
    </w:p>
    <w:p>
      <w:pPr>
        <w:pStyle w:val="Heading5"/>
      </w:pPr>
      <w:bookmarkStart w:id="90" w:name="_Toc154742716"/>
      <w:r>
        <w:rPr>
          <w:rStyle w:val="CharSectno"/>
        </w:rPr>
        <w:t>62</w:t>
      </w:r>
      <w:r>
        <w:t>.</w:t>
      </w:r>
      <w:r>
        <w:tab/>
        <w:t>Term used: prescribed public authority</w:t>
      </w:r>
      <w:bookmarkEnd w:id="90"/>
    </w:p>
    <w:p>
      <w:pPr>
        <w:pStyle w:val="Subsection"/>
      </w:pPr>
      <w:r>
        <w:tab/>
      </w:r>
      <w:r>
        <w:tab/>
        <w:t xml:space="preserve">In this Division — </w:t>
      </w:r>
    </w:p>
    <w:p>
      <w:pPr>
        <w:pStyle w:val="Defstart"/>
      </w:pPr>
      <w:r>
        <w:tab/>
      </w:r>
      <w:r>
        <w:rPr>
          <w:rStyle w:val="CharDefText"/>
        </w:rPr>
        <w:t>prescribed public authority</w:t>
      </w:r>
      <w:r>
        <w:t xml:space="preserve"> means any public authority other than the following — </w:t>
      </w:r>
    </w:p>
    <w:p>
      <w:pPr>
        <w:pStyle w:val="Defpara"/>
      </w:pPr>
      <w:r>
        <w:tab/>
        <w:t>(a)</w:t>
      </w:r>
      <w:r>
        <w:tab/>
        <w:t>the WA Museum;</w:t>
      </w:r>
    </w:p>
    <w:p>
      <w:pPr>
        <w:pStyle w:val="Defpara"/>
      </w:pPr>
      <w:r>
        <w:tab/>
        <w:t>(b)</w:t>
      </w:r>
      <w:r>
        <w:tab/>
        <w:t xml:space="preserve">a university listed in the </w:t>
      </w:r>
      <w:r>
        <w:rPr>
          <w:i/>
        </w:rPr>
        <w:t xml:space="preserve">Public Sector Management Act 1994 </w:t>
      </w:r>
      <w:r>
        <w:t>Schedule 1.</w:t>
      </w:r>
    </w:p>
    <w:p>
      <w:pPr>
        <w:pStyle w:val="Heading5"/>
      </w:pPr>
      <w:bookmarkStart w:id="91" w:name="_Toc154742717"/>
      <w:r>
        <w:rPr>
          <w:rStyle w:val="CharSectno"/>
        </w:rPr>
        <w:t>63</w:t>
      </w:r>
      <w:r>
        <w:t>.</w:t>
      </w:r>
      <w:r>
        <w:tab/>
        <w:t>Rights of Aboriginal people in relation to secret or sacred objects</w:t>
      </w:r>
      <w:bookmarkEnd w:id="91"/>
    </w:p>
    <w:p>
      <w:pPr>
        <w:pStyle w:val="Subsection"/>
      </w:pPr>
      <w:r>
        <w:tab/>
        <w:t>(1)</w:t>
      </w:r>
      <w:r>
        <w:tab/>
        <w:t xml:space="preserve">An Aboriginal person, group or community that has traditional rights, interests and responsibilities in respect of a secret or sacred object is — </w:t>
      </w:r>
    </w:p>
    <w:p>
      <w:pPr>
        <w:pStyle w:val="Indenta"/>
      </w:pPr>
      <w:r>
        <w:tab/>
        <w:t>(a)</w:t>
      </w:r>
      <w:r>
        <w:tab/>
        <w:t xml:space="preserve">a </w:t>
      </w:r>
      <w:r>
        <w:rPr>
          <w:rStyle w:val="CharDefText"/>
          <w:snapToGrid w:val="0"/>
        </w:rPr>
        <w:t>custodian</w:t>
      </w:r>
      <w:r>
        <w:t xml:space="preserve"> of the object; and</w:t>
      </w:r>
    </w:p>
    <w:p>
      <w:pPr>
        <w:pStyle w:val="Indenta"/>
      </w:pPr>
      <w:r>
        <w:tab/>
        <w:t>(b)</w:t>
      </w:r>
      <w:r>
        <w:tab/>
        <w:t xml:space="preserve">a rightful owner of, and entitled to possession and control of, the object — </w:t>
      </w:r>
    </w:p>
    <w:p>
      <w:pPr>
        <w:pStyle w:val="Indenti"/>
      </w:pPr>
      <w:r>
        <w:tab/>
        <w:t>(i)</w:t>
      </w:r>
      <w:r>
        <w:tab/>
        <w:t>if the object is in the possession of a prescribed public authority immediately before the commencement of this section — on the commencement of this section; or</w:t>
      </w:r>
    </w:p>
    <w:p>
      <w:pPr>
        <w:pStyle w:val="Indenti"/>
      </w:pPr>
      <w:r>
        <w:tab/>
        <w:t>(ii)</w:t>
      </w:r>
      <w:r>
        <w:tab/>
        <w:t>otherwise — when the object comes into the possession of a prescribed public authority on or after the commencement of this section.</w:t>
      </w:r>
    </w:p>
    <w:p>
      <w:pPr>
        <w:pStyle w:val="Subsection"/>
      </w:pPr>
      <w:r>
        <w:lastRenderedPageBreak/>
        <w:tab/>
        <w:t>(2)</w:t>
      </w:r>
      <w:r>
        <w:tab/>
        <w:t>Subsection (1) applies to a secret or sacred object regardless of who may have owned, or had possession or control of, the object before the commencement of this section or before the object came into the possession of a prescribed public authority.</w:t>
      </w:r>
    </w:p>
    <w:p>
      <w:pPr>
        <w:pStyle w:val="Heading5"/>
      </w:pPr>
      <w:bookmarkStart w:id="92" w:name="_Toc154742718"/>
      <w:r>
        <w:rPr>
          <w:rStyle w:val="CharSectno"/>
        </w:rPr>
        <w:t>64</w:t>
      </w:r>
      <w:r>
        <w:t>.</w:t>
      </w:r>
      <w:r>
        <w:tab/>
        <w:t>ACH Council must be notified about secret or sacred objects</w:t>
      </w:r>
      <w:bookmarkEnd w:id="92"/>
    </w:p>
    <w:p>
      <w:pPr>
        <w:pStyle w:val="Subsection"/>
      </w:pPr>
      <w:r>
        <w:tab/>
        <w:t>(1)</w:t>
      </w:r>
      <w:r>
        <w:tab/>
        <w:t xml:space="preserve">A person, other than the WA Museum, that is in possession of a secret or sacred object must, within the prescribed period, give written notice to the ACH Council — </w:t>
      </w:r>
    </w:p>
    <w:p>
      <w:pPr>
        <w:pStyle w:val="Indenta"/>
      </w:pPr>
      <w:r>
        <w:tab/>
        <w:t>(a)</w:t>
      </w:r>
      <w:r>
        <w:tab/>
        <w:t>stating that the person is in possession of the object; and</w:t>
      </w:r>
    </w:p>
    <w:p>
      <w:pPr>
        <w:pStyle w:val="Indenta"/>
      </w:pPr>
      <w:r>
        <w:tab/>
        <w:t>(b)</w:t>
      </w:r>
      <w:r>
        <w:tab/>
        <w:t>describing the object; and</w:t>
      </w:r>
    </w:p>
    <w:p>
      <w:pPr>
        <w:pStyle w:val="Indenta"/>
      </w:pPr>
      <w:r>
        <w:tab/>
        <w:t>(c)</w:t>
      </w:r>
      <w:r>
        <w:tab/>
        <w:t>containing any other information in their possession about the object, including information about how they came to be in possession of the object.</w:t>
      </w:r>
    </w:p>
    <w:p>
      <w:pPr>
        <w:pStyle w:val="Penstart"/>
      </w:pPr>
      <w:r>
        <w:tab/>
        <w:t>Penalty for this subsection: a fine of $5 000.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secret or sacred object; or</w:t>
      </w:r>
    </w:p>
    <w:p>
      <w:pPr>
        <w:pStyle w:val="Indenta"/>
      </w:pPr>
      <w:r>
        <w:tab/>
        <w:t>(b)</w:t>
      </w:r>
      <w:r>
        <w:tab/>
        <w:t>a person acting at the written request of an Aboriginal person described in paragraph (a); or</w:t>
      </w:r>
    </w:p>
    <w:p>
      <w:pPr>
        <w:pStyle w:val="Indenta"/>
      </w:pPr>
      <w:r>
        <w:tab/>
        <w:t>(c)</w:t>
      </w:r>
      <w:r>
        <w:tab/>
        <w:t>a person who reasonably believes that the ACH Council is already aware that they are in possession of the secret or sacred object.</w:t>
      </w:r>
    </w:p>
    <w:p>
      <w:pPr>
        <w:pStyle w:val="Heading5"/>
      </w:pPr>
      <w:bookmarkStart w:id="93" w:name="_Toc154742719"/>
      <w:r>
        <w:rPr>
          <w:rStyle w:val="CharSectno"/>
        </w:rPr>
        <w:t>65</w:t>
      </w:r>
      <w:r>
        <w:t>.</w:t>
      </w:r>
      <w:r>
        <w:tab/>
        <w:t>Duty of prescribed public authorities to return secret or sacred objects</w:t>
      </w:r>
      <w:bookmarkEnd w:id="93"/>
    </w:p>
    <w:p>
      <w:pPr>
        <w:pStyle w:val="Subsection"/>
      </w:pPr>
      <w:r>
        <w:tab/>
        <w:t>(1)</w:t>
      </w:r>
      <w:r>
        <w:tab/>
        <w:t>A prescribed public authority that is in possession of a secret or sacred object and has given notice under section 64(1) must, within the prescribed period —</w:t>
      </w:r>
    </w:p>
    <w:p>
      <w:pPr>
        <w:pStyle w:val="Indenta"/>
      </w:pPr>
      <w:r>
        <w:tab/>
        <w:t>(a)</w:t>
      </w:r>
      <w:r>
        <w:tab/>
        <w:t>identify a custodian of the object; and</w:t>
      </w:r>
    </w:p>
    <w:p>
      <w:pPr>
        <w:pStyle w:val="Indenta"/>
      </w:pPr>
      <w:r>
        <w:tab/>
        <w:t>(b)</w:t>
      </w:r>
      <w:r>
        <w:tab/>
        <w:t xml:space="preserve">either — </w:t>
      </w:r>
    </w:p>
    <w:p>
      <w:pPr>
        <w:pStyle w:val="Indenti"/>
      </w:pPr>
      <w:r>
        <w:lastRenderedPageBreak/>
        <w:tab/>
        <w:t>(i)</w:t>
      </w:r>
      <w:r>
        <w:tab/>
        <w:t>return the object to a custodian of the object; or</w:t>
      </w:r>
    </w:p>
    <w:p>
      <w:pPr>
        <w:pStyle w:val="Indenti"/>
      </w:pPr>
      <w:r>
        <w:tab/>
        <w:t>(ii)</w:t>
      </w:r>
      <w:r>
        <w:tab/>
        <w:t>at the request of a custodian of the object, agree to continue to hold the object on behalf of the custodians of the object until a custodian of the object requests otherwise.</w:t>
      </w:r>
    </w:p>
    <w:p>
      <w:pPr>
        <w:pStyle w:val="Penstart"/>
      </w:pPr>
      <w:r>
        <w:tab/>
        <w:t>Penalty for this subsection: a fine of $20 000.</w:t>
      </w:r>
    </w:p>
    <w:p>
      <w:pPr>
        <w:pStyle w:val="Subsection"/>
      </w:pPr>
      <w:r>
        <w:tab/>
        <w:t>(2)</w:t>
      </w:r>
      <w:r>
        <w:tab/>
        <w:t>A prescribed public authority must seek the advice of the ACH Council as to compliance with subsection (1).</w:t>
      </w:r>
    </w:p>
    <w:p>
      <w:pPr>
        <w:pStyle w:val="Subsection"/>
      </w:pPr>
      <w:r>
        <w:tab/>
        <w:t>(3)</w:t>
      </w:r>
      <w:r>
        <w:tab/>
        <w:t xml:space="preserve">It is a defence to a charge of an offence under subsection (1) to prove that the prescribed public authority — </w:t>
      </w:r>
    </w:p>
    <w:p>
      <w:pPr>
        <w:pStyle w:val="Indenta"/>
      </w:pPr>
      <w:r>
        <w:tab/>
        <w:t>(a)</w:t>
      </w:r>
      <w:r>
        <w:tab/>
        <w:t>could not, after taking reasonable steps to do so, identify a custodian of a secret or sacred object in its possession; and</w:t>
      </w:r>
    </w:p>
    <w:p>
      <w:pPr>
        <w:pStyle w:val="Indenta"/>
      </w:pPr>
      <w:r>
        <w:tab/>
        <w:t>(b)</w:t>
      </w:r>
      <w:r>
        <w:tab/>
        <w:t>has transferred the object into the custody of the ACH Council.</w:t>
      </w:r>
    </w:p>
    <w:p>
      <w:pPr>
        <w:pStyle w:val="Subsection"/>
      </w:pPr>
      <w:r>
        <w:tab/>
        <w:t>(4)</w:t>
      </w:r>
      <w:r>
        <w:tab/>
        <w:t xml:space="preserve">A prescribed public authority must give written notice to the ACH Council within the prescribed period after the authority, in accordance with subsection (1)(b), has — </w:t>
      </w:r>
    </w:p>
    <w:p>
      <w:pPr>
        <w:pStyle w:val="Indenta"/>
      </w:pPr>
      <w:r>
        <w:tab/>
        <w:t>(a)</w:t>
      </w:r>
      <w:r>
        <w:tab/>
        <w:t>returned a secret or sacred object to a custodian of the object; or</w:t>
      </w:r>
    </w:p>
    <w:p>
      <w:pPr>
        <w:pStyle w:val="Indenta"/>
      </w:pPr>
      <w:r>
        <w:tab/>
        <w:t>(b)</w:t>
      </w:r>
      <w:r>
        <w:tab/>
        <w:t>been requested by a custodian of the object to continue to hold the object on behalf of the custodians of the object until a custodian of the object requests otherwise.</w:t>
      </w:r>
    </w:p>
    <w:p>
      <w:pPr>
        <w:pStyle w:val="Penstart"/>
      </w:pPr>
      <w:r>
        <w:tab/>
        <w:t>Penalty for this subsection: a fine of $10 000.</w:t>
      </w:r>
    </w:p>
    <w:p>
      <w:pPr>
        <w:pStyle w:val="Heading5"/>
      </w:pPr>
      <w:bookmarkStart w:id="94" w:name="_Toc154742720"/>
      <w:r>
        <w:rPr>
          <w:rStyle w:val="CharSectno"/>
        </w:rPr>
        <w:t>66</w:t>
      </w:r>
      <w:r>
        <w:t>.</w:t>
      </w:r>
      <w:r>
        <w:tab/>
        <w:t>Secret or sacred objects transferred to custody of ACH Council</w:t>
      </w:r>
      <w:bookmarkEnd w:id="94"/>
    </w:p>
    <w:p>
      <w:pPr>
        <w:pStyle w:val="Subsection"/>
      </w:pPr>
      <w:r>
        <w:tab/>
      </w:r>
      <w:r>
        <w:tab/>
        <w:t xml:space="preserve">The ACH Council may arrange for a secret or sacred object transferred into its custody under this Act to, as appropriate in relation to the particular object — </w:t>
      </w:r>
    </w:p>
    <w:p>
      <w:pPr>
        <w:pStyle w:val="Indenta"/>
      </w:pPr>
      <w:r>
        <w:tab/>
        <w:t>(a)</w:t>
      </w:r>
      <w:r>
        <w:tab/>
        <w:t>be returned to a custodian of the object; or</w:t>
      </w:r>
    </w:p>
    <w:p>
      <w:pPr>
        <w:pStyle w:val="Indenta"/>
      </w:pPr>
      <w:r>
        <w:lastRenderedPageBreak/>
        <w:tab/>
        <w:t>(b)</w:t>
      </w:r>
      <w:r>
        <w:tab/>
        <w:t>at the request of a custodian of the object — be held by the Council in safekeeping on behalf of the custodians of the object; or</w:t>
      </w:r>
    </w:p>
    <w:p>
      <w:pPr>
        <w:pStyle w:val="Indenta"/>
      </w:pPr>
      <w:r>
        <w:tab/>
        <w:t>(c)</w:t>
      </w:r>
      <w:r>
        <w:tab/>
        <w:t>if the Council cannot identify a custodian of the object — be dealt with in a manner that the Council considers appropriate.</w:t>
      </w:r>
    </w:p>
    <w:p>
      <w:pPr>
        <w:pStyle w:val="Heading5"/>
      </w:pPr>
      <w:bookmarkStart w:id="95" w:name="_Toc154742721"/>
      <w:r>
        <w:rPr>
          <w:rStyle w:val="CharSectno"/>
        </w:rPr>
        <w:t>67</w:t>
      </w:r>
      <w:r>
        <w:t>.</w:t>
      </w:r>
      <w:r>
        <w:tab/>
        <w:t>Secret or sacred objects must not be sold or removed from the State</w:t>
      </w:r>
      <w:bookmarkEnd w:id="95"/>
    </w:p>
    <w:p>
      <w:pPr>
        <w:pStyle w:val="Subsection"/>
      </w:pPr>
      <w:r>
        <w:tab/>
        <w:t>(1)</w:t>
      </w:r>
      <w:r>
        <w:tab/>
        <w:t xml:space="preserve">A person must not — </w:t>
      </w:r>
    </w:p>
    <w:p>
      <w:pPr>
        <w:pStyle w:val="Indenta"/>
      </w:pPr>
      <w:r>
        <w:tab/>
        <w:t>(a)</w:t>
      </w:r>
      <w:r>
        <w:tab/>
        <w:t>sell, exchange or otherwise dispose of a secret or sacred object; or</w:t>
      </w:r>
    </w:p>
    <w:p>
      <w:pPr>
        <w:pStyle w:val="Indenta"/>
      </w:pPr>
      <w:r>
        <w:tab/>
        <w:t>(b)</w:t>
      </w:r>
      <w:r>
        <w:tab/>
        <w:t>remove a secret or sacred object from the State; or</w:t>
      </w:r>
    </w:p>
    <w:p>
      <w:pPr>
        <w:pStyle w:val="Indenta"/>
      </w:pPr>
      <w:r>
        <w:tab/>
        <w:t>(c)</w:t>
      </w:r>
      <w:r>
        <w:tab/>
        <w:t>cause or permit a secret or sacred object to be removed from the State; or</w:t>
      </w:r>
    </w:p>
    <w:p>
      <w:pPr>
        <w:pStyle w:val="Indenta"/>
        <w:keepNext/>
      </w:pPr>
      <w:r>
        <w:tab/>
        <w:t>(d)</w:t>
      </w:r>
      <w:r>
        <w:tab/>
        <w:t>conceal a secret or sacred object.</w:t>
      </w:r>
    </w:p>
    <w:p>
      <w:pPr>
        <w:pStyle w:val="Penstart"/>
      </w:pPr>
      <w:r>
        <w:tab/>
        <w:t>Penalty for this subsection: a fine of $20 000.</w:t>
      </w:r>
    </w:p>
    <w:p>
      <w:pPr>
        <w:pStyle w:val="Subsection"/>
        <w:keepNext/>
      </w:pPr>
      <w:r>
        <w:tab/>
        <w:t>(2)</w:t>
      </w:r>
      <w:r>
        <w:tab/>
        <w:t xml:space="preserve">However, subsection (1) does not apply to a secret or sacred object being dealt with — </w:t>
      </w:r>
    </w:p>
    <w:p>
      <w:pPr>
        <w:pStyle w:val="Indenta"/>
      </w:pPr>
      <w:r>
        <w:tab/>
        <w:t>(a)</w:t>
      </w:r>
      <w:r>
        <w:tab/>
        <w:t>by an Aboriginal person in accordance with the person’s traditional rights, interests and responsibilities in respect of the object; or</w:t>
      </w:r>
    </w:p>
    <w:p>
      <w:pPr>
        <w:pStyle w:val="Indenta"/>
      </w:pPr>
      <w:r>
        <w:tab/>
        <w:t>(b)</w:t>
      </w:r>
      <w:r>
        <w:tab/>
        <w:t>in accordance with this Part.</w:t>
      </w:r>
    </w:p>
    <w:p>
      <w:pPr>
        <w:pStyle w:val="Heading3"/>
      </w:pPr>
      <w:bookmarkStart w:id="96" w:name="_Toc154742722"/>
      <w:r>
        <w:rPr>
          <w:rStyle w:val="CharDivNo"/>
        </w:rPr>
        <w:t>Division 4</w:t>
      </w:r>
      <w:r>
        <w:t> — </w:t>
      </w:r>
      <w:r>
        <w:rPr>
          <w:rStyle w:val="CharDivText"/>
        </w:rPr>
        <w:t>Duty to report Aboriginal cultural heritage to ACH Council</w:t>
      </w:r>
      <w:bookmarkEnd w:id="96"/>
    </w:p>
    <w:p>
      <w:pPr>
        <w:pStyle w:val="Heading5"/>
      </w:pPr>
      <w:bookmarkStart w:id="97" w:name="_Toc154742723"/>
      <w:r>
        <w:rPr>
          <w:rStyle w:val="CharSectno"/>
        </w:rPr>
        <w:t>68</w:t>
      </w:r>
      <w:r>
        <w:t>.</w:t>
      </w:r>
      <w:r>
        <w:tab/>
        <w:t>Reporting Aboriginal cultural heritage</w:t>
      </w:r>
      <w:bookmarkEnd w:id="97"/>
    </w:p>
    <w:p>
      <w:pPr>
        <w:pStyle w:val="Subsection"/>
      </w:pPr>
      <w:r>
        <w:tab/>
        <w:t>(1)</w:t>
      </w:r>
      <w:r>
        <w:tab/>
        <w:t xml:space="preserve">A person who knows, or becomes aware, of the existence of any of the following must, within the prescribed period, report it to the ACH Council — </w:t>
      </w:r>
    </w:p>
    <w:p>
      <w:pPr>
        <w:pStyle w:val="Indenta"/>
      </w:pPr>
      <w:r>
        <w:tab/>
        <w:t>(a)</w:t>
      </w:r>
      <w:r>
        <w:tab/>
        <w:t>an Aboriginal place;</w:t>
      </w:r>
    </w:p>
    <w:p>
      <w:pPr>
        <w:pStyle w:val="Indenta"/>
      </w:pPr>
      <w:r>
        <w:lastRenderedPageBreak/>
        <w:tab/>
        <w:t>(b)</w:t>
      </w:r>
      <w:r>
        <w:tab/>
        <w:t>an Aboriginal object;</w:t>
      </w:r>
    </w:p>
    <w:p>
      <w:pPr>
        <w:pStyle w:val="Indenta"/>
      </w:pPr>
      <w:r>
        <w:tab/>
        <w:t>(c)</w:t>
      </w:r>
      <w:r>
        <w:tab/>
        <w:t>Aboriginal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 xml:space="preserve">an Aboriginal person acting in accordance with the person’s traditional rights, interests and responsibilities in respect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Indenta"/>
      </w:pPr>
      <w:r>
        <w:tab/>
      </w:r>
      <w:r>
        <w:tab/>
        <w:t>or</w:t>
      </w:r>
    </w:p>
    <w:p>
      <w:pPr>
        <w:pStyle w:val="Indenta"/>
      </w:pPr>
      <w:r>
        <w:tab/>
        <w:t>(b)</w:t>
      </w:r>
      <w:r>
        <w:tab/>
        <w:t>a person acting at the written request of an Aboriginal person described in paragraph (a); or</w:t>
      </w:r>
    </w:p>
    <w:p>
      <w:pPr>
        <w:pStyle w:val="Indenta"/>
      </w:pPr>
      <w:r>
        <w:tab/>
        <w:t>(c)</w:t>
      </w:r>
      <w:r>
        <w:tab/>
        <w:t xml:space="preserve">a person who reasonably believes that the ACH Council is already aware of the existence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Subsection"/>
      </w:pPr>
      <w:r>
        <w:tab/>
        <w:t>(3)</w:t>
      </w:r>
      <w:r>
        <w:tab/>
        <w:t>A report under subsection (1) may be given orally or in writing.</w:t>
      </w:r>
    </w:p>
    <w:p>
      <w:pPr>
        <w:pStyle w:val="Subsection"/>
      </w:pPr>
      <w:r>
        <w:tab/>
        <w:t>(4)</w:t>
      </w:r>
      <w:r>
        <w:tab/>
        <w:t>The ACH Council may arrange for Aboriginal ancestral remains or a secret or sacred object reported to it under subsection (1), that are not under the possession and control of a custodian of the ancestral remains or object, to be transferred into the custody of the Council.</w:t>
      </w:r>
    </w:p>
    <w:p>
      <w:pPr>
        <w:pStyle w:val="Heading2"/>
      </w:pPr>
      <w:bookmarkStart w:id="98" w:name="_Toc154742724"/>
      <w:r>
        <w:rPr>
          <w:rStyle w:val="CharPartNo"/>
        </w:rPr>
        <w:lastRenderedPageBreak/>
        <w:t>Part 4</w:t>
      </w:r>
      <w:r>
        <w:t> — </w:t>
      </w:r>
      <w:r>
        <w:rPr>
          <w:rStyle w:val="CharPartText"/>
        </w:rPr>
        <w:t>Protected areas</w:t>
      </w:r>
      <w:bookmarkEnd w:id="98"/>
    </w:p>
    <w:p>
      <w:pPr>
        <w:pStyle w:val="Heading3"/>
      </w:pPr>
      <w:bookmarkStart w:id="99" w:name="_Toc154742725"/>
      <w:r>
        <w:rPr>
          <w:rStyle w:val="CharDivNo"/>
        </w:rPr>
        <w:t>Division 1</w:t>
      </w:r>
      <w:r>
        <w:t> — </w:t>
      </w:r>
      <w:r>
        <w:rPr>
          <w:rStyle w:val="CharDivText"/>
        </w:rPr>
        <w:t>Preliminary</w:t>
      </w:r>
      <w:bookmarkEnd w:id="99"/>
    </w:p>
    <w:p>
      <w:pPr>
        <w:pStyle w:val="Heading5"/>
      </w:pPr>
      <w:bookmarkStart w:id="100" w:name="_Toc154742726"/>
      <w:r>
        <w:rPr>
          <w:rStyle w:val="CharSectno"/>
        </w:rPr>
        <w:t>69</w:t>
      </w:r>
      <w:r>
        <w:t>.</w:t>
      </w:r>
      <w:r>
        <w:tab/>
        <w:t>Terms used</w:t>
      </w:r>
      <w:bookmarkEnd w:id="100"/>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Heading5"/>
      </w:pPr>
      <w:bookmarkStart w:id="101" w:name="_Toc154742727"/>
      <w:r>
        <w:rPr>
          <w:rStyle w:val="CharSectno"/>
        </w:rPr>
        <w:t>70</w:t>
      </w:r>
      <w:r>
        <w:t>.</w:t>
      </w:r>
      <w:r>
        <w:tab/>
        <w:t>Purpose of protected area order</w:t>
      </w:r>
      <w:bookmarkEnd w:id="101"/>
    </w:p>
    <w:p>
      <w:pPr>
        <w:pStyle w:val="Subsection"/>
      </w:pPr>
      <w:r>
        <w:tab/>
      </w:r>
      <w:r>
        <w:tab/>
        <w:t xml:space="preserve">The purpose of declaring an area as a protected area is — </w:t>
      </w:r>
    </w:p>
    <w:p>
      <w:pPr>
        <w:pStyle w:val="Indenta"/>
      </w:pPr>
      <w:r>
        <w:tab/>
        <w:t>(a)</w:t>
      </w:r>
      <w:r>
        <w:tab/>
        <w:t>to recognise that Aboriginal cultural heritage of outstanding significance for the purposes of this Act is located in the area; and</w:t>
      </w:r>
    </w:p>
    <w:p>
      <w:pPr>
        <w:pStyle w:val="Indenta"/>
      </w:pPr>
      <w:r>
        <w:tab/>
        <w:t>(b)</w:t>
      </w:r>
      <w:r>
        <w:tab/>
        <w:t>to provide for the area special protection from activities that may harm that Aboriginal cultural heritage.</w:t>
      </w:r>
    </w:p>
    <w:p>
      <w:pPr>
        <w:pStyle w:val="Heading5"/>
      </w:pPr>
      <w:bookmarkStart w:id="102" w:name="_Toc154742728"/>
      <w:r>
        <w:rPr>
          <w:rStyle w:val="CharSectno"/>
        </w:rPr>
        <w:t>71</w:t>
      </w:r>
      <w:r>
        <w:t>.</w:t>
      </w:r>
      <w:r>
        <w:tab/>
        <w:t>Protected area order guidelines must be considered</w:t>
      </w:r>
      <w:bookmarkEnd w:id="102"/>
    </w:p>
    <w:p>
      <w:pPr>
        <w:pStyle w:val="Subsection"/>
      </w:pPr>
      <w:r>
        <w:tab/>
      </w:r>
      <w:r>
        <w:tab/>
        <w:t xml:space="preserve">In determining under this Part whether Aboriginal cultural heritage is of outstanding significance for the purposes of this </w:t>
      </w:r>
      <w:r>
        <w:lastRenderedPageBreak/>
        <w:t>Act, the factors set out in the protected area order guidelines must be considered.</w:t>
      </w:r>
    </w:p>
    <w:p>
      <w:pPr>
        <w:pStyle w:val="Heading3"/>
      </w:pPr>
      <w:bookmarkStart w:id="103" w:name="_Toc154742729"/>
      <w:r>
        <w:rPr>
          <w:rStyle w:val="CharDivNo"/>
        </w:rPr>
        <w:t>Division 2</w:t>
      </w:r>
      <w:r>
        <w:t> — </w:t>
      </w:r>
      <w:r>
        <w:rPr>
          <w:rStyle w:val="CharDivText"/>
        </w:rPr>
        <w:t>Application for area to be declared as protected area</w:t>
      </w:r>
      <w:bookmarkEnd w:id="103"/>
    </w:p>
    <w:p>
      <w:pPr>
        <w:pStyle w:val="Heading5"/>
      </w:pPr>
      <w:bookmarkStart w:id="104" w:name="_Toc154742730"/>
      <w:r>
        <w:rPr>
          <w:rStyle w:val="CharSectno"/>
        </w:rPr>
        <w:t>72</w:t>
      </w:r>
      <w:r>
        <w:t>.</w:t>
      </w:r>
      <w:r>
        <w:tab/>
        <w:t>Application for area to be declared as protected area</w:t>
      </w:r>
      <w:bookmarkEnd w:id="104"/>
    </w:p>
    <w:p>
      <w:pPr>
        <w:pStyle w:val="Subsection"/>
      </w:pPr>
      <w:r>
        <w:tab/>
        <w:t>(1)</w:t>
      </w:r>
      <w:r>
        <w:tab/>
        <w:t>An application for an area to be declared as a protected area may be made by a knowledge holder for the area.</w:t>
      </w:r>
    </w:p>
    <w:p>
      <w:pPr>
        <w:pStyle w:val="Subsection"/>
      </w:pPr>
      <w:r>
        <w:tab/>
        <w:t>(2)</w:t>
      </w:r>
      <w:r>
        <w:tab/>
        <w:t xml:space="preserve">An application under subsection (1) must — </w:t>
      </w:r>
    </w:p>
    <w:p>
      <w:pPr>
        <w:pStyle w:val="Indenta"/>
      </w:pPr>
      <w:r>
        <w:tab/>
        <w:t>(a)</w:t>
      </w:r>
      <w:r>
        <w:tab/>
        <w:t>be made to the ACH Council in the approved form; and</w:t>
      </w:r>
    </w:p>
    <w:p>
      <w:pPr>
        <w:pStyle w:val="Indenta"/>
      </w:pPr>
      <w:r>
        <w:tab/>
        <w:t>(b)</w:t>
      </w:r>
      <w:r>
        <w:tab/>
        <w:t>describe the application area, which can comprise several areas that are not contiguous; and</w:t>
      </w:r>
    </w:p>
    <w:p>
      <w:pPr>
        <w:pStyle w:val="Indenta"/>
      </w:pPr>
      <w:r>
        <w:tab/>
        <w:t>(c)</w:t>
      </w:r>
      <w:r>
        <w:tab/>
        <w:t xml:space="preserve">describe — </w:t>
      </w:r>
    </w:p>
    <w:p>
      <w:pPr>
        <w:pStyle w:val="Indenti"/>
      </w:pPr>
      <w:r>
        <w:tab/>
        <w:t>(i)</w:t>
      </w:r>
      <w:r>
        <w:tab/>
        <w:t>the characteristics of the Aboriginal cultural heritage in the application area; and</w:t>
      </w:r>
    </w:p>
    <w:p>
      <w:pPr>
        <w:pStyle w:val="Indenti"/>
      </w:pPr>
      <w:r>
        <w:tab/>
        <w:t>(ii)</w:t>
      </w:r>
      <w:r>
        <w:tab/>
        <w:t>the outstanding significance of the Aboriginal cultural heritage to the applicant, or to a group or community of which the applicant is a member;</w:t>
      </w:r>
    </w:p>
    <w:p>
      <w:pPr>
        <w:pStyle w:val="Indenta"/>
      </w:pPr>
      <w:r>
        <w:tab/>
      </w:r>
      <w:r>
        <w:tab/>
        <w:t>and</w:t>
      </w:r>
    </w:p>
    <w:p>
      <w:pPr>
        <w:pStyle w:val="Indenta"/>
      </w:pPr>
      <w:r>
        <w:tab/>
        <w:t>(d)</w:t>
      </w:r>
      <w:r>
        <w:tab/>
        <w:t>if the application area includes any area to which an ACH permit relates — be accompanied by evidence of the agreement of the holder of the permit, as referred to in subsection (3); and</w:t>
      </w:r>
    </w:p>
    <w:p>
      <w:pPr>
        <w:pStyle w:val="Indenta"/>
      </w:pPr>
      <w:r>
        <w:tab/>
        <w:t>(e)</w:t>
      </w:r>
      <w:r>
        <w:tab/>
        <w:t>if the application area includes any area to which an approved or authorised ACH management plan relates — be accompanied by evidence of the agreement of the parties to the plan, as referred to in subsection (4); and</w:t>
      </w:r>
    </w:p>
    <w:p>
      <w:pPr>
        <w:pStyle w:val="Indenta"/>
      </w:pPr>
      <w:r>
        <w:tab/>
        <w:t>(f)</w:t>
      </w:r>
      <w:r>
        <w:tab/>
        <w:t>be accompanied by the other documents or information, if any, prescribed for the purposes of this paragraph.</w:t>
      </w:r>
    </w:p>
    <w:p>
      <w:pPr>
        <w:pStyle w:val="Subsection"/>
      </w:pPr>
      <w:r>
        <w:lastRenderedPageBreak/>
        <w:tab/>
        <w:t>(3)</w:t>
      </w:r>
      <w:r>
        <w:tab/>
        <w:t>The application area must not include any area to which an ACH permit relates unless the holder of the permit agrees to the amendment of the area to which the permit relates to exclude any area that is included in the application area.</w:t>
      </w:r>
    </w:p>
    <w:p>
      <w:pPr>
        <w:pStyle w:val="Subsection"/>
      </w:pPr>
      <w:r>
        <w:tab/>
        <w:t>(4)</w:t>
      </w:r>
      <w:r>
        <w:tab/>
        <w:t>The application area must not include any area to which an approved or authorised ACH management plan relates unless the parties to the plan agree to the amendment of the area to which the plan relates to exclude any area that is included in the application area.</w:t>
      </w:r>
    </w:p>
    <w:p>
      <w:pPr>
        <w:pStyle w:val="Heading5"/>
      </w:pPr>
      <w:bookmarkStart w:id="105" w:name="_Toc154742731"/>
      <w:r>
        <w:rPr>
          <w:rStyle w:val="CharSectno"/>
        </w:rPr>
        <w:t>73</w:t>
      </w:r>
      <w:r>
        <w:t>.</w:t>
      </w:r>
      <w:r>
        <w:tab/>
        <w:t>Further information in support of application</w:t>
      </w:r>
      <w:bookmarkEnd w:id="105"/>
    </w:p>
    <w:p>
      <w:pPr>
        <w:pStyle w:val="Subsection"/>
      </w:pPr>
      <w:r>
        <w:tab/>
        <w:t>(1)</w:t>
      </w:r>
      <w:r>
        <w:tab/>
        <w:t xml:space="preserve">The ACH Council may make a written request to an applicant under section 72(1)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The ACH Council must specify the period within which the request is to be complied with.</w:t>
      </w:r>
    </w:p>
    <w:p>
      <w:pPr>
        <w:pStyle w:val="Heading5"/>
      </w:pPr>
      <w:bookmarkStart w:id="106" w:name="_Toc154742732"/>
      <w:r>
        <w:rPr>
          <w:rStyle w:val="CharSectno"/>
        </w:rPr>
        <w:t>74</w:t>
      </w:r>
      <w:r>
        <w:t>.</w:t>
      </w:r>
      <w:r>
        <w:tab/>
        <w:t>ACH Council may refuse to consider some applications</w:t>
      </w:r>
      <w:bookmarkEnd w:id="106"/>
    </w:p>
    <w:p>
      <w:pPr>
        <w:pStyle w:val="Subsection"/>
      </w:pPr>
      <w:r>
        <w:tab/>
      </w:r>
      <w:r>
        <w:tab/>
        <w:t xml:space="preserve">The ACH Council may refuse to consider, or consider further, an application under section 72(1) if — </w:t>
      </w:r>
    </w:p>
    <w:p>
      <w:pPr>
        <w:pStyle w:val="Indenta"/>
      </w:pPr>
      <w:r>
        <w:tab/>
        <w:t>(a)</w:t>
      </w:r>
      <w:r>
        <w:tab/>
        <w:t>the application is not made in accordance with this Act; or</w:t>
      </w:r>
    </w:p>
    <w:p>
      <w:pPr>
        <w:pStyle w:val="Indenta"/>
      </w:pPr>
      <w:r>
        <w:tab/>
        <w:t>(b)</w:t>
      </w:r>
      <w:r>
        <w:tab/>
        <w:t>the applicant has not complied with a request under section 73; or</w:t>
      </w:r>
    </w:p>
    <w:p>
      <w:pPr>
        <w:pStyle w:val="Indenta"/>
      </w:pPr>
      <w:r>
        <w:tab/>
        <w:t>(c)</w:t>
      </w:r>
      <w:r>
        <w:tab/>
        <w:t xml:space="preserve">the Council is of the opinion that the application is substantially the same as an application that — </w:t>
      </w:r>
    </w:p>
    <w:p>
      <w:pPr>
        <w:pStyle w:val="Indenti"/>
      </w:pPr>
      <w:r>
        <w:tab/>
        <w:t>(i)</w:t>
      </w:r>
      <w:r>
        <w:tab/>
        <w:t>was made within the previous 2 years; and</w:t>
      </w:r>
    </w:p>
    <w:p>
      <w:pPr>
        <w:pStyle w:val="Indenti"/>
      </w:pPr>
      <w:r>
        <w:tab/>
        <w:t>(ii)</w:t>
      </w:r>
      <w:r>
        <w:tab/>
        <w:t>was refused.</w:t>
      </w:r>
    </w:p>
    <w:p>
      <w:pPr>
        <w:pStyle w:val="Heading5"/>
      </w:pPr>
      <w:bookmarkStart w:id="107" w:name="_Toc154742733"/>
      <w:r>
        <w:rPr>
          <w:rStyle w:val="CharSectno"/>
        </w:rPr>
        <w:lastRenderedPageBreak/>
        <w:t>75</w:t>
      </w:r>
      <w:r>
        <w:t>.</w:t>
      </w:r>
      <w:r>
        <w:tab/>
        <w:t>ACH Council must notify certain persons about application</w:t>
      </w:r>
      <w:bookmarkEnd w:id="107"/>
    </w:p>
    <w:p>
      <w:pPr>
        <w:pStyle w:val="Subsection"/>
      </w:pPr>
      <w:r>
        <w:tab/>
        <w:t>(1)</w:t>
      </w:r>
      <w:r>
        <w:tab/>
        <w:t xml:space="preserve">The ACH Council must give written notice of an application under section 72(1) to the following persons — </w:t>
      </w:r>
    </w:p>
    <w:p>
      <w:pPr>
        <w:pStyle w:val="Indenta"/>
      </w:pPr>
      <w:r>
        <w:tab/>
        <w:t>(a)</w:t>
      </w:r>
      <w:r>
        <w:tab/>
        <w:t>each local ACH service for the application area or a part of the application area;</w:t>
      </w:r>
    </w:p>
    <w:p>
      <w:pPr>
        <w:pStyle w:val="Indenta"/>
      </w:pPr>
      <w:r>
        <w:tab/>
        <w:t>(b)</w:t>
      </w:r>
      <w:r>
        <w:tab/>
        <w:t>each native title party for the application area or a part of the application area;</w:t>
      </w:r>
    </w:p>
    <w:p>
      <w:pPr>
        <w:pStyle w:val="Indenta"/>
      </w:pPr>
      <w:r>
        <w:tab/>
        <w:t>(c)</w:t>
      </w:r>
      <w:r>
        <w:tab/>
        <w:t>each knowledge holder for the application area or a part of the application area.</w:t>
      </w:r>
    </w:p>
    <w:p>
      <w:pPr>
        <w:pStyle w:val="Subsection"/>
      </w:pPr>
      <w:r>
        <w:tab/>
        <w:t>(2)</w:t>
      </w:r>
      <w:r>
        <w:tab/>
        <w:t xml:space="preserve">In subsection (1)(c) — </w:t>
      </w:r>
    </w:p>
    <w:p>
      <w:pPr>
        <w:pStyle w:val="Defstart"/>
      </w:pPr>
      <w:r>
        <w:tab/>
      </w:r>
      <w:r>
        <w:rPr>
          <w:rStyle w:val="CharDefText"/>
        </w:rPr>
        <w:t>each knowledge holder</w:t>
      </w:r>
      <w:r>
        <w:t>, in relation to an application area or a part of an application area, means each person who is identified as a knowledge holder for the application area or a part of the application area, after reasonable steps have been taken to do so in accordance with the knowledge holder guidelines.</w:t>
      </w:r>
    </w:p>
    <w:p>
      <w:pPr>
        <w:pStyle w:val="Subsection"/>
      </w:pPr>
      <w:r>
        <w:tab/>
        <w:t>(3)</w:t>
      </w:r>
      <w:r>
        <w:tab/>
        <w:t xml:space="preserve">The notice must give — </w:t>
      </w:r>
    </w:p>
    <w:p>
      <w:pPr>
        <w:pStyle w:val="Indenta"/>
      </w:pPr>
      <w:r>
        <w:tab/>
        <w:t>(a)</w:t>
      </w:r>
      <w:r>
        <w:tab/>
        <w:t>details of the application area; and</w:t>
      </w:r>
    </w:p>
    <w:p>
      <w:pPr>
        <w:pStyle w:val="Indenta"/>
      </w:pPr>
      <w:r>
        <w:tab/>
        <w:t>(b)</w:t>
      </w:r>
      <w:r>
        <w:tab/>
        <w:t>details about the Aboriginal cultural heritage to which the application relates to the extent that the details do not disclose culturally sensitive information; and</w:t>
      </w:r>
    </w:p>
    <w:p>
      <w:pPr>
        <w:pStyle w:val="Indenta"/>
      </w:pPr>
      <w:r>
        <w:tab/>
        <w:t>(c)</w:t>
      </w:r>
      <w:r>
        <w:tab/>
        <w:t>an opportunity to make submissions to the ACH Council within the prescribed period about whether the application area, or a part of the application area, should be declared as a protected area.</w:t>
      </w:r>
    </w:p>
    <w:p>
      <w:pPr>
        <w:pStyle w:val="Heading5"/>
      </w:pPr>
      <w:bookmarkStart w:id="108" w:name="_Toc154742734"/>
      <w:r>
        <w:rPr>
          <w:rStyle w:val="CharSectno"/>
        </w:rPr>
        <w:t>76</w:t>
      </w:r>
      <w:r>
        <w:t>.</w:t>
      </w:r>
      <w:r>
        <w:tab/>
        <w:t>Preliminary assessment by ACH Council</w:t>
      </w:r>
      <w:bookmarkEnd w:id="108"/>
    </w:p>
    <w:p>
      <w:pPr>
        <w:pStyle w:val="Subsection"/>
        <w:keepNext/>
      </w:pPr>
      <w:r>
        <w:tab/>
        <w:t>(1)</w:t>
      </w:r>
      <w:r>
        <w:tab/>
        <w:t xml:space="preserve">At the end of the period for submissions referred to in a notice given under section 75(1) in respect of an application under </w:t>
      </w:r>
      <w:r>
        <w:lastRenderedPageBreak/>
        <w:t xml:space="preserve">section 72(1), the ACH Council must, within the prescribed period — </w:t>
      </w:r>
    </w:p>
    <w:p>
      <w:pPr>
        <w:pStyle w:val="Indenta"/>
      </w:pPr>
      <w:r>
        <w:tab/>
        <w:t>(a)</w:t>
      </w:r>
      <w:r>
        <w:tab/>
        <w:t>consider the application, and any further information provided in response to a request under section 73(1); and</w:t>
      </w:r>
    </w:p>
    <w:p>
      <w:pPr>
        <w:pStyle w:val="Indenta"/>
      </w:pPr>
      <w:r>
        <w:tab/>
        <w:t>(b)</w:t>
      </w:r>
      <w:r>
        <w:tab/>
        <w:t>consider any submissions made to the Council in response to the notice; and</w:t>
      </w:r>
    </w:p>
    <w:p>
      <w:pPr>
        <w:pStyle w:val="Indenta"/>
      </w:pPr>
      <w:r>
        <w:tab/>
        <w:t>(c)</w:t>
      </w:r>
      <w:r>
        <w:tab/>
        <w:t>consider the characteristics of the Aboriginal cultural heritage and the significance of it to the knowledge holders for the Aboriginal cultural heritage; and</w:t>
      </w:r>
    </w:p>
    <w:p>
      <w:pPr>
        <w:pStyle w:val="Indenta"/>
      </w:pPr>
      <w:r>
        <w:tab/>
        <w:t>(d)</w:t>
      </w:r>
      <w:r>
        <w:tab/>
        <w:t>form a preliminary view about whether or not the application area, or a part of the application area, should be declared as a protected area.</w:t>
      </w:r>
    </w:p>
    <w:p>
      <w:pPr>
        <w:pStyle w:val="Subsection"/>
      </w:pPr>
      <w:r>
        <w:tab/>
        <w:t>(2)</w:t>
      </w:r>
      <w:r>
        <w:tab/>
        <w:t>The ACH Council may form a preliminary view that the application area, or a part of the application area, should be declared as a protected area only if the Council is satisfied that Aboriginal cultural heritage of outstanding significance for the purposes of this Act is located in the area.</w:t>
      </w:r>
    </w:p>
    <w:p>
      <w:pPr>
        <w:pStyle w:val="Heading5"/>
      </w:pPr>
      <w:bookmarkStart w:id="109" w:name="_Toc154742735"/>
      <w:r>
        <w:rPr>
          <w:rStyle w:val="CharSectno"/>
        </w:rPr>
        <w:t>77</w:t>
      </w:r>
      <w:r>
        <w:t>.</w:t>
      </w:r>
      <w:r>
        <w:tab/>
        <w:t>Giving public notice of intention to seek that area be declared as protected area</w:t>
      </w:r>
      <w:bookmarkEnd w:id="109"/>
    </w:p>
    <w:p>
      <w:pPr>
        <w:pStyle w:val="Subsection"/>
      </w:pPr>
      <w:r>
        <w:tab/>
        <w:t>(1)</w:t>
      </w:r>
      <w:r>
        <w:tab/>
        <w:t xml:space="preserve">If, on an application under section 72(1) for an area to be declared as a protected area, the ACH Council forms a preliminary view that an area should be declared as a protected area, the Council must — </w:t>
      </w:r>
    </w:p>
    <w:p>
      <w:pPr>
        <w:pStyle w:val="Indenta"/>
      </w:pPr>
      <w:r>
        <w:tab/>
        <w:t>(a)</w:t>
      </w:r>
      <w:r>
        <w:tab/>
        <w:t>give public notice as described in subsection (3); and</w:t>
      </w:r>
    </w:p>
    <w:p>
      <w:pPr>
        <w:pStyle w:val="Indenta"/>
      </w:pPr>
      <w:r>
        <w:tab/>
        <w:t>(b)</w:t>
      </w:r>
      <w:r>
        <w:tab/>
        <w:t xml:space="preserve">notify the following persons that the public notice has been given — </w:t>
      </w:r>
    </w:p>
    <w:p>
      <w:pPr>
        <w:pStyle w:val="Indenti"/>
      </w:pPr>
      <w:r>
        <w:tab/>
        <w:t>(i)</w:t>
      </w:r>
      <w:r>
        <w:tab/>
        <w:t>each local ACH service for the area or a part of the area;</w:t>
      </w:r>
    </w:p>
    <w:p>
      <w:pPr>
        <w:pStyle w:val="Indenti"/>
      </w:pPr>
      <w:r>
        <w:tab/>
        <w:t>(ii)</w:t>
      </w:r>
      <w:r>
        <w:tab/>
        <w:t>each native title party for the area or a part of the area;</w:t>
      </w:r>
    </w:p>
    <w:p>
      <w:pPr>
        <w:pStyle w:val="Indenti"/>
        <w:keepNext/>
      </w:pPr>
      <w:r>
        <w:lastRenderedPageBreak/>
        <w:tab/>
        <w:t>(iii)</w:t>
      </w:r>
      <w:r>
        <w:tab/>
        <w:t>each knowledge holder for the area or a part of the area;</w:t>
      </w:r>
    </w:p>
    <w:p>
      <w:pPr>
        <w:pStyle w:val="Indenti"/>
      </w:pPr>
      <w:r>
        <w:tab/>
        <w:t>(iv)</w:t>
      </w:r>
      <w:r>
        <w:tab/>
        <w:t>each landholder of land within the area;</w:t>
      </w:r>
    </w:p>
    <w:p>
      <w:pPr>
        <w:pStyle w:val="Indenti"/>
      </w:pPr>
      <w:r>
        <w:tab/>
        <w:t>(v)</w:t>
      </w:r>
      <w:r>
        <w:tab/>
        <w:t>each public authority that the Council considers has an interest in the area or a part of the area;</w:t>
      </w:r>
    </w:p>
    <w:p>
      <w:pPr>
        <w:pStyle w:val="Indenti"/>
      </w:pPr>
      <w:r>
        <w:tab/>
        <w:t>(vi)</w:t>
      </w:r>
      <w:r>
        <w:tab/>
        <w:t>any other person the Council considers has an interest in the area or a part of the area.</w:t>
      </w:r>
    </w:p>
    <w:p>
      <w:pPr>
        <w:pStyle w:val="Subsection"/>
      </w:pPr>
      <w:r>
        <w:tab/>
        <w:t>(2)</w:t>
      </w:r>
      <w:r>
        <w:tab/>
        <w:t xml:space="preserve">In subsection (1)(b)(iii)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Subsection"/>
      </w:pPr>
      <w:r>
        <w:tab/>
        <w:t>(3)</w:t>
      </w:r>
      <w:r>
        <w:tab/>
        <w:t xml:space="preserve">The public notice must include the following — </w:t>
      </w:r>
    </w:p>
    <w:p>
      <w:pPr>
        <w:pStyle w:val="Indenta"/>
      </w:pPr>
      <w:r>
        <w:tab/>
        <w:t>(a)</w:t>
      </w:r>
      <w:r>
        <w:tab/>
        <w:t>details of the area that the ACH Council has formed the preliminary view should be declared as a protected area;</w:t>
      </w:r>
    </w:p>
    <w:p>
      <w:pPr>
        <w:pStyle w:val="Indenta"/>
      </w:pPr>
      <w:r>
        <w:tab/>
        <w:t>(b)</w:t>
      </w:r>
      <w:r>
        <w:tab/>
        <w:t>provision of an opportunity to make submissions to the Council within the prescribed period about the preliminary view of the Council that the area should be declared as a protected area.</w:t>
      </w:r>
    </w:p>
    <w:p>
      <w:pPr>
        <w:pStyle w:val="Heading5"/>
      </w:pPr>
      <w:bookmarkStart w:id="110" w:name="_Toc154742736"/>
      <w:r>
        <w:rPr>
          <w:rStyle w:val="CharSectno"/>
        </w:rPr>
        <w:t>78</w:t>
      </w:r>
      <w:r>
        <w:t>.</w:t>
      </w:r>
      <w:r>
        <w:tab/>
        <w:t>Review of preliminary assessment of ACH Council that area not be declared as protected area</w:t>
      </w:r>
      <w:bookmarkEnd w:id="110"/>
    </w:p>
    <w:p>
      <w:pPr>
        <w:pStyle w:val="Subsection"/>
      </w:pPr>
      <w:r>
        <w:tab/>
        <w:t>(1)</w:t>
      </w:r>
      <w:r>
        <w:tab/>
        <w:t xml:space="preserve">If, on an application under section 72(1), the ACH Council forms a preliminary view that no part of the application area should be declared as a protected area, the Council must give to the applicant and each person notified under section 75(1) written notice — </w:t>
      </w:r>
    </w:p>
    <w:p>
      <w:pPr>
        <w:pStyle w:val="Indenta"/>
      </w:pPr>
      <w:r>
        <w:tab/>
        <w:t>(a)</w:t>
      </w:r>
      <w:r>
        <w:tab/>
        <w:t>setting out the Council’s preliminary view; and</w:t>
      </w:r>
    </w:p>
    <w:p>
      <w:pPr>
        <w:pStyle w:val="Indenta"/>
      </w:pPr>
      <w:r>
        <w:tab/>
        <w:t>(b)</w:t>
      </w:r>
      <w:r>
        <w:tab/>
        <w:t>setting out the reasons why the Council has formed that view; and</w:t>
      </w:r>
    </w:p>
    <w:p>
      <w:pPr>
        <w:pStyle w:val="Indenta"/>
      </w:pPr>
      <w:r>
        <w:lastRenderedPageBreak/>
        <w:tab/>
        <w:t>(c)</w:t>
      </w:r>
      <w:r>
        <w:tab/>
        <w:t>containing a statement that the person may request the Minister to consider the matter.</w:t>
      </w:r>
    </w:p>
    <w:p>
      <w:pPr>
        <w:pStyle w:val="Subsection"/>
      </w:pPr>
      <w:r>
        <w:tab/>
        <w:t>(2)</w:t>
      </w:r>
      <w:r>
        <w:tab/>
        <w:t>A person who is given notice under subsection (1) may, within the prescribed period, make a written request to the Minister to consider the matter.</w:t>
      </w:r>
    </w:p>
    <w:p>
      <w:pPr>
        <w:pStyle w:val="Subsection"/>
      </w:pPr>
      <w:r>
        <w:tab/>
        <w:t>(3)</w:t>
      </w:r>
      <w:r>
        <w:tab/>
        <w:t xml:space="preserve">On receipt of a request under subsection (2), the Minister must give a written direction to the ACH Council to provide to the Minister — </w:t>
      </w:r>
    </w:p>
    <w:p>
      <w:pPr>
        <w:pStyle w:val="Indenta"/>
      </w:pPr>
      <w:r>
        <w:tab/>
        <w:t>(a)</w:t>
      </w:r>
      <w:r>
        <w:tab/>
        <w:t>the application for the area to be declared as a protected area, and any further information provided in response to a request under section 73(1); and</w:t>
      </w:r>
    </w:p>
    <w:p>
      <w:pPr>
        <w:pStyle w:val="Indenta"/>
      </w:pPr>
      <w:r>
        <w:tab/>
        <w:t>(b)</w:t>
      </w:r>
      <w:r>
        <w:tab/>
        <w:t>any submissions made to the Council in response to a notice given under section 75(1); and</w:t>
      </w:r>
    </w:p>
    <w:p>
      <w:pPr>
        <w:pStyle w:val="Indenta"/>
      </w:pPr>
      <w:r>
        <w:tab/>
        <w:t>(c)</w:t>
      </w:r>
      <w:r>
        <w:tab/>
        <w:t>information about the basis on which the preliminary view of the Council was formed.</w:t>
      </w:r>
    </w:p>
    <w:p>
      <w:pPr>
        <w:pStyle w:val="Subsection"/>
      </w:pPr>
      <w:r>
        <w:tab/>
        <w:t>(4)</w:t>
      </w:r>
      <w:r>
        <w:tab/>
        <w:t xml:space="preserve">Having considered the information provided by the ACH Council under subsection (3), the Minister may — </w:t>
      </w:r>
    </w:p>
    <w:p>
      <w:pPr>
        <w:pStyle w:val="Indenta"/>
      </w:pPr>
      <w:r>
        <w:tab/>
        <w:t>(a)</w:t>
      </w:r>
      <w:r>
        <w:tab/>
        <w:t>confirm the preliminary view formed by the Council that no part of the application area should be declared as a protected area; or</w:t>
      </w:r>
    </w:p>
    <w:p>
      <w:pPr>
        <w:pStyle w:val="Indenta"/>
      </w:pPr>
      <w:r>
        <w:tab/>
        <w:t>(b)</w:t>
      </w:r>
      <w:r>
        <w:tab/>
        <w:t>if the Minister is satisfied that Aboriginal cultural heritage of outstanding significance for the purposes of this Act is located in the application area, or a part of the application area — give a written direction to the Council to give public notice under section 77(1)(a) and for that purpose the Council is taken to have formed a preliminary view that the application area, or the part of the application area, should be declared as a protected area.</w:t>
      </w:r>
    </w:p>
    <w:p>
      <w:pPr>
        <w:pStyle w:val="Subsection"/>
      </w:pPr>
      <w:r>
        <w:tab/>
        <w:t>(5)</w:t>
      </w:r>
      <w:r>
        <w:tab/>
        <w:t xml:space="preserve">If the Minister confirms the preliminary view formed by the ACH Council that no part of the application area should be declared as a protected area, the Minister must ensure that written notice of the Minister’s decision is given to — </w:t>
      </w:r>
    </w:p>
    <w:p>
      <w:pPr>
        <w:pStyle w:val="Indenta"/>
      </w:pPr>
      <w:r>
        <w:lastRenderedPageBreak/>
        <w:tab/>
        <w:t>(a)</w:t>
      </w:r>
      <w:r>
        <w:tab/>
        <w:t xml:space="preserve">the applicant; and </w:t>
      </w:r>
    </w:p>
    <w:p>
      <w:pPr>
        <w:pStyle w:val="Indenta"/>
      </w:pPr>
      <w:r>
        <w:tab/>
        <w:t>(b)</w:t>
      </w:r>
      <w:r>
        <w:tab/>
        <w:t>each person notified under section 75(1).</w:t>
      </w:r>
    </w:p>
    <w:p>
      <w:pPr>
        <w:pStyle w:val="Heading3"/>
      </w:pPr>
      <w:bookmarkStart w:id="111" w:name="_Toc154742737"/>
      <w:r>
        <w:rPr>
          <w:rStyle w:val="CharDivNo"/>
        </w:rPr>
        <w:t>Division 3</w:t>
      </w:r>
      <w:r>
        <w:t> — </w:t>
      </w:r>
      <w:r>
        <w:rPr>
          <w:rStyle w:val="CharDivText"/>
        </w:rPr>
        <w:t>Recommendation of ACH Council</w:t>
      </w:r>
      <w:bookmarkEnd w:id="111"/>
    </w:p>
    <w:p>
      <w:pPr>
        <w:pStyle w:val="Heading5"/>
      </w:pPr>
      <w:bookmarkStart w:id="112" w:name="_Toc154742738"/>
      <w:r>
        <w:rPr>
          <w:rStyle w:val="CharSectno"/>
        </w:rPr>
        <w:t>79</w:t>
      </w:r>
      <w:r>
        <w:t>.</w:t>
      </w:r>
      <w:r>
        <w:tab/>
        <w:t>Recommendation of ACH Council</w:t>
      </w:r>
      <w:bookmarkEnd w:id="112"/>
    </w:p>
    <w:p>
      <w:pPr>
        <w:pStyle w:val="Subsection"/>
      </w:pPr>
      <w:r>
        <w:tab/>
        <w:t>(1)</w:t>
      </w:r>
      <w:r>
        <w:tab/>
        <w:t xml:space="preserve">At the end of the period for making submissions referred to in the public notice given under section 77(1)(a) in relation to a preliminary view formed, or taken to be formed under section 78(4)(b), by the ACH Council that an area should be declared as a protected area the Council must, within the prescribed period — </w:t>
      </w:r>
    </w:p>
    <w:p>
      <w:pPr>
        <w:pStyle w:val="Indenta"/>
      </w:pPr>
      <w:r>
        <w:tab/>
        <w:t>(a)</w:t>
      </w:r>
      <w:r>
        <w:tab/>
        <w:t xml:space="preserve">consider — </w:t>
      </w:r>
    </w:p>
    <w:p>
      <w:pPr>
        <w:pStyle w:val="Indenti"/>
      </w:pPr>
      <w:r>
        <w:tab/>
        <w:t>(i)</w:t>
      </w:r>
      <w:r>
        <w:tab/>
        <w:t>the matters set out in section 76(1)(a), (b) and (c) and the preliminary view formed, or taken to be formed, by the Council; and</w:t>
      </w:r>
    </w:p>
    <w:p>
      <w:pPr>
        <w:pStyle w:val="Indenti"/>
      </w:pPr>
      <w:r>
        <w:tab/>
        <w:t>(ii)</w:t>
      </w:r>
      <w:r>
        <w:tab/>
        <w:t>any submissions made to the Council in response to the public notice;</w:t>
      </w:r>
    </w:p>
    <w:p>
      <w:pPr>
        <w:pStyle w:val="Indenta"/>
      </w:pPr>
      <w:r>
        <w:tab/>
      </w:r>
      <w:r>
        <w:tab/>
        <w:t>and</w:t>
      </w:r>
    </w:p>
    <w:p>
      <w:pPr>
        <w:pStyle w:val="Indenta"/>
      </w:pPr>
      <w:r>
        <w:tab/>
        <w:t>(b)</w:t>
      </w:r>
      <w:r>
        <w:tab/>
        <w:t>make a recommendation to the Minister under subsection (2).</w:t>
      </w:r>
    </w:p>
    <w:p>
      <w:pPr>
        <w:pStyle w:val="Subsection"/>
      </w:pPr>
      <w:r>
        <w:tab/>
        <w:t>(2)</w:t>
      </w:r>
      <w:r>
        <w:tab/>
        <w:t xml:space="preserve">The ACH Council may recommend to the Minister — </w:t>
      </w:r>
    </w:p>
    <w:p>
      <w:pPr>
        <w:pStyle w:val="Indenta"/>
      </w:pPr>
      <w:r>
        <w:tab/>
        <w:t>(a)</w:t>
      </w:r>
      <w:r>
        <w:tab/>
        <w:t>that the application area, or a part of the application area, be declared as a protected area; or</w:t>
      </w:r>
    </w:p>
    <w:p>
      <w:pPr>
        <w:pStyle w:val="Indenta"/>
      </w:pPr>
      <w:r>
        <w:tab/>
        <w:t>(b)</w:t>
      </w:r>
      <w:r>
        <w:tab/>
        <w:t>that no part of the application area be declared as a protected area.</w:t>
      </w:r>
    </w:p>
    <w:p>
      <w:pPr>
        <w:pStyle w:val="Subsection"/>
      </w:pPr>
      <w:r>
        <w:tab/>
        <w:t>(3)</w:t>
      </w:r>
      <w:r>
        <w:tab/>
        <w:t xml:space="preserve">If the ACH Council makes a recommendation that an area be declared as a protected area, the Council may also recommend that an order declaring the area as a protected area should be made subject to conditions relating to any of the following — </w:t>
      </w:r>
    </w:p>
    <w:p>
      <w:pPr>
        <w:pStyle w:val="Indenta"/>
      </w:pPr>
      <w:r>
        <w:tab/>
        <w:t>(a)</w:t>
      </w:r>
      <w:r>
        <w:tab/>
        <w:t>the management of the area;</w:t>
      </w:r>
    </w:p>
    <w:p>
      <w:pPr>
        <w:pStyle w:val="Indenta"/>
      </w:pPr>
      <w:r>
        <w:tab/>
        <w:t>(b)</w:t>
      </w:r>
      <w:r>
        <w:tab/>
        <w:t>access to the area;</w:t>
      </w:r>
    </w:p>
    <w:p>
      <w:pPr>
        <w:pStyle w:val="Indenta"/>
      </w:pPr>
      <w:r>
        <w:lastRenderedPageBreak/>
        <w:tab/>
        <w:t>(c)</w:t>
      </w:r>
      <w:r>
        <w:tab/>
        <w:t>the other matters, if any, prescribed for the purposes of this paragraph.</w:t>
      </w:r>
    </w:p>
    <w:p>
      <w:pPr>
        <w:pStyle w:val="Subsection"/>
      </w:pPr>
      <w:r>
        <w:tab/>
        <w:t>(4)</w:t>
      </w:r>
      <w:r>
        <w:tab/>
        <w:t xml:space="preserve">The ACH Council may make a recommendation under subsection (2)(a) in respect of an area only if satisfied — </w:t>
      </w:r>
    </w:p>
    <w:p>
      <w:pPr>
        <w:pStyle w:val="Indenta"/>
      </w:pPr>
      <w:r>
        <w:tab/>
        <w:t>(a)</w:t>
      </w:r>
      <w:r>
        <w:tab/>
        <w:t>that Aboriginal cultural heritage of outstanding significance for the purposes of this Act is located in the area; and</w:t>
      </w:r>
    </w:p>
    <w:p>
      <w:pPr>
        <w:pStyle w:val="Indenta"/>
      </w:pPr>
      <w:r>
        <w:tab/>
        <w:t>(b)</w:t>
      </w:r>
      <w:r>
        <w:tab/>
        <w:t>that the area needs to be provided with special protection from activities that may harm that Aboriginal cultural heritage; and</w:t>
      </w:r>
    </w:p>
    <w:p>
      <w:pPr>
        <w:pStyle w:val="Indenta"/>
      </w:pPr>
      <w:r>
        <w:tab/>
        <w:t>(c)</w:t>
      </w:r>
      <w:r>
        <w:tab/>
        <w:t xml:space="preserve">if the area overlaps with an area to which an ACH permit or approved or authorised ACH management plan relates — that there are measures in place to ensure that the permit or plan is amended to exclude from the area to which the permit or plan relates any area that is part of the area to be declared as a protected area; and </w:t>
      </w:r>
    </w:p>
    <w:p>
      <w:pPr>
        <w:pStyle w:val="Indenta"/>
      </w:pPr>
      <w:r>
        <w:tab/>
        <w:t>(d)</w:t>
      </w:r>
      <w:r>
        <w:tab/>
        <w:t>in relation to the other matters, if any, prescribed for the purposes of this paragraph.</w:t>
      </w:r>
    </w:p>
    <w:p>
      <w:pPr>
        <w:pStyle w:val="Subsection"/>
      </w:pPr>
      <w:r>
        <w:tab/>
        <w:t>(5)</w:t>
      </w:r>
      <w:r>
        <w:tab/>
        <w:t xml:space="preserve">A recommendation to the Minister under subsection (2) must be accompanied by — </w:t>
      </w:r>
    </w:p>
    <w:p>
      <w:pPr>
        <w:pStyle w:val="Indenta"/>
      </w:pPr>
      <w:r>
        <w:tab/>
        <w:t>(a)</w:t>
      </w:r>
      <w:r>
        <w:tab/>
        <w:t>the reasons for the recommendation; and</w:t>
      </w:r>
    </w:p>
    <w:p>
      <w:pPr>
        <w:pStyle w:val="Indenta"/>
      </w:pPr>
      <w:r>
        <w:tab/>
        <w:t>(b)</w:t>
      </w:r>
      <w:r>
        <w:tab/>
        <w:t>the application under section 72(1), and any further information provided in response to a request under section 73(1); and</w:t>
      </w:r>
    </w:p>
    <w:p>
      <w:pPr>
        <w:pStyle w:val="Indenta"/>
      </w:pPr>
      <w:r>
        <w:tab/>
        <w:t>(c)</w:t>
      </w:r>
      <w:r>
        <w:tab/>
        <w:t xml:space="preserve">any submissions made to the ACH Council following — </w:t>
      </w:r>
    </w:p>
    <w:p>
      <w:pPr>
        <w:pStyle w:val="Indenti"/>
      </w:pPr>
      <w:r>
        <w:tab/>
        <w:t>(i)</w:t>
      </w:r>
      <w:r>
        <w:tab/>
        <w:t>notice given under section 75(1); and</w:t>
      </w:r>
    </w:p>
    <w:p>
      <w:pPr>
        <w:pStyle w:val="Indenti"/>
      </w:pPr>
      <w:r>
        <w:tab/>
        <w:t>(ii)</w:t>
      </w:r>
      <w:r>
        <w:tab/>
        <w:t>public notice given under section 77(1)(a).</w:t>
      </w:r>
    </w:p>
    <w:p>
      <w:pPr>
        <w:pStyle w:val="Subsection"/>
      </w:pPr>
      <w:r>
        <w:tab/>
        <w:t>(6)</w:t>
      </w:r>
      <w:r>
        <w:tab/>
        <w:t>The ACH Council must give public notice of a recommendation made to the Minister under subsection (2).</w:t>
      </w:r>
    </w:p>
    <w:p>
      <w:pPr>
        <w:pStyle w:val="Heading3"/>
      </w:pPr>
      <w:bookmarkStart w:id="113" w:name="_Toc154742739"/>
      <w:r>
        <w:rPr>
          <w:rStyle w:val="CharDivNo"/>
        </w:rPr>
        <w:lastRenderedPageBreak/>
        <w:t>Division 4</w:t>
      </w:r>
      <w:r>
        <w:t> — </w:t>
      </w:r>
      <w:r>
        <w:rPr>
          <w:rStyle w:val="CharDivText"/>
        </w:rPr>
        <w:t>Decision of Minister</w:t>
      </w:r>
      <w:bookmarkEnd w:id="113"/>
    </w:p>
    <w:p>
      <w:pPr>
        <w:pStyle w:val="Heading5"/>
      </w:pPr>
      <w:bookmarkStart w:id="114" w:name="_Toc154742740"/>
      <w:r>
        <w:rPr>
          <w:rStyle w:val="CharSectno"/>
        </w:rPr>
        <w:t>80</w:t>
      </w:r>
      <w:r>
        <w:t>.</w:t>
      </w:r>
      <w:r>
        <w:tab/>
        <w:t>Minister may request further information</w:t>
      </w:r>
      <w:bookmarkEnd w:id="114"/>
      <w:r>
        <w:t xml:space="preserve"> </w:t>
      </w:r>
    </w:p>
    <w:p>
      <w:pPr>
        <w:pStyle w:val="Subsection"/>
      </w:pPr>
      <w:r>
        <w:tab/>
      </w:r>
      <w:r>
        <w:tab/>
        <w:t>If the ACH Council makes a recommendation to the Minister under section 79(2), the Minister may make a written request to the Council or any other person to provide the Minister with any further information the Minister requires to assist in making a decision about whether an area should be declared as a protected area.</w:t>
      </w:r>
    </w:p>
    <w:p>
      <w:pPr>
        <w:pStyle w:val="Heading5"/>
      </w:pPr>
      <w:bookmarkStart w:id="115" w:name="_Toc154742741"/>
      <w:r>
        <w:rPr>
          <w:rStyle w:val="CharSectno"/>
        </w:rPr>
        <w:t>81</w:t>
      </w:r>
      <w:r>
        <w:t>.</w:t>
      </w:r>
      <w:r>
        <w:tab/>
        <w:t>Decision of Minister</w:t>
      </w:r>
      <w:bookmarkEnd w:id="115"/>
    </w:p>
    <w:p>
      <w:pPr>
        <w:pStyle w:val="Subsection"/>
      </w:pPr>
      <w:r>
        <w:tab/>
        <w:t>(1)</w:t>
      </w:r>
      <w:r>
        <w:tab/>
        <w:t xml:space="preserve">If the ACH Council makes a recommendation to the Minister under section 79(2), the Minister must consider the information provided to the Minister under section 79(5), the recommendation of the Council and any further information provided in response to a request under section 80 and must decide, within the prescribed period — </w:t>
      </w:r>
    </w:p>
    <w:p>
      <w:pPr>
        <w:pStyle w:val="Indenta"/>
      </w:pPr>
      <w:r>
        <w:tab/>
        <w:t>(a)</w:t>
      </w:r>
      <w:r>
        <w:tab/>
        <w:t>that the application area, or a part of the application area, should be declared as a protected area; or</w:t>
      </w:r>
    </w:p>
    <w:p>
      <w:pPr>
        <w:pStyle w:val="Indenta"/>
      </w:pPr>
      <w:r>
        <w:tab/>
        <w:t>(b)</w:t>
      </w:r>
      <w:r>
        <w:tab/>
        <w:t>that no part of the application area should be declared as a protected area.</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79(4); and</w:t>
      </w:r>
    </w:p>
    <w:p>
      <w:pPr>
        <w:pStyle w:val="Indenta"/>
      </w:pPr>
      <w:r>
        <w:tab/>
        <w:t>(b)</w:t>
      </w:r>
      <w:r>
        <w:tab/>
        <w:t>what is in the interests of the State.</w:t>
      </w:r>
    </w:p>
    <w:p>
      <w:pPr>
        <w:pStyle w:val="Subsection"/>
        <w:keepNext/>
      </w:pPr>
      <w:r>
        <w:tab/>
        <w:t>(3)</w:t>
      </w:r>
      <w:r>
        <w:tab/>
        <w:t xml:space="preserve">If the Minister makes a decision that an area should be declared as a protected area, the Minister may give any written direction that the Minister considers necessary to ensure that, before a protected area order comes into effect in respect of the area — </w:t>
      </w:r>
    </w:p>
    <w:p>
      <w:pPr>
        <w:pStyle w:val="Indenta"/>
      </w:pPr>
      <w:r>
        <w:tab/>
        <w:t>(a)</w:t>
      </w:r>
      <w:r>
        <w:tab/>
        <w:t xml:space="preserve">any relevant ACH permit is amended under section 129(1) to exclude from the area to which the permit relates any area that is part of the area to be </w:t>
      </w:r>
      <w:r>
        <w:lastRenderedPageBreak/>
        <w:t>declared as a protected area, as agreed by the permit holder under section 72(3); and</w:t>
      </w:r>
    </w:p>
    <w:p>
      <w:pPr>
        <w:pStyle w:val="Indenta"/>
      </w:pPr>
      <w:r>
        <w:tab/>
        <w:t>(b)</w:t>
      </w:r>
      <w:r>
        <w:tab/>
        <w:t xml:space="preserve">any relevant approved or authorised ACH management plan is — </w:t>
      </w:r>
    </w:p>
    <w:p>
      <w:pPr>
        <w:pStyle w:val="Indenti"/>
      </w:pPr>
      <w:r>
        <w:tab/>
        <w:t>(i)</w:t>
      </w:r>
      <w:r>
        <w:tab/>
        <w:t xml:space="preserve">amended to exclude from the area to which the plan relates any area that is part of the area to be declared as a protected area, as agreed by the parties to the plan under section 72(4); and </w:t>
      </w:r>
    </w:p>
    <w:p>
      <w:pPr>
        <w:pStyle w:val="Indenti"/>
      </w:pPr>
      <w:r>
        <w:tab/>
        <w:t>(ii)</w:t>
      </w:r>
      <w:r>
        <w:tab/>
        <w:t>approved under section 169(3) as so amended.</w:t>
      </w:r>
    </w:p>
    <w:p>
      <w:pPr>
        <w:pStyle w:val="Subsection"/>
      </w:pPr>
      <w:r>
        <w:tab/>
        <w:t>(4)</w:t>
      </w:r>
      <w:r>
        <w:tab/>
        <w:t xml:space="preserve">If the Minister makes a decision that an area should be declared as a protected area, the Minister may determine, after considering the recommendation, if any, of the ACH Council under section 79(3), that an order declaring the area as a protected area should be made subject to a condition, or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(5)</w:t>
      </w:r>
      <w:r>
        <w:tab/>
        <w:t>If the Minister makes a decision that an area should be declared as a protected area, the Minister must recommend to the Governor that the Governor declare the area to be a protected area for the purposes of this Act.</w:t>
      </w:r>
    </w:p>
    <w:p>
      <w:pPr>
        <w:pStyle w:val="Subsection"/>
      </w:pPr>
      <w:r>
        <w:tab/>
        <w:t>(6)</w:t>
      </w:r>
      <w:r>
        <w:tab/>
        <w:t>If the Minister makes a decision that no part of an application area should be declared as a protected area, the Minister must ensure that public notice of that decision is given within 14 days after the decision is made under subsection (1)(b).</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3"/>
      </w:pPr>
      <w:bookmarkStart w:id="116" w:name="_Toc154742742"/>
      <w:r>
        <w:rPr>
          <w:rStyle w:val="CharDivNo"/>
        </w:rPr>
        <w:lastRenderedPageBreak/>
        <w:t>Division 5</w:t>
      </w:r>
      <w:r>
        <w:t> — </w:t>
      </w:r>
      <w:r>
        <w:rPr>
          <w:rStyle w:val="CharDivText"/>
        </w:rPr>
        <w:t>Declaration of protected area</w:t>
      </w:r>
      <w:bookmarkEnd w:id="116"/>
    </w:p>
    <w:p>
      <w:pPr>
        <w:pStyle w:val="Heading5"/>
      </w:pPr>
      <w:bookmarkStart w:id="117" w:name="_Toc154742743"/>
      <w:r>
        <w:rPr>
          <w:rStyle w:val="CharSectno"/>
        </w:rPr>
        <w:t>82</w:t>
      </w:r>
      <w:r>
        <w:t>.</w:t>
      </w:r>
      <w:r>
        <w:tab/>
        <w:t>Protected area orders</w:t>
      </w:r>
      <w:bookmarkEnd w:id="117"/>
    </w:p>
    <w:p>
      <w:pPr>
        <w:pStyle w:val="Subsection"/>
      </w:pPr>
      <w:r>
        <w:tab/>
        <w:t>(1)</w:t>
      </w:r>
      <w:r>
        <w:tab/>
        <w:t>The Governor may, by order made on a recommendation of the Minister under section 81(5), declare an area as a protected area for the purposes of this Act.</w:t>
      </w:r>
    </w:p>
    <w:p>
      <w:pPr>
        <w:pStyle w:val="Subsection"/>
      </w:pPr>
      <w:r>
        <w:tab/>
        <w:t>(2)</w:t>
      </w:r>
      <w:r>
        <w:tab/>
        <w:t>An order under subsection (1) can declare that the protected area comprises several areas that are not contiguous.</w:t>
      </w:r>
    </w:p>
    <w:p>
      <w:pPr>
        <w:pStyle w:val="Subsection"/>
      </w:pPr>
      <w:r>
        <w:tab/>
        <w:t>(3)</w:t>
      </w:r>
      <w:r>
        <w:tab/>
        <w:t xml:space="preserve">An order under subsection (1)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Heading5"/>
      </w:pPr>
      <w:bookmarkStart w:id="118" w:name="_Toc154742744"/>
      <w:r>
        <w:rPr>
          <w:rStyle w:val="CharSectno"/>
        </w:rPr>
        <w:t>83</w:t>
      </w:r>
      <w:r>
        <w:t>.</w:t>
      </w:r>
      <w:r>
        <w:tab/>
        <w:t>Amending and repealing orders</w:t>
      </w:r>
      <w:bookmarkEnd w:id="118"/>
    </w:p>
    <w:p>
      <w:pPr>
        <w:pStyle w:val="Subsection"/>
      </w:pPr>
      <w:r>
        <w:tab/>
        <w:t>(1)</w:t>
      </w:r>
      <w:r>
        <w:tab/>
        <w:t xml:space="preserve">An application for the amendment or repeal of a protected area order may be made by — </w:t>
      </w:r>
    </w:p>
    <w:p>
      <w:pPr>
        <w:pStyle w:val="Indenta"/>
      </w:pPr>
      <w:r>
        <w:tab/>
        <w:t>(a)</w:t>
      </w:r>
      <w:r>
        <w:tab/>
        <w:t>a knowledge holder for the protected area; or</w:t>
      </w:r>
    </w:p>
    <w:p>
      <w:pPr>
        <w:pStyle w:val="Indenta"/>
      </w:pPr>
      <w:r>
        <w:tab/>
        <w:t>(b)</w:t>
      </w:r>
      <w:r>
        <w:tab/>
        <w:t>a person who wants to carry out an activity in the protected area.</w:t>
      </w:r>
    </w:p>
    <w:p>
      <w:pPr>
        <w:pStyle w:val="Subsection"/>
      </w:pPr>
      <w:r>
        <w:tab/>
        <w:t>(2)</w:t>
      </w:r>
      <w:r>
        <w:tab/>
        <w:t xml:space="preserve">Other than as set out in this section, this Part applies, with all necessary modifications, in respect of — </w:t>
      </w:r>
    </w:p>
    <w:p>
      <w:pPr>
        <w:pStyle w:val="Indenta"/>
      </w:pPr>
      <w:r>
        <w:tab/>
        <w:t>(a)</w:t>
      </w:r>
      <w:r>
        <w:tab/>
        <w:t>an application for the amendment or repeal of a protected area order; and</w:t>
      </w:r>
    </w:p>
    <w:p>
      <w:pPr>
        <w:pStyle w:val="Indenta"/>
      </w:pPr>
      <w:r>
        <w:tab/>
        <w:t>(b)</w:t>
      </w:r>
      <w:r>
        <w:tab/>
        <w:t>the making of an order amending or repealing that order.</w:t>
      </w:r>
    </w:p>
    <w:p>
      <w:pPr>
        <w:pStyle w:val="Subsection"/>
        <w:keepNext/>
      </w:pPr>
      <w:r>
        <w:lastRenderedPageBreak/>
        <w:tab/>
        <w:t>(3)</w:t>
      </w:r>
      <w:r>
        <w:tab/>
        <w:t xml:space="preserve">An application for the amendment of a protected area order may provide for — </w:t>
      </w:r>
    </w:p>
    <w:p>
      <w:pPr>
        <w:pStyle w:val="Indenta"/>
      </w:pPr>
      <w:r>
        <w:tab/>
        <w:t>(a)</w:t>
      </w:r>
      <w:r>
        <w:tab/>
        <w:t>a change to the name of the protected area; or</w:t>
      </w:r>
    </w:p>
    <w:p>
      <w:pPr>
        <w:pStyle w:val="Indenta"/>
      </w:pPr>
      <w:r>
        <w:tab/>
        <w:t>(b)</w:t>
      </w:r>
      <w:r>
        <w:tab/>
        <w:t>a change to the description of the boundaries of the protected area; or</w:t>
      </w:r>
    </w:p>
    <w:p>
      <w:pPr>
        <w:pStyle w:val="Indenta"/>
      </w:pPr>
      <w:r>
        <w:tab/>
        <w:t>(c)</w:t>
      </w:r>
      <w:r>
        <w:tab/>
        <w:t>the removal of a condition to which the order is subject; or</w:t>
      </w:r>
    </w:p>
    <w:p>
      <w:pPr>
        <w:pStyle w:val="Indenta"/>
      </w:pPr>
      <w:r>
        <w:tab/>
        <w:t>(d)</w:t>
      </w:r>
      <w:r>
        <w:tab/>
        <w:t xml:space="preserve">the imposition of a new condition to which the order is to be made subject, or a change to a condition to which the order is subject, relating to any of the following — </w:t>
      </w:r>
    </w:p>
    <w:p>
      <w:pPr>
        <w:pStyle w:val="Indenti"/>
      </w:pPr>
      <w:r>
        <w:tab/>
        <w:t>(i)</w:t>
      </w:r>
      <w:r>
        <w:tab/>
        <w:t>the management of the area;</w:t>
      </w:r>
    </w:p>
    <w:p>
      <w:pPr>
        <w:pStyle w:val="Indenti"/>
      </w:pPr>
      <w:r>
        <w:tab/>
        <w:t>(ii)</w:t>
      </w:r>
      <w:r>
        <w:tab/>
        <w:t>access to the area;</w:t>
      </w:r>
    </w:p>
    <w:p>
      <w:pPr>
        <w:pStyle w:val="Indenti"/>
      </w:pPr>
      <w:r>
        <w:tab/>
        <w:t>(iii)</w:t>
      </w:r>
      <w:r>
        <w:tab/>
        <w:t>the other matters, if any, prescribed for the purposes of this subparagraph.</w:t>
      </w:r>
    </w:p>
    <w:p>
      <w:pPr>
        <w:pStyle w:val="Subsection"/>
      </w:pPr>
      <w:r>
        <w:tab/>
        <w:t>(4)</w:t>
      </w:r>
      <w:r>
        <w:tab/>
        <w:t xml:space="preserve">If the amendment of a protected area order is to provide only for a change to the name of the protected area then — </w:t>
      </w:r>
    </w:p>
    <w:p>
      <w:pPr>
        <w:pStyle w:val="Indenta"/>
      </w:pPr>
      <w:r>
        <w:tab/>
        <w:t>(a)</w:t>
      </w:r>
      <w:r>
        <w:tab/>
        <w:t xml:space="preserve">sections 75 to 81 do not apply in respect of — </w:t>
      </w:r>
    </w:p>
    <w:p>
      <w:pPr>
        <w:pStyle w:val="Indenti"/>
      </w:pPr>
      <w:r>
        <w:tab/>
        <w:t>(i)</w:t>
      </w:r>
      <w:r>
        <w:tab/>
        <w:t>the application for the amendment; or</w:t>
      </w:r>
    </w:p>
    <w:p>
      <w:pPr>
        <w:pStyle w:val="Indenti"/>
      </w:pPr>
      <w:r>
        <w:tab/>
        <w:t>(ii)</w:t>
      </w:r>
      <w:r>
        <w:tab/>
        <w:t>the making of the amending order;</w:t>
      </w:r>
    </w:p>
    <w:p>
      <w:pPr>
        <w:pStyle w:val="Indenta"/>
      </w:pPr>
      <w:r>
        <w:tab/>
      </w:r>
      <w:r>
        <w:tab/>
        <w:t>and</w:t>
      </w:r>
    </w:p>
    <w:p>
      <w:pPr>
        <w:pStyle w:val="Indenta"/>
      </w:pPr>
      <w:r>
        <w:tab/>
        <w:t>(b)</w:t>
      </w:r>
      <w:r>
        <w:tab/>
        <w:t>for the purposes of section 82(1), the Minister may make a recommendation to the Governor for the amendment of the protected area order under this subsection; and</w:t>
      </w:r>
    </w:p>
    <w:p>
      <w:pPr>
        <w:pStyle w:val="Indenta"/>
      </w:pPr>
      <w:r>
        <w:tab/>
        <w:t>(c)</w:t>
      </w:r>
      <w:r>
        <w:tab/>
        <w:t>before making a recommendation under paragraph (b), the Minister must —</w:t>
      </w:r>
    </w:p>
    <w:p>
      <w:pPr>
        <w:pStyle w:val="Indenti"/>
      </w:pPr>
      <w:r>
        <w:tab/>
        <w:t>(i)</w:t>
      </w:r>
      <w:r>
        <w:tab/>
        <w:t>give to the persons described in section 75(1) written notice of the proposed change to the name of the protected area that provides a reasonable opportunity to make submissions to the Minister about the proposed change to the name of the protected area; and</w:t>
      </w:r>
    </w:p>
    <w:p>
      <w:pPr>
        <w:pStyle w:val="Indenti"/>
      </w:pPr>
      <w:r>
        <w:lastRenderedPageBreak/>
        <w:tab/>
        <w:t>(ii)</w:t>
      </w:r>
      <w:r>
        <w:tab/>
        <w:t>consider any submissions made to the Minister in response to the notice.</w:t>
      </w:r>
    </w:p>
    <w:p>
      <w:pPr>
        <w:pStyle w:val="Heading5"/>
      </w:pPr>
      <w:bookmarkStart w:id="119" w:name="_Toc154742745"/>
      <w:r>
        <w:rPr>
          <w:rStyle w:val="CharSectno"/>
        </w:rPr>
        <w:t>84</w:t>
      </w:r>
      <w:r>
        <w:t>.</w:t>
      </w:r>
      <w:r>
        <w:tab/>
        <w:t>Order to correct error</w:t>
      </w:r>
      <w:bookmarkEnd w:id="119"/>
    </w:p>
    <w:p>
      <w:pPr>
        <w:pStyle w:val="Subsection"/>
      </w:pPr>
      <w:r>
        <w:tab/>
        <w:t>(1)</w:t>
      </w:r>
      <w:r>
        <w:tab/>
        <w:t>The Minister may, on the Minister’s own initiative, recommend to the Governor that the Governor make an order amending a protected area order to correct in the order —</w:t>
      </w:r>
    </w:p>
    <w:p>
      <w:pPr>
        <w:pStyle w:val="Indenta"/>
      </w:pPr>
      <w:r>
        <w:tab/>
        <w:t>(a)</w:t>
      </w:r>
      <w:r>
        <w:tab/>
        <w:t>a clerical mistake or unintentional error or omission; or</w:t>
      </w:r>
    </w:p>
    <w:p>
      <w:pPr>
        <w:pStyle w:val="Indenta"/>
      </w:pPr>
      <w:r>
        <w:tab/>
        <w:t>(b)</w:t>
      </w:r>
      <w:r>
        <w:tab/>
        <w:t>a figure that has been miscalculated; or</w:t>
      </w:r>
    </w:p>
    <w:p>
      <w:pPr>
        <w:pStyle w:val="Indenta"/>
      </w:pPr>
      <w:r>
        <w:tab/>
        <w:t>(c)</w:t>
      </w:r>
      <w:r>
        <w:tab/>
        <w:t>a misdescription of an area, activity, Aboriginal cultural heritage or other thing.</w:t>
      </w:r>
    </w:p>
    <w:p>
      <w:pPr>
        <w:pStyle w:val="Subsection"/>
      </w:pPr>
      <w:r>
        <w:tab/>
        <w:t>(2)</w:t>
      </w:r>
      <w:r>
        <w:tab/>
        <w:t>The Governor may, on a recommendation of the Minister under subsection (1), make an order amending a protected area order.</w:t>
      </w:r>
    </w:p>
    <w:p>
      <w:pPr>
        <w:pStyle w:val="Heading5"/>
      </w:pPr>
      <w:bookmarkStart w:id="120" w:name="_Toc154742746"/>
      <w:r>
        <w:rPr>
          <w:rStyle w:val="CharSectno"/>
        </w:rPr>
        <w:t>85</w:t>
      </w:r>
      <w:r>
        <w:t>.</w:t>
      </w:r>
      <w:r>
        <w:tab/>
        <w:t>Repeal of protected area order, or amendment to reduce area declared as protected area</w:t>
      </w:r>
      <w:bookmarkEnd w:id="120"/>
    </w:p>
    <w:p>
      <w:pPr>
        <w:pStyle w:val="Subsection"/>
      </w:pPr>
      <w:r>
        <w:tab/>
      </w:r>
      <w:r>
        <w:tab/>
        <w:t xml:space="preserve">A protected area order must not be repealed or amended to reduce the area or, if in relation to a cultural landscape, areas declared as a protected area, unless the recommendation of the Minister under section 81(5), as applied by section 83(2), to repeal or amend the order — </w:t>
      </w:r>
    </w:p>
    <w:p>
      <w:pPr>
        <w:pStyle w:val="Indenta"/>
      </w:pPr>
      <w:r>
        <w:tab/>
        <w:t>(a)</w:t>
      </w:r>
      <w:r>
        <w:tab/>
        <w:t>has been laid before each House of Parliament; and</w:t>
      </w:r>
    </w:p>
    <w:p>
      <w:pPr>
        <w:pStyle w:val="Indenta"/>
      </w:pPr>
      <w:r>
        <w:tab/>
        <w:t>(b)</w:t>
      </w:r>
      <w:r>
        <w:tab/>
        <w:t>has been approved by a resolution passed by both Houses of Parliament.</w:t>
      </w:r>
    </w:p>
    <w:p>
      <w:pPr>
        <w:pStyle w:val="Heading5"/>
      </w:pPr>
      <w:bookmarkStart w:id="121" w:name="_Toc154742747"/>
      <w:r>
        <w:rPr>
          <w:rStyle w:val="CharSectno"/>
        </w:rPr>
        <w:t>86</w:t>
      </w:r>
      <w:r>
        <w:t>.</w:t>
      </w:r>
      <w:r>
        <w:tab/>
        <w:t>Provisions about protected area orders</w:t>
      </w:r>
      <w:bookmarkEnd w:id="121"/>
    </w:p>
    <w:p>
      <w:pPr>
        <w:pStyle w:val="Subsection"/>
      </w:pPr>
      <w:r>
        <w:tab/>
        <w:t>(1)</w:t>
      </w:r>
      <w:r>
        <w:tab/>
        <w:t xml:space="preserve">A protected area order must be published in the </w:t>
      </w:r>
      <w:r>
        <w:rPr>
          <w:i/>
        </w:rPr>
        <w:t>Gazette</w:t>
      </w:r>
      <w:r>
        <w:t>.</w:t>
      </w:r>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lastRenderedPageBreak/>
        <w:tab/>
        <w:t>(4)</w:t>
      </w:r>
      <w:r>
        <w:tab/>
        <w:t>The CEO must ensure that public notice is given of a protected area order.</w:t>
      </w:r>
    </w:p>
    <w:p>
      <w:pPr>
        <w:pStyle w:val="Subsection"/>
      </w:pPr>
      <w:r>
        <w:tab/>
        <w:t>(5)</w:t>
      </w:r>
      <w:r>
        <w:tab/>
        <w:t xml:space="preserve">A protected area order comes into effect — </w:t>
      </w:r>
    </w:p>
    <w:p>
      <w:pPr>
        <w:pStyle w:val="Indenta"/>
      </w:pPr>
      <w:r>
        <w:tab/>
        <w:t>(a)</w:t>
      </w:r>
      <w:r>
        <w:tab/>
        <w:t xml:space="preserve">on the day on which it is published in the </w:t>
      </w:r>
      <w:r>
        <w:rPr>
          <w:i/>
        </w:rPr>
        <w:t>Gazette</w:t>
      </w:r>
      <w:r>
        <w:t>; or</w:t>
      </w:r>
    </w:p>
    <w:p>
      <w:pPr>
        <w:pStyle w:val="Indenta"/>
      </w:pPr>
      <w:r>
        <w:tab/>
        <w:t>(b)</w:t>
      </w:r>
      <w:r>
        <w:tab/>
        <w:t>on a later day specified in the order.</w:t>
      </w:r>
    </w:p>
    <w:p>
      <w:pPr>
        <w:pStyle w:val="Heading5"/>
      </w:pPr>
      <w:bookmarkStart w:id="122" w:name="_Toc154742748"/>
      <w:r>
        <w:rPr>
          <w:rStyle w:val="CharSectno"/>
        </w:rPr>
        <w:t>87</w:t>
      </w:r>
      <w:r>
        <w:t>.</w:t>
      </w:r>
      <w:r>
        <w:tab/>
        <w:t>Lodgment of notification with Registrar and modification and withdrawal of notification</w:t>
      </w:r>
      <w:bookmarkEnd w:id="122"/>
    </w:p>
    <w:p>
      <w:pPr>
        <w:pStyle w:val="Subsection"/>
      </w:pPr>
      <w:r>
        <w:tab/>
        <w:t>(1)</w:t>
      </w:r>
      <w:r>
        <w:tab/>
        <w:t xml:space="preserve">In this section — </w:t>
      </w:r>
    </w:p>
    <w:p>
      <w:pPr>
        <w:pStyle w:val="Defstart"/>
      </w:pPr>
      <w:r>
        <w:tab/>
      </w:r>
      <w:r>
        <w:rPr>
          <w:rStyle w:val="CharDefText"/>
        </w:rPr>
        <w:t>Registrar</w:t>
      </w:r>
      <w:r>
        <w:t xml:space="preserve"> means — </w:t>
      </w:r>
    </w:p>
    <w:p>
      <w:pPr>
        <w:pStyle w:val="Defpara"/>
      </w:pPr>
      <w:r>
        <w:tab/>
        <w:t>(a)</w:t>
      </w:r>
      <w:r>
        <w:tab/>
        <w:t xml:space="preserve">the Registrar of Titles under the </w:t>
      </w:r>
      <w:r>
        <w:rPr>
          <w:i/>
        </w:rPr>
        <w:t>Transfer of Land Act 1893</w:t>
      </w:r>
      <w:r>
        <w:t>, in relation to land that is under the operation of that Act; or</w:t>
      </w:r>
    </w:p>
    <w:p>
      <w:pPr>
        <w:pStyle w:val="Defpara"/>
      </w:pPr>
      <w:r>
        <w:tab/>
        <w:t>(b)</w:t>
      </w:r>
      <w:r>
        <w:tab/>
        <w:t xml:space="preserve">the Registrar of Deeds and Transfers under the </w:t>
      </w:r>
      <w:r>
        <w:rPr>
          <w:i/>
        </w:rPr>
        <w:t>Registration of Deeds Act 1856</w:t>
      </w:r>
      <w:r>
        <w:t>, in relation to land that is under the operation of that Act.</w:t>
      </w:r>
    </w:p>
    <w:p>
      <w:pPr>
        <w:pStyle w:val="Subsection"/>
      </w:pPr>
      <w:r>
        <w:tab/>
        <w:t>(2)</w:t>
      </w:r>
      <w:r>
        <w:tab/>
        <w:t xml:space="preserve">As soon as practicable after a protected area order is made under section 82(1), the CEO must lodge with the Registrar a notification (a </w:t>
      </w:r>
      <w:r>
        <w:rPr>
          <w:rStyle w:val="CharDefText"/>
        </w:rPr>
        <w:t>section 82(1) notification</w:t>
      </w:r>
      <w:r>
        <w:t>) in relation to the order.</w:t>
      </w:r>
    </w:p>
    <w:p>
      <w:pPr>
        <w:pStyle w:val="Subsection"/>
      </w:pPr>
      <w:r>
        <w:tab/>
        <w:t>(3)</w:t>
      </w:r>
      <w:r>
        <w:tab/>
        <w:t>If an order is made under section 82(1), as applied by section 83(2), or under section 84(2) amending or repealing an order in relation to which a section 82(1) notification was lodged, the CEO must lodge with the Registrar a notification for the section 82(1) notification to be modified or withdrawn.</w:t>
      </w:r>
    </w:p>
    <w:p>
      <w:pPr>
        <w:pStyle w:val="Subsection"/>
      </w:pPr>
      <w:r>
        <w:tab/>
        <w:t>(4)</w:t>
      </w:r>
      <w:r>
        <w:tab/>
        <w:t xml:space="preserve">A notification under subsection (2) or (3) must be — </w:t>
      </w:r>
    </w:p>
    <w:p>
      <w:pPr>
        <w:pStyle w:val="Indenta"/>
      </w:pPr>
      <w:r>
        <w:tab/>
        <w:t>(a)</w:t>
      </w:r>
      <w:r>
        <w:tab/>
        <w:t>lodged in a form approved by the Registrar; and</w:t>
      </w:r>
    </w:p>
    <w:p>
      <w:pPr>
        <w:pStyle w:val="Indenta"/>
      </w:pPr>
      <w:r>
        <w:tab/>
        <w:t>(b)</w:t>
      </w:r>
      <w:r>
        <w:tab/>
        <w:t>accompanied by any information the Registrar requires; and</w:t>
      </w:r>
    </w:p>
    <w:p>
      <w:pPr>
        <w:pStyle w:val="Indenta"/>
      </w:pPr>
      <w:r>
        <w:tab/>
        <w:t>(c)</w:t>
      </w:r>
      <w:r>
        <w:tab/>
        <w:t xml:space="preserve">accompanied by any relevant fee payable under the </w:t>
      </w:r>
      <w:r>
        <w:rPr>
          <w:i/>
        </w:rPr>
        <w:t>Transfer of Land Act 1893</w:t>
      </w:r>
      <w:r>
        <w:t xml:space="preserve">, the </w:t>
      </w:r>
      <w:r>
        <w:rPr>
          <w:i/>
        </w:rPr>
        <w:t>Registration of Deeds Act 1856</w:t>
      </w:r>
      <w:r>
        <w:t xml:space="preserve"> or another written law.</w:t>
      </w:r>
    </w:p>
    <w:p>
      <w:pPr>
        <w:pStyle w:val="Subsection"/>
      </w:pPr>
      <w:r>
        <w:lastRenderedPageBreak/>
        <w:tab/>
        <w:t>(5)</w:t>
      </w:r>
      <w:r>
        <w:tab/>
        <w:t>On the lodgment of a notification under subsection (2) or (3), the Registrar must make any endorsement or notation the Registrar considers necessary on the certificate of title or other appropriate register or record in respect of the land to which the notification applies.</w:t>
      </w:r>
    </w:p>
    <w:p>
      <w:pPr>
        <w:pStyle w:val="Heading3"/>
      </w:pPr>
      <w:bookmarkStart w:id="123" w:name="_Toc154742749"/>
      <w:r>
        <w:rPr>
          <w:rStyle w:val="CharDivNo"/>
        </w:rPr>
        <w:t>Division 6</w:t>
      </w:r>
      <w:r>
        <w:t> — </w:t>
      </w:r>
      <w:r>
        <w:rPr>
          <w:rStyle w:val="CharDivText"/>
        </w:rPr>
        <w:t>Contravention of conditions on protected area orders</w:t>
      </w:r>
      <w:bookmarkEnd w:id="123"/>
    </w:p>
    <w:p>
      <w:pPr>
        <w:pStyle w:val="Heading5"/>
      </w:pPr>
      <w:bookmarkStart w:id="124" w:name="_Toc154742750"/>
      <w:r>
        <w:rPr>
          <w:rStyle w:val="CharSectno"/>
        </w:rPr>
        <w:t>88</w:t>
      </w:r>
      <w:r>
        <w:t>.</w:t>
      </w:r>
      <w:r>
        <w:tab/>
        <w:t>Contravention of conditions on protected area order</w:t>
      </w:r>
      <w:bookmarkEnd w:id="124"/>
    </w:p>
    <w:p>
      <w:pPr>
        <w:pStyle w:val="Subsection"/>
      </w:pPr>
      <w:r>
        <w:tab/>
        <w:t>(1)</w:t>
      </w:r>
      <w:r>
        <w:tab/>
        <w:t>A person must not contravene a condition to which a protected area order is subject.</w:t>
      </w:r>
    </w:p>
    <w:p>
      <w:pPr>
        <w:pStyle w:val="Penstart"/>
      </w:pPr>
      <w:r>
        <w:tab/>
        <w:t>Penalty for this subsection: a fine of $20 000.</w:t>
      </w:r>
    </w:p>
    <w:p>
      <w:pPr>
        <w:pStyle w:val="Subsection"/>
      </w:pPr>
      <w:r>
        <w:tab/>
        <w:t>(2)</w:t>
      </w:r>
      <w:r>
        <w:tab/>
        <w:t>It is a defence to a charge of an offence under subsection (1) to prove that the person charged did not know, and could not by the exercise of reasonable diligence have known, of the condition to which the charge relates.</w:t>
      </w:r>
    </w:p>
    <w:p>
      <w:pPr>
        <w:pStyle w:val="Heading2"/>
      </w:pPr>
      <w:bookmarkStart w:id="125" w:name="_Toc154742751"/>
      <w:r>
        <w:rPr>
          <w:rStyle w:val="CharPartNo"/>
        </w:rPr>
        <w:lastRenderedPageBreak/>
        <w:t>Part 5</w:t>
      </w:r>
      <w:r>
        <w:t> — </w:t>
      </w:r>
      <w:r>
        <w:rPr>
          <w:rStyle w:val="CharPartText"/>
        </w:rPr>
        <w:t>Offences about harming Aboriginal cultural heritage and compensation for harm to Aboriginal cultural heritage</w:t>
      </w:r>
      <w:bookmarkEnd w:id="125"/>
    </w:p>
    <w:p>
      <w:pPr>
        <w:pStyle w:val="Heading3"/>
      </w:pPr>
      <w:bookmarkStart w:id="126" w:name="_Toc154742752"/>
      <w:r>
        <w:rPr>
          <w:rStyle w:val="CharDivNo"/>
        </w:rPr>
        <w:t>Division 1</w:t>
      </w:r>
      <w:r>
        <w:t> — </w:t>
      </w:r>
      <w:r>
        <w:rPr>
          <w:rStyle w:val="CharDivText"/>
        </w:rPr>
        <w:t>Preliminary</w:t>
      </w:r>
      <w:bookmarkEnd w:id="126"/>
    </w:p>
    <w:p>
      <w:pPr>
        <w:pStyle w:val="Heading5"/>
      </w:pPr>
      <w:bookmarkStart w:id="127" w:name="_Toc154742753"/>
      <w:r>
        <w:rPr>
          <w:rStyle w:val="CharSectno"/>
        </w:rPr>
        <w:t>89</w:t>
      </w:r>
      <w:r>
        <w:t>.</w:t>
      </w:r>
      <w:r>
        <w:tab/>
        <w:t>Application of Part</w:t>
      </w:r>
      <w:bookmarkEnd w:id="127"/>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5"/>
      </w:pPr>
      <w:bookmarkStart w:id="128" w:name="_Toc154742754"/>
      <w:r>
        <w:rPr>
          <w:rStyle w:val="CharSectno"/>
        </w:rPr>
        <w:t>90</w:t>
      </w:r>
      <w:r>
        <w:t>.</w:t>
      </w:r>
      <w:r>
        <w:tab/>
        <w:t>Meaning of harm to Aboriginal cultural heritage</w:t>
      </w:r>
      <w:bookmarkEnd w:id="128"/>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Heading5"/>
      </w:pPr>
      <w:bookmarkStart w:id="129" w:name="_Toc154742755"/>
      <w:r>
        <w:rPr>
          <w:rStyle w:val="CharSectno"/>
        </w:rPr>
        <w:t>91.</w:t>
      </w:r>
      <w:r>
        <w:tab/>
        <w:t>Meaning of serious harm and material harm to Aboriginal cultural heritage</w:t>
      </w:r>
      <w:bookmarkEnd w:id="129"/>
    </w:p>
    <w:p>
      <w:pPr>
        <w:pStyle w:val="Subsection"/>
      </w:pPr>
      <w:r>
        <w:tab/>
        <w:t>(1)</w:t>
      </w:r>
      <w:r>
        <w:tab/>
        <w:t xml:space="preserve">Harm to Aboriginal cultural heritage is </w:t>
      </w:r>
      <w:r>
        <w:rPr>
          <w:rStyle w:val="CharDefText"/>
        </w:rPr>
        <w:t>serious</w:t>
      </w:r>
      <w:r>
        <w:t xml:space="preserve"> if the harm is — </w:t>
      </w:r>
    </w:p>
    <w:p>
      <w:pPr>
        <w:pStyle w:val="Indenta"/>
      </w:pPr>
      <w:r>
        <w:tab/>
        <w:t>(a)</w:t>
      </w:r>
      <w:r>
        <w:tab/>
        <w:t>irreversible, of a high impact or on a wide scale; or</w:t>
      </w:r>
    </w:p>
    <w:p>
      <w:pPr>
        <w:pStyle w:val="Indenta"/>
      </w:pPr>
      <w:r>
        <w:tab/>
        <w:t>(b)</w:t>
      </w:r>
      <w:r>
        <w:tab/>
        <w:t>to Aboriginal cultural heritage located in a protected area.</w:t>
      </w:r>
    </w:p>
    <w:p>
      <w:pPr>
        <w:pStyle w:val="Subsection"/>
      </w:pPr>
      <w:r>
        <w:tab/>
        <w:t>(2)</w:t>
      </w:r>
      <w:r>
        <w:tab/>
        <w:t xml:space="preserve">Harm to Aboriginal cultural heritage is </w:t>
      </w:r>
      <w:r>
        <w:rPr>
          <w:rStyle w:val="CharDefText"/>
        </w:rPr>
        <w:t>material</w:t>
      </w:r>
      <w:r>
        <w:t xml:space="preserve"> if the harm is neither trivial nor negligible.</w:t>
      </w:r>
    </w:p>
    <w:p>
      <w:pPr>
        <w:pStyle w:val="Heading3"/>
      </w:pPr>
      <w:bookmarkStart w:id="130" w:name="_Toc154742756"/>
      <w:r>
        <w:rPr>
          <w:rStyle w:val="CharDivNo"/>
        </w:rPr>
        <w:lastRenderedPageBreak/>
        <w:t>Division 2</w:t>
      </w:r>
      <w:r>
        <w:t> — </w:t>
      </w:r>
      <w:r>
        <w:rPr>
          <w:rStyle w:val="CharDivText"/>
        </w:rPr>
        <w:t>Offences: harm to Aboriginal cultural heritage</w:t>
      </w:r>
      <w:bookmarkEnd w:id="130"/>
    </w:p>
    <w:p>
      <w:pPr>
        <w:pStyle w:val="Heading5"/>
      </w:pPr>
      <w:bookmarkStart w:id="131" w:name="_Toc154742757"/>
      <w:r>
        <w:rPr>
          <w:rStyle w:val="CharSectno"/>
        </w:rPr>
        <w:t>92</w:t>
      </w:r>
      <w:r>
        <w:t>.</w:t>
      </w:r>
      <w:r>
        <w:tab/>
        <w:t>Serious harm to Aboriginal cultural heritage</w:t>
      </w:r>
      <w:bookmarkEnd w:id="131"/>
    </w:p>
    <w:p>
      <w:pPr>
        <w:pStyle w:val="Subsection"/>
      </w:pPr>
      <w:r>
        <w:tab/>
      </w:r>
      <w:r>
        <w:tab/>
        <w:t xml:space="preserve">A person commits a crime if — </w:t>
      </w:r>
    </w:p>
    <w:p>
      <w:pPr>
        <w:pStyle w:val="Indenta"/>
      </w:pPr>
      <w:r>
        <w:tab/>
        <w:t>(a)</w:t>
      </w:r>
      <w:r>
        <w:tab/>
        <w:t>the person harms Aboriginal cultural heritage; and</w:t>
      </w:r>
    </w:p>
    <w:p>
      <w:pPr>
        <w:pStyle w:val="Indenta"/>
      </w:pPr>
      <w:r>
        <w:tab/>
        <w:t>(b)</w:t>
      </w:r>
      <w:r>
        <w:tab/>
        <w:t>the harm is serious.</w:t>
      </w:r>
    </w:p>
    <w:p>
      <w:pPr>
        <w:pStyle w:val="Penstart"/>
      </w:pPr>
      <w:r>
        <w:tab/>
        <w:t>Alternative offence: s. 93(1), 94 or 95.</w:t>
      </w:r>
    </w:p>
    <w:p>
      <w:pPr>
        <w:pStyle w:val="Penstart"/>
      </w:pPr>
      <w:r>
        <w:tab/>
        <w:t>Penalty:</w:t>
      </w:r>
    </w:p>
    <w:p>
      <w:pPr>
        <w:pStyle w:val="Penpara"/>
      </w:pPr>
      <w:r>
        <w:tab/>
        <w:t>(a)</w:t>
      </w:r>
      <w:r>
        <w:tab/>
        <w:t xml:space="preserve">for an individual — </w:t>
      </w:r>
    </w:p>
    <w:p>
      <w:pPr>
        <w:pStyle w:val="Pensubpara"/>
      </w:pPr>
      <w:r>
        <w:tab/>
        <w:t>(i)</w:t>
      </w:r>
      <w:r>
        <w:tab/>
        <w:t>imprisonment for 5 years or a fine of $1 000 000, or both;</w:t>
      </w:r>
    </w:p>
    <w:p>
      <w:pPr>
        <w:pStyle w:val="Pensubpara"/>
      </w:pPr>
      <w:r>
        <w:tab/>
        <w:t>(ii)</w:t>
      </w:r>
      <w:r>
        <w:tab/>
        <w:t>a daily penalty of a fine of $50 000 for each day or part of a day during which the offence continues;</w:t>
      </w:r>
    </w:p>
    <w:p>
      <w:pPr>
        <w:pStyle w:val="Penpara"/>
      </w:pPr>
      <w:r>
        <w:tab/>
        <w:t>(b)</w:t>
      </w:r>
      <w:r>
        <w:tab/>
        <w:t>for a body corporate —</w:t>
      </w:r>
    </w:p>
    <w:p>
      <w:pPr>
        <w:pStyle w:val="Pensubpara"/>
      </w:pPr>
      <w:r>
        <w:tab/>
        <w:t>(i)</w:t>
      </w:r>
      <w:r>
        <w:tab/>
        <w:t>a fine of $10 000 000;</w:t>
      </w:r>
    </w:p>
    <w:p>
      <w:pPr>
        <w:pStyle w:val="Pensubpara"/>
      </w:pPr>
      <w:r>
        <w:tab/>
        <w:t>(ii)</w:t>
      </w:r>
      <w:r>
        <w:tab/>
        <w:t>a daily penalty of a fine of $500 000 for each day or part of a day during which the offence continues.</w:t>
      </w:r>
    </w:p>
    <w:p>
      <w:pPr>
        <w:pStyle w:val="Penstart"/>
      </w:pPr>
      <w:r>
        <w:tab/>
        <w:t>Summary conviction penalty:</w:t>
      </w:r>
    </w:p>
    <w:p>
      <w:pPr>
        <w:pStyle w:val="Penpara"/>
      </w:pPr>
      <w:r>
        <w:tab/>
        <w:t>(a)</w:t>
      </w:r>
      <w:r>
        <w:tab/>
        <w:t xml:space="preserve">for an individual — </w:t>
      </w:r>
    </w:p>
    <w:p>
      <w:pPr>
        <w:pStyle w:val="Pensubpara"/>
      </w:pPr>
      <w:r>
        <w:tab/>
        <w:t>(i)</w:t>
      </w:r>
      <w:r>
        <w:tab/>
        <w:t>imprisonment for 2 years or a fine of $700 000, or both;</w:t>
      </w:r>
    </w:p>
    <w:p>
      <w:pPr>
        <w:pStyle w:val="Pensubpara"/>
      </w:pPr>
      <w:r>
        <w:tab/>
        <w:t>(ii)</w:t>
      </w:r>
      <w:r>
        <w:tab/>
        <w:t>a daily penalty of a fine of $35 000 for each day or part of a day during which the offence continues;</w:t>
      </w:r>
    </w:p>
    <w:p>
      <w:pPr>
        <w:pStyle w:val="Penpara"/>
      </w:pPr>
      <w:r>
        <w:tab/>
        <w:t>(b)</w:t>
      </w:r>
      <w:r>
        <w:tab/>
        <w:t>for a body corporate —</w:t>
      </w:r>
    </w:p>
    <w:p>
      <w:pPr>
        <w:pStyle w:val="Pensubpara"/>
      </w:pPr>
      <w:r>
        <w:tab/>
        <w:t>(i)</w:t>
      </w:r>
      <w:r>
        <w:tab/>
        <w:t>a fine of $7 000 000;</w:t>
      </w:r>
    </w:p>
    <w:p>
      <w:pPr>
        <w:pStyle w:val="Pensubpara"/>
      </w:pPr>
      <w:r>
        <w:tab/>
        <w:t>(ii)</w:t>
      </w:r>
      <w:r>
        <w:tab/>
        <w:t>a daily penalty of a fine of $350 000 for each day or part of a day during which the offence continues.</w:t>
      </w:r>
    </w:p>
    <w:p>
      <w:pPr>
        <w:pStyle w:val="Heading5"/>
      </w:pPr>
      <w:bookmarkStart w:id="132" w:name="_Toc154742758"/>
      <w:r>
        <w:rPr>
          <w:rStyle w:val="CharSectno"/>
        </w:rPr>
        <w:lastRenderedPageBreak/>
        <w:t>93</w:t>
      </w:r>
      <w:r>
        <w:t>.</w:t>
      </w:r>
      <w:r>
        <w:tab/>
        <w:t>Serious harm to Aboriginal cultural heritage, including by accident</w:t>
      </w:r>
      <w:bookmarkEnd w:id="132"/>
    </w:p>
    <w:p>
      <w:pPr>
        <w:pStyle w:val="Subsection"/>
      </w:pPr>
      <w:r>
        <w:tab/>
        <w:t>(1)</w:t>
      </w:r>
      <w:r>
        <w:tab/>
        <w:t xml:space="preserve">A person commits an offence if — </w:t>
      </w:r>
    </w:p>
    <w:p>
      <w:pPr>
        <w:pStyle w:val="Indenta"/>
      </w:pPr>
      <w:r>
        <w:tab/>
        <w:t>(a)</w:t>
      </w:r>
      <w:r>
        <w:tab/>
        <w:t>the person harms Aboriginal cultural heritage; and</w:t>
      </w:r>
    </w:p>
    <w:p>
      <w:pPr>
        <w:pStyle w:val="Indenta"/>
        <w:rPr>
          <w:szCs w:val="24"/>
        </w:rPr>
      </w:pPr>
      <w:r>
        <w:tab/>
        <w:t>(b)</w:t>
      </w:r>
      <w:r>
        <w:tab/>
        <w:t>the harm is serious.</w:t>
      </w:r>
    </w:p>
    <w:p>
      <w:pPr>
        <w:pStyle w:val="Penstart"/>
      </w:pPr>
      <w:r>
        <w:tab/>
        <w:t>Alternative offence: s. 94 or 95.</w:t>
      </w:r>
    </w:p>
    <w:p>
      <w:pPr>
        <w:pStyle w:val="Penstart"/>
      </w:pPr>
      <w:r>
        <w:tab/>
        <w:t>Penalty for this subsection:</w:t>
      </w:r>
    </w:p>
    <w:p>
      <w:pPr>
        <w:pStyle w:val="Penpara"/>
      </w:pPr>
      <w:r>
        <w:tab/>
        <w:t>(a)</w:t>
      </w:r>
      <w:r>
        <w:tab/>
        <w:t xml:space="preserve">for an individual — </w:t>
      </w:r>
    </w:p>
    <w:p>
      <w:pPr>
        <w:pStyle w:val="Pensubpara"/>
      </w:pPr>
      <w:r>
        <w:tab/>
        <w:t>(i)</w:t>
      </w:r>
      <w:r>
        <w:tab/>
        <w:t>a fine of $500 000;</w:t>
      </w:r>
    </w:p>
    <w:p>
      <w:pPr>
        <w:pStyle w:val="Pensubpara"/>
      </w:pPr>
      <w:r>
        <w:tab/>
        <w:t>(ii)</w:t>
      </w:r>
      <w:r>
        <w:tab/>
        <w:t>a daily penalty of a fine of $25 000 for each day or part of a day during which the offence continues;</w:t>
      </w:r>
    </w:p>
    <w:p>
      <w:pPr>
        <w:pStyle w:val="Penpara"/>
      </w:pPr>
      <w:r>
        <w:tab/>
        <w:t>(b)</w:t>
      </w:r>
      <w:r>
        <w:tab/>
        <w:t>for a body corporate —</w:t>
      </w:r>
    </w:p>
    <w:p>
      <w:pPr>
        <w:pStyle w:val="Pensubpara"/>
      </w:pPr>
      <w:r>
        <w:tab/>
        <w:t>(i)</w:t>
      </w:r>
      <w:r>
        <w:tab/>
        <w:t>a fine of $5 000 000;</w:t>
      </w:r>
    </w:p>
    <w:p>
      <w:pPr>
        <w:pStyle w:val="Pensubpara"/>
      </w:pPr>
      <w:r>
        <w:tab/>
        <w:t>(ii)</w:t>
      </w:r>
      <w:r>
        <w:tab/>
        <w:t>a daily penalty of a fine of $250 000 for each day or part of a day during which the offence continues.</w:t>
      </w:r>
    </w:p>
    <w:p>
      <w:pPr>
        <w:pStyle w:val="Subsection"/>
      </w:pPr>
      <w:r>
        <w:tab/>
        <w:t>(2)</w:t>
      </w:r>
      <w:r>
        <w:tab/>
        <w:t xml:space="preserve">Despite </w:t>
      </w:r>
      <w:r>
        <w:rPr>
          <w:i/>
        </w:rPr>
        <w:t>The Criminal Code</w:t>
      </w:r>
      <w:r>
        <w:t xml:space="preserve"> section 23B(2), it is immaterial for the purposes of subsection (1) that any event occurred by accident.</w:t>
      </w:r>
    </w:p>
    <w:p>
      <w:pPr>
        <w:pStyle w:val="Heading5"/>
      </w:pPr>
      <w:bookmarkStart w:id="133" w:name="_Toc154742759"/>
      <w:r>
        <w:rPr>
          <w:rStyle w:val="CharSectno"/>
        </w:rPr>
        <w:t>94</w:t>
      </w:r>
      <w:r>
        <w:t>.</w:t>
      </w:r>
      <w:r>
        <w:tab/>
        <w:t>Material harm to Aboriginal cultural heritage</w:t>
      </w:r>
      <w:bookmarkEnd w:id="133"/>
    </w:p>
    <w:p>
      <w:pPr>
        <w:pStyle w:val="Subsection"/>
      </w:pPr>
      <w:r>
        <w:tab/>
      </w:r>
      <w:r>
        <w:tab/>
        <w:t xml:space="preserve">A person commits an offence if — </w:t>
      </w:r>
    </w:p>
    <w:p>
      <w:pPr>
        <w:pStyle w:val="Indenta"/>
      </w:pPr>
      <w:r>
        <w:tab/>
        <w:t>(a)</w:t>
      </w:r>
      <w:r>
        <w:tab/>
        <w:t>the person harms Aboriginal cultural heritage; and</w:t>
      </w:r>
    </w:p>
    <w:p>
      <w:pPr>
        <w:pStyle w:val="Indenta"/>
      </w:pPr>
      <w:r>
        <w:tab/>
        <w:t>(b)</w:t>
      </w:r>
      <w:r>
        <w:tab/>
        <w:t>the harm is material.</w:t>
      </w:r>
    </w:p>
    <w:p>
      <w:pPr>
        <w:pStyle w:val="Penstart"/>
      </w:pPr>
      <w:r>
        <w:tab/>
        <w:t>Alternative offence: s. 95.</w:t>
      </w:r>
    </w:p>
    <w:p>
      <w:pPr>
        <w:pStyle w:val="Penstart"/>
      </w:pPr>
      <w:r>
        <w:tab/>
        <w:t>Penalty:</w:t>
      </w:r>
    </w:p>
    <w:p>
      <w:pPr>
        <w:pStyle w:val="Penpara"/>
      </w:pPr>
      <w:r>
        <w:tab/>
        <w:t>(a)</w:t>
      </w:r>
      <w:r>
        <w:tab/>
        <w:t xml:space="preserve">for an individual — </w:t>
      </w:r>
    </w:p>
    <w:p>
      <w:pPr>
        <w:pStyle w:val="Pensubpara"/>
      </w:pPr>
      <w:r>
        <w:tab/>
        <w:t>(i)</w:t>
      </w:r>
      <w:r>
        <w:tab/>
        <w:t>a fine of $100 000;</w:t>
      </w:r>
    </w:p>
    <w:p>
      <w:pPr>
        <w:pStyle w:val="Pensubpara"/>
      </w:pPr>
      <w:r>
        <w:lastRenderedPageBreak/>
        <w:tab/>
        <w:t>(ii)</w:t>
      </w:r>
      <w:r>
        <w:tab/>
        <w:t>a daily penalty of a fine of $5 000 for each day or part of a day during which the offence continues;</w:t>
      </w:r>
    </w:p>
    <w:p>
      <w:pPr>
        <w:pStyle w:val="Penpara"/>
      </w:pPr>
      <w:r>
        <w:tab/>
        <w:t>(b)</w:t>
      </w:r>
      <w:r>
        <w:tab/>
        <w:t>for a body corporate —</w:t>
      </w:r>
    </w:p>
    <w:p>
      <w:pPr>
        <w:pStyle w:val="Pensubpara"/>
      </w:pPr>
      <w:r>
        <w:tab/>
        <w:t>(i)</w:t>
      </w:r>
      <w:r>
        <w:tab/>
        <w:t>a fine of $1 000 000;</w:t>
      </w:r>
    </w:p>
    <w:p>
      <w:pPr>
        <w:pStyle w:val="Pensubpara"/>
      </w:pPr>
      <w:r>
        <w:tab/>
        <w:t>(ii)</w:t>
      </w:r>
      <w:r>
        <w:tab/>
        <w:t>a daily penalty of a fine of $50 000 for each day or part of a day during which the offence continues.</w:t>
      </w:r>
    </w:p>
    <w:p>
      <w:pPr>
        <w:pStyle w:val="Heading5"/>
      </w:pPr>
      <w:bookmarkStart w:id="134" w:name="_Toc154742760"/>
      <w:r>
        <w:rPr>
          <w:rStyle w:val="CharSectno"/>
        </w:rPr>
        <w:t>95</w:t>
      </w:r>
      <w:r>
        <w:t>.</w:t>
      </w:r>
      <w:r>
        <w:tab/>
        <w:t>Harm to Aboriginal cultural heritage</w:t>
      </w:r>
      <w:bookmarkEnd w:id="134"/>
    </w:p>
    <w:p>
      <w:pPr>
        <w:pStyle w:val="Subsection"/>
      </w:pPr>
      <w:r>
        <w:tab/>
      </w:r>
      <w:r>
        <w:tab/>
        <w:t>A person commits an offence if the person harms Aboriginal cultural heritage.</w:t>
      </w:r>
    </w:p>
    <w:p>
      <w:pPr>
        <w:pStyle w:val="Penstart"/>
      </w:pPr>
      <w:r>
        <w:tab/>
        <w:t>Penalty:</w:t>
      </w:r>
    </w:p>
    <w:p>
      <w:pPr>
        <w:pStyle w:val="Penpara"/>
      </w:pPr>
      <w:r>
        <w:tab/>
        <w:t>(a)</w:t>
      </w:r>
      <w:r>
        <w:tab/>
        <w:t xml:space="preserve">for an individual — </w:t>
      </w:r>
    </w:p>
    <w:p>
      <w:pPr>
        <w:pStyle w:val="Pensubpara"/>
      </w:pPr>
      <w:r>
        <w:tab/>
        <w:t>(i)</w:t>
      </w:r>
      <w:r>
        <w:tab/>
        <w:t>a fine of $25 000;</w:t>
      </w:r>
    </w:p>
    <w:p>
      <w:pPr>
        <w:pStyle w:val="Pensubpara"/>
      </w:pPr>
      <w:r>
        <w:tab/>
        <w:t>(ii)</w:t>
      </w:r>
      <w:r>
        <w:tab/>
        <w:t>a daily penalty of a fine of $1 250 for each day or part of a day during which the offence continues;</w:t>
      </w:r>
    </w:p>
    <w:p>
      <w:pPr>
        <w:pStyle w:val="Penpara"/>
      </w:pPr>
      <w:r>
        <w:tab/>
        <w:t>(b)</w:t>
      </w:r>
      <w:r>
        <w:tab/>
        <w:t>for a body corporate —</w:t>
      </w:r>
    </w:p>
    <w:p>
      <w:pPr>
        <w:pStyle w:val="Pensubpara"/>
      </w:pPr>
      <w:r>
        <w:tab/>
        <w:t>(i)</w:t>
      </w:r>
      <w:r>
        <w:tab/>
        <w:t>a fine of $250 000;</w:t>
      </w:r>
    </w:p>
    <w:p>
      <w:pPr>
        <w:pStyle w:val="Pensubpara"/>
      </w:pPr>
      <w:r>
        <w:tab/>
        <w:t>(ii)</w:t>
      </w:r>
      <w:r>
        <w:tab/>
        <w:t>a daily penalty of a fine of $12 500 for each day or part of a day during which the offence continues.</w:t>
      </w:r>
    </w:p>
    <w:p>
      <w:pPr>
        <w:pStyle w:val="Heading3"/>
      </w:pPr>
      <w:bookmarkStart w:id="135" w:name="_Toc154742761"/>
      <w:r>
        <w:rPr>
          <w:rStyle w:val="CharDivNo"/>
        </w:rPr>
        <w:t>Division 3</w:t>
      </w:r>
      <w:r>
        <w:t> — </w:t>
      </w:r>
      <w:r>
        <w:rPr>
          <w:rStyle w:val="CharDivText"/>
        </w:rPr>
        <w:t>Defences: harm to Aboriginal cultural heritage</w:t>
      </w:r>
      <w:bookmarkEnd w:id="135"/>
    </w:p>
    <w:p>
      <w:pPr>
        <w:pStyle w:val="Heading5"/>
      </w:pPr>
      <w:bookmarkStart w:id="136" w:name="_Toc154742762"/>
      <w:r>
        <w:rPr>
          <w:rStyle w:val="CharSectno"/>
        </w:rPr>
        <w:t>96</w:t>
      </w:r>
      <w:r>
        <w:t>.</w:t>
      </w:r>
      <w:r>
        <w:tab/>
        <w:t>Defence of authority under Part 6 Division 4</w:t>
      </w:r>
      <w:bookmarkEnd w:id="136"/>
    </w:p>
    <w:p>
      <w:pPr>
        <w:pStyle w:val="Subsection"/>
      </w:pPr>
      <w:r>
        <w:tab/>
      </w:r>
      <w:r>
        <w:tab/>
        <w:t>It is a defence to a charge of an offence under Division 2 to prove that the carrying out of the activity that harmed the Aboriginal cultural heritage was authorised under Part 6 Division 4.</w:t>
      </w:r>
    </w:p>
    <w:p>
      <w:pPr>
        <w:pStyle w:val="Heading5"/>
      </w:pPr>
      <w:bookmarkStart w:id="137" w:name="_Toc154742763"/>
      <w:r>
        <w:rPr>
          <w:rStyle w:val="CharSectno"/>
        </w:rPr>
        <w:lastRenderedPageBreak/>
        <w:t>97</w:t>
      </w:r>
      <w:r>
        <w:t>.</w:t>
      </w:r>
      <w:r>
        <w:tab/>
        <w:t>Defences that apply in relation to protected areas</w:t>
      </w:r>
      <w:bookmarkEnd w:id="137"/>
    </w:p>
    <w:p>
      <w:pPr>
        <w:pStyle w:val="Subsection"/>
      </w:pPr>
      <w:r>
        <w:tab/>
      </w:r>
      <w:r>
        <w:tab/>
        <w:t xml:space="preserve">It is a defence to a charge of an offence under section 92 or 93(1) in relation to Aboriginal cultural heritage located in a protected area to prove that the act that harmed the Aboriginal cultural heritage was carried out in accordance with — </w:t>
      </w:r>
    </w:p>
    <w:p>
      <w:pPr>
        <w:pStyle w:val="Indenta"/>
      </w:pPr>
      <w:r>
        <w:tab/>
        <w:t>(a)</w:t>
      </w:r>
      <w:r>
        <w:tab/>
        <w:t>the protected area order for the protected area; or</w:t>
      </w:r>
    </w:p>
    <w:p>
      <w:pPr>
        <w:pStyle w:val="Indenta"/>
      </w:pPr>
      <w:r>
        <w:tab/>
        <w:t>(b)</w:t>
      </w:r>
      <w:r>
        <w:tab/>
        <w:t>regulations applicable to the protected area.</w:t>
      </w:r>
    </w:p>
    <w:p>
      <w:pPr>
        <w:pStyle w:val="Heading5"/>
      </w:pPr>
      <w:bookmarkStart w:id="138" w:name="_Toc154742764"/>
      <w:r>
        <w:rPr>
          <w:rStyle w:val="CharSectno"/>
        </w:rPr>
        <w:t>98</w:t>
      </w:r>
      <w:r>
        <w:t>.</w:t>
      </w:r>
      <w:r>
        <w:tab/>
        <w:t>Other defences</w:t>
      </w:r>
      <w:bookmarkEnd w:id="138"/>
    </w:p>
    <w:p>
      <w:pPr>
        <w:pStyle w:val="Subsection"/>
      </w:pPr>
      <w:r>
        <w:tab/>
      </w:r>
      <w:r>
        <w:tab/>
        <w:t xml:space="preserve">It is a defence to a charge of an offence under Division 2 to prove that the activity that harmed the Aboriginal cultural heritage was carried out — </w:t>
      </w:r>
    </w:p>
    <w:p>
      <w:pPr>
        <w:pStyle w:val="Indenta"/>
      </w:pPr>
      <w:r>
        <w:tab/>
        <w:t>(a)</w:t>
      </w:r>
      <w:r>
        <w:tab/>
        <w:t xml:space="preserve">by a person — </w:t>
      </w:r>
    </w:p>
    <w:p>
      <w:pPr>
        <w:pStyle w:val="Indenti"/>
      </w:pPr>
      <w:r>
        <w:tab/>
        <w:t>(i)</w:t>
      </w:r>
      <w:r>
        <w:tab/>
        <w:t>after the person made an assessment, in undertaking a due diligence assessment in relation to the carrying out of the activity, that there was no risk of harm being caused to Aboriginal cultural heritage by the activity; and</w:t>
      </w:r>
    </w:p>
    <w:p>
      <w:pPr>
        <w:pStyle w:val="Indenti"/>
      </w:pPr>
      <w:r>
        <w:tab/>
        <w:t>(ii)</w:t>
      </w:r>
      <w:r>
        <w:tab/>
        <w:t>who took all reasonable steps possible to avoid, or minimise, the risk of harm being caused to Aboriginal cultural heritage by the activity;</w:t>
      </w:r>
    </w:p>
    <w:p>
      <w:pPr>
        <w:pStyle w:val="Indenta"/>
      </w:pPr>
      <w:r>
        <w:tab/>
      </w:r>
      <w:r>
        <w:tab/>
        <w:t>or</w:t>
      </w:r>
    </w:p>
    <w:p>
      <w:pPr>
        <w:pStyle w:val="Indenta"/>
      </w:pPr>
      <w:r>
        <w:tab/>
        <w:t>(b)</w:t>
      </w:r>
      <w:r>
        <w:tab/>
        <w:t>by a person in accordance with a remediation order; or</w:t>
      </w:r>
    </w:p>
    <w:p>
      <w:pPr>
        <w:pStyle w:val="Indenta"/>
      </w:pPr>
      <w:r>
        <w:tab/>
        <w:t>(c)</w:t>
      </w:r>
      <w:r>
        <w:tab/>
        <w:t xml:space="preserve">by a person in accordance with the </w:t>
      </w:r>
      <w:r>
        <w:rPr>
          <w:i/>
        </w:rPr>
        <w:t>Coroners Act 1996</w:t>
      </w:r>
      <w:r>
        <w:t xml:space="preserve"> in the course of determining whether human remains are Aboriginal ancestral remains; or</w:t>
      </w:r>
    </w:p>
    <w:p>
      <w:pPr>
        <w:pStyle w:val="Indenta"/>
      </w:pPr>
      <w:r>
        <w:tab/>
        <w:t>(d)</w:t>
      </w:r>
      <w:r>
        <w:tab/>
        <w:t>by a person in an emergency situation for the purpose of preventing, or minimising, loss of life, prejudice to the safety, or harm to the health, of people; or</w:t>
      </w:r>
    </w:p>
    <w:p>
      <w:pPr>
        <w:pStyle w:val="Indenta"/>
        <w:keepNext/>
      </w:pPr>
      <w:r>
        <w:lastRenderedPageBreak/>
        <w:tab/>
        <w:t>(e)</w:t>
      </w:r>
      <w:r>
        <w:tab/>
        <w:t>by a person of a prescribed class, in a prescribed situation or while carrying out a prescribed activity.</w:t>
      </w:r>
    </w:p>
    <w:p>
      <w:pPr>
        <w:pStyle w:val="PermNoteHeading"/>
      </w:pPr>
      <w:r>
        <w:tab/>
        <w:t>Note for this section:</w:t>
      </w:r>
    </w:p>
    <w:p>
      <w:pPr>
        <w:pStyle w:val="PermNoteText"/>
      </w:pPr>
      <w:r>
        <w:tab/>
      </w:r>
      <w:r>
        <w:tab/>
        <w:t>The duty to mitigate set out in paragraph (a)(ii) applies in relation to Aboriginal cultural heritage in an area even if an assessment was made, in undertaking a due diligence assessment, that Aboriginal cultural heritage was not located in the area.</w:t>
      </w:r>
    </w:p>
    <w:p>
      <w:pPr>
        <w:pStyle w:val="Heading3"/>
      </w:pPr>
      <w:bookmarkStart w:id="139" w:name="_Toc154742765"/>
      <w:r>
        <w:rPr>
          <w:rStyle w:val="CharDivNo"/>
        </w:rPr>
        <w:t>Division 4</w:t>
      </w:r>
      <w:r>
        <w:t> — </w:t>
      </w:r>
      <w:r>
        <w:rPr>
          <w:rStyle w:val="CharDivText"/>
        </w:rPr>
        <w:t>Compensation for harm to Aboriginal cultural heritage</w:t>
      </w:r>
      <w:bookmarkEnd w:id="139"/>
    </w:p>
    <w:p>
      <w:pPr>
        <w:pStyle w:val="Heading5"/>
      </w:pPr>
      <w:bookmarkStart w:id="140" w:name="_Toc154742766"/>
      <w:r>
        <w:rPr>
          <w:rStyle w:val="CharSectno"/>
        </w:rPr>
        <w:t>99</w:t>
      </w:r>
      <w:r>
        <w:t>.</w:t>
      </w:r>
      <w:r>
        <w:tab/>
        <w:t>Compensation for harm to Aboriginal cultural heritage</w:t>
      </w:r>
      <w:bookmarkEnd w:id="140"/>
    </w:p>
    <w:p>
      <w:pPr>
        <w:pStyle w:val="Subsection"/>
      </w:pPr>
      <w:r>
        <w:tab/>
        <w:t>(1)</w:t>
      </w:r>
      <w:r>
        <w:tab/>
        <w:t>The CEO may, with the prior written approval of the Minister, decide that compensation is to be paid in respect of Aboriginal cultural heritage to which harm has been caused as a direct or indirect consequence of the commission of an offence under Division 2.</w:t>
      </w:r>
    </w:p>
    <w:p>
      <w:pPr>
        <w:pStyle w:val="Subsection"/>
      </w:pPr>
      <w:r>
        <w:tab/>
        <w:t>(2)</w:t>
      </w:r>
      <w:r>
        <w:tab/>
        <w:t>Compensation payable under subsection (1) must be paid to an Aboriginal person, group or community with traditional rights, interests and responsibilities in respect of the Aboriginal cultural heritage to which the harm has been caused.</w:t>
      </w:r>
    </w:p>
    <w:p>
      <w:pPr>
        <w:pStyle w:val="Subsection"/>
      </w:pPr>
      <w:r>
        <w:tab/>
        <w:t>(3)</w:t>
      </w:r>
      <w:r>
        <w:tab/>
        <w:t xml:space="preserve">If the CEO decides that compensation must be paid under subsection (1), the CEO must make a written determination setting out — </w:t>
      </w:r>
    </w:p>
    <w:p>
      <w:pPr>
        <w:pStyle w:val="Indenta"/>
      </w:pPr>
      <w:r>
        <w:tab/>
        <w:t>(a)</w:t>
      </w:r>
      <w:r>
        <w:tab/>
        <w:t xml:space="preserve">the amount of money that must be paid as compensation (the </w:t>
      </w:r>
      <w:r>
        <w:rPr>
          <w:rStyle w:val="CharDefText"/>
        </w:rPr>
        <w:t>compensation sum</w:t>
      </w:r>
      <w:r>
        <w:t>); and</w:t>
      </w:r>
    </w:p>
    <w:p>
      <w:pPr>
        <w:pStyle w:val="Indenta"/>
      </w:pPr>
      <w:r>
        <w:tab/>
        <w:t>(b)</w:t>
      </w:r>
      <w:r>
        <w:tab/>
        <w:t>the manner in which the compensation sum must be paid; and</w:t>
      </w:r>
    </w:p>
    <w:p>
      <w:pPr>
        <w:pStyle w:val="Indenta"/>
      </w:pPr>
      <w:r>
        <w:tab/>
        <w:t>(c)</w:t>
      </w:r>
      <w:r>
        <w:tab/>
        <w:t>the Aboriginal person, group or community to whom the compensation sum must be paid in full, or the Aboriginal persons, groups or communities between whom the compensation sum must be shared and the amount of each share.</w:t>
      </w:r>
    </w:p>
    <w:p>
      <w:pPr>
        <w:pStyle w:val="Subsection"/>
      </w:pPr>
      <w:r>
        <w:lastRenderedPageBreak/>
        <w:tab/>
        <w:t>(4)</w:t>
      </w:r>
      <w:r>
        <w:tab/>
        <w:t>A determination under subsection (3) must be made in accordance with the criteria, if any, prescribed.</w:t>
      </w:r>
    </w:p>
    <w:p>
      <w:pPr>
        <w:pStyle w:val="Subsection"/>
      </w:pPr>
      <w:r>
        <w:tab/>
        <w:t>(5)</w:t>
      </w:r>
      <w:r>
        <w:tab/>
        <w:t xml:space="preserve">Before making a decision under subsection (1), or a determination under subsection (3), the CEO must — </w:t>
      </w:r>
    </w:p>
    <w:p>
      <w:pPr>
        <w:pStyle w:val="Indenta"/>
      </w:pPr>
      <w:r>
        <w:tab/>
        <w:t>(a)</w:t>
      </w:r>
      <w:r>
        <w:tab/>
        <w:t>make a written request to the ACH Council to provide the CEO with advice about the decision or the determination; and</w:t>
      </w:r>
    </w:p>
    <w:p>
      <w:pPr>
        <w:pStyle w:val="Indenta"/>
      </w:pPr>
      <w:r>
        <w:tab/>
        <w:t>(b)</w:t>
      </w:r>
      <w:r>
        <w:tab/>
        <w:t>consider any advice received in response to the request.</w:t>
      </w:r>
    </w:p>
    <w:p>
      <w:pPr>
        <w:pStyle w:val="Subsection"/>
      </w:pPr>
      <w:r>
        <w:tab/>
        <w:t>(6)</w:t>
      </w:r>
      <w:r>
        <w:tab/>
        <w:t xml:space="preserve">A request made to the ACH Council under subsection (5)(a) must set out details of — </w:t>
      </w:r>
    </w:p>
    <w:p>
      <w:pPr>
        <w:pStyle w:val="Indenta"/>
      </w:pPr>
      <w:r>
        <w:tab/>
        <w:t>(a)</w:t>
      </w:r>
      <w:r>
        <w:tab/>
        <w:t>the Aboriginal cultural heritage to which harm has been caused; and</w:t>
      </w:r>
    </w:p>
    <w:p>
      <w:pPr>
        <w:pStyle w:val="Indenta"/>
      </w:pPr>
      <w:r>
        <w:tab/>
        <w:t>(b)</w:t>
      </w:r>
      <w:r>
        <w:tab/>
        <w:t>the commission of the offence, and the direct or indirect consequences of the commission of the offence, that caused the harm; and</w:t>
      </w:r>
    </w:p>
    <w:p>
      <w:pPr>
        <w:pStyle w:val="Indenta"/>
      </w:pPr>
      <w:r>
        <w:tab/>
        <w:t>(c)</w:t>
      </w:r>
      <w:r>
        <w:tab/>
        <w:t>the Aboriginal person, group or community to whom the compensation sum is proposed to be paid in full, or the Aboriginal persons, groups or communities between whom it is proposed that the compensation sum be shared and the amount of each share.</w:t>
      </w:r>
    </w:p>
    <w:p>
      <w:pPr>
        <w:pStyle w:val="Subsection"/>
      </w:pPr>
      <w:r>
        <w:tab/>
        <w:t>(7)</w:t>
      </w:r>
      <w:r>
        <w:tab/>
        <w:t>Compensation under this section is payable in accordance with a determination of the CEO under subsection (3).</w:t>
      </w:r>
    </w:p>
    <w:p>
      <w:pPr>
        <w:pStyle w:val="Heading2"/>
      </w:pPr>
      <w:bookmarkStart w:id="141" w:name="_Toc154742767"/>
      <w:r>
        <w:rPr>
          <w:rStyle w:val="CharPartNo"/>
        </w:rPr>
        <w:lastRenderedPageBreak/>
        <w:t>Part 6</w:t>
      </w:r>
      <w:r>
        <w:t> — </w:t>
      </w:r>
      <w:r>
        <w:rPr>
          <w:rStyle w:val="CharPartText"/>
        </w:rPr>
        <w:t>Managing activities that may harm Aboriginal cultural heritage</w:t>
      </w:r>
      <w:bookmarkEnd w:id="141"/>
    </w:p>
    <w:p>
      <w:pPr>
        <w:pStyle w:val="Heading3"/>
      </w:pPr>
      <w:bookmarkStart w:id="142" w:name="_Toc154742768"/>
      <w:r>
        <w:rPr>
          <w:rStyle w:val="CharDivNo"/>
        </w:rPr>
        <w:t>Division 1</w:t>
      </w:r>
      <w:r>
        <w:t> — </w:t>
      </w:r>
      <w:r>
        <w:rPr>
          <w:rStyle w:val="CharDivText"/>
        </w:rPr>
        <w:t>Preliminary</w:t>
      </w:r>
      <w:bookmarkEnd w:id="142"/>
    </w:p>
    <w:p>
      <w:pPr>
        <w:pStyle w:val="Heading5"/>
      </w:pPr>
      <w:bookmarkStart w:id="143" w:name="_Toc154742769"/>
      <w:r>
        <w:rPr>
          <w:rStyle w:val="CharSectno"/>
        </w:rPr>
        <w:t>100</w:t>
      </w:r>
      <w:r>
        <w:t>.</w:t>
      </w:r>
      <w:r>
        <w:tab/>
        <w:t>Terms used</w:t>
      </w:r>
      <w:bookmarkEnd w:id="143"/>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144" w:name="_Toc154742770"/>
      <w:r>
        <w:rPr>
          <w:rStyle w:val="CharSectno"/>
        </w:rPr>
        <w:t>101</w:t>
      </w:r>
      <w:r>
        <w:t>.</w:t>
      </w:r>
      <w:r>
        <w:tab/>
        <w:t>Consultation about proposed activities</w:t>
      </w:r>
      <w:bookmarkEnd w:id="144"/>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Heading3"/>
        <w:keepLines/>
      </w:pPr>
      <w:bookmarkStart w:id="145" w:name="_Toc154742771"/>
      <w:r>
        <w:rPr>
          <w:rStyle w:val="CharDivNo"/>
        </w:rPr>
        <w:t>Division 2</w:t>
      </w:r>
      <w:r>
        <w:t> — </w:t>
      </w:r>
      <w:r>
        <w:rPr>
          <w:rStyle w:val="CharDivText"/>
        </w:rPr>
        <w:t>Due diligence assessment</w:t>
      </w:r>
      <w:bookmarkEnd w:id="145"/>
    </w:p>
    <w:p>
      <w:pPr>
        <w:pStyle w:val="Heading5"/>
      </w:pPr>
      <w:bookmarkStart w:id="146" w:name="_Toc154742772"/>
      <w:r>
        <w:rPr>
          <w:rStyle w:val="CharSectno"/>
        </w:rPr>
        <w:t>102</w:t>
      </w:r>
      <w:r>
        <w:t>.</w:t>
      </w:r>
      <w:r>
        <w:tab/>
        <w:t>Due diligence assessment</w:t>
      </w:r>
      <w:bookmarkEnd w:id="146"/>
    </w:p>
    <w:p>
      <w:pPr>
        <w:pStyle w:val="Subsection"/>
        <w:keepNext/>
      </w:pPr>
      <w:r>
        <w:tab/>
      </w:r>
      <w:r>
        <w:tab/>
        <w:t xml:space="preserve">For the purposes of this Act, a person undertakes a </w:t>
      </w:r>
      <w:r>
        <w:rPr>
          <w:rStyle w:val="CharDefText"/>
          <w:snapToGrid w:val="0"/>
        </w:rPr>
        <w:t>due diligence assessment</w:t>
      </w:r>
      <w:r>
        <w:t xml:space="preserve"> in relation to a proposed activity that is intended to be carried out in an area if the person, in accordance </w:t>
      </w:r>
      <w:r>
        <w:lastRenderedPageBreak/>
        <w:t>with the ACH Management Code, makes an assessment about the following —</w:t>
      </w:r>
    </w:p>
    <w:p>
      <w:pPr>
        <w:pStyle w:val="Indenta"/>
      </w:pPr>
      <w:r>
        <w:tab/>
        <w:t>(a)</w:t>
      </w:r>
      <w:r>
        <w:tab/>
        <w:t>whether the area where it is intended that the proposed activity be carried out includes any area that is part of a protected area;</w:t>
      </w:r>
    </w:p>
    <w:p>
      <w:pPr>
        <w:pStyle w:val="Indenta"/>
      </w:pPr>
      <w:r>
        <w:tab/>
        <w:t>(b)</w:t>
      </w:r>
      <w:r>
        <w:tab/>
        <w:t xml:space="preserve">whether the proposed activity is a — </w:t>
      </w:r>
    </w:p>
    <w:p>
      <w:pPr>
        <w:pStyle w:val="Indenti"/>
      </w:pPr>
      <w:r>
        <w:tab/>
        <w:t>(i)</w:t>
      </w:r>
      <w:r>
        <w:tab/>
        <w:t>a tier 1 activity; or</w:t>
      </w:r>
    </w:p>
    <w:p>
      <w:pPr>
        <w:pStyle w:val="Indenti"/>
      </w:pPr>
      <w:r>
        <w:tab/>
        <w:t>(ii)</w:t>
      </w:r>
      <w:r>
        <w:tab/>
        <w:t>a tier 2 activity; or</w:t>
      </w:r>
    </w:p>
    <w:p>
      <w:pPr>
        <w:pStyle w:val="Indenti"/>
      </w:pPr>
      <w:r>
        <w:tab/>
        <w:t>(iii)</w:t>
      </w:r>
      <w:r>
        <w:tab/>
        <w:t>a tier 3 activity;</w:t>
      </w:r>
    </w:p>
    <w:p>
      <w:pPr>
        <w:pStyle w:val="Indenta"/>
      </w:pPr>
      <w:r>
        <w:tab/>
        <w:t>(c)</w:t>
      </w:r>
      <w:r>
        <w:tab/>
        <w:t>whether Aboriginal cultural heritage is located in the area where it is intended that the proposed activity be carried out;</w:t>
      </w:r>
    </w:p>
    <w:p>
      <w:pPr>
        <w:pStyle w:val="Indenta"/>
      </w:pPr>
      <w:r>
        <w:tab/>
        <w:t>(d)</w:t>
      </w:r>
      <w:r>
        <w:tab/>
        <w:t>whether there is a risk of harm being caused to Aboriginal cultural heritage by the proposed activity;</w:t>
      </w:r>
    </w:p>
    <w:p>
      <w:pPr>
        <w:pStyle w:val="Indenta"/>
      </w:pPr>
      <w:r>
        <w:tab/>
        <w:t>(e)</w:t>
      </w:r>
      <w:r>
        <w:tab/>
        <w:t>in relation to a proposed activity that has been assessed as a tier 2 activity or a tier 3 activity — the identity of the persons to be notified or the persons to be consulted about the proposed activity.</w:t>
      </w:r>
    </w:p>
    <w:p>
      <w:pPr>
        <w:pStyle w:val="Heading5"/>
      </w:pPr>
      <w:bookmarkStart w:id="147" w:name="_Toc154742773"/>
      <w:r>
        <w:rPr>
          <w:rStyle w:val="CharSectno"/>
        </w:rPr>
        <w:t>103</w:t>
      </w:r>
      <w:r>
        <w:t>.</w:t>
      </w:r>
      <w:r>
        <w:tab/>
        <w:t>Due diligence assessment not required for exempt activity</w:t>
      </w:r>
      <w:bookmarkEnd w:id="147"/>
    </w:p>
    <w:p>
      <w:pPr>
        <w:pStyle w:val="Subsection"/>
      </w:pPr>
      <w:r>
        <w:tab/>
      </w:r>
      <w:r>
        <w:tab/>
        <w:t>A due diligence assessment is not required in relation to an exempt activity.</w:t>
      </w:r>
    </w:p>
    <w:p>
      <w:pPr>
        <w:pStyle w:val="PermNoteHeading"/>
      </w:pPr>
      <w:r>
        <w:tab/>
        <w:t>Note for this section:</w:t>
      </w:r>
    </w:p>
    <w:p>
      <w:pPr>
        <w:pStyle w:val="PermNoteText"/>
      </w:pPr>
      <w:r>
        <w:tab/>
      </w:r>
      <w:r>
        <w:tab/>
        <w:t>However, a proponent is required to make an assessment about whether the area where it is intended that the exempt activity be carried out includes any area that is part of a protected area, see section 109.</w:t>
      </w:r>
    </w:p>
    <w:p>
      <w:pPr>
        <w:pStyle w:val="Heading5"/>
      </w:pPr>
      <w:bookmarkStart w:id="148" w:name="_Toc154742774"/>
      <w:r>
        <w:rPr>
          <w:rStyle w:val="CharSectno"/>
        </w:rPr>
        <w:t>104</w:t>
      </w:r>
      <w:r>
        <w:t>.</w:t>
      </w:r>
      <w:r>
        <w:tab/>
        <w:t>Proponent may seek confirmation about proposed activity</w:t>
      </w:r>
      <w:bookmarkEnd w:id="148"/>
    </w:p>
    <w:p>
      <w:pPr>
        <w:pStyle w:val="Subsection"/>
      </w:pPr>
      <w:r>
        <w:tab/>
        <w:t>(1)</w:t>
      </w:r>
      <w:r>
        <w:tab/>
        <w:t xml:space="preserve">A proponent who intends to carry out an activity in an area may request the CEO to provide a letter of advice to confirm whether the proposed activity is — </w:t>
      </w:r>
    </w:p>
    <w:p>
      <w:pPr>
        <w:pStyle w:val="Indenta"/>
      </w:pPr>
      <w:r>
        <w:tab/>
        <w:t>(a)</w:t>
      </w:r>
      <w:r>
        <w:tab/>
        <w:t>an exempt activity; or</w:t>
      </w:r>
    </w:p>
    <w:p>
      <w:pPr>
        <w:pStyle w:val="Indenta"/>
      </w:pPr>
      <w:r>
        <w:lastRenderedPageBreak/>
        <w:tab/>
        <w:t>(b)</w:t>
      </w:r>
      <w:r>
        <w:tab/>
        <w:t>a tier 1 activity; or</w:t>
      </w:r>
    </w:p>
    <w:p>
      <w:pPr>
        <w:pStyle w:val="Indenta"/>
      </w:pPr>
      <w:r>
        <w:tab/>
        <w:t>(c)</w:t>
      </w:r>
      <w:r>
        <w:tab/>
        <w:t>a tier 2 activity; or</w:t>
      </w:r>
    </w:p>
    <w:p>
      <w:pPr>
        <w:pStyle w:val="Indenta"/>
      </w:pPr>
      <w:r>
        <w:tab/>
        <w:t>(d)</w:t>
      </w:r>
      <w:r>
        <w:tab/>
        <w:t>a tier 3 activity.</w:t>
      </w:r>
    </w:p>
    <w:p>
      <w:pPr>
        <w:pStyle w:val="Subsection"/>
      </w:pPr>
      <w:r>
        <w:tab/>
        <w:t>(2)</w:t>
      </w:r>
      <w:r>
        <w:tab/>
        <w:t xml:space="preserve">A request under subsection (1) must — </w:t>
      </w:r>
    </w:p>
    <w:p>
      <w:pPr>
        <w:pStyle w:val="Indenta"/>
      </w:pPr>
      <w:r>
        <w:tab/>
        <w:t>(a)</w:t>
      </w:r>
      <w:r>
        <w:tab/>
        <w:t>be in writing; and</w:t>
      </w:r>
    </w:p>
    <w:p>
      <w:pPr>
        <w:pStyle w:val="Indenta"/>
      </w:pPr>
      <w:r>
        <w:tab/>
        <w:t>(b)</w:t>
      </w:r>
      <w:r>
        <w:tab/>
        <w:t xml:space="preserve">contain details of — </w:t>
      </w:r>
    </w:p>
    <w:p>
      <w:pPr>
        <w:pStyle w:val="Indenti"/>
      </w:pPr>
      <w:r>
        <w:tab/>
        <w:t>(i)</w:t>
      </w:r>
      <w:r>
        <w:tab/>
        <w:t>the proposed activity; and</w:t>
      </w:r>
    </w:p>
    <w:p>
      <w:pPr>
        <w:pStyle w:val="Indenti"/>
      </w:pPr>
      <w:r>
        <w:tab/>
        <w:t>(ii)</w:t>
      </w:r>
      <w:r>
        <w:tab/>
        <w:t>the area where the proposed activity is intended to be carried out.</w:t>
      </w:r>
    </w:p>
    <w:p>
      <w:pPr>
        <w:pStyle w:val="Subsection"/>
      </w:pPr>
      <w:r>
        <w:tab/>
        <w:t>(3)</w:t>
      </w:r>
      <w:r>
        <w:tab/>
        <w:t xml:space="preserve">On receipt of a request under subsection (1), the CEO must provide the proponent with the letter of advice if the CEO is satisfied that — </w:t>
      </w:r>
    </w:p>
    <w:p>
      <w:pPr>
        <w:pStyle w:val="Indenta"/>
      </w:pPr>
      <w:r>
        <w:tab/>
        <w:t>(a)</w:t>
      </w:r>
      <w:r>
        <w:tab/>
        <w:t>subsection (4) applies; and</w:t>
      </w:r>
    </w:p>
    <w:p>
      <w:pPr>
        <w:pStyle w:val="Indenta"/>
      </w:pPr>
      <w:r>
        <w:tab/>
        <w:t>(b)</w:t>
      </w:r>
      <w:r>
        <w:tab/>
        <w:t xml:space="preserve">the proposed activity described in the letter can be confirmed as — </w:t>
      </w:r>
    </w:p>
    <w:p>
      <w:pPr>
        <w:pStyle w:val="Indenti"/>
      </w:pPr>
      <w:r>
        <w:tab/>
        <w:t>(i)</w:t>
      </w:r>
      <w:r>
        <w:tab/>
        <w:t>an exempt activity; or</w:t>
      </w:r>
    </w:p>
    <w:p>
      <w:pPr>
        <w:pStyle w:val="Indenti"/>
      </w:pPr>
      <w:r>
        <w:tab/>
        <w:t>(ii)</w:t>
      </w:r>
      <w:r>
        <w:tab/>
        <w:t>a tier 1 activity; or</w:t>
      </w:r>
    </w:p>
    <w:p>
      <w:pPr>
        <w:pStyle w:val="Indenti"/>
      </w:pPr>
      <w:r>
        <w:tab/>
        <w:t>(iii)</w:t>
      </w:r>
      <w:r>
        <w:tab/>
        <w:t>a tier 2 activity; or</w:t>
      </w:r>
    </w:p>
    <w:p>
      <w:pPr>
        <w:pStyle w:val="Indenti"/>
      </w:pPr>
      <w:r>
        <w:tab/>
        <w:t>(iv)</w:t>
      </w:r>
      <w:r>
        <w:tab/>
        <w:t>a tier 3 activity.</w:t>
      </w:r>
    </w:p>
    <w:p>
      <w:pPr>
        <w:pStyle w:val="Subsection"/>
      </w:pPr>
      <w:r>
        <w:tab/>
        <w:t>(4)</w:t>
      </w:r>
      <w:r>
        <w:tab/>
        <w:t xml:space="preserve">A letter of advice under subsection (3) must only be provided by the CEO if the proposed activity described in the letter is an activity in relation to which there is uncertainty as to whether or not the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(5)</w:t>
      </w:r>
      <w:r>
        <w:tab/>
        <w:t xml:space="preserve">A letter of advice provided under subsection (3) may be used in evidence in proceedings for an offence under Part 5 Division 2 </w:t>
      </w:r>
      <w:r>
        <w:lastRenderedPageBreak/>
        <w:t>in relation to the carrying out of the activity described in the letter.</w:t>
      </w:r>
    </w:p>
    <w:p>
      <w:pPr>
        <w:pStyle w:val="Subsection"/>
      </w:pPr>
      <w:r>
        <w:tab/>
        <w:t>(6)</w:t>
      </w:r>
      <w:r>
        <w:tab/>
        <w:t>It is not a requirement for a proponent to request or obtain a letter of advice under this section before carrying out an activity in an area.</w:t>
      </w:r>
    </w:p>
    <w:p>
      <w:pPr>
        <w:pStyle w:val="Heading5"/>
      </w:pPr>
      <w:bookmarkStart w:id="149" w:name="_Toc154742775"/>
      <w:r>
        <w:rPr>
          <w:rStyle w:val="CharSectno"/>
        </w:rPr>
        <w:t>105</w:t>
      </w:r>
      <w:r>
        <w:t>.</w:t>
      </w:r>
      <w:r>
        <w:tab/>
        <w:t>Responsibility for undertaking due diligence assessment</w:t>
      </w:r>
      <w:bookmarkEnd w:id="149"/>
    </w:p>
    <w:p>
      <w:pPr>
        <w:pStyle w:val="Subsection"/>
      </w:pPr>
      <w:r>
        <w:tab/>
      </w:r>
      <w:r>
        <w:tab/>
        <w:t>It is the responsibility of the proponent for a proposed activity to undertake a due diligence assessment.</w:t>
      </w:r>
    </w:p>
    <w:p>
      <w:pPr>
        <w:pStyle w:val="Heading5"/>
      </w:pPr>
      <w:bookmarkStart w:id="150" w:name="_Toc154742776"/>
      <w:r>
        <w:rPr>
          <w:rStyle w:val="CharSectno"/>
        </w:rPr>
        <w:t>106</w:t>
      </w:r>
      <w:r>
        <w:t>.</w:t>
      </w:r>
      <w:r>
        <w:tab/>
        <w:t>Related agreement may be used to satisfy some due diligence requirements</w:t>
      </w:r>
      <w:bookmarkEnd w:id="150"/>
    </w:p>
    <w:p>
      <w:pPr>
        <w:pStyle w:val="Subsection"/>
      </w:pPr>
      <w:r>
        <w:tab/>
      </w:r>
      <w:r>
        <w:tab/>
        <w:t>Steps taken under a related agreement for an area to identify whether Aboriginal cultural heritage is located in the area, or to assess whether there is a risk of harm being caused to Aboriginal cultural heritage located in the area by an activity, may be used to satisfy the requirements of a due diligence assessment referred to in section 102(c) or (d) in relation to a proposed activity that the proponent intends to carry out in the area.</w:t>
      </w:r>
    </w:p>
    <w:p>
      <w:pPr>
        <w:pStyle w:val="Heading3"/>
      </w:pPr>
      <w:bookmarkStart w:id="151" w:name="_Toc154742777"/>
      <w:r>
        <w:rPr>
          <w:rStyle w:val="CharDivNo"/>
        </w:rPr>
        <w:t>Division 3</w:t>
      </w:r>
      <w:r>
        <w:t> — </w:t>
      </w:r>
      <w:r>
        <w:rPr>
          <w:rStyle w:val="CharDivText"/>
        </w:rPr>
        <w:t>Persons to be notified or persons to be consulted about activities or proposed activities</w:t>
      </w:r>
      <w:bookmarkEnd w:id="151"/>
    </w:p>
    <w:p>
      <w:pPr>
        <w:pStyle w:val="Heading5"/>
      </w:pPr>
      <w:bookmarkStart w:id="152" w:name="_Toc154742778"/>
      <w:r>
        <w:rPr>
          <w:rStyle w:val="CharSectno"/>
        </w:rPr>
        <w:t>107</w:t>
      </w:r>
      <w:r>
        <w:t>.</w:t>
      </w:r>
      <w:r>
        <w:tab/>
        <w:t>Persons to be notified or persons to be consulted about activities or proposed activities</w:t>
      </w:r>
      <w:bookmarkEnd w:id="152"/>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lastRenderedPageBreak/>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153" w:name="_Toc154742779"/>
      <w:r>
        <w:rPr>
          <w:rStyle w:val="CharSectno"/>
        </w:rPr>
        <w:t>108</w:t>
      </w:r>
      <w:r>
        <w:t>.</w:t>
      </w:r>
      <w:r>
        <w:tab/>
        <w:t>Assistance to identify persons to be notified or persons to be consulted</w:t>
      </w:r>
      <w:bookmarkEnd w:id="153"/>
    </w:p>
    <w:p>
      <w:pPr>
        <w:pStyle w:val="Subsection"/>
      </w:pPr>
      <w:r>
        <w:tab/>
        <w:t>(1)</w:t>
      </w:r>
      <w:r>
        <w:tab/>
        <w:t>A proponent may request the assistance of the CEO to identify the persons to be notified or the persons to be consulted about an activity that a proponent is carrying out, or a proposed activity that the proponent intends to carry out, in an area.</w:t>
      </w:r>
    </w:p>
    <w:p>
      <w:pPr>
        <w:pStyle w:val="Subsection"/>
      </w:pPr>
      <w:r>
        <w:tab/>
        <w:t>(2)</w:t>
      </w:r>
      <w:r>
        <w:tab/>
        <w:t>In response to a request under subsection (1), the CEO must provide the proponent with reasonable assistance to identify the persons.</w:t>
      </w:r>
    </w:p>
    <w:p>
      <w:pPr>
        <w:pStyle w:val="Heading3"/>
      </w:pPr>
      <w:bookmarkStart w:id="154" w:name="_Toc154742780"/>
      <w:r>
        <w:rPr>
          <w:rStyle w:val="CharDivNo"/>
        </w:rPr>
        <w:t>Division 4</w:t>
      </w:r>
      <w:r>
        <w:t> — </w:t>
      </w:r>
      <w:r>
        <w:rPr>
          <w:rStyle w:val="CharDivText"/>
        </w:rPr>
        <w:t>Authority to carry out activity that may harm Aboriginal cultural heritage</w:t>
      </w:r>
      <w:bookmarkEnd w:id="154"/>
    </w:p>
    <w:p>
      <w:pPr>
        <w:pStyle w:val="Heading5"/>
      </w:pPr>
      <w:bookmarkStart w:id="155" w:name="_Toc154742781"/>
      <w:r>
        <w:rPr>
          <w:rStyle w:val="CharSectno"/>
        </w:rPr>
        <w:t>109</w:t>
      </w:r>
      <w:r>
        <w:t>.</w:t>
      </w:r>
      <w:r>
        <w:tab/>
        <w:t>Authority to carry out exempt activity</w:t>
      </w:r>
      <w:bookmarkEnd w:id="155"/>
    </w:p>
    <w:p>
      <w:pPr>
        <w:pStyle w:val="Subsection"/>
      </w:pPr>
      <w:r>
        <w:tab/>
      </w:r>
      <w:r>
        <w:tab/>
        <w:t xml:space="preserve">A person is authorised to carry out an activity that may harm Aboriginal cultural heritage if — </w:t>
      </w:r>
    </w:p>
    <w:p>
      <w:pPr>
        <w:pStyle w:val="Indenta"/>
      </w:pPr>
      <w:r>
        <w:tab/>
        <w:t>(a)</w:t>
      </w:r>
      <w:r>
        <w:tab/>
        <w:t>the activity is an exempt activity; and</w:t>
      </w:r>
    </w:p>
    <w:p>
      <w:pPr>
        <w:pStyle w:val="Indenta"/>
      </w:pPr>
      <w:r>
        <w:lastRenderedPageBreak/>
        <w:tab/>
        <w:t>(b)</w:t>
      </w:r>
      <w:r>
        <w:tab/>
        <w:t>the area where the activity is carried out does not include any area that is part of a protected area.</w:t>
      </w:r>
    </w:p>
    <w:p>
      <w:pPr>
        <w:pStyle w:val="Heading5"/>
      </w:pPr>
      <w:bookmarkStart w:id="156" w:name="_Toc154742782"/>
      <w:r>
        <w:rPr>
          <w:rStyle w:val="CharSectno"/>
        </w:rPr>
        <w:t>110</w:t>
      </w:r>
      <w:r>
        <w:t>.</w:t>
      </w:r>
      <w:r>
        <w:tab/>
        <w:t>Authority to carry out tier 1 activity that may harm Aboriginal cultural heritage</w:t>
      </w:r>
      <w:bookmarkEnd w:id="156"/>
    </w:p>
    <w:p>
      <w:pPr>
        <w:pStyle w:val="Subsection"/>
      </w:pPr>
      <w:r>
        <w:tab/>
      </w:r>
      <w:r>
        <w:tab/>
        <w:t xml:space="preserve">A person is authorised to carry out an activity that may harm Aboriginal cultural heritage if — </w:t>
      </w:r>
    </w:p>
    <w:p>
      <w:pPr>
        <w:pStyle w:val="Indenta"/>
      </w:pPr>
      <w:r>
        <w:tab/>
        <w:t>(a)</w:t>
      </w:r>
      <w:r>
        <w:tab/>
        <w:t>the activity is a tier 1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takes all reasonable steps possible to avoid, or minimise, the risk of harm being caused to Aboriginal cultural heritage by the activity.</w:t>
      </w:r>
    </w:p>
    <w:p>
      <w:pPr>
        <w:pStyle w:val="PermNoteHeading"/>
      </w:pPr>
      <w:r>
        <w:tab/>
        <w:t>Note for this section:</w:t>
      </w:r>
    </w:p>
    <w:p>
      <w:pPr>
        <w:pStyle w:val="PermNoteText"/>
      </w:pPr>
      <w:r>
        <w:tab/>
      </w:r>
      <w:r>
        <w:tab/>
        <w:t>The duty to mitigate set out in paragraph (d) applies in relation to Aboriginal cultural heritage in an area even if an assessment was made, in undertaking a due diligence assessment, that Aboriginal cultural heritage was not located in the area.</w:t>
      </w:r>
    </w:p>
    <w:p>
      <w:pPr>
        <w:pStyle w:val="Heading5"/>
      </w:pPr>
      <w:bookmarkStart w:id="157" w:name="_Toc154742783"/>
      <w:r>
        <w:rPr>
          <w:rStyle w:val="CharSectno"/>
        </w:rPr>
        <w:t>111</w:t>
      </w:r>
      <w:r>
        <w:t>.</w:t>
      </w:r>
      <w:r>
        <w:tab/>
        <w:t>Authority to carry out tier 2 activity that may harm Aboriginal cultural heritage</w:t>
      </w:r>
      <w:bookmarkEnd w:id="157"/>
    </w:p>
    <w:p>
      <w:pPr>
        <w:pStyle w:val="Subsection"/>
      </w:pPr>
      <w:r>
        <w:tab/>
      </w:r>
      <w:r>
        <w:tab/>
        <w:t xml:space="preserve">A person is authorised to carry out an activity that may harm Aboriginal cultural heritage if — </w:t>
      </w:r>
    </w:p>
    <w:p>
      <w:pPr>
        <w:pStyle w:val="Indenta"/>
      </w:pPr>
      <w:r>
        <w:tab/>
        <w:t>(a)</w:t>
      </w:r>
      <w:r>
        <w:tab/>
        <w:t>the activity is a tier 2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 xml:space="preserve">the person carries out the activity in accordance with — </w:t>
      </w:r>
    </w:p>
    <w:p>
      <w:pPr>
        <w:pStyle w:val="Indenti"/>
      </w:pPr>
      <w:r>
        <w:tab/>
        <w:t>(i)</w:t>
      </w:r>
      <w:r>
        <w:tab/>
        <w:t>an ACH permit; or</w:t>
      </w:r>
    </w:p>
    <w:p>
      <w:pPr>
        <w:pStyle w:val="Indenti"/>
      </w:pPr>
      <w:r>
        <w:lastRenderedPageBreak/>
        <w:tab/>
        <w:t>(ii)</w:t>
      </w:r>
      <w:r>
        <w:tab/>
        <w:t>an approved or authorised ACH management plan.</w:t>
      </w:r>
    </w:p>
    <w:p>
      <w:pPr>
        <w:pStyle w:val="Heading5"/>
      </w:pPr>
      <w:bookmarkStart w:id="158" w:name="_Toc154742784"/>
      <w:r>
        <w:rPr>
          <w:rStyle w:val="CharSectno"/>
        </w:rPr>
        <w:t>112</w:t>
      </w:r>
      <w:r>
        <w:t>.</w:t>
      </w:r>
      <w:r>
        <w:tab/>
        <w:t>Authority to carry out tier 3 activity that may harm Aboriginal cultural heritage</w:t>
      </w:r>
      <w:bookmarkEnd w:id="158"/>
    </w:p>
    <w:p>
      <w:pPr>
        <w:pStyle w:val="Subsection"/>
      </w:pPr>
      <w:r>
        <w:tab/>
      </w:r>
      <w:r>
        <w:tab/>
        <w:t xml:space="preserve">A person is authorised to carry out an activity that may harm Aboriginal cultural heritage if — </w:t>
      </w:r>
    </w:p>
    <w:p>
      <w:pPr>
        <w:pStyle w:val="Indenta"/>
      </w:pPr>
      <w:r>
        <w:tab/>
        <w:t>(a)</w:t>
      </w:r>
      <w:r>
        <w:tab/>
        <w:t>the activity is a tier 3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carries out the activity in accordance with an approved or authorised ACH management plan.</w:t>
      </w:r>
    </w:p>
    <w:p>
      <w:pPr>
        <w:pStyle w:val="Heading3"/>
      </w:pPr>
      <w:bookmarkStart w:id="159" w:name="_Toc154742785"/>
      <w:r>
        <w:rPr>
          <w:rStyle w:val="CharDivNo"/>
        </w:rPr>
        <w:t>Division 5</w:t>
      </w:r>
      <w:r>
        <w:t> — </w:t>
      </w:r>
      <w:r>
        <w:rPr>
          <w:rStyle w:val="CharDivText"/>
        </w:rPr>
        <w:t>ACH permits</w:t>
      </w:r>
      <w:bookmarkEnd w:id="159"/>
    </w:p>
    <w:p>
      <w:pPr>
        <w:pStyle w:val="Heading4"/>
      </w:pPr>
      <w:bookmarkStart w:id="160" w:name="_Toc154742786"/>
      <w:r>
        <w:t>Subdivision 1 — Notice of intention to carry out tier 2 activity</w:t>
      </w:r>
      <w:bookmarkEnd w:id="160"/>
    </w:p>
    <w:p>
      <w:pPr>
        <w:pStyle w:val="Heading5"/>
      </w:pPr>
      <w:bookmarkStart w:id="161" w:name="_Toc154742787"/>
      <w:r>
        <w:rPr>
          <w:rStyle w:val="CharSectno"/>
        </w:rPr>
        <w:t>113</w:t>
      </w:r>
      <w:r>
        <w:t>.</w:t>
      </w:r>
      <w:r>
        <w:tab/>
        <w:t>Notice of intention to carry out tier 2 activity</w:t>
      </w:r>
      <w:bookmarkEnd w:id="161"/>
    </w:p>
    <w:p>
      <w:pPr>
        <w:pStyle w:val="Subsection"/>
      </w:pPr>
      <w:r>
        <w:tab/>
      </w:r>
      <w:r>
        <w:tab/>
        <w:t xml:space="preserve">A proponent who intends to carry out a tier 2 activity in an area that may harm Aboriginal cultural heritage must give to each of the persons to be notified about the activity — </w:t>
      </w:r>
    </w:p>
    <w:p>
      <w:pPr>
        <w:pStyle w:val="Indenta"/>
      </w:pPr>
      <w:r>
        <w:tab/>
        <w:t>(a)</w:t>
      </w:r>
      <w:r>
        <w:tab/>
        <w:t xml:space="preserve">written notice providing details of — </w:t>
      </w:r>
    </w:p>
    <w:p>
      <w:pPr>
        <w:pStyle w:val="Indenti"/>
      </w:pPr>
      <w:r>
        <w:tab/>
        <w:t>(i)</w:t>
      </w:r>
      <w:r>
        <w:tab/>
        <w:t>the proposed activity; and</w:t>
      </w:r>
    </w:p>
    <w:p>
      <w:pPr>
        <w:pStyle w:val="Indenti"/>
      </w:pPr>
      <w:r>
        <w:tab/>
        <w:t>(ii)</w:t>
      </w:r>
      <w:r>
        <w:tab/>
        <w:t>the area where the proponent intends to carry out the activity;</w:t>
      </w:r>
    </w:p>
    <w:p>
      <w:pPr>
        <w:pStyle w:val="Indenta"/>
      </w:pPr>
      <w:r>
        <w:tab/>
      </w:r>
      <w:r>
        <w:tab/>
        <w:t>and</w:t>
      </w:r>
    </w:p>
    <w:p>
      <w:pPr>
        <w:pStyle w:val="Indenta"/>
      </w:pPr>
      <w:r>
        <w:tab/>
        <w:t>(b)</w:t>
      </w:r>
      <w:r>
        <w:tab/>
        <w:t>an opportunity to submit to the proponent, within the prescribed period, a statement about the person’s views about the risk of harm being caused to Aboriginal cultural heritage located in the area by the proposed activity.</w:t>
      </w:r>
    </w:p>
    <w:p>
      <w:pPr>
        <w:pStyle w:val="Heading5"/>
      </w:pPr>
      <w:bookmarkStart w:id="162" w:name="_Toc154742788"/>
      <w:r>
        <w:rPr>
          <w:rStyle w:val="CharSectno"/>
        </w:rPr>
        <w:lastRenderedPageBreak/>
        <w:t>114</w:t>
      </w:r>
      <w:r>
        <w:t>.</w:t>
      </w:r>
      <w:r>
        <w:tab/>
        <w:t>Notification carried out under related agreement</w:t>
      </w:r>
      <w:bookmarkEnd w:id="162"/>
    </w:p>
    <w:p>
      <w:pPr>
        <w:pStyle w:val="Subsection"/>
      </w:pPr>
      <w:r>
        <w:tab/>
      </w:r>
      <w:r>
        <w:tab/>
        <w:t>Notification carried out in an area in accordance with a related agreement may be used to satisfy the notice requirements in section 113 in relation to the area to the extent that the notification complies with the requirements set out in that section.</w:t>
      </w:r>
    </w:p>
    <w:p>
      <w:pPr>
        <w:pStyle w:val="Heading4"/>
      </w:pPr>
      <w:bookmarkStart w:id="163" w:name="_Toc154742789"/>
      <w:r>
        <w:t>Subdivision 2 — Grant of ACH permit</w:t>
      </w:r>
      <w:bookmarkEnd w:id="163"/>
    </w:p>
    <w:p>
      <w:pPr>
        <w:pStyle w:val="Heading5"/>
      </w:pPr>
      <w:bookmarkStart w:id="164" w:name="_Toc154742790"/>
      <w:r>
        <w:rPr>
          <w:rStyle w:val="CharSectno"/>
        </w:rPr>
        <w:t>115</w:t>
      </w:r>
      <w:r>
        <w:t>.</w:t>
      </w:r>
      <w:r>
        <w:tab/>
        <w:t>Application for ACH permit</w:t>
      </w:r>
      <w:bookmarkEnd w:id="164"/>
    </w:p>
    <w:p>
      <w:pPr>
        <w:pStyle w:val="Subsection"/>
      </w:pPr>
      <w:r>
        <w:tab/>
        <w:t>(1)</w:t>
      </w:r>
      <w:r>
        <w:tab/>
        <w:t xml:space="preserve">At the end of the period for submissions referred to in section 113(b), a proponent who intends to carry out a tier 2 activity in an area may apply for an Aboriginal cultural heritage permit (an </w:t>
      </w:r>
      <w:r>
        <w:rPr>
          <w:rStyle w:val="CharDefText"/>
        </w:rPr>
        <w:t>ACH permit</w:t>
      </w:r>
      <w:r>
        <w:t>) to carry out the activity.</w:t>
      </w:r>
    </w:p>
    <w:p>
      <w:pPr>
        <w:pStyle w:val="Subsection"/>
      </w:pPr>
      <w:r>
        <w:tab/>
        <w:t>(2)</w:t>
      </w:r>
      <w:r>
        <w:tab/>
        <w:t xml:space="preserve">An application for an ACH permit must — </w:t>
      </w:r>
    </w:p>
    <w:p>
      <w:pPr>
        <w:pStyle w:val="Indenta"/>
      </w:pPr>
      <w:r>
        <w:tab/>
        <w:t>(a)</w:t>
      </w:r>
      <w:r>
        <w:tab/>
        <w:t>be made to the ACH Council in the approved form; and</w:t>
      </w:r>
    </w:p>
    <w:p>
      <w:pPr>
        <w:pStyle w:val="Indenta"/>
      </w:pPr>
      <w:r>
        <w:tab/>
        <w:t>(b)</w:t>
      </w:r>
      <w:r>
        <w:tab/>
        <w:t>contain details of the proposed activity and the area to which the permit is intended to relate; and</w:t>
      </w:r>
    </w:p>
    <w:p>
      <w:pPr>
        <w:pStyle w:val="Indenta"/>
      </w:pPr>
      <w:r>
        <w:tab/>
        <w:t>(c)</w:t>
      </w:r>
      <w:r>
        <w:tab/>
        <w:t xml:space="preserve">identify — </w:t>
      </w:r>
    </w:p>
    <w:p>
      <w:pPr>
        <w:pStyle w:val="Indenti"/>
      </w:pPr>
      <w:r>
        <w:tab/>
        <w:t>(i)</w:t>
      </w:r>
      <w:r>
        <w:tab/>
        <w:t>the Aboriginal cultural heritage located in the area to which the permit is intended to relate,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(d)</w:t>
      </w:r>
      <w:r>
        <w:tab/>
        <w:t xml:space="preserve">identify — </w:t>
      </w:r>
    </w:p>
    <w:p>
      <w:pPr>
        <w:pStyle w:val="Indenti"/>
      </w:pPr>
      <w:r>
        <w:tab/>
        <w:t>(i)</w:t>
      </w:r>
      <w:r>
        <w:tab/>
        <w:t xml:space="preserve">whether there is a risk of harm being caused to Aboriginal cultural heritage by the proposed activity, as assessed in undertaking a due </w:t>
      </w:r>
      <w:r>
        <w:lastRenderedPageBreak/>
        <w:t>diligence assessment in relation to the carrying out of the proposed activity; and</w:t>
      </w:r>
    </w:p>
    <w:p>
      <w:pPr>
        <w:pStyle w:val="Indenti"/>
      </w:pPr>
      <w:r>
        <w:tab/>
        <w:t>(ii)</w:t>
      </w:r>
      <w:r>
        <w:tab/>
        <w:t>if a risk of harm has been identified, that risk of harm and the Aboriginal cultural heritage that is at risk of harm;</w:t>
      </w:r>
    </w:p>
    <w:p>
      <w:pPr>
        <w:pStyle w:val="Indenta"/>
      </w:pPr>
      <w:r>
        <w:tab/>
      </w:r>
      <w:r>
        <w:tab/>
        <w:t>and</w:t>
      </w:r>
    </w:p>
    <w:p>
      <w:pPr>
        <w:pStyle w:val="Indenta"/>
      </w:pPr>
      <w:r>
        <w:tab/>
        <w:t>(e)</w:t>
      </w:r>
      <w:r>
        <w:tab/>
        <w:t>include details of the notice given under section 113(a), including details of the persons who were notified; and</w:t>
      </w:r>
    </w:p>
    <w:p>
      <w:pPr>
        <w:pStyle w:val="Indenta"/>
      </w:pPr>
      <w:r>
        <w:tab/>
        <w:t>(f)</w:t>
      </w:r>
      <w:r>
        <w:tab/>
        <w:t>set out how the proposed activity will be managed to avoid, or minimise, the risk of harm being caused to Aboriginal cultural heritage by the activity, including a clear explanation of the steps, if any, that will be taken to avoid, or minimise, that risk; and</w:t>
      </w:r>
    </w:p>
    <w:p>
      <w:pPr>
        <w:pStyle w:val="Indenta"/>
      </w:pPr>
      <w:r>
        <w:tab/>
        <w:t>(g)</w:t>
      </w:r>
      <w:r>
        <w:tab/>
        <w:t>include any submissions made to the proponent under section 113(b); and</w:t>
      </w:r>
    </w:p>
    <w:p>
      <w:pPr>
        <w:pStyle w:val="Indenta"/>
      </w:pPr>
      <w:r>
        <w:tab/>
        <w:t>(h)</w:t>
      </w:r>
      <w:r>
        <w:tab/>
        <w:t>be accompanied by the documents or information, if any, prescribed for the purposes of this paragraph.</w:t>
      </w:r>
    </w:p>
    <w:p>
      <w:pPr>
        <w:pStyle w:val="Heading5"/>
      </w:pPr>
      <w:bookmarkStart w:id="165" w:name="_Toc154742791"/>
      <w:r>
        <w:rPr>
          <w:rStyle w:val="CharSectno"/>
        </w:rPr>
        <w:t>116</w:t>
      </w:r>
      <w:r>
        <w:t>.</w:t>
      </w:r>
      <w:r>
        <w:tab/>
        <w:t>Further information in support of application</w:t>
      </w:r>
      <w:bookmarkEnd w:id="165"/>
    </w:p>
    <w:p>
      <w:pPr>
        <w:pStyle w:val="Subsection"/>
      </w:pPr>
      <w:r>
        <w:tab/>
        <w:t>(1)</w:t>
      </w:r>
      <w:r>
        <w:tab/>
        <w:t xml:space="preserve">The ACH Council may make a written request to an applicant for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166" w:name="_Toc154742792"/>
      <w:r>
        <w:rPr>
          <w:rStyle w:val="CharSectno"/>
        </w:rPr>
        <w:t>117</w:t>
      </w:r>
      <w:r>
        <w:t>.</w:t>
      </w:r>
      <w:r>
        <w:tab/>
        <w:t>ACH Council may refuse to consider some applications</w:t>
      </w:r>
      <w:bookmarkEnd w:id="166"/>
    </w:p>
    <w:p>
      <w:pPr>
        <w:pStyle w:val="Subsection"/>
      </w:pPr>
      <w:r>
        <w:tab/>
      </w:r>
      <w:r>
        <w:tab/>
        <w:t xml:space="preserve">The ACH Council may refuse to consider, or consider further, an application for an ACH permit if — </w:t>
      </w:r>
    </w:p>
    <w:p>
      <w:pPr>
        <w:pStyle w:val="Indenta"/>
      </w:pPr>
      <w:r>
        <w:tab/>
        <w:t>(a)</w:t>
      </w:r>
      <w:r>
        <w:tab/>
        <w:t>the application is not made in accordance with this Act; or</w:t>
      </w:r>
    </w:p>
    <w:p>
      <w:pPr>
        <w:pStyle w:val="Indenta"/>
      </w:pPr>
      <w:r>
        <w:lastRenderedPageBreak/>
        <w:tab/>
        <w:t>(b)</w:t>
      </w:r>
      <w:r>
        <w:tab/>
        <w:t>the applicant has not complied with a request under section 116.</w:t>
      </w:r>
    </w:p>
    <w:p>
      <w:pPr>
        <w:pStyle w:val="Heading5"/>
      </w:pPr>
      <w:bookmarkStart w:id="167" w:name="_Toc154742793"/>
      <w:r>
        <w:rPr>
          <w:rStyle w:val="CharSectno"/>
        </w:rPr>
        <w:t>118</w:t>
      </w:r>
      <w:r>
        <w:t>.</w:t>
      </w:r>
      <w:r>
        <w:tab/>
        <w:t>ACH Council to give notice of application</w:t>
      </w:r>
      <w:bookmarkEnd w:id="167"/>
    </w:p>
    <w:p>
      <w:pPr>
        <w:pStyle w:val="Subsection"/>
      </w:pPr>
      <w:r>
        <w:tab/>
        <w:t>(1)</w:t>
      </w:r>
      <w:r>
        <w:tab/>
        <w:t>On receipt of an application under section 115(1),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168" w:name="_Toc154742794"/>
      <w:r>
        <w:rPr>
          <w:rStyle w:val="CharSectno"/>
        </w:rPr>
        <w:t>119</w:t>
      </w:r>
      <w:r>
        <w:t>.</w:t>
      </w:r>
      <w:r>
        <w:tab/>
        <w:t>Decision of ACH Council on application for ACH permit</w:t>
      </w:r>
      <w:bookmarkEnd w:id="168"/>
    </w:p>
    <w:p>
      <w:pPr>
        <w:pStyle w:val="Subsection"/>
      </w:pPr>
      <w:r>
        <w:tab/>
        <w:t>(1)</w:t>
      </w:r>
      <w:r>
        <w:tab/>
        <w:t xml:space="preserve">The ACH Council must — </w:t>
      </w:r>
    </w:p>
    <w:p>
      <w:pPr>
        <w:pStyle w:val="Indenta"/>
      </w:pPr>
      <w:r>
        <w:tab/>
        <w:t>(a)</w:t>
      </w:r>
      <w:r>
        <w:tab/>
        <w:t>assess each application for an ACH permit in accordance with section 120(1); and</w:t>
      </w:r>
    </w:p>
    <w:p>
      <w:pPr>
        <w:pStyle w:val="Indenta"/>
      </w:pPr>
      <w:r>
        <w:tab/>
        <w:t>(b)</w:t>
      </w:r>
      <w:r>
        <w:tab/>
        <w:t xml:space="preserve">have regard to — </w:t>
      </w:r>
    </w:p>
    <w:p>
      <w:pPr>
        <w:pStyle w:val="Indenti"/>
      </w:pPr>
      <w:r>
        <w:tab/>
        <w:t>(i)</w:t>
      </w:r>
      <w:r>
        <w:tab/>
        <w:t>any submissions made to the proponent under section 113(b); and</w:t>
      </w:r>
    </w:p>
    <w:p>
      <w:pPr>
        <w:pStyle w:val="Indenti"/>
      </w:pPr>
      <w:r>
        <w:tab/>
        <w:t>(ii)</w:t>
      </w:r>
      <w:r>
        <w:tab/>
        <w:t>any further information provided in response to a request under section 116(1); and</w:t>
      </w:r>
    </w:p>
    <w:p>
      <w:pPr>
        <w:pStyle w:val="Indenti"/>
      </w:pPr>
      <w:r>
        <w:tab/>
        <w:t>(iii)</w:t>
      </w:r>
      <w:r>
        <w:tab/>
        <w:t>any submissions made to the Council under section 118(2);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grant an ACH permit; or</w:t>
      </w:r>
    </w:p>
    <w:p>
      <w:pPr>
        <w:pStyle w:val="Indenti"/>
      </w:pPr>
      <w:r>
        <w:tab/>
        <w:t>(ii)</w:t>
      </w:r>
      <w:r>
        <w:tab/>
        <w:t>otherwise, to refuse to grant an ACH permit.</w:t>
      </w:r>
    </w:p>
    <w:p>
      <w:pPr>
        <w:pStyle w:val="Subsection"/>
      </w:pPr>
      <w:r>
        <w:tab/>
        <w:t>(2)</w:t>
      </w:r>
      <w:r>
        <w:tab/>
        <w:t>A decision on an application must be made by the ACH Council within the prescribed period.</w:t>
      </w:r>
    </w:p>
    <w:p>
      <w:pPr>
        <w:pStyle w:val="Subsection"/>
      </w:pPr>
      <w:r>
        <w:lastRenderedPageBreak/>
        <w:tab/>
        <w:t>(3)</w:t>
      </w:r>
      <w:r>
        <w:tab/>
        <w:t xml:space="preserve">The prescribed period for making a decision on an application does not include any period commencing on the day on which a request is made under section 116(1)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decide the application in accordance with this Subdivision.</w:t>
      </w:r>
    </w:p>
    <w:p>
      <w:pPr>
        <w:pStyle w:val="Subsection"/>
      </w:pPr>
      <w:r>
        <w:tab/>
        <w:t>(7)</w:t>
      </w:r>
      <w:r>
        <w:tab/>
        <w:t xml:space="preserve">The ACH Council must give written notice of the Council’s decision to — </w:t>
      </w:r>
    </w:p>
    <w:p>
      <w:pPr>
        <w:pStyle w:val="Indenta"/>
      </w:pPr>
      <w:r>
        <w:tab/>
        <w:t>(a)</w:t>
      </w:r>
      <w:r>
        <w:tab/>
        <w:t>the applicant for the ACH permit; and</w:t>
      </w:r>
    </w:p>
    <w:p>
      <w:pPr>
        <w:pStyle w:val="Indenta"/>
      </w:pPr>
      <w:r>
        <w:tab/>
        <w:t>(b)</w:t>
      </w:r>
      <w:r>
        <w:tab/>
        <w:t>each of the persons to be notified about the activity to which the application relates.</w:t>
      </w:r>
    </w:p>
    <w:p>
      <w:pPr>
        <w:pStyle w:val="Heading5"/>
      </w:pPr>
      <w:bookmarkStart w:id="169" w:name="_Toc154742795"/>
      <w:r>
        <w:rPr>
          <w:rStyle w:val="CharSectno"/>
        </w:rPr>
        <w:t>120</w:t>
      </w:r>
      <w:r>
        <w:t>.</w:t>
      </w:r>
      <w:r>
        <w:tab/>
        <w:t>Grant of ACH permit</w:t>
      </w:r>
      <w:bookmarkEnd w:id="169"/>
    </w:p>
    <w:p>
      <w:pPr>
        <w:pStyle w:val="Subsection"/>
      </w:pPr>
      <w:r>
        <w:tab/>
        <w:t>(1)</w:t>
      </w:r>
      <w:r>
        <w:tab/>
        <w:t xml:space="preserve">The ACH Council must grant an ACH permit if satisfied — </w:t>
      </w:r>
    </w:p>
    <w:p>
      <w:pPr>
        <w:pStyle w:val="Indenta"/>
      </w:pPr>
      <w:r>
        <w:tab/>
        <w:t>(a)</w:t>
      </w:r>
      <w:r>
        <w:tab/>
        <w:t>that the proposed activity is a tier 2 activity; and</w:t>
      </w:r>
    </w:p>
    <w:p>
      <w:pPr>
        <w:pStyle w:val="Indenta"/>
      </w:pPr>
      <w:r>
        <w:tab/>
        <w:t>(b)</w:t>
      </w:r>
      <w:r>
        <w:tab/>
        <w:t>that the area where the applicant intends to carry out the activity does not include any area that is part of a protected area; and</w:t>
      </w:r>
    </w:p>
    <w:p>
      <w:pPr>
        <w:pStyle w:val="Indenta"/>
      </w:pPr>
      <w:r>
        <w:lastRenderedPageBreak/>
        <w:tab/>
        <w:t>(c)</w:t>
      </w:r>
      <w:r>
        <w:tab/>
        <w:t>that each of the persons to be notified about the proposed activity under section 113(a) has been so notified; and</w:t>
      </w:r>
    </w:p>
    <w:p>
      <w:pPr>
        <w:pStyle w:val="Indenta"/>
      </w:pPr>
      <w:r>
        <w:tab/>
        <w:t>(d)</w:t>
      </w:r>
      <w:r>
        <w:tab/>
        <w:t>that the applicant will take all reasonable steps possible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The ACH Council must refuse to grant an ACH permit if it is not satisfied as to the matters referred to in subsection (1).</w:t>
      </w:r>
    </w:p>
    <w:p>
      <w:pPr>
        <w:pStyle w:val="Subsection"/>
      </w:pPr>
      <w:r>
        <w:tab/>
        <w:t>(3)</w:t>
      </w:r>
      <w:r>
        <w:tab/>
        <w:t xml:space="preserve">An ACH permit must be in an approved form and include details of the following — </w:t>
      </w:r>
    </w:p>
    <w:p>
      <w:pPr>
        <w:pStyle w:val="Indenta"/>
      </w:pPr>
      <w:r>
        <w:tab/>
        <w:t>(a)</w:t>
      </w:r>
      <w:r>
        <w:tab/>
        <w:t>the person to whom the permit is granted;</w:t>
      </w:r>
    </w:p>
    <w:p>
      <w:pPr>
        <w:pStyle w:val="Indenta"/>
      </w:pPr>
      <w:r>
        <w:tab/>
        <w:t>(b)</w:t>
      </w:r>
      <w:r>
        <w:tab/>
        <w:t>the activity to which the permit relates;</w:t>
      </w:r>
    </w:p>
    <w:p>
      <w:pPr>
        <w:pStyle w:val="Indenta"/>
      </w:pPr>
      <w:r>
        <w:tab/>
        <w:t>(c)</w:t>
      </w:r>
      <w:r>
        <w:tab/>
        <w:t>the area to which the permit relates;</w:t>
      </w:r>
    </w:p>
    <w:p>
      <w:pPr>
        <w:pStyle w:val="Indenta"/>
      </w:pPr>
      <w:r>
        <w:tab/>
        <w:t>(d)</w:t>
      </w:r>
      <w:r>
        <w:tab/>
        <w:t>when the permit comes into effect;</w:t>
      </w:r>
    </w:p>
    <w:p>
      <w:pPr>
        <w:pStyle w:val="Indenta"/>
      </w:pPr>
      <w:r>
        <w:tab/>
        <w:t>(e)</w:t>
      </w:r>
      <w:r>
        <w:tab/>
        <w:t>the conditions to which the permit is subject;</w:t>
      </w:r>
    </w:p>
    <w:p>
      <w:pPr>
        <w:pStyle w:val="Indenta"/>
      </w:pPr>
      <w:r>
        <w:tab/>
        <w:t>(f)</w:t>
      </w:r>
      <w:r>
        <w:tab/>
        <w:t>the other matters, if any, prescribed for the purposes of this paragraph.</w:t>
      </w:r>
    </w:p>
    <w:p>
      <w:pPr>
        <w:pStyle w:val="Heading5"/>
      </w:pPr>
      <w:bookmarkStart w:id="170" w:name="_Toc154742796"/>
      <w:r>
        <w:rPr>
          <w:rStyle w:val="CharSectno"/>
        </w:rPr>
        <w:t>121</w:t>
      </w:r>
      <w:r>
        <w:t>.</w:t>
      </w:r>
      <w:r>
        <w:tab/>
        <w:t>Duration of ACH permit</w:t>
      </w:r>
      <w:bookmarkEnd w:id="170"/>
    </w:p>
    <w:p>
      <w:pPr>
        <w:pStyle w:val="Subsection"/>
      </w:pPr>
      <w:r>
        <w:tab/>
      </w:r>
      <w:r>
        <w:tab/>
        <w:t xml:space="preserve">An ACH permit — </w:t>
      </w:r>
    </w:p>
    <w:p>
      <w:pPr>
        <w:pStyle w:val="Indenta"/>
      </w:pPr>
      <w:r>
        <w:tab/>
        <w:t>(a)</w:t>
      </w:r>
      <w:r>
        <w:tab/>
        <w:t xml:space="preserve">takes effect — </w:t>
      </w:r>
    </w:p>
    <w:p>
      <w:pPr>
        <w:pStyle w:val="Indenti"/>
      </w:pPr>
      <w:r>
        <w:tab/>
        <w:t>(i)</w:t>
      </w:r>
      <w:r>
        <w:tab/>
        <w:t xml:space="preserve">when it is granted; or </w:t>
      </w:r>
    </w:p>
    <w:p>
      <w:pPr>
        <w:pStyle w:val="Indenti"/>
      </w:pPr>
      <w:r>
        <w:tab/>
        <w:t>(ii)</w:t>
      </w:r>
      <w:r>
        <w:tab/>
        <w:t>on a later day, if any, specified in the permit;</w:t>
      </w:r>
    </w:p>
    <w:p>
      <w:pPr>
        <w:pStyle w:val="Indenta"/>
      </w:pPr>
      <w:r>
        <w:tab/>
      </w:r>
      <w:r>
        <w:tab/>
        <w:t>and</w:t>
      </w:r>
    </w:p>
    <w:p>
      <w:pPr>
        <w:pStyle w:val="Indenta"/>
      </w:pPr>
      <w:r>
        <w:tab/>
        <w:t>(b)</w:t>
      </w:r>
      <w:r>
        <w:tab/>
        <w:t xml:space="preserve">is of effect until the expiry of the period of 4 years after the day on which the permit comes into effect unless the permit is — </w:t>
      </w:r>
    </w:p>
    <w:p>
      <w:pPr>
        <w:pStyle w:val="Indenti"/>
      </w:pPr>
      <w:r>
        <w:tab/>
        <w:t>(i)</w:t>
      </w:r>
      <w:r>
        <w:tab/>
        <w:t>earlier cancelled under section 130(1)(b); or</w:t>
      </w:r>
    </w:p>
    <w:p>
      <w:pPr>
        <w:pStyle w:val="Indenti"/>
      </w:pPr>
      <w:r>
        <w:tab/>
        <w:t>(ii)</w:t>
      </w:r>
      <w:r>
        <w:tab/>
        <w:t>extended under section 126(1)(c)(i).</w:t>
      </w:r>
    </w:p>
    <w:p>
      <w:pPr>
        <w:pStyle w:val="Heading4"/>
      </w:pPr>
      <w:bookmarkStart w:id="171" w:name="_Toc154742797"/>
      <w:r>
        <w:lastRenderedPageBreak/>
        <w:t>Subdivision 3 — Extension of ACH permit</w:t>
      </w:r>
      <w:bookmarkEnd w:id="171"/>
    </w:p>
    <w:p>
      <w:pPr>
        <w:pStyle w:val="Heading5"/>
      </w:pPr>
      <w:bookmarkStart w:id="172" w:name="_Toc154742798"/>
      <w:r>
        <w:rPr>
          <w:rStyle w:val="CharSectno"/>
        </w:rPr>
        <w:t>122</w:t>
      </w:r>
      <w:r>
        <w:t>.</w:t>
      </w:r>
      <w:r>
        <w:tab/>
        <w:t>Application for extension of ACH permit</w:t>
      </w:r>
      <w:bookmarkEnd w:id="172"/>
    </w:p>
    <w:p>
      <w:pPr>
        <w:pStyle w:val="Subsection"/>
      </w:pPr>
      <w:r>
        <w:tab/>
        <w:t>(1)</w:t>
      </w:r>
      <w:r>
        <w:tab/>
        <w:t>The holder of an ACH permit may apply to the ACH Council for the term of the permit to be extended.</w:t>
      </w:r>
    </w:p>
    <w:p>
      <w:pPr>
        <w:pStyle w:val="Subsection"/>
      </w:pPr>
      <w:r>
        <w:tab/>
        <w:t>(2)</w:t>
      </w:r>
      <w:r>
        <w:tab/>
        <w:t>An application cannot be made under subsection (1) later than 90 days before the ACH permit is due to expire.</w:t>
      </w:r>
    </w:p>
    <w:p>
      <w:pPr>
        <w:pStyle w:val="Subsection"/>
      </w:pPr>
      <w:r>
        <w:tab/>
        <w:t>(3)</w:t>
      </w:r>
      <w:r>
        <w:tab/>
        <w:t xml:space="preserve">Before making an application under subsection (1), the permit holder must give to each of the persons to be notified about the activity to which the permit relates — </w:t>
      </w:r>
    </w:p>
    <w:p>
      <w:pPr>
        <w:pStyle w:val="Indenta"/>
      </w:pPr>
      <w:r>
        <w:tab/>
        <w:t>(a)</w:t>
      </w:r>
      <w:r>
        <w:tab/>
        <w:t>written notice including details of the proposed extension; and</w:t>
      </w:r>
    </w:p>
    <w:p>
      <w:pPr>
        <w:pStyle w:val="Indenta"/>
      </w:pPr>
      <w:r>
        <w:tab/>
        <w:t>(b)</w:t>
      </w:r>
      <w:r>
        <w:tab/>
        <w:t>an opportunity to submit to the permit holder, within the prescribed period, a statement about the person’s views on the proposed extension.</w:t>
      </w:r>
    </w:p>
    <w:p>
      <w:pPr>
        <w:pStyle w:val="Subsection"/>
      </w:pPr>
      <w:r>
        <w:tab/>
        <w:t>(4)</w:t>
      </w:r>
      <w:r>
        <w:tab/>
        <w:t xml:space="preserve">The application must — </w:t>
      </w:r>
    </w:p>
    <w:p>
      <w:pPr>
        <w:pStyle w:val="Indenta"/>
      </w:pPr>
      <w:r>
        <w:tab/>
        <w:t>(a)</w:t>
      </w:r>
      <w:r>
        <w:tab/>
        <w:t>be made to the ACH Council in the approved form; and</w:t>
      </w:r>
    </w:p>
    <w:p>
      <w:pPr>
        <w:pStyle w:val="Indenta"/>
      </w:pPr>
      <w:r>
        <w:tab/>
        <w:t>(b)</w:t>
      </w:r>
      <w:r>
        <w:tab/>
        <w:t>include details of the notice given under subsection (3)(a), including details of the persons who were notified; and</w:t>
      </w:r>
    </w:p>
    <w:p>
      <w:pPr>
        <w:pStyle w:val="Indenta"/>
      </w:pPr>
      <w:r>
        <w:tab/>
        <w:t>(c)</w:t>
      </w:r>
      <w:r>
        <w:tab/>
        <w:t>include any submissions made to the permit holder under subsection (3)(b).</w:t>
      </w:r>
    </w:p>
    <w:p>
      <w:pPr>
        <w:pStyle w:val="Heading5"/>
      </w:pPr>
      <w:bookmarkStart w:id="173" w:name="_Toc154742799"/>
      <w:r>
        <w:rPr>
          <w:rStyle w:val="CharSectno"/>
        </w:rPr>
        <w:t>123</w:t>
      </w:r>
      <w:r>
        <w:t>.</w:t>
      </w:r>
      <w:r>
        <w:tab/>
        <w:t>Further information in support of application</w:t>
      </w:r>
      <w:bookmarkEnd w:id="173"/>
    </w:p>
    <w:p>
      <w:pPr>
        <w:pStyle w:val="Subsection"/>
      </w:pPr>
      <w:r>
        <w:tab/>
        <w:t>(1)</w:t>
      </w:r>
      <w:r>
        <w:tab/>
        <w:t xml:space="preserve">The ACH Council may make a written request to an applicant for the extension of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lastRenderedPageBreak/>
        <w:tab/>
        <w:t>(2)</w:t>
      </w:r>
      <w:r>
        <w:tab/>
        <w:t>A request under subsection (1) must specify the prescribed period within which the request is to be complied with.</w:t>
      </w:r>
    </w:p>
    <w:p>
      <w:pPr>
        <w:pStyle w:val="Heading5"/>
      </w:pPr>
      <w:bookmarkStart w:id="174" w:name="_Toc154742800"/>
      <w:r>
        <w:rPr>
          <w:rStyle w:val="CharSectno"/>
        </w:rPr>
        <w:t>124</w:t>
      </w:r>
      <w:r>
        <w:t>.</w:t>
      </w:r>
      <w:r>
        <w:tab/>
        <w:t>ACH Council may refuse to consider some applications</w:t>
      </w:r>
      <w:bookmarkEnd w:id="174"/>
    </w:p>
    <w:p>
      <w:pPr>
        <w:pStyle w:val="Subsection"/>
      </w:pPr>
      <w:r>
        <w:tab/>
      </w:r>
      <w:r>
        <w:tab/>
        <w:t xml:space="preserve">The ACH Council may refuse to consider, or consider further, an application for the extension of an ACH permit if — </w:t>
      </w:r>
    </w:p>
    <w:p>
      <w:pPr>
        <w:pStyle w:val="Indenta"/>
      </w:pPr>
      <w:r>
        <w:tab/>
        <w:t>(a)</w:t>
      </w:r>
      <w:r>
        <w:tab/>
        <w:t>it is not made in accordance with this Act; or</w:t>
      </w:r>
    </w:p>
    <w:p>
      <w:pPr>
        <w:pStyle w:val="Indenta"/>
      </w:pPr>
      <w:r>
        <w:tab/>
        <w:t>(b)</w:t>
      </w:r>
      <w:r>
        <w:tab/>
        <w:t>the applicant has not complied with a request under section 123(1).</w:t>
      </w:r>
    </w:p>
    <w:p>
      <w:pPr>
        <w:pStyle w:val="Heading5"/>
      </w:pPr>
      <w:bookmarkStart w:id="175" w:name="_Toc154742801"/>
      <w:r>
        <w:rPr>
          <w:rStyle w:val="CharSectno"/>
        </w:rPr>
        <w:t>125</w:t>
      </w:r>
      <w:r>
        <w:t>.</w:t>
      </w:r>
      <w:r>
        <w:tab/>
        <w:t>ACH Council to give notice of application for extension of ACH permit</w:t>
      </w:r>
      <w:bookmarkEnd w:id="175"/>
    </w:p>
    <w:p>
      <w:pPr>
        <w:pStyle w:val="Subsection"/>
      </w:pPr>
      <w:r>
        <w:tab/>
        <w:t>(1)</w:t>
      </w:r>
      <w:r>
        <w:tab/>
        <w:t>On receipt of an application under section 122(1),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176" w:name="_Toc154742802"/>
      <w:r>
        <w:rPr>
          <w:rStyle w:val="CharSectno"/>
        </w:rPr>
        <w:t>126</w:t>
      </w:r>
      <w:r>
        <w:t>.</w:t>
      </w:r>
      <w:r>
        <w:tab/>
        <w:t>Decision on application for extension of ACH permit</w:t>
      </w:r>
      <w:bookmarkEnd w:id="176"/>
    </w:p>
    <w:p>
      <w:pPr>
        <w:pStyle w:val="Subsection"/>
      </w:pPr>
      <w:r>
        <w:tab/>
        <w:t>(1)</w:t>
      </w:r>
      <w:r>
        <w:tab/>
        <w:t xml:space="preserve">The ACH Council must — </w:t>
      </w:r>
    </w:p>
    <w:p>
      <w:pPr>
        <w:pStyle w:val="Indenta"/>
      </w:pPr>
      <w:r>
        <w:tab/>
        <w:t>(a)</w:t>
      </w:r>
      <w:r>
        <w:tab/>
        <w:t>assess each application for an extension of an ACH permit in accordance with section 120(1) as if the application for the extension of the permit were an application for the grant of the permit; and</w:t>
      </w:r>
    </w:p>
    <w:p>
      <w:pPr>
        <w:pStyle w:val="Indenta"/>
      </w:pPr>
      <w:r>
        <w:tab/>
        <w:t>(b)</w:t>
      </w:r>
      <w:r>
        <w:tab/>
        <w:t xml:space="preserve">have regard to — </w:t>
      </w:r>
    </w:p>
    <w:p>
      <w:pPr>
        <w:pStyle w:val="Indenti"/>
      </w:pPr>
      <w:r>
        <w:tab/>
        <w:t>(i)</w:t>
      </w:r>
      <w:r>
        <w:tab/>
        <w:t>any submissions made to the permit holder under section 122(3)(b); and</w:t>
      </w:r>
    </w:p>
    <w:p>
      <w:pPr>
        <w:pStyle w:val="Indenti"/>
      </w:pPr>
      <w:r>
        <w:tab/>
        <w:t>(ii)</w:t>
      </w:r>
      <w:r>
        <w:tab/>
        <w:t>any further information provided in response to a request under section 123(1); and</w:t>
      </w:r>
    </w:p>
    <w:p>
      <w:pPr>
        <w:pStyle w:val="Indenti"/>
      </w:pPr>
      <w:r>
        <w:lastRenderedPageBreak/>
        <w:tab/>
        <w:t>(iii)</w:t>
      </w:r>
      <w:r>
        <w:tab/>
        <w:t>any submissions made to the Council under section 125(2);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extend the ACH permit; or</w:t>
      </w:r>
    </w:p>
    <w:p>
      <w:pPr>
        <w:pStyle w:val="Indenti"/>
      </w:pPr>
      <w:r>
        <w:tab/>
        <w:t>(ii)</w:t>
      </w:r>
      <w:r>
        <w:tab/>
        <w:t>otherwise, to refuse to extend the ACH permit.</w:t>
      </w:r>
    </w:p>
    <w:p>
      <w:pPr>
        <w:pStyle w:val="Subsection"/>
      </w:pPr>
      <w:r>
        <w:tab/>
        <w:t>(2)</w:t>
      </w:r>
      <w:r>
        <w:tab/>
        <w:t>A decision on the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123(1)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 xml:space="preserve">be in writing; and </w:t>
      </w:r>
    </w:p>
    <w:p>
      <w:pPr>
        <w:pStyle w:val="Indenta"/>
      </w:pPr>
      <w:r>
        <w:tab/>
        <w:t>(b)</w:t>
      </w:r>
      <w:r>
        <w:tab/>
        <w:t>specify the period within which the direction must be complied with.</w:t>
      </w:r>
    </w:p>
    <w:p>
      <w:pPr>
        <w:pStyle w:val="Subsection"/>
      </w:pPr>
      <w:r>
        <w:tab/>
        <w:t>(6)</w:t>
      </w:r>
      <w:r>
        <w:tab/>
        <w:t>If the ACH Council does not comply with a direction given by the Minister within the period specified, the Minister may stand in the place of the Council and decide the application in accordance with this Subdivision.</w:t>
      </w:r>
    </w:p>
    <w:p>
      <w:pPr>
        <w:pStyle w:val="Subsection"/>
        <w:keepNext/>
      </w:pPr>
      <w:r>
        <w:lastRenderedPageBreak/>
        <w:tab/>
        <w:t>(7)</w:t>
      </w:r>
      <w:r>
        <w:tab/>
        <w:t xml:space="preserve">The ACH Council must give written notice of the Council’s decision to — </w:t>
      </w:r>
    </w:p>
    <w:p>
      <w:pPr>
        <w:pStyle w:val="Indenta"/>
      </w:pPr>
      <w:r>
        <w:tab/>
        <w:t>(a)</w:t>
      </w:r>
      <w:r>
        <w:tab/>
        <w:t>the applicant for the extension of the ACH permit; and</w:t>
      </w:r>
    </w:p>
    <w:p>
      <w:pPr>
        <w:pStyle w:val="Indenta"/>
      </w:pPr>
      <w:r>
        <w:tab/>
        <w:t>(b)</w:t>
      </w:r>
      <w:r>
        <w:tab/>
        <w:t>each of the persons to be notified about the activity to which the application relates.</w:t>
      </w:r>
    </w:p>
    <w:p>
      <w:pPr>
        <w:pStyle w:val="Subsection"/>
      </w:pPr>
      <w:r>
        <w:tab/>
        <w:t>(8)</w:t>
      </w:r>
      <w:r>
        <w:tab/>
        <w:t xml:space="preserve">An ACH permit that is extended under this section is of effect until the expiry of the period of 2 years after the day on which the permit is extended unless the permit is — </w:t>
      </w:r>
    </w:p>
    <w:p>
      <w:pPr>
        <w:pStyle w:val="Indenta"/>
      </w:pPr>
      <w:r>
        <w:tab/>
        <w:t>(a)</w:t>
      </w:r>
      <w:r>
        <w:tab/>
        <w:t>earlier cancelled under section 130(1)(b); or</w:t>
      </w:r>
    </w:p>
    <w:p>
      <w:pPr>
        <w:pStyle w:val="Indenta"/>
      </w:pPr>
      <w:r>
        <w:tab/>
        <w:t>(b)</w:t>
      </w:r>
      <w:r>
        <w:tab/>
        <w:t>further extended under this section.</w:t>
      </w:r>
    </w:p>
    <w:p>
      <w:pPr>
        <w:pStyle w:val="Heading4"/>
      </w:pPr>
      <w:bookmarkStart w:id="177" w:name="_Toc154742803"/>
      <w:r>
        <w:t>Subdivision 4 — Other matters</w:t>
      </w:r>
      <w:bookmarkEnd w:id="177"/>
    </w:p>
    <w:p>
      <w:pPr>
        <w:pStyle w:val="Heading5"/>
      </w:pPr>
      <w:bookmarkStart w:id="178" w:name="_Toc154742804"/>
      <w:r>
        <w:rPr>
          <w:rStyle w:val="CharSectno"/>
        </w:rPr>
        <w:t>127</w:t>
      </w:r>
      <w:r>
        <w:t>.</w:t>
      </w:r>
      <w:r>
        <w:tab/>
        <w:t>ACH Council must be notified of transfer of ACH permit</w:t>
      </w:r>
      <w:bookmarkEnd w:id="178"/>
      <w:r>
        <w:t xml:space="preserve"> </w:t>
      </w:r>
    </w:p>
    <w:p>
      <w:pPr>
        <w:pStyle w:val="Subsection"/>
      </w:pPr>
      <w:r>
        <w:tab/>
        <w:t>(1)</w:t>
      </w:r>
      <w:r>
        <w:tab/>
        <w:t>If the holder of an ACH permit transfers the permit to another person, the permit holder and the person to whom the permit is transferred must, within the prescribed period, give written notice of the transfer to the ACH Council.</w:t>
      </w:r>
    </w:p>
    <w:p>
      <w:pPr>
        <w:pStyle w:val="Penstart"/>
      </w:pPr>
      <w:r>
        <w:tab/>
        <w:t>Penalty for this subsection: a fine of $10 000.</w:t>
      </w:r>
    </w:p>
    <w:p>
      <w:pPr>
        <w:pStyle w:val="Subsection"/>
        <w:keepNext/>
      </w:pPr>
      <w:r>
        <w:tab/>
        <w:t>(2)</w:t>
      </w:r>
      <w:r>
        <w:tab/>
        <w:t>On receipt of a notice under subsection (1), the ACH Council must give written notice about the identity of the person to whom the permit is transferred to each of the persons to be notified about the activity to which the permit relates.</w:t>
      </w:r>
    </w:p>
    <w:p>
      <w:pPr>
        <w:pStyle w:val="Heading5"/>
      </w:pPr>
      <w:bookmarkStart w:id="179" w:name="_Toc154742805"/>
      <w:r>
        <w:rPr>
          <w:rStyle w:val="CharSectno"/>
        </w:rPr>
        <w:t>128</w:t>
      </w:r>
      <w:r>
        <w:t>.</w:t>
      </w:r>
      <w:r>
        <w:tab/>
        <w:t>Conditions</w:t>
      </w:r>
      <w:bookmarkEnd w:id="179"/>
    </w:p>
    <w:p>
      <w:pPr>
        <w:pStyle w:val="Subsection"/>
      </w:pPr>
      <w:r>
        <w:tab/>
        <w:t>(1)</w:t>
      </w:r>
      <w:r>
        <w:tab/>
        <w:t xml:space="preserve">It is a condition of an ACH permit that — </w:t>
      </w:r>
    </w:p>
    <w:p>
      <w:pPr>
        <w:pStyle w:val="Indenta"/>
      </w:pPr>
      <w:r>
        <w:tab/>
        <w:t>(a)</w:t>
      </w:r>
      <w:r>
        <w:tab/>
        <w:t>the permit holder must notify the ACH Council if the permit holder becomes aware, while the permit is of effect, of any new information about Aboriginal cultural heritage in the area to which the permit relates; and</w:t>
      </w:r>
    </w:p>
    <w:p>
      <w:pPr>
        <w:pStyle w:val="Indenta"/>
      </w:pPr>
      <w:r>
        <w:tab/>
        <w:t>(b)</w:t>
      </w:r>
      <w:r>
        <w:tab/>
        <w:t>the permit holder must comply with the reporting requirements, if any, specified in the permit; and</w:t>
      </w:r>
    </w:p>
    <w:p>
      <w:pPr>
        <w:pStyle w:val="Indenta"/>
      </w:pPr>
      <w:r>
        <w:lastRenderedPageBreak/>
        <w:tab/>
        <w:t>(c)</w:t>
      </w:r>
      <w:r>
        <w:tab/>
        <w:t>a Part 7 order given in relation to an activity to which the permit relates must be complied with.</w:t>
      </w:r>
    </w:p>
    <w:p>
      <w:pPr>
        <w:pStyle w:val="Subsection"/>
      </w:pPr>
      <w:r>
        <w:tab/>
        <w:t>(2)</w:t>
      </w:r>
      <w:r>
        <w:tab/>
        <w:t>An ACH permit may be granted or extended subject to any other conditions that the ACH Council considers appropriate to ensure that the activity to which the permit relates is managed so as to avoid, or minimise, the risk of harm being caused to Aboriginal cultural heritage by the activity in the area to which the permit relates.</w:t>
      </w:r>
    </w:p>
    <w:p>
      <w:pPr>
        <w:pStyle w:val="Subsection"/>
      </w:pPr>
      <w:r>
        <w:tab/>
        <w:t>(3)</w:t>
      </w:r>
      <w:r>
        <w:tab/>
        <w:t>If the ACH Council becomes aware of new information about Aboriginal cultural heritage in the area to which a permit relates (due to being notified by the permit holder or otherwise), the Council may, by written notice given to the permit holder, impose or amend a condition on the permit as the Council considers appropriate to ensure that the activity to which the permit relates is managed so as to avoid, or minimise, the risk of harm being caused to Aboriginal cultural heritage by the activity in the area.</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permit holder has had a reasonable opportunity to — </w:t>
      </w:r>
    </w:p>
    <w:p>
      <w:pPr>
        <w:pStyle w:val="Indenta"/>
      </w:pPr>
      <w:r>
        <w:tab/>
        <w:t>(a)</w:t>
      </w:r>
      <w:r>
        <w:tab/>
        <w:t>make submissions to the ACH Council in relation to the condition or the amended condition; and</w:t>
      </w:r>
    </w:p>
    <w:p>
      <w:pPr>
        <w:pStyle w:val="Indenta"/>
      </w:pPr>
      <w:r>
        <w:tab/>
        <w:t>(b)</w:t>
      </w:r>
      <w:r>
        <w:tab/>
        <w:t>take any action necessary to comply with the condition or amended condition.</w:t>
      </w:r>
    </w:p>
    <w:p>
      <w:pPr>
        <w:pStyle w:val="Subsection"/>
      </w:pPr>
      <w:r>
        <w:tab/>
        <w:t>(6)</w:t>
      </w:r>
      <w:r>
        <w:tab/>
        <w:t>The ACH Council may, at any time, by written notice given to the holder of an ACH permit, revoke a condition, other than a condition referred to in subsection (1), that is imposed on the permit.</w:t>
      </w:r>
    </w:p>
    <w:p>
      <w:pPr>
        <w:pStyle w:val="Subsection"/>
        <w:keepNext/>
      </w:pPr>
      <w:r>
        <w:lastRenderedPageBreak/>
        <w:tab/>
        <w:t>(7)</w:t>
      </w:r>
      <w:r>
        <w:tab/>
        <w:t xml:space="preserve">The ACH Council may exercise a power under subsection (6) — </w:t>
      </w:r>
    </w:p>
    <w:p>
      <w:pPr>
        <w:pStyle w:val="Indenta"/>
      </w:pPr>
      <w:r>
        <w:tab/>
        <w:t>(a)</w:t>
      </w:r>
      <w:r>
        <w:tab/>
        <w:t>on the Council’s own initiative; or</w:t>
      </w:r>
    </w:p>
    <w:p>
      <w:pPr>
        <w:pStyle w:val="Indenta"/>
      </w:pPr>
      <w:r>
        <w:tab/>
        <w:t>(b)</w:t>
      </w:r>
      <w:r>
        <w:tab/>
        <w:t>on receipt of an application by the permit holder.</w:t>
      </w:r>
    </w:p>
    <w:p>
      <w:pPr>
        <w:pStyle w:val="Subsection"/>
      </w:pPr>
      <w:r>
        <w:tab/>
        <w:t>(8)</w:t>
      </w:r>
      <w:r>
        <w:tab/>
        <w:t xml:space="preserve">The ACH Council must, within the prescribed period, give written notice to each of the persons to be notified about the activity to which the permit relates of the Council’s decision to — </w:t>
      </w:r>
    </w:p>
    <w:p>
      <w:pPr>
        <w:pStyle w:val="Indenta"/>
      </w:pPr>
      <w:r>
        <w:tab/>
        <w:t>(a)</w:t>
      </w:r>
      <w:r>
        <w:tab/>
        <w:t xml:space="preserve">impose or amend a condition on a permit under subsection (3); or </w:t>
      </w:r>
    </w:p>
    <w:p>
      <w:pPr>
        <w:pStyle w:val="Indenta"/>
      </w:pPr>
      <w:r>
        <w:tab/>
        <w:t>(b)</w:t>
      </w:r>
      <w:r>
        <w:tab/>
        <w:t>revoke a condition imposed on a permit under subsection (6).</w:t>
      </w:r>
    </w:p>
    <w:p>
      <w:pPr>
        <w:pStyle w:val="Heading5"/>
      </w:pPr>
      <w:bookmarkStart w:id="180" w:name="_Toc154742806"/>
      <w:r>
        <w:rPr>
          <w:rStyle w:val="CharSectno"/>
        </w:rPr>
        <w:t>129</w:t>
      </w:r>
      <w:r>
        <w:t>.</w:t>
      </w:r>
      <w:r>
        <w:tab/>
        <w:t>Amendment of ACH permit area</w:t>
      </w:r>
      <w:bookmarkEnd w:id="180"/>
    </w:p>
    <w:p>
      <w:pPr>
        <w:pStyle w:val="Subsection"/>
      </w:pPr>
      <w:r>
        <w:tab/>
        <w:t>(1)</w:t>
      </w:r>
      <w:r>
        <w:tab/>
        <w:t>The ACH Council must, at the written direction of the Minister under section 81(3)(a), amend the area to which an ACH permit relates to exclude from that area any area that is part of the area to be declared as a protected area under Part 4 Division 5.</w:t>
      </w:r>
    </w:p>
    <w:p>
      <w:pPr>
        <w:pStyle w:val="Subsection"/>
      </w:pPr>
      <w:r>
        <w:tab/>
        <w:t>(2)</w:t>
      </w:r>
      <w:r>
        <w:tab/>
        <w:t xml:space="preserve">The ACH Council must, within the prescribed period, give written notice of the amendment of the area to which an ACH permit relates under subsection (1) to — </w:t>
      </w:r>
    </w:p>
    <w:p>
      <w:pPr>
        <w:pStyle w:val="Indenta"/>
      </w:pPr>
      <w:r>
        <w:tab/>
        <w:t>(a)</w:t>
      </w:r>
      <w:r>
        <w:tab/>
        <w:t>the holder of the ACH permit; and</w:t>
      </w:r>
    </w:p>
    <w:p>
      <w:pPr>
        <w:pStyle w:val="Indenta"/>
      </w:pPr>
      <w:r>
        <w:tab/>
        <w:t>(b)</w:t>
      </w:r>
      <w:r>
        <w:tab/>
        <w:t>each of the persons to be notified about the activity to which the permit relates.</w:t>
      </w:r>
    </w:p>
    <w:p>
      <w:pPr>
        <w:pStyle w:val="Heading5"/>
      </w:pPr>
      <w:bookmarkStart w:id="181" w:name="_Toc154742807"/>
      <w:r>
        <w:rPr>
          <w:rStyle w:val="CharSectno"/>
        </w:rPr>
        <w:t>130</w:t>
      </w:r>
      <w:r>
        <w:t>.</w:t>
      </w:r>
      <w:r>
        <w:tab/>
        <w:t>Suspension or cancellation of ACH permit</w:t>
      </w:r>
      <w:bookmarkEnd w:id="181"/>
    </w:p>
    <w:p>
      <w:pPr>
        <w:pStyle w:val="Subsection"/>
      </w:pPr>
      <w:r>
        <w:tab/>
        <w:t>(1)</w:t>
      </w:r>
      <w:r>
        <w:tab/>
        <w:t xml:space="preserve">The ACH Council may, by written notice given to the holder of an ACH permit, take either of the following actions — </w:t>
      </w:r>
    </w:p>
    <w:p>
      <w:pPr>
        <w:pStyle w:val="Indenta"/>
      </w:pPr>
      <w:r>
        <w:tab/>
        <w:t>(a)</w:t>
      </w:r>
      <w:r>
        <w:tab/>
        <w:t>suspend the permit for a specified period;</w:t>
      </w:r>
    </w:p>
    <w:p>
      <w:pPr>
        <w:pStyle w:val="Indenta"/>
      </w:pPr>
      <w:r>
        <w:tab/>
        <w:t>(b)</w:t>
      </w:r>
      <w:r>
        <w:tab/>
        <w:t>cancel the permit.</w:t>
      </w:r>
    </w:p>
    <w:p>
      <w:pPr>
        <w:pStyle w:val="Subsection"/>
        <w:keepNext/>
      </w:pPr>
      <w:r>
        <w:lastRenderedPageBreak/>
        <w:tab/>
        <w:t>(2)</w:t>
      </w:r>
      <w:r>
        <w:tab/>
        <w:t xml:space="preserve">A notice under subsection (1) may be given only if — </w:t>
      </w:r>
    </w:p>
    <w:p>
      <w:pPr>
        <w:pStyle w:val="Indenta"/>
      </w:pPr>
      <w:r>
        <w:tab/>
        <w:t>(a)</w:t>
      </w:r>
      <w:r>
        <w:tab/>
        <w:t>the ACH Council is no longer satisfied about the matters set out in section 120(1); or</w:t>
      </w:r>
    </w:p>
    <w:p>
      <w:pPr>
        <w:pStyle w:val="Indenta"/>
      </w:pPr>
      <w:r>
        <w:tab/>
        <w:t>(b)</w:t>
      </w:r>
      <w:r>
        <w:tab/>
        <w:t xml:space="preserve">the ACH permit holder carries out an activity in the area to which the permit relates that — </w:t>
      </w:r>
    </w:p>
    <w:p>
      <w:pPr>
        <w:pStyle w:val="Indenti"/>
      </w:pPr>
      <w:r>
        <w:tab/>
        <w:t>(i)</w:t>
      </w:r>
      <w:r>
        <w:tab/>
        <w:t>may harm Aboriginal cultural heritage; and</w:t>
      </w:r>
    </w:p>
    <w:p>
      <w:pPr>
        <w:pStyle w:val="Indenti"/>
      </w:pPr>
      <w:r>
        <w:tab/>
        <w:t>(ii)</w:t>
      </w:r>
      <w:r>
        <w:tab/>
        <w:t>is not authorised under the permit;</w:t>
      </w:r>
    </w:p>
    <w:p>
      <w:pPr>
        <w:pStyle w:val="Indenta"/>
      </w:pPr>
      <w:r>
        <w:tab/>
      </w:r>
      <w:r>
        <w:tab/>
        <w:t>or</w:t>
      </w:r>
    </w:p>
    <w:p>
      <w:pPr>
        <w:pStyle w:val="Indenta"/>
      </w:pPr>
      <w:r>
        <w:tab/>
        <w:t>(c)</w:t>
      </w:r>
      <w:r>
        <w:tab/>
        <w:t>the permit holder breaches a condition imposed on the permit.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pPr>
      <w:r>
        <w:tab/>
        <w:t>(4)</w:t>
      </w:r>
      <w:r>
        <w:tab/>
        <w:t xml:space="preserve">Before taking action under subsection (1), the ACH Council must give the permit holder — </w:t>
      </w:r>
    </w:p>
    <w:p>
      <w:pPr>
        <w:pStyle w:val="Indenta"/>
      </w:pPr>
      <w:r>
        <w:tab/>
        <w:t>(a)</w:t>
      </w:r>
      <w:r>
        <w:tab/>
        <w:t xml:space="preserve">written notice of — </w:t>
      </w:r>
    </w:p>
    <w:p>
      <w:pPr>
        <w:pStyle w:val="Indenti"/>
      </w:pPr>
      <w:r>
        <w:tab/>
        <w:t>(i)</w:t>
      </w:r>
      <w:r>
        <w:tab/>
        <w:t xml:space="preserve">the action that the Council proposes to take; and </w:t>
      </w:r>
    </w:p>
    <w:p>
      <w:pPr>
        <w:pStyle w:val="Indenti"/>
      </w:pPr>
      <w:r>
        <w:tab/>
        <w:t>(ii)</w:t>
      </w:r>
      <w:r>
        <w:tab/>
        <w:t>the grounds on which it proposes to take that action;</w:t>
      </w:r>
    </w:p>
    <w:p>
      <w:pPr>
        <w:pStyle w:val="Indenta"/>
      </w:pPr>
      <w:r>
        <w:tab/>
      </w:r>
      <w:r>
        <w:tab/>
        <w:t>and</w:t>
      </w:r>
    </w:p>
    <w:p>
      <w:pPr>
        <w:pStyle w:val="Indenta"/>
      </w:pPr>
      <w:r>
        <w:tab/>
        <w:t>(b)</w:t>
      </w:r>
      <w:r>
        <w:tab/>
        <w:t>a reasonable opportunity to be heard on the matter.</w:t>
      </w:r>
    </w:p>
    <w:p>
      <w:pPr>
        <w:pStyle w:val="Subsection"/>
      </w:pPr>
      <w:r>
        <w:tab/>
        <w:t>(5)</w:t>
      </w:r>
      <w:r>
        <w:tab/>
        <w:t>If an ACH permit is suspended, it is of no effect during the period of the suspension.</w:t>
      </w:r>
    </w:p>
    <w:p>
      <w:pPr>
        <w:pStyle w:val="Subsection"/>
      </w:pPr>
      <w:r>
        <w:tab/>
        <w:t>(6)</w:t>
      </w:r>
      <w:r>
        <w:tab/>
        <w:t>The ACH Council must give written notice to each of the persons to whom notice was given in relation to the grant of the permit under section 113(a) of the Council’s decision to take action under subsection (1).</w:t>
      </w:r>
    </w:p>
    <w:p>
      <w:pPr>
        <w:pStyle w:val="Heading5"/>
      </w:pPr>
      <w:bookmarkStart w:id="182" w:name="_Toc154742808"/>
      <w:r>
        <w:rPr>
          <w:rStyle w:val="CharSectno"/>
        </w:rPr>
        <w:lastRenderedPageBreak/>
        <w:t>131</w:t>
      </w:r>
      <w:r>
        <w:t>.</w:t>
      </w:r>
      <w:r>
        <w:tab/>
        <w:t>Objection to decision of ACH Council</w:t>
      </w:r>
      <w:bookmarkEnd w:id="182"/>
    </w:p>
    <w:p>
      <w:pPr>
        <w:pStyle w:val="Subsection"/>
      </w:pPr>
      <w:r>
        <w:tab/>
        <w:t>(1)</w:t>
      </w:r>
      <w:r>
        <w:tab/>
        <w:t>The applicant for an ACH permit may, within the prescribed period, object in writing to the Minister if the ACH Council refuses to grant the permit under section 119(1)(c)(ii).</w:t>
      </w:r>
    </w:p>
    <w:p>
      <w:pPr>
        <w:pStyle w:val="Subsection"/>
      </w:pPr>
      <w:r>
        <w:tab/>
        <w:t>(2)</w:t>
      </w:r>
      <w:r>
        <w:tab/>
        <w:t xml:space="preserve">The holder of an ACH permit may, within the prescribed period, object in writing to the Minister if the ACH Council — </w:t>
      </w:r>
    </w:p>
    <w:p>
      <w:pPr>
        <w:pStyle w:val="Indenta"/>
      </w:pPr>
      <w:r>
        <w:tab/>
        <w:t>(a)</w:t>
      </w:r>
      <w:r>
        <w:tab/>
        <w:t>refuses to extend the permit under section 126(1)(c)(ii); or</w:t>
      </w:r>
    </w:p>
    <w:p>
      <w:pPr>
        <w:pStyle w:val="Indenta"/>
      </w:pPr>
      <w:r>
        <w:tab/>
        <w:t>(b)</w:t>
      </w:r>
      <w:r>
        <w:tab/>
        <w:t>grants or extends the permit subject to conditions under section 128(2); or</w:t>
      </w:r>
    </w:p>
    <w:p>
      <w:pPr>
        <w:pStyle w:val="Indenta"/>
      </w:pPr>
      <w:r>
        <w:tab/>
        <w:t>(c)</w:t>
      </w:r>
      <w:r>
        <w:tab/>
        <w:t>imposes or amends a condition on the permit under section 128(3); or</w:t>
      </w:r>
    </w:p>
    <w:p>
      <w:pPr>
        <w:pStyle w:val="Indenta"/>
      </w:pPr>
      <w:r>
        <w:tab/>
        <w:t>(d)</w:t>
      </w:r>
      <w:r>
        <w:tab/>
        <w:t>revokes a condition on the permit under section 128(6); or</w:t>
      </w:r>
    </w:p>
    <w:p>
      <w:pPr>
        <w:pStyle w:val="Indenta"/>
      </w:pPr>
      <w:r>
        <w:tab/>
        <w:t>(e)</w:t>
      </w:r>
      <w:r>
        <w:tab/>
        <w:t>suspends or cancels the permit under section 130(1).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(4)</w:t>
      </w:r>
      <w:r>
        <w:tab/>
        <w:t>A person who objects under this section must, within the prescribed period, give notice of the objection to each of the persons to be notified about the activity to which the application, or permit, relates, as the case requires.</w:t>
      </w:r>
    </w:p>
    <w:p>
      <w:pPr>
        <w:pStyle w:val="Subsection"/>
        <w:keepNext/>
      </w:pPr>
      <w:r>
        <w:lastRenderedPageBreak/>
        <w:tab/>
        <w:t>(5)</w:t>
      </w:r>
      <w:r>
        <w:tab/>
        <w:t xml:space="preserve">The Minister may make a written request to a person who objects under this section to do any of the following — </w:t>
      </w:r>
    </w:p>
    <w:p>
      <w:pPr>
        <w:pStyle w:val="Indenta"/>
      </w:pPr>
      <w:r>
        <w:tab/>
        <w:t>(a)</w:t>
      </w:r>
      <w:r>
        <w:tab/>
        <w:t xml:space="preserve">provide the Minister with any further information relevant to the objection that the Minister requires to assess the objection; </w:t>
      </w:r>
    </w:p>
    <w:p>
      <w:pPr>
        <w:pStyle w:val="Indenta"/>
      </w:pPr>
      <w:r>
        <w:tab/>
        <w:t>(b)</w:t>
      </w:r>
      <w:r>
        <w:tab/>
        <w:t xml:space="preserve">verify any further information by statutory declaration. </w:t>
      </w:r>
    </w:p>
    <w:p>
      <w:pPr>
        <w:pStyle w:val="Subsection"/>
      </w:pPr>
      <w:r>
        <w:tab/>
        <w:t>(6)</w:t>
      </w:r>
      <w:r>
        <w:tab/>
        <w:t xml:space="preserve">Having considered the information provided by the ACH Council under subsection (3) and any further information provided in response to a request under subsection (5) the Minister must — </w:t>
      </w:r>
    </w:p>
    <w:p>
      <w:pPr>
        <w:pStyle w:val="Indenta"/>
      </w:pPr>
      <w:r>
        <w:tab/>
        <w:t>(a)</w:t>
      </w:r>
      <w:r>
        <w:tab/>
        <w:t>confirm the decision made by the ACH Council; or</w:t>
      </w:r>
    </w:p>
    <w:p>
      <w:pPr>
        <w:pStyle w:val="Indenta"/>
      </w:pPr>
      <w:r>
        <w:tab/>
        <w:t>(b)</w:t>
      </w:r>
      <w:r>
        <w:tab/>
        <w:t>make another decision.</w:t>
      </w:r>
    </w:p>
    <w:p>
      <w:pPr>
        <w:pStyle w:val="Subsection"/>
      </w:pPr>
      <w:r>
        <w:tab/>
        <w:t>(7)</w:t>
      </w:r>
      <w:r>
        <w:tab/>
        <w:t xml:space="preserve">The decision of the Minister under subsection (6) must be made on the grounds of — </w:t>
      </w:r>
    </w:p>
    <w:p>
      <w:pPr>
        <w:pStyle w:val="Indenta"/>
      </w:pPr>
      <w:r>
        <w:tab/>
        <w:t>(a)</w:t>
      </w:r>
      <w:r>
        <w:tab/>
        <w:t>whether or not the Minister is satisfied as to the matters set out in section 120(1); and</w:t>
      </w:r>
    </w:p>
    <w:p>
      <w:pPr>
        <w:pStyle w:val="Indenta"/>
      </w:pPr>
      <w:r>
        <w:tab/>
        <w:t>(b)</w:t>
      </w:r>
      <w:r>
        <w:tab/>
        <w:t>what is in the interests of the State.</w:t>
      </w:r>
    </w:p>
    <w:p>
      <w:pPr>
        <w:pStyle w:val="Subsection"/>
      </w:pPr>
      <w:r>
        <w:tab/>
        <w:t>(8)</w:t>
      </w:r>
      <w:r>
        <w:tab/>
        <w:t xml:space="preserve">The Minister must ensure that written notice of the decision is given within 14 days after the decision is made under subsection (6) to — </w:t>
      </w:r>
    </w:p>
    <w:p>
      <w:pPr>
        <w:pStyle w:val="Indenta"/>
      </w:pPr>
      <w:r>
        <w:tab/>
        <w:t>(a)</w:t>
      </w:r>
      <w:r>
        <w:tab/>
        <w:t>the person making the objection; and</w:t>
      </w:r>
    </w:p>
    <w:p>
      <w:pPr>
        <w:pStyle w:val="Indenta"/>
      </w:pPr>
      <w:r>
        <w:tab/>
        <w:t>(b)</w:t>
      </w:r>
      <w:r>
        <w:tab/>
        <w:t>each of the persons to be notified about the activity to which the application or the ACH permit relates.</w:t>
      </w:r>
    </w:p>
    <w:p>
      <w:pPr>
        <w:pStyle w:val="Subsection"/>
      </w:pPr>
      <w:r>
        <w:tab/>
        <w:t>(9)</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183" w:name="_Toc154742809"/>
      <w:r>
        <w:rPr>
          <w:rStyle w:val="CharSectno"/>
        </w:rPr>
        <w:t>132</w:t>
      </w:r>
      <w:r>
        <w:t>.</w:t>
      </w:r>
      <w:r>
        <w:tab/>
        <w:t>Notice of decision must be given</w:t>
      </w:r>
      <w:bookmarkEnd w:id="183"/>
    </w:p>
    <w:p>
      <w:pPr>
        <w:pStyle w:val="Subsection"/>
      </w:pPr>
      <w:r>
        <w:tab/>
        <w:t>(1)</w:t>
      </w:r>
      <w:r>
        <w:tab/>
        <w:t>The ACH Council must give to a person who has a right under section 131(1) or (2) to object to the Minister about a decision written notice in accordance with this section.</w:t>
      </w:r>
    </w:p>
    <w:p>
      <w:pPr>
        <w:pStyle w:val="Subsection"/>
      </w:pPr>
      <w:r>
        <w:lastRenderedPageBreak/>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131(1), to the Minister about the decision within the period specified in the notice.</w:t>
      </w:r>
    </w:p>
    <w:p>
      <w:pPr>
        <w:pStyle w:val="Heading5"/>
      </w:pPr>
      <w:bookmarkStart w:id="184" w:name="_Toc154742810"/>
      <w:r>
        <w:rPr>
          <w:rStyle w:val="CharSectno"/>
        </w:rPr>
        <w:t>133</w:t>
      </w:r>
      <w:r>
        <w:t>.</w:t>
      </w:r>
      <w:r>
        <w:tab/>
        <w:t>Contravention of conditions on ACH permit</w:t>
      </w:r>
      <w:bookmarkEnd w:id="184"/>
    </w:p>
    <w:p>
      <w:pPr>
        <w:pStyle w:val="Subsection"/>
      </w:pPr>
      <w:r>
        <w:tab/>
      </w:r>
      <w:r>
        <w:tab/>
        <w:t>A person who holds an ACH permit must not contravene a condition to which the permit is subject.</w:t>
      </w:r>
    </w:p>
    <w:p>
      <w:pPr>
        <w:pStyle w:val="Penstart"/>
      </w:pPr>
      <w:r>
        <w:tab/>
        <w:t>Penalty: a fine of $20 000.</w:t>
      </w:r>
    </w:p>
    <w:p>
      <w:pPr>
        <w:pStyle w:val="Heading3"/>
      </w:pPr>
      <w:bookmarkStart w:id="185" w:name="_Toc154742811"/>
      <w:r>
        <w:rPr>
          <w:rStyle w:val="CharDivNo"/>
        </w:rPr>
        <w:t>Division 6</w:t>
      </w:r>
      <w:r>
        <w:t> — </w:t>
      </w:r>
      <w:r>
        <w:rPr>
          <w:rStyle w:val="CharDivText"/>
        </w:rPr>
        <w:t>ACH management plans</w:t>
      </w:r>
      <w:bookmarkEnd w:id="185"/>
    </w:p>
    <w:p>
      <w:pPr>
        <w:pStyle w:val="Heading4"/>
      </w:pPr>
      <w:bookmarkStart w:id="186" w:name="_Toc154742812"/>
      <w:r>
        <w:t>Subdivision 1 — Preliminary</w:t>
      </w:r>
      <w:bookmarkEnd w:id="186"/>
    </w:p>
    <w:p>
      <w:pPr>
        <w:pStyle w:val="Heading5"/>
      </w:pPr>
      <w:bookmarkStart w:id="187" w:name="_Toc154742813"/>
      <w:r>
        <w:rPr>
          <w:rStyle w:val="CharSectno"/>
        </w:rPr>
        <w:t>134</w:t>
      </w:r>
      <w:r>
        <w:t>.</w:t>
      </w:r>
      <w:r>
        <w:tab/>
        <w:t>When ACH management plan required</w:t>
      </w:r>
      <w:bookmarkEnd w:id="187"/>
    </w:p>
    <w:p>
      <w:pPr>
        <w:pStyle w:val="Subsection"/>
      </w:pPr>
      <w:r>
        <w:tab/>
        <w:t>(1)</w:t>
      </w:r>
      <w:r>
        <w:tab/>
        <w:t>An approved or authorised ACH management plan is required before the commencement of a tier 3 activity that may harm Aboriginal cultural heritage.</w:t>
      </w:r>
    </w:p>
    <w:p>
      <w:pPr>
        <w:pStyle w:val="Subsection"/>
      </w:pPr>
      <w:r>
        <w:tab/>
        <w:t>(2)</w:t>
      </w:r>
      <w:r>
        <w:tab/>
        <w:t xml:space="preserve">An ACH management plan that has been authorised under section 165(1)(b)(i) is required before the commencement of a tier 3 activity — </w:t>
      </w:r>
    </w:p>
    <w:p>
      <w:pPr>
        <w:pStyle w:val="Indenta"/>
      </w:pPr>
      <w:r>
        <w:tab/>
        <w:t>(a)</w:t>
      </w:r>
      <w:r>
        <w:tab/>
        <w:t>that may harm Aboriginal cultural heritage determined under section 176(1)(b)(i) to be of State significance for the purposes of this Act; or</w:t>
      </w:r>
    </w:p>
    <w:p>
      <w:pPr>
        <w:pStyle w:val="Indenta"/>
      </w:pPr>
      <w:r>
        <w:tab/>
        <w:t>(b)</w:t>
      </w:r>
      <w:r>
        <w:tab/>
        <w:t>if the proponent and each interested Aboriginal party for the plan do not agree about the terms of an ACH management plan.</w:t>
      </w:r>
    </w:p>
    <w:p>
      <w:pPr>
        <w:pStyle w:val="Subsection"/>
      </w:pPr>
      <w:r>
        <w:lastRenderedPageBreak/>
        <w:tab/>
        <w:t>(3)</w:t>
      </w:r>
      <w:r>
        <w:tab/>
        <w:t>An approved or authorised ACH management plan may also be in relation to a tier 2 activity.</w:t>
      </w:r>
    </w:p>
    <w:p>
      <w:pPr>
        <w:pStyle w:val="Heading5"/>
      </w:pPr>
      <w:bookmarkStart w:id="188" w:name="_Toc154742814"/>
      <w:r>
        <w:rPr>
          <w:rStyle w:val="CharSectno"/>
        </w:rPr>
        <w:t>135</w:t>
      </w:r>
      <w:r>
        <w:t>.</w:t>
      </w:r>
      <w:r>
        <w:tab/>
        <w:t>Meaning of interested Aboriginal party for ACH management plan</w:t>
      </w:r>
      <w:bookmarkEnd w:id="188"/>
    </w:p>
    <w:p>
      <w:pPr>
        <w:pStyle w:val="Subsection"/>
      </w:pPr>
      <w:r>
        <w:tab/>
        <w:t>(1)</w:t>
      </w:r>
      <w:r>
        <w:tab/>
        <w:t xml:space="preserve">Each of the following persons is an </w:t>
      </w:r>
      <w:r>
        <w:rPr>
          <w:rStyle w:val="CharDefText"/>
        </w:rPr>
        <w:t>interested Aboriginal party</w:t>
      </w:r>
      <w:r>
        <w:t xml:space="preserve"> for an ACH management plan that relates to the carrying out of a proposed activity in an area — </w:t>
      </w:r>
    </w:p>
    <w:p>
      <w:pPr>
        <w:pStyle w:val="Indenta"/>
      </w:pPr>
      <w:r>
        <w:tab/>
        <w:t>(a)</w:t>
      </w:r>
      <w:r>
        <w:tab/>
        <w:t>each person designated as a local ACH service for the area or a part of the area;</w:t>
      </w:r>
    </w:p>
    <w:p>
      <w:pPr>
        <w:pStyle w:val="Indenta"/>
      </w:pPr>
      <w:r>
        <w:tab/>
        <w:t>(b)</w:t>
      </w:r>
      <w:r>
        <w:tab/>
        <w:t xml:space="preserve">if there is not a person designated as a local ACH service for the area or a part of the area — </w:t>
      </w:r>
    </w:p>
    <w:p>
      <w:pPr>
        <w:pStyle w:val="Indenti"/>
      </w:pPr>
      <w:r>
        <w:tab/>
        <w:t>(i)</w:t>
      </w:r>
      <w:r>
        <w:tab/>
        <w:t>each native title party for the area or the part of the area; or</w:t>
      </w:r>
    </w:p>
    <w:p>
      <w:pPr>
        <w:pStyle w:val="Indenti"/>
      </w:pPr>
      <w:r>
        <w:tab/>
        <w:t>(ii)</w:t>
      </w:r>
      <w:r>
        <w:tab/>
        <w:t>if there is not a native title party for the area or the part of the area — each native title representative body for the area or the part of the area.</w:t>
      </w:r>
    </w:p>
    <w:p>
      <w:pPr>
        <w:pStyle w:val="Subsection"/>
      </w:pPr>
      <w:r>
        <w:tab/>
        <w:t>(2)</w:t>
      </w:r>
      <w:r>
        <w:tab/>
        <w:t>An interested Aboriginal party for an ACH management plan that relates to the carrying out of a proposed activity in an area may agree to be an Aboriginal party to the plan.</w:t>
      </w:r>
    </w:p>
    <w:p>
      <w:pPr>
        <w:pStyle w:val="Heading5"/>
      </w:pPr>
      <w:bookmarkStart w:id="189" w:name="_Toc154742815"/>
      <w:r>
        <w:t>136.</w:t>
      </w:r>
      <w:r>
        <w:tab/>
        <w:t>Assistance to identify each interested Aboriginal party</w:t>
      </w:r>
      <w:bookmarkEnd w:id="189"/>
    </w:p>
    <w:p>
      <w:pPr>
        <w:pStyle w:val="Subsection"/>
      </w:pPr>
      <w:r>
        <w:tab/>
        <w:t>(1)</w:t>
      </w:r>
      <w:r>
        <w:tab/>
        <w:t>A proponent may request the assistance of the CEO to identify each person that is an interested Aboriginal party for an ACH management plan.</w:t>
      </w:r>
    </w:p>
    <w:p>
      <w:pPr>
        <w:pStyle w:val="Subsection"/>
      </w:pPr>
      <w:r>
        <w:tab/>
        <w:t>(2)</w:t>
      </w:r>
      <w:r>
        <w:tab/>
        <w:t>In response to a request under subsection (1), the CEO must provide the proponent with reasonable assistance to identify each person that is an interested Aboriginal party for the plan.</w:t>
      </w:r>
    </w:p>
    <w:p>
      <w:pPr>
        <w:pStyle w:val="Heading5"/>
      </w:pPr>
      <w:bookmarkStart w:id="190" w:name="_Toc154742816"/>
      <w:r>
        <w:rPr>
          <w:rStyle w:val="CharSectno"/>
        </w:rPr>
        <w:lastRenderedPageBreak/>
        <w:t>137</w:t>
      </w:r>
      <w:r>
        <w:t>.</w:t>
      </w:r>
      <w:r>
        <w:tab/>
        <w:t>ACH management plan</w:t>
      </w:r>
      <w:bookmarkEnd w:id="190"/>
    </w:p>
    <w:p>
      <w:pPr>
        <w:pStyle w:val="Subsection"/>
      </w:pPr>
      <w:r>
        <w:tab/>
        <w:t>(1)</w:t>
      </w:r>
      <w:r>
        <w:tab/>
        <w:t xml:space="preserve">An Aboriginal cultural heritage management plan (an </w:t>
      </w:r>
      <w:r>
        <w:rPr>
          <w:rStyle w:val="CharDefText"/>
        </w:rPr>
        <w:t>ACH management plan</w:t>
      </w:r>
      <w:r>
        <w:t>) is a plan for the management of an activity that may harm Aboriginal cultural heritage.</w:t>
      </w:r>
    </w:p>
    <w:p>
      <w:pPr>
        <w:pStyle w:val="Subsection"/>
      </w:pPr>
      <w:r>
        <w:tab/>
        <w:t>(2)</w:t>
      </w:r>
      <w:r>
        <w:tab/>
        <w:t xml:space="preserve">An ACH management plan must — </w:t>
      </w:r>
    </w:p>
    <w:p>
      <w:pPr>
        <w:pStyle w:val="Indenta"/>
      </w:pPr>
      <w:r>
        <w:tab/>
        <w:t>(a)</w:t>
      </w:r>
      <w:r>
        <w:tab/>
        <w:t xml:space="preserve">identify — </w:t>
      </w:r>
    </w:p>
    <w:p>
      <w:pPr>
        <w:pStyle w:val="Indenti"/>
      </w:pPr>
      <w:r>
        <w:tab/>
        <w:t>(i)</w:t>
      </w:r>
      <w:r>
        <w:tab/>
        <w:t>the proponent for the activity to which the plan relates; and</w:t>
      </w:r>
    </w:p>
    <w:p>
      <w:pPr>
        <w:pStyle w:val="Indenti"/>
      </w:pPr>
      <w:r>
        <w:tab/>
        <w:t>(ii)</w:t>
      </w:r>
      <w:r>
        <w:tab/>
        <w:t>each Aboriginal party, if any, to the plan; and</w:t>
      </w:r>
    </w:p>
    <w:p>
      <w:pPr>
        <w:pStyle w:val="Indenti"/>
      </w:pPr>
      <w:r>
        <w:tab/>
        <w:t>(iii)</w:t>
      </w:r>
      <w:r>
        <w:tab/>
        <w:t>the area to which the plan relates (which must not include any area that is part of a protected area); and</w:t>
      </w:r>
    </w:p>
    <w:p>
      <w:pPr>
        <w:pStyle w:val="Indenti"/>
      </w:pPr>
      <w:r>
        <w:tab/>
        <w:t>(iv)</w:t>
      </w:r>
      <w:r>
        <w:tab/>
        <w:t>the activity to which the plan relates;</w:t>
      </w:r>
    </w:p>
    <w:p>
      <w:pPr>
        <w:pStyle w:val="Indenta"/>
      </w:pPr>
      <w:r>
        <w:tab/>
      </w:r>
      <w:r>
        <w:tab/>
        <w:t>and</w:t>
      </w:r>
    </w:p>
    <w:p>
      <w:pPr>
        <w:pStyle w:val="Indenta"/>
      </w:pPr>
      <w:r>
        <w:tab/>
        <w:t>(b)</w:t>
      </w:r>
      <w:r>
        <w:tab/>
        <w:t xml:space="preserve">identify — </w:t>
      </w:r>
    </w:p>
    <w:p>
      <w:pPr>
        <w:pStyle w:val="Indenti"/>
      </w:pPr>
      <w:r>
        <w:tab/>
        <w:t>(i)</w:t>
      </w:r>
      <w:r>
        <w:tab/>
        <w:t>the Aboriginal cultural heritage located in the area to which the plan relates,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(c)</w:t>
      </w:r>
      <w:r>
        <w:tab/>
        <w:t>include an ACH impact statement in respect of the proposed activity; and</w:t>
      </w:r>
    </w:p>
    <w:p>
      <w:pPr>
        <w:pStyle w:val="Indenta"/>
      </w:pPr>
      <w:r>
        <w:tab/>
        <w:t>(d)</w:t>
      </w:r>
      <w:r>
        <w:tab/>
        <w:t>set out the processes to be followed if, while approval or authorisation of the plan is of effect, a party to the plan becomes aware of new information about Aboriginal cultural heritage in the area to which the plan relates; and</w:t>
      </w:r>
    </w:p>
    <w:p>
      <w:pPr>
        <w:pStyle w:val="Indenta"/>
      </w:pPr>
      <w:r>
        <w:lastRenderedPageBreak/>
        <w:tab/>
        <w:t>(e)</w:t>
      </w:r>
      <w:r>
        <w:tab/>
        <w:t>set out how the proposed activity will be managed, where possible, to avoid, or minimise, the risk of harm being caused to Aboriginal cultural heritage by the activity, including a clear explanation of the steps, if any, that will be taken to avoid, or minimise, that risk; and</w:t>
      </w:r>
    </w:p>
    <w:p>
      <w:pPr>
        <w:pStyle w:val="Indenta"/>
      </w:pPr>
      <w:r>
        <w:tab/>
        <w:t>(f)</w:t>
      </w:r>
      <w:r>
        <w:tab/>
        <w:t>set out the extent to which harm to Aboriginal cultural heritage is authorised; and</w:t>
      </w:r>
    </w:p>
    <w:p>
      <w:pPr>
        <w:pStyle w:val="Indenta"/>
      </w:pPr>
      <w:r>
        <w:tab/>
        <w:t>(g)</w:t>
      </w:r>
      <w:r>
        <w:tab/>
        <w:t>set out any conditions that must be complied with before, during and after the proposed activity is carried out; and</w:t>
      </w:r>
    </w:p>
    <w:p>
      <w:pPr>
        <w:pStyle w:val="Indenta"/>
        <w:rPr>
          <w:b/>
        </w:rPr>
      </w:pPr>
      <w:r>
        <w:tab/>
        <w:t>(h)</w:t>
      </w:r>
      <w:r>
        <w:tab/>
        <w:t>specify the period for which the plan is to have effect; and</w:t>
      </w:r>
    </w:p>
    <w:p>
      <w:pPr>
        <w:pStyle w:val="Indenta"/>
      </w:pPr>
      <w:r>
        <w:tab/>
        <w:t>(i)</w:t>
      </w:r>
      <w:r>
        <w:tab/>
        <w:t>include or set out the other matters, if any, prescribed for the purposes of this paragraph.</w:t>
      </w:r>
    </w:p>
    <w:p>
      <w:pPr>
        <w:pStyle w:val="PermNoteHeading"/>
      </w:pPr>
      <w:r>
        <w:tab/>
        <w:t>Note for this subsection:</w:t>
      </w:r>
    </w:p>
    <w:p>
      <w:pPr>
        <w:pStyle w:val="PermNoteText"/>
      </w:pPr>
      <w:r>
        <w:tab/>
      </w:r>
      <w:r>
        <w:tab/>
        <w:t>There may not be an Aboriginal party to an ACH management plan to identify under paragraph (a)(ii) in relation to the area to which the plan relates, or a part of that area. This may be because an interested Aboriginal party for an ACH management plan has not agreed to be an Aboriginal party to the plan.</w:t>
      </w:r>
    </w:p>
    <w:p>
      <w:pPr>
        <w:pStyle w:val="Subsection"/>
      </w:pPr>
      <w:r>
        <w:tab/>
        <w:t>(3)</w:t>
      </w:r>
      <w:r>
        <w:tab/>
        <w:t>An ACH management plan must not include any details of commercial arrangements between a proponent and an Aboriginal party.</w:t>
      </w:r>
    </w:p>
    <w:p>
      <w:pPr>
        <w:pStyle w:val="Heading5"/>
      </w:pPr>
      <w:bookmarkStart w:id="191" w:name="_Toc154742817"/>
      <w:r>
        <w:rPr>
          <w:rStyle w:val="CharSectno"/>
        </w:rPr>
        <w:t>138</w:t>
      </w:r>
      <w:r>
        <w:t>.</w:t>
      </w:r>
      <w:r>
        <w:tab/>
        <w:t>Provisions in related agreement</w:t>
      </w:r>
      <w:bookmarkEnd w:id="191"/>
    </w:p>
    <w:p>
      <w:pPr>
        <w:pStyle w:val="Subsection"/>
      </w:pPr>
      <w:r>
        <w:tab/>
      </w:r>
      <w:r>
        <w:tab/>
        <w:t>A provision that is included in a related agreement for an area may be incorporated into, and form part of, an ACH management plan to the extent that the provision relates to any matter specified in section 137(2) in relation to the area to which the plan relates.</w:t>
      </w:r>
    </w:p>
    <w:p>
      <w:pPr>
        <w:pStyle w:val="Heading5"/>
      </w:pPr>
      <w:bookmarkStart w:id="192" w:name="_Toc154742818"/>
      <w:r>
        <w:rPr>
          <w:rStyle w:val="CharSectno"/>
        </w:rPr>
        <w:lastRenderedPageBreak/>
        <w:t>139</w:t>
      </w:r>
      <w:r>
        <w:t>.</w:t>
      </w:r>
      <w:r>
        <w:tab/>
        <w:t>Obligation to consult on ACH management plan</w:t>
      </w:r>
      <w:bookmarkEnd w:id="192"/>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Heading5"/>
      </w:pPr>
      <w:bookmarkStart w:id="193" w:name="_Toc154742819"/>
      <w:r>
        <w:rPr>
          <w:rStyle w:val="CharSectno"/>
        </w:rPr>
        <w:t>140</w:t>
      </w:r>
      <w:r>
        <w:t>.</w:t>
      </w:r>
      <w:r>
        <w:tab/>
        <w:t>Consultation carried out under related agreement</w:t>
      </w:r>
      <w:bookmarkEnd w:id="193"/>
    </w:p>
    <w:p>
      <w:pPr>
        <w:pStyle w:val="Subsection"/>
      </w:pPr>
      <w:r>
        <w:tab/>
      </w:r>
      <w:r>
        <w:tab/>
        <w:t>Consultation carried out in accordance with a related agreement for an area may be used to satisfy the requirements set out in section 139 in relation to the area to which the ACH management plan relates to the extent that the consultation complies with the requirements in that section.</w:t>
      </w:r>
    </w:p>
    <w:p>
      <w:pPr>
        <w:pStyle w:val="Heading5"/>
      </w:pPr>
      <w:bookmarkStart w:id="194" w:name="_Toc154742820"/>
      <w:r>
        <w:rPr>
          <w:rStyle w:val="CharSectno"/>
        </w:rPr>
        <w:t>141</w:t>
      </w:r>
      <w:r>
        <w:t>.</w:t>
      </w:r>
      <w:r>
        <w:tab/>
        <w:t>Proponent must take steps to identify and understand characteristics of Aboriginal cultural heritage in area</w:t>
      </w:r>
      <w:bookmarkEnd w:id="194"/>
    </w:p>
    <w:p>
      <w:pPr>
        <w:pStyle w:val="Subsection"/>
      </w:pPr>
      <w:r>
        <w:tab/>
      </w:r>
      <w:r>
        <w:tab/>
        <w:t>A proponent who intends to carry out an activity under an ACH management plan must take reasonable steps to identify, and obtain an understanding of the characteristics of, the Aboriginal cultural heritage located in the area to which the plan is to relate.</w:t>
      </w:r>
    </w:p>
    <w:p>
      <w:pPr>
        <w:pStyle w:val="Heading5"/>
      </w:pPr>
      <w:bookmarkStart w:id="195" w:name="_Toc154742821"/>
      <w:r>
        <w:rPr>
          <w:rStyle w:val="CharSectno"/>
        </w:rPr>
        <w:t>142</w:t>
      </w:r>
      <w:r>
        <w:t>.</w:t>
      </w:r>
      <w:r>
        <w:tab/>
        <w:t>Notice about proposed ACH management plan to each interested Aboriginal party</w:t>
      </w:r>
      <w:bookmarkEnd w:id="195"/>
    </w:p>
    <w:p>
      <w:pPr>
        <w:pStyle w:val="Subsection"/>
      </w:pPr>
      <w:r>
        <w:tab/>
        <w:t>(1)</w:t>
      </w:r>
      <w:r>
        <w:tab/>
        <w:t xml:space="preserve">A proponent who intends to carry out an activity in an area under an ACH management plan must give written notice about the plan to — </w:t>
      </w:r>
    </w:p>
    <w:p>
      <w:pPr>
        <w:pStyle w:val="Indenta"/>
      </w:pPr>
      <w:r>
        <w:tab/>
        <w:t>(a)</w:t>
      </w:r>
      <w:r>
        <w:tab/>
        <w:t>each interested Aboriginal party; and</w:t>
      </w:r>
    </w:p>
    <w:p>
      <w:pPr>
        <w:pStyle w:val="Indenta"/>
      </w:pPr>
      <w:r>
        <w:tab/>
        <w:t>(b)</w:t>
      </w:r>
      <w:r>
        <w:tab/>
        <w:t>the ACH Council.</w:t>
      </w:r>
    </w:p>
    <w:p>
      <w:pPr>
        <w:pStyle w:val="Subsection"/>
        <w:keepNext/>
      </w:pPr>
      <w:r>
        <w:lastRenderedPageBreak/>
        <w:tab/>
        <w:t>(2)</w:t>
      </w:r>
      <w:r>
        <w:tab/>
        <w:t xml:space="preserve">Notice under subsection (1) must state the proponent’s intention to — </w:t>
      </w:r>
    </w:p>
    <w:p>
      <w:pPr>
        <w:pStyle w:val="Indenta"/>
      </w:pPr>
      <w:r>
        <w:tab/>
        <w:t>(a)</w:t>
      </w:r>
      <w:r>
        <w:tab/>
        <w:t>use its best endeavours to reach agreement with each interested Aboriginal party about the terms of an ACH management plan; and</w:t>
      </w:r>
    </w:p>
    <w:p>
      <w:pPr>
        <w:pStyle w:val="Indenta"/>
      </w:pPr>
      <w:r>
        <w:tab/>
        <w:t>(b)</w:t>
      </w:r>
      <w:r>
        <w:tab/>
        <w:t>enter into an ACH management plan.</w:t>
      </w:r>
    </w:p>
    <w:p>
      <w:pPr>
        <w:pStyle w:val="Subsection"/>
      </w:pPr>
      <w:r>
        <w:tab/>
        <w:t>(3)</w:t>
      </w:r>
      <w:r>
        <w:tab/>
        <w:t xml:space="preserve">Notice under subsection (1) cannot be given until after the proponent has satisfied the requirements set out — </w:t>
      </w:r>
    </w:p>
    <w:p>
      <w:pPr>
        <w:pStyle w:val="Indenta"/>
      </w:pPr>
      <w:r>
        <w:tab/>
        <w:t>(a)</w:t>
      </w:r>
      <w:r>
        <w:tab/>
        <w:t>in section 139, in relation to consultation about the proposed activity; and</w:t>
      </w:r>
    </w:p>
    <w:p>
      <w:pPr>
        <w:pStyle w:val="Indenta"/>
      </w:pPr>
      <w:r>
        <w:tab/>
        <w:t>(b)</w:t>
      </w:r>
      <w:r>
        <w:tab/>
        <w:t>in section 141, in relation to identifying, and obtaining an understanding of the characteristics of, the Aboriginal cultural heritage located in the area to which the plan is to relate.</w:t>
      </w:r>
    </w:p>
    <w:p>
      <w:pPr>
        <w:pStyle w:val="Heading5"/>
      </w:pPr>
      <w:bookmarkStart w:id="196" w:name="_Toc154742822"/>
      <w:r>
        <w:rPr>
          <w:rStyle w:val="CharSectno"/>
        </w:rPr>
        <w:t>143</w:t>
      </w:r>
      <w:r>
        <w:t>.</w:t>
      </w:r>
      <w:r>
        <w:tab/>
        <w:t>Reaching agreement about ACH management plan</w:t>
      </w:r>
      <w:bookmarkEnd w:id="196"/>
    </w:p>
    <w:p>
      <w:pPr>
        <w:pStyle w:val="Subsection"/>
      </w:pPr>
      <w:r>
        <w:tab/>
        <w:t>(1)</w:t>
      </w:r>
      <w:r>
        <w:tab/>
        <w:t>The proponent and each interested Aboriginal party must use their best endeavours to reach agreement about the terms of an ACH management plan.</w:t>
      </w:r>
    </w:p>
    <w:p>
      <w:pPr>
        <w:pStyle w:val="Subsection"/>
      </w:pPr>
      <w:r>
        <w:tab/>
        <w:t>(2)</w:t>
      </w:r>
      <w:r>
        <w:tab/>
        <w:t xml:space="preserve">The period for reaching agreement is — </w:t>
      </w:r>
    </w:p>
    <w:p>
      <w:pPr>
        <w:pStyle w:val="Indenta"/>
      </w:pPr>
      <w:r>
        <w:tab/>
        <w:t>(a)</w:t>
      </w:r>
      <w:r>
        <w:tab/>
        <w:t>the prescribed period commencing on the day that is 5 days after the day on which the proponent gives written notice under section 142(1); or</w:t>
      </w:r>
    </w:p>
    <w:p>
      <w:pPr>
        <w:pStyle w:val="Indenta"/>
      </w:pPr>
      <w:r>
        <w:tab/>
        <w:t>(b)</w:t>
      </w:r>
      <w:r>
        <w:tab/>
        <w:t xml:space="preserve">a longer period — </w:t>
      </w:r>
    </w:p>
    <w:p>
      <w:pPr>
        <w:pStyle w:val="Indenti"/>
      </w:pPr>
      <w:r>
        <w:tab/>
        <w:t>(i)</w:t>
      </w:r>
      <w:r>
        <w:tab/>
        <w:t>agreed by the proponent and each interested Aboriginal party; or</w:t>
      </w:r>
    </w:p>
    <w:p>
      <w:pPr>
        <w:pStyle w:val="Indenti"/>
      </w:pPr>
      <w:r>
        <w:tab/>
        <w:t>(ii)</w:t>
      </w:r>
      <w:r>
        <w:tab/>
        <w:t>imposed by the ACH Council, by written notice given to the proponent and each interested Aboriginal party.</w:t>
      </w:r>
    </w:p>
    <w:p>
      <w:pPr>
        <w:pStyle w:val="Heading5"/>
      </w:pPr>
      <w:bookmarkStart w:id="197" w:name="_Toc154742823"/>
      <w:r>
        <w:rPr>
          <w:rStyle w:val="CharSectno"/>
        </w:rPr>
        <w:lastRenderedPageBreak/>
        <w:t>144</w:t>
      </w:r>
      <w:r>
        <w:t>.</w:t>
      </w:r>
      <w:r>
        <w:tab/>
        <w:t>Application for approval of ACH management plan if agreement reached</w:t>
      </w:r>
      <w:bookmarkEnd w:id="197"/>
    </w:p>
    <w:p>
      <w:pPr>
        <w:pStyle w:val="Subsection"/>
      </w:pPr>
      <w:r>
        <w:tab/>
      </w:r>
      <w:r>
        <w:tab/>
        <w:t>An application for the approval of an ACH management plan may be made under Subdivision 2 if the proponent and each interested Aboriginal party agree on the plan.</w:t>
      </w:r>
    </w:p>
    <w:p>
      <w:pPr>
        <w:pStyle w:val="Heading5"/>
      </w:pPr>
      <w:bookmarkStart w:id="198" w:name="_Toc154742824"/>
      <w:r>
        <w:rPr>
          <w:rStyle w:val="CharSectno"/>
        </w:rPr>
        <w:t>145</w:t>
      </w:r>
      <w:r>
        <w:t>.</w:t>
      </w:r>
      <w:r>
        <w:tab/>
        <w:t>Application for authorisation of ACH management if agreement not reached</w:t>
      </w:r>
      <w:bookmarkEnd w:id="198"/>
    </w:p>
    <w:p>
      <w:pPr>
        <w:pStyle w:val="Subsection"/>
      </w:pPr>
      <w:r>
        <w:tab/>
      </w:r>
      <w:r>
        <w:tab/>
        <w:t>An application for the authorisation of an ACH management plan may be made under Subdivision 3 if the proponent and each interested Aboriginal party do not agree on a plan within the period specified under section 143(2).</w:t>
      </w:r>
    </w:p>
    <w:p>
      <w:pPr>
        <w:pStyle w:val="Heading4"/>
      </w:pPr>
      <w:bookmarkStart w:id="199" w:name="_Toc154742825"/>
      <w:r>
        <w:t>Subdivision 2 — Approval of ACH management plan</w:t>
      </w:r>
      <w:bookmarkEnd w:id="199"/>
    </w:p>
    <w:p>
      <w:pPr>
        <w:pStyle w:val="Heading5"/>
      </w:pPr>
      <w:bookmarkStart w:id="200" w:name="_Toc154742826"/>
      <w:r>
        <w:rPr>
          <w:rStyle w:val="CharSectno"/>
        </w:rPr>
        <w:t>146</w:t>
      </w:r>
      <w:r>
        <w:t>.</w:t>
      </w:r>
      <w:r>
        <w:tab/>
        <w:t>Informed consent</w:t>
      </w:r>
      <w:bookmarkEnd w:id="200"/>
    </w:p>
    <w:p>
      <w:pPr>
        <w:pStyle w:val="Subsection"/>
      </w:pPr>
      <w:r>
        <w:tab/>
        <w:t>(1)</w:t>
      </w:r>
      <w:r>
        <w:tab/>
        <w:t xml:space="preserve">For the purposes of this Subdivision, the consent of an interested Aboriginal party for an ACH management plan cannot be informed consent unless — </w:t>
      </w:r>
    </w:p>
    <w:p>
      <w:pPr>
        <w:pStyle w:val="Indenta"/>
      </w:pPr>
      <w:r>
        <w:tab/>
        <w:t>(a)</w:t>
      </w:r>
      <w:r>
        <w:tab/>
        <w:t>the proponent has given to the interested Aboriginal party full and proper disclosure of information about the activity that the proponent intends to carry out under the plan; and</w:t>
      </w:r>
    </w:p>
    <w:p>
      <w:pPr>
        <w:pStyle w:val="Indenta"/>
      </w:pPr>
      <w:r>
        <w:tab/>
        <w:t>(b)</w:t>
      </w:r>
      <w:r>
        <w:tab/>
        <w:t>the consent is given voluntarily and without coercion, intimidation or manipulation.</w:t>
      </w:r>
    </w:p>
    <w:p>
      <w:pPr>
        <w:pStyle w:val="Subsection"/>
      </w:pPr>
      <w:r>
        <w:tab/>
        <w:t>(2)</w:t>
      </w:r>
      <w:r>
        <w:tab/>
        <w:t xml:space="preserve">In subsection (1)(a) — </w:t>
      </w:r>
    </w:p>
    <w:p>
      <w:pPr>
        <w:pStyle w:val="Defstart"/>
      </w:pPr>
      <w:r>
        <w:tab/>
      </w:r>
      <w:r>
        <w:rPr>
          <w:rStyle w:val="CharDefText"/>
        </w:rPr>
        <w:t>information</w:t>
      </w:r>
      <w:r>
        <w:t xml:space="preserve">, about an activity, includes a clear explanation about — </w:t>
      </w:r>
    </w:p>
    <w:p>
      <w:pPr>
        <w:pStyle w:val="Defpara"/>
      </w:pPr>
      <w:r>
        <w:tab/>
        <w:t>(a)</w:t>
      </w:r>
      <w:r>
        <w:tab/>
        <w:t xml:space="preserve">what the activity will involve, including — </w:t>
      </w:r>
    </w:p>
    <w:p>
      <w:pPr>
        <w:pStyle w:val="Defsubpara"/>
      </w:pPr>
      <w:r>
        <w:tab/>
        <w:t>(i)</w:t>
      </w:r>
      <w:r>
        <w:tab/>
        <w:t xml:space="preserve">the method the proponent intends to use to carry out the activity (the </w:t>
      </w:r>
      <w:r>
        <w:rPr>
          <w:rStyle w:val="CharDefText"/>
        </w:rPr>
        <w:t>preferred method</w:t>
      </w:r>
      <w:r>
        <w:t>); and</w:t>
      </w:r>
    </w:p>
    <w:p>
      <w:pPr>
        <w:pStyle w:val="Defsubpara"/>
      </w:pPr>
      <w:r>
        <w:lastRenderedPageBreak/>
        <w:tab/>
        <w:t>(ii)</w:t>
      </w:r>
      <w:r>
        <w:tab/>
        <w:t xml:space="preserve">if applicable, each other feasible method available to the proponent to carry out the activity (a </w:t>
      </w:r>
      <w:r>
        <w:rPr>
          <w:rStyle w:val="CharDefText"/>
        </w:rPr>
        <w:t>feasible alternative method</w:t>
      </w:r>
      <w:r>
        <w:t>);</w:t>
      </w:r>
    </w:p>
    <w:p>
      <w:pPr>
        <w:pStyle w:val="Defpara"/>
      </w:pPr>
      <w:r>
        <w:tab/>
      </w:r>
      <w:r>
        <w:tab/>
        <w:t>and</w:t>
      </w:r>
    </w:p>
    <w:p>
      <w:pPr>
        <w:pStyle w:val="Defpara"/>
      </w:pPr>
      <w:r>
        <w:tab/>
        <w:t>(b)</w:t>
      </w:r>
      <w:r>
        <w:tab/>
        <w:t xml:space="preserve">in relation to the preferred method, and each feasible alternative method available to the proponent — </w:t>
      </w:r>
    </w:p>
    <w:p>
      <w:pPr>
        <w:pStyle w:val="Defsubpara"/>
      </w:pPr>
      <w:r>
        <w:tab/>
        <w:t>(i)</w:t>
      </w:r>
      <w:r>
        <w:tab/>
        <w:t>a clear explanation of the risk of reasonably foreseeable harm being caused to Aboriginal cultural heritage by the activity using that method; and</w:t>
      </w:r>
    </w:p>
    <w:p>
      <w:pPr>
        <w:pStyle w:val="Defsubpara"/>
      </w:pPr>
      <w:r>
        <w:tab/>
        <w:t>(ii)</w:t>
      </w:r>
      <w:r>
        <w:tab/>
        <w:t>the nature of the harm to Aboriginal cultural heritage that is risked by the carrying out of the activity using that method;</w:t>
      </w:r>
    </w:p>
    <w:p>
      <w:pPr>
        <w:pStyle w:val="Defpara"/>
      </w:pPr>
      <w:r>
        <w:tab/>
      </w:r>
      <w:r>
        <w:tab/>
        <w:t>and</w:t>
      </w:r>
    </w:p>
    <w:p>
      <w:pPr>
        <w:pStyle w:val="Defpara"/>
      </w:pPr>
      <w:r>
        <w:tab/>
        <w:t>(c)</w:t>
      </w:r>
      <w:r>
        <w:tab/>
        <w:t>in relation to the preferred method — a clear explanation of how the activity will be managed to avoid, or minimise, the risk of harm being caused to Aboriginal cultural heritage by the activity using that method, including a clear explanation of the steps, if any, that will be taken to avoid or minimise that risk.</w:t>
      </w:r>
    </w:p>
    <w:p>
      <w:pPr>
        <w:pStyle w:val="Heading5"/>
      </w:pPr>
      <w:bookmarkStart w:id="201" w:name="_Toc154742827"/>
      <w:r>
        <w:rPr>
          <w:rStyle w:val="CharSectno"/>
        </w:rPr>
        <w:t>147</w:t>
      </w:r>
      <w:r>
        <w:t>.</w:t>
      </w:r>
      <w:r>
        <w:tab/>
        <w:t>Application for approval of ACH management plan</w:t>
      </w:r>
      <w:bookmarkEnd w:id="201"/>
    </w:p>
    <w:p>
      <w:pPr>
        <w:pStyle w:val="Subsection"/>
      </w:pPr>
      <w:r>
        <w:tab/>
        <w:t>(1)</w:t>
      </w:r>
      <w:r>
        <w:tab/>
        <w:t>A proponent may apply to the ACH Council for approval of an ACH management plan that relates to the carrying out of an activity in an area if the proponent and each interested Aboriginal party for the plan has agreed the terms of the plan.</w:t>
      </w:r>
    </w:p>
    <w:p>
      <w:pPr>
        <w:pStyle w:val="Subsection"/>
        <w:keepNext/>
      </w:pPr>
      <w:r>
        <w:tab/>
        <w:t>(2)</w:t>
      </w:r>
      <w:r>
        <w:tab/>
        <w:t xml:space="preserve">An application for the approval of an ACH management plan must — </w:t>
      </w:r>
    </w:p>
    <w:p>
      <w:pPr>
        <w:pStyle w:val="Indenta"/>
      </w:pPr>
      <w:r>
        <w:tab/>
        <w:t>(a)</w:t>
      </w:r>
      <w:r>
        <w:tab/>
        <w:t>be made to the ACH Council in the approved form; and</w:t>
      </w:r>
    </w:p>
    <w:p>
      <w:pPr>
        <w:pStyle w:val="Indenta"/>
      </w:pPr>
      <w:r>
        <w:tab/>
        <w:t>(b)</w:t>
      </w:r>
      <w:r>
        <w:tab/>
        <w:t>include the plan agreed to by the proponent and each interested Aboriginal party for the plan; and</w:t>
      </w:r>
    </w:p>
    <w:p>
      <w:pPr>
        <w:pStyle w:val="Indenta"/>
      </w:pPr>
      <w:r>
        <w:tab/>
        <w:t>(c)</w:t>
      </w:r>
      <w:r>
        <w:tab/>
        <w:t>include evidence that each interested Aboriginal party for the plan has given informed consent to the plan; and</w:t>
      </w:r>
    </w:p>
    <w:p>
      <w:pPr>
        <w:pStyle w:val="Indenta"/>
      </w:pPr>
      <w:r>
        <w:lastRenderedPageBreak/>
        <w:tab/>
        <w:t>(d)</w:t>
      </w:r>
      <w:r>
        <w:tab/>
        <w:t>include a summary of the information, about the activity that the proponent intends to carry out under the plan, that was disclosed to each interested Aboriginal party for the plan in accordance with section 146(1)(a); and</w:t>
      </w:r>
    </w:p>
    <w:p>
      <w:pPr>
        <w:pStyle w:val="Indenta"/>
      </w:pPr>
      <w:r>
        <w:tab/>
        <w:t>(e)</w:t>
      </w:r>
      <w:r>
        <w:tab/>
        <w:t>include details of the consultation about the carrying out of the activity that has been conducted with each of the persons to be consulted; and</w:t>
      </w:r>
    </w:p>
    <w:p>
      <w:pPr>
        <w:pStyle w:val="Indenta"/>
      </w:pPr>
      <w:r>
        <w:tab/>
        <w:t>(f)</w:t>
      </w:r>
      <w:r>
        <w:tab/>
        <w:t>include any responses to the proposal to carry out the activity that were provided to the proponent by a person who was consulted; and</w:t>
      </w:r>
    </w:p>
    <w:p>
      <w:pPr>
        <w:pStyle w:val="Indenta"/>
      </w:pPr>
      <w:r>
        <w:tab/>
        <w:t>(g)</w:t>
      </w:r>
      <w:r>
        <w:tab/>
        <w:t>be accompanied by the other documents and information, if any, prescribed for the purposes of this paragraph.</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Heading5"/>
      </w:pPr>
      <w:bookmarkStart w:id="202" w:name="_Toc154742828"/>
      <w:r>
        <w:rPr>
          <w:rStyle w:val="CharSectno"/>
        </w:rPr>
        <w:t>148</w:t>
      </w:r>
      <w:r>
        <w:t>.</w:t>
      </w:r>
      <w:r>
        <w:tab/>
        <w:t>Further information in support of application</w:t>
      </w:r>
      <w:bookmarkEnd w:id="202"/>
    </w:p>
    <w:p>
      <w:pPr>
        <w:pStyle w:val="Subsection"/>
      </w:pPr>
      <w:r>
        <w:tab/>
        <w:t>(1)</w:t>
      </w:r>
      <w:r>
        <w:tab/>
        <w:t xml:space="preserve">The ACH Council may make a written request to an applicant for approval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03" w:name="_Toc154742829"/>
      <w:r>
        <w:rPr>
          <w:rStyle w:val="CharSectno"/>
        </w:rPr>
        <w:lastRenderedPageBreak/>
        <w:t>149</w:t>
      </w:r>
      <w:r>
        <w:t>.</w:t>
      </w:r>
      <w:r>
        <w:tab/>
        <w:t>ACH Council may refuse to consider some applications</w:t>
      </w:r>
      <w:bookmarkEnd w:id="203"/>
    </w:p>
    <w:p>
      <w:pPr>
        <w:pStyle w:val="Subsection"/>
      </w:pPr>
      <w:r>
        <w:tab/>
      </w:r>
      <w:r>
        <w:tab/>
        <w:t xml:space="preserve">The ACH Council may refuse to consider, or consider further, an application for the approval of an ACH management plan if — </w:t>
      </w:r>
    </w:p>
    <w:p>
      <w:pPr>
        <w:pStyle w:val="Indenta"/>
      </w:pPr>
      <w:r>
        <w:tab/>
        <w:t>(a)</w:t>
      </w:r>
      <w:r>
        <w:tab/>
        <w:t>the application is not made in accordance with this Act; or</w:t>
      </w:r>
    </w:p>
    <w:p>
      <w:pPr>
        <w:pStyle w:val="Indenta"/>
      </w:pPr>
      <w:r>
        <w:tab/>
        <w:t>(b)</w:t>
      </w:r>
      <w:r>
        <w:tab/>
        <w:t>the applicant does not comply with a request under section 148.</w:t>
      </w:r>
    </w:p>
    <w:p>
      <w:pPr>
        <w:pStyle w:val="Heading5"/>
      </w:pPr>
      <w:bookmarkStart w:id="204" w:name="_Toc154742830"/>
      <w:r>
        <w:rPr>
          <w:rStyle w:val="CharSectno"/>
        </w:rPr>
        <w:t>150</w:t>
      </w:r>
      <w:r>
        <w:t>.</w:t>
      </w:r>
      <w:r>
        <w:tab/>
        <w:t>Decision of ACH Council</w:t>
      </w:r>
      <w:bookmarkEnd w:id="204"/>
    </w:p>
    <w:p>
      <w:pPr>
        <w:pStyle w:val="Subsection"/>
        <w:keepNext/>
        <w:keepLines/>
      </w:pPr>
      <w:r>
        <w:tab/>
        <w:t>(1)</w:t>
      </w:r>
      <w:r>
        <w:tab/>
        <w:t xml:space="preserve">The ACH Council must — </w:t>
      </w:r>
    </w:p>
    <w:p>
      <w:pPr>
        <w:pStyle w:val="Indenta"/>
      </w:pPr>
      <w:r>
        <w:tab/>
        <w:t>(a)</w:t>
      </w:r>
      <w:r>
        <w:tab/>
        <w:t>assess each application under section 147(1), including any further information provided in response to a request under section 148(1); and</w:t>
      </w:r>
    </w:p>
    <w:p>
      <w:pPr>
        <w:pStyle w:val="Indenta"/>
      </w:pPr>
      <w:r>
        <w:tab/>
        <w:t>(b)</w:t>
      </w:r>
      <w:r>
        <w:tab/>
        <w:t xml:space="preserve">make a decision to — </w:t>
      </w:r>
    </w:p>
    <w:p>
      <w:pPr>
        <w:pStyle w:val="Indenti"/>
      </w:pPr>
      <w:r>
        <w:tab/>
        <w:t>(i)</w:t>
      </w:r>
      <w:r>
        <w:tab/>
        <w:t>approve the ACH management plan to which the application relates; or</w:t>
      </w:r>
    </w:p>
    <w:p>
      <w:pPr>
        <w:pStyle w:val="Indenti"/>
      </w:pPr>
      <w:r>
        <w:tab/>
        <w:t>(ii)</w:t>
      </w:r>
      <w:r>
        <w:tab/>
        <w:t>refuse to approve the ACH management plan to which the application relates.</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 </w:t>
      </w:r>
    </w:p>
    <w:p>
      <w:pPr>
        <w:pStyle w:val="Indenta"/>
      </w:pPr>
      <w:r>
        <w:tab/>
        <w:t>(a)</w:t>
      </w:r>
      <w:r>
        <w:tab/>
        <w:t xml:space="preserve">any period commencing on the day on which a request is made under section 148(1) in respect of the application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lastRenderedPageBreak/>
        <w:tab/>
        <w:t>(b)</w:t>
      </w:r>
      <w:r>
        <w:tab/>
        <w:t xml:space="preserve">any period — </w:t>
      </w:r>
    </w:p>
    <w:p>
      <w:pPr>
        <w:pStyle w:val="Indenti"/>
      </w:pPr>
      <w:r>
        <w:tab/>
        <w:t>(i)</w:t>
      </w:r>
      <w:r>
        <w:tab/>
        <w:t xml:space="preserve">commencing on the day on which public notice is given under section 175(2) in respect of the Aboriginal cultural heritage that may be harmed by the activity to which the plan relates; and </w:t>
      </w:r>
    </w:p>
    <w:p>
      <w:pPr>
        <w:pStyle w:val="Indenti"/>
      </w:pPr>
      <w:r>
        <w:tab/>
        <w:t>(ii)</w:t>
      </w:r>
      <w:r>
        <w:tab/>
        <w:t>ending on the day on which the ACH Council makes a determination under section 176(1)(b)(ii) that the Aboriginal cultural heritage is not of State significance for the purposes of this Act.</w:t>
      </w:r>
    </w:p>
    <w:p>
      <w:pPr>
        <w:pStyle w:val="PermNoteHeading"/>
      </w:pPr>
      <w:r>
        <w:tab/>
        <w:t>Note for this subsection:</w:t>
      </w:r>
    </w:p>
    <w:p>
      <w:pPr>
        <w:pStyle w:val="PermNoteText"/>
      </w:pPr>
      <w:r>
        <w:tab/>
      </w:r>
      <w:r>
        <w:tab/>
        <w:t>For paragraph (b), if the ACH Council makes a determination under section 176(1)(b)(i) that the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Subsection"/>
      </w:pPr>
      <w:r>
        <w:tab/>
        <w:t>(4)</w:t>
      </w:r>
      <w:r>
        <w:tab/>
        <w:t>If the ACH Council does not make a decision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make a decision on the application in accordance with this Subdivision.</w:t>
      </w:r>
    </w:p>
    <w:p>
      <w:pPr>
        <w:pStyle w:val="Subsection"/>
      </w:pPr>
      <w:r>
        <w:tab/>
        <w:t>(7)</w:t>
      </w:r>
      <w:r>
        <w:tab/>
        <w:t>The ACH Council must ensure that written notice of a decision on an application is given within 14 days after the decision is made under subsection (1)(b) to the parties to the ACH management plan.</w:t>
      </w:r>
    </w:p>
    <w:p>
      <w:pPr>
        <w:pStyle w:val="Subsection"/>
        <w:keepNext/>
      </w:pPr>
      <w:r>
        <w:lastRenderedPageBreak/>
        <w:tab/>
        <w:t>(8)</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keepNext w:val="0"/>
        <w:keepLines w:val="0"/>
      </w:pPr>
      <w:bookmarkStart w:id="205" w:name="_Toc154742831"/>
      <w:r>
        <w:rPr>
          <w:rStyle w:val="CharSectno"/>
        </w:rPr>
        <w:t>151</w:t>
      </w:r>
      <w:r>
        <w:t>.</w:t>
      </w:r>
      <w:r>
        <w:tab/>
        <w:t>Approval of ACH management plan</w:t>
      </w:r>
      <w:bookmarkEnd w:id="205"/>
    </w:p>
    <w:p>
      <w:pPr>
        <w:pStyle w:val="Subsection"/>
      </w:pPr>
      <w:r>
        <w:tab/>
      </w:r>
      <w:r>
        <w:tab/>
        <w:t xml:space="preserve">The ACH Council may approve an ACH management plan only if satisfied — </w:t>
      </w:r>
    </w:p>
    <w:p>
      <w:pPr>
        <w:pStyle w:val="Indenta"/>
      </w:pPr>
      <w:r>
        <w:tab/>
        <w:t>(a)</w:t>
      </w:r>
      <w:r>
        <w:tab/>
        <w:t>that the activity to which the plan relates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keepNext/>
        <w:keepLines/>
      </w:pPr>
      <w:r>
        <w:tab/>
        <w:t>(c)</w:t>
      </w:r>
      <w:r>
        <w:tab/>
        <w:t>that the Aboriginal cultural heritage is not of State significance and does not need to be dealt with under Subdivision 5; and</w:t>
      </w:r>
    </w:p>
    <w:p>
      <w:pPr>
        <w:pStyle w:val="Indenta"/>
        <w:keepNext/>
        <w:keepLines/>
      </w:pPr>
      <w:r>
        <w:tab/>
        <w:t>(d)</w:t>
      </w:r>
      <w:r>
        <w:tab/>
        <w:t>that there has been consultation with each person to be consulted about the activity; and</w:t>
      </w:r>
    </w:p>
    <w:p>
      <w:pPr>
        <w:pStyle w:val="Indenta"/>
      </w:pPr>
      <w:r>
        <w:tab/>
        <w:t>(e)</w:t>
      </w:r>
      <w:r>
        <w:tab/>
        <w:t>that each interested Aboriginal party for the plan has given informed consent to the plan; and</w:t>
      </w:r>
    </w:p>
    <w:p>
      <w:pPr>
        <w:pStyle w:val="Indenta"/>
      </w:pPr>
      <w:r>
        <w:tab/>
        <w:t>(f)</w:t>
      </w:r>
      <w:r>
        <w:tab/>
        <w:t>in relation to the other matters, if any, prescribed for the purposes of this paragraph.</w:t>
      </w:r>
    </w:p>
    <w:p>
      <w:pPr>
        <w:pStyle w:val="Heading5"/>
      </w:pPr>
      <w:bookmarkStart w:id="206" w:name="_Toc154742832"/>
      <w:r>
        <w:rPr>
          <w:rStyle w:val="CharSectno"/>
        </w:rPr>
        <w:t>152</w:t>
      </w:r>
      <w:r>
        <w:t>.</w:t>
      </w:r>
      <w:r>
        <w:tab/>
        <w:t>Duration of ACH management plan approval</w:t>
      </w:r>
      <w:bookmarkEnd w:id="206"/>
    </w:p>
    <w:p>
      <w:pPr>
        <w:pStyle w:val="Subsection"/>
      </w:pPr>
      <w:r>
        <w:tab/>
      </w:r>
      <w:r>
        <w:tab/>
        <w:t xml:space="preserve">The approval of an ACH management plan under section 150(1)(b)(i) — </w:t>
      </w:r>
    </w:p>
    <w:p>
      <w:pPr>
        <w:pStyle w:val="Indenta"/>
      </w:pPr>
      <w:r>
        <w:tab/>
        <w:t>(a)</w:t>
      </w:r>
      <w:r>
        <w:tab/>
        <w:t>takes effect on the day of the approval or on a later day, if any, specified in the notice given under section 150(7) of the decision to approve the plan; and</w:t>
      </w:r>
    </w:p>
    <w:p>
      <w:pPr>
        <w:pStyle w:val="Indenta"/>
      </w:pPr>
      <w:r>
        <w:tab/>
        <w:t>(b)</w:t>
      </w:r>
      <w:r>
        <w:tab/>
        <w:t xml:space="preserve">is of effect, other than during any period when the approval is suspended under section 154(1)(a), until whichever of the following occurs first — </w:t>
      </w:r>
    </w:p>
    <w:p>
      <w:pPr>
        <w:pStyle w:val="Indenti"/>
      </w:pPr>
      <w:r>
        <w:tab/>
        <w:t>(i)</w:t>
      </w:r>
      <w:r>
        <w:tab/>
        <w:t>the approval of the plan is cancelled under section 154(1)(b);</w:t>
      </w:r>
    </w:p>
    <w:p>
      <w:pPr>
        <w:pStyle w:val="Indenti"/>
      </w:pPr>
      <w:r>
        <w:lastRenderedPageBreak/>
        <w:tab/>
        <w:t>(ii)</w:t>
      </w:r>
      <w:r>
        <w:tab/>
        <w:t>the plan expires in accordance with its terms;</w:t>
      </w:r>
    </w:p>
    <w:p>
      <w:pPr>
        <w:pStyle w:val="Indenti"/>
      </w:pPr>
      <w:r>
        <w:tab/>
        <w:t>(iii)</w:t>
      </w:r>
      <w:r>
        <w:tab/>
        <w:t>the activities to which the plan relates are completed.</w:t>
      </w:r>
    </w:p>
    <w:p>
      <w:pPr>
        <w:pStyle w:val="Heading5"/>
      </w:pPr>
      <w:bookmarkStart w:id="207" w:name="_Toc154742833"/>
      <w:r>
        <w:rPr>
          <w:rStyle w:val="CharSectno"/>
        </w:rPr>
        <w:t>153</w:t>
      </w:r>
      <w:r>
        <w:t>.</w:t>
      </w:r>
      <w:r>
        <w:tab/>
        <w:t>Conditions</w:t>
      </w:r>
      <w:bookmarkEnd w:id="207"/>
    </w:p>
    <w:p>
      <w:pPr>
        <w:pStyle w:val="Subsection"/>
      </w:pPr>
      <w:r>
        <w:tab/>
      </w:r>
      <w:r>
        <w:tab/>
        <w:t xml:space="preserve">It is a condition of an approval of an ACH management plan that — </w:t>
      </w:r>
    </w:p>
    <w:p>
      <w:pPr>
        <w:pStyle w:val="Indenta"/>
      </w:pPr>
      <w:r>
        <w:tab/>
        <w:t>(a)</w:t>
      </w:r>
      <w:r>
        <w:tab/>
        <w:t>a party to the plan must notify the ACH Council if the party becomes aware, while the approval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Heading5"/>
      </w:pPr>
      <w:bookmarkStart w:id="208" w:name="_Toc154742834"/>
      <w:r>
        <w:rPr>
          <w:rStyle w:val="CharSectno"/>
        </w:rPr>
        <w:t>154</w:t>
      </w:r>
      <w:r>
        <w:t>.</w:t>
      </w:r>
      <w:r>
        <w:tab/>
        <w:t>Suspension or cancellation of ACH management plan approval</w:t>
      </w:r>
      <w:bookmarkEnd w:id="208"/>
    </w:p>
    <w:p>
      <w:pPr>
        <w:pStyle w:val="Subsection"/>
      </w:pPr>
      <w:r>
        <w:tab/>
        <w:t>(1)</w:t>
      </w:r>
      <w:r>
        <w:tab/>
        <w:t xml:space="preserve">The Minister may, by written notice given to the parties to an ACH management plan approved under section 150(1)(b)(i), take either of the following actions — </w:t>
      </w:r>
    </w:p>
    <w:p>
      <w:pPr>
        <w:pStyle w:val="Indenta"/>
      </w:pPr>
      <w:r>
        <w:tab/>
        <w:t>(a)</w:t>
      </w:r>
      <w:r>
        <w:tab/>
        <w:t>suspend the approval for a specified period;</w:t>
      </w:r>
    </w:p>
    <w:p>
      <w:pPr>
        <w:pStyle w:val="Indenta"/>
      </w:pPr>
      <w:r>
        <w:tab/>
        <w:t>(b)</w:t>
      </w:r>
      <w:r>
        <w:tab/>
        <w:t>cancel the approval.</w:t>
      </w:r>
    </w:p>
    <w:p>
      <w:pPr>
        <w:pStyle w:val="Subsection"/>
      </w:pPr>
      <w:r>
        <w:tab/>
        <w:t>(2)</w:t>
      </w:r>
      <w:r>
        <w:tab/>
        <w:t xml:space="preserve">A notice under subsection (1) may be given only if — </w:t>
      </w:r>
    </w:p>
    <w:p>
      <w:pPr>
        <w:pStyle w:val="Indenta"/>
      </w:pPr>
      <w:r>
        <w:tab/>
        <w:t>(a)</w:t>
      </w:r>
      <w:r>
        <w:tab/>
        <w:t>the Minister is not satisfied that the matters set out in section 151 still apply;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lastRenderedPageBreak/>
        <w:tab/>
        <w:t>(c)</w:t>
      </w:r>
      <w:r>
        <w:tab/>
        <w:t>the proponent contravenes a condition to which the approval is subject.</w:t>
      </w:r>
    </w:p>
    <w:p>
      <w:pPr>
        <w:pStyle w:val="Subsection"/>
        <w:keepNext/>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it.</w:t>
      </w:r>
    </w:p>
    <w:p>
      <w:pPr>
        <w:pStyle w:val="Subsection"/>
      </w:pPr>
      <w:r>
        <w:tab/>
        <w:t>(4)</w:t>
      </w:r>
      <w:r>
        <w:tab/>
        <w:t>Before taking action under subsection (1), the Minister must give the parties to the ACH management plan —</w:t>
      </w:r>
    </w:p>
    <w:p>
      <w:pPr>
        <w:pStyle w:val="Indenta"/>
      </w:pPr>
      <w:r>
        <w:tab/>
        <w:t>(a)</w:t>
      </w:r>
      <w:r>
        <w:tab/>
        <w:t xml:space="preserve">written notice of — </w:t>
      </w:r>
    </w:p>
    <w:p>
      <w:pPr>
        <w:pStyle w:val="Indenti"/>
      </w:pPr>
      <w:r>
        <w:tab/>
        <w:t>(i)</w:t>
      </w:r>
      <w:r>
        <w:tab/>
        <w:t xml:space="preserve">the action that the Minister proposes to take; and </w:t>
      </w:r>
    </w:p>
    <w:p>
      <w:pPr>
        <w:pStyle w:val="Indenti"/>
      </w:pPr>
      <w:r>
        <w:tab/>
        <w:t>(ii)</w:t>
      </w:r>
      <w:r>
        <w:tab/>
        <w:t xml:space="preserve">the grounds on which the Minister proposes to take that action; </w:t>
      </w:r>
    </w:p>
    <w:p>
      <w:pPr>
        <w:pStyle w:val="Indenta"/>
      </w:pPr>
      <w:r>
        <w:tab/>
      </w:r>
      <w:r>
        <w:tab/>
        <w:t>and</w:t>
      </w:r>
    </w:p>
    <w:p>
      <w:pPr>
        <w:pStyle w:val="Indenta"/>
      </w:pPr>
      <w:r>
        <w:tab/>
        <w:t>(b)</w:t>
      </w:r>
      <w:r>
        <w:tab/>
        <w:t>a reasonable opportunity to be heard on the matter.</w:t>
      </w:r>
    </w:p>
    <w:p>
      <w:pPr>
        <w:pStyle w:val="Subsection"/>
      </w:pPr>
      <w:r>
        <w:tab/>
        <w:t>(5)</w:t>
      </w:r>
      <w:r>
        <w:tab/>
        <w:t>If approval of an ACH management plan is suspended, it is of no effect during the period of the suspension.</w:t>
      </w:r>
    </w:p>
    <w:p>
      <w:pPr>
        <w:pStyle w:val="Heading5"/>
      </w:pPr>
      <w:bookmarkStart w:id="209" w:name="_Toc154742835"/>
      <w:r>
        <w:rPr>
          <w:rStyle w:val="CharSectno"/>
        </w:rPr>
        <w:t>155</w:t>
      </w:r>
      <w:r>
        <w:t>.</w:t>
      </w:r>
      <w:r>
        <w:tab/>
        <w:t>Objection to decision of ACH Council</w:t>
      </w:r>
      <w:bookmarkEnd w:id="209"/>
    </w:p>
    <w:p>
      <w:pPr>
        <w:pStyle w:val="Subsection"/>
      </w:pPr>
      <w:r>
        <w:tab/>
        <w:t>(1)</w:t>
      </w:r>
      <w:r>
        <w:tab/>
        <w:t>A party to an ACH management plan may, within the prescribed period, object in writing to the Minister if the ACH Council —</w:t>
      </w:r>
    </w:p>
    <w:p>
      <w:pPr>
        <w:pStyle w:val="Indenta"/>
      </w:pPr>
      <w:r>
        <w:tab/>
        <w:t>(a)</w:t>
      </w:r>
      <w:r>
        <w:tab/>
        <w:t>refuses to approve the plan under section 150(1)(b)(ii); or</w:t>
      </w:r>
    </w:p>
    <w:p>
      <w:pPr>
        <w:pStyle w:val="Indenta"/>
      </w:pPr>
      <w:r>
        <w:tab/>
        <w:t>(b)</w:t>
      </w:r>
      <w:r>
        <w:tab/>
        <w:t>refuses to approve an amended ACH management plan under section 169(1).</w:t>
      </w:r>
    </w:p>
    <w:p>
      <w:pPr>
        <w:pStyle w:val="Subsection"/>
      </w:pPr>
      <w:r>
        <w:tab/>
        <w:t>(2)</w:t>
      </w:r>
      <w:r>
        <w:tab/>
        <w:t xml:space="preserve">On receipt of an objection under subsection (1),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lastRenderedPageBreak/>
        <w:tab/>
        <w:t>(b)</w:t>
      </w:r>
      <w:r>
        <w:tab/>
        <w:t>the reasons of the Council for the decision, and any other information that, in the opinion of the Council, is relevant to the decision.</w:t>
      </w:r>
    </w:p>
    <w:p>
      <w:pPr>
        <w:pStyle w:val="Subsection"/>
      </w:pPr>
      <w:r>
        <w:tab/>
        <w:t>(3)</w:t>
      </w:r>
      <w:r>
        <w:tab/>
        <w:t xml:space="preserve">The Minister may make a written request to any of the parties to the ACH management plan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 xml:space="preserve">verify any further information by statutory declaration. </w:t>
      </w:r>
    </w:p>
    <w:p>
      <w:pPr>
        <w:pStyle w:val="Subsection"/>
      </w:pPr>
      <w:r>
        <w:tab/>
        <w:t>(4)</w:t>
      </w:r>
      <w:r>
        <w:tab/>
        <w:t xml:space="preserve">Having considered the information provided by the ACH Council under subsection (2) and any further information provided in response to a request under subsection (3), the Minister must — </w:t>
      </w:r>
    </w:p>
    <w:p>
      <w:pPr>
        <w:pStyle w:val="Indenta"/>
      </w:pPr>
      <w:r>
        <w:tab/>
        <w:t>(a)</w:t>
      </w:r>
      <w:r>
        <w:tab/>
        <w:t>confirm the decision made by the Council; or</w:t>
      </w:r>
    </w:p>
    <w:p>
      <w:pPr>
        <w:pStyle w:val="Indenta"/>
      </w:pPr>
      <w:r>
        <w:tab/>
        <w:t>(b)</w:t>
      </w:r>
      <w:r>
        <w:tab/>
        <w:t>make another decision.</w:t>
      </w:r>
    </w:p>
    <w:p>
      <w:pPr>
        <w:pStyle w:val="Subsection"/>
      </w:pPr>
      <w:r>
        <w:tab/>
        <w:t>(5)</w:t>
      </w:r>
      <w:r>
        <w:tab/>
        <w:t xml:space="preserve">The decision of the Minister under subsection (4) must be made on the grounds of — </w:t>
      </w:r>
    </w:p>
    <w:p>
      <w:pPr>
        <w:pStyle w:val="Indenta"/>
      </w:pPr>
      <w:r>
        <w:tab/>
        <w:t>(a)</w:t>
      </w:r>
      <w:r>
        <w:tab/>
        <w:t>whether or not the Minister is satisfied as to the matters set out in section 151; and</w:t>
      </w:r>
    </w:p>
    <w:p>
      <w:pPr>
        <w:pStyle w:val="Indenta"/>
      </w:pPr>
      <w:r>
        <w:tab/>
        <w:t>(b)</w:t>
      </w:r>
      <w:r>
        <w:tab/>
        <w:t>what is in the interests of the State.</w:t>
      </w:r>
    </w:p>
    <w:p>
      <w:pPr>
        <w:pStyle w:val="Subsection"/>
      </w:pPr>
      <w:r>
        <w:tab/>
        <w:t>(6)</w:t>
      </w:r>
      <w:r>
        <w:tab/>
        <w:t>The Minister must ensure that written notice of the decision is given within 14 days after the decision is made under subsection (4) to the parties to the ACH management plan.</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210" w:name="_Toc154742836"/>
      <w:r>
        <w:rPr>
          <w:rStyle w:val="CharSectno"/>
        </w:rPr>
        <w:t>156</w:t>
      </w:r>
      <w:r>
        <w:t>.</w:t>
      </w:r>
      <w:r>
        <w:tab/>
        <w:t>Notice of decision must be given</w:t>
      </w:r>
      <w:bookmarkEnd w:id="210"/>
    </w:p>
    <w:p>
      <w:pPr>
        <w:pStyle w:val="Subsection"/>
      </w:pPr>
      <w:r>
        <w:tab/>
        <w:t>(1)</w:t>
      </w:r>
      <w:r>
        <w:tab/>
        <w:t>The ACH Council must give to a person written notice of a decision of the Council if the person has a right under section 155(1) to object to the Minister about the decision.</w:t>
      </w:r>
    </w:p>
    <w:p>
      <w:pPr>
        <w:pStyle w:val="Subsection"/>
      </w:pPr>
      <w:r>
        <w:lastRenderedPageBreak/>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155(1), to the Minister about the decision.</w:t>
      </w:r>
    </w:p>
    <w:p>
      <w:pPr>
        <w:pStyle w:val="Heading4"/>
      </w:pPr>
      <w:bookmarkStart w:id="211" w:name="_Toc154742837"/>
      <w:r>
        <w:t>Subdivision 3 — Authorisation of ACH management plan by Minister</w:t>
      </w:r>
      <w:bookmarkEnd w:id="211"/>
    </w:p>
    <w:p>
      <w:pPr>
        <w:pStyle w:val="Heading5"/>
      </w:pPr>
      <w:bookmarkStart w:id="212" w:name="_Toc154742838"/>
      <w:r>
        <w:rPr>
          <w:rStyle w:val="CharSectno"/>
        </w:rPr>
        <w:t>157</w:t>
      </w:r>
      <w:r>
        <w:t>.</w:t>
      </w:r>
      <w:r>
        <w:tab/>
        <w:t>Application for authorisation of ACH management plan</w:t>
      </w:r>
      <w:bookmarkEnd w:id="212"/>
    </w:p>
    <w:p>
      <w:pPr>
        <w:pStyle w:val="Subsection"/>
        <w:keepNext/>
        <w:keepLines/>
      </w:pPr>
      <w:r>
        <w:tab/>
        <w:t>(1)</w:t>
      </w:r>
      <w:r>
        <w:tab/>
        <w:t xml:space="preserve">A proponent may apply to the ACH Council for the authorisation of an ACH management plan by the Minister if — </w:t>
      </w:r>
    </w:p>
    <w:p>
      <w:pPr>
        <w:pStyle w:val="Indenta"/>
      </w:pPr>
      <w:r>
        <w:tab/>
        <w:t>(a)</w:t>
      </w:r>
      <w:r>
        <w:tab/>
        <w:t>the proponent intends to carry out an activity that may harm Aboriginal cultural heritage; and</w:t>
      </w:r>
    </w:p>
    <w:p>
      <w:pPr>
        <w:pStyle w:val="Indenta"/>
        <w:keepNext/>
        <w:keepLines/>
      </w:pPr>
      <w:r>
        <w:tab/>
        <w:t>(b)</w:t>
      </w:r>
      <w:r>
        <w:tab/>
        <w:t>the period specified under section 143(2) for reaching agreement on a plan for the management of the proposed activity has ended; and</w:t>
      </w:r>
    </w:p>
    <w:p>
      <w:pPr>
        <w:pStyle w:val="Indenta"/>
        <w:keepNext/>
        <w:keepLines/>
      </w:pPr>
      <w:r>
        <w:tab/>
        <w:t>(c)</w:t>
      </w:r>
      <w:r>
        <w:tab/>
        <w:t>the proponent has not been able to reach agreement with each interested Aboriginal party about the terms of a plan.</w:t>
      </w:r>
    </w:p>
    <w:p>
      <w:pPr>
        <w:pStyle w:val="Subsection"/>
      </w:pPr>
      <w:r>
        <w:tab/>
        <w:t>(2)</w:t>
      </w:r>
      <w:r>
        <w:tab/>
        <w:t xml:space="preserve">An application for the authorisation of an ACH management plan by the Minister must — </w:t>
      </w:r>
    </w:p>
    <w:p>
      <w:pPr>
        <w:pStyle w:val="Indenta"/>
      </w:pPr>
      <w:r>
        <w:tab/>
        <w:t>(a)</w:t>
      </w:r>
      <w:r>
        <w:tab/>
        <w:t>be made to the ACH Council in the approved form; and</w:t>
      </w:r>
    </w:p>
    <w:p>
      <w:pPr>
        <w:pStyle w:val="Indenta"/>
      </w:pPr>
      <w:r>
        <w:tab/>
        <w:t>(b)</w:t>
      </w:r>
      <w:r>
        <w:tab/>
        <w:t>include the plan proposed by the proponent; and</w:t>
      </w:r>
    </w:p>
    <w:p>
      <w:pPr>
        <w:pStyle w:val="Indenta"/>
      </w:pPr>
      <w:r>
        <w:tab/>
        <w:t>(c)</w:t>
      </w:r>
      <w:r>
        <w:tab/>
        <w:t>identify each interested Aboriginal party for the plan; and</w:t>
      </w:r>
    </w:p>
    <w:p>
      <w:pPr>
        <w:pStyle w:val="Indenta"/>
      </w:pPr>
      <w:r>
        <w:tab/>
        <w:t>(d)</w:t>
      </w:r>
      <w:r>
        <w:tab/>
        <w:t>include details of the consultation about the carrying out of the activity that has been conducted with each of the persons to be consulted; and</w:t>
      </w:r>
    </w:p>
    <w:p>
      <w:pPr>
        <w:pStyle w:val="Indenta"/>
      </w:pPr>
      <w:r>
        <w:lastRenderedPageBreak/>
        <w:tab/>
        <w:t>(e)</w:t>
      </w:r>
      <w:r>
        <w:tab/>
        <w:t>include any responses to the proposal to carry out the activity that were provided to the proponent by a person who was consulted; and</w:t>
      </w:r>
    </w:p>
    <w:p>
      <w:pPr>
        <w:pStyle w:val="Indenta"/>
      </w:pPr>
      <w:r>
        <w:tab/>
        <w:t>(f)</w:t>
      </w:r>
      <w:r>
        <w:tab/>
        <w:t xml:space="preserve">include details of the negotiation that has been carried out under section 143(1) between the proponent and each interested Aboriginal party, including — </w:t>
      </w:r>
    </w:p>
    <w:p>
      <w:pPr>
        <w:pStyle w:val="Indenti"/>
      </w:pPr>
      <w:r>
        <w:tab/>
        <w:t>(i)</w:t>
      </w:r>
      <w:r>
        <w:tab/>
        <w:t>a summary of the issues that are in dispute between the proponent and each interested Aboriginal party; and</w:t>
      </w:r>
    </w:p>
    <w:p>
      <w:pPr>
        <w:pStyle w:val="Indenti"/>
      </w:pPr>
      <w:r>
        <w:tab/>
        <w:t>(ii)</w:t>
      </w:r>
      <w:r>
        <w:tab/>
        <w:t>evidence that the proponent used their best endeavours to reach agreement about the terms of a plan;</w:t>
      </w:r>
    </w:p>
    <w:p>
      <w:pPr>
        <w:pStyle w:val="Indenta"/>
      </w:pPr>
      <w:r>
        <w:tab/>
      </w:r>
      <w:r>
        <w:tab/>
        <w:t>and</w:t>
      </w:r>
    </w:p>
    <w:p>
      <w:pPr>
        <w:pStyle w:val="Indenta"/>
      </w:pPr>
      <w:r>
        <w:tab/>
        <w:t>(g)</w:t>
      </w:r>
      <w:r>
        <w:tab/>
        <w:t>be accompanied by the other documents or information, if any, prescribed for the purposes of this paragraph.</w:t>
      </w:r>
    </w:p>
    <w:p>
      <w:pPr>
        <w:pStyle w:val="Heading5"/>
      </w:pPr>
      <w:bookmarkStart w:id="213" w:name="_Toc154742839"/>
      <w:r>
        <w:rPr>
          <w:rStyle w:val="CharSectno"/>
        </w:rPr>
        <w:t>158</w:t>
      </w:r>
      <w:r>
        <w:t>.</w:t>
      </w:r>
      <w:r>
        <w:tab/>
        <w:t>Further information in support of application</w:t>
      </w:r>
      <w:bookmarkEnd w:id="213"/>
    </w:p>
    <w:p>
      <w:pPr>
        <w:pStyle w:val="Subsection"/>
      </w:pPr>
      <w:r>
        <w:tab/>
        <w:t>(1)</w:t>
      </w:r>
      <w:r>
        <w:tab/>
        <w:t xml:space="preserve">The ACH Council may make a written request to the applicant for authorisation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14" w:name="_Toc154742840"/>
      <w:r>
        <w:rPr>
          <w:rStyle w:val="CharSectno"/>
        </w:rPr>
        <w:t>159</w:t>
      </w:r>
      <w:r>
        <w:t>.</w:t>
      </w:r>
      <w:r>
        <w:tab/>
        <w:t>ACH Council may refuse to consider some applications</w:t>
      </w:r>
      <w:bookmarkEnd w:id="214"/>
    </w:p>
    <w:p>
      <w:pPr>
        <w:pStyle w:val="Subsection"/>
      </w:pPr>
      <w:r>
        <w:tab/>
      </w:r>
      <w:r>
        <w:tab/>
        <w:t xml:space="preserve">The ACH Council may refuse to consider, or consider further, an application if — </w:t>
      </w:r>
    </w:p>
    <w:p>
      <w:pPr>
        <w:pStyle w:val="Indenta"/>
      </w:pPr>
      <w:r>
        <w:tab/>
        <w:t>(a)</w:t>
      </w:r>
      <w:r>
        <w:tab/>
        <w:t>the application is not made in accordance with this Act; or</w:t>
      </w:r>
    </w:p>
    <w:p>
      <w:pPr>
        <w:pStyle w:val="Indenta"/>
      </w:pPr>
      <w:r>
        <w:lastRenderedPageBreak/>
        <w:tab/>
        <w:t>(b)</w:t>
      </w:r>
      <w:r>
        <w:tab/>
        <w:t>the applicant has not complied with a request under section 158.</w:t>
      </w:r>
    </w:p>
    <w:p>
      <w:pPr>
        <w:pStyle w:val="Heading5"/>
      </w:pPr>
      <w:bookmarkStart w:id="215" w:name="_Toc154742841"/>
      <w:r>
        <w:rPr>
          <w:rStyle w:val="CharSectno"/>
        </w:rPr>
        <w:t>160</w:t>
      </w:r>
      <w:r>
        <w:t>.</w:t>
      </w:r>
      <w:r>
        <w:tab/>
        <w:t>Assistance to reach agreement on ACH management plan</w:t>
      </w:r>
      <w:bookmarkEnd w:id="215"/>
    </w:p>
    <w:p>
      <w:pPr>
        <w:pStyle w:val="Subsection"/>
      </w:pPr>
      <w:r>
        <w:tab/>
        <w:t>(1)</w:t>
      </w:r>
      <w:r>
        <w:tab/>
        <w:t xml:space="preserve">If an application for the authorisation of an ACH management plan to carry out an activity is made under section 157(1), the ACH Council may — </w:t>
      </w:r>
    </w:p>
    <w:p>
      <w:pPr>
        <w:pStyle w:val="Indenta"/>
      </w:pPr>
      <w:r>
        <w:tab/>
        <w:t>(a)</w:t>
      </w:r>
      <w:r>
        <w:tab/>
        <w:t xml:space="preserve">assist the applicant and each interested Aboriginal party (the </w:t>
      </w:r>
      <w:r>
        <w:rPr>
          <w:rStyle w:val="CharDefText"/>
        </w:rPr>
        <w:t>proposed parties</w:t>
      </w:r>
      <w:r>
        <w:t>) to reach agreement about the terms of an ACH management plan in respect of the activity; and</w:t>
      </w:r>
    </w:p>
    <w:p>
      <w:pPr>
        <w:pStyle w:val="Indenta"/>
      </w:pPr>
      <w:r>
        <w:tab/>
        <w:t>(b)</w:t>
      </w:r>
      <w:r>
        <w:tab/>
        <w:t>for that purpose, act as a mediator.</w:t>
      </w:r>
    </w:p>
    <w:p>
      <w:pPr>
        <w:pStyle w:val="Subsection"/>
      </w:pPr>
      <w:r>
        <w:tab/>
        <w:t>(2)</w:t>
      </w:r>
      <w:r>
        <w:tab/>
        <w:t>The ACH Council must give written notice to the proposed parties of an offer under subsection (1) to assist them to reach agreement about the terms of an ACH management plan.</w:t>
      </w:r>
    </w:p>
    <w:p>
      <w:pPr>
        <w:pStyle w:val="Subsection"/>
      </w:pPr>
      <w:r>
        <w:tab/>
        <w:t>(3)</w:t>
      </w:r>
      <w:r>
        <w:tab/>
        <w:t>The period during which the offer by the ACH Council to assist the proposed parties to reach agreement about the terms of an ACH management plan can be utilised by the proposed parties ends on the day specified by the Council in written notice given to the proposed parties.</w:t>
      </w:r>
    </w:p>
    <w:p>
      <w:pPr>
        <w:pStyle w:val="Subsection"/>
      </w:pPr>
      <w:r>
        <w:tab/>
        <w:t>(4)</w:t>
      </w:r>
      <w:r>
        <w:tab/>
        <w:t xml:space="preserve">In assisting the proposed parties to reach agreement the ACH Council may — </w:t>
      </w:r>
    </w:p>
    <w:p>
      <w:pPr>
        <w:pStyle w:val="Indenta"/>
      </w:pPr>
      <w:r>
        <w:tab/>
        <w:t>(a)</w:t>
      </w:r>
      <w:r>
        <w:tab/>
        <w:t>request the applicant to submit an amended ACH management plan; or</w:t>
      </w:r>
    </w:p>
    <w:p>
      <w:pPr>
        <w:pStyle w:val="Indenta"/>
      </w:pPr>
      <w:r>
        <w:tab/>
        <w:t>(b)</w:t>
      </w:r>
      <w:r>
        <w:tab/>
        <w:t>request an interested Aboriginal party to submit an ACH management plan; or</w:t>
      </w:r>
    </w:p>
    <w:p>
      <w:pPr>
        <w:pStyle w:val="Indenta"/>
      </w:pPr>
      <w:r>
        <w:tab/>
        <w:t>(c)</w:t>
      </w:r>
      <w:r>
        <w:tab/>
        <w:t>propose an ACH management plan for the consideration of the proposed parties.</w:t>
      </w:r>
    </w:p>
    <w:p>
      <w:pPr>
        <w:pStyle w:val="Subsection"/>
        <w:keepNext/>
      </w:pPr>
      <w:r>
        <w:tab/>
        <w:t>(5)</w:t>
      </w:r>
      <w:r>
        <w:tab/>
        <w:t xml:space="preserve">If the ACH Council is acting as a mediator under subsection (1)(b), it must not use or disclose information to </w:t>
      </w:r>
      <w:r>
        <w:lastRenderedPageBreak/>
        <w:t xml:space="preserve">which it has had access only because it provided assistance under subsection (1) other than — </w:t>
      </w:r>
    </w:p>
    <w:p>
      <w:pPr>
        <w:pStyle w:val="Indenta"/>
      </w:pPr>
      <w:r>
        <w:tab/>
        <w:t>(a)</w:t>
      </w:r>
      <w:r>
        <w:tab/>
        <w:t xml:space="preserve">for the purposes of — </w:t>
      </w:r>
    </w:p>
    <w:p>
      <w:pPr>
        <w:pStyle w:val="Indenti"/>
      </w:pPr>
      <w:r>
        <w:tab/>
        <w:t>(i)</w:t>
      </w:r>
      <w:r>
        <w:tab/>
        <w:t>providing that assistance; or</w:t>
      </w:r>
    </w:p>
    <w:p>
      <w:pPr>
        <w:pStyle w:val="Indenti"/>
      </w:pPr>
      <w:r>
        <w:tab/>
        <w:t>(ii)</w:t>
      </w:r>
      <w:r>
        <w:tab/>
        <w:t>establishing whether an interested Aboriginal party has given informed consent to an ACH management plan;</w:t>
      </w:r>
    </w:p>
    <w:p>
      <w:pPr>
        <w:pStyle w:val="Indenta"/>
      </w:pPr>
      <w:r>
        <w:tab/>
      </w:r>
      <w:r>
        <w:tab/>
        <w:t>or</w:t>
      </w:r>
    </w:p>
    <w:p>
      <w:pPr>
        <w:pStyle w:val="Indenta"/>
      </w:pPr>
      <w:r>
        <w:tab/>
        <w:t>(b)</w:t>
      </w:r>
      <w:r>
        <w:tab/>
        <w:t>with the prior written consent of the person who provided the Council with the information.</w:t>
      </w:r>
    </w:p>
    <w:p>
      <w:pPr>
        <w:pStyle w:val="Subsection"/>
      </w:pPr>
      <w:r>
        <w:tab/>
        <w:t>(6)</w:t>
      </w:r>
      <w:r>
        <w:tab/>
        <w:t xml:space="preserve">For the purposes of this section, the ACH Council may appoint another person (a </w:t>
      </w:r>
      <w:r>
        <w:rPr>
          <w:rStyle w:val="CharDefText"/>
        </w:rPr>
        <w:t>mediator</w:t>
      </w:r>
      <w:r>
        <w:t>) to perform the functions of the Council under this section in relation to assisting the proposed parties to reach agreement and acting as a mediator.</w:t>
      </w:r>
    </w:p>
    <w:p>
      <w:pPr>
        <w:pStyle w:val="Subsection"/>
      </w:pPr>
      <w:r>
        <w:tab/>
        <w:t>(7)</w:t>
      </w:r>
      <w:r>
        <w:tab/>
        <w:t>Section 305 applies to a mediator in respect of the mediator’s performance or purported performance of a function described in subsection (6).</w:t>
      </w:r>
    </w:p>
    <w:p>
      <w:pPr>
        <w:pStyle w:val="Heading5"/>
      </w:pPr>
      <w:bookmarkStart w:id="216" w:name="_Toc154742842"/>
      <w:r>
        <w:rPr>
          <w:rStyle w:val="CharSectno"/>
        </w:rPr>
        <w:t>161</w:t>
      </w:r>
      <w:r>
        <w:t>.</w:t>
      </w:r>
      <w:r>
        <w:tab/>
        <w:t>ACH Council may approve ACH management plan if agreement reached</w:t>
      </w:r>
      <w:bookmarkEnd w:id="216"/>
    </w:p>
    <w:p>
      <w:pPr>
        <w:pStyle w:val="Subsection"/>
      </w:pPr>
      <w:r>
        <w:tab/>
        <w:t>(1)</w:t>
      </w:r>
      <w:r>
        <w:tab/>
        <w:t>If, during consideration of an application for the authorisation of an ACH management plan under section 157(1), the applicant and each interested Aboriginal party advise the ACH Council that they have reached agreement on the terms of the plan, the Council may consider the application as an application made under section 147(1) for approval of the agreed plan.</w:t>
      </w:r>
    </w:p>
    <w:p>
      <w:pPr>
        <w:pStyle w:val="Subsection"/>
      </w:pPr>
      <w:r>
        <w:tab/>
        <w:t>(2)</w:t>
      </w:r>
      <w:r>
        <w:tab/>
        <w:t>This section does not apply if the ACH Council has made a determination under section 176(1)(b)(i) that Aboriginal cultural heritage located in the area to which the ACH management plan relates is of State significance for the purposes of this Act.</w:t>
      </w:r>
    </w:p>
    <w:p>
      <w:pPr>
        <w:pStyle w:val="Heading5"/>
      </w:pPr>
      <w:bookmarkStart w:id="217" w:name="_Toc154742843"/>
      <w:r>
        <w:rPr>
          <w:rStyle w:val="CharSectno"/>
        </w:rPr>
        <w:lastRenderedPageBreak/>
        <w:t>162</w:t>
      </w:r>
      <w:r>
        <w:t>.</w:t>
      </w:r>
      <w:r>
        <w:tab/>
        <w:t>Recommendation of ACH Council</w:t>
      </w:r>
      <w:bookmarkEnd w:id="217"/>
    </w:p>
    <w:p>
      <w:pPr>
        <w:pStyle w:val="Subsection"/>
        <w:keepNext/>
      </w:pPr>
      <w:r>
        <w:tab/>
        <w:t>(1)</w:t>
      </w:r>
      <w:r>
        <w:tab/>
        <w:t xml:space="preserve">The ACH Council must — </w:t>
      </w:r>
    </w:p>
    <w:p>
      <w:pPr>
        <w:pStyle w:val="Indenta"/>
      </w:pPr>
      <w:r>
        <w:tab/>
        <w:t>(a)</w:t>
      </w:r>
      <w:r>
        <w:tab/>
        <w:t>assess each application for the authorisation of an ACH management plan in accordance with section 163(1); and</w:t>
      </w:r>
    </w:p>
    <w:p>
      <w:pPr>
        <w:pStyle w:val="Indenta"/>
        <w:keepNext/>
      </w:pPr>
      <w:r>
        <w:tab/>
        <w:t>(b)</w:t>
      </w:r>
      <w:r>
        <w:tab/>
        <w:t xml:space="preserve">make a recommendation that the Minister — </w:t>
      </w:r>
    </w:p>
    <w:p>
      <w:pPr>
        <w:pStyle w:val="Indenti"/>
      </w:pPr>
      <w:r>
        <w:tab/>
        <w:t>(i)</w:t>
      </w:r>
      <w:r>
        <w:tab/>
        <w:t>authorise the ACH management plan included with the recommendation; or</w:t>
      </w:r>
    </w:p>
    <w:p>
      <w:pPr>
        <w:pStyle w:val="Indenti"/>
      </w:pPr>
      <w:r>
        <w:tab/>
        <w:t>(ii)</w:t>
      </w:r>
      <w:r>
        <w:tab/>
        <w:t>refuse to authorise an ACH management plan for the activity to which the application relates.</w:t>
      </w:r>
    </w:p>
    <w:p>
      <w:pPr>
        <w:pStyle w:val="Subsection"/>
      </w:pPr>
      <w:r>
        <w:tab/>
        <w:t>(2)</w:t>
      </w:r>
      <w:r>
        <w:tab/>
        <w:t>A recommendation to the Minister under subsection (1)(b) must be made by the ACH Council within the prescribed period.</w:t>
      </w:r>
    </w:p>
    <w:p>
      <w:pPr>
        <w:pStyle w:val="Subsection"/>
      </w:pPr>
      <w:r>
        <w:tab/>
        <w:t>(3)</w:t>
      </w:r>
      <w:r>
        <w:tab/>
        <w:t>The ACH Council must give written notice of the Council’s recommendation to the Minister under subsection (1)(b) to the applicant and to each interested Aboriginal party for the ACH management plan.</w:t>
      </w:r>
    </w:p>
    <w:p>
      <w:pPr>
        <w:pStyle w:val="Subsection"/>
      </w:pPr>
      <w:r>
        <w:tab/>
        <w:t>(4)</w:t>
      </w:r>
      <w:r>
        <w:tab/>
        <w:t xml:space="preserve">The prescribed period for making a recommendation on an application does not include — </w:t>
      </w:r>
    </w:p>
    <w:p>
      <w:pPr>
        <w:pStyle w:val="Indenta"/>
      </w:pPr>
      <w:r>
        <w:tab/>
        <w:t>(a)</w:t>
      </w:r>
      <w:r>
        <w:tab/>
        <w:t xml:space="preserve">any period commencing on the day on which a request is made in respect of the application under section 158(1)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commencing on the day on which the ACH Council gives notice to the parties under section 160(2); and</w:t>
      </w:r>
    </w:p>
    <w:p>
      <w:pPr>
        <w:pStyle w:val="Indenti"/>
      </w:pPr>
      <w:r>
        <w:lastRenderedPageBreak/>
        <w:tab/>
        <w:t>(ii)</w:t>
      </w:r>
      <w:r>
        <w:tab/>
        <w:t>ending on the day specified in the notice given to the parties by the ACH Council under section 160(3);</w:t>
      </w:r>
    </w:p>
    <w:p>
      <w:pPr>
        <w:pStyle w:val="Indenta"/>
      </w:pPr>
      <w:r>
        <w:tab/>
      </w:r>
      <w:r>
        <w:tab/>
        <w:t>or</w:t>
      </w:r>
    </w:p>
    <w:p>
      <w:pPr>
        <w:pStyle w:val="Indenta"/>
      </w:pPr>
      <w:r>
        <w:tab/>
        <w:t>(c)</w:t>
      </w:r>
      <w:r>
        <w:tab/>
        <w:t xml:space="preserve">any period — </w:t>
      </w:r>
    </w:p>
    <w:p>
      <w:pPr>
        <w:pStyle w:val="Indenti"/>
      </w:pPr>
      <w:r>
        <w:tab/>
        <w:t>(i)</w:t>
      </w:r>
      <w:r>
        <w:tab/>
        <w:t>commencing on the day on which public notice is given under section 175(2) in respect of the Aboriginal cultural heritage that may be harmed by the activity to which the plan relates; and</w:t>
      </w:r>
    </w:p>
    <w:p>
      <w:pPr>
        <w:pStyle w:val="Indenti"/>
      </w:pPr>
      <w:r>
        <w:tab/>
        <w:t>(ii)</w:t>
      </w:r>
      <w:r>
        <w:tab/>
        <w:t>ending on the day on which the ACH Council makes a determination under section 176(1)(b) about whether the Aboriginal cultural heritage is of State significance for the purposes of this Act.</w:t>
      </w:r>
    </w:p>
    <w:p>
      <w:pPr>
        <w:pStyle w:val="Subsection"/>
      </w:pPr>
      <w:r>
        <w:tab/>
        <w:t>(5)</w:t>
      </w:r>
      <w:r>
        <w:tab/>
        <w:t>If the ACH Council does not make a recommendation to the Minister within the prescribed period, the applicant may make a written request to the Minister to direct the Council to do anything that the Minister considers necessary to expedite the matter.</w:t>
      </w:r>
    </w:p>
    <w:p>
      <w:pPr>
        <w:pStyle w:val="Subsection"/>
      </w:pPr>
      <w:r>
        <w:tab/>
        <w:t>(6)</w:t>
      </w:r>
      <w:r>
        <w:tab/>
        <w:t xml:space="preserve">A direction given by the Minister in response to a request under subsection (5)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(7)</w:t>
      </w:r>
      <w:r>
        <w:tab/>
        <w:t>If the ACH Council does not comply with a direction made by the Minister, the Minister may make a decision on the application under section 165(1)(b), and may request further information under section 164, without having received a recommendation from the Council.</w:t>
      </w:r>
    </w:p>
    <w:p>
      <w:pPr>
        <w:pStyle w:val="Heading5"/>
      </w:pPr>
      <w:bookmarkStart w:id="218" w:name="_Toc154742844"/>
      <w:r>
        <w:rPr>
          <w:rStyle w:val="CharSectno"/>
        </w:rPr>
        <w:t>163</w:t>
      </w:r>
      <w:r>
        <w:t>.</w:t>
      </w:r>
      <w:r>
        <w:tab/>
        <w:t>Recommendation of ACH management plan</w:t>
      </w:r>
      <w:bookmarkEnd w:id="218"/>
    </w:p>
    <w:p>
      <w:pPr>
        <w:pStyle w:val="Subsection"/>
      </w:pPr>
      <w:r>
        <w:tab/>
        <w:t>(1)</w:t>
      </w:r>
      <w:r>
        <w:tab/>
        <w:t xml:space="preserve">The ACH Council may recommend to the Minister under section 162(1)(b)(i) that an ACH management plan be </w:t>
      </w:r>
      <w:r>
        <w:lastRenderedPageBreak/>
        <w:t xml:space="preserve">authorised in respect of an activity only if the Council is satisfied — </w:t>
      </w:r>
    </w:p>
    <w:p>
      <w:pPr>
        <w:pStyle w:val="Indenta"/>
      </w:pPr>
      <w:r>
        <w:tab/>
        <w:t>(a)</w:t>
      </w:r>
      <w:r>
        <w:tab/>
        <w:t>that the activity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pPr>
      <w:r>
        <w:tab/>
        <w:t>(c)</w:t>
      </w:r>
      <w:r>
        <w:tab/>
        <w:t>that there has been consultation with each person to be consulted about the activity; and</w:t>
      </w:r>
    </w:p>
    <w:p>
      <w:pPr>
        <w:pStyle w:val="Indenta"/>
      </w:pPr>
      <w:r>
        <w:tab/>
        <w:t>(d)</w:t>
      </w:r>
      <w:r>
        <w:tab/>
        <w:t>that the plan provides for the activity to be managed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 xml:space="preserve">The ACH Council may recommend under section 162(1)(b)(i) that the Minister authorise an ACH management plan that is any of the following — </w:t>
      </w:r>
    </w:p>
    <w:p>
      <w:pPr>
        <w:pStyle w:val="Indenta"/>
      </w:pPr>
      <w:r>
        <w:tab/>
        <w:t>(a)</w:t>
      </w:r>
      <w:r>
        <w:tab/>
        <w:t>the ACH management plan included with the application under section 157(1);</w:t>
      </w:r>
    </w:p>
    <w:p>
      <w:pPr>
        <w:pStyle w:val="Indenta"/>
      </w:pPr>
      <w:r>
        <w:tab/>
        <w:t>(b)</w:t>
      </w:r>
      <w:r>
        <w:tab/>
        <w:t>if section 177(1)(a) applies — the ACH management plan included with the application under section 147(1);</w:t>
      </w:r>
    </w:p>
    <w:p>
      <w:pPr>
        <w:pStyle w:val="Indenta"/>
      </w:pPr>
      <w:r>
        <w:tab/>
        <w:t>(c)</w:t>
      </w:r>
      <w:r>
        <w:tab/>
        <w:t>an ACH management plan submitted or proposed under section 160(4);</w:t>
      </w:r>
    </w:p>
    <w:p>
      <w:pPr>
        <w:pStyle w:val="Indenta"/>
      </w:pPr>
      <w:r>
        <w:tab/>
        <w:t>(d)</w:t>
      </w:r>
      <w:r>
        <w:tab/>
        <w:t>another ACH management plan prepared by the Council.</w:t>
      </w:r>
    </w:p>
    <w:p>
      <w:pPr>
        <w:pStyle w:val="Heading5"/>
      </w:pPr>
      <w:bookmarkStart w:id="219" w:name="_Toc154742845"/>
      <w:r>
        <w:rPr>
          <w:rStyle w:val="CharSectno"/>
        </w:rPr>
        <w:t>164</w:t>
      </w:r>
      <w:r>
        <w:t>.</w:t>
      </w:r>
      <w:r>
        <w:tab/>
        <w:t>Minister may request further information</w:t>
      </w:r>
      <w:bookmarkEnd w:id="219"/>
    </w:p>
    <w:p>
      <w:pPr>
        <w:pStyle w:val="Subsection"/>
      </w:pPr>
      <w:r>
        <w:tab/>
      </w:r>
      <w:r>
        <w:tab/>
        <w:t>If the ACH Council makes a recommendation to the Minister under section 162(1)(b) in respect of an application for the authorisation of an ACH management plan, the Minister may make a written request to the Council or any other person to provide the Minister with any further information the Minister requires to assist in making a decision under section 165(1)(b).</w:t>
      </w:r>
    </w:p>
    <w:p>
      <w:pPr>
        <w:pStyle w:val="Heading5"/>
      </w:pPr>
      <w:bookmarkStart w:id="220" w:name="_Toc154742846"/>
      <w:r>
        <w:rPr>
          <w:rStyle w:val="CharSectno"/>
        </w:rPr>
        <w:lastRenderedPageBreak/>
        <w:t>165</w:t>
      </w:r>
      <w:r>
        <w:t>.</w:t>
      </w:r>
      <w:r>
        <w:tab/>
        <w:t>Decision of Minister</w:t>
      </w:r>
      <w:bookmarkEnd w:id="220"/>
    </w:p>
    <w:p>
      <w:pPr>
        <w:pStyle w:val="Subsection"/>
        <w:keepNext/>
      </w:pPr>
      <w:r>
        <w:tab/>
        <w:t>(1)</w:t>
      </w:r>
      <w:r>
        <w:tab/>
        <w:t xml:space="preserve">If the ACH Council makes a recommendation to the Minister under section 162(1)(b) in respect of an application for the authorisation of an ACH management plan, the Minister must — </w:t>
      </w:r>
    </w:p>
    <w:p>
      <w:pPr>
        <w:pStyle w:val="Indenta"/>
      </w:pPr>
      <w:r>
        <w:tab/>
        <w:t>(a)</w:t>
      </w:r>
      <w:r>
        <w:tab/>
        <w:t>in accordance with subsection (3), consider the application, the recommendation made by the Council and any further information provided in response to a request under section 164; and</w:t>
      </w:r>
    </w:p>
    <w:p>
      <w:pPr>
        <w:pStyle w:val="Indenta"/>
      </w:pPr>
      <w:r>
        <w:tab/>
        <w:t>(b)</w:t>
      </w:r>
      <w:r>
        <w:tab/>
        <w:t>make a decision to —</w:t>
      </w:r>
    </w:p>
    <w:p>
      <w:pPr>
        <w:pStyle w:val="Indenti"/>
      </w:pPr>
      <w:r>
        <w:tab/>
        <w:t>(i)</w:t>
      </w:r>
      <w:r>
        <w:tab/>
        <w:t>authorise the plan included with the recommendation or authorise another plan; or</w:t>
      </w:r>
    </w:p>
    <w:p>
      <w:pPr>
        <w:pStyle w:val="Indenti"/>
      </w:pPr>
      <w:r>
        <w:tab/>
        <w:t>(ii)</w:t>
      </w:r>
      <w:r>
        <w:tab/>
        <w:t>refuse to authorise a plan for the activity to which the application relates.</w:t>
      </w:r>
    </w:p>
    <w:p>
      <w:pPr>
        <w:pStyle w:val="Subsection"/>
      </w:pPr>
      <w:r>
        <w:tab/>
        <w:t>(2)</w:t>
      </w:r>
      <w:r>
        <w:tab/>
        <w:t xml:space="preserve">An ACH management plan that is authorised under subsection (1)(b)(i) — </w:t>
      </w:r>
    </w:p>
    <w:p>
      <w:pPr>
        <w:pStyle w:val="Indenta"/>
      </w:pPr>
      <w:r>
        <w:tab/>
        <w:t>(a)</w:t>
      </w:r>
      <w:r>
        <w:tab/>
        <w:t>may be in respect of all, or a part, of the area to which the application relates; and</w:t>
      </w:r>
    </w:p>
    <w:p>
      <w:pPr>
        <w:pStyle w:val="Indenta"/>
      </w:pPr>
      <w:r>
        <w:tab/>
        <w:t>(b)</w:t>
      </w:r>
      <w:r>
        <w:tab/>
        <w:t>may be in respect of all, or some, of the activities to which the application relates; and</w:t>
      </w:r>
    </w:p>
    <w:p>
      <w:pPr>
        <w:pStyle w:val="Indenta"/>
      </w:pPr>
      <w:r>
        <w:tab/>
        <w:t>(c)</w:t>
      </w:r>
      <w:r>
        <w:tab/>
        <w:t>must specify the period for which the authorisation is to have effect.</w:t>
      </w:r>
    </w:p>
    <w:p>
      <w:pPr>
        <w:pStyle w:val="Subsection"/>
      </w:pPr>
      <w:r>
        <w:tab/>
        <w:t>(3)</w:t>
      </w:r>
      <w:r>
        <w:tab/>
        <w:t xml:space="preserve">The decision of the Minister under subsection (1)(b) must be made on the grounds of — </w:t>
      </w:r>
    </w:p>
    <w:p>
      <w:pPr>
        <w:pStyle w:val="Indenta"/>
      </w:pPr>
      <w:r>
        <w:tab/>
        <w:t>(a)</w:t>
      </w:r>
      <w:r>
        <w:tab/>
        <w:t>whether or not the Minister is satisfied as to the matters set out in section 163(1); and</w:t>
      </w:r>
    </w:p>
    <w:p>
      <w:pPr>
        <w:pStyle w:val="Indenta"/>
      </w:pPr>
      <w:r>
        <w:tab/>
        <w:t>(b)</w:t>
      </w:r>
      <w:r>
        <w:tab/>
        <w:t>what is in the interests of the State.</w:t>
      </w:r>
    </w:p>
    <w:p>
      <w:pPr>
        <w:pStyle w:val="Subsection"/>
      </w:pPr>
      <w:r>
        <w:tab/>
        <w:t>(4)</w:t>
      </w:r>
      <w:r>
        <w:tab/>
        <w:t xml:space="preserve">The Minister must ensure that written notice of the decision is given within 14 days after the decision is made under subsection (1)(b) to — </w:t>
      </w:r>
    </w:p>
    <w:p>
      <w:pPr>
        <w:pStyle w:val="Indenta"/>
      </w:pPr>
      <w:r>
        <w:lastRenderedPageBreak/>
        <w:tab/>
        <w:t>(a)</w:t>
      </w:r>
      <w:r>
        <w:tab/>
        <w:t>the applicant for authorisation of an ACH management plan; and</w:t>
      </w:r>
    </w:p>
    <w:p>
      <w:pPr>
        <w:pStyle w:val="Indenta"/>
      </w:pPr>
      <w:r>
        <w:tab/>
        <w:t>(b)</w:t>
      </w:r>
      <w:r>
        <w:tab/>
        <w:t>each of the persons to be consulted about the activity to which the application relates.</w:t>
      </w:r>
    </w:p>
    <w:p>
      <w:pPr>
        <w:pStyle w:val="Subsection"/>
      </w:pPr>
      <w:r>
        <w:tab/>
        <w:t>(5)</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221" w:name="_Toc154742847"/>
      <w:r>
        <w:rPr>
          <w:rStyle w:val="CharSectno"/>
        </w:rPr>
        <w:t>166</w:t>
      </w:r>
      <w:r>
        <w:t>.</w:t>
      </w:r>
      <w:r>
        <w:tab/>
        <w:t>Duration of ACH management plan authorisation</w:t>
      </w:r>
      <w:bookmarkEnd w:id="221"/>
    </w:p>
    <w:p>
      <w:pPr>
        <w:pStyle w:val="Subsection"/>
      </w:pPr>
      <w:r>
        <w:tab/>
      </w:r>
      <w:r>
        <w:tab/>
        <w:t xml:space="preserve">The authorisation of an ACH management plan by the Minister under section 165(1)(b)(i) — </w:t>
      </w:r>
    </w:p>
    <w:p>
      <w:pPr>
        <w:pStyle w:val="Indenta"/>
      </w:pPr>
      <w:r>
        <w:tab/>
        <w:t>(a)</w:t>
      </w:r>
      <w:r>
        <w:tab/>
        <w:t xml:space="preserve">takes effect on — </w:t>
      </w:r>
    </w:p>
    <w:p>
      <w:pPr>
        <w:pStyle w:val="Indenti"/>
      </w:pPr>
      <w:r>
        <w:tab/>
        <w:t>(i)</w:t>
      </w:r>
      <w:r>
        <w:tab/>
        <w:t xml:space="preserve">the day that the plan is authorised; or </w:t>
      </w:r>
    </w:p>
    <w:p>
      <w:pPr>
        <w:pStyle w:val="Indenti"/>
      </w:pPr>
      <w:r>
        <w:tab/>
        <w:t>(ii)</w:t>
      </w:r>
      <w:r>
        <w:tab/>
        <w:t>a later day, if any, specified in the authorisation;</w:t>
      </w:r>
    </w:p>
    <w:p>
      <w:pPr>
        <w:pStyle w:val="Indenta"/>
      </w:pPr>
      <w:r>
        <w:tab/>
      </w:r>
      <w:r>
        <w:tab/>
        <w:t>and</w:t>
      </w:r>
    </w:p>
    <w:p>
      <w:pPr>
        <w:pStyle w:val="Indenta"/>
      </w:pPr>
      <w:r>
        <w:tab/>
        <w:t>(b)</w:t>
      </w:r>
      <w:r>
        <w:tab/>
        <w:t xml:space="preserve">is of effect until whichever of the following occurs first — </w:t>
      </w:r>
    </w:p>
    <w:p>
      <w:pPr>
        <w:pStyle w:val="Indenti"/>
      </w:pPr>
      <w:r>
        <w:tab/>
        <w:t>(i)</w:t>
      </w:r>
      <w:r>
        <w:tab/>
        <w:t>the authorisation of the plan is cancelled under section 168(1)(b);</w:t>
      </w:r>
    </w:p>
    <w:p>
      <w:pPr>
        <w:pStyle w:val="Indenti"/>
      </w:pPr>
      <w:r>
        <w:tab/>
        <w:t>(ii)</w:t>
      </w:r>
      <w:r>
        <w:tab/>
        <w:t xml:space="preserve">the period for which the authorisation of the plan is to have effect expires; </w:t>
      </w:r>
    </w:p>
    <w:p>
      <w:pPr>
        <w:pStyle w:val="Indenti"/>
      </w:pPr>
      <w:r>
        <w:tab/>
        <w:t>(iii)</w:t>
      </w:r>
      <w:r>
        <w:tab/>
        <w:t>the activities to which the plan relates are completed.</w:t>
      </w:r>
    </w:p>
    <w:p>
      <w:pPr>
        <w:pStyle w:val="Heading5"/>
      </w:pPr>
      <w:bookmarkStart w:id="222" w:name="_Toc154742848"/>
      <w:r>
        <w:rPr>
          <w:rStyle w:val="CharSectno"/>
        </w:rPr>
        <w:t>167</w:t>
      </w:r>
      <w:r>
        <w:t>.</w:t>
      </w:r>
      <w:r>
        <w:tab/>
        <w:t>Conditions</w:t>
      </w:r>
      <w:bookmarkEnd w:id="222"/>
    </w:p>
    <w:p>
      <w:pPr>
        <w:pStyle w:val="Subsection"/>
      </w:pPr>
      <w:r>
        <w:tab/>
        <w:t>(1)</w:t>
      </w:r>
      <w:r>
        <w:tab/>
        <w:t xml:space="preserve">It is a condition of an authorisation of an ACH management plan that — </w:t>
      </w:r>
    </w:p>
    <w:p>
      <w:pPr>
        <w:pStyle w:val="Indenta"/>
      </w:pPr>
      <w:r>
        <w:tab/>
        <w:t>(a)</w:t>
      </w:r>
      <w:r>
        <w:tab/>
        <w:t>a party to the plan must notify the ACH Council if the party becomes aware, while the authorisation of the plan is of effect, of any new information about Aboriginal cultural heritage in the area to which the plan relates; and</w:t>
      </w:r>
    </w:p>
    <w:p>
      <w:pPr>
        <w:pStyle w:val="Indenta"/>
      </w:pPr>
      <w:r>
        <w:lastRenderedPageBreak/>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Subsection"/>
      </w:pPr>
      <w:r>
        <w:tab/>
        <w:t>(2)</w:t>
      </w:r>
      <w:r>
        <w:tab/>
        <w:t>The authorisation of an ACH management plan may be made subject to any other conditions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(3)</w:t>
      </w:r>
      <w:r>
        <w:tab/>
        <w:t>If the Minister becomes aware of new information about Aboriginal cultural heritage in the area to which an ACH management plan authorised under section 165(1)(b)(i) relates (due to being notified by a party to the plan or otherwise), the Minister may, by written notice given to the parties to the plan, impose or amend a condition on the authorisation of the plan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parties to the ACH management plan have a reasonable opportunity to — </w:t>
      </w:r>
    </w:p>
    <w:p>
      <w:pPr>
        <w:pStyle w:val="Indenta"/>
      </w:pPr>
      <w:r>
        <w:tab/>
        <w:t>(a)</w:t>
      </w:r>
      <w:r>
        <w:tab/>
        <w:t>make submissions to the Minister in relation to the condition or amended condition; and</w:t>
      </w:r>
    </w:p>
    <w:p>
      <w:pPr>
        <w:pStyle w:val="Indenta"/>
      </w:pPr>
      <w:r>
        <w:tab/>
        <w:t>(b)</w:t>
      </w:r>
      <w:r>
        <w:tab/>
        <w:t>take any action necessary to comply with the condition or amended condition.</w:t>
      </w:r>
    </w:p>
    <w:p>
      <w:pPr>
        <w:pStyle w:val="Subsection"/>
      </w:pPr>
      <w:r>
        <w:tab/>
        <w:t>(6)</w:t>
      </w:r>
      <w:r>
        <w:tab/>
        <w:t>The Minister may, at any time, by written notice given to the parties to an ACH management plan, revoke a condition, other than a condition referred to in subsection (1), that is imposed on the authorisation of the plan.</w:t>
      </w:r>
    </w:p>
    <w:p>
      <w:pPr>
        <w:pStyle w:val="Subsection"/>
        <w:keepNext/>
      </w:pPr>
      <w:r>
        <w:lastRenderedPageBreak/>
        <w:tab/>
        <w:t>(7)</w:t>
      </w:r>
      <w:r>
        <w:tab/>
        <w:t xml:space="preserve">The Minister may exercise a power under subsection (6) — </w:t>
      </w:r>
    </w:p>
    <w:p>
      <w:pPr>
        <w:pStyle w:val="Indenta"/>
      </w:pPr>
      <w:r>
        <w:tab/>
        <w:t>(a)</w:t>
      </w:r>
      <w:r>
        <w:tab/>
        <w:t xml:space="preserve">on the Minister’s own initiative; or </w:t>
      </w:r>
    </w:p>
    <w:p>
      <w:pPr>
        <w:pStyle w:val="Indenta"/>
      </w:pPr>
      <w:r>
        <w:tab/>
        <w:t>(b)</w:t>
      </w:r>
      <w:r>
        <w:tab/>
        <w:t>on receipt of an application by a party to the ACH management plan.</w:t>
      </w:r>
    </w:p>
    <w:p>
      <w:pPr>
        <w:pStyle w:val="Heading5"/>
      </w:pPr>
      <w:bookmarkStart w:id="223" w:name="_Toc154742849"/>
      <w:r>
        <w:rPr>
          <w:rStyle w:val="CharSectno"/>
        </w:rPr>
        <w:t>168</w:t>
      </w:r>
      <w:r>
        <w:t>.</w:t>
      </w:r>
      <w:r>
        <w:tab/>
        <w:t>Suspension or cancellation of authorisation of ACH management plan</w:t>
      </w:r>
      <w:bookmarkEnd w:id="223"/>
      <w:r>
        <w:t xml:space="preserve"> </w:t>
      </w:r>
    </w:p>
    <w:p>
      <w:pPr>
        <w:pStyle w:val="Subsection"/>
      </w:pPr>
      <w:r>
        <w:tab/>
        <w:t>(1)</w:t>
      </w:r>
      <w:r>
        <w:tab/>
        <w:t xml:space="preserve">The Minister may, by written notice given to the parties to an ACH management plan authorised under section 165(1)(b)(i), take either of the following actions — </w:t>
      </w:r>
    </w:p>
    <w:p>
      <w:pPr>
        <w:pStyle w:val="Indenta"/>
      </w:pPr>
      <w:r>
        <w:tab/>
        <w:t>(a)</w:t>
      </w:r>
      <w:r>
        <w:tab/>
        <w:t>suspend the authorisation of the plan for a specified period;</w:t>
      </w:r>
    </w:p>
    <w:p>
      <w:pPr>
        <w:pStyle w:val="Indenta"/>
      </w:pPr>
      <w:r>
        <w:tab/>
        <w:t>(b)</w:t>
      </w:r>
      <w:r>
        <w:tab/>
        <w:t>cancel the authorisation of the plan.</w:t>
      </w:r>
    </w:p>
    <w:p>
      <w:pPr>
        <w:pStyle w:val="Subsection"/>
      </w:pPr>
      <w:r>
        <w:tab/>
        <w:t>(2)</w:t>
      </w:r>
      <w:r>
        <w:tab/>
        <w:t xml:space="preserve">A notice under subsection (1) may be given only if — </w:t>
      </w:r>
    </w:p>
    <w:p>
      <w:pPr>
        <w:pStyle w:val="Indenta"/>
      </w:pPr>
      <w:r>
        <w:tab/>
        <w:t>(a)</w:t>
      </w:r>
      <w:r>
        <w:tab/>
        <w:t>the Minister is no longer satisfied as to the matters set out in section 163(1);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authorisation is subject.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keepNext/>
      </w:pPr>
      <w:r>
        <w:lastRenderedPageBreak/>
        <w:tab/>
        <w:t>(4)</w:t>
      </w:r>
      <w:r>
        <w:tab/>
        <w:t xml:space="preserve">Before taking action under subsection (1), the Minister must give the parties to the ACH management plan — </w:t>
      </w:r>
    </w:p>
    <w:p>
      <w:pPr>
        <w:pStyle w:val="Indenta"/>
      </w:pPr>
      <w:r>
        <w:tab/>
        <w:t>(a)</w:t>
      </w:r>
      <w:r>
        <w:tab/>
        <w:t>written notice of the action that the Minister proposes to take and the grounds on which the Minister proposes to take that action; and</w:t>
      </w:r>
    </w:p>
    <w:p>
      <w:pPr>
        <w:pStyle w:val="Indenta"/>
      </w:pPr>
      <w:r>
        <w:tab/>
        <w:t>(b)</w:t>
      </w:r>
      <w:r>
        <w:tab/>
        <w:t>a reasonable opportunity to be heard on the matter.</w:t>
      </w:r>
    </w:p>
    <w:p>
      <w:pPr>
        <w:pStyle w:val="Subsection"/>
      </w:pPr>
      <w:r>
        <w:tab/>
        <w:t>(5)</w:t>
      </w:r>
      <w:r>
        <w:tab/>
        <w:t>If the authorisation of an ACH management plan is suspended, it is of no effect during the period of the suspension.</w:t>
      </w:r>
    </w:p>
    <w:p>
      <w:pPr>
        <w:pStyle w:val="Heading4"/>
      </w:pPr>
      <w:bookmarkStart w:id="224" w:name="_Toc154742850"/>
      <w:r>
        <w:t>Subdivision 4 — Other provisions about ACH management plans</w:t>
      </w:r>
      <w:bookmarkEnd w:id="224"/>
    </w:p>
    <w:p>
      <w:pPr>
        <w:pStyle w:val="Heading5"/>
      </w:pPr>
      <w:bookmarkStart w:id="225" w:name="_Toc154742851"/>
      <w:r>
        <w:rPr>
          <w:rStyle w:val="CharSectno"/>
        </w:rPr>
        <w:t>169</w:t>
      </w:r>
      <w:r>
        <w:t>.</w:t>
      </w:r>
      <w:r>
        <w:tab/>
        <w:t>Approval of amended ACH management plan</w:t>
      </w:r>
      <w:bookmarkEnd w:id="225"/>
      <w:r>
        <w:t xml:space="preserve"> </w:t>
      </w:r>
    </w:p>
    <w:p>
      <w:pPr>
        <w:pStyle w:val="Subsection"/>
      </w:pPr>
      <w:r>
        <w:tab/>
        <w:t>(1)</w:t>
      </w:r>
      <w:r>
        <w:tab/>
        <w:t>Unless section 170 applies, the ACH Council may, on the application of a party to an approved or authorised ACH management plan, approve, or refuse to approve, an amendment to the plan agreed to by the parties to the plan.</w:t>
      </w:r>
    </w:p>
    <w:p>
      <w:pPr>
        <w:pStyle w:val="Subsection"/>
      </w:pPr>
      <w:r>
        <w:tab/>
        <w:t>(2)</w:t>
      </w:r>
      <w:r>
        <w:tab/>
        <w:t xml:space="preserve">Subdivision 2 applies in relation to the approval of an amendment to an approved or authorised ACH management plan as if the amendment were a new ACH management plan except that — </w:t>
      </w:r>
    </w:p>
    <w:p>
      <w:pPr>
        <w:pStyle w:val="Indenta"/>
      </w:pPr>
      <w:r>
        <w:tab/>
        <w:t>(a)</w:t>
      </w:r>
      <w:r>
        <w:tab/>
        <w:t>the application for the approval of the amendment to the plan does not need to contain the matters referred to in section 147(2)(e) or (f); and</w:t>
      </w:r>
    </w:p>
    <w:p>
      <w:pPr>
        <w:pStyle w:val="Indenta"/>
      </w:pPr>
      <w:r>
        <w:tab/>
        <w:t>(b)</w:t>
      </w:r>
      <w:r>
        <w:tab/>
        <w:t>the ACH Council does not need to be satisfied as to the matter set out in section 151(d) in relation to the amendment to the plan.</w:t>
      </w:r>
    </w:p>
    <w:p>
      <w:pPr>
        <w:pStyle w:val="Subsection"/>
      </w:pPr>
      <w:r>
        <w:tab/>
        <w:t>(3)</w:t>
      </w:r>
      <w:r>
        <w:tab/>
        <w:t>The ACH Council must, at the written direction of the Minister under section 81(3)(b), approve an amendment to an approved or authorised ACH management plan to exclude from the area to which the plan relates any area that is part of the area to be declared as a protected area under Part 4 Division 5.</w:t>
      </w:r>
    </w:p>
    <w:p>
      <w:pPr>
        <w:pStyle w:val="PermNoteHeading"/>
      </w:pPr>
      <w:r>
        <w:lastRenderedPageBreak/>
        <w:tab/>
        <w:t>Note for this section:</w:t>
      </w:r>
    </w:p>
    <w:p>
      <w:pPr>
        <w:pStyle w:val="PermNoteText"/>
      </w:pPr>
      <w:r>
        <w:tab/>
      </w:r>
      <w:r>
        <w:tab/>
        <w:t>If the ACH Council makes a determination under section 176(1)(b)(i) that Aboriginal cultural heritage is of State significance for the purposes of this Act, section 177(1)(c) provides that an application for the approval of an amendment to an approved or authorised ACH management plan must be considered as if it were an application under section 170 for the authorisation of the amendment to the plan.</w:t>
      </w:r>
    </w:p>
    <w:p>
      <w:pPr>
        <w:pStyle w:val="Heading5"/>
      </w:pPr>
      <w:bookmarkStart w:id="226" w:name="_Toc154742852"/>
      <w:r>
        <w:rPr>
          <w:rStyle w:val="CharSectno"/>
        </w:rPr>
        <w:t>170</w:t>
      </w:r>
      <w:r>
        <w:t>.</w:t>
      </w:r>
      <w:r>
        <w:tab/>
        <w:t>Authorisation of amended ACH management plan</w:t>
      </w:r>
      <w:bookmarkEnd w:id="226"/>
      <w:r>
        <w:t xml:space="preserve"> </w:t>
      </w:r>
    </w:p>
    <w:p>
      <w:pPr>
        <w:pStyle w:val="Subsection"/>
        <w:keepNext/>
      </w:pPr>
      <w:r>
        <w:tab/>
        <w:t>(1)</w:t>
      </w:r>
      <w:r>
        <w:tab/>
        <w:t xml:space="preserve">This section applies if — </w:t>
      </w:r>
    </w:p>
    <w:p>
      <w:pPr>
        <w:pStyle w:val="Indenta"/>
      </w:pPr>
      <w:r>
        <w:tab/>
        <w:t>(a)</w:t>
      </w:r>
      <w:r>
        <w:tab/>
        <w:t>a party to an approved or authorised ACH management plan wants to amend the plan; and</w:t>
      </w:r>
    </w:p>
    <w:p>
      <w:pPr>
        <w:pStyle w:val="Indenta"/>
        <w:keepNext/>
      </w:pPr>
      <w:r>
        <w:tab/>
        <w:t>(b)</w:t>
      </w:r>
      <w:r>
        <w:tab/>
        <w:t xml:space="preserve">either — </w:t>
      </w:r>
    </w:p>
    <w:p>
      <w:pPr>
        <w:pStyle w:val="Indenti"/>
      </w:pPr>
      <w:r>
        <w:tab/>
        <w:t>(i)</w:t>
      </w:r>
      <w:r>
        <w:tab/>
        <w:t>the parties do not agree on amendments to the plan; or</w:t>
      </w:r>
    </w:p>
    <w:p>
      <w:pPr>
        <w:pStyle w:val="Indenti"/>
      </w:pPr>
      <w:r>
        <w:tab/>
        <w:t>(ii)</w:t>
      </w:r>
      <w:r>
        <w:tab/>
        <w:t>there is not an Aboriginal party to the plan; or</w:t>
      </w:r>
    </w:p>
    <w:p>
      <w:pPr>
        <w:pStyle w:val="Indenti"/>
      </w:pPr>
      <w:r>
        <w:tab/>
        <w:t>(iii)</w:t>
      </w:r>
      <w:r>
        <w:tab/>
        <w:t>Aboriginal cultural heritage located in the area to which the plan relates has been determined under section 176(1)(b)(i) to be of State significance for the purposes of this Act.</w:t>
      </w:r>
    </w:p>
    <w:p>
      <w:pPr>
        <w:pStyle w:val="Subsection"/>
      </w:pPr>
      <w:r>
        <w:tab/>
        <w:t>(2)</w:t>
      </w:r>
      <w:r>
        <w:tab/>
        <w:t>If this section applies, a party to the approved or authorised ACH management plan may apply under section 157(1) for an amendment to the plan to be authorised by the Minister as if the amendment were a new ACH management plan.</w:t>
      </w:r>
    </w:p>
    <w:p>
      <w:pPr>
        <w:pStyle w:val="Subsection"/>
      </w:pPr>
      <w:r>
        <w:tab/>
        <w:t>(3)</w:t>
      </w:r>
      <w:r>
        <w:tab/>
        <w:t xml:space="preserve">If there is an Aboriginal party to an approved or authorised ACH management plan to which an amendment is sought, sections 142 and 143 and Subdivision 3 apply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or (e); and</w:t>
      </w:r>
    </w:p>
    <w:p>
      <w:pPr>
        <w:pStyle w:val="Indenta"/>
      </w:pPr>
      <w:r>
        <w:tab/>
        <w:t>(b)</w:t>
      </w:r>
      <w:r>
        <w:tab/>
        <w:t>the ACH Council and the Minister do not need to be satisfied as to the matter set out in section 163(1)(c).</w:t>
      </w:r>
    </w:p>
    <w:p>
      <w:pPr>
        <w:pStyle w:val="Subsection"/>
      </w:pPr>
      <w:r>
        <w:lastRenderedPageBreak/>
        <w:tab/>
        <w:t>(4)</w:t>
      </w:r>
      <w:r>
        <w:tab/>
        <w:t xml:space="preserve">If there is not an Aboriginal party to an approved or authorised ACH management plan to which an amendment is sought, Subdivision 3 applies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(e) or (f); and</w:t>
      </w:r>
    </w:p>
    <w:p>
      <w:pPr>
        <w:pStyle w:val="Indenta"/>
      </w:pPr>
      <w:r>
        <w:tab/>
        <w:t>(b)</w:t>
      </w:r>
      <w:r>
        <w:tab/>
        <w:t>the ACH Council and the Minister do not need to be satisfied as to the matter set out in section 163(1)(c).</w:t>
      </w:r>
    </w:p>
    <w:p>
      <w:pPr>
        <w:pStyle w:val="Heading5"/>
      </w:pPr>
      <w:bookmarkStart w:id="227" w:name="_Toc154742853"/>
      <w:r>
        <w:rPr>
          <w:rStyle w:val="CharSectno"/>
        </w:rPr>
        <w:t>171</w:t>
      </w:r>
      <w:r>
        <w:t>.</w:t>
      </w:r>
      <w:r>
        <w:tab/>
        <w:t>Change to identity of parties to ACH management plan</w:t>
      </w:r>
      <w:bookmarkEnd w:id="227"/>
    </w:p>
    <w:p>
      <w:pPr>
        <w:pStyle w:val="Subsection"/>
      </w:pPr>
      <w:r>
        <w:tab/>
        <w:t>(1)</w:t>
      </w:r>
      <w:r>
        <w:tab/>
        <w:t xml:space="preserve">If a person identified under section 137(2)(a)(ii) as an Aboriginal party to an approved or authorised ACH management plan is no longer an interested Aboriginal party for the plan — </w:t>
      </w:r>
    </w:p>
    <w:p>
      <w:pPr>
        <w:pStyle w:val="Indenta"/>
      </w:pPr>
      <w:r>
        <w:tab/>
        <w:t>(a)</w:t>
      </w:r>
      <w:r>
        <w:tab/>
        <w:t>the person is no longer an Aboriginal party to the plan; and</w:t>
      </w:r>
    </w:p>
    <w:p>
      <w:pPr>
        <w:pStyle w:val="Indenta"/>
      </w:pPr>
      <w:r>
        <w:tab/>
        <w:t>(b)</w:t>
      </w:r>
      <w:r>
        <w:tab/>
        <w:t>the person must, within the prescribed period, give written notice that they are no longer an interested Aboriginal party for the plan to the ACH Council; and</w:t>
      </w:r>
    </w:p>
    <w:p>
      <w:pPr>
        <w:pStyle w:val="Indenta"/>
      </w:pPr>
      <w:r>
        <w:tab/>
        <w:t>(c)</w:t>
      </w:r>
      <w:r>
        <w:tab/>
        <w:t xml:space="preserve">the ACH Council may — </w:t>
      </w:r>
    </w:p>
    <w:p>
      <w:pPr>
        <w:pStyle w:val="Indenti"/>
      </w:pPr>
      <w:r>
        <w:tab/>
        <w:t>(i)</w:t>
      </w:r>
      <w:r>
        <w:tab/>
        <w:t>nominate an interested Aboriginal party for the plan to be an Aboriginal party to the plan; or</w:t>
      </w:r>
    </w:p>
    <w:p>
      <w:pPr>
        <w:pStyle w:val="Indenti"/>
      </w:pPr>
      <w:r>
        <w:tab/>
        <w:t>(ii)</w:t>
      </w:r>
      <w:r>
        <w:tab/>
        <w:t>take measures to ensure that any obligations undertaken by the Aboriginal party under the plan are discharged.</w:t>
      </w:r>
    </w:p>
    <w:p>
      <w:pPr>
        <w:pStyle w:val="PermNoteHeading"/>
      </w:pPr>
      <w:r>
        <w:tab/>
        <w:t>Example for this subsection:</w:t>
      </w:r>
    </w:p>
    <w:p>
      <w:pPr>
        <w:pStyle w:val="PermNoteText"/>
      </w:pPr>
      <w:r>
        <w:tab/>
      </w:r>
      <w:r>
        <w:tab/>
        <w:t xml:space="preserve">Situations in which an Aboriginal party to a plan is no longer an interested Aboriginal party may include — </w:t>
      </w:r>
    </w:p>
    <w:p>
      <w:pPr>
        <w:pStyle w:val="PermNotePara"/>
      </w:pPr>
      <w:r>
        <w:tab/>
        <w:t>(a)</w:t>
      </w:r>
      <w:r>
        <w:tab/>
        <w:t>the designation of a local ACH service being cancelled or suspended under section 43; or</w:t>
      </w:r>
    </w:p>
    <w:p>
      <w:pPr>
        <w:pStyle w:val="PermNotePara"/>
      </w:pPr>
      <w:r>
        <w:tab/>
        <w:t>(b)</w:t>
      </w:r>
      <w:r>
        <w:tab/>
        <w:t>a CATSI Act corporation or a Corporations Act corporation being deregistered under the relevant Commonwealth Act.</w:t>
      </w:r>
    </w:p>
    <w:p>
      <w:pPr>
        <w:pStyle w:val="Subsection"/>
      </w:pPr>
      <w:r>
        <w:lastRenderedPageBreak/>
        <w:tab/>
        <w:t>(2)</w:t>
      </w:r>
      <w:r>
        <w:tab/>
        <w:t>A nomination under subsection (1)(c)(i) is made by written notice given by the ACH Council to the person, or persons, nominated.</w:t>
      </w:r>
    </w:p>
    <w:p>
      <w:pPr>
        <w:pStyle w:val="Subsection"/>
      </w:pPr>
      <w:r>
        <w:tab/>
        <w:t>(3)</w:t>
      </w:r>
      <w:r>
        <w:tab/>
        <w:t>A person nominated under subsection (1)(c)(i) becomes an Aboriginal party to the approved or authorised ACH management plan on accepting the nomination.</w:t>
      </w:r>
    </w:p>
    <w:p>
      <w:pPr>
        <w:pStyle w:val="Subsection"/>
      </w:pPr>
      <w:r>
        <w:tab/>
        <w:t>(4)</w:t>
      </w:r>
      <w:r>
        <w:tab/>
        <w:t xml:space="preserve">If the person identified under section 137(2)(a)(i) as the proponent (the </w:t>
      </w:r>
      <w:r>
        <w:rPr>
          <w:rStyle w:val="CharDefText"/>
        </w:rPr>
        <w:t>former proponent</w:t>
      </w:r>
      <w:r>
        <w:t xml:space="preserve">) in an approved or authorised ACH management plan is not the current proponent for the activity to which the plan relates, the former proponent and the current proponent must, within the prescribed period, give written notice of the change in the identity of the proponent to — </w:t>
      </w:r>
    </w:p>
    <w:p>
      <w:pPr>
        <w:pStyle w:val="Indenta"/>
      </w:pPr>
      <w:r>
        <w:tab/>
        <w:t>(a)</w:t>
      </w:r>
      <w:r>
        <w:tab/>
        <w:t>each Aboriginal party to the plan; and</w:t>
      </w:r>
    </w:p>
    <w:p>
      <w:pPr>
        <w:pStyle w:val="Indenta"/>
      </w:pPr>
      <w:r>
        <w:tab/>
        <w:t>(b)</w:t>
      </w:r>
      <w:r>
        <w:tab/>
        <w:t>the ACH Council.</w:t>
      </w:r>
    </w:p>
    <w:p>
      <w:pPr>
        <w:pStyle w:val="Penstart"/>
        <w:keepNext/>
        <w:keepLines/>
      </w:pPr>
      <w:r>
        <w:tab/>
        <w:t>Penalty for this subsection: a fine of $10 000.</w:t>
      </w:r>
    </w:p>
    <w:p>
      <w:pPr>
        <w:pStyle w:val="Subsection"/>
      </w:pPr>
      <w:r>
        <w:tab/>
        <w:t>(5)</w:t>
      </w:r>
      <w:r>
        <w:tab/>
        <w:t>The current proponent becomes the person to be identified under section 137(2)(a)(i) as the proponent in an approved or authorised ACH management plan on the receipt by the ACH Council of notice under subsection (4).</w:t>
      </w:r>
    </w:p>
    <w:p>
      <w:pPr>
        <w:pStyle w:val="Heading5"/>
      </w:pPr>
      <w:bookmarkStart w:id="228" w:name="_Toc154742854"/>
      <w:r>
        <w:rPr>
          <w:rStyle w:val="CharSectno"/>
        </w:rPr>
        <w:t>172</w:t>
      </w:r>
      <w:r>
        <w:t>.</w:t>
      </w:r>
      <w:r>
        <w:tab/>
        <w:t>Approved or authorised ACH management plan continues to have effect despite change to identity of party</w:t>
      </w:r>
      <w:bookmarkEnd w:id="228"/>
    </w:p>
    <w:p>
      <w:pPr>
        <w:pStyle w:val="Subsection"/>
      </w:pPr>
      <w:r>
        <w:tab/>
      </w:r>
      <w:r>
        <w:tab/>
        <w:t xml:space="preserve">An approved or authorised ACH management plan continues to have effect in accordance with its terms in relation to the activity to which the plan relates despite — </w:t>
      </w:r>
    </w:p>
    <w:p>
      <w:pPr>
        <w:pStyle w:val="Indenta"/>
      </w:pPr>
      <w:r>
        <w:tab/>
        <w:t>(a)</w:t>
      </w:r>
      <w:r>
        <w:tab/>
        <w:t>a person identified under section 137(2)(a)(ii) as an Aboriginal party to the plan no longer being an Aboriginal party to the plan under section 171(1)(a); or</w:t>
      </w:r>
    </w:p>
    <w:p>
      <w:pPr>
        <w:pStyle w:val="Indenta"/>
      </w:pPr>
      <w:r>
        <w:tab/>
        <w:t>(b)</w:t>
      </w:r>
      <w:r>
        <w:tab/>
        <w:t xml:space="preserve">any amendment made to the plan to change the identity of a party to the plan that is in accordance with — </w:t>
      </w:r>
    </w:p>
    <w:p>
      <w:pPr>
        <w:pStyle w:val="Indenti"/>
      </w:pPr>
      <w:r>
        <w:tab/>
        <w:t>(i)</w:t>
      </w:r>
      <w:r>
        <w:tab/>
        <w:t>a nomination accepted under section 171(3); or</w:t>
      </w:r>
    </w:p>
    <w:p>
      <w:pPr>
        <w:pStyle w:val="Indenti"/>
      </w:pPr>
      <w:r>
        <w:lastRenderedPageBreak/>
        <w:tab/>
        <w:t>(ii)</w:t>
      </w:r>
      <w:r>
        <w:tab/>
        <w:t>a notice received under section 171(5).</w:t>
      </w:r>
    </w:p>
    <w:p>
      <w:pPr>
        <w:pStyle w:val="Heading5"/>
      </w:pPr>
      <w:bookmarkStart w:id="229" w:name="_Toc154742855"/>
      <w:r>
        <w:rPr>
          <w:rStyle w:val="CharSectno"/>
        </w:rPr>
        <w:t>173</w:t>
      </w:r>
      <w:r>
        <w:t>.</w:t>
      </w:r>
      <w:r>
        <w:tab/>
        <w:t>Contravention of conditions on approved or authorised ACH management plan</w:t>
      </w:r>
      <w:bookmarkEnd w:id="229"/>
    </w:p>
    <w:p>
      <w:pPr>
        <w:pStyle w:val="Subsection"/>
        <w:keepNext/>
      </w:pPr>
      <w:r>
        <w:tab/>
      </w:r>
      <w:r>
        <w:tab/>
        <w:t>A party to an approved or authorised ACH management plan must not contravene a condition to which the approval or authorisation of the plan is subject.</w:t>
      </w:r>
    </w:p>
    <w:p>
      <w:pPr>
        <w:pStyle w:val="Penstart"/>
      </w:pPr>
      <w:r>
        <w:tab/>
        <w:t>Penalty: a fine of $100 000.</w:t>
      </w:r>
    </w:p>
    <w:p>
      <w:pPr>
        <w:pStyle w:val="Heading4"/>
      </w:pPr>
      <w:bookmarkStart w:id="230" w:name="_Toc154742856"/>
      <w:r>
        <w:t>Subdivision 5 — Aboriginal cultural heritage of State significance</w:t>
      </w:r>
      <w:bookmarkEnd w:id="230"/>
    </w:p>
    <w:p>
      <w:pPr>
        <w:pStyle w:val="Heading5"/>
      </w:pPr>
      <w:bookmarkStart w:id="231" w:name="_Toc154742857"/>
      <w:r>
        <w:rPr>
          <w:rStyle w:val="CharSectno"/>
        </w:rPr>
        <w:t>174</w:t>
      </w:r>
      <w:r>
        <w:t>.</w:t>
      </w:r>
      <w:r>
        <w:tab/>
        <w:t>State significance guidelines must be considered</w:t>
      </w:r>
      <w:bookmarkEnd w:id="231"/>
    </w:p>
    <w:p>
      <w:pPr>
        <w:pStyle w:val="Subsection"/>
      </w:pPr>
      <w:r>
        <w:tab/>
      </w:r>
      <w:r>
        <w:tab/>
        <w:t>In determining under this Subdivision whether Aboriginal cultural heritage is of State significance for the purposes of this Act, the factors set out in the State significance guidelines must be considered.</w:t>
      </w:r>
    </w:p>
    <w:p>
      <w:pPr>
        <w:pStyle w:val="Heading5"/>
      </w:pPr>
      <w:bookmarkStart w:id="232" w:name="_Toc154742858"/>
      <w:r>
        <w:rPr>
          <w:rStyle w:val="CharSectno"/>
        </w:rPr>
        <w:t>175</w:t>
      </w:r>
      <w:r>
        <w:t>.</w:t>
      </w:r>
      <w:r>
        <w:tab/>
        <w:t>Notice must be given if ACH Council forms view that Aboriginal cultural heritage may be of State significance</w:t>
      </w:r>
      <w:bookmarkEnd w:id="232"/>
    </w:p>
    <w:p>
      <w:pPr>
        <w:pStyle w:val="Subsection"/>
      </w:pPr>
      <w:r>
        <w:tab/>
        <w:t>(1)</w:t>
      </w:r>
      <w:r>
        <w:tab/>
        <w:t xml:space="preserve">In this section — </w:t>
      </w:r>
    </w:p>
    <w:p>
      <w:pPr>
        <w:pStyle w:val="Defstart"/>
      </w:pPr>
      <w:r>
        <w:tab/>
      </w:r>
      <w:r>
        <w:rPr>
          <w:rStyle w:val="CharDefText"/>
        </w:rPr>
        <w:t>application</w:t>
      </w:r>
      <w:r>
        <w:t xml:space="preserve"> means — </w:t>
      </w:r>
    </w:p>
    <w:p>
      <w:pPr>
        <w:pStyle w:val="Defpara"/>
      </w:pPr>
      <w:r>
        <w:tab/>
        <w:t>(a)</w:t>
      </w:r>
      <w:r>
        <w:tab/>
        <w:t>an application under section 147(1) for the approval of an ACH management plan; or</w:t>
      </w:r>
    </w:p>
    <w:p>
      <w:pPr>
        <w:pStyle w:val="Defpara"/>
      </w:pPr>
      <w:r>
        <w:tab/>
        <w:t>(b)</w:t>
      </w:r>
      <w:r>
        <w:tab/>
        <w:t>an application under section 157(1) for the authorisation of an ACH management plan; or</w:t>
      </w:r>
    </w:p>
    <w:p>
      <w:pPr>
        <w:pStyle w:val="Defpara"/>
      </w:pPr>
      <w:r>
        <w:tab/>
        <w:t>(c)</w:t>
      </w:r>
      <w:r>
        <w:tab/>
        <w:t>an application under section 169 for the approval of an amendment to an approved or authorised ACH management plan; or</w:t>
      </w:r>
    </w:p>
    <w:p>
      <w:pPr>
        <w:pStyle w:val="Defpara"/>
      </w:pPr>
      <w:r>
        <w:tab/>
        <w:t>(d)</w:t>
      </w:r>
      <w:r>
        <w:tab/>
        <w:t>an application under section 170 for the authorisation of an amendment to an approved or authorised ACH management plan.</w:t>
      </w:r>
    </w:p>
    <w:p>
      <w:pPr>
        <w:pStyle w:val="Subsection"/>
      </w:pPr>
      <w:r>
        <w:tab/>
        <w:t>(2)</w:t>
      </w:r>
      <w:r>
        <w:tab/>
        <w:t xml:space="preserve">If, in considering an application, the ACH Council forms the view that Aboriginal cultural heritage located in the area to </w:t>
      </w:r>
      <w:r>
        <w:lastRenderedPageBreak/>
        <w:t>which the application or the approved or authorised ACH management plan, as is relevant, relates may be of State significance for the purposes of this Act, the Council must give public notice that the Council is considering making a determination that the Aboriginal cultural heritage is of State significance for the purposes of this Act.</w:t>
      </w:r>
    </w:p>
    <w:p>
      <w:pPr>
        <w:pStyle w:val="Subsection"/>
        <w:keepNext/>
      </w:pPr>
      <w:r>
        <w:tab/>
        <w:t>(3)</w:t>
      </w:r>
      <w:r>
        <w:tab/>
        <w:t xml:space="preserve">The notice must include the following — </w:t>
      </w:r>
    </w:p>
    <w:p>
      <w:pPr>
        <w:pStyle w:val="Indenta"/>
        <w:keepNext/>
      </w:pPr>
      <w:r>
        <w:tab/>
        <w:t>(a)</w:t>
      </w:r>
      <w:r>
        <w:tab/>
        <w:t>details of the Aboriginal cultural heritage to which the notice relates;</w:t>
      </w:r>
    </w:p>
    <w:p>
      <w:pPr>
        <w:pStyle w:val="Indenta"/>
      </w:pPr>
      <w:r>
        <w:tab/>
        <w:t>(b)</w:t>
      </w:r>
      <w:r>
        <w:tab/>
        <w:t xml:space="preserve">details of the area in which the Aboriginal cultural heritage is located (the </w:t>
      </w:r>
      <w:r>
        <w:rPr>
          <w:rStyle w:val="CharDefText"/>
        </w:rPr>
        <w:t>notice area</w:t>
      </w:r>
      <w:r>
        <w:t>);</w:t>
      </w:r>
    </w:p>
    <w:p>
      <w:pPr>
        <w:pStyle w:val="Indenta"/>
      </w:pPr>
      <w:r>
        <w:tab/>
        <w:t>(c)</w:t>
      </w:r>
      <w:r>
        <w:tab/>
        <w:t>provision of an opportunity for a person to submit to the ACH Council, within the prescribed period, a statement about the person’s views on whether the Aboriginal cultural heritage should be recognised as being of State significance for the purposes of this Act.</w:t>
      </w:r>
    </w:p>
    <w:p>
      <w:pPr>
        <w:pStyle w:val="Subsection"/>
        <w:keepNext/>
      </w:pPr>
      <w:r>
        <w:tab/>
        <w:t>(4)</w:t>
      </w:r>
      <w:r>
        <w:tab/>
        <w:t xml:space="preserve">The ACH Council must notify the following persons that public notice has been given under subsection (2) — </w:t>
      </w:r>
    </w:p>
    <w:p>
      <w:pPr>
        <w:pStyle w:val="Indenta"/>
      </w:pPr>
      <w:r>
        <w:tab/>
        <w:t>(a)</w:t>
      </w:r>
      <w:r>
        <w:tab/>
        <w:t>each local ACH service for the notice area or a part of the notice area;</w:t>
      </w:r>
    </w:p>
    <w:p>
      <w:pPr>
        <w:pStyle w:val="Indenta"/>
      </w:pPr>
      <w:r>
        <w:tab/>
        <w:t>(b)</w:t>
      </w:r>
      <w:r>
        <w:tab/>
        <w:t>each native title party for the notice area or a part of the notice area;</w:t>
      </w:r>
    </w:p>
    <w:p>
      <w:pPr>
        <w:pStyle w:val="Indenta"/>
      </w:pPr>
      <w:r>
        <w:tab/>
        <w:t>(c)</w:t>
      </w:r>
      <w:r>
        <w:tab/>
        <w:t>each knowledge holder for the notice area or a part of the notice area;</w:t>
      </w:r>
    </w:p>
    <w:p>
      <w:pPr>
        <w:pStyle w:val="Indenta"/>
      </w:pPr>
      <w:r>
        <w:tab/>
        <w:t>(d)</w:t>
      </w:r>
      <w:r>
        <w:tab/>
        <w:t>each landholder of land within the notice area;</w:t>
      </w:r>
    </w:p>
    <w:p>
      <w:pPr>
        <w:pStyle w:val="Indenta"/>
      </w:pPr>
      <w:r>
        <w:tab/>
        <w:t>(e)</w:t>
      </w:r>
      <w:r>
        <w:tab/>
        <w:t>each public authority that the Council considers has an interest in the notice area or a part of the notice area;</w:t>
      </w:r>
    </w:p>
    <w:p>
      <w:pPr>
        <w:pStyle w:val="Indenta"/>
      </w:pPr>
      <w:r>
        <w:tab/>
        <w:t>(f)</w:t>
      </w:r>
      <w:r>
        <w:tab/>
        <w:t>any other person the Council considers has an interest in the notice area or a part of the notice area.</w:t>
      </w:r>
    </w:p>
    <w:p>
      <w:pPr>
        <w:pStyle w:val="Subsection"/>
      </w:pPr>
      <w:r>
        <w:tab/>
        <w:t>(5)</w:t>
      </w:r>
      <w:r>
        <w:tab/>
        <w:t xml:space="preserve">In subsection (4)(c) — </w:t>
      </w:r>
    </w:p>
    <w:p>
      <w:pPr>
        <w:pStyle w:val="Defstart"/>
      </w:pPr>
      <w:r>
        <w:tab/>
      </w:r>
      <w:r>
        <w:rPr>
          <w:rStyle w:val="CharDefText"/>
        </w:rPr>
        <w:t>each knowledge holder</w:t>
      </w:r>
      <w:r>
        <w:t xml:space="preserve">, in relation to a notice area or a part of a notice area, means each person who is identified as a knowledge </w:t>
      </w:r>
      <w:r>
        <w:lastRenderedPageBreak/>
        <w:t>holder for the notice area or a part of the notice area, after reasonable steps have been taken to do so in accordance with the knowledge holder guidelines.</w:t>
      </w:r>
    </w:p>
    <w:p>
      <w:pPr>
        <w:pStyle w:val="Heading5"/>
      </w:pPr>
      <w:bookmarkStart w:id="233" w:name="_Toc154742859"/>
      <w:r>
        <w:rPr>
          <w:rStyle w:val="CharSectno"/>
        </w:rPr>
        <w:t>176</w:t>
      </w:r>
      <w:r>
        <w:t>.</w:t>
      </w:r>
      <w:r>
        <w:tab/>
        <w:t>Determination about Aboriginal cultural heritage of State significance</w:t>
      </w:r>
      <w:bookmarkEnd w:id="233"/>
    </w:p>
    <w:p>
      <w:pPr>
        <w:pStyle w:val="Subsection"/>
        <w:keepNext/>
      </w:pPr>
      <w:r>
        <w:tab/>
        <w:t>(1)</w:t>
      </w:r>
      <w:r>
        <w:tab/>
        <w:t xml:space="preserve">The ACH Council must, within the prescribed period beginning at the end of the period for submissions included in a public notice given under section 175(3)(c) — </w:t>
      </w:r>
    </w:p>
    <w:p>
      <w:pPr>
        <w:pStyle w:val="Indenta"/>
      </w:pPr>
      <w:r>
        <w:tab/>
        <w:t>(a)</w:t>
      </w:r>
      <w:r>
        <w:tab/>
        <w:t>consider any submissions in relation to the Aboriginal cultural heritage made to the Council in response to the notice; and</w:t>
      </w:r>
    </w:p>
    <w:p>
      <w:pPr>
        <w:pStyle w:val="Indenta"/>
      </w:pPr>
      <w:r>
        <w:tab/>
        <w:t>(b)</w:t>
      </w:r>
      <w:r>
        <w:tab/>
        <w:t xml:space="preserve">make a determination that the Aboriginal cultural heritage — </w:t>
      </w:r>
    </w:p>
    <w:p>
      <w:pPr>
        <w:pStyle w:val="Indenti"/>
      </w:pPr>
      <w:r>
        <w:tab/>
        <w:t>(i)</w:t>
      </w:r>
      <w:r>
        <w:tab/>
        <w:t>is of State significance for the purposes of this Act; or</w:t>
      </w:r>
    </w:p>
    <w:p>
      <w:pPr>
        <w:pStyle w:val="Indenti"/>
      </w:pPr>
      <w:r>
        <w:tab/>
        <w:t>(ii)</w:t>
      </w:r>
      <w:r>
        <w:tab/>
        <w:t>is not of State significance for the purposes of this Act.</w:t>
      </w:r>
    </w:p>
    <w:p>
      <w:pPr>
        <w:pStyle w:val="Subsection"/>
      </w:pPr>
      <w:r>
        <w:tab/>
        <w:t>(2)</w:t>
      </w:r>
      <w:r>
        <w:tab/>
        <w:t>The ACH Council may make a determination under subsection (1)(b)(i) only if the Council is satisfied, after taking into consideration the factors set out in the State significance guidelines, that the Aboriginal cultural heritage is of State significance for the purposes of this Act.</w:t>
      </w:r>
    </w:p>
    <w:p>
      <w:pPr>
        <w:pStyle w:val="Subsection"/>
      </w:pPr>
      <w:r>
        <w:tab/>
        <w:t>(3)</w:t>
      </w:r>
      <w:r>
        <w:tab/>
        <w:t>If the ACH Council does not make a determination under subsection (1)(b) within the prescribed period, the person that made the application referred to in section 175(2) in relation to the area where the Aboriginal cultural heritage is located may make a written request to the Minister to direct the Council to do anything that the Minister considers necessary to expedite the matter.</w:t>
      </w:r>
    </w:p>
    <w:p>
      <w:pPr>
        <w:pStyle w:val="Subsection"/>
      </w:pPr>
      <w:r>
        <w:tab/>
        <w:t>(4)</w:t>
      </w:r>
      <w:r>
        <w:tab/>
        <w:t xml:space="preserve">A direction given by the Minister in response to a request under subsection (3) must — </w:t>
      </w:r>
    </w:p>
    <w:p>
      <w:pPr>
        <w:pStyle w:val="Indenta"/>
      </w:pPr>
      <w:r>
        <w:tab/>
        <w:t>(a)</w:t>
      </w:r>
      <w:r>
        <w:tab/>
        <w:t>be in writing; and</w:t>
      </w:r>
    </w:p>
    <w:p>
      <w:pPr>
        <w:pStyle w:val="Indenta"/>
      </w:pPr>
      <w:r>
        <w:lastRenderedPageBreak/>
        <w:tab/>
        <w:t>(b)</w:t>
      </w:r>
      <w:r>
        <w:tab/>
        <w:t>specify the period within which the direction must be complied with.</w:t>
      </w:r>
    </w:p>
    <w:p>
      <w:pPr>
        <w:pStyle w:val="Subsection"/>
      </w:pPr>
      <w:r>
        <w:tab/>
        <w:t>(5)</w:t>
      </w:r>
      <w:r>
        <w:tab/>
        <w:t>If the ACH Council does not comply with a direction given by the Minister, the Minister may stand in the place of the Council and make a determination under subsection (1)(b) in accordance with this Subdivision.</w:t>
      </w:r>
    </w:p>
    <w:p>
      <w:pPr>
        <w:pStyle w:val="Heading5"/>
      </w:pPr>
      <w:bookmarkStart w:id="234" w:name="_Toc154742860"/>
      <w:r>
        <w:rPr>
          <w:rStyle w:val="CharSectno"/>
        </w:rPr>
        <w:t>177</w:t>
      </w:r>
      <w:r>
        <w:t>.</w:t>
      </w:r>
      <w:r>
        <w:tab/>
        <w:t>Continuation of applications</w:t>
      </w:r>
      <w:bookmarkEnd w:id="234"/>
    </w:p>
    <w:p>
      <w:pPr>
        <w:pStyle w:val="Subsection"/>
      </w:pPr>
      <w:r>
        <w:tab/>
        <w:t>(1)</w:t>
      </w:r>
      <w:r>
        <w:tab/>
        <w:t xml:space="preserve">If the ACH Council makes a determination under section 176(1)(b)(i) that Aboriginal cultural heritage is of State significance for the purposes of this Act — </w:t>
      </w:r>
    </w:p>
    <w:p>
      <w:pPr>
        <w:pStyle w:val="Indenta"/>
      </w:pPr>
      <w:r>
        <w:tab/>
        <w:t>(a)</w:t>
      </w:r>
      <w:r>
        <w:tab/>
        <w:t>an application for the approval of an ACH management plan that relates to an area in which the Aboriginal cultural heritage is located must be considered as if it were an application under section 157(1) for the authorisation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be considered as if it were an application under section 170 for the authorisation of the amendment to the plan;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Subsection"/>
        <w:keepNext/>
      </w:pPr>
      <w:r>
        <w:lastRenderedPageBreak/>
        <w:tab/>
        <w:t>(2)</w:t>
      </w:r>
      <w:r>
        <w:tab/>
        <w:t xml:space="preserve">If the ACH Council makes a determination under section 176(1)(b)(ii) that Aboriginal cultural heritage is not of State significance for the purposes of this Act — </w:t>
      </w:r>
    </w:p>
    <w:p>
      <w:pPr>
        <w:pStyle w:val="Indenta"/>
      </w:pPr>
      <w:r>
        <w:tab/>
        <w:t>(a)</w:t>
      </w:r>
      <w:r>
        <w:tab/>
        <w:t>an application for the approval of an ACH management plan that relates to an area in which the Aboriginal cultural heritage is located must continue to be considered as an application under section 147(1) for the approval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continue to be considered as an application under section 169 for the approval of the amendment;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Heading2"/>
      </w:pPr>
      <w:bookmarkStart w:id="235" w:name="_Toc154742861"/>
      <w:r>
        <w:rPr>
          <w:rStyle w:val="CharPartNo"/>
        </w:rPr>
        <w:lastRenderedPageBreak/>
        <w:t>Part 7</w:t>
      </w:r>
      <w:r>
        <w:t> — </w:t>
      </w:r>
      <w:r>
        <w:rPr>
          <w:rStyle w:val="CharPartText"/>
        </w:rPr>
        <w:t>Stop activity orders, prohibition orders and remediation orders</w:t>
      </w:r>
      <w:bookmarkEnd w:id="235"/>
    </w:p>
    <w:p>
      <w:pPr>
        <w:pStyle w:val="Heading3"/>
      </w:pPr>
      <w:bookmarkStart w:id="236" w:name="_Toc154742862"/>
      <w:r>
        <w:rPr>
          <w:rStyle w:val="CharDivNo"/>
        </w:rPr>
        <w:t>Division 1</w:t>
      </w:r>
      <w:r>
        <w:t> — </w:t>
      </w:r>
      <w:r>
        <w:rPr>
          <w:rStyle w:val="CharDivText"/>
        </w:rPr>
        <w:t>Preliminary</w:t>
      </w:r>
      <w:bookmarkEnd w:id="236"/>
    </w:p>
    <w:p>
      <w:pPr>
        <w:pStyle w:val="Heading5"/>
      </w:pPr>
      <w:bookmarkStart w:id="237" w:name="_Toc154742863"/>
      <w:r>
        <w:rPr>
          <w:rStyle w:val="CharSectno"/>
        </w:rPr>
        <w:t>178</w:t>
      </w:r>
      <w:r>
        <w:t>.</w:t>
      </w:r>
      <w:r>
        <w:tab/>
        <w:t>Terms used</w:t>
      </w:r>
      <w:bookmarkEnd w:id="237"/>
    </w:p>
    <w:p>
      <w:pPr>
        <w:pStyle w:val="Subsection"/>
      </w:pPr>
      <w:r>
        <w:tab/>
      </w:r>
      <w:r>
        <w:tab/>
        <w:t xml:space="preserve">In this Part — </w:t>
      </w:r>
    </w:p>
    <w:p>
      <w:pPr>
        <w:pStyle w:val="Defstart"/>
      </w:pPr>
      <w:r>
        <w:tab/>
      </w:r>
      <w:r>
        <w:rPr>
          <w:rStyle w:val="CharDefText"/>
        </w:rPr>
        <w:t>new information about Aboriginal cultural heritage</w:t>
      </w:r>
      <w:r>
        <w:t xml:space="preserve"> — </w:t>
      </w:r>
    </w:p>
    <w:p>
      <w:pPr>
        <w:pStyle w:val="Defpara"/>
      </w:pPr>
      <w:r>
        <w:tab/>
        <w:t>(a)</w:t>
      </w:r>
      <w:r>
        <w:tab/>
        <w:t xml:space="preserve">in relation to an area to which an ACH permit relates, means information not identified in the application for the grant of the permit under section 115(2)(c)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para"/>
      </w:pPr>
      <w:r>
        <w:tab/>
      </w:r>
      <w:r>
        <w:tab/>
        <w:t>and</w:t>
      </w:r>
    </w:p>
    <w:p>
      <w:pPr>
        <w:pStyle w:val="Defpara"/>
      </w:pPr>
      <w:r>
        <w:tab/>
        <w:t>(b)</w:t>
      </w:r>
      <w:r>
        <w:tab/>
        <w:t xml:space="preserve">in relation to an area to which an approved or authorised ACH management plan relates, means information not identified in the plan under section 137(2)(b) (including in the ACH impact statement included in the plan under section 137(2)(c))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start"/>
      </w:pPr>
      <w:r>
        <w:tab/>
      </w:r>
      <w:r>
        <w:rPr>
          <w:rStyle w:val="CharDefText"/>
        </w:rPr>
        <w:t>remediate</w:t>
      </w:r>
      <w:r>
        <w:t xml:space="preserve">, in relation to Aboriginal cultural heritage, means to carry out work to — </w:t>
      </w:r>
    </w:p>
    <w:p>
      <w:pPr>
        <w:pStyle w:val="Defpara"/>
      </w:pPr>
      <w:r>
        <w:tab/>
        <w:t>(a)</w:t>
      </w:r>
      <w:r>
        <w:tab/>
        <w:t>control, abate or mitigate harm to the Aboriginal cultural heritage; or</w:t>
      </w:r>
    </w:p>
    <w:p>
      <w:pPr>
        <w:pStyle w:val="Defpara"/>
      </w:pPr>
      <w:r>
        <w:tab/>
        <w:t>(b)</w:t>
      </w:r>
      <w:r>
        <w:tab/>
        <w:t>maintain, remediate or restore Aboriginal cultural heritage that has been harmed.</w:t>
      </w:r>
    </w:p>
    <w:p>
      <w:pPr>
        <w:pStyle w:val="Heading5"/>
      </w:pPr>
      <w:bookmarkStart w:id="238" w:name="_Toc154742864"/>
      <w:r>
        <w:rPr>
          <w:rStyle w:val="CharSectno"/>
        </w:rPr>
        <w:lastRenderedPageBreak/>
        <w:t>179</w:t>
      </w:r>
      <w:r>
        <w:t>.</w:t>
      </w:r>
      <w:r>
        <w:tab/>
        <w:t>Application of Part</w:t>
      </w:r>
      <w:bookmarkEnd w:id="238"/>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3"/>
      </w:pPr>
      <w:bookmarkStart w:id="239" w:name="_Toc154742865"/>
      <w:r>
        <w:rPr>
          <w:rStyle w:val="CharDivNo"/>
        </w:rPr>
        <w:t>Division 2</w:t>
      </w:r>
      <w:r>
        <w:t> — </w:t>
      </w:r>
      <w:r>
        <w:rPr>
          <w:rStyle w:val="CharDivText"/>
        </w:rPr>
        <w:t>Stop activity orders</w:t>
      </w:r>
      <w:bookmarkEnd w:id="239"/>
    </w:p>
    <w:p>
      <w:pPr>
        <w:pStyle w:val="Heading5"/>
      </w:pPr>
      <w:bookmarkStart w:id="240" w:name="_Toc154742866"/>
      <w:r>
        <w:rPr>
          <w:rStyle w:val="CharSectno"/>
        </w:rPr>
        <w:t>180</w:t>
      </w:r>
      <w:r>
        <w:t>.</w:t>
      </w:r>
      <w:r>
        <w:tab/>
        <w:t>Stop activity order may be given by Minister in certain circumstances</w:t>
      </w:r>
      <w:bookmarkEnd w:id="240"/>
    </w:p>
    <w:p>
      <w:pPr>
        <w:pStyle w:val="Subsection"/>
      </w:pPr>
      <w:r>
        <w:tab/>
        <w:t>(1)</w:t>
      </w:r>
      <w:r>
        <w:tab/>
        <w:t>The Minister may, in the circumstances set out in subsection (3), give a stop activity order to a person if the Minister is of the opinion that Aboriginal cultural heritage is being harmed or there is an imminent risk of harm being caused to Aboriginal cultural heritage.</w:t>
      </w:r>
    </w:p>
    <w:p>
      <w:pPr>
        <w:pStyle w:val="Subsection"/>
      </w:pPr>
      <w:r>
        <w:tab/>
        <w:t>(2)</w:t>
      </w:r>
      <w:r>
        <w:tab/>
        <w:t xml:space="preserve">For the purposes of subsection (1),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keepNext/>
      </w:pPr>
      <w:r>
        <w:lastRenderedPageBreak/>
        <w:tab/>
        <w:t>(3)</w:t>
      </w:r>
      <w:r>
        <w:tab/>
        <w:t xml:space="preserve">A stop activity order can only be given under subsection (1) — </w:t>
      </w:r>
    </w:p>
    <w:p>
      <w:pPr>
        <w:pStyle w:val="Indenta"/>
        <w:keepNext/>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A stop activity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the proponent for the activity; or</w:t>
      </w:r>
    </w:p>
    <w:p>
      <w:pPr>
        <w:pStyle w:val="PermNotePara"/>
      </w:pPr>
      <w:r>
        <w:tab/>
        <w:t>(c)</w:t>
      </w:r>
      <w:r>
        <w:tab/>
        <w:t>another person who, in the opinion of the Minister, has control over the activity.</w:t>
      </w:r>
    </w:p>
    <w:p>
      <w:pPr>
        <w:pStyle w:val="Subsection"/>
      </w:pPr>
      <w:r>
        <w:tab/>
        <w:t>(5)</w:t>
      </w:r>
      <w:r>
        <w:tab/>
        <w:t>A stop activity order expires on the day that is 60 days after the day on which the order is given to a person under this section, unless it is cancelled earlier under section 203(1)(b) or extended under section 182(1).</w:t>
      </w:r>
    </w:p>
    <w:p>
      <w:pPr>
        <w:pStyle w:val="Subsection"/>
      </w:pPr>
      <w:r>
        <w:tab/>
        <w:t>(6)</w:t>
      </w:r>
      <w:r>
        <w:tab/>
        <w:t xml:space="preserve">Immediately after a stop activity order is given under subsection (1), the Minister must give a copy of the order to the ACH Council to enable the Council to consider under section 186(1) whether Aboriginal cultural heritage the subject </w:t>
      </w:r>
      <w:r>
        <w:lastRenderedPageBreak/>
        <w:t>of the order requires continued protection under a prohibition order.</w:t>
      </w:r>
    </w:p>
    <w:p>
      <w:pPr>
        <w:pStyle w:val="Subsection"/>
      </w:pPr>
      <w:r>
        <w:tab/>
        <w:t>(7)</w:t>
      </w:r>
      <w:r>
        <w:tab/>
        <w:t>The Minister must ensure that public notice is given of the giving of a stop activity order as soon as practicable after the order is given.</w:t>
      </w:r>
    </w:p>
    <w:p>
      <w:pPr>
        <w:pStyle w:val="Heading5"/>
      </w:pPr>
      <w:bookmarkStart w:id="241" w:name="_Toc154742867"/>
      <w:r>
        <w:rPr>
          <w:rStyle w:val="CharSectno"/>
        </w:rPr>
        <w:t>181</w:t>
      </w:r>
      <w:r>
        <w:t>.</w:t>
      </w:r>
      <w:r>
        <w:tab/>
        <w:t>Contents of stop activity order</w:t>
      </w:r>
      <w:bookmarkEnd w:id="241"/>
    </w:p>
    <w:p>
      <w:pPr>
        <w:pStyle w:val="Subsection"/>
        <w:keepNext/>
      </w:pPr>
      <w:r>
        <w:tab/>
      </w:r>
      <w:r>
        <w:tab/>
        <w:t xml:space="preserve">A stop activity order must — </w:t>
      </w:r>
    </w:p>
    <w:p>
      <w:pPr>
        <w:pStyle w:val="Indenta"/>
        <w:keepNext/>
      </w:pPr>
      <w:r>
        <w:tab/>
        <w:t>(a)</w:t>
      </w:r>
      <w:r>
        <w:tab/>
        <w:t xml:space="preserve">state briefly — </w:t>
      </w:r>
    </w:p>
    <w:p>
      <w:pPr>
        <w:pStyle w:val="Indenti"/>
      </w:pPr>
      <w:r>
        <w:tab/>
        <w:t>(i)</w:t>
      </w:r>
      <w:r>
        <w:tab/>
        <w:t>that the Minister is satisfied that grounds for giving the order exist; and</w:t>
      </w:r>
    </w:p>
    <w:p>
      <w:pPr>
        <w:pStyle w:val="Indenti"/>
      </w:pPr>
      <w:r>
        <w:tab/>
        <w:t>(ii)</w:t>
      </w:r>
      <w:r>
        <w:tab/>
        <w:t>the basis for that opinion;</w:t>
      </w:r>
    </w:p>
    <w:p>
      <w:pPr>
        <w:pStyle w:val="Indenta"/>
      </w:pPr>
      <w:r>
        <w:tab/>
      </w:r>
      <w:r>
        <w:tab/>
        <w:t>and</w:t>
      </w:r>
    </w:p>
    <w:p>
      <w:pPr>
        <w:pStyle w:val="Indenta"/>
      </w:pPr>
      <w:r>
        <w:tab/>
        <w:t>(b)</w:t>
      </w:r>
      <w:r>
        <w:tab/>
        <w:t>briefly describe the Aboriginal cultural heritage the subject of the order; and</w:t>
      </w:r>
    </w:p>
    <w:p>
      <w:pPr>
        <w:pStyle w:val="Indenta"/>
      </w:pPr>
      <w:r>
        <w:tab/>
        <w:t>(c)</w:t>
      </w:r>
      <w:r>
        <w:tab/>
        <w:t xml:space="preserve">specify directions on measures that must be taken to protect Aboriginal cultural heritage the subject of the order from harm, or the imminent risk of harm, including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lastRenderedPageBreak/>
        <w:tab/>
        <w:t>(e)</w:t>
      </w:r>
      <w:r>
        <w:tab/>
        <w:t>describe briefly how, after the process set out in sections 186 to 188 has been followed, a prohibition order may be given; and</w:t>
      </w:r>
    </w:p>
    <w:p>
      <w:pPr>
        <w:pStyle w:val="Indenta"/>
      </w:pPr>
      <w:r>
        <w:tab/>
        <w:t>(f)</w:t>
      </w:r>
      <w:r>
        <w:tab/>
        <w:t>specify the day (being 60 days after the day on which the order is given) on which the order will expire, unless cancelled earlier under section 203(1)(b) or extended under section 182(1).</w:t>
      </w:r>
    </w:p>
    <w:p>
      <w:pPr>
        <w:pStyle w:val="Heading5"/>
      </w:pPr>
      <w:bookmarkStart w:id="242" w:name="_Toc154742868"/>
      <w:r>
        <w:rPr>
          <w:rStyle w:val="CharSectno"/>
        </w:rPr>
        <w:t>182</w:t>
      </w:r>
      <w:r>
        <w:t>.</w:t>
      </w:r>
      <w:r>
        <w:tab/>
        <w:t>Extension of duration of stop activity order</w:t>
      </w:r>
      <w:bookmarkEnd w:id="242"/>
    </w:p>
    <w:p>
      <w:pPr>
        <w:pStyle w:val="Subsection"/>
      </w:pPr>
      <w:r>
        <w:tab/>
        <w:t>(1)</w:t>
      </w:r>
      <w:r>
        <w:tab/>
        <w:t>Before a stop activity order expires, the Minister may extend the duration of the order by written notice given to the person who was given the order.</w:t>
      </w:r>
    </w:p>
    <w:p>
      <w:pPr>
        <w:pStyle w:val="Subsection"/>
      </w:pPr>
      <w:r>
        <w:tab/>
        <w:t>(2)</w:t>
      </w:r>
      <w:r>
        <w:tab/>
        <w:t>The decision of the Minister to extend the duration of a stop activity order must be made on the grounds that the Minister is satisfied that the ACH Council requires further time to consider under section 186(1) whether Aboriginal cultural heritage the subject of the order requires continued protection under a prohibition order.</w:t>
      </w:r>
    </w:p>
    <w:p>
      <w:pPr>
        <w:pStyle w:val="Subsection"/>
      </w:pPr>
      <w:r>
        <w:tab/>
        <w:t>(3)</w:t>
      </w:r>
      <w:r>
        <w:tab/>
        <w:t>The Minister must ensure that public notice is given of the extension of the duration of the stop activity order as soon as practicable after notice is given extending the duration of the order.</w:t>
      </w:r>
    </w:p>
    <w:p>
      <w:pPr>
        <w:pStyle w:val="Subsection"/>
      </w:pPr>
      <w:r>
        <w:tab/>
        <w:t>(4)</w:t>
      </w:r>
      <w:r>
        <w:tab/>
        <w:t xml:space="preserve">The Minister may extend the duration of a stop activity order under subsection (1) — </w:t>
      </w:r>
    </w:p>
    <w:p>
      <w:pPr>
        <w:pStyle w:val="Indenta"/>
      </w:pPr>
      <w:r>
        <w:tab/>
        <w:t>(a)</w:t>
      </w:r>
      <w:r>
        <w:tab/>
        <w:t>on only one occasion; and</w:t>
      </w:r>
    </w:p>
    <w:p>
      <w:pPr>
        <w:pStyle w:val="Indenta"/>
      </w:pPr>
      <w:r>
        <w:tab/>
        <w:t>(b)</w:t>
      </w:r>
      <w:r>
        <w:tab/>
        <w:t xml:space="preserve">for — </w:t>
      </w:r>
    </w:p>
    <w:p>
      <w:pPr>
        <w:pStyle w:val="Indenti"/>
      </w:pPr>
      <w:r>
        <w:tab/>
        <w:t>(i)</w:t>
      </w:r>
      <w:r>
        <w:tab/>
        <w:t>a period of 60 days beginning immediately after the order would otherwise expire in accordance with its terms; or</w:t>
      </w:r>
    </w:p>
    <w:p>
      <w:pPr>
        <w:pStyle w:val="Indenti"/>
      </w:pPr>
      <w:r>
        <w:tab/>
        <w:t>(ii)</w:t>
      </w:r>
      <w:r>
        <w:tab/>
        <w:t>any shorter period specified in writing by the Minister.</w:t>
      </w:r>
    </w:p>
    <w:p>
      <w:pPr>
        <w:pStyle w:val="Heading5"/>
      </w:pPr>
      <w:bookmarkStart w:id="243" w:name="_Toc154742869"/>
      <w:r>
        <w:rPr>
          <w:rStyle w:val="CharSectno"/>
        </w:rPr>
        <w:lastRenderedPageBreak/>
        <w:t>183</w:t>
      </w:r>
      <w:r>
        <w:t>.</w:t>
      </w:r>
      <w:r>
        <w:tab/>
        <w:t>Compliance with stop activity order</w:t>
      </w:r>
      <w:bookmarkEnd w:id="243"/>
    </w:p>
    <w:p>
      <w:pPr>
        <w:pStyle w:val="Subsection"/>
      </w:pPr>
      <w:r>
        <w:tab/>
        <w:t>(1)</w:t>
      </w:r>
      <w:r>
        <w:tab/>
        <w:t>A person who is given a stop activity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stop activity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3"/>
        <w:keepLines/>
      </w:pPr>
      <w:bookmarkStart w:id="244" w:name="_Toc154742870"/>
      <w:r>
        <w:rPr>
          <w:rStyle w:val="CharDivNo"/>
        </w:rPr>
        <w:t>Division 3</w:t>
      </w:r>
      <w:r>
        <w:t> — </w:t>
      </w:r>
      <w:r>
        <w:rPr>
          <w:rStyle w:val="CharDivText"/>
        </w:rPr>
        <w:t>Prohibition orders</w:t>
      </w:r>
      <w:bookmarkEnd w:id="244"/>
    </w:p>
    <w:p>
      <w:pPr>
        <w:pStyle w:val="Heading5"/>
      </w:pPr>
      <w:bookmarkStart w:id="245" w:name="_Toc154742871"/>
      <w:r>
        <w:rPr>
          <w:rStyle w:val="CharSectno"/>
        </w:rPr>
        <w:t>184</w:t>
      </w:r>
      <w:r>
        <w:t>.</w:t>
      </w:r>
      <w:r>
        <w:tab/>
        <w:t>Recommendations by ACH Council about prohibition orders under section 185(1) or 186(1)(b)</w:t>
      </w:r>
      <w:bookmarkEnd w:id="245"/>
    </w:p>
    <w:p>
      <w:pPr>
        <w:pStyle w:val="Subsection"/>
      </w:pPr>
      <w:r>
        <w:tab/>
      </w:r>
      <w:r>
        <w:tab/>
        <w:t xml:space="preserve">The ACH Council — </w:t>
      </w:r>
    </w:p>
    <w:p>
      <w:pPr>
        <w:pStyle w:val="Indenta"/>
      </w:pPr>
      <w:r>
        <w:tab/>
        <w:t>(a)</w:t>
      </w:r>
      <w:r>
        <w:tab/>
        <w:t>under section 185(1), may make a recommendation that the Minister give a prohibition order to a person; and</w:t>
      </w:r>
    </w:p>
    <w:p>
      <w:pPr>
        <w:pStyle w:val="Indenta"/>
      </w:pPr>
      <w:r>
        <w:tab/>
        <w:t>(b)</w:t>
      </w:r>
      <w:r>
        <w:tab/>
        <w:t>under section 186(1)(b), must, while a stop activity order is of effect, make a recommendation to the Minister about whether or not a prohibition order should be given.</w:t>
      </w:r>
    </w:p>
    <w:p>
      <w:pPr>
        <w:pStyle w:val="Heading5"/>
      </w:pPr>
      <w:bookmarkStart w:id="246" w:name="_Toc154742872"/>
      <w:r>
        <w:rPr>
          <w:rStyle w:val="CharSectno"/>
        </w:rPr>
        <w:t>185</w:t>
      </w:r>
      <w:r>
        <w:t>.</w:t>
      </w:r>
      <w:r>
        <w:tab/>
        <w:t>ACH Council may make recommendation about prohibition orders in certain circumstances</w:t>
      </w:r>
      <w:bookmarkEnd w:id="246"/>
    </w:p>
    <w:p>
      <w:pPr>
        <w:pStyle w:val="Subsection"/>
        <w:keepNext/>
      </w:pPr>
      <w:r>
        <w:tab/>
        <w:t>(1)</w:t>
      </w:r>
      <w:r>
        <w:tab/>
        <w:t xml:space="preserve">The ACH Council may, in the circumstances set out in subsection (3), make a recommendation that the Minister give a </w:t>
      </w:r>
      <w:r>
        <w:lastRenderedPageBreak/>
        <w:t xml:space="preserve">prohibition order to a person if the Council is of the opinion that — </w:t>
      </w:r>
    </w:p>
    <w:p>
      <w:pPr>
        <w:pStyle w:val="Indenta"/>
      </w:pPr>
      <w:r>
        <w:tab/>
        <w:t>(a)</w:t>
      </w:r>
      <w:r>
        <w:tab/>
        <w:t>Aboriginal cultural heritage is being harmed or there is an imminent risk of harm being caused to Aboriginal cultural heritage; and</w:t>
      </w:r>
    </w:p>
    <w:p>
      <w:pPr>
        <w:pStyle w:val="Indenta"/>
      </w:pPr>
      <w:r>
        <w:tab/>
        <w:t>(b)</w:t>
      </w:r>
      <w:r>
        <w:tab/>
        <w:t>special measures need to be taken to prohibit an activity in order to protect the Aboriginal cultural heritage from the harm, or the imminent risk of harm.</w:t>
      </w:r>
    </w:p>
    <w:p>
      <w:pPr>
        <w:pStyle w:val="Subsection"/>
      </w:pPr>
      <w:r>
        <w:tab/>
        <w:t>(2)</w:t>
      </w:r>
      <w:r>
        <w:tab/>
        <w:t xml:space="preserve">For the purposes of subsection (1)(a),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pPr>
      <w:r>
        <w:tab/>
        <w:t>(3)</w:t>
      </w:r>
      <w:r>
        <w:tab/>
        <w:t xml:space="preserve">A recommendation can only be made under subsection (1) — </w:t>
      </w:r>
    </w:p>
    <w:p>
      <w:pPr>
        <w:pStyle w:val="Indenta"/>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lastRenderedPageBreak/>
        <w:tab/>
        <w:t>(ii)</w:t>
      </w:r>
      <w:r>
        <w:tab/>
        <w:t>there is new information about Aboriginal cultural heritage in the area where the activity is being carried out.</w:t>
      </w:r>
    </w:p>
    <w:p>
      <w:pPr>
        <w:pStyle w:val="Subsection"/>
      </w:pPr>
      <w:r>
        <w:tab/>
        <w:t>(4)</w:t>
      </w:r>
      <w:r>
        <w:tab/>
        <w:t xml:space="preserve">If the ACH Council makes a recommendation under subsection (1), the Council may also make recommendations about the following — </w:t>
      </w:r>
    </w:p>
    <w:p>
      <w:pPr>
        <w:pStyle w:val="Indenta"/>
      </w:pPr>
      <w:r>
        <w:tab/>
        <w:t>(a)</w:t>
      </w:r>
      <w:r>
        <w:tab/>
        <w:t>the person to whom the order is to be given;</w:t>
      </w:r>
    </w:p>
    <w:p>
      <w:pPr>
        <w:pStyle w:val="Indenta"/>
      </w:pPr>
      <w:r>
        <w:tab/>
        <w:t>(b)</w:t>
      </w:r>
      <w:r>
        <w:tab/>
        <w:t xml:space="preserve">any directions to be included in the order; </w:t>
      </w:r>
    </w:p>
    <w:p>
      <w:pPr>
        <w:pStyle w:val="Indenta"/>
      </w:pPr>
      <w:r>
        <w:tab/>
        <w:t>(c)</w:t>
      </w:r>
      <w:r>
        <w:tab/>
        <w:t>the duration of the order;</w:t>
      </w:r>
    </w:p>
    <w:p>
      <w:pPr>
        <w:pStyle w:val="Indenta"/>
      </w:pPr>
      <w:r>
        <w:tab/>
        <w:t>(d)</w:t>
      </w:r>
      <w:r>
        <w:tab/>
        <w:t>the other matters, if any, prescribed for the purposes of this paragraph.</w:t>
      </w:r>
    </w:p>
    <w:p>
      <w:pPr>
        <w:pStyle w:val="Heading5"/>
      </w:pPr>
      <w:bookmarkStart w:id="247" w:name="_Toc154742873"/>
      <w:r>
        <w:rPr>
          <w:rStyle w:val="CharSectno"/>
        </w:rPr>
        <w:t>186</w:t>
      </w:r>
      <w:r>
        <w:t>.</w:t>
      </w:r>
      <w:r>
        <w:tab/>
        <w:t>ACH Council must make recommendation about prohibition order while stop activity order of effect</w:t>
      </w:r>
      <w:bookmarkEnd w:id="247"/>
    </w:p>
    <w:p>
      <w:pPr>
        <w:pStyle w:val="Subsection"/>
      </w:pPr>
      <w:r>
        <w:tab/>
        <w:t>(1)</w:t>
      </w:r>
      <w:r>
        <w:tab/>
        <w:t xml:space="preserve">The ACH Council must, while a stop activity order is of effect — </w:t>
      </w:r>
    </w:p>
    <w:p>
      <w:pPr>
        <w:pStyle w:val="Indenta"/>
      </w:pPr>
      <w:r>
        <w:tab/>
        <w:t>(a)</w:t>
      </w:r>
      <w:r>
        <w:tab/>
        <w:t xml:space="preserve">consider whether Aboriginal cultural heritage the subject of the order requires continued protection under a prohibition order; and </w:t>
      </w:r>
    </w:p>
    <w:p>
      <w:pPr>
        <w:pStyle w:val="Indenta"/>
      </w:pPr>
      <w:r>
        <w:tab/>
        <w:t>(b)</w:t>
      </w:r>
      <w:r>
        <w:tab/>
        <w:t xml:space="preserve">make a recommendation that the Minister — </w:t>
      </w:r>
    </w:p>
    <w:p>
      <w:pPr>
        <w:pStyle w:val="Indenti"/>
      </w:pPr>
      <w:r>
        <w:tab/>
        <w:t>(i)</w:t>
      </w:r>
      <w:r>
        <w:tab/>
        <w:t>give a prohibition order in relation to an activity the subject of a direction specified in the stop activity order; or</w:t>
      </w:r>
    </w:p>
    <w:p>
      <w:pPr>
        <w:pStyle w:val="Indenti"/>
      </w:pPr>
      <w:r>
        <w:tab/>
        <w:t>(ii)</w:t>
      </w:r>
      <w:r>
        <w:tab/>
        <w:t>not give a prohibition order in relation to an activity the subject of a direction specified in the stop activity order.</w:t>
      </w:r>
    </w:p>
    <w:p>
      <w:pPr>
        <w:pStyle w:val="Subsection"/>
      </w:pPr>
      <w:r>
        <w:tab/>
        <w:t>(2)</w:t>
      </w:r>
      <w:r>
        <w:tab/>
        <w:t xml:space="preserve">If the ACH Council makes a recommendation under subsection (1)(b)(i), the Council may also make recommendations about the following — </w:t>
      </w:r>
    </w:p>
    <w:p>
      <w:pPr>
        <w:pStyle w:val="Indenta"/>
      </w:pPr>
      <w:r>
        <w:tab/>
        <w:t>(a)</w:t>
      </w:r>
      <w:r>
        <w:tab/>
        <w:t>the person to whom the order is to be given;</w:t>
      </w:r>
    </w:p>
    <w:p>
      <w:pPr>
        <w:pStyle w:val="Indenta"/>
      </w:pPr>
      <w:r>
        <w:tab/>
        <w:t>(b)</w:t>
      </w:r>
      <w:r>
        <w:tab/>
        <w:t>any directions to be included in the order;</w:t>
      </w:r>
    </w:p>
    <w:p>
      <w:pPr>
        <w:pStyle w:val="Indenta"/>
      </w:pPr>
      <w:r>
        <w:tab/>
        <w:t>(c)</w:t>
      </w:r>
      <w:r>
        <w:tab/>
        <w:t>the duration of the order;</w:t>
      </w:r>
    </w:p>
    <w:p>
      <w:pPr>
        <w:pStyle w:val="Indenta"/>
      </w:pPr>
      <w:r>
        <w:lastRenderedPageBreak/>
        <w:tab/>
        <w:t>(d)</w:t>
      </w:r>
      <w:r>
        <w:tab/>
        <w:t>the other matters, if any, prescribed for the purposes of this paragraph.</w:t>
      </w:r>
    </w:p>
    <w:p>
      <w:pPr>
        <w:pStyle w:val="Subsection"/>
      </w:pPr>
      <w:r>
        <w:tab/>
        <w:t>(3)</w:t>
      </w:r>
      <w:r>
        <w:tab/>
        <w:t>Section 185(1), (2) and (3) apply in relation to the making of a recommendation by the ACH Council under subsection (1)(b).</w:t>
      </w:r>
    </w:p>
    <w:p>
      <w:pPr>
        <w:pStyle w:val="Subsection"/>
      </w:pPr>
      <w:r>
        <w:tab/>
        <w:t>(4)</w:t>
      </w:r>
      <w:r>
        <w:tab/>
        <w:t>A recommendation must be made by the ACH Council within the prescribed period.</w:t>
      </w:r>
    </w:p>
    <w:p>
      <w:pPr>
        <w:pStyle w:val="Heading5"/>
      </w:pPr>
      <w:bookmarkStart w:id="248" w:name="_Toc154742874"/>
      <w:r>
        <w:rPr>
          <w:rStyle w:val="CharSectno"/>
        </w:rPr>
        <w:t>187</w:t>
      </w:r>
      <w:r>
        <w:t>.</w:t>
      </w:r>
      <w:r>
        <w:tab/>
        <w:t>ACH Council must give notice before making recommendation about prohibition order</w:t>
      </w:r>
      <w:bookmarkEnd w:id="248"/>
    </w:p>
    <w:p>
      <w:pPr>
        <w:pStyle w:val="Subsection"/>
      </w:pPr>
      <w:r>
        <w:tab/>
        <w:t>(1)</w:t>
      </w:r>
      <w:r>
        <w:tab/>
        <w:t xml:space="preserve">Before making a recommendation under section 185(1) or 186(1)(b), the ACH Council must — </w:t>
      </w:r>
    </w:p>
    <w:p>
      <w:pPr>
        <w:pStyle w:val="Indenta"/>
      </w:pPr>
      <w:r>
        <w:tab/>
        <w:t>(a)</w:t>
      </w:r>
      <w:r>
        <w:tab/>
        <w:t xml:space="preserve">give written notice in accordance with subsection (2) that the Council is considering whether or not to recommend that a prohibition order be given in relation to — </w:t>
      </w:r>
    </w:p>
    <w:p>
      <w:pPr>
        <w:pStyle w:val="Indenti"/>
      </w:pPr>
      <w:r>
        <w:tab/>
        <w:t>(i)</w:t>
      </w:r>
      <w:r>
        <w:tab/>
        <w:t>the activity specified in the notice; and</w:t>
      </w:r>
    </w:p>
    <w:p>
      <w:pPr>
        <w:pStyle w:val="Indenti"/>
      </w:pPr>
      <w:r>
        <w:tab/>
        <w:t>(ii)</w:t>
      </w:r>
      <w:r>
        <w:tab/>
        <w:t>the Aboriginal cultural heritage specified in the notice;</w:t>
      </w:r>
    </w:p>
    <w:p>
      <w:pPr>
        <w:pStyle w:val="Indenta"/>
      </w:pPr>
      <w:r>
        <w:tab/>
      </w:r>
      <w:r>
        <w:tab/>
        <w:t>and</w:t>
      </w:r>
    </w:p>
    <w:p>
      <w:pPr>
        <w:pStyle w:val="Indenta"/>
      </w:pPr>
      <w:r>
        <w:tab/>
        <w:t>(b)</w:t>
      </w:r>
      <w:r>
        <w:tab/>
        <w:t>following the period for submissions referred to in subsection (2)(c), consider any submissions made to the Council in response to the notice.</w:t>
      </w:r>
    </w:p>
    <w:p>
      <w:pPr>
        <w:pStyle w:val="Subsection"/>
      </w:pPr>
      <w:r>
        <w:tab/>
        <w:t>(2)</w:t>
      </w:r>
      <w:r>
        <w:tab/>
        <w:t xml:space="preserve">The notice under subsection (1)(a) must be given to the persons referred to in subsection (3) and provide — </w:t>
      </w:r>
    </w:p>
    <w:p>
      <w:pPr>
        <w:pStyle w:val="Indenta"/>
      </w:pPr>
      <w:r>
        <w:tab/>
        <w:t>(a)</w:t>
      </w:r>
      <w:r>
        <w:tab/>
        <w:t>information relevant to the decision of the ACH Council whether or not to recommend that a prohibition order be given; and</w:t>
      </w:r>
    </w:p>
    <w:p>
      <w:pPr>
        <w:pStyle w:val="Indenta"/>
        <w:keepNext/>
        <w:keepLines/>
      </w:pPr>
      <w:r>
        <w:tab/>
        <w:t>(b)</w:t>
      </w:r>
      <w:r>
        <w:tab/>
        <w:t xml:space="preserve">details about — </w:t>
      </w:r>
    </w:p>
    <w:p>
      <w:pPr>
        <w:pStyle w:val="Indenti"/>
      </w:pPr>
      <w:r>
        <w:tab/>
        <w:t>(i)</w:t>
      </w:r>
      <w:r>
        <w:tab/>
        <w:t>the Aboriginal cultural heritage being harmed or at imminent risk of harm, to the extent that the details do not disclose culturally sensitive information; and</w:t>
      </w:r>
    </w:p>
    <w:p>
      <w:pPr>
        <w:pStyle w:val="Indenti"/>
      </w:pPr>
      <w:r>
        <w:lastRenderedPageBreak/>
        <w:tab/>
        <w:t>(ii)</w:t>
      </w:r>
      <w:r>
        <w:tab/>
        <w:t>the activity to which the proposed prohibition order is to relate; and</w:t>
      </w:r>
    </w:p>
    <w:p>
      <w:pPr>
        <w:pStyle w:val="Indenti"/>
      </w:pPr>
      <w:r>
        <w:tab/>
        <w:t>(iii)</w:t>
      </w:r>
      <w:r>
        <w:tab/>
        <w:t>the proposed duration of the prohibition order;</w:t>
      </w:r>
    </w:p>
    <w:p>
      <w:pPr>
        <w:pStyle w:val="Indenta"/>
      </w:pPr>
      <w:r>
        <w:tab/>
      </w:r>
      <w:r>
        <w:tab/>
        <w:t>and</w:t>
      </w:r>
    </w:p>
    <w:p>
      <w:pPr>
        <w:pStyle w:val="Indenta"/>
      </w:pPr>
      <w:r>
        <w:tab/>
        <w:t>(c)</w:t>
      </w:r>
      <w:r>
        <w:tab/>
        <w:t>an opportunity to make submissions to the Council within the prescribed period about whether or not the Council should recommend that a prohibition order be given.</w:t>
      </w:r>
    </w:p>
    <w:p>
      <w:pPr>
        <w:pStyle w:val="Subsection"/>
      </w:pPr>
      <w:r>
        <w:tab/>
        <w:t>(3)</w:t>
      </w:r>
      <w:r>
        <w:tab/>
        <w:t xml:space="preserve">The notice under subsection (1)(a) must be given to the following persons — </w:t>
      </w:r>
    </w:p>
    <w:p>
      <w:pPr>
        <w:pStyle w:val="Indenta"/>
      </w:pPr>
      <w:r>
        <w:tab/>
        <w:t>(a)</w:t>
      </w:r>
      <w:r>
        <w:tab/>
        <w:t>any person who, in the opinion of the ACH Council, has control over the activity specified in the notice;</w:t>
      </w:r>
    </w:p>
    <w:p>
      <w:pPr>
        <w:pStyle w:val="Indenta"/>
      </w:pPr>
      <w:r>
        <w:tab/>
        <w:t>(b)</w:t>
      </w:r>
      <w:r>
        <w:tab/>
        <w:t>each local ACH service for the area or a part of the area where the activity is being carried out or is likely to be carried out;</w:t>
      </w:r>
    </w:p>
    <w:p>
      <w:pPr>
        <w:pStyle w:val="Indenta"/>
      </w:pPr>
      <w:r>
        <w:tab/>
        <w:t>(c)</w:t>
      </w:r>
      <w:r>
        <w:tab/>
        <w:t xml:space="preserve">if there is not a local ACH service for the area or a part of the area where the activity is being carried out or is likely to be carried out — </w:t>
      </w:r>
    </w:p>
    <w:p>
      <w:pPr>
        <w:pStyle w:val="Indenti"/>
      </w:pPr>
      <w:r>
        <w:tab/>
        <w:t>(i)</w:t>
      </w:r>
      <w:r>
        <w:tab/>
        <w:t>each native title party for the area or the part of the area; and</w:t>
      </w:r>
    </w:p>
    <w:p>
      <w:pPr>
        <w:pStyle w:val="Indenti"/>
      </w:pPr>
      <w:r>
        <w:tab/>
        <w:t>(ii)</w:t>
      </w:r>
      <w:r>
        <w:tab/>
        <w:t xml:space="preserve">each knowledge holder for the area or the part of the area; </w:t>
      </w:r>
    </w:p>
    <w:p>
      <w:pPr>
        <w:pStyle w:val="Indenta"/>
      </w:pPr>
      <w:r>
        <w:tab/>
        <w:t>(d)</w:t>
      </w:r>
      <w:r>
        <w:tab/>
        <w:t>if there is not a local ACH service, a native title party or a knowledge holder for the area or a part of the area — each native title representative body for the area or the part of the area.</w:t>
      </w:r>
    </w:p>
    <w:p>
      <w:pPr>
        <w:pStyle w:val="Subsection"/>
      </w:pPr>
      <w:r>
        <w:tab/>
        <w:t>(4)</w:t>
      </w:r>
      <w:r>
        <w:tab/>
        <w:t xml:space="preserve">In subsection (3)(c)(ii)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249" w:name="_Toc154742875"/>
      <w:r>
        <w:rPr>
          <w:rStyle w:val="CharSectno"/>
        </w:rPr>
        <w:lastRenderedPageBreak/>
        <w:t>188</w:t>
      </w:r>
      <w:r>
        <w:t>.</w:t>
      </w:r>
      <w:r>
        <w:tab/>
        <w:t>Prohibition order may be given by Minister</w:t>
      </w:r>
      <w:bookmarkEnd w:id="249"/>
    </w:p>
    <w:p>
      <w:pPr>
        <w:pStyle w:val="Subsection"/>
      </w:pPr>
      <w:r>
        <w:tab/>
        <w:t>(1)</w:t>
      </w:r>
      <w:r>
        <w:tab/>
        <w:t xml:space="preserve">If the ACH Council makes a recommendation to the Minister under section 185(1) or 186(1)(b), the Minister — </w:t>
      </w:r>
    </w:p>
    <w:p>
      <w:pPr>
        <w:pStyle w:val="Indenta"/>
      </w:pPr>
      <w:r>
        <w:tab/>
        <w:t>(a)</w:t>
      </w:r>
      <w:r>
        <w:tab/>
        <w:t xml:space="preserve">must consider the recommendation of the Council; and </w:t>
      </w:r>
    </w:p>
    <w:p>
      <w:pPr>
        <w:pStyle w:val="Indenta"/>
      </w:pPr>
      <w:r>
        <w:tab/>
        <w:t>(b)</w:t>
      </w:r>
      <w:r>
        <w:tab/>
        <w:t xml:space="preserve">may decide — </w:t>
      </w:r>
    </w:p>
    <w:p>
      <w:pPr>
        <w:pStyle w:val="Indenti"/>
      </w:pPr>
      <w:r>
        <w:tab/>
        <w:t>(i)</w:t>
      </w:r>
      <w:r>
        <w:tab/>
        <w:t>to give a prohibition order to a person described in subsection (3); or</w:t>
      </w:r>
    </w:p>
    <w:p>
      <w:pPr>
        <w:pStyle w:val="Indenti"/>
      </w:pPr>
      <w:r>
        <w:tab/>
        <w:t>(ii)</w:t>
      </w:r>
      <w:r>
        <w:tab/>
        <w:t>not to give a prohibition order.</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185(1) and (3); and</w:t>
      </w:r>
    </w:p>
    <w:p>
      <w:pPr>
        <w:pStyle w:val="Indenta"/>
      </w:pPr>
      <w:r>
        <w:tab/>
        <w:t>(b)</w:t>
      </w:r>
      <w:r>
        <w:tab/>
        <w:t>what is in the interests of the State.</w:t>
      </w:r>
    </w:p>
    <w:p>
      <w:pPr>
        <w:pStyle w:val="Subsection"/>
      </w:pPr>
      <w:r>
        <w:tab/>
        <w:t>(3)</w:t>
      </w:r>
      <w:r>
        <w:tab/>
        <w:t>A prohibition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 xml:space="preserve">the proponent for the activity; or </w:t>
      </w:r>
    </w:p>
    <w:p>
      <w:pPr>
        <w:pStyle w:val="PermNotePara"/>
      </w:pPr>
      <w:r>
        <w:tab/>
        <w:t>(c)</w:t>
      </w:r>
      <w:r>
        <w:tab/>
        <w:t>another person who, in the opinion of the Minister, has control over the activity.</w:t>
      </w:r>
    </w:p>
    <w:p>
      <w:pPr>
        <w:pStyle w:val="Subsection"/>
      </w:pPr>
      <w:r>
        <w:tab/>
        <w:t>(4)</w:t>
      </w:r>
      <w:r>
        <w:tab/>
        <w:t>The Minister must ensure that public notice is given of the giving of a prohibition order as soon as practicable after the order is given.</w:t>
      </w:r>
    </w:p>
    <w:p>
      <w:pPr>
        <w:pStyle w:val="Subsection"/>
      </w:pPr>
      <w:r>
        <w:tab/>
        <w:t>(5)</w:t>
      </w:r>
      <w:r>
        <w:tab/>
        <w:t>The Minister must ensure that notice is given of a decision under subsection (1)(b)(ii) not to give a prohibition order to the persons who were given notice under section 187(3) in relation to consideration by the ACH Council whether or not to recommend that a prohibition order be given.</w:t>
      </w:r>
    </w:p>
    <w:p>
      <w:pPr>
        <w:pStyle w:val="Heading5"/>
      </w:pPr>
      <w:bookmarkStart w:id="250" w:name="_Toc154742876"/>
      <w:r>
        <w:rPr>
          <w:rStyle w:val="CharSectno"/>
        </w:rPr>
        <w:lastRenderedPageBreak/>
        <w:t>189</w:t>
      </w:r>
      <w:r>
        <w:t>.</w:t>
      </w:r>
      <w:r>
        <w:tab/>
        <w:t>Contents of prohibition order</w:t>
      </w:r>
      <w:bookmarkEnd w:id="250"/>
    </w:p>
    <w:p>
      <w:pPr>
        <w:pStyle w:val="Subsection"/>
      </w:pPr>
      <w:r>
        <w:tab/>
      </w:r>
      <w:r>
        <w:tab/>
        <w:t xml:space="preserve">A prohibition order must — </w:t>
      </w:r>
    </w:p>
    <w:p>
      <w:pPr>
        <w:pStyle w:val="Indenta"/>
      </w:pPr>
      <w:r>
        <w:tab/>
        <w:t>(a)</w:t>
      </w:r>
      <w:r>
        <w:tab/>
        <w:t xml:space="preserve">state briefly — </w:t>
      </w:r>
    </w:p>
    <w:p>
      <w:pPr>
        <w:pStyle w:val="Indenti"/>
      </w:pPr>
      <w:r>
        <w:tab/>
        <w:t>(i)</w:t>
      </w:r>
      <w:r>
        <w:tab/>
        <w:t>that the Minister is satisfied that grounds exist for the giving of the order; and</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 xml:space="preserve">specify directions on measures that must be taken to protect Aboriginal cultural heritage the subject of the order from harm, or the risk of harm, including any of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 xml:space="preserve">specify — </w:t>
      </w:r>
    </w:p>
    <w:p>
      <w:pPr>
        <w:pStyle w:val="Indenti"/>
      </w:pPr>
      <w:r>
        <w:tab/>
        <w:t>(i)</w:t>
      </w:r>
      <w:r>
        <w:tab/>
        <w:t>that the order is of unlimited duration, unless cancelled; or</w:t>
      </w:r>
    </w:p>
    <w:p>
      <w:pPr>
        <w:pStyle w:val="Indenti"/>
      </w:pPr>
      <w:r>
        <w:tab/>
        <w:t>(ii)</w:t>
      </w:r>
      <w:r>
        <w:tab/>
        <w:t>the day on which the order will expire, unless cancelled earlier under section 203(1)(a) or extended under section 191(1).</w:t>
      </w:r>
    </w:p>
    <w:p>
      <w:pPr>
        <w:pStyle w:val="Heading5"/>
      </w:pPr>
      <w:bookmarkStart w:id="251" w:name="_Toc154742877"/>
      <w:r>
        <w:rPr>
          <w:rStyle w:val="CharSectno"/>
        </w:rPr>
        <w:lastRenderedPageBreak/>
        <w:t>190</w:t>
      </w:r>
      <w:r>
        <w:t>.</w:t>
      </w:r>
      <w:r>
        <w:tab/>
        <w:t>Compliance with prohibition order</w:t>
      </w:r>
      <w:bookmarkEnd w:id="251"/>
    </w:p>
    <w:p>
      <w:pPr>
        <w:pStyle w:val="Subsection"/>
      </w:pPr>
      <w:r>
        <w:tab/>
        <w:t>(1)</w:t>
      </w:r>
      <w:r>
        <w:tab/>
        <w:t>A person who is given a prohibition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prohibition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252" w:name="_Toc154742878"/>
      <w:r>
        <w:rPr>
          <w:rStyle w:val="CharSectno"/>
        </w:rPr>
        <w:t>191</w:t>
      </w:r>
      <w:r>
        <w:t>.</w:t>
      </w:r>
      <w:r>
        <w:tab/>
        <w:t>Extension of duration of prohibition order</w:t>
      </w:r>
      <w:bookmarkEnd w:id="252"/>
    </w:p>
    <w:p>
      <w:pPr>
        <w:pStyle w:val="Subsection"/>
      </w:pPr>
      <w:r>
        <w:tab/>
        <w:t>(1)</w:t>
      </w:r>
      <w:r>
        <w:tab/>
        <w:t>Before a prohibition order expires, the Minister may extend the duration of the order by written notice given to the person who was given the order.</w:t>
      </w:r>
    </w:p>
    <w:p>
      <w:pPr>
        <w:pStyle w:val="Subsection"/>
      </w:pPr>
      <w:r>
        <w:tab/>
        <w:t>(2)</w:t>
      </w:r>
      <w:r>
        <w:tab/>
        <w:t xml:space="preserve">The decision of the Minister under subsection (1) must be made on the grounds that — </w:t>
      </w:r>
    </w:p>
    <w:p>
      <w:pPr>
        <w:pStyle w:val="Indenta"/>
      </w:pPr>
      <w:r>
        <w:tab/>
        <w:t>(a)</w:t>
      </w:r>
      <w:r>
        <w:tab/>
        <w:t>the Minister is satisfied that the grounds on which the prohibition order was given still exist; and</w:t>
      </w:r>
    </w:p>
    <w:p>
      <w:pPr>
        <w:pStyle w:val="Indenta"/>
      </w:pPr>
      <w:r>
        <w:tab/>
        <w:t>(b)</w:t>
      </w:r>
      <w:r>
        <w:tab/>
        <w:t>it is in the interests of the State.</w:t>
      </w:r>
    </w:p>
    <w:p>
      <w:pPr>
        <w:pStyle w:val="Subsection"/>
        <w:keepNext/>
      </w:pPr>
      <w:r>
        <w:tab/>
        <w:t>(3)</w:t>
      </w:r>
      <w:r>
        <w:tab/>
        <w:t xml:space="preserve">Before making a decision under subsection (1), the Minister must — </w:t>
      </w:r>
    </w:p>
    <w:p>
      <w:pPr>
        <w:pStyle w:val="Indenta"/>
      </w:pPr>
      <w:r>
        <w:tab/>
        <w:t>(a)</w:t>
      </w:r>
      <w:r>
        <w:tab/>
        <w:t>give written notice, in accordance with section 192(1), of the proposal to extend the duration of the prohibition order; and</w:t>
      </w:r>
    </w:p>
    <w:p>
      <w:pPr>
        <w:pStyle w:val="Indenta"/>
      </w:pPr>
      <w:r>
        <w:tab/>
        <w:t>(b)</w:t>
      </w:r>
      <w:r>
        <w:tab/>
        <w:t>at the end of the period for submissions referred to in section 192(1)(d), consider any submissions made to the Minister in response to the notice.</w:t>
      </w:r>
    </w:p>
    <w:p>
      <w:pPr>
        <w:pStyle w:val="Subsection"/>
      </w:pPr>
      <w:r>
        <w:lastRenderedPageBreak/>
        <w:tab/>
        <w:t>(4)</w:t>
      </w:r>
      <w:r>
        <w:tab/>
        <w:t>The Minister must ensure that public notice is given of the extension of the duration of the prohibition order as soon as practicable after the duration of the order is extended.</w:t>
      </w:r>
    </w:p>
    <w:p>
      <w:pPr>
        <w:pStyle w:val="Heading5"/>
      </w:pPr>
      <w:bookmarkStart w:id="253" w:name="_Toc154742879"/>
      <w:r>
        <w:rPr>
          <w:rStyle w:val="CharSectno"/>
        </w:rPr>
        <w:t>192</w:t>
      </w:r>
      <w:r>
        <w:t>.</w:t>
      </w:r>
      <w:r>
        <w:tab/>
        <w:t>Notice by Minister before extension of duration of prohibition order</w:t>
      </w:r>
      <w:bookmarkEnd w:id="253"/>
    </w:p>
    <w:p>
      <w:pPr>
        <w:pStyle w:val="Subsection"/>
      </w:pPr>
      <w:r>
        <w:tab/>
        <w:t>(1)</w:t>
      </w:r>
      <w:r>
        <w:tab/>
        <w:t xml:space="preserve">The notice under section 191(3)(a) must be given to the persons referred to in subsection (2) and provide — </w:t>
      </w:r>
    </w:p>
    <w:p>
      <w:pPr>
        <w:pStyle w:val="Indenta"/>
      </w:pPr>
      <w:r>
        <w:tab/>
        <w:t>(a)</w:t>
      </w:r>
      <w:r>
        <w:tab/>
        <w:t>details of the proposal to extend the duration of the prohibition order, including the proposed extension period; and</w:t>
      </w:r>
    </w:p>
    <w:p>
      <w:pPr>
        <w:pStyle w:val="Indenta"/>
      </w:pPr>
      <w:r>
        <w:tab/>
        <w:t>(b)</w:t>
      </w:r>
      <w:r>
        <w:tab/>
        <w:t>details about the contents of the prohibition order, excluding any details that disclose culturally sensitive information; and</w:t>
      </w:r>
    </w:p>
    <w:p>
      <w:pPr>
        <w:pStyle w:val="Indenta"/>
      </w:pPr>
      <w:r>
        <w:tab/>
        <w:t>(c)</w:t>
      </w:r>
      <w:r>
        <w:tab/>
        <w:t>details about the directions specified in the prohibition order; and</w:t>
      </w:r>
    </w:p>
    <w:p>
      <w:pPr>
        <w:pStyle w:val="Indenta"/>
      </w:pPr>
      <w:r>
        <w:tab/>
        <w:t>(d)</w:t>
      </w:r>
      <w:r>
        <w:tab/>
        <w:t>an opportunity to make submissions to the Minister within the prescribed period about whether the duration of the prohibition order should be extended as proposed.</w:t>
      </w:r>
    </w:p>
    <w:p>
      <w:pPr>
        <w:pStyle w:val="Subsection"/>
      </w:pPr>
      <w:r>
        <w:tab/>
        <w:t>(2)</w:t>
      </w:r>
      <w:r>
        <w:tab/>
        <w:t xml:space="preserve">The notice must be given to the following persons — </w:t>
      </w:r>
    </w:p>
    <w:p>
      <w:pPr>
        <w:pStyle w:val="Indenta"/>
      </w:pPr>
      <w:r>
        <w:tab/>
        <w:t>(a)</w:t>
      </w:r>
      <w:r>
        <w:tab/>
        <w:t>the person who was given the prohibition order;</w:t>
      </w:r>
    </w:p>
    <w:p>
      <w:pPr>
        <w:pStyle w:val="Indenta"/>
      </w:pPr>
      <w:r>
        <w:tab/>
        <w:t>(b)</w:t>
      </w:r>
      <w:r>
        <w:tab/>
        <w:t>any other person who, in the opinion of the Minister, has control over an activity the subject of a direction specified in the prohibition order;</w:t>
      </w:r>
    </w:p>
    <w:p>
      <w:pPr>
        <w:pStyle w:val="Indenta"/>
      </w:pPr>
      <w:r>
        <w:tab/>
        <w:t>(c)</w:t>
      </w:r>
      <w:r>
        <w:tab/>
        <w:t>the persons referred to in section 187(3)(b) to (d).</w:t>
      </w:r>
    </w:p>
    <w:p>
      <w:pPr>
        <w:pStyle w:val="Heading3"/>
      </w:pPr>
      <w:bookmarkStart w:id="254" w:name="_Toc154742880"/>
      <w:r>
        <w:rPr>
          <w:rStyle w:val="CharDivNo"/>
        </w:rPr>
        <w:t>Division 4</w:t>
      </w:r>
      <w:r>
        <w:t> — </w:t>
      </w:r>
      <w:r>
        <w:rPr>
          <w:rStyle w:val="CharDivText"/>
        </w:rPr>
        <w:t>Remediation orders</w:t>
      </w:r>
      <w:bookmarkEnd w:id="254"/>
    </w:p>
    <w:p>
      <w:pPr>
        <w:pStyle w:val="Heading5"/>
      </w:pPr>
      <w:bookmarkStart w:id="255" w:name="_Toc154742881"/>
      <w:r>
        <w:rPr>
          <w:rStyle w:val="CharSectno"/>
        </w:rPr>
        <w:t>193</w:t>
      </w:r>
      <w:r>
        <w:t>.</w:t>
      </w:r>
      <w:r>
        <w:tab/>
        <w:t>ACH Council may recommend remediation order</w:t>
      </w:r>
      <w:bookmarkEnd w:id="255"/>
    </w:p>
    <w:p>
      <w:pPr>
        <w:pStyle w:val="Subsection"/>
      </w:pPr>
      <w:r>
        <w:tab/>
      </w:r>
      <w:r>
        <w:tab/>
        <w:t>The ACH Council may recommend that the Minister give a remediation order to a person described in section 194(2) if the Council is of the opinion that Aboriginal cultural heritage has been harmed in contravention of this Act.</w:t>
      </w:r>
    </w:p>
    <w:p>
      <w:pPr>
        <w:pStyle w:val="Heading5"/>
      </w:pPr>
      <w:bookmarkStart w:id="256" w:name="_Toc154742882"/>
      <w:r>
        <w:rPr>
          <w:rStyle w:val="CharSectno"/>
        </w:rPr>
        <w:lastRenderedPageBreak/>
        <w:t>194</w:t>
      </w:r>
      <w:r>
        <w:t>.</w:t>
      </w:r>
      <w:r>
        <w:tab/>
        <w:t>Remediation order may be given by Minister</w:t>
      </w:r>
      <w:bookmarkEnd w:id="256"/>
    </w:p>
    <w:p>
      <w:pPr>
        <w:pStyle w:val="Subsection"/>
      </w:pPr>
      <w:r>
        <w:tab/>
        <w:t>(1)</w:t>
      </w:r>
      <w:r>
        <w:tab/>
        <w:t xml:space="preserve">The Minister may give a remediation order to a person described in subsection (2) if — </w:t>
      </w:r>
    </w:p>
    <w:p>
      <w:pPr>
        <w:pStyle w:val="Indenta"/>
      </w:pPr>
      <w:r>
        <w:tab/>
        <w:t>(a)</w:t>
      </w:r>
      <w:r>
        <w:tab/>
        <w:t>the ACH Council has made a recommendation to the Minister under section 193; and</w:t>
      </w:r>
    </w:p>
    <w:p>
      <w:pPr>
        <w:pStyle w:val="Indenta"/>
      </w:pPr>
      <w:r>
        <w:tab/>
        <w:t>(b)</w:t>
      </w:r>
      <w:r>
        <w:tab/>
        <w:t>the Minister is satisfied that Aboriginal cultural heritage has been harmed in contravention of this Act.</w:t>
      </w:r>
    </w:p>
    <w:p>
      <w:pPr>
        <w:pStyle w:val="Subsection"/>
      </w:pPr>
      <w:r>
        <w:tab/>
        <w:t>(2)</w:t>
      </w:r>
      <w:r>
        <w:tab/>
        <w:t xml:space="preserve">A remediation order must be given to a person who, in the opinion of the Minister — </w:t>
      </w:r>
    </w:p>
    <w:p>
      <w:pPr>
        <w:pStyle w:val="Indenta"/>
      </w:pPr>
      <w:r>
        <w:tab/>
        <w:t>(a)</w:t>
      </w:r>
      <w:r>
        <w:tab/>
        <w:t>had control over the activity that harmed the Aboriginal cultural heritage; or</w:t>
      </w:r>
    </w:p>
    <w:p>
      <w:pPr>
        <w:pStyle w:val="Indenta"/>
      </w:pPr>
      <w:r>
        <w:tab/>
        <w:t>(b)</w:t>
      </w:r>
      <w:r>
        <w:tab/>
        <w:t>is a landholder or occupier of the land where the activity that harmed the Aboriginal cultural heritage was carried out.</w:t>
      </w:r>
    </w:p>
    <w:p>
      <w:pPr>
        <w:pStyle w:val="Subsection"/>
      </w:pPr>
      <w:r>
        <w:tab/>
        <w:t>(3)</w:t>
      </w:r>
      <w:r>
        <w:tab/>
        <w:t>The Minister must ensure that public notice is given of the giving of a remediation order as soon as practicable after the order is given.</w:t>
      </w:r>
    </w:p>
    <w:p>
      <w:pPr>
        <w:pStyle w:val="Heading5"/>
      </w:pPr>
      <w:bookmarkStart w:id="257" w:name="_Toc154742883"/>
      <w:r>
        <w:rPr>
          <w:rStyle w:val="CharSectno"/>
        </w:rPr>
        <w:t>195</w:t>
      </w:r>
      <w:r>
        <w:t>.</w:t>
      </w:r>
      <w:r>
        <w:tab/>
        <w:t>Contents of remediation order</w:t>
      </w:r>
      <w:bookmarkEnd w:id="257"/>
    </w:p>
    <w:p>
      <w:pPr>
        <w:pStyle w:val="Subsection"/>
        <w:keepNext/>
      </w:pPr>
      <w:r>
        <w:tab/>
      </w:r>
      <w:r>
        <w:tab/>
        <w:t xml:space="preserve">A remediation order must — </w:t>
      </w:r>
    </w:p>
    <w:p>
      <w:pPr>
        <w:pStyle w:val="Indenta"/>
        <w:keepNext/>
      </w:pPr>
      <w:r>
        <w:tab/>
        <w:t>(a)</w:t>
      </w:r>
      <w:r>
        <w:tab/>
        <w:t xml:space="preserve">state briefly — </w:t>
      </w:r>
    </w:p>
    <w:p>
      <w:pPr>
        <w:pStyle w:val="Indenti"/>
      </w:pPr>
      <w:r>
        <w:tab/>
        <w:t>(i)</w:t>
      </w:r>
      <w:r>
        <w:tab/>
        <w:t xml:space="preserve">that the Minister is satisfied that grounds for giving the order exist; and </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specify directions on measures that must be taken to remediate the harm to the Aboriginal cultural heritage and any period within which a measure must be carried out; and</w:t>
      </w:r>
    </w:p>
    <w:p>
      <w:pPr>
        <w:pStyle w:val="Indenta"/>
      </w:pPr>
      <w:r>
        <w:lastRenderedPageBreak/>
        <w:tab/>
        <w:t>(d)</w:t>
      </w:r>
      <w:r>
        <w:tab/>
        <w:t>specify that the person given the order must ensure that those directions are complied with and describe briefly the consequences of failing to do so.</w:t>
      </w:r>
    </w:p>
    <w:p>
      <w:pPr>
        <w:pStyle w:val="Heading5"/>
      </w:pPr>
      <w:bookmarkStart w:id="258" w:name="_Toc154742884"/>
      <w:r>
        <w:rPr>
          <w:rStyle w:val="CharSectno"/>
        </w:rPr>
        <w:t>196</w:t>
      </w:r>
      <w:r>
        <w:t>.</w:t>
      </w:r>
      <w:r>
        <w:tab/>
        <w:t>Compliance with remediation order</w:t>
      </w:r>
      <w:bookmarkEnd w:id="258"/>
    </w:p>
    <w:p>
      <w:pPr>
        <w:pStyle w:val="Subsection"/>
      </w:pPr>
      <w:r>
        <w:tab/>
        <w:t>(1)</w:t>
      </w:r>
      <w:r>
        <w:tab/>
        <w:t>A person who is given a remediation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remediation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259" w:name="_Toc154742885"/>
      <w:r>
        <w:rPr>
          <w:rStyle w:val="CharSectno"/>
        </w:rPr>
        <w:t>197</w:t>
      </w:r>
      <w:r>
        <w:t>.</w:t>
      </w:r>
      <w:r>
        <w:tab/>
        <w:t>Other persons may carry out remediation if order contravened</w:t>
      </w:r>
      <w:bookmarkEnd w:id="259"/>
    </w:p>
    <w:p>
      <w:pPr>
        <w:pStyle w:val="Subsection"/>
      </w:pPr>
      <w:r>
        <w:tab/>
        <w:t>(1)</w:t>
      </w:r>
      <w:r>
        <w:tab/>
        <w:t>If a person who is given a remediation order contravenes the order, the Minister may authorise any other person to carry out some or all of the directions specified in the order.</w:t>
      </w:r>
    </w:p>
    <w:p>
      <w:pPr>
        <w:pStyle w:val="Subsection"/>
      </w:pPr>
      <w:r>
        <w:tab/>
        <w:t>(2)</w:t>
      </w:r>
      <w:r>
        <w:tab/>
        <w:t>The Minister may, in a court of competent jurisdiction, recover the cost of the remediation referred to in subsection (1) as a debt due from the person to whom the remediation order was given.</w:t>
      </w:r>
    </w:p>
    <w:p>
      <w:pPr>
        <w:pStyle w:val="Heading5"/>
      </w:pPr>
      <w:bookmarkStart w:id="260" w:name="_Toc154742886"/>
      <w:r>
        <w:rPr>
          <w:rStyle w:val="CharSectno"/>
        </w:rPr>
        <w:t>198</w:t>
      </w:r>
      <w:r>
        <w:t>.</w:t>
      </w:r>
      <w:r>
        <w:tab/>
        <w:t>Entry to carry out remediation</w:t>
      </w:r>
      <w:bookmarkEnd w:id="260"/>
    </w:p>
    <w:p>
      <w:pPr>
        <w:pStyle w:val="Subsection"/>
      </w:pPr>
      <w:r>
        <w:tab/>
        <w:t>(1)</w:t>
      </w:r>
      <w:r>
        <w:tab/>
        <w:t>A person required or authorised to carry out remediation under a remediation order may enter land if it is necessary to do so for the purpose of carrying out the remediation.</w:t>
      </w:r>
    </w:p>
    <w:p>
      <w:pPr>
        <w:pStyle w:val="Subsection"/>
      </w:pPr>
      <w:r>
        <w:tab/>
        <w:t>(2)</w:t>
      </w:r>
      <w:r>
        <w:tab/>
        <w:t>However, nothing in this Division authorises a person to enter any part of premises used for residential purposes except with the consent of the occupier of the premises.</w:t>
      </w:r>
    </w:p>
    <w:p>
      <w:pPr>
        <w:pStyle w:val="Heading5"/>
      </w:pPr>
      <w:bookmarkStart w:id="261" w:name="_Toc154742887"/>
      <w:r>
        <w:rPr>
          <w:rStyle w:val="CharSectno"/>
        </w:rPr>
        <w:lastRenderedPageBreak/>
        <w:t>199</w:t>
      </w:r>
      <w:r>
        <w:t>.</w:t>
      </w:r>
      <w:r>
        <w:tab/>
        <w:t>Recovery by person given remediation order</w:t>
      </w:r>
      <w:bookmarkEnd w:id="261"/>
    </w:p>
    <w:p>
      <w:pPr>
        <w:pStyle w:val="Subsection"/>
      </w:pPr>
      <w:r>
        <w:tab/>
      </w:r>
      <w:r>
        <w:tab/>
        <w:t>A person who complied with a remediation order that the person was given, but who is not the person who had control over the activity that harmed the Aboriginal cultural heritage the subject of the remediation order, may, in a court of competent jurisdiction, recover the cost of complying with the order as a debt due from the person who had control over the activity that harmed the Aboriginal cultural heritage.</w:t>
      </w:r>
    </w:p>
    <w:p>
      <w:pPr>
        <w:pStyle w:val="Heading3"/>
      </w:pPr>
      <w:bookmarkStart w:id="262" w:name="_Toc154742888"/>
      <w:r>
        <w:rPr>
          <w:rStyle w:val="CharDivNo"/>
        </w:rPr>
        <w:t>Division 5</w:t>
      </w:r>
      <w:r>
        <w:t> — </w:t>
      </w:r>
      <w:r>
        <w:rPr>
          <w:rStyle w:val="CharDivText"/>
        </w:rPr>
        <w:t>Other provisions about orders under this Part</w:t>
      </w:r>
      <w:bookmarkEnd w:id="262"/>
    </w:p>
    <w:p>
      <w:pPr>
        <w:pStyle w:val="Heading5"/>
      </w:pPr>
      <w:bookmarkStart w:id="263" w:name="_Toc154742889"/>
      <w:r>
        <w:rPr>
          <w:rStyle w:val="CharSectno"/>
        </w:rPr>
        <w:t>200</w:t>
      </w:r>
      <w:r>
        <w:t>.</w:t>
      </w:r>
      <w:r>
        <w:tab/>
        <w:t>General matters about orders under this Part</w:t>
      </w:r>
      <w:bookmarkEnd w:id="263"/>
      <w:r>
        <w:t xml:space="preserve"> </w:t>
      </w:r>
    </w:p>
    <w:p>
      <w:pPr>
        <w:pStyle w:val="Subsection"/>
      </w:pPr>
      <w:r>
        <w:tab/>
      </w:r>
      <w:r>
        <w:tab/>
        <w:t xml:space="preserve">An order under this Part, and the amendment, extension or cancellation of an order under this Part — </w:t>
      </w:r>
    </w:p>
    <w:p>
      <w:pPr>
        <w:pStyle w:val="Indenta"/>
      </w:pPr>
      <w:r>
        <w:tab/>
        <w:t>(a)</w:t>
      </w:r>
      <w:r>
        <w:tab/>
        <w:t>must be given in writing; and</w:t>
      </w:r>
    </w:p>
    <w:p>
      <w:pPr>
        <w:pStyle w:val="Indenta"/>
      </w:pPr>
      <w:r>
        <w:tab/>
        <w:t>(b)</w:t>
      </w:r>
      <w:r>
        <w:tab/>
        <w:t xml:space="preserve">may be given whether or not — </w:t>
      </w:r>
    </w:p>
    <w:p>
      <w:pPr>
        <w:pStyle w:val="Indenti"/>
      </w:pPr>
      <w:r>
        <w:tab/>
        <w:t>(i)</w:t>
      </w:r>
      <w:r>
        <w:tab/>
        <w:t>any person has been proceeded against or convicted of an offence under this Act; or</w:t>
      </w:r>
    </w:p>
    <w:p>
      <w:pPr>
        <w:pStyle w:val="Indenti"/>
      </w:pPr>
      <w:r>
        <w:tab/>
        <w:t>(ii)</w:t>
      </w:r>
      <w:r>
        <w:tab/>
        <w:t>the person to whom the order is given has been notified about the proposal to make the order.</w:t>
      </w:r>
    </w:p>
    <w:p>
      <w:pPr>
        <w:pStyle w:val="Heading5"/>
      </w:pPr>
      <w:bookmarkStart w:id="264" w:name="_Toc154742890"/>
      <w:r>
        <w:rPr>
          <w:rStyle w:val="CharSectno"/>
        </w:rPr>
        <w:t>201</w:t>
      </w:r>
      <w:r>
        <w:t>.</w:t>
      </w:r>
      <w:r>
        <w:tab/>
        <w:t>Directions in orders under this Part</w:t>
      </w:r>
      <w:bookmarkEnd w:id="264"/>
    </w:p>
    <w:p>
      <w:pPr>
        <w:pStyle w:val="Subsection"/>
        <w:keepNext/>
      </w:pPr>
      <w:r>
        <w:tab/>
      </w:r>
      <w:r>
        <w:tab/>
        <w:t xml:space="preserve">A direction specified in an order under this Part may do any of the following — </w:t>
      </w:r>
    </w:p>
    <w:p>
      <w:pPr>
        <w:pStyle w:val="Indenta"/>
      </w:pPr>
      <w:r>
        <w:tab/>
        <w:t>(a)</w:t>
      </w:r>
      <w:r>
        <w:tab/>
        <w:t>state that it is subject to any conditions specified in the order;</w:t>
      </w:r>
    </w:p>
    <w:p>
      <w:pPr>
        <w:pStyle w:val="Indenta"/>
      </w:pPr>
      <w:r>
        <w:tab/>
        <w:t>(b)</w:t>
      </w:r>
      <w:r>
        <w:tab/>
        <w:t>state that it is subject to the discretion of any person specified in the order;</w:t>
      </w:r>
    </w:p>
    <w:p>
      <w:pPr>
        <w:pStyle w:val="Indenta"/>
      </w:pPr>
      <w:r>
        <w:tab/>
        <w:t>(c)</w:t>
      </w:r>
      <w:r>
        <w:tab/>
        <w:t>refer to any prescribed requirements or standards or to a code of practice;</w:t>
      </w:r>
    </w:p>
    <w:p>
      <w:pPr>
        <w:pStyle w:val="Indenta"/>
      </w:pPr>
      <w:r>
        <w:tab/>
        <w:t>(d)</w:t>
      </w:r>
      <w:r>
        <w:tab/>
        <w:t>offer the person to whom it is given a choice of ways in which to comply with the order.</w:t>
      </w:r>
    </w:p>
    <w:p>
      <w:pPr>
        <w:pStyle w:val="Heading5"/>
      </w:pPr>
      <w:bookmarkStart w:id="265" w:name="_Toc154742891"/>
      <w:r>
        <w:rPr>
          <w:rStyle w:val="CharSectno"/>
        </w:rPr>
        <w:lastRenderedPageBreak/>
        <w:t>202</w:t>
      </w:r>
      <w:r>
        <w:t>.</w:t>
      </w:r>
      <w:r>
        <w:tab/>
        <w:t>Duration of orders under this Part</w:t>
      </w:r>
      <w:bookmarkEnd w:id="265"/>
    </w:p>
    <w:p>
      <w:pPr>
        <w:pStyle w:val="Subsection"/>
      </w:pPr>
      <w:r>
        <w:tab/>
      </w:r>
      <w:r>
        <w:tab/>
        <w:t xml:space="preserve">An order under this Part — </w:t>
      </w:r>
    </w:p>
    <w:p>
      <w:pPr>
        <w:pStyle w:val="Indenta"/>
      </w:pPr>
      <w:r>
        <w:tab/>
        <w:t>(a)</w:t>
      </w:r>
      <w:r>
        <w:tab/>
        <w:t>takes effect when a person is given the order; and</w:t>
      </w:r>
    </w:p>
    <w:p>
      <w:pPr>
        <w:pStyle w:val="Indenta"/>
      </w:pPr>
      <w:r>
        <w:tab/>
        <w:t>(b)</w:t>
      </w:r>
      <w:r>
        <w:tab/>
        <w:t xml:space="preserve">is of effect until whichever of the following occurs first — </w:t>
      </w:r>
    </w:p>
    <w:p>
      <w:pPr>
        <w:pStyle w:val="Indenti"/>
      </w:pPr>
      <w:r>
        <w:tab/>
        <w:t>(i)</w:t>
      </w:r>
      <w:r>
        <w:tab/>
        <w:t>the order is cancelled under section 203(1);</w:t>
      </w:r>
    </w:p>
    <w:p>
      <w:pPr>
        <w:pStyle w:val="Indenti"/>
      </w:pPr>
      <w:r>
        <w:tab/>
        <w:t>(ii)</w:t>
      </w:r>
      <w:r>
        <w:tab/>
        <w:t>the order expires in accordance with its terms or the terms of a notice given under section 182(1) or 191(1).</w:t>
      </w:r>
    </w:p>
    <w:p>
      <w:pPr>
        <w:pStyle w:val="Heading5"/>
      </w:pPr>
      <w:bookmarkStart w:id="266" w:name="_Toc154742892"/>
      <w:r>
        <w:rPr>
          <w:rStyle w:val="CharSectno"/>
        </w:rPr>
        <w:t>203</w:t>
      </w:r>
      <w:r>
        <w:t>.</w:t>
      </w:r>
      <w:r>
        <w:tab/>
        <w:t>Amendment or cancellation of certain orders under this Part</w:t>
      </w:r>
      <w:bookmarkEnd w:id="266"/>
    </w:p>
    <w:p>
      <w:pPr>
        <w:pStyle w:val="Subsection"/>
      </w:pPr>
      <w:r>
        <w:tab/>
        <w:t>(1)</w:t>
      </w:r>
      <w:r>
        <w:tab/>
        <w:t xml:space="preserve">The Minister may, by written notice given to a person given an order under this Part — </w:t>
      </w:r>
    </w:p>
    <w:p>
      <w:pPr>
        <w:pStyle w:val="Indenta"/>
      </w:pPr>
      <w:r>
        <w:tab/>
        <w:t>(a)</w:t>
      </w:r>
      <w:r>
        <w:tab/>
        <w:t>if the order is a prohibition order — amend or cancel the order; or</w:t>
      </w:r>
    </w:p>
    <w:p>
      <w:pPr>
        <w:pStyle w:val="Indenta"/>
      </w:pPr>
      <w:r>
        <w:tab/>
        <w:t>(b)</w:t>
      </w:r>
      <w:r>
        <w:tab/>
        <w:t>if the order is a stop activity order or a remediation order — cancel the order.</w:t>
      </w:r>
    </w:p>
    <w:p>
      <w:pPr>
        <w:pStyle w:val="Subsection"/>
        <w:keepNext/>
      </w:pPr>
      <w:r>
        <w:tab/>
        <w:t>(2)</w:t>
      </w:r>
      <w:r>
        <w:tab/>
        <w:t xml:space="preserve">Before making a decision under subsection (1)(a) to amend or cancel a prohibition order, the Minister must — </w:t>
      </w:r>
    </w:p>
    <w:p>
      <w:pPr>
        <w:pStyle w:val="Indenta"/>
      </w:pPr>
      <w:r>
        <w:tab/>
        <w:t>(a)</w:t>
      </w:r>
      <w:r>
        <w:tab/>
        <w:t>give written notice in accordance with section 204 of the proposal to amend or cancel the prohibition order; and</w:t>
      </w:r>
    </w:p>
    <w:p>
      <w:pPr>
        <w:pStyle w:val="Indenta"/>
      </w:pPr>
      <w:r>
        <w:tab/>
        <w:t>(b)</w:t>
      </w:r>
      <w:r>
        <w:tab/>
        <w:t>at the end of the period for submissions referred to in section 204(c), consider any submissions made to the Minister in response to the notice.</w:t>
      </w:r>
    </w:p>
    <w:p>
      <w:pPr>
        <w:pStyle w:val="Subsection"/>
      </w:pPr>
      <w:r>
        <w:tab/>
        <w:t>(3)</w:t>
      </w:r>
      <w:r>
        <w:tab/>
        <w:t>The Minister must give written notice of a decision under subsection (1) to amend or cancel a prohibition order to the persons referred to in section 187(3)(b) to (d) as soon as practicable after the decision is made.</w:t>
      </w:r>
    </w:p>
    <w:p>
      <w:pPr>
        <w:pStyle w:val="Heading5"/>
      </w:pPr>
      <w:bookmarkStart w:id="267" w:name="_Toc154742893"/>
      <w:r>
        <w:rPr>
          <w:rStyle w:val="CharSectno"/>
        </w:rPr>
        <w:lastRenderedPageBreak/>
        <w:t>204</w:t>
      </w:r>
      <w:r>
        <w:t>.</w:t>
      </w:r>
      <w:r>
        <w:tab/>
        <w:t>Notification by Minister before amending or cancelling prohibition order</w:t>
      </w:r>
      <w:bookmarkEnd w:id="267"/>
    </w:p>
    <w:p>
      <w:pPr>
        <w:pStyle w:val="Subsection"/>
      </w:pPr>
      <w:r>
        <w:tab/>
      </w:r>
      <w:r>
        <w:tab/>
        <w:t xml:space="preserve">The notice under section 203(2)(a) must be given to the persons referred to in section 192(2) and provide — </w:t>
      </w:r>
    </w:p>
    <w:p>
      <w:pPr>
        <w:pStyle w:val="Indenta"/>
      </w:pPr>
      <w:r>
        <w:tab/>
        <w:t>(a)</w:t>
      </w:r>
      <w:r>
        <w:tab/>
        <w:t>details of the proposal to amend or cancel the prohibition order; and</w:t>
      </w:r>
    </w:p>
    <w:p>
      <w:pPr>
        <w:pStyle w:val="Indenta"/>
      </w:pPr>
      <w:r>
        <w:tab/>
        <w:t>(b)</w:t>
      </w:r>
      <w:r>
        <w:tab/>
        <w:t>details about the contents of the prohibition order, excluding any details that disclose culturally sensitive information; and</w:t>
      </w:r>
    </w:p>
    <w:p>
      <w:pPr>
        <w:pStyle w:val="Indenta"/>
      </w:pPr>
      <w:r>
        <w:tab/>
        <w:t>(c)</w:t>
      </w:r>
      <w:r>
        <w:tab/>
        <w:t>an opportunity to make submissions to the Minister within the prescribed period about whether the prohibition order should be amended or cancelled as proposed.</w:t>
      </w:r>
    </w:p>
    <w:p>
      <w:pPr>
        <w:pStyle w:val="Heading5"/>
      </w:pPr>
      <w:bookmarkStart w:id="268" w:name="_Toc154742894"/>
      <w:r>
        <w:rPr>
          <w:rStyle w:val="CharSectno"/>
        </w:rPr>
        <w:t>205</w:t>
      </w:r>
      <w:r>
        <w:t>.</w:t>
      </w:r>
      <w:r>
        <w:tab/>
        <w:t>Display of order under this Part</w:t>
      </w:r>
      <w:bookmarkEnd w:id="268"/>
    </w:p>
    <w:p>
      <w:pPr>
        <w:pStyle w:val="Subsection"/>
      </w:pPr>
      <w:r>
        <w:tab/>
        <w:t>(1)</w:t>
      </w:r>
      <w:r>
        <w:tab/>
        <w:t>A person who is given an order under this Part must, as soon as practicable, display a copy of the order in a prominent place at or near the area where any activity the subject of a direction specified in the order is, or was, being carried out.</w:t>
      </w:r>
    </w:p>
    <w:p>
      <w:pPr>
        <w:pStyle w:val="Penstart"/>
      </w:pPr>
      <w:r>
        <w:tab/>
        <w:t>Penalty for this subsection:</w:t>
      </w:r>
    </w:p>
    <w:p>
      <w:pPr>
        <w:pStyle w:val="Penpara"/>
      </w:pPr>
      <w:r>
        <w:tab/>
        <w:t>(a)</w:t>
      </w:r>
      <w:r>
        <w:tab/>
        <w:t>a fine of $10 000;</w:t>
      </w:r>
    </w:p>
    <w:p>
      <w:pPr>
        <w:pStyle w:val="Penpara"/>
      </w:pPr>
      <w:r>
        <w:tab/>
        <w:t>(b)</w:t>
      </w:r>
      <w:r>
        <w:tab/>
        <w:t>a daily penalty of a fine of $500 for each day or part of a day during which the offence continues.</w:t>
      </w:r>
    </w:p>
    <w:p>
      <w:pPr>
        <w:pStyle w:val="Subsection"/>
      </w:pPr>
      <w:r>
        <w:tab/>
        <w:t>(2)</w:t>
      </w:r>
      <w:r>
        <w:tab/>
        <w:t>A person must not intentionally remove, destroy, damage or deface an order displayed under subsection (1) while the order is of effect.</w:t>
      </w:r>
    </w:p>
    <w:p>
      <w:pPr>
        <w:pStyle w:val="Penstart"/>
      </w:pPr>
      <w:r>
        <w:tab/>
        <w:t>Penalty for this subsection: a fine of $10 000.</w:t>
      </w:r>
    </w:p>
    <w:p>
      <w:pPr>
        <w:pStyle w:val="Heading2"/>
      </w:pPr>
      <w:bookmarkStart w:id="269" w:name="_Toc154742895"/>
      <w:r>
        <w:rPr>
          <w:rStyle w:val="CharPartNo"/>
        </w:rPr>
        <w:lastRenderedPageBreak/>
        <w:t>Part 8</w:t>
      </w:r>
      <w:r>
        <w:rPr>
          <w:rStyle w:val="CharDivNo"/>
        </w:rPr>
        <w:t> </w:t>
      </w:r>
      <w:r>
        <w:t>—</w:t>
      </w:r>
      <w:r>
        <w:rPr>
          <w:rStyle w:val="CharDivText"/>
        </w:rPr>
        <w:t> </w:t>
      </w:r>
      <w:r>
        <w:rPr>
          <w:rStyle w:val="CharPartText"/>
        </w:rPr>
        <w:t>Aboriginal cultural heritage protection agreements</w:t>
      </w:r>
      <w:bookmarkEnd w:id="269"/>
    </w:p>
    <w:p>
      <w:pPr>
        <w:pStyle w:val="Heading5"/>
      </w:pPr>
      <w:bookmarkStart w:id="270" w:name="_Toc154742896"/>
      <w:r>
        <w:rPr>
          <w:rStyle w:val="CharSectno"/>
        </w:rPr>
        <w:t>206</w:t>
      </w:r>
      <w:r>
        <w:t>.</w:t>
      </w:r>
      <w:r>
        <w:tab/>
        <w:t>ACH protection agreement</w:t>
      </w:r>
      <w:bookmarkEnd w:id="270"/>
    </w:p>
    <w:p>
      <w:pPr>
        <w:pStyle w:val="Subsection"/>
      </w:pPr>
      <w:r>
        <w:tab/>
        <w:t>(1)</w:t>
      </w:r>
      <w:r>
        <w:tab/>
        <w:t xml:space="preserve">An Aboriginal cultural heritage protection agreement (an </w:t>
      </w:r>
      <w:r>
        <w:rPr>
          <w:rStyle w:val="CharDefText"/>
        </w:rPr>
        <w:t>ACH protection agreement</w:t>
      </w:r>
      <w:r>
        <w:t xml:space="preserve">) is an agreement that — </w:t>
      </w:r>
    </w:p>
    <w:p>
      <w:pPr>
        <w:pStyle w:val="Indenta"/>
      </w:pPr>
      <w:r>
        <w:tab/>
        <w:t>(a)</w:t>
      </w:r>
      <w:r>
        <w:tab/>
        <w:t>deals with 1 or more of the matters described in subsection (3); and</w:t>
      </w:r>
    </w:p>
    <w:p>
      <w:pPr>
        <w:pStyle w:val="Indenta"/>
      </w:pPr>
      <w:r>
        <w:tab/>
        <w:t>(b)</w:t>
      </w:r>
      <w:r>
        <w:tab/>
        <w:t>does not deal with any activity for which an ACH permit or an ACH management plan is required under this Act; and</w:t>
      </w:r>
    </w:p>
    <w:p>
      <w:pPr>
        <w:pStyle w:val="Indenta"/>
      </w:pPr>
      <w:r>
        <w:tab/>
        <w:t>(c)</w:t>
      </w:r>
      <w:r>
        <w:tab/>
        <w:t>is not a related agreement.</w:t>
      </w:r>
    </w:p>
    <w:p>
      <w:pPr>
        <w:pStyle w:val="Subsection"/>
      </w:pPr>
      <w:r>
        <w:tab/>
        <w:t>(2)</w:t>
      </w:r>
      <w:r>
        <w:tab/>
        <w:t>The parties to an ACH protection agreement must include at least 1 Aboriginal person, group or community.</w:t>
      </w:r>
    </w:p>
    <w:p>
      <w:pPr>
        <w:pStyle w:val="Subsection"/>
      </w:pPr>
      <w:r>
        <w:tab/>
        <w:t>(3)</w:t>
      </w:r>
      <w:r>
        <w:tab/>
        <w:t xml:space="preserve">Without limiting the matters that may be dealt with by an ACH protection agreement, an agreement may deal with any of the following — </w:t>
      </w:r>
    </w:p>
    <w:p>
      <w:pPr>
        <w:pStyle w:val="Indenta"/>
      </w:pPr>
      <w:r>
        <w:tab/>
        <w:t>(a)</w:t>
      </w:r>
      <w:r>
        <w:tab/>
        <w:t>the recognition, protection, conservation, preservation or management of Aboriginal cultural heritage in relation to an area, or areas;</w:t>
      </w:r>
    </w:p>
    <w:p>
      <w:pPr>
        <w:pStyle w:val="Indenta"/>
      </w:pPr>
      <w:r>
        <w:tab/>
        <w:t>(b)</w:t>
      </w:r>
      <w:r>
        <w:tab/>
        <w:t>the protection, maintenance or use of an Aboriginal place;</w:t>
      </w:r>
    </w:p>
    <w:p>
      <w:pPr>
        <w:pStyle w:val="Indenta"/>
      </w:pPr>
      <w:r>
        <w:tab/>
        <w:t>(c)</w:t>
      </w:r>
      <w:r>
        <w:tab/>
        <w:t>the protection, maintenance or use of a cultural landscape, or a part of a cultural landscape;</w:t>
      </w:r>
    </w:p>
    <w:p>
      <w:pPr>
        <w:pStyle w:val="Indenta"/>
      </w:pPr>
      <w:r>
        <w:tab/>
        <w:t>(d)</w:t>
      </w:r>
      <w:r>
        <w:tab/>
        <w:t>the protection, maintenance or use of Aboriginal objects;</w:t>
      </w:r>
    </w:p>
    <w:p>
      <w:pPr>
        <w:pStyle w:val="Indenta"/>
      </w:pPr>
      <w:r>
        <w:tab/>
        <w:t>(e)</w:t>
      </w:r>
      <w:r>
        <w:tab/>
        <w:t>rights of access to, or to use, Aboriginal places or Aboriginal objects by Aboriginal people;</w:t>
      </w:r>
    </w:p>
    <w:p>
      <w:pPr>
        <w:pStyle w:val="Indenta"/>
      </w:pPr>
      <w:r>
        <w:tab/>
        <w:t>(f)</w:t>
      </w:r>
      <w:r>
        <w:tab/>
        <w:t>the restoration and preservation of Aboriginal places, cultural landscapes and Aboriginal objects;</w:t>
      </w:r>
    </w:p>
    <w:p>
      <w:pPr>
        <w:pStyle w:val="Indenta"/>
      </w:pPr>
      <w:r>
        <w:tab/>
        <w:t>(g)</w:t>
      </w:r>
      <w:r>
        <w:tab/>
        <w:t>any other matter prescribed for the purposes of this paragraph.</w:t>
      </w:r>
    </w:p>
    <w:p>
      <w:pPr>
        <w:pStyle w:val="Heading5"/>
      </w:pPr>
      <w:bookmarkStart w:id="271" w:name="_Toc154742897"/>
      <w:r>
        <w:rPr>
          <w:rStyle w:val="CharSectno"/>
        </w:rPr>
        <w:lastRenderedPageBreak/>
        <w:t>207</w:t>
      </w:r>
      <w:r>
        <w:t>.</w:t>
      </w:r>
      <w:r>
        <w:tab/>
        <w:t>Endorsement of ACH protection agreement</w:t>
      </w:r>
      <w:bookmarkEnd w:id="271"/>
    </w:p>
    <w:p>
      <w:pPr>
        <w:pStyle w:val="Subsection"/>
      </w:pPr>
      <w:r>
        <w:tab/>
        <w:t>(1)</w:t>
      </w:r>
      <w:r>
        <w:tab/>
        <w:t>A party to an ACH protection agreement may submit the agreement to the ACH Council for endorsement.</w:t>
      </w:r>
    </w:p>
    <w:p>
      <w:pPr>
        <w:pStyle w:val="Subsection"/>
      </w:pPr>
      <w:r>
        <w:tab/>
        <w:t>(2)</w:t>
      </w:r>
      <w:r>
        <w:tab/>
        <w:t xml:space="preserve">An ACH protection agreement submitted to the ACH Council for endorsement must — </w:t>
      </w:r>
    </w:p>
    <w:p>
      <w:pPr>
        <w:pStyle w:val="Indenta"/>
      </w:pPr>
      <w:r>
        <w:tab/>
        <w:t>(a)</w:t>
      </w:r>
      <w:r>
        <w:tab/>
        <w:t>be made in the approved form; and</w:t>
      </w:r>
    </w:p>
    <w:p>
      <w:pPr>
        <w:pStyle w:val="Indenta"/>
      </w:pPr>
      <w:r>
        <w:tab/>
        <w:t>(b)</w:t>
      </w:r>
      <w:r>
        <w:tab/>
        <w:t>be accompanied by the other documents and information, if any, prescribed for the purposes of this paragraph.</w:t>
      </w:r>
    </w:p>
    <w:p>
      <w:pPr>
        <w:pStyle w:val="Heading5"/>
      </w:pPr>
      <w:bookmarkStart w:id="272" w:name="_Toc154742898"/>
      <w:r>
        <w:t>208.</w:t>
      </w:r>
      <w:r>
        <w:tab/>
        <w:t>Further information in support of submission</w:t>
      </w:r>
      <w:bookmarkEnd w:id="272"/>
    </w:p>
    <w:p>
      <w:pPr>
        <w:pStyle w:val="Subsection"/>
      </w:pPr>
      <w:r>
        <w:tab/>
        <w:t>(1)</w:t>
      </w:r>
      <w:r>
        <w:tab/>
        <w:t xml:space="preserve">The ACH Council may make a written request to a person who has submitted an ACH protection agreement for endorsement to do any of the following — </w:t>
      </w:r>
    </w:p>
    <w:p>
      <w:pPr>
        <w:pStyle w:val="Indenta"/>
      </w:pPr>
      <w:r>
        <w:tab/>
        <w:t>(a)</w:t>
      </w:r>
      <w:r>
        <w:tab/>
        <w:t>provide the Council with any further information relevant to the submission that the Council requires to assess the submission;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73" w:name="_Toc154742899"/>
      <w:r>
        <w:rPr>
          <w:rStyle w:val="CharSectno"/>
        </w:rPr>
        <w:t>209</w:t>
      </w:r>
      <w:r>
        <w:t>.</w:t>
      </w:r>
      <w:r>
        <w:tab/>
        <w:t>ACH Council may refuse to consider some submissions</w:t>
      </w:r>
      <w:bookmarkEnd w:id="273"/>
    </w:p>
    <w:p>
      <w:pPr>
        <w:pStyle w:val="Subsection"/>
      </w:pPr>
      <w:r>
        <w:tab/>
      </w:r>
      <w:r>
        <w:tab/>
        <w:t xml:space="preserve">The ACH Council may refuse to consider, or consider further, a submission for the endorsement of an ACH protection agreement if — </w:t>
      </w:r>
    </w:p>
    <w:p>
      <w:pPr>
        <w:pStyle w:val="Indenta"/>
      </w:pPr>
      <w:r>
        <w:tab/>
        <w:t>(a)</w:t>
      </w:r>
      <w:r>
        <w:tab/>
        <w:t>the submission is not made in accordance with this Act; or</w:t>
      </w:r>
    </w:p>
    <w:p>
      <w:pPr>
        <w:pStyle w:val="Indenta"/>
      </w:pPr>
      <w:r>
        <w:tab/>
        <w:t>(b)</w:t>
      </w:r>
      <w:r>
        <w:tab/>
        <w:t>the person who submitted the agreement for endorsement has not complied with a request under section 208.</w:t>
      </w:r>
    </w:p>
    <w:p>
      <w:pPr>
        <w:pStyle w:val="Heading5"/>
      </w:pPr>
      <w:bookmarkStart w:id="274" w:name="_Toc154742900"/>
      <w:r>
        <w:rPr>
          <w:rStyle w:val="CharSectno"/>
        </w:rPr>
        <w:lastRenderedPageBreak/>
        <w:t>210</w:t>
      </w:r>
      <w:r>
        <w:t>.</w:t>
      </w:r>
      <w:r>
        <w:tab/>
        <w:t>Decision of ACH Council</w:t>
      </w:r>
      <w:bookmarkEnd w:id="274"/>
    </w:p>
    <w:p>
      <w:pPr>
        <w:pStyle w:val="Subsection"/>
      </w:pPr>
      <w:r>
        <w:tab/>
        <w:t>(1)</w:t>
      </w:r>
      <w:r>
        <w:tab/>
        <w:t xml:space="preserve">The ACH Council must assess each submission for the endorsement of an ACH protection agreement under section 207(1) and make a decision to — </w:t>
      </w:r>
    </w:p>
    <w:p>
      <w:pPr>
        <w:pStyle w:val="Indenta"/>
      </w:pPr>
      <w:r>
        <w:tab/>
        <w:t>(a)</w:t>
      </w:r>
      <w:r>
        <w:tab/>
        <w:t>endorse the agreement; or</w:t>
      </w:r>
    </w:p>
    <w:p>
      <w:pPr>
        <w:pStyle w:val="Indenta"/>
      </w:pPr>
      <w:r>
        <w:tab/>
        <w:t>(b)</w:t>
      </w:r>
      <w:r>
        <w:tab/>
        <w:t>refuse to endorse the agreement.</w:t>
      </w:r>
    </w:p>
    <w:p>
      <w:pPr>
        <w:pStyle w:val="Subsection"/>
      </w:pPr>
      <w:r>
        <w:tab/>
        <w:t>(2)</w:t>
      </w:r>
      <w:r>
        <w:tab/>
        <w:t>A decision on a submission must be made by the ACH Council within the prescribed period.</w:t>
      </w:r>
    </w:p>
    <w:p>
      <w:pPr>
        <w:pStyle w:val="Subsection"/>
      </w:pPr>
      <w:r>
        <w:tab/>
        <w:t>(3)</w:t>
      </w:r>
      <w:r>
        <w:tab/>
        <w:t xml:space="preserve">The prescribed period for making a decision on a submission does not include any period commencing on the day on which a request is made under section 208(1) in respect of the submission and ending on the day on which the first of the following occurs — </w:t>
      </w:r>
    </w:p>
    <w:p>
      <w:pPr>
        <w:pStyle w:val="Indenta"/>
      </w:pPr>
      <w:r>
        <w:tab/>
        <w:t>(a)</w:t>
      </w:r>
      <w:r>
        <w:tab/>
        <w:t>the request is complied with;</w:t>
      </w:r>
    </w:p>
    <w:p>
      <w:pPr>
        <w:pStyle w:val="Indenta"/>
      </w:pPr>
      <w:r>
        <w:tab/>
        <w:t>(b)</w:t>
      </w:r>
      <w:r>
        <w:tab/>
        <w:t>the prescribed period for complying with the request expires.</w:t>
      </w:r>
    </w:p>
    <w:p>
      <w:pPr>
        <w:pStyle w:val="Heading2"/>
      </w:pPr>
      <w:bookmarkStart w:id="275" w:name="_Toc154742901"/>
      <w:r>
        <w:rPr>
          <w:rStyle w:val="CharPartNo"/>
        </w:rPr>
        <w:lastRenderedPageBreak/>
        <w:t>Part 9</w:t>
      </w:r>
      <w:r>
        <w:t> — </w:t>
      </w:r>
      <w:r>
        <w:rPr>
          <w:rStyle w:val="CharPartText"/>
        </w:rPr>
        <w:t>Aboriginal Cultural Heritage Directory</w:t>
      </w:r>
      <w:bookmarkEnd w:id="275"/>
      <w:r>
        <w:t xml:space="preserve"> </w:t>
      </w:r>
    </w:p>
    <w:p>
      <w:pPr>
        <w:pStyle w:val="Heading3"/>
      </w:pPr>
      <w:bookmarkStart w:id="276" w:name="_Toc154742902"/>
      <w:r>
        <w:rPr>
          <w:rStyle w:val="CharDivNo"/>
        </w:rPr>
        <w:t>Division 1</w:t>
      </w:r>
      <w:r>
        <w:t> — </w:t>
      </w:r>
      <w:r>
        <w:rPr>
          <w:rStyle w:val="CharDivText"/>
        </w:rPr>
        <w:t>ACH Directory</w:t>
      </w:r>
      <w:bookmarkEnd w:id="276"/>
    </w:p>
    <w:p>
      <w:pPr>
        <w:pStyle w:val="Heading5"/>
      </w:pPr>
      <w:bookmarkStart w:id="277" w:name="_Toc154742903"/>
      <w:r>
        <w:rPr>
          <w:rStyle w:val="CharSectno"/>
        </w:rPr>
        <w:t>211</w:t>
      </w:r>
      <w:r>
        <w:t>.</w:t>
      </w:r>
      <w:r>
        <w:tab/>
        <w:t>ACH Directory</w:t>
      </w:r>
      <w:bookmarkEnd w:id="277"/>
    </w:p>
    <w:p>
      <w:pPr>
        <w:pStyle w:val="Subsection"/>
      </w:pPr>
      <w:r>
        <w:tab/>
        <w:t>(1)</w:t>
      </w:r>
      <w:r>
        <w:tab/>
        <w:t>The ACH Council must establish and maintain a directory called the Aboriginal Cultural Heritage Directory.</w:t>
      </w:r>
    </w:p>
    <w:p>
      <w:pPr>
        <w:pStyle w:val="Subsection"/>
      </w:pPr>
      <w:r>
        <w:tab/>
        <w:t>(2)</w:t>
      </w:r>
      <w:r>
        <w:tab/>
        <w:t>The ACH Directory must be established and maintained in the manner and form determined by the ACH Council as appropriate for achieving the purposes set out in section 212.</w:t>
      </w:r>
    </w:p>
    <w:p>
      <w:pPr>
        <w:pStyle w:val="Heading5"/>
      </w:pPr>
      <w:bookmarkStart w:id="278" w:name="_Toc154742904"/>
      <w:r>
        <w:rPr>
          <w:rStyle w:val="CharSectno"/>
        </w:rPr>
        <w:t>212</w:t>
      </w:r>
      <w:r>
        <w:t>.</w:t>
      </w:r>
      <w:r>
        <w:tab/>
        <w:t>Purposes of ACH Directory</w:t>
      </w:r>
      <w:bookmarkEnd w:id="278"/>
    </w:p>
    <w:p>
      <w:pPr>
        <w:pStyle w:val="Subsection"/>
      </w:pPr>
      <w:r>
        <w:tab/>
      </w:r>
      <w:r>
        <w:tab/>
        <w:t xml:space="preserve">The purposes of establishing and maintaining the ACH Directory are as follows — </w:t>
      </w:r>
    </w:p>
    <w:p>
      <w:pPr>
        <w:pStyle w:val="Indenta"/>
      </w:pPr>
      <w:r>
        <w:tab/>
        <w:t>(a)</w:t>
      </w:r>
      <w:r>
        <w:tab/>
        <w:t>to assemble, organise and maintain the information and documents about Aboriginal cultural heritage described in section 213;</w:t>
      </w:r>
    </w:p>
    <w:p>
      <w:pPr>
        <w:pStyle w:val="Indenta"/>
      </w:pPr>
      <w:r>
        <w:tab/>
        <w:t>(b)</w:t>
      </w:r>
      <w:r>
        <w:tab/>
        <w:t xml:space="preserve">for information and documents in the Directory to be accessible, in accordance with Division 2, as a research and planning tool to assist — </w:t>
      </w:r>
    </w:p>
    <w:p>
      <w:pPr>
        <w:pStyle w:val="Indenti"/>
      </w:pPr>
      <w:r>
        <w:tab/>
        <w:t>(i)</w:t>
      </w:r>
      <w:r>
        <w:tab/>
        <w:t>Aboriginal people, groups and communities, and other people, in their consideration of Aboriginal cultural heritage; and</w:t>
      </w:r>
    </w:p>
    <w:p>
      <w:pPr>
        <w:pStyle w:val="Indenti"/>
      </w:pPr>
      <w:r>
        <w:tab/>
        <w:t>(ii)</w:t>
      </w:r>
      <w:r>
        <w:tab/>
        <w:t>persons proposing to carry out activities that may harm Aboriginal cultural heritage; and</w:t>
      </w:r>
    </w:p>
    <w:p>
      <w:pPr>
        <w:pStyle w:val="Indenti"/>
      </w:pPr>
      <w:r>
        <w:tab/>
        <w:t>(iii)</w:t>
      </w:r>
      <w:r>
        <w:tab/>
        <w:t>in the administration of this Act.</w:t>
      </w:r>
    </w:p>
    <w:p>
      <w:pPr>
        <w:pStyle w:val="Heading5"/>
      </w:pPr>
      <w:bookmarkStart w:id="279" w:name="_Toc154742905"/>
      <w:r>
        <w:rPr>
          <w:rStyle w:val="CharSectno"/>
        </w:rPr>
        <w:t>213</w:t>
      </w:r>
      <w:r>
        <w:t>.</w:t>
      </w:r>
      <w:r>
        <w:tab/>
        <w:t>Information and documents on ACH Directory</w:t>
      </w:r>
      <w:bookmarkEnd w:id="279"/>
    </w:p>
    <w:p>
      <w:pPr>
        <w:pStyle w:val="Subsection"/>
      </w:pPr>
      <w:r>
        <w:tab/>
        <w:t>(1)</w:t>
      </w:r>
      <w:r>
        <w:tab/>
        <w:t xml:space="preserve">The ACH Directory must contain the prescribed information about the following — </w:t>
      </w:r>
    </w:p>
    <w:p>
      <w:pPr>
        <w:pStyle w:val="Indenta"/>
      </w:pPr>
      <w:r>
        <w:tab/>
        <w:t>(a)</w:t>
      </w:r>
      <w:r>
        <w:tab/>
        <w:t>a protected area;</w:t>
      </w:r>
    </w:p>
    <w:p>
      <w:pPr>
        <w:pStyle w:val="Indenta"/>
      </w:pPr>
      <w:r>
        <w:tab/>
        <w:t>(b)</w:t>
      </w:r>
      <w:r>
        <w:tab/>
        <w:t>a local ACH service for an area;</w:t>
      </w:r>
    </w:p>
    <w:p>
      <w:pPr>
        <w:pStyle w:val="Indenta"/>
      </w:pPr>
      <w:r>
        <w:lastRenderedPageBreak/>
        <w:tab/>
        <w:t>(c)</w:t>
      </w:r>
      <w:r>
        <w:tab/>
        <w:t>a native title party for an area;</w:t>
      </w:r>
    </w:p>
    <w:p>
      <w:pPr>
        <w:pStyle w:val="Indenta"/>
        <w:keepNext/>
      </w:pPr>
      <w:r>
        <w:tab/>
        <w:t>(d)</w:t>
      </w:r>
      <w:r>
        <w:tab/>
        <w:t xml:space="preserve">the knowledge holders for the following — </w:t>
      </w:r>
    </w:p>
    <w:p>
      <w:pPr>
        <w:pStyle w:val="Indenti"/>
      </w:pPr>
      <w:r>
        <w:tab/>
        <w:t>(i)</w:t>
      </w:r>
      <w:r>
        <w:tab/>
        <w:t>a particular area;</w:t>
      </w:r>
    </w:p>
    <w:p>
      <w:pPr>
        <w:pStyle w:val="Indenti"/>
      </w:pPr>
      <w:r>
        <w:tab/>
        <w:t>(ii)</w:t>
      </w:r>
      <w:r>
        <w:tab/>
        <w:t>particular Aboriginal cultural heritage;</w:t>
      </w:r>
    </w:p>
    <w:p>
      <w:pPr>
        <w:pStyle w:val="Indenta"/>
      </w:pPr>
      <w:r>
        <w:tab/>
        <w:t>(e)</w:t>
      </w:r>
      <w:r>
        <w:tab/>
        <w:t>an ACH protection agreement endorsed under Part 8;</w:t>
      </w:r>
    </w:p>
    <w:p>
      <w:pPr>
        <w:pStyle w:val="Indenta"/>
      </w:pPr>
      <w:r>
        <w:tab/>
        <w:t>(f)</w:t>
      </w:r>
      <w:r>
        <w:tab/>
        <w:t>an ACH permit;</w:t>
      </w:r>
    </w:p>
    <w:p>
      <w:pPr>
        <w:pStyle w:val="Indenta"/>
      </w:pPr>
      <w:r>
        <w:tab/>
        <w:t>(g)</w:t>
      </w:r>
      <w:r>
        <w:tab/>
        <w:t>an ACH management plan approved under section 150(1)(b)(i);</w:t>
      </w:r>
    </w:p>
    <w:p>
      <w:pPr>
        <w:pStyle w:val="Indenta"/>
      </w:pPr>
      <w:r>
        <w:tab/>
        <w:t>(h)</w:t>
      </w:r>
      <w:r>
        <w:tab/>
        <w:t>an ACH management plan authorised under section 165(1)(b)(i);</w:t>
      </w:r>
    </w:p>
    <w:p>
      <w:pPr>
        <w:pStyle w:val="Indenta"/>
      </w:pPr>
      <w:r>
        <w:tab/>
        <w:t>(i)</w:t>
      </w:r>
      <w:r>
        <w:tab/>
        <w:t>a determination under section 176(1)(b)(i) that Aboriginal cultural heritage is of State significance for the purposes of this Act;</w:t>
      </w:r>
    </w:p>
    <w:p>
      <w:pPr>
        <w:pStyle w:val="Indenta"/>
      </w:pPr>
      <w:r>
        <w:tab/>
        <w:t>(j)</w:t>
      </w:r>
      <w:r>
        <w:tab/>
        <w:t>a Part 7 order.</w:t>
      </w:r>
    </w:p>
    <w:p>
      <w:pPr>
        <w:pStyle w:val="Subsection"/>
      </w:pPr>
      <w:r>
        <w:tab/>
        <w:t>(2)</w:t>
      </w:r>
      <w:r>
        <w:tab/>
        <w:t xml:space="preserve">The ACH Directory must also contain — </w:t>
      </w:r>
    </w:p>
    <w:p>
      <w:pPr>
        <w:pStyle w:val="Indenta"/>
      </w:pPr>
      <w:r>
        <w:tab/>
        <w:t>(a)</w:t>
      </w:r>
      <w:r>
        <w:tab/>
        <w:t xml:space="preserve">information about Aboriginal cultural heritage of the State, including, where relevant — </w:t>
      </w:r>
    </w:p>
    <w:p>
      <w:pPr>
        <w:pStyle w:val="Indenti"/>
      </w:pPr>
      <w:r>
        <w:tab/>
        <w:t>(i)</w:t>
      </w:r>
      <w:r>
        <w:tab/>
        <w:t>a description of the characteristics of the Aboriginal cultural heritage; and</w:t>
      </w:r>
    </w:p>
    <w:p>
      <w:pPr>
        <w:pStyle w:val="Indenti"/>
      </w:pPr>
      <w:r>
        <w:tab/>
        <w:t>(ii)</w:t>
      </w:r>
      <w:r>
        <w:tab/>
        <w:t>a description of the location of the Aboriginal cultural heritage; and</w:t>
      </w:r>
    </w:p>
    <w:p>
      <w:pPr>
        <w:pStyle w:val="Indenti"/>
      </w:pPr>
      <w:r>
        <w:tab/>
        <w:t>(iii)</w:t>
      </w:r>
      <w:r>
        <w:tab/>
        <w:t>in relation to an Aboriginal object, a description of where it is reasonably believed to have originated from; and</w:t>
      </w:r>
    </w:p>
    <w:p>
      <w:pPr>
        <w:pStyle w:val="Indenti"/>
      </w:pPr>
      <w:r>
        <w:tab/>
        <w:t>(iv)</w:t>
      </w:r>
      <w:r>
        <w:tab/>
        <w:t>particularly in relation to intangible Aboriginal cultural heritage — recordings (including photographs, films, audio, video, digital and other recordings);</w:t>
      </w:r>
    </w:p>
    <w:p>
      <w:pPr>
        <w:pStyle w:val="Indenta"/>
      </w:pPr>
      <w:r>
        <w:tab/>
      </w:r>
      <w:r>
        <w:tab/>
        <w:t>and</w:t>
      </w:r>
    </w:p>
    <w:p>
      <w:pPr>
        <w:pStyle w:val="Indenta"/>
        <w:keepNext/>
      </w:pPr>
      <w:r>
        <w:lastRenderedPageBreak/>
        <w:tab/>
        <w:t>(b)</w:t>
      </w:r>
      <w:r>
        <w:tab/>
        <w:t>any other information and documents, including historical information and documents, relevant to Aboriginal cultural heritage that —</w:t>
      </w:r>
    </w:p>
    <w:p>
      <w:pPr>
        <w:pStyle w:val="Indenti"/>
      </w:pPr>
      <w:r>
        <w:tab/>
        <w:t>(i)</w:t>
      </w:r>
      <w:r>
        <w:tab/>
        <w:t>are prescribed for the purposes of this paragraph; or</w:t>
      </w:r>
    </w:p>
    <w:p>
      <w:pPr>
        <w:pStyle w:val="Indenti"/>
      </w:pPr>
      <w:r>
        <w:tab/>
        <w:t>(ii)</w:t>
      </w:r>
      <w:r>
        <w:tab/>
        <w:t>the ACH Council considers appropriate to include in the Directory.</w:t>
      </w:r>
    </w:p>
    <w:p>
      <w:pPr>
        <w:pStyle w:val="Subsection"/>
      </w:pPr>
      <w:r>
        <w:tab/>
        <w:t>(3)</w:t>
      </w:r>
      <w:r>
        <w:tab/>
        <w:t xml:space="preserve">In subsection (2)(a)(iv) — </w:t>
      </w:r>
    </w:p>
    <w:p>
      <w:pPr>
        <w:pStyle w:val="Defstart"/>
      </w:pPr>
      <w:r>
        <w:tab/>
      </w:r>
      <w:r>
        <w:rPr>
          <w:rStyle w:val="CharDefText"/>
        </w:rPr>
        <w:t>intangible Aboriginal cultural heritage</w:t>
      </w:r>
      <w:r>
        <w:t xml:space="preserve"> means the intangible elements of Aboriginal cultural heritage, including knowledge, or oral expression, of Aboriginal tradition.</w:t>
      </w:r>
    </w:p>
    <w:p>
      <w:pPr>
        <w:pStyle w:val="Subsection"/>
      </w:pPr>
      <w:r>
        <w:tab/>
        <w:t>(4)</w:t>
      </w:r>
      <w:r>
        <w:tab/>
        <w:t xml:space="preserve">Information and documents may be placed on the ACH Directory, in accordance with the regulations — </w:t>
      </w:r>
    </w:p>
    <w:p>
      <w:pPr>
        <w:pStyle w:val="Indenta"/>
      </w:pPr>
      <w:r>
        <w:tab/>
        <w:t>(a)</w:t>
      </w:r>
      <w:r>
        <w:tab/>
        <w:t xml:space="preserve">on the initiative of the ACH Council; or </w:t>
      </w:r>
    </w:p>
    <w:p>
      <w:pPr>
        <w:pStyle w:val="Indenta"/>
      </w:pPr>
      <w:r>
        <w:tab/>
        <w:t>(b)</w:t>
      </w:r>
      <w:r>
        <w:tab/>
        <w:t>at the request of a local ACH service or another person.</w:t>
      </w:r>
    </w:p>
    <w:p>
      <w:pPr>
        <w:pStyle w:val="Heading5"/>
      </w:pPr>
      <w:bookmarkStart w:id="280" w:name="_Toc154742906"/>
      <w:r>
        <w:rPr>
          <w:rStyle w:val="CharSectno"/>
        </w:rPr>
        <w:t>214</w:t>
      </w:r>
      <w:r>
        <w:t>.</w:t>
      </w:r>
      <w:r>
        <w:tab/>
        <w:t>Accuracy of ACH Directory</w:t>
      </w:r>
      <w:bookmarkEnd w:id="280"/>
    </w:p>
    <w:p>
      <w:pPr>
        <w:pStyle w:val="Subsection"/>
      </w:pPr>
      <w:r>
        <w:tab/>
        <w:t>(1)</w:t>
      </w:r>
      <w:r>
        <w:tab/>
        <w:t>The ACH Council must ensure that the ACH Directory is as accurate and up</w:t>
      </w:r>
      <w:r>
        <w:noBreakHyphen/>
        <w:t>to</w:t>
      </w:r>
      <w:r>
        <w:noBreakHyphen/>
        <w:t xml:space="preserve">date as practicable, and may, as it considers necessary, do any of the following — </w:t>
      </w:r>
    </w:p>
    <w:p>
      <w:pPr>
        <w:pStyle w:val="Indenta"/>
      </w:pPr>
      <w:r>
        <w:tab/>
        <w:t>(a)</w:t>
      </w:r>
      <w:r>
        <w:tab/>
        <w:t>modify the Directory;</w:t>
      </w:r>
    </w:p>
    <w:p>
      <w:pPr>
        <w:pStyle w:val="Indenta"/>
      </w:pPr>
      <w:r>
        <w:tab/>
        <w:t>(b)</w:t>
      </w:r>
      <w:r>
        <w:tab/>
        <w:t>add to the Directory;</w:t>
      </w:r>
    </w:p>
    <w:p>
      <w:pPr>
        <w:pStyle w:val="Indenta"/>
      </w:pPr>
      <w:r>
        <w:tab/>
        <w:t>(c)</w:t>
      </w:r>
      <w:r>
        <w:tab/>
        <w:t>correct the Directory.</w:t>
      </w:r>
    </w:p>
    <w:p>
      <w:pPr>
        <w:pStyle w:val="Subsection"/>
      </w:pPr>
      <w:r>
        <w:tab/>
        <w:t>(2)</w:t>
      </w:r>
      <w:r>
        <w:tab/>
        <w:t>However, information or a document can only be removed from the ACH Directory in accordance with section 215.</w:t>
      </w:r>
    </w:p>
    <w:p>
      <w:pPr>
        <w:pStyle w:val="Subsection"/>
      </w:pPr>
      <w:r>
        <w:tab/>
        <w:t>(3)</w:t>
      </w:r>
      <w:r>
        <w:tab/>
        <w:t>The placing of information or a document on the ACH Directory, or its removal from the Directory, is not conclusive as to whether the information is up</w:t>
      </w:r>
      <w:r>
        <w:noBreakHyphen/>
        <w:t>to</w:t>
      </w:r>
      <w:r>
        <w:noBreakHyphen/>
        <w:t>date, comprehensive or otherwise accurate.</w:t>
      </w:r>
    </w:p>
    <w:p>
      <w:pPr>
        <w:pStyle w:val="Heading5"/>
      </w:pPr>
      <w:bookmarkStart w:id="281" w:name="_Toc154742907"/>
      <w:r>
        <w:rPr>
          <w:rStyle w:val="CharSectno"/>
        </w:rPr>
        <w:lastRenderedPageBreak/>
        <w:t>215</w:t>
      </w:r>
      <w:r>
        <w:t>.</w:t>
      </w:r>
      <w:r>
        <w:tab/>
        <w:t>Removing information and documents from ACH Directory</w:t>
      </w:r>
      <w:bookmarkEnd w:id="281"/>
    </w:p>
    <w:p>
      <w:pPr>
        <w:pStyle w:val="Subsection"/>
      </w:pPr>
      <w:r>
        <w:tab/>
        <w:t>(1)</w:t>
      </w:r>
      <w:r>
        <w:tab/>
        <w:t>The ACH Council may remove information or a document from the ACH Directory if the Council is satisfied that the information or document has been placed on the Directory in error or is factually incorrect.</w:t>
      </w:r>
    </w:p>
    <w:p>
      <w:pPr>
        <w:pStyle w:val="Subsection"/>
      </w:pPr>
      <w:r>
        <w:tab/>
        <w:t>(2)</w:t>
      </w:r>
      <w:r>
        <w:tab/>
        <w:t xml:space="preserve">Before removing information or a document about Aboriginal cultural heritage from the ACH Directory, other than under subsection (1), the ACH Council must, to the extent that it is reasonably practicable to do so, consult — </w:t>
      </w:r>
    </w:p>
    <w:p>
      <w:pPr>
        <w:pStyle w:val="Indenta"/>
      </w:pPr>
      <w:r>
        <w:tab/>
        <w:t>(a)</w:t>
      </w:r>
      <w:r>
        <w:tab/>
        <w:t>a knowledge holder for the Aboriginal cultural heritage to which the information or document relates; or</w:t>
      </w:r>
    </w:p>
    <w:p>
      <w:pPr>
        <w:pStyle w:val="Indenta"/>
      </w:pPr>
      <w:r>
        <w:tab/>
        <w:t>(b)</w:t>
      </w:r>
      <w:r>
        <w:tab/>
        <w:t xml:space="preserve">if it is not possible to identify or consult with a knowledge holder for the Aboriginal cultural heritage — </w:t>
      </w:r>
    </w:p>
    <w:p>
      <w:pPr>
        <w:pStyle w:val="Indenti"/>
      </w:pPr>
      <w:r>
        <w:tab/>
        <w:t>(i)</w:t>
      </w:r>
      <w:r>
        <w:tab/>
        <w:t>each local ACH service for the area or a part of the area to which the Aboriginal cultural heritage relates; or</w:t>
      </w:r>
    </w:p>
    <w:p>
      <w:pPr>
        <w:pStyle w:val="Indenti"/>
      </w:pPr>
      <w:r>
        <w:tab/>
        <w:t>(ii)</w:t>
      </w:r>
      <w:r>
        <w:tab/>
        <w:t>if there is not a local ACH service for the area or a part of the area to which the Aboriginal cultural heritage relates — each native title party for the area or the part of the area; or</w:t>
      </w:r>
    </w:p>
    <w:p>
      <w:pPr>
        <w:pStyle w:val="Indenti"/>
      </w:pPr>
      <w:r>
        <w:tab/>
        <w:t>(iii)</w:t>
      </w:r>
      <w:r>
        <w:tab/>
        <w:t>if there is not a local ACH service or native title party for the area or a part of the area to which the Aboriginal cultural heritage relates — each native title representative body for the area or the part of the area.</w:t>
      </w:r>
    </w:p>
    <w:p>
      <w:pPr>
        <w:pStyle w:val="Heading3"/>
      </w:pPr>
      <w:bookmarkStart w:id="282" w:name="_Toc154742908"/>
      <w:r>
        <w:rPr>
          <w:rStyle w:val="CharDivNo"/>
        </w:rPr>
        <w:t>Division 2</w:t>
      </w:r>
      <w:r>
        <w:t> — </w:t>
      </w:r>
      <w:r>
        <w:rPr>
          <w:rStyle w:val="CharDivText"/>
        </w:rPr>
        <w:t>Access to ACH Directory</w:t>
      </w:r>
      <w:bookmarkEnd w:id="282"/>
    </w:p>
    <w:p>
      <w:pPr>
        <w:pStyle w:val="Heading5"/>
      </w:pPr>
      <w:bookmarkStart w:id="283" w:name="_Toc154742909"/>
      <w:r>
        <w:rPr>
          <w:rStyle w:val="CharSectno"/>
        </w:rPr>
        <w:t>216</w:t>
      </w:r>
      <w:r>
        <w:t>.</w:t>
      </w:r>
      <w:r>
        <w:tab/>
        <w:t>Access to ACH Directory</w:t>
      </w:r>
      <w:bookmarkEnd w:id="283"/>
    </w:p>
    <w:p>
      <w:pPr>
        <w:pStyle w:val="Subsection"/>
      </w:pPr>
      <w:r>
        <w:tab/>
        <w:t>(1)</w:t>
      </w:r>
      <w:r>
        <w:tab/>
        <w:t xml:space="preserve">The ACH Council must ensure that the information and documents on the ACH Directory are made available only — </w:t>
      </w:r>
    </w:p>
    <w:p>
      <w:pPr>
        <w:pStyle w:val="Indenta"/>
      </w:pPr>
      <w:r>
        <w:tab/>
        <w:t>(a)</w:t>
      </w:r>
      <w:r>
        <w:tab/>
        <w:t>as set out in this Division; or</w:t>
      </w:r>
    </w:p>
    <w:p>
      <w:pPr>
        <w:pStyle w:val="Indenta"/>
      </w:pPr>
      <w:r>
        <w:lastRenderedPageBreak/>
        <w:tab/>
        <w:t>(b)</w:t>
      </w:r>
      <w:r>
        <w:tab/>
        <w:t>in the circumstances, to the persons, and to the extent, that the Council considers appropriate; or</w:t>
      </w:r>
    </w:p>
    <w:p>
      <w:pPr>
        <w:pStyle w:val="Indenta"/>
      </w:pPr>
      <w:r>
        <w:tab/>
        <w:t>(c)</w:t>
      </w:r>
      <w:r>
        <w:tab/>
        <w:t>if the regulations so provide, in accordance with the regulations.</w:t>
      </w:r>
    </w:p>
    <w:p>
      <w:pPr>
        <w:pStyle w:val="Subsection"/>
      </w:pPr>
      <w:r>
        <w:tab/>
      </w:r>
      <w:r>
        <w:rPr>
          <w:b/>
        </w:rPr>
        <w:t>(2)</w:t>
      </w:r>
      <w:r>
        <w:tab/>
        <w:t>However, information that is, or documents that contain, culturally sensitive information about Aboriginal cultural heritage must not be made available to a person unless a knowledge holder for the Aboriginal cultural heritage has explicitly consented to the disclosure of the information to the person.</w:t>
      </w:r>
    </w:p>
    <w:p>
      <w:pPr>
        <w:pStyle w:val="Heading5"/>
      </w:pPr>
      <w:bookmarkStart w:id="284" w:name="_Toc154742910"/>
      <w:r>
        <w:rPr>
          <w:rStyle w:val="CharSectno"/>
        </w:rPr>
        <w:t>217</w:t>
      </w:r>
      <w:r>
        <w:t>.</w:t>
      </w:r>
      <w:r>
        <w:tab/>
        <w:t>Access for Aboriginal people</w:t>
      </w:r>
      <w:bookmarkEnd w:id="284"/>
    </w:p>
    <w:p>
      <w:pPr>
        <w:pStyle w:val="Subsection"/>
      </w:pPr>
      <w:r>
        <w:tab/>
      </w:r>
      <w:r>
        <w:tab/>
        <w:t xml:space="preserve">The ACH Council must ensure that the information and documents on the ACH Directory are available to an Aboriginal person, group or community that has traditional rights, interests and responsibilities in respect of — </w:t>
      </w:r>
    </w:p>
    <w:p>
      <w:pPr>
        <w:pStyle w:val="Indenta"/>
      </w:pPr>
      <w:r>
        <w:tab/>
        <w:t>(a)</w:t>
      </w:r>
      <w:r>
        <w:tab/>
        <w:t>the Aboriginal cultural heritage to which the information or documents relate; or</w:t>
      </w:r>
    </w:p>
    <w:p>
      <w:pPr>
        <w:pStyle w:val="Indenta"/>
      </w:pPr>
      <w:r>
        <w:tab/>
        <w:t>(b)</w:t>
      </w:r>
      <w:r>
        <w:tab/>
        <w:t>Aboriginal places located in, or Aboriginal objects located in or reasonably believed to have originated from, the area to which the information or documents relate.</w:t>
      </w:r>
    </w:p>
    <w:p>
      <w:pPr>
        <w:pStyle w:val="Heading5"/>
      </w:pPr>
      <w:bookmarkStart w:id="285" w:name="_Toc154742911"/>
      <w:r>
        <w:rPr>
          <w:rStyle w:val="CharSectno"/>
        </w:rPr>
        <w:t>218</w:t>
      </w:r>
      <w:r>
        <w:t>.</w:t>
      </w:r>
      <w:r>
        <w:tab/>
        <w:t>Access to information about protected areas and management of activities</w:t>
      </w:r>
      <w:bookmarkEnd w:id="285"/>
    </w:p>
    <w:p>
      <w:pPr>
        <w:pStyle w:val="Subsection"/>
      </w:pPr>
      <w:r>
        <w:tab/>
      </w:r>
      <w:r>
        <w:tab/>
        <w:t xml:space="preserve">The ACH Council must ensure that the information and documents on the ACH Directory are available to the general public to the extent necessary to enable the following to be ascertained — </w:t>
      </w:r>
    </w:p>
    <w:p>
      <w:pPr>
        <w:pStyle w:val="Indenta"/>
      </w:pPr>
      <w:r>
        <w:tab/>
        <w:t>(a)</w:t>
      </w:r>
      <w:r>
        <w:tab/>
        <w:t>whether or not a particular area includes any area that is part of a protected area;</w:t>
      </w:r>
    </w:p>
    <w:p>
      <w:pPr>
        <w:pStyle w:val="Indenta"/>
      </w:pPr>
      <w:r>
        <w:tab/>
        <w:t>(b)</w:t>
      </w:r>
      <w:r>
        <w:tab/>
        <w:t>the conditions, if any, to which a protected area order, declaring a particular area as a protected area, is subject;</w:t>
      </w:r>
    </w:p>
    <w:p>
      <w:pPr>
        <w:pStyle w:val="Indenta"/>
      </w:pPr>
      <w:r>
        <w:lastRenderedPageBreak/>
        <w:tab/>
        <w:t>(c)</w:t>
      </w:r>
      <w:r>
        <w:tab/>
        <w:t>the Aboriginal cultural heritage that has been determined by the ACH Council under section 176(1)(b)(i) to be of State significance for the purposes of this Act;</w:t>
      </w:r>
    </w:p>
    <w:p>
      <w:pPr>
        <w:pStyle w:val="Indenta"/>
      </w:pPr>
      <w:r>
        <w:tab/>
        <w:t>(d)</w:t>
      </w:r>
      <w:r>
        <w:tab/>
        <w:t xml:space="preserve">whether or not a particular area is the subject of — </w:t>
      </w:r>
    </w:p>
    <w:p>
      <w:pPr>
        <w:pStyle w:val="Indenti"/>
      </w:pPr>
      <w:r>
        <w:tab/>
        <w:t>(i)</w:t>
      </w:r>
      <w:r>
        <w:tab/>
        <w:t>an ACH permit; or</w:t>
      </w:r>
    </w:p>
    <w:p>
      <w:pPr>
        <w:pStyle w:val="Indenti"/>
      </w:pPr>
      <w:r>
        <w:tab/>
        <w:t>(ii)</w:t>
      </w:r>
      <w:r>
        <w:tab/>
        <w:t>an approved or authorised ACH management plan;</w:t>
      </w:r>
    </w:p>
    <w:p>
      <w:pPr>
        <w:pStyle w:val="Indenta"/>
      </w:pPr>
      <w:r>
        <w:tab/>
        <w:t>(e)</w:t>
      </w:r>
      <w:r>
        <w:tab/>
        <w:t>a local ACH service for an area;</w:t>
      </w:r>
    </w:p>
    <w:p>
      <w:pPr>
        <w:pStyle w:val="Indenta"/>
      </w:pPr>
      <w:r>
        <w:tab/>
        <w:t>(f)</w:t>
      </w:r>
      <w:r>
        <w:tab/>
        <w:t>a native title party for an area;</w:t>
      </w:r>
    </w:p>
    <w:p>
      <w:pPr>
        <w:pStyle w:val="Indenta"/>
      </w:pPr>
      <w:r>
        <w:tab/>
        <w:t>(g)</w:t>
      </w:r>
      <w:r>
        <w:tab/>
        <w:t>if a particular area is the subject of an ACH permit — the contact details of the holder of the permit;</w:t>
      </w:r>
    </w:p>
    <w:p>
      <w:pPr>
        <w:pStyle w:val="Indenta"/>
      </w:pPr>
      <w:r>
        <w:tab/>
        <w:t>(h)</w:t>
      </w:r>
      <w:r>
        <w:tab/>
        <w:t>if a particular area is the subject of an approved or authorised ACH management plan — the contact details of the parties to the plan;</w:t>
      </w:r>
    </w:p>
    <w:p>
      <w:pPr>
        <w:pStyle w:val="Indenta"/>
      </w:pPr>
      <w:r>
        <w:tab/>
        <w:t>(i)</w:t>
      </w:r>
      <w:r>
        <w:tab/>
        <w:t>whether or not a particular area is the subject of a Part 7 order.</w:t>
      </w:r>
    </w:p>
    <w:p>
      <w:pPr>
        <w:pStyle w:val="Heading5"/>
      </w:pPr>
      <w:bookmarkStart w:id="286" w:name="_Toc154742912"/>
      <w:r>
        <w:rPr>
          <w:rStyle w:val="CharSectno"/>
        </w:rPr>
        <w:t>219</w:t>
      </w:r>
      <w:r>
        <w:t>.</w:t>
      </w:r>
      <w:r>
        <w:tab/>
        <w:t>Access for proponents of activities</w:t>
      </w:r>
      <w:bookmarkEnd w:id="286"/>
    </w:p>
    <w:p>
      <w:pPr>
        <w:pStyle w:val="Subsection"/>
      </w:pPr>
      <w:r>
        <w:tab/>
        <w:t>(1)</w:t>
      </w:r>
      <w:r>
        <w:tab/>
        <w:t xml:space="preserve">The ACH Council must ensure that the information and documents on the ACH Directory are available to a proponent who intends to carry out an activity that may harm Aboriginal cultural heritage — </w:t>
      </w:r>
    </w:p>
    <w:p>
      <w:pPr>
        <w:pStyle w:val="Indenta"/>
      </w:pPr>
      <w:r>
        <w:tab/>
        <w:t>(a)</w:t>
      </w:r>
      <w:r>
        <w:tab/>
        <w:t>to the extent that the information and documents relate to the proposed activity or the Aboriginal cultural heritage at risk of harm; and</w:t>
      </w:r>
    </w:p>
    <w:p>
      <w:pPr>
        <w:pStyle w:val="Indenta"/>
      </w:pPr>
      <w:r>
        <w:tab/>
        <w:t>(b)</w:t>
      </w:r>
      <w:r>
        <w:tab/>
        <w:t>to the extent that the Council considers that a proponent requires the information and documents to enable them to comply with the requirements of this Act.</w:t>
      </w:r>
    </w:p>
    <w:p>
      <w:pPr>
        <w:pStyle w:val="Subsection"/>
      </w:pPr>
      <w:r>
        <w:tab/>
      </w:r>
      <w:r>
        <w:rPr>
          <w:b/>
        </w:rPr>
        <w:t>(2)</w:t>
      </w:r>
      <w:r>
        <w:tab/>
        <w:t>However, information or documents prescribed as excluded from the operation of this section cannot be made available to a proponent under this section.</w:t>
      </w:r>
    </w:p>
    <w:p>
      <w:pPr>
        <w:pStyle w:val="Heading5"/>
      </w:pPr>
      <w:bookmarkStart w:id="287" w:name="_Toc154742913"/>
      <w:r>
        <w:rPr>
          <w:rStyle w:val="CharSectno"/>
        </w:rPr>
        <w:lastRenderedPageBreak/>
        <w:t>220</w:t>
      </w:r>
      <w:r>
        <w:t>.</w:t>
      </w:r>
      <w:r>
        <w:tab/>
        <w:t>Access for research</w:t>
      </w:r>
      <w:bookmarkEnd w:id="287"/>
    </w:p>
    <w:p>
      <w:pPr>
        <w:pStyle w:val="Subsection"/>
      </w:pPr>
      <w:r>
        <w:tab/>
      </w:r>
      <w:r>
        <w:tab/>
        <w:t xml:space="preserve">The ACH Council must ensure that the information and documents on the ACH Directory are available to a person carrying out research on, or that relates to, Aboriginal cultural heritage to the extent that, in the Council’s opinion — </w:t>
      </w:r>
    </w:p>
    <w:p>
      <w:pPr>
        <w:pStyle w:val="Indenta"/>
      </w:pPr>
      <w:r>
        <w:tab/>
        <w:t>(a)</w:t>
      </w:r>
      <w:r>
        <w:tab/>
        <w:t>the information and documents on the Directory relate to the research being carried out by the person; and</w:t>
      </w:r>
    </w:p>
    <w:p>
      <w:pPr>
        <w:pStyle w:val="Indenta"/>
      </w:pPr>
      <w:r>
        <w:tab/>
        <w:t>(b)</w:t>
      </w:r>
      <w:r>
        <w:tab/>
        <w:t>it is appropriate to make the information and documents available for the research.</w:t>
      </w:r>
    </w:p>
    <w:p>
      <w:pPr>
        <w:pStyle w:val="Heading2"/>
      </w:pPr>
      <w:bookmarkStart w:id="288" w:name="_Toc154742914"/>
      <w:r>
        <w:rPr>
          <w:rStyle w:val="CharPartNo"/>
        </w:rPr>
        <w:lastRenderedPageBreak/>
        <w:t>Part 10</w:t>
      </w:r>
      <w:r>
        <w:t> — </w:t>
      </w:r>
      <w:r>
        <w:rPr>
          <w:rStyle w:val="CharPartText"/>
        </w:rPr>
        <w:t>Securing compliance</w:t>
      </w:r>
      <w:bookmarkEnd w:id="288"/>
    </w:p>
    <w:p>
      <w:pPr>
        <w:pStyle w:val="Heading3"/>
      </w:pPr>
      <w:bookmarkStart w:id="289" w:name="_Toc154742915"/>
      <w:r>
        <w:rPr>
          <w:rStyle w:val="CharDivNo"/>
        </w:rPr>
        <w:t>Division 1</w:t>
      </w:r>
      <w:r>
        <w:t> — </w:t>
      </w:r>
      <w:r>
        <w:rPr>
          <w:rStyle w:val="CharDivText"/>
        </w:rPr>
        <w:t>Preliminary</w:t>
      </w:r>
      <w:bookmarkEnd w:id="289"/>
    </w:p>
    <w:p>
      <w:pPr>
        <w:pStyle w:val="Heading5"/>
      </w:pPr>
      <w:bookmarkStart w:id="290" w:name="_Toc154742916"/>
      <w:r>
        <w:rPr>
          <w:rStyle w:val="CharSectno"/>
        </w:rPr>
        <w:t>221</w:t>
      </w:r>
      <w:r>
        <w:t>.</w:t>
      </w:r>
      <w:r>
        <w:tab/>
        <w:t>Terms used</w:t>
      </w:r>
      <w:bookmarkEnd w:id="290"/>
    </w:p>
    <w:p>
      <w:pPr>
        <w:pStyle w:val="Subsection"/>
      </w:pPr>
      <w:r>
        <w:tab/>
      </w:r>
      <w:r>
        <w:tab/>
        <w:t xml:space="preserve">In this Part — </w:t>
      </w:r>
    </w:p>
    <w:p>
      <w:pPr>
        <w:pStyle w:val="Defstart"/>
      </w:pPr>
      <w:r>
        <w:tab/>
      </w:r>
      <w:r>
        <w:rPr>
          <w:rStyle w:val="CharDefText"/>
        </w:rPr>
        <w:t>CI Act</w:t>
      </w:r>
      <w:r>
        <w:t xml:space="preserve"> means the </w:t>
      </w:r>
      <w:r>
        <w:rPr>
          <w:i/>
        </w:rPr>
        <w:t>Criminal Investigation Act 2006</w:t>
      </w:r>
      <w:r>
        <w:t>;</w:t>
      </w:r>
    </w:p>
    <w:p>
      <w:pPr>
        <w:pStyle w:val="Defstart"/>
      </w:pPr>
      <w:r>
        <w:tab/>
      </w:r>
      <w:r>
        <w:rPr>
          <w:rStyle w:val="CharDefText"/>
        </w:rPr>
        <w:t>dwelling</w:t>
      </w:r>
      <w:r>
        <w:t xml:space="preserve"> means a place, or a part of a place, that is ordinarily used for human habitation, whether or not it is from time to time uninhabited;</w:t>
      </w:r>
    </w:p>
    <w:p>
      <w:pPr>
        <w:pStyle w:val="Defstart"/>
      </w:pPr>
      <w:r>
        <w:tab/>
      </w:r>
      <w:r>
        <w:rPr>
          <w:rStyle w:val="CharDefText"/>
        </w:rPr>
        <w:t>entry warrant</w:t>
      </w:r>
      <w:r>
        <w:t xml:space="preserve"> means an entry warrant issued under Division 4;</w:t>
      </w:r>
    </w:p>
    <w:p>
      <w:pPr>
        <w:pStyle w:val="Defstart"/>
      </w:pPr>
      <w:r>
        <w:tab/>
      </w:r>
      <w:r>
        <w:rPr>
          <w:rStyle w:val="CharDefText"/>
        </w:rPr>
        <w:t>inspection purposes</w:t>
      </w:r>
      <w:r>
        <w:t xml:space="preserve"> means the purposes referred to in section 230;</w:t>
      </w:r>
    </w:p>
    <w:p>
      <w:pPr>
        <w:pStyle w:val="Defstart"/>
      </w:pPr>
      <w:r>
        <w:tab/>
      </w:r>
      <w:r>
        <w:rPr>
          <w:rStyle w:val="CharDefText"/>
        </w:rPr>
        <w:t>photograph</w:t>
      </w:r>
      <w:r>
        <w:t xml:space="preserve"> includes to make a digital image or a video recording;</w:t>
      </w:r>
    </w:p>
    <w:p>
      <w:pPr>
        <w:pStyle w:val="Defstart"/>
      </w:pPr>
      <w:r>
        <w:tab/>
      </w:r>
      <w:r>
        <w:rPr>
          <w:rStyle w:val="CharDefText"/>
        </w:rPr>
        <w:t>reasonably suspects</w:t>
      </w:r>
      <w:r>
        <w:t xml:space="preserve"> has the meaning given in section 222;</w:t>
      </w:r>
    </w:p>
    <w:p>
      <w:pPr>
        <w:pStyle w:val="Defstart"/>
      </w:pPr>
      <w:r>
        <w:tab/>
      </w:r>
      <w:r>
        <w:rPr>
          <w:rStyle w:val="CharDefText"/>
        </w:rPr>
        <w:t>seized thing</w:t>
      </w:r>
      <w:r>
        <w:t xml:space="preserve"> means a thing seized — </w:t>
      </w:r>
    </w:p>
    <w:p>
      <w:pPr>
        <w:pStyle w:val="Defpara"/>
      </w:pPr>
      <w:r>
        <w:tab/>
        <w:t>(a)</w:t>
      </w:r>
      <w:r>
        <w:tab/>
        <w:t>under section 239; or</w:t>
      </w:r>
    </w:p>
    <w:p>
      <w:pPr>
        <w:pStyle w:val="Defpara"/>
      </w:pPr>
      <w:r>
        <w:tab/>
        <w:t>(b)</w:t>
      </w:r>
      <w:r>
        <w:tab/>
        <w:t>under the CI Act in the exercise of powers in respect of an offence under this Act;</w:t>
      </w:r>
    </w:p>
    <w:p>
      <w:pPr>
        <w:pStyle w:val="Defstart"/>
      </w:pPr>
      <w:r>
        <w:tab/>
      </w:r>
      <w:r>
        <w:rPr>
          <w:rStyle w:val="CharDefText"/>
        </w:rPr>
        <w:t>thing relevant to an offence</w:t>
      </w:r>
      <w:r>
        <w:t xml:space="preserve"> has the meaning given in section 223.</w:t>
      </w:r>
    </w:p>
    <w:p>
      <w:pPr>
        <w:pStyle w:val="Heading5"/>
      </w:pPr>
      <w:bookmarkStart w:id="291" w:name="_Toc154742917"/>
      <w:r>
        <w:rPr>
          <w:rStyle w:val="CharSectno"/>
        </w:rPr>
        <w:t>222</w:t>
      </w:r>
      <w:r>
        <w:t>.</w:t>
      </w:r>
      <w:r>
        <w:tab/>
        <w:t>Reasonably suspects</w:t>
      </w:r>
      <w:bookmarkEnd w:id="291"/>
    </w:p>
    <w:p>
      <w:pPr>
        <w:pStyle w:val="Subsection"/>
      </w:pPr>
      <w:r>
        <w:tab/>
      </w:r>
      <w:r>
        <w:tab/>
        <w:t xml:space="preserve">For the purposes of this Part, a person </w:t>
      </w:r>
      <w:r>
        <w:rPr>
          <w:rStyle w:val="CharDefText"/>
        </w:rPr>
        <w:t>reasonably suspects</w:t>
      </w:r>
      <w:r>
        <w:t xml:space="preserve"> something at a given time if — </w:t>
      </w:r>
    </w:p>
    <w:p>
      <w:pPr>
        <w:pStyle w:val="Indenta"/>
      </w:pPr>
      <w:r>
        <w:tab/>
        <w:t>(a)</w:t>
      </w:r>
      <w:r>
        <w:tab/>
        <w:t xml:space="preserve">the person personally has grounds at the time for suspecting the thing; and </w:t>
      </w:r>
    </w:p>
    <w:p>
      <w:pPr>
        <w:pStyle w:val="Indenta"/>
      </w:pPr>
      <w:r>
        <w:tab/>
        <w:t>(b)</w:t>
      </w:r>
      <w:r>
        <w:tab/>
        <w:t>those grounds (even if they are subsequently found to be false or non</w:t>
      </w:r>
      <w:r>
        <w:noBreakHyphen/>
        <w:t>existent) when judged objectively, are reasonable.</w:t>
      </w:r>
    </w:p>
    <w:p>
      <w:pPr>
        <w:pStyle w:val="Heading5"/>
      </w:pPr>
      <w:bookmarkStart w:id="292" w:name="_Toc154742918"/>
      <w:r>
        <w:rPr>
          <w:rStyle w:val="CharSectno"/>
        </w:rPr>
        <w:lastRenderedPageBreak/>
        <w:t>223</w:t>
      </w:r>
      <w:r>
        <w:t>.</w:t>
      </w:r>
      <w:r>
        <w:tab/>
        <w:t>Thing relevant to an offence</w:t>
      </w:r>
      <w:bookmarkEnd w:id="292"/>
    </w:p>
    <w:p>
      <w:pPr>
        <w:pStyle w:val="Subsection"/>
      </w:pPr>
      <w:r>
        <w:tab/>
        <w:t>(1)</w:t>
      </w:r>
      <w:r>
        <w:tab/>
        <w:t xml:space="preserve">For the purposes of this Part, a thing is a </w:t>
      </w:r>
      <w:r>
        <w:rPr>
          <w:rStyle w:val="CharDefText"/>
        </w:rPr>
        <w:t>thing relevant to an offence</w:t>
      </w:r>
      <w:r>
        <w:t xml:space="preserve"> if it is reasonably suspected that — </w:t>
      </w:r>
    </w:p>
    <w:p>
      <w:pPr>
        <w:pStyle w:val="Indenta"/>
      </w:pPr>
      <w:r>
        <w:tab/>
        <w:t>(a)</w:t>
      </w:r>
      <w:r>
        <w:tab/>
        <w:t>the thing has been, is being, or is intended to be used for the purpose of committing an offence under this Act; or</w:t>
      </w:r>
    </w:p>
    <w:p>
      <w:pPr>
        <w:pStyle w:val="Indenta"/>
      </w:pPr>
      <w:r>
        <w:tab/>
        <w:t>(b)</w:t>
      </w:r>
      <w:r>
        <w:tab/>
        <w:t>the thing has been obtained by the commission of an offence under this Act; or</w:t>
      </w:r>
    </w:p>
    <w:p>
      <w:pPr>
        <w:pStyle w:val="Indenta"/>
      </w:pPr>
      <w:r>
        <w:tab/>
        <w:t>(c)</w:t>
      </w:r>
      <w:r>
        <w:tab/>
        <w:t>an offence under this Act has been, is being, or may be committed in respect of the thing; or</w:t>
      </w:r>
    </w:p>
    <w:p>
      <w:pPr>
        <w:pStyle w:val="Indenta"/>
      </w:pPr>
      <w:r>
        <w:tab/>
        <w:t>(d)</w:t>
      </w:r>
      <w:r>
        <w:tab/>
        <w:t xml:space="preserve">the thing is or may afford — </w:t>
      </w:r>
    </w:p>
    <w:p>
      <w:pPr>
        <w:pStyle w:val="Indenti"/>
      </w:pPr>
      <w:r>
        <w:tab/>
        <w:t>(i)</w:t>
      </w:r>
      <w:r>
        <w:tab/>
        <w:t>evidence relevant to proving the commission of an offence under this Act or who has committed an offence under this Act; or</w:t>
      </w:r>
    </w:p>
    <w:p>
      <w:pPr>
        <w:pStyle w:val="Indenti"/>
      </w:pPr>
      <w:r>
        <w:tab/>
        <w:t>(ii)</w:t>
      </w:r>
      <w:r>
        <w:tab/>
        <w:t>evidence that tends to rebut an alibi.</w:t>
      </w:r>
    </w:p>
    <w:p>
      <w:pPr>
        <w:pStyle w:val="Subsection"/>
      </w:pPr>
      <w:r>
        <w:tab/>
        <w:t>(2)</w:t>
      </w:r>
      <w:r>
        <w:tab/>
        <w:t>For the purposes of this Part, a thing relevant to an offence may be material or non</w:t>
      </w:r>
      <w:r>
        <w:noBreakHyphen/>
        <w:t>material, animate (other than human) or inanimate.</w:t>
      </w:r>
    </w:p>
    <w:p>
      <w:pPr>
        <w:pStyle w:val="Heading3"/>
      </w:pPr>
      <w:bookmarkStart w:id="293" w:name="_Toc154742919"/>
      <w:r>
        <w:rPr>
          <w:rStyle w:val="CharDivNo"/>
        </w:rPr>
        <w:t>Division 2</w:t>
      </w:r>
      <w:r>
        <w:t> — </w:t>
      </w:r>
      <w:r>
        <w:rPr>
          <w:rStyle w:val="CharDivText"/>
        </w:rPr>
        <w:t>Inspectors</w:t>
      </w:r>
      <w:bookmarkEnd w:id="293"/>
    </w:p>
    <w:p>
      <w:pPr>
        <w:pStyle w:val="Heading5"/>
      </w:pPr>
      <w:bookmarkStart w:id="294" w:name="_Toc154742920"/>
      <w:r>
        <w:rPr>
          <w:rStyle w:val="CharSectno"/>
        </w:rPr>
        <w:t>224</w:t>
      </w:r>
      <w:r>
        <w:t>.</w:t>
      </w:r>
      <w:r>
        <w:tab/>
        <w:t>Inspectors</w:t>
      </w:r>
      <w:bookmarkEnd w:id="294"/>
    </w:p>
    <w:p>
      <w:pPr>
        <w:pStyle w:val="Subsection"/>
      </w:pPr>
      <w:r>
        <w:tab/>
        <w:t>(1)</w:t>
      </w:r>
      <w:r>
        <w:tab/>
        <w:t xml:space="preserve">The CEO may, in writing, designate any of the following persons as an inspector for the purposes of this Act — </w:t>
      </w:r>
    </w:p>
    <w:p>
      <w:pPr>
        <w:pStyle w:val="Indenta"/>
      </w:pPr>
      <w:r>
        <w:tab/>
        <w:t>(a)</w:t>
      </w:r>
      <w:r>
        <w:tab/>
        <w:t>a public service officer;</w:t>
      </w:r>
    </w:p>
    <w:p>
      <w:pPr>
        <w:pStyle w:val="Indenta"/>
      </w:pPr>
      <w:r>
        <w:tab/>
        <w:t>(b)</w:t>
      </w:r>
      <w:r>
        <w:tab/>
        <w:t xml:space="preserve">a person employed or engaged under the </w:t>
      </w:r>
      <w:r>
        <w:rPr>
          <w:i/>
        </w:rPr>
        <w:t>Public Sector Management Act 1994</w:t>
      </w:r>
      <w:r>
        <w:t xml:space="preserve"> section 100 by the employing authority of the Department.</w:t>
      </w:r>
    </w:p>
    <w:p>
      <w:pPr>
        <w:pStyle w:val="Subsection"/>
      </w:pPr>
      <w:r>
        <w:tab/>
        <w:t>(2)</w:t>
      </w:r>
      <w:r>
        <w:tab/>
        <w:t>A person may be designated as an inspector for a fixed or indefinite period.</w:t>
      </w:r>
    </w:p>
    <w:p>
      <w:pPr>
        <w:pStyle w:val="Subsection"/>
      </w:pPr>
      <w:r>
        <w:tab/>
        <w:t>(3)</w:t>
      </w:r>
      <w:r>
        <w:tab/>
        <w:t>The CEO may, in writing, revoke a designation at any time.</w:t>
      </w:r>
    </w:p>
    <w:p>
      <w:pPr>
        <w:pStyle w:val="Heading5"/>
      </w:pPr>
      <w:bookmarkStart w:id="295" w:name="_Toc154742921"/>
      <w:r>
        <w:rPr>
          <w:rStyle w:val="CharSectno"/>
        </w:rPr>
        <w:lastRenderedPageBreak/>
        <w:t>225</w:t>
      </w:r>
      <w:r>
        <w:t>.</w:t>
      </w:r>
      <w:r>
        <w:tab/>
        <w:t>Aboriginal inspectors</w:t>
      </w:r>
      <w:bookmarkEnd w:id="295"/>
    </w:p>
    <w:p>
      <w:pPr>
        <w:pStyle w:val="Subsection"/>
      </w:pPr>
      <w:r>
        <w:tab/>
        <w:t>(1)</w:t>
      </w:r>
      <w:r>
        <w:tab/>
        <w:t>The CEO may, in writing, appoint an Aboriginal person to be an Aboriginal inspector for an area of the State.</w:t>
      </w:r>
    </w:p>
    <w:p>
      <w:pPr>
        <w:pStyle w:val="Subsection"/>
      </w:pPr>
      <w:r>
        <w:tab/>
        <w:t>(2)</w:t>
      </w:r>
      <w:r>
        <w:tab/>
        <w:t xml:space="preserve">Before appointing an Aboriginal inspector for a specified area for which a local ACH service is designated, the CEO must — </w:t>
      </w:r>
    </w:p>
    <w:p>
      <w:pPr>
        <w:pStyle w:val="Indenta"/>
      </w:pPr>
      <w:r>
        <w:tab/>
        <w:t>(a)</w:t>
      </w:r>
      <w:r>
        <w:tab/>
        <w:t xml:space="preserve">give to the local ACH service for the area, or a part of the area, for which the Aboriginal inspector is to be appointed — </w:t>
      </w:r>
    </w:p>
    <w:p>
      <w:pPr>
        <w:pStyle w:val="Indenti"/>
      </w:pPr>
      <w:r>
        <w:tab/>
        <w:t>(i)</w:t>
      </w:r>
      <w:r>
        <w:tab/>
        <w:t>written notice of the proposed appointment; and</w:t>
      </w:r>
    </w:p>
    <w:p>
      <w:pPr>
        <w:pStyle w:val="Indenti"/>
      </w:pPr>
      <w:r>
        <w:tab/>
        <w:t>(ii)</w:t>
      </w:r>
      <w:r>
        <w:tab/>
        <w:t>a reasonable opportunity to make submissions to the CEO about the proposed appointment;</w:t>
      </w:r>
    </w:p>
    <w:p>
      <w:pPr>
        <w:pStyle w:val="Indenta"/>
      </w:pPr>
      <w:r>
        <w:tab/>
      </w:r>
      <w:r>
        <w:tab/>
        <w:t>and</w:t>
      </w:r>
    </w:p>
    <w:p>
      <w:pPr>
        <w:pStyle w:val="Indenta"/>
      </w:pPr>
      <w:r>
        <w:tab/>
        <w:t>(b)</w:t>
      </w:r>
      <w:r>
        <w:tab/>
        <w:t>take into account any submission received in making a decision about the proposed appointment.</w:t>
      </w:r>
    </w:p>
    <w:p>
      <w:pPr>
        <w:pStyle w:val="Subsection"/>
      </w:pPr>
      <w:r>
        <w:tab/>
        <w:t>(3)</w:t>
      </w:r>
      <w:r>
        <w:tab/>
        <w:t>An Aboriginal inspector has, in respect of the area for which the Aboriginal inspector is appointed, the powers conferred by or under this Act on an inspector that are specified in the appointment, and to that extent is taken to be an inspector.</w:t>
      </w:r>
    </w:p>
    <w:p>
      <w:pPr>
        <w:pStyle w:val="Subsection"/>
      </w:pPr>
      <w:r>
        <w:tab/>
        <w:t>(4)</w:t>
      </w:r>
      <w:r>
        <w:tab/>
        <w:t>A person may be appointed as an Aboriginal inspector for a fixed or indefinite period.</w:t>
      </w:r>
    </w:p>
    <w:p>
      <w:pPr>
        <w:pStyle w:val="Subsection"/>
      </w:pPr>
      <w:r>
        <w:tab/>
        <w:t>(5)</w:t>
      </w:r>
      <w:r>
        <w:tab/>
        <w:t>The CEO may, in writing, revoke an appointment at any time.</w:t>
      </w:r>
    </w:p>
    <w:p>
      <w:pPr>
        <w:pStyle w:val="Heading5"/>
      </w:pPr>
      <w:bookmarkStart w:id="296" w:name="_Toc154742922"/>
      <w:r>
        <w:rPr>
          <w:rStyle w:val="CharSectno"/>
        </w:rPr>
        <w:t>226</w:t>
      </w:r>
      <w:r>
        <w:t>.</w:t>
      </w:r>
      <w:r>
        <w:tab/>
        <w:t>Identity cards</w:t>
      </w:r>
      <w:bookmarkEnd w:id="296"/>
    </w:p>
    <w:p>
      <w:pPr>
        <w:pStyle w:val="Subsection"/>
      </w:pPr>
      <w:r>
        <w:tab/>
        <w:t>(1)</w:t>
      </w:r>
      <w:r>
        <w:tab/>
        <w:t>The CEO must cause an identity card to be given to each person designated under section 224(1) or appointed under section 225(1).</w:t>
      </w:r>
    </w:p>
    <w:p>
      <w:pPr>
        <w:pStyle w:val="Subsection"/>
      </w:pPr>
      <w:r>
        <w:tab/>
        <w:t>(2)</w:t>
      </w:r>
      <w:r>
        <w:tab/>
        <w:t xml:space="preserve">An identity card must — </w:t>
      </w:r>
    </w:p>
    <w:p>
      <w:pPr>
        <w:pStyle w:val="Indenta"/>
      </w:pPr>
      <w:r>
        <w:tab/>
        <w:t>(a)</w:t>
      </w:r>
      <w:r>
        <w:tab/>
        <w:t>identify the person as an inspector or an Aboriginal inspector, as is relevant; and</w:t>
      </w:r>
    </w:p>
    <w:p>
      <w:pPr>
        <w:pStyle w:val="Indenta"/>
      </w:pPr>
      <w:r>
        <w:lastRenderedPageBreak/>
        <w:tab/>
        <w:t>(b)</w:t>
      </w:r>
      <w:r>
        <w:tab/>
        <w:t>if the person is an Aboriginal inspector — specify the area of the State for which the person is appointed and the powers conferred on the person; and</w:t>
      </w:r>
    </w:p>
    <w:p>
      <w:pPr>
        <w:pStyle w:val="Indenta"/>
      </w:pPr>
      <w:r>
        <w:tab/>
        <w:t>(c)</w:t>
      </w:r>
      <w:r>
        <w:tab/>
        <w:t>include a recent photograph of the person.</w:t>
      </w:r>
    </w:p>
    <w:p>
      <w:pPr>
        <w:pStyle w:val="Subsection"/>
      </w:pPr>
      <w:r>
        <w:tab/>
        <w:t>(3)</w:t>
      </w:r>
      <w:r>
        <w:tab/>
        <w:t>A person who, without reasonable excuse, fails to return their identity card to the CEO on ceasing to be an inspector or an Aboriginal inspector commits an offence.</w:t>
      </w:r>
    </w:p>
    <w:p>
      <w:pPr>
        <w:pStyle w:val="Penstart"/>
      </w:pPr>
      <w:r>
        <w:tab/>
        <w:t>Penalty for this subsection: a fine of $5 000.</w:t>
      </w:r>
    </w:p>
    <w:p>
      <w:pPr>
        <w:pStyle w:val="Subsection"/>
      </w:pPr>
      <w:r>
        <w:tab/>
        <w:t>(4)</w:t>
      </w:r>
      <w:r>
        <w:tab/>
        <w:t>A person given an identity card under subsection (1) must carry the identity card at all times when exercising powers or performing functions as an inspector unless it is impracticable to do so.</w:t>
      </w:r>
    </w:p>
    <w:p>
      <w:pPr>
        <w:pStyle w:val="Heading5"/>
      </w:pPr>
      <w:bookmarkStart w:id="297" w:name="_Toc154742923"/>
      <w:r>
        <w:rPr>
          <w:rStyle w:val="CharSectno"/>
        </w:rPr>
        <w:t>227</w:t>
      </w:r>
      <w:r>
        <w:t>.</w:t>
      </w:r>
      <w:r>
        <w:tab/>
        <w:t>Production or display of identity card</w:t>
      </w:r>
      <w:bookmarkEnd w:id="297"/>
    </w:p>
    <w:p>
      <w:pPr>
        <w:pStyle w:val="Subsection"/>
      </w:pPr>
      <w:r>
        <w:tab/>
        <w:t>(1)</w:t>
      </w:r>
      <w:r>
        <w:tab/>
        <w:t xml:space="preserve">An inspector or an Aboriginal inspector may exercise a power conferred on them as an inspector in relation to another person only if the inspector or Aboriginal inspector — </w:t>
      </w:r>
    </w:p>
    <w:p>
      <w:pPr>
        <w:pStyle w:val="Indenta"/>
      </w:pPr>
      <w:r>
        <w:tab/>
        <w:t>(a)</w:t>
      </w:r>
      <w:r>
        <w:tab/>
        <w:t xml:space="preserve">first produces the identity card given to the person under section 226(1) (the </w:t>
      </w:r>
      <w:r>
        <w:rPr>
          <w:rStyle w:val="CharDefText"/>
        </w:rPr>
        <w:t>identity card</w:t>
      </w:r>
      <w:r>
        <w:t>) for the other person’s inspection; or</w:t>
      </w:r>
    </w:p>
    <w:p>
      <w:pPr>
        <w:pStyle w:val="Indenta"/>
      </w:pPr>
      <w:r>
        <w:tab/>
        <w:t>(b)</w:t>
      </w:r>
      <w:r>
        <w:tab/>
        <w:t>has the identity card displayed so that it is clearly visible to the other person.</w:t>
      </w:r>
    </w:p>
    <w:p>
      <w:pPr>
        <w:pStyle w:val="Subsection"/>
      </w:pPr>
      <w:r>
        <w:tab/>
        <w:t>(2)</w:t>
      </w:r>
      <w:r>
        <w:tab/>
        <w:t>Subsection (1) only applies if the inspector or Aboriginal inspector is in the physical presence of the person in relation to whom the power is to be exercised.</w:t>
      </w:r>
    </w:p>
    <w:p>
      <w:pPr>
        <w:pStyle w:val="Subsection"/>
      </w:pPr>
      <w:r>
        <w:tab/>
        <w:t>(3)</w:t>
      </w:r>
      <w:r>
        <w:tab/>
        <w:t>However, if it is not practicable to comply with subsection (1) before exercising the power, the inspector or Aboriginal inspector may exercise the power and then produce the identity card for inspection by the other person at the first reasonable opportunity.</w:t>
      </w:r>
    </w:p>
    <w:p>
      <w:pPr>
        <w:pStyle w:val="Heading5"/>
      </w:pPr>
      <w:bookmarkStart w:id="298" w:name="_Toc154742924"/>
      <w:r>
        <w:rPr>
          <w:rStyle w:val="CharSectno"/>
        </w:rPr>
        <w:lastRenderedPageBreak/>
        <w:t>228</w:t>
      </w:r>
      <w:r>
        <w:t>.</w:t>
      </w:r>
      <w:r>
        <w:tab/>
        <w:t>Police officers have powers of inspectors</w:t>
      </w:r>
      <w:bookmarkEnd w:id="298"/>
    </w:p>
    <w:p>
      <w:pPr>
        <w:pStyle w:val="Subsection"/>
      </w:pPr>
      <w:r>
        <w:tab/>
      </w:r>
      <w:r>
        <w:tab/>
        <w:t>For the purposes of this Act, a police officer has the powers of an inspector under this Act and is taken to be an inspector.</w:t>
      </w:r>
    </w:p>
    <w:p>
      <w:pPr>
        <w:pStyle w:val="Heading5"/>
      </w:pPr>
      <w:bookmarkStart w:id="299" w:name="_Toc154742925"/>
      <w:r>
        <w:rPr>
          <w:rStyle w:val="CharSectno"/>
        </w:rPr>
        <w:t>229</w:t>
      </w:r>
      <w:r>
        <w:t>.</w:t>
      </w:r>
      <w:r>
        <w:tab/>
        <w:t>Impersonating an inspector or an Aboriginal inspector</w:t>
      </w:r>
      <w:bookmarkEnd w:id="299"/>
      <w:r>
        <w:t xml:space="preserve"> </w:t>
      </w:r>
    </w:p>
    <w:p>
      <w:pPr>
        <w:pStyle w:val="Subsection"/>
      </w:pPr>
      <w:r>
        <w:tab/>
      </w:r>
      <w:r>
        <w:tab/>
        <w:t>A person must not falsely represent by words or conduct that the person is an inspector or an Aboriginal inspector.</w:t>
      </w:r>
    </w:p>
    <w:p>
      <w:pPr>
        <w:pStyle w:val="Penstart"/>
      </w:pPr>
      <w:r>
        <w:tab/>
        <w:t>Penalty: imprisonment for 12 months or a fine of $12 000, or both.</w:t>
      </w:r>
    </w:p>
    <w:p>
      <w:pPr>
        <w:pStyle w:val="Heading3"/>
      </w:pPr>
      <w:bookmarkStart w:id="300" w:name="_Toc154742926"/>
      <w:r>
        <w:rPr>
          <w:rStyle w:val="CharDivNo"/>
        </w:rPr>
        <w:t>Division 3</w:t>
      </w:r>
      <w:r>
        <w:t> — </w:t>
      </w:r>
      <w:r>
        <w:rPr>
          <w:rStyle w:val="CharDivText"/>
        </w:rPr>
        <w:t>Inspection and related powers</w:t>
      </w:r>
      <w:bookmarkEnd w:id="300"/>
    </w:p>
    <w:p>
      <w:pPr>
        <w:pStyle w:val="Heading5"/>
      </w:pPr>
      <w:bookmarkStart w:id="301" w:name="_Toc154742927"/>
      <w:r>
        <w:rPr>
          <w:rStyle w:val="CharSectno"/>
        </w:rPr>
        <w:t>230</w:t>
      </w:r>
      <w:r>
        <w:t>.</w:t>
      </w:r>
      <w:r>
        <w:tab/>
        <w:t>Purposes for which inspection may be carried out</w:t>
      </w:r>
      <w:bookmarkEnd w:id="301"/>
    </w:p>
    <w:p>
      <w:pPr>
        <w:pStyle w:val="Subsection"/>
      </w:pPr>
      <w:r>
        <w:tab/>
      </w:r>
      <w:r>
        <w:tab/>
        <w:t xml:space="preserve">An inspector may carry out an inspection for any of the following purposes — </w:t>
      </w:r>
    </w:p>
    <w:p>
      <w:pPr>
        <w:pStyle w:val="Indenta"/>
      </w:pPr>
      <w:r>
        <w:tab/>
        <w:t>(a)</w:t>
      </w:r>
      <w:r>
        <w:tab/>
        <w:t>to ascertain whether this Act or any instrument has been or is being contravened;</w:t>
      </w:r>
    </w:p>
    <w:p>
      <w:pPr>
        <w:pStyle w:val="Indenta"/>
      </w:pPr>
      <w:r>
        <w:tab/>
        <w:t>(b)</w:t>
      </w:r>
      <w:r>
        <w:tab/>
        <w:t>to inspect any records that are kept under or for the purposes of this Act or that are relevant to determining whether this Act or any instrument has been or is being contravened;</w:t>
      </w:r>
    </w:p>
    <w:p>
      <w:pPr>
        <w:pStyle w:val="Indenta"/>
      </w:pPr>
      <w:r>
        <w:tab/>
        <w:t>(c)</w:t>
      </w:r>
      <w:r>
        <w:tab/>
        <w:t>any other purpose prescribed for the purposes of this paragraph.</w:t>
      </w:r>
    </w:p>
    <w:p>
      <w:pPr>
        <w:pStyle w:val="Heading5"/>
      </w:pPr>
      <w:bookmarkStart w:id="302" w:name="_Toc154742928"/>
      <w:r>
        <w:rPr>
          <w:rStyle w:val="CharSectno"/>
        </w:rPr>
        <w:t>231</w:t>
      </w:r>
      <w:r>
        <w:t>.</w:t>
      </w:r>
      <w:r>
        <w:tab/>
        <w:t>Power to enter places</w:t>
      </w:r>
      <w:bookmarkEnd w:id="302"/>
    </w:p>
    <w:p>
      <w:pPr>
        <w:pStyle w:val="Subsection"/>
      </w:pPr>
      <w:r>
        <w:tab/>
        <w:t>(1)</w:t>
      </w:r>
      <w:r>
        <w:tab/>
        <w:t xml:space="preserve">For inspection purposes an inspector may do any of the following — </w:t>
      </w:r>
    </w:p>
    <w:p>
      <w:pPr>
        <w:pStyle w:val="Indenta"/>
      </w:pPr>
      <w:r>
        <w:tab/>
        <w:t>(a)</w:t>
      </w:r>
      <w:r>
        <w:tab/>
        <w:t>subject to section 232, at any time enter a place that is not a dwelling;</w:t>
      </w:r>
    </w:p>
    <w:p>
      <w:pPr>
        <w:pStyle w:val="Indenta"/>
      </w:pPr>
      <w:r>
        <w:tab/>
        <w:t>(b)</w:t>
      </w:r>
      <w:r>
        <w:tab/>
        <w:t>at any time enter a dwelling with the informed consent of an occupier of the dwelling;</w:t>
      </w:r>
    </w:p>
    <w:p>
      <w:pPr>
        <w:pStyle w:val="Indenta"/>
      </w:pPr>
      <w:r>
        <w:tab/>
        <w:t>(c)</w:t>
      </w:r>
      <w:r>
        <w:tab/>
        <w:t>enter a place in accordance with an entry warrant.</w:t>
      </w:r>
    </w:p>
    <w:p>
      <w:pPr>
        <w:pStyle w:val="Subsection"/>
        <w:keepNext/>
      </w:pPr>
      <w:r>
        <w:lastRenderedPageBreak/>
        <w:tab/>
        <w:t>(2)</w:t>
      </w:r>
      <w:r>
        <w:tab/>
        <w:t xml:space="preserve">For the purposes of subsection (1)(b), an occupier gives informed consent if the occupier consents after being informed by the inspector — </w:t>
      </w:r>
    </w:p>
    <w:p>
      <w:pPr>
        <w:pStyle w:val="Indenta"/>
      </w:pPr>
      <w:r>
        <w:tab/>
        <w:t>(a)</w:t>
      </w:r>
      <w:r>
        <w:tab/>
        <w:t>of the powers that the inspector wants to exercise in carrying out the inspection in respect of the dwelling; and</w:t>
      </w:r>
    </w:p>
    <w:p>
      <w:pPr>
        <w:pStyle w:val="Indenta"/>
      </w:pPr>
      <w:r>
        <w:tab/>
        <w:t>(b)</w:t>
      </w:r>
      <w:r>
        <w:tab/>
        <w:t>of the reasons why the inspector wants to exercise those powers; and</w:t>
      </w:r>
    </w:p>
    <w:p>
      <w:pPr>
        <w:pStyle w:val="Indenta"/>
      </w:pPr>
      <w:r>
        <w:tab/>
        <w:t>(c)</w:t>
      </w:r>
      <w:r>
        <w:tab/>
        <w:t>that the occupier may refuse to consent to the inspector entering the dwelling.</w:t>
      </w:r>
    </w:p>
    <w:p>
      <w:pPr>
        <w:pStyle w:val="Heading5"/>
      </w:pPr>
      <w:bookmarkStart w:id="303" w:name="_Toc154742929"/>
      <w:r>
        <w:rPr>
          <w:rStyle w:val="CharSectno"/>
        </w:rPr>
        <w:t>232</w:t>
      </w:r>
      <w:r>
        <w:t>.</w:t>
      </w:r>
      <w:r>
        <w:tab/>
        <w:t>Entering Aboriginal places</w:t>
      </w:r>
      <w:bookmarkEnd w:id="303"/>
    </w:p>
    <w:p>
      <w:pPr>
        <w:pStyle w:val="Subsection"/>
      </w:pPr>
      <w:r>
        <w:tab/>
        <w:t>(1)</w:t>
      </w:r>
      <w:r>
        <w:tab/>
        <w:t xml:space="preserve">Before entering a place under section 231(1)(a), an inspector must take all reasonable steps to determine — </w:t>
      </w:r>
    </w:p>
    <w:p>
      <w:pPr>
        <w:pStyle w:val="Indenta"/>
      </w:pPr>
      <w:r>
        <w:tab/>
        <w:t>(a)</w:t>
      </w:r>
      <w:r>
        <w:tab/>
        <w:t>whether the place is an Aboriginal place; and</w:t>
      </w:r>
    </w:p>
    <w:p>
      <w:pPr>
        <w:pStyle w:val="Indenta"/>
      </w:pPr>
      <w:r>
        <w:tab/>
        <w:t>(b)</w:t>
      </w:r>
      <w:r>
        <w:tab/>
        <w:t>if the place is an Aboriginal place — whether in accordance with Aboriginal tradition there are restrictions on entry to the place.</w:t>
      </w:r>
    </w:p>
    <w:p>
      <w:pPr>
        <w:pStyle w:val="Subsection"/>
      </w:pPr>
      <w:r>
        <w:tab/>
        <w:t>(2)</w:t>
      </w:r>
      <w:r>
        <w:tab/>
        <w:t xml:space="preserve">If the inspector determines that the place is an Aboriginal place and that in accordance with Aboriginal tradition there are restrictions on entry to the place, the inspector can only enter the place if — </w:t>
      </w:r>
    </w:p>
    <w:p>
      <w:pPr>
        <w:pStyle w:val="Indenta"/>
      </w:pPr>
      <w:r>
        <w:tab/>
        <w:t>(a)</w:t>
      </w:r>
      <w:r>
        <w:tab/>
        <w:t>the inspector is permitted to enter the place in accordance with Aboriginal tradition; or</w:t>
      </w:r>
    </w:p>
    <w:p>
      <w:pPr>
        <w:pStyle w:val="Indenta"/>
      </w:pPr>
      <w:r>
        <w:tab/>
        <w:t>(b)</w:t>
      </w:r>
      <w:r>
        <w:tab/>
        <w:t>the inspector is accompanied by a person who is permitted to enter the place in accordance with Aboriginal tradition.</w:t>
      </w:r>
    </w:p>
    <w:p>
      <w:pPr>
        <w:pStyle w:val="Subsection"/>
      </w:pPr>
      <w:r>
        <w:tab/>
        <w:t>(3)</w:t>
      </w:r>
      <w:r>
        <w:tab/>
        <w:t>However, an inspector may enter a place without complying with subsection (2) if the inspector considers on reasonable grounds that the entry is necessary to prevent harm to Aboriginal cultural heritage.</w:t>
      </w:r>
    </w:p>
    <w:p>
      <w:pPr>
        <w:pStyle w:val="Heading5"/>
      </w:pPr>
      <w:bookmarkStart w:id="304" w:name="_Toc154742930"/>
      <w:r>
        <w:rPr>
          <w:rStyle w:val="CharSectno"/>
        </w:rPr>
        <w:lastRenderedPageBreak/>
        <w:t>233</w:t>
      </w:r>
      <w:r>
        <w:t>.</w:t>
      </w:r>
      <w:r>
        <w:tab/>
        <w:t>Power to enter includes power to enter some other places</w:t>
      </w:r>
      <w:bookmarkEnd w:id="304"/>
    </w:p>
    <w:p>
      <w:pPr>
        <w:pStyle w:val="Subsection"/>
      </w:pPr>
      <w:r>
        <w:tab/>
        <w:t>(1)</w:t>
      </w:r>
      <w:r>
        <w:tab/>
        <w:t>This section applies if under section 231(1) an inspector may enter a place.</w:t>
      </w:r>
    </w:p>
    <w:p>
      <w:pPr>
        <w:pStyle w:val="Subsection"/>
      </w:pPr>
      <w:r>
        <w:tab/>
        <w:t>(2)</w:t>
      </w:r>
      <w:r>
        <w:tab/>
        <w:t>If the place is 1 of 2 or more premises in a single building, then, in order to enter the place, the inspector may enter, but not inspect, any part of the building that the occupiers of the place use exclusively but in common with each other.</w:t>
      </w:r>
    </w:p>
    <w:p>
      <w:pPr>
        <w:pStyle w:val="Heading5"/>
      </w:pPr>
      <w:bookmarkStart w:id="305" w:name="_Toc154742931"/>
      <w:r>
        <w:rPr>
          <w:rStyle w:val="CharSectno"/>
        </w:rPr>
        <w:t>234</w:t>
      </w:r>
      <w:r>
        <w:t>.</w:t>
      </w:r>
      <w:r>
        <w:tab/>
        <w:t>Power to stop and enter vehicles, and ancillary powers</w:t>
      </w:r>
      <w:bookmarkEnd w:id="305"/>
    </w:p>
    <w:p>
      <w:pPr>
        <w:pStyle w:val="Subsection"/>
      </w:pPr>
      <w:r>
        <w:tab/>
        <w:t>(1)</w:t>
      </w:r>
      <w:r>
        <w:tab/>
        <w:t xml:space="preserve">In this section — </w:t>
      </w:r>
    </w:p>
    <w:p>
      <w:pPr>
        <w:pStyle w:val="Defstart"/>
      </w:pPr>
      <w:r>
        <w:tab/>
      </w:r>
      <w:r>
        <w:rPr>
          <w:rStyle w:val="CharDefText"/>
        </w:rPr>
        <w:t>mobile home</w:t>
      </w:r>
      <w:r>
        <w:t xml:space="preserve"> means a vehicle that is — </w:t>
      </w:r>
    </w:p>
    <w:p>
      <w:pPr>
        <w:pStyle w:val="Defpara"/>
      </w:pPr>
      <w:r>
        <w:tab/>
        <w:t>(a)</w:t>
      </w:r>
      <w:r>
        <w:tab/>
        <w:t>ordinarily used for human habitation; and</w:t>
      </w:r>
    </w:p>
    <w:p>
      <w:pPr>
        <w:pStyle w:val="Defpara"/>
      </w:pPr>
      <w:r>
        <w:tab/>
        <w:t>(b)</w:t>
      </w:r>
      <w:r>
        <w:tab/>
        <w:t>permanently or semi</w:t>
      </w:r>
      <w:r>
        <w:noBreakHyphen/>
        <w:t>permanently stationary in a single location.</w:t>
      </w:r>
    </w:p>
    <w:p>
      <w:pPr>
        <w:pStyle w:val="Subsection"/>
      </w:pPr>
      <w:r>
        <w:tab/>
        <w:t>(2)</w:t>
      </w:r>
      <w:r>
        <w:tab/>
        <w:t>For inspection purposes an inspector may at any time stop and enter a vehicle other than a mobile home.</w:t>
      </w:r>
    </w:p>
    <w:p>
      <w:pPr>
        <w:pStyle w:val="Subsection"/>
      </w:pPr>
      <w:r>
        <w:tab/>
        <w:t>(3)</w:t>
      </w:r>
      <w:r>
        <w:tab/>
        <w:t>If under subsection (2) an inspector may stop a vehicle, the inspector may use any means that are reasonably necessary in the circumstances to do so.</w:t>
      </w:r>
    </w:p>
    <w:p>
      <w:pPr>
        <w:pStyle w:val="Subsection"/>
      </w:pPr>
      <w:r>
        <w:tab/>
        <w:t>(4)</w:t>
      </w:r>
      <w:r>
        <w:tab/>
        <w:t>Subsection (3) does not authorise the use of means that are likely to cause death or grievous bodily harm to any person, whether or not the person is in the vehicle.</w:t>
      </w:r>
    </w:p>
    <w:p>
      <w:pPr>
        <w:pStyle w:val="Subsection"/>
      </w:pPr>
      <w:r>
        <w:tab/>
        <w:t>(5)</w:t>
      </w:r>
      <w:r>
        <w:tab/>
        <w:t xml:space="preserve">An inspector who under subsection (2) stops a vehicle may — </w:t>
      </w:r>
    </w:p>
    <w:p>
      <w:pPr>
        <w:pStyle w:val="Indenta"/>
      </w:pPr>
      <w:r>
        <w:tab/>
        <w:t>(a)</w:t>
      </w:r>
      <w:r>
        <w:tab/>
        <w:t>detain the vehicle for a reasonable period; and</w:t>
      </w:r>
    </w:p>
    <w:p>
      <w:pPr>
        <w:pStyle w:val="Indenta"/>
      </w:pPr>
      <w:r>
        <w:tab/>
        <w:t>(b)</w:t>
      </w:r>
      <w:r>
        <w:tab/>
        <w:t>move the vehicle to another place suitable for carrying out an inspection.</w:t>
      </w:r>
    </w:p>
    <w:p>
      <w:pPr>
        <w:pStyle w:val="Heading5"/>
      </w:pPr>
      <w:bookmarkStart w:id="306" w:name="_Toc154742932"/>
      <w:r>
        <w:rPr>
          <w:rStyle w:val="CharSectno"/>
        </w:rPr>
        <w:t>235</w:t>
      </w:r>
      <w:r>
        <w:t>.</w:t>
      </w:r>
      <w:r>
        <w:tab/>
        <w:t>Application of CI Act s. 31</w:t>
      </w:r>
      <w:bookmarkEnd w:id="306"/>
    </w:p>
    <w:p>
      <w:pPr>
        <w:pStyle w:val="Subsection"/>
      </w:pPr>
      <w:r>
        <w:tab/>
      </w:r>
      <w:r>
        <w:tab/>
        <w:t xml:space="preserve">The CI Act section 31 (the </w:t>
      </w:r>
      <w:r>
        <w:rPr>
          <w:rStyle w:val="CharDefText"/>
        </w:rPr>
        <w:t>applied provision</w:t>
      </w:r>
      <w:r>
        <w:t xml:space="preserve">) applies, with all necessary modifications, to and in relation to the entry of a </w:t>
      </w:r>
      <w:r>
        <w:lastRenderedPageBreak/>
        <w:t>place under section 231(1)(a) or (c) or 233, or a vehicle under section 234(2), as if references in the applied provision to —</w:t>
      </w:r>
    </w:p>
    <w:p>
      <w:pPr>
        <w:pStyle w:val="Indenta"/>
      </w:pPr>
      <w:r>
        <w:tab/>
        <w:t>(a)</w:t>
      </w:r>
      <w:r>
        <w:tab/>
        <w:t>a place included references to a vehicle; and</w:t>
      </w:r>
    </w:p>
    <w:p>
      <w:pPr>
        <w:pStyle w:val="Indenta"/>
      </w:pPr>
      <w:r>
        <w:tab/>
        <w:t>(b)</w:t>
      </w:r>
      <w:r>
        <w:tab/>
        <w:t>an occupier included references to a person in charge of a vehicle; and</w:t>
      </w:r>
    </w:p>
    <w:p>
      <w:pPr>
        <w:pStyle w:val="Indenta"/>
      </w:pPr>
      <w:r>
        <w:tab/>
        <w:t>(c)</w:t>
      </w:r>
      <w:r>
        <w:tab/>
        <w:t>an officer were references to an inspector; and</w:t>
      </w:r>
    </w:p>
    <w:p>
      <w:pPr>
        <w:pStyle w:val="Indenta"/>
      </w:pPr>
      <w:r>
        <w:tab/>
        <w:t>(d)</w:t>
      </w:r>
      <w:r>
        <w:tab/>
        <w:t>a search warrant were references to an entry warrant; and</w:t>
      </w:r>
    </w:p>
    <w:p>
      <w:pPr>
        <w:pStyle w:val="Indenta"/>
      </w:pPr>
      <w:r>
        <w:tab/>
        <w:t>(e)</w:t>
      </w:r>
      <w:r>
        <w:tab/>
        <w:t>a search were references to an inspection.</w:t>
      </w:r>
    </w:p>
    <w:p>
      <w:pPr>
        <w:pStyle w:val="Heading5"/>
      </w:pPr>
      <w:bookmarkStart w:id="307" w:name="_Toc154742933"/>
      <w:r>
        <w:rPr>
          <w:rStyle w:val="CharSectno"/>
        </w:rPr>
        <w:t>236</w:t>
      </w:r>
      <w:r>
        <w:t>.</w:t>
      </w:r>
      <w:r>
        <w:tab/>
        <w:t>Other powers related to inspection</w:t>
      </w:r>
      <w:bookmarkEnd w:id="307"/>
    </w:p>
    <w:p>
      <w:pPr>
        <w:pStyle w:val="Subsection"/>
      </w:pPr>
      <w:r>
        <w:tab/>
      </w:r>
      <w:r>
        <w:tab/>
        <w:t xml:space="preserve">For inspection purposes an inspector may do any of the following — </w:t>
      </w:r>
    </w:p>
    <w:p>
      <w:pPr>
        <w:pStyle w:val="Indenta"/>
      </w:pPr>
      <w:r>
        <w:tab/>
        <w:t>(a)</w:t>
      </w:r>
      <w:r>
        <w:tab/>
        <w:t>take onto or into, and use on or in, a place or vehicle any equipment or facilities that are reasonably necessary in order to carry out the inspection;</w:t>
      </w:r>
    </w:p>
    <w:p>
      <w:pPr>
        <w:pStyle w:val="Indenta"/>
      </w:pPr>
      <w:r>
        <w:tab/>
        <w:t>(b)</w:t>
      </w:r>
      <w:r>
        <w:tab/>
        <w:t>make reasonable use of any equipment, facilities or services on or in a place or vehicle in order to carry out an inspection and for that purpose operate the equipment or facilities;</w:t>
      </w:r>
    </w:p>
    <w:p>
      <w:pPr>
        <w:pStyle w:val="Indenta"/>
      </w:pPr>
      <w:r>
        <w:tab/>
        <w:t>(c)</w:t>
      </w:r>
      <w:r>
        <w:tab/>
        <w:t xml:space="preserve">remain on or in a place or vehicle for as long as is reasonably necessary to carry out the inspection; </w:t>
      </w:r>
    </w:p>
    <w:p>
      <w:pPr>
        <w:pStyle w:val="Indenta"/>
      </w:pPr>
      <w:r>
        <w:tab/>
        <w:t>(d)</w:t>
      </w:r>
      <w:r>
        <w:tab/>
        <w:t>inspect and open any package, compartment, cupboard or container of any kind, and inspect its contents;</w:t>
      </w:r>
    </w:p>
    <w:p>
      <w:pPr>
        <w:pStyle w:val="Indenta"/>
      </w:pPr>
      <w:r>
        <w:tab/>
        <w:t>(e)</w:t>
      </w:r>
      <w:r>
        <w:tab/>
        <w:t>inspect any enclosure or similar structure on or in a place or vehicle;</w:t>
      </w:r>
    </w:p>
    <w:p>
      <w:pPr>
        <w:pStyle w:val="Indenta"/>
      </w:pPr>
      <w:r>
        <w:tab/>
        <w:t>(f)</w:t>
      </w:r>
      <w:r>
        <w:tab/>
        <w:t>photograph or otherwise make a record of a place or vehicle and any thing in or on the place or vehicle;</w:t>
      </w:r>
    </w:p>
    <w:p>
      <w:pPr>
        <w:pStyle w:val="Indenta"/>
      </w:pPr>
      <w:r>
        <w:tab/>
        <w:t>(g)</w:t>
      </w:r>
      <w:r>
        <w:tab/>
        <w:t>take samples or specimens of, or from, water or soil;</w:t>
      </w:r>
    </w:p>
    <w:p>
      <w:pPr>
        <w:pStyle w:val="Indenta"/>
      </w:pPr>
      <w:r>
        <w:tab/>
        <w:t>(h)</w:t>
      </w:r>
      <w:r>
        <w:tab/>
        <w:t>apply an identifier to any object;</w:t>
      </w:r>
    </w:p>
    <w:p>
      <w:pPr>
        <w:pStyle w:val="Indenta"/>
      </w:pPr>
      <w:r>
        <w:tab/>
        <w:t>(i)</w:t>
      </w:r>
      <w:r>
        <w:tab/>
        <w:t>survey and mark out land for any purposes relevant to carrying out the inspection;</w:t>
      </w:r>
    </w:p>
    <w:p>
      <w:pPr>
        <w:pStyle w:val="Indenta"/>
      </w:pPr>
      <w:r>
        <w:lastRenderedPageBreak/>
        <w:tab/>
        <w:t>(j)</w:t>
      </w:r>
      <w:r>
        <w:tab/>
        <w:t>label any thing.</w:t>
      </w:r>
    </w:p>
    <w:p>
      <w:pPr>
        <w:pStyle w:val="Heading5"/>
      </w:pPr>
      <w:bookmarkStart w:id="308" w:name="_Toc154742934"/>
      <w:r>
        <w:rPr>
          <w:rStyle w:val="CharSectno"/>
        </w:rPr>
        <w:t>237</w:t>
      </w:r>
      <w:r>
        <w:t>.</w:t>
      </w:r>
      <w:r>
        <w:tab/>
        <w:t>Obtaining records</w:t>
      </w:r>
      <w:bookmarkEnd w:id="308"/>
    </w:p>
    <w:p>
      <w:pPr>
        <w:pStyle w:val="Subsection"/>
      </w:pPr>
      <w:r>
        <w:tab/>
        <w:t>(1)</w:t>
      </w:r>
      <w:r>
        <w:tab/>
        <w:t xml:space="preserve">In this section — </w:t>
      </w:r>
    </w:p>
    <w:p>
      <w:pPr>
        <w:pStyle w:val="Defstart"/>
      </w:pPr>
      <w:r>
        <w:tab/>
      </w:r>
      <w:r>
        <w:rPr>
          <w:rStyle w:val="CharDefText"/>
        </w:rPr>
        <w:t>relevant record</w:t>
      </w:r>
      <w:r>
        <w:t xml:space="preserve"> means an instrument, publication or other record that contains information that is relevant to compliance with this Act.</w:t>
      </w:r>
    </w:p>
    <w:p>
      <w:pPr>
        <w:pStyle w:val="Subsection"/>
      </w:pPr>
      <w:r>
        <w:tab/>
        <w:t>(2)</w:t>
      </w:r>
      <w:r>
        <w:tab/>
        <w:t xml:space="preserve">For inspection purposes an inspector may do any of the following — </w:t>
      </w:r>
    </w:p>
    <w:p>
      <w:pPr>
        <w:pStyle w:val="Indenta"/>
      </w:pPr>
      <w:r>
        <w:tab/>
        <w:t>(a)</w:t>
      </w:r>
      <w:r>
        <w:tab/>
        <w:t>direct a person who has the custody or control of a relevant record to give the inspector the record or a copy of the record;</w:t>
      </w:r>
    </w:p>
    <w:p>
      <w:pPr>
        <w:pStyle w:val="Indenta"/>
      </w:pPr>
      <w:r>
        <w:tab/>
        <w:t>(b)</w:t>
      </w:r>
      <w:r>
        <w:tab/>
        <w:t>direct a person who has the custody or control of a record, or of a computer or other thing on which a relevant record is or may be stored to make or print a copy of the record or to operate the computer or thing;</w:t>
      </w:r>
    </w:p>
    <w:p>
      <w:pPr>
        <w:pStyle w:val="Indenta"/>
      </w:pPr>
      <w:r>
        <w:tab/>
        <w:t>(c)</w:t>
      </w:r>
      <w:r>
        <w:tab/>
        <w:t>operate a computer or other thing on which a relevant record is or may be stored;</w:t>
      </w:r>
    </w:p>
    <w:p>
      <w:pPr>
        <w:pStyle w:val="Indenta"/>
      </w:pPr>
      <w:r>
        <w:tab/>
        <w:t>(d)</w:t>
      </w:r>
      <w:r>
        <w:tab/>
        <w:t>direct a person who is or appears to be in control of a record that the inspector reasonably suspects is a relevant record to give the inspector a translation, code, password or other information necessary to gain access to or interpret and understand the record;</w:t>
      </w:r>
    </w:p>
    <w:p>
      <w:pPr>
        <w:pStyle w:val="Indenta"/>
      </w:pPr>
      <w:r>
        <w:tab/>
        <w:t>(e)</w:t>
      </w:r>
      <w:r>
        <w:tab/>
        <w:t>take extracts from, make copies of, download, print or photograph a record that the inspector reasonably suspects is a relevant record;</w:t>
      </w:r>
    </w:p>
    <w:p>
      <w:pPr>
        <w:pStyle w:val="Indenta"/>
      </w:pPr>
      <w:r>
        <w:tab/>
        <w:t>(f)</w:t>
      </w:r>
      <w:r>
        <w:tab/>
        <w:t>take reasonable measures to secure or protect a relevant record, or computer or other thing on which a relevant record is or may be stored, against damage or unauthorised removal or interference.</w:t>
      </w:r>
    </w:p>
    <w:p>
      <w:pPr>
        <w:pStyle w:val="Subsection"/>
      </w:pPr>
      <w:r>
        <w:tab/>
        <w:t>(3)</w:t>
      </w:r>
      <w:r>
        <w:tab/>
        <w:t>If an inspector is given a relevant record, the inspector must, if practicable, allow a person who is otherwise entitled to possession of the record to have reasonable access to it.</w:t>
      </w:r>
    </w:p>
    <w:p>
      <w:pPr>
        <w:pStyle w:val="Heading5"/>
      </w:pPr>
      <w:bookmarkStart w:id="309" w:name="_Toc154742935"/>
      <w:r>
        <w:rPr>
          <w:rStyle w:val="CharSectno"/>
        </w:rPr>
        <w:lastRenderedPageBreak/>
        <w:t>238</w:t>
      </w:r>
      <w:r>
        <w:t>.</w:t>
      </w:r>
      <w:r>
        <w:tab/>
        <w:t>Directions</w:t>
      </w:r>
      <w:bookmarkEnd w:id="309"/>
    </w:p>
    <w:p>
      <w:pPr>
        <w:pStyle w:val="Subsection"/>
      </w:pPr>
      <w:r>
        <w:tab/>
      </w:r>
      <w:r>
        <w:tab/>
        <w:t xml:space="preserve">For inspection purposes an inspector may do any of the following — </w:t>
      </w:r>
    </w:p>
    <w:p>
      <w:pPr>
        <w:pStyle w:val="Indenta"/>
      </w:pPr>
      <w:r>
        <w:tab/>
        <w:t>(a)</w:t>
      </w:r>
      <w:r>
        <w:tab/>
        <w:t xml:space="preserve">direct an occupier of a place or vehicle, or a person who is or appears to be in possession or control of a thing, to give to the inspector, orally or in writing — </w:t>
      </w:r>
    </w:p>
    <w:p>
      <w:pPr>
        <w:pStyle w:val="Indenti"/>
      </w:pPr>
      <w:r>
        <w:tab/>
        <w:t>(i)</w:t>
      </w:r>
      <w:r>
        <w:tab/>
        <w:t>any information in the person’s possession or control as to the name and address of the owner of the place, vehicle or thing; and</w:t>
      </w:r>
    </w:p>
    <w:p>
      <w:pPr>
        <w:pStyle w:val="Indenti"/>
      </w:pPr>
      <w:r>
        <w:tab/>
        <w:t>(ii)</w:t>
      </w:r>
      <w:r>
        <w:tab/>
        <w:t>any other information in the person’s possession or control that is relevant to an inspection;</w:t>
      </w:r>
    </w:p>
    <w:p>
      <w:pPr>
        <w:pStyle w:val="Indenta"/>
      </w:pPr>
      <w:r>
        <w:tab/>
        <w:t>(b)</w:t>
      </w:r>
      <w:r>
        <w:tab/>
        <w:t>direct an occupier of a place or vehicle to answer questions;</w:t>
      </w:r>
    </w:p>
    <w:p>
      <w:pPr>
        <w:pStyle w:val="Indenta"/>
      </w:pPr>
      <w:r>
        <w:tab/>
        <w:t>(c)</w:t>
      </w:r>
      <w:r>
        <w:tab/>
        <w:t>direct an occupier of a place or vehicle to open or unlock any thing in or on the place or vehicle to which the inspector requires access;</w:t>
      </w:r>
    </w:p>
    <w:p>
      <w:pPr>
        <w:pStyle w:val="Indenta"/>
      </w:pPr>
      <w:r>
        <w:tab/>
        <w:t>(d)</w:t>
      </w:r>
      <w:r>
        <w:tab/>
        <w:t>direct an occupier of a place to give the inspector a plan, or access to a plan, of the place;</w:t>
      </w:r>
    </w:p>
    <w:p>
      <w:pPr>
        <w:pStyle w:val="Indenta"/>
      </w:pPr>
      <w:r>
        <w:tab/>
        <w:t>(e)</w:t>
      </w:r>
      <w:r>
        <w:tab/>
        <w:t>direct an occupier of a place or vehicle, or a person who is or appears to be in possession or control of a thing, to give the inspector any assistance that the inspector reasonably requires to perform the inspector’s functions in relation to the place, vehicle or thing;</w:t>
      </w:r>
    </w:p>
    <w:p>
      <w:pPr>
        <w:pStyle w:val="Indenta"/>
      </w:pPr>
      <w:r>
        <w:tab/>
        <w:t>(f)</w:t>
      </w:r>
      <w:r>
        <w:tab/>
        <w:t>direct an occupier of a vehicle to move the vehicle to a place specified by the inspector for inspection of the vehicle;</w:t>
      </w:r>
    </w:p>
    <w:p>
      <w:pPr>
        <w:pStyle w:val="Indenta"/>
      </w:pPr>
      <w:r>
        <w:tab/>
        <w:t>(g)</w:t>
      </w:r>
      <w:r>
        <w:tab/>
        <w:t>direct a person who is or appears to be in control of a consignment of goods to move the consignment to a place specified by the inspector for inspection of the consignment;</w:t>
      </w:r>
    </w:p>
    <w:p>
      <w:pPr>
        <w:pStyle w:val="Indenta"/>
      </w:pPr>
      <w:r>
        <w:tab/>
        <w:t>(h)</w:t>
      </w:r>
      <w:r>
        <w:tab/>
        <w:t>direct a person who is or appears to be in control of an object to do anything reasonably necessary to identify the object;</w:t>
      </w:r>
    </w:p>
    <w:p>
      <w:pPr>
        <w:pStyle w:val="Indenta"/>
      </w:pPr>
      <w:r>
        <w:lastRenderedPageBreak/>
        <w:tab/>
        <w:t>(i)</w:t>
      </w:r>
      <w:r>
        <w:tab/>
        <w:t>direct a person who is or appears to be in control of any goods, vehicle, package or container to label the goods, vehicle, package or container;</w:t>
      </w:r>
    </w:p>
    <w:p>
      <w:pPr>
        <w:pStyle w:val="Indenta"/>
      </w:pPr>
      <w:r>
        <w:tab/>
        <w:t>(j)</w:t>
      </w:r>
      <w:r>
        <w:tab/>
        <w:t>direct a person who is or appears to be in control of an object to keep possession of that object until further directed by the inspector;</w:t>
      </w:r>
    </w:p>
    <w:p>
      <w:pPr>
        <w:pStyle w:val="Indenta"/>
      </w:pPr>
      <w:r>
        <w:tab/>
        <w:t>(k)</w:t>
      </w:r>
      <w:r>
        <w:tab/>
        <w:t>direct a person who is or appears to be in control of an object to leave that object at a place specified by the inspector until further directed by the inspector.</w:t>
      </w:r>
    </w:p>
    <w:p>
      <w:pPr>
        <w:pStyle w:val="Heading5"/>
      </w:pPr>
      <w:bookmarkStart w:id="310" w:name="_Toc154742936"/>
      <w:r>
        <w:rPr>
          <w:rStyle w:val="CharSectno"/>
        </w:rPr>
        <w:t>239</w:t>
      </w:r>
      <w:r>
        <w:t>.</w:t>
      </w:r>
      <w:r>
        <w:tab/>
        <w:t>Seizure of thing relevant to an offence</w:t>
      </w:r>
      <w:bookmarkEnd w:id="310"/>
    </w:p>
    <w:p>
      <w:pPr>
        <w:pStyle w:val="Subsection"/>
      </w:pPr>
      <w:r>
        <w:tab/>
        <w:t>(1)</w:t>
      </w:r>
      <w:r>
        <w:tab/>
        <w:t>This section does not authorise the seizure of Aboriginal ancestral remains.</w:t>
      </w:r>
    </w:p>
    <w:p>
      <w:pPr>
        <w:pStyle w:val="Subsection"/>
      </w:pPr>
      <w:r>
        <w:tab/>
        <w:t>(2)</w:t>
      </w:r>
      <w:r>
        <w:tab/>
        <w:t>If an inspector, when exercising a power under this Division, finds a thing relevant to an offence under this Act, the inspector may, subject to subsection (3), seize the thing.</w:t>
      </w:r>
    </w:p>
    <w:p>
      <w:pPr>
        <w:pStyle w:val="Subsection"/>
      </w:pPr>
      <w:r>
        <w:tab/>
        <w:t>(3)</w:t>
      </w:r>
      <w:r>
        <w:tab/>
        <w:t xml:space="preserve">The inspector may seize a thing under subsection (2) only if the inspector reasonably suspects any of the following — </w:t>
      </w:r>
    </w:p>
    <w:p>
      <w:pPr>
        <w:pStyle w:val="Indenta"/>
      </w:pPr>
      <w:r>
        <w:tab/>
        <w:t>(a)</w:t>
      </w:r>
      <w:r>
        <w:tab/>
        <w:t>that the thing has been unlawfully obtained;</w:t>
      </w:r>
    </w:p>
    <w:p>
      <w:pPr>
        <w:pStyle w:val="Indenta"/>
      </w:pPr>
      <w:r>
        <w:tab/>
        <w:t>(b)</w:t>
      </w:r>
      <w:r>
        <w:tab/>
        <w:t>that possession of the thing at that time and place by the person in possession of it is unlawful;</w:t>
      </w:r>
    </w:p>
    <w:p>
      <w:pPr>
        <w:pStyle w:val="Indenta"/>
      </w:pPr>
      <w:r>
        <w:tab/>
        <w:t>(c)</w:t>
      </w:r>
      <w:r>
        <w:tab/>
        <w:t xml:space="preserve">that it is necessary to seize the thing for any of the following purposes — </w:t>
      </w:r>
    </w:p>
    <w:p>
      <w:pPr>
        <w:pStyle w:val="Indenti"/>
      </w:pPr>
      <w:r>
        <w:tab/>
        <w:t>(i)</w:t>
      </w:r>
      <w:r>
        <w:tab/>
        <w:t>to prevent it from being concealed, damaged, destroyed, interfered with or lost;</w:t>
      </w:r>
    </w:p>
    <w:p>
      <w:pPr>
        <w:pStyle w:val="Indenti"/>
      </w:pPr>
      <w:r>
        <w:tab/>
        <w:t>(ii)</w:t>
      </w:r>
      <w:r>
        <w:tab/>
        <w:t>to preserve its evidentiary value;</w:t>
      </w:r>
    </w:p>
    <w:p>
      <w:pPr>
        <w:pStyle w:val="Indenti"/>
      </w:pPr>
      <w:r>
        <w:tab/>
        <w:t>(iii)</w:t>
      </w:r>
      <w:r>
        <w:tab/>
        <w:t>to prevent it from being used in the commission of another offence under this Act.</w:t>
      </w:r>
    </w:p>
    <w:p>
      <w:pPr>
        <w:pStyle w:val="Subsection"/>
      </w:pPr>
      <w:r>
        <w:tab/>
        <w:t>(4)</w:t>
      </w:r>
      <w:r>
        <w:tab/>
        <w:t xml:space="preserve">The CI Act sections 147, 148, 149 and 151 (the </w:t>
      </w:r>
      <w:r>
        <w:rPr>
          <w:rStyle w:val="CharDefText"/>
        </w:rPr>
        <w:t>applied provisions</w:t>
      </w:r>
      <w:r>
        <w:t xml:space="preserve">) apply, with all necessary modifications, to and in relation to — </w:t>
      </w:r>
    </w:p>
    <w:p>
      <w:pPr>
        <w:pStyle w:val="Indenta"/>
      </w:pPr>
      <w:r>
        <w:tab/>
        <w:t>(a)</w:t>
      </w:r>
      <w:r>
        <w:tab/>
        <w:t>the seizure of a thing under subsection (2); and</w:t>
      </w:r>
    </w:p>
    <w:p>
      <w:pPr>
        <w:pStyle w:val="Indenta"/>
      </w:pPr>
      <w:r>
        <w:lastRenderedPageBreak/>
        <w:tab/>
        <w:t>(b)</w:t>
      </w:r>
      <w:r>
        <w:tab/>
        <w:t>a thing that may be seized under subsection (2); and</w:t>
      </w:r>
    </w:p>
    <w:p>
      <w:pPr>
        <w:pStyle w:val="Indenta"/>
      </w:pPr>
      <w:r>
        <w:tab/>
        <w:t>(c)</w:t>
      </w:r>
      <w:r>
        <w:tab/>
        <w:t>a thing seized under subsection (2).</w:t>
      </w:r>
    </w:p>
    <w:p>
      <w:pPr>
        <w:pStyle w:val="Subsection"/>
      </w:pPr>
      <w:r>
        <w:tab/>
        <w:t>(5)</w:t>
      </w:r>
      <w:r>
        <w:tab/>
        <w:t>The applied provisions apply as if references in those provisions to an officer were references to an inspector.</w:t>
      </w:r>
    </w:p>
    <w:p>
      <w:pPr>
        <w:pStyle w:val="Subsection"/>
      </w:pPr>
      <w:r>
        <w:tab/>
        <w:t>(6)</w:t>
      </w:r>
      <w:r>
        <w:tab/>
        <w:t xml:space="preserve">If an inspector seizes a thing under subsection (2), the inspector must — </w:t>
      </w:r>
    </w:p>
    <w:p>
      <w:pPr>
        <w:pStyle w:val="Indenta"/>
      </w:pPr>
      <w:r>
        <w:tab/>
        <w:t>(a)</w:t>
      </w:r>
      <w:r>
        <w:tab/>
        <w:t xml:space="preserve">issue a receipt for the thing in the form approved by the CEO; and </w:t>
      </w:r>
    </w:p>
    <w:p>
      <w:pPr>
        <w:pStyle w:val="Indenta"/>
      </w:pPr>
      <w:r>
        <w:tab/>
        <w:t>(b)</w:t>
      </w:r>
      <w:r>
        <w:tab/>
        <w:t xml:space="preserve">either — </w:t>
      </w:r>
    </w:p>
    <w:p>
      <w:pPr>
        <w:pStyle w:val="Indenti"/>
      </w:pPr>
      <w:r>
        <w:tab/>
        <w:t>(i)</w:t>
      </w:r>
      <w:r>
        <w:tab/>
        <w:t>if the occupier of the place or vehicle is present — give the receipt to the occupier; or</w:t>
      </w:r>
    </w:p>
    <w:p>
      <w:pPr>
        <w:pStyle w:val="Indenti"/>
      </w:pPr>
      <w:r>
        <w:tab/>
        <w:t>(ii)</w:t>
      </w:r>
      <w:r>
        <w:tab/>
        <w:t>in any other case — leave the receipt at the place or in or on the vehicle in an envelope addressed to the occupier of the place or vehicle, or otherwise give notice of the receipt.</w:t>
      </w:r>
    </w:p>
    <w:p>
      <w:pPr>
        <w:pStyle w:val="Subsection"/>
      </w:pPr>
      <w:r>
        <w:tab/>
        <w:t>(7)</w:t>
      </w:r>
      <w:r>
        <w:tab/>
        <w:t>However, if it is not practicable to comply with subsection (6)(b)(i), the person may seize the thing and at the first reasonable opportunity leave, or otherwise give notice of, the receipt in accordance with subsection (6)(b)(ii).</w:t>
      </w:r>
    </w:p>
    <w:p>
      <w:pPr>
        <w:pStyle w:val="Subsection"/>
      </w:pPr>
      <w:r>
        <w:tab/>
        <w:t>(8)</w:t>
      </w:r>
      <w:r>
        <w:tab/>
        <w:t>The form prescribed for the CI Act section 147(1), as applied by subsection (4), may be modified as necessary for the purposes of this section.</w:t>
      </w:r>
    </w:p>
    <w:p>
      <w:pPr>
        <w:pStyle w:val="Heading5"/>
      </w:pPr>
      <w:bookmarkStart w:id="311" w:name="_Toc154742937"/>
      <w:r>
        <w:rPr>
          <w:rStyle w:val="CharSectno"/>
        </w:rPr>
        <w:t>240</w:t>
      </w:r>
      <w:r>
        <w:t>.</w:t>
      </w:r>
      <w:r>
        <w:tab/>
        <w:t>Security of seized things</w:t>
      </w:r>
      <w:bookmarkEnd w:id="311"/>
    </w:p>
    <w:p>
      <w:pPr>
        <w:pStyle w:val="Subsection"/>
      </w:pPr>
      <w:r>
        <w:tab/>
        <w:t>(1)</w:t>
      </w:r>
      <w:r>
        <w:tab/>
        <w:t>If, under section 239(2) or in the exercise of powers under the CI Act, an inspector seizes a thing, the inspector must take reasonable steps to ensure that the thing is kept in a secure manner.</w:t>
      </w:r>
    </w:p>
    <w:p>
      <w:pPr>
        <w:pStyle w:val="Subsection"/>
      </w:pPr>
      <w:r>
        <w:tab/>
        <w:t>(2)</w:t>
      </w:r>
      <w:r>
        <w:tab/>
        <w:t>A person must not move, tamper or otherwise interfere with a seized thing without the approval of an inspector.</w:t>
      </w:r>
    </w:p>
    <w:p>
      <w:pPr>
        <w:pStyle w:val="Penstart"/>
      </w:pPr>
      <w:r>
        <w:tab/>
        <w:t>Penalty for this subsection: a fine of $10 000.</w:t>
      </w:r>
    </w:p>
    <w:p>
      <w:pPr>
        <w:pStyle w:val="Heading5"/>
      </w:pPr>
      <w:bookmarkStart w:id="312" w:name="_Toc154742938"/>
      <w:r>
        <w:rPr>
          <w:rStyle w:val="CharSectno"/>
        </w:rPr>
        <w:lastRenderedPageBreak/>
        <w:t>241</w:t>
      </w:r>
      <w:r>
        <w:t>.</w:t>
      </w:r>
      <w:r>
        <w:tab/>
        <w:t>Dealing with seized things</w:t>
      </w:r>
      <w:bookmarkEnd w:id="312"/>
    </w:p>
    <w:p>
      <w:pPr>
        <w:pStyle w:val="Subsection"/>
      </w:pPr>
      <w:r>
        <w:tab/>
        <w:t>(1)</w:t>
      </w:r>
      <w:r>
        <w:tab/>
        <w:t xml:space="preserve">In this section — </w:t>
      </w:r>
    </w:p>
    <w:p>
      <w:pPr>
        <w:pStyle w:val="Defstart"/>
      </w:pPr>
      <w:r>
        <w:tab/>
      </w:r>
      <w:r>
        <w:rPr>
          <w:rStyle w:val="CharDefText"/>
        </w:rPr>
        <w:t>deal with</w:t>
      </w:r>
      <w:r>
        <w:t xml:space="preserve"> includes to preserve, treat, sell, give away, use and destroy.</w:t>
      </w:r>
    </w:p>
    <w:p>
      <w:pPr>
        <w:pStyle w:val="Subsection"/>
      </w:pPr>
      <w:r>
        <w:tab/>
        <w:t>(2)</w:t>
      </w:r>
      <w:r>
        <w:tab/>
        <w:t>If, under section 239(2) or in the exercise of powers under the CI Act, an inspector seizes a thing, and in the opinion of the inspector, the thing is likely to deteriorate if no action is taken to deal with it, the inspector may deal with the thing in accordance with the directions of the CEO.</w:t>
      </w:r>
    </w:p>
    <w:p>
      <w:pPr>
        <w:pStyle w:val="Subsection"/>
      </w:pPr>
      <w:r>
        <w:tab/>
        <w:t>(3)</w:t>
      </w:r>
      <w:r>
        <w:tab/>
        <w:t>Subsection (2) does not apply if the seized thing is an Aboriginal object except to the extent that it allows the object to be transferred to the ACH Council to be dealt with under section 66, whether or not the object is a secret or sacred object.</w:t>
      </w:r>
    </w:p>
    <w:p>
      <w:pPr>
        <w:pStyle w:val="Subsection"/>
      </w:pPr>
      <w:r>
        <w:tab/>
        <w:t>(4)</w:t>
      </w:r>
      <w:r>
        <w:tab/>
        <w:t xml:space="preserve">If a seized thing is sold under subsection (2), the proceeds of the sale, after the deduction of expenses incidental to the sale — </w:t>
      </w:r>
    </w:p>
    <w:p>
      <w:pPr>
        <w:pStyle w:val="Indenta"/>
      </w:pPr>
      <w:r>
        <w:tab/>
        <w:t>(a)</w:t>
      </w:r>
      <w:r>
        <w:tab/>
        <w:t>if subsection (5) applies — are to be paid to the person entitled to possession of the thing before it was seized; or</w:t>
      </w:r>
    </w:p>
    <w:p>
      <w:pPr>
        <w:pStyle w:val="Indenta"/>
      </w:pPr>
      <w:r>
        <w:tab/>
        <w:t>(b)</w:t>
      </w:r>
      <w:r>
        <w:tab/>
        <w:t>otherwise — are to be credited to the Aboriginal Cultural Heritage Account established under section 279(1).</w:t>
      </w:r>
    </w:p>
    <w:p>
      <w:pPr>
        <w:pStyle w:val="Subsection"/>
      </w:pPr>
      <w:r>
        <w:tab/>
        <w:t>(5)</w:t>
      </w:r>
      <w:r>
        <w:tab/>
        <w:t xml:space="preserve">This subsection applies if — </w:t>
      </w:r>
    </w:p>
    <w:p>
      <w:pPr>
        <w:pStyle w:val="Indenta"/>
      </w:pPr>
      <w:r>
        <w:tab/>
        <w:t>(a)</w:t>
      </w:r>
      <w:r>
        <w:tab/>
        <w:t>under section 239(2) or in the exercise of powers under the CI Act, a thing is seized in connection with an offence under this Act; and</w:t>
      </w:r>
    </w:p>
    <w:p>
      <w:pPr>
        <w:pStyle w:val="Indenta"/>
      </w:pPr>
      <w:r>
        <w:tab/>
        <w:t>(b)</w:t>
      </w:r>
      <w:r>
        <w:tab/>
        <w:t>the thing is sold under subsection (2); and</w:t>
      </w:r>
    </w:p>
    <w:p>
      <w:pPr>
        <w:pStyle w:val="Indenta"/>
      </w:pPr>
      <w:r>
        <w:tab/>
        <w:t>(c)</w:t>
      </w:r>
      <w:r>
        <w:tab/>
        <w:t>the decision is subsequently made not to commence a prosecution in respect of the offence or, after the prosecution has been completed, no person is convicted of the offence.</w:t>
      </w:r>
    </w:p>
    <w:p>
      <w:pPr>
        <w:pStyle w:val="Heading5"/>
      </w:pPr>
      <w:bookmarkStart w:id="313" w:name="_Toc154742939"/>
      <w:r>
        <w:rPr>
          <w:rStyle w:val="CharSectno"/>
        </w:rPr>
        <w:lastRenderedPageBreak/>
        <w:t>242</w:t>
      </w:r>
      <w:r>
        <w:t>.</w:t>
      </w:r>
      <w:r>
        <w:tab/>
        <w:t>Dealing with Aboriginal ancestral remains</w:t>
      </w:r>
      <w:bookmarkEnd w:id="313"/>
    </w:p>
    <w:p>
      <w:pPr>
        <w:pStyle w:val="Subsection"/>
      </w:pPr>
      <w:r>
        <w:tab/>
      </w:r>
      <w:r>
        <w:tab/>
        <w:t xml:space="preserve">If an inspector, when exercising a power under this Division, finds human remains that the inspector reasonably considers may be Aboriginal ancestral remains, the inspector must — </w:t>
      </w:r>
    </w:p>
    <w:p>
      <w:pPr>
        <w:pStyle w:val="Indenta"/>
      </w:pPr>
      <w:r>
        <w:tab/>
        <w:t>(a)</w:t>
      </w:r>
      <w:r>
        <w:tab/>
        <w:t>take reasonable steps to ensure that the human remains are kept in a secure manner; and</w:t>
      </w:r>
    </w:p>
    <w:p>
      <w:pPr>
        <w:pStyle w:val="Indenta"/>
      </w:pPr>
      <w:r>
        <w:tab/>
        <w:t>(b)</w:t>
      </w:r>
      <w:r>
        <w:tab/>
        <w:t>as soon as practicable, transfer the human remains into the custody of the ACH Council to be dealt with under section 60.</w:t>
      </w:r>
    </w:p>
    <w:p>
      <w:pPr>
        <w:pStyle w:val="Heading5"/>
      </w:pPr>
      <w:bookmarkStart w:id="314" w:name="_Toc154742940"/>
      <w:r>
        <w:rPr>
          <w:rStyle w:val="CharSectno"/>
        </w:rPr>
        <w:t>243</w:t>
      </w:r>
      <w:r>
        <w:t>.</w:t>
      </w:r>
      <w:r>
        <w:tab/>
        <w:t>Forensic examination</w:t>
      </w:r>
      <w:bookmarkEnd w:id="314"/>
    </w:p>
    <w:p>
      <w:pPr>
        <w:pStyle w:val="Subsection"/>
      </w:pPr>
      <w:r>
        <w:tab/>
        <w:t>(1)</w:t>
      </w:r>
      <w:r>
        <w:tab/>
        <w:t xml:space="preserve">In this section — </w:t>
      </w:r>
    </w:p>
    <w:p>
      <w:pPr>
        <w:pStyle w:val="Defstart"/>
      </w:pPr>
      <w:r>
        <w:tab/>
      </w:r>
      <w:r>
        <w:rPr>
          <w:rStyle w:val="CharDefText"/>
        </w:rPr>
        <w:t>forensic examination</w:t>
      </w:r>
      <w:r>
        <w:t xml:space="preserve">, of a sample, specimen or other thing, means any or all of the following — </w:t>
      </w:r>
    </w:p>
    <w:p>
      <w:pPr>
        <w:pStyle w:val="Defpara"/>
      </w:pPr>
      <w:r>
        <w:tab/>
        <w:t>(a)</w:t>
      </w:r>
      <w:r>
        <w:tab/>
        <w:t>to examine or operate it;</w:t>
      </w:r>
    </w:p>
    <w:p>
      <w:pPr>
        <w:pStyle w:val="Defpara"/>
      </w:pPr>
      <w:r>
        <w:tab/>
        <w:t>(b)</w:t>
      </w:r>
      <w:r>
        <w:tab/>
        <w:t>to photograph, measure or otherwise make a record of it;</w:t>
      </w:r>
    </w:p>
    <w:p>
      <w:pPr>
        <w:pStyle w:val="Defpara"/>
      </w:pPr>
      <w:r>
        <w:tab/>
        <w:t>(c)</w:t>
      </w:r>
      <w:r>
        <w:tab/>
        <w:t>to take an impression of it;</w:t>
      </w:r>
    </w:p>
    <w:p>
      <w:pPr>
        <w:pStyle w:val="Defpara"/>
      </w:pPr>
      <w:r>
        <w:tab/>
        <w:t>(d)</w:t>
      </w:r>
      <w:r>
        <w:tab/>
        <w:t>to take samples of or from it;</w:t>
      </w:r>
    </w:p>
    <w:p>
      <w:pPr>
        <w:pStyle w:val="Defpara"/>
      </w:pPr>
      <w:r>
        <w:tab/>
        <w:t>(e)</w:t>
      </w:r>
      <w:r>
        <w:tab/>
        <w:t>to do tests on it, or on any sample taken under paragraph (d), for forensic purposes.</w:t>
      </w:r>
    </w:p>
    <w:p>
      <w:pPr>
        <w:pStyle w:val="Subsection"/>
      </w:pPr>
      <w:r>
        <w:tab/>
        <w:t>(2)</w:t>
      </w:r>
      <w:r>
        <w:tab/>
        <w:t>If an inspector takes a sample or specimen under section 236(g) the inspector may do a forensic examination, or arrange for a forensic examination to be done, of the sample or specimen.</w:t>
      </w:r>
    </w:p>
    <w:p>
      <w:pPr>
        <w:pStyle w:val="Subsection"/>
      </w:pPr>
      <w:r>
        <w:tab/>
        <w:t>(3)</w:t>
      </w:r>
      <w:r>
        <w:tab/>
        <w:t>If an inspector, when exercising a power under this Division, finds a thing that may be seized under section 239(2), then whether or not the inspector seizes the thing, the inspector may do a forensic examination, or arrange for a forensic examination to be done, of the thing.</w:t>
      </w:r>
    </w:p>
    <w:p>
      <w:pPr>
        <w:pStyle w:val="Subsection"/>
      </w:pPr>
      <w:r>
        <w:tab/>
        <w:t>(4)</w:t>
      </w:r>
      <w:r>
        <w:tab/>
        <w:t>If it is reasonably necessary to do so in order to do a forensic examination, the sample, specimen or thing may, unless the thing is an Aboriginal object, be dismantled, damaged or destroyed.</w:t>
      </w:r>
    </w:p>
    <w:p>
      <w:pPr>
        <w:pStyle w:val="Subsection"/>
      </w:pPr>
      <w:r>
        <w:lastRenderedPageBreak/>
        <w:tab/>
        <w:t>(5)</w:t>
      </w:r>
      <w:r>
        <w:tab/>
        <w:t xml:space="preserve">The power in subsection (3) cannot be exercised in relation to a thing that may contain information that is privileged, as defined in the CI Act section 151(1), until under that section (as applied by section 239(4) of this Act) — </w:t>
      </w:r>
    </w:p>
    <w:p>
      <w:pPr>
        <w:pStyle w:val="Indenta"/>
      </w:pPr>
      <w:r>
        <w:tab/>
        <w:t>(a)</w:t>
      </w:r>
      <w:r>
        <w:tab/>
        <w:t>a decision has been made that the information is not privileged; or</w:t>
      </w:r>
    </w:p>
    <w:p>
      <w:pPr>
        <w:pStyle w:val="Indenta"/>
      </w:pPr>
      <w:r>
        <w:tab/>
        <w:t>(b)</w:t>
      </w:r>
      <w:r>
        <w:tab/>
        <w:t>an order has been made to enable the power to be exercised.</w:t>
      </w:r>
    </w:p>
    <w:p>
      <w:pPr>
        <w:pStyle w:val="Heading3"/>
      </w:pPr>
      <w:bookmarkStart w:id="315" w:name="_Toc154742941"/>
      <w:r>
        <w:rPr>
          <w:rStyle w:val="CharDivNo"/>
        </w:rPr>
        <w:t>Division 4</w:t>
      </w:r>
      <w:r>
        <w:t> — </w:t>
      </w:r>
      <w:r>
        <w:rPr>
          <w:rStyle w:val="CharDivText"/>
        </w:rPr>
        <w:t>Entry warrants</w:t>
      </w:r>
      <w:bookmarkEnd w:id="315"/>
    </w:p>
    <w:p>
      <w:pPr>
        <w:pStyle w:val="Heading5"/>
      </w:pPr>
      <w:bookmarkStart w:id="316" w:name="_Toc154742942"/>
      <w:r>
        <w:rPr>
          <w:rStyle w:val="CharSectno"/>
        </w:rPr>
        <w:t>244</w:t>
      </w:r>
      <w:r>
        <w:t>.</w:t>
      </w:r>
      <w:r>
        <w:tab/>
        <w:t>Applying for entry warrant</w:t>
      </w:r>
      <w:bookmarkEnd w:id="316"/>
    </w:p>
    <w:p>
      <w:pPr>
        <w:pStyle w:val="Subsection"/>
      </w:pPr>
      <w:r>
        <w:tab/>
        <w:t>(1)</w:t>
      </w:r>
      <w:r>
        <w:tab/>
        <w:t>An inspector may apply to a magistrate for an entry warrant authorising the entry of a place or vehicle for inspection purposes.</w:t>
      </w:r>
    </w:p>
    <w:p>
      <w:pPr>
        <w:pStyle w:val="Subsection"/>
      </w:pPr>
      <w:r>
        <w:tab/>
        <w:t>(2)</w:t>
      </w:r>
      <w:r>
        <w:tab/>
        <w:t>An inspector may apply for an entry warrant for a place or vehicle even if, under Division 3, an inspector may enter the place or vehicle without an entry warrant.</w:t>
      </w:r>
    </w:p>
    <w:p>
      <w:pPr>
        <w:pStyle w:val="Subsection"/>
      </w:pPr>
      <w:r>
        <w:tab/>
        <w:t>(3)</w:t>
      </w:r>
      <w:r>
        <w:tab/>
        <w:t>An application under subsection (1) must be made in accordance with section 245 and include the information, if any, prescribed for the purposes of this subsection.</w:t>
      </w:r>
    </w:p>
    <w:p>
      <w:pPr>
        <w:pStyle w:val="Heading5"/>
      </w:pPr>
      <w:bookmarkStart w:id="317" w:name="_Toc154742943"/>
      <w:r>
        <w:rPr>
          <w:rStyle w:val="CharSectno"/>
        </w:rPr>
        <w:t>245</w:t>
      </w:r>
      <w:r>
        <w:t>.</w:t>
      </w:r>
      <w:r>
        <w:tab/>
        <w:t>Making application for entry warrant</w:t>
      </w:r>
      <w:bookmarkEnd w:id="317"/>
    </w:p>
    <w:p>
      <w:pPr>
        <w:pStyle w:val="Subsection"/>
      </w:pPr>
      <w:r>
        <w:tab/>
        <w:t>(1)</w:t>
      </w:r>
      <w:r>
        <w:tab/>
        <w:t xml:space="preserve">In this section — </w:t>
      </w:r>
    </w:p>
    <w:p>
      <w:pPr>
        <w:pStyle w:val="Defstart"/>
      </w:pPr>
      <w:r>
        <w:tab/>
      </w:r>
      <w:r>
        <w:rPr>
          <w:rStyle w:val="CharDefText"/>
        </w:rPr>
        <w:t>application</w:t>
      </w:r>
      <w:r>
        <w:t xml:space="preserve"> means an application under section 244(1);</w:t>
      </w:r>
    </w:p>
    <w:p>
      <w:pPr>
        <w:pStyle w:val="Defstart"/>
      </w:pPr>
      <w:r>
        <w:tab/>
      </w:r>
      <w:r>
        <w:rPr>
          <w:rStyle w:val="CharDefText"/>
        </w:rPr>
        <w:t>remote communication</w:t>
      </w:r>
      <w:r>
        <w:t xml:space="preserve"> means any way of communicating at a distance, including by telephone, fax, radio, videoconferencing, email and other electronic means.</w:t>
      </w:r>
    </w:p>
    <w:p>
      <w:pPr>
        <w:pStyle w:val="Subsection"/>
      </w:pPr>
      <w:r>
        <w:tab/>
        <w:t>(2)</w:t>
      </w:r>
      <w:r>
        <w:tab/>
        <w:t>A reference in this section to making an application includes a reference to giving information in support of an application.</w:t>
      </w:r>
    </w:p>
    <w:p>
      <w:pPr>
        <w:pStyle w:val="Subsection"/>
        <w:keepNext/>
      </w:pPr>
      <w:r>
        <w:lastRenderedPageBreak/>
        <w:tab/>
        <w:t>(3)</w:t>
      </w:r>
      <w:r>
        <w:tab/>
        <w:t xml:space="preserve">An application must be made in person before a magistrate unless — </w:t>
      </w:r>
    </w:p>
    <w:p>
      <w:pPr>
        <w:pStyle w:val="Indenta"/>
      </w:pPr>
      <w:r>
        <w:tab/>
        <w:t>(a)</w:t>
      </w:r>
      <w:r>
        <w:tab/>
        <w:t>the entry warrant is needed urgently and the applicant reasonably suspects that a magistrate is not available within a reasonable distance of the applicant; or</w:t>
      </w:r>
    </w:p>
    <w:p>
      <w:pPr>
        <w:pStyle w:val="Indenta"/>
      </w:pPr>
      <w:r>
        <w:tab/>
        <w:t>(b)</w:t>
      </w:r>
      <w:r>
        <w:tab/>
        <w:t xml:space="preserve">the application, were it an application under the CI Act section 13, could be lodged electronically under the </w:t>
      </w:r>
      <w:r>
        <w:rPr>
          <w:i/>
        </w:rPr>
        <w:t>Courts and Tribunals (Electronic Processes Facilitation) Act 2013</w:t>
      </w:r>
      <w:r>
        <w:t xml:space="preserve"> Part 2.</w:t>
      </w:r>
    </w:p>
    <w:p>
      <w:pPr>
        <w:pStyle w:val="Subsection"/>
      </w:pPr>
      <w:r>
        <w:tab/>
        <w:t>(4)</w:t>
      </w:r>
      <w:r>
        <w:tab/>
        <w:t xml:space="preserve">If subsection (3)(a) or (b) apply — </w:t>
      </w:r>
    </w:p>
    <w:p>
      <w:pPr>
        <w:pStyle w:val="Indenta"/>
      </w:pPr>
      <w:r>
        <w:tab/>
        <w:t>(a)</w:t>
      </w:r>
      <w:r>
        <w:tab/>
        <w:t>the application may be made to a magistrate by remote communication; and</w:t>
      </w:r>
    </w:p>
    <w:p>
      <w:pPr>
        <w:pStyle w:val="Indenta"/>
      </w:pPr>
      <w:r>
        <w:tab/>
        <w:t>(b)</w:t>
      </w:r>
      <w:r>
        <w:tab/>
        <w:t>the magistrate may grant the application only if satisfied about the matters described in subsection (3)(a) or (b).</w:t>
      </w:r>
    </w:p>
    <w:p>
      <w:pPr>
        <w:pStyle w:val="Subsection"/>
      </w:pPr>
      <w:r>
        <w:tab/>
        <w:t>(5)</w:t>
      </w:r>
      <w:r>
        <w:tab/>
        <w:t xml:space="preserve">An application must be in writing unless — </w:t>
      </w:r>
    </w:p>
    <w:p>
      <w:pPr>
        <w:pStyle w:val="Indenta"/>
      </w:pPr>
      <w:r>
        <w:tab/>
        <w:t>(a)</w:t>
      </w:r>
      <w:r>
        <w:tab/>
        <w:t>the application is made by remote communication; and</w:t>
      </w:r>
    </w:p>
    <w:p>
      <w:pPr>
        <w:pStyle w:val="Indenta"/>
      </w:pPr>
      <w:r>
        <w:tab/>
        <w:t>(b)</w:t>
      </w:r>
      <w:r>
        <w:tab/>
        <w:t>it is not practicable to send the magistrate written material.</w:t>
      </w:r>
    </w:p>
    <w:p>
      <w:pPr>
        <w:pStyle w:val="Subsection"/>
      </w:pPr>
      <w:r>
        <w:tab/>
        <w:t>(6)</w:t>
      </w:r>
      <w:r>
        <w:tab/>
        <w:t xml:space="preserve">If subsection (5)(a) and (b) apply — </w:t>
      </w:r>
    </w:p>
    <w:p>
      <w:pPr>
        <w:pStyle w:val="Indenta"/>
      </w:pPr>
      <w:r>
        <w:tab/>
        <w:t>(a)</w:t>
      </w:r>
      <w:r>
        <w:tab/>
        <w:t>the application may be made orally; and</w:t>
      </w:r>
    </w:p>
    <w:p>
      <w:pPr>
        <w:pStyle w:val="Indenta"/>
      </w:pPr>
      <w:r>
        <w:tab/>
        <w:t>(b)</w:t>
      </w:r>
      <w:r>
        <w:tab/>
        <w:t xml:space="preserve">the magistrate must make a written record of — </w:t>
      </w:r>
    </w:p>
    <w:p>
      <w:pPr>
        <w:pStyle w:val="Indenti"/>
      </w:pPr>
      <w:r>
        <w:tab/>
        <w:t>(i)</w:t>
      </w:r>
      <w:r>
        <w:tab/>
        <w:t xml:space="preserve">the application; and </w:t>
      </w:r>
    </w:p>
    <w:p>
      <w:pPr>
        <w:pStyle w:val="Indenti"/>
      </w:pPr>
      <w:r>
        <w:tab/>
        <w:t>(ii)</w:t>
      </w:r>
      <w:r>
        <w:tab/>
        <w:t>any information given in support of the application.</w:t>
      </w:r>
    </w:p>
    <w:p>
      <w:pPr>
        <w:pStyle w:val="Subsection"/>
      </w:pPr>
      <w:r>
        <w:tab/>
        <w:t>(7)</w:t>
      </w:r>
      <w:r>
        <w:tab/>
        <w:t xml:space="preserve">An application must be made on oath unless — </w:t>
      </w:r>
    </w:p>
    <w:p>
      <w:pPr>
        <w:pStyle w:val="Indenta"/>
      </w:pPr>
      <w:r>
        <w:tab/>
        <w:t>(a)</w:t>
      </w:r>
      <w:r>
        <w:tab/>
        <w:t>the application is made by remote communication; and</w:t>
      </w:r>
    </w:p>
    <w:p>
      <w:pPr>
        <w:pStyle w:val="Indenta"/>
      </w:pPr>
      <w:r>
        <w:tab/>
        <w:t>(b)</w:t>
      </w:r>
      <w:r>
        <w:tab/>
        <w:t>it is not practicable for the magistrate to administer an oath to the applicant.</w:t>
      </w:r>
    </w:p>
    <w:p>
      <w:pPr>
        <w:pStyle w:val="Subsection"/>
        <w:keepNext/>
      </w:pPr>
      <w:r>
        <w:tab/>
        <w:t>(8)</w:t>
      </w:r>
      <w:r>
        <w:tab/>
        <w:t xml:space="preserve">If subsection (7)(a) and (b) apply — </w:t>
      </w:r>
    </w:p>
    <w:p>
      <w:pPr>
        <w:pStyle w:val="Indenta"/>
      </w:pPr>
      <w:r>
        <w:tab/>
        <w:t>(a)</w:t>
      </w:r>
      <w:r>
        <w:tab/>
        <w:t>the application may be made in an unsworn form; and</w:t>
      </w:r>
    </w:p>
    <w:p>
      <w:pPr>
        <w:pStyle w:val="Indenta"/>
        <w:keepNext/>
      </w:pPr>
      <w:r>
        <w:lastRenderedPageBreak/>
        <w:tab/>
        <w:t>(b)</w:t>
      </w:r>
      <w:r>
        <w:tab/>
        <w:t xml:space="preserve">if the magistrate issues an entry warrant, the applicant must, as soon as practicable, send the magistrate an affidavit verifying — </w:t>
      </w:r>
    </w:p>
    <w:p>
      <w:pPr>
        <w:pStyle w:val="Indenti"/>
      </w:pPr>
      <w:r>
        <w:tab/>
        <w:t>(i)</w:t>
      </w:r>
      <w:r>
        <w:tab/>
        <w:t xml:space="preserve">the application; and </w:t>
      </w:r>
    </w:p>
    <w:p>
      <w:pPr>
        <w:pStyle w:val="Indenti"/>
      </w:pPr>
      <w:r>
        <w:tab/>
        <w:t>(ii)</w:t>
      </w:r>
      <w:r>
        <w:tab/>
        <w:t>any information given in support of the application.</w:t>
      </w:r>
    </w:p>
    <w:p>
      <w:pPr>
        <w:pStyle w:val="Heading5"/>
      </w:pPr>
      <w:bookmarkStart w:id="318" w:name="_Toc154742944"/>
      <w:r>
        <w:rPr>
          <w:rStyle w:val="CharSectno"/>
        </w:rPr>
        <w:t>246</w:t>
      </w:r>
      <w:r>
        <w:t>.</w:t>
      </w:r>
      <w:r>
        <w:tab/>
        <w:t>Further provisions relating to application for entry warrant</w:t>
      </w:r>
      <w:bookmarkEnd w:id="318"/>
    </w:p>
    <w:p>
      <w:pPr>
        <w:pStyle w:val="Subsection"/>
      </w:pPr>
      <w:r>
        <w:tab/>
        <w:t>(1)</w:t>
      </w:r>
      <w:r>
        <w:tab/>
        <w:t xml:space="preserve">If, on an application for an entry warrant under section 244(1) made by remote communication under section 245 a magistrate issues an entry warrant, the magistrate must, if practicable, send a copy of the original warrant to the applicant by remote communication, but otherwise — </w:t>
      </w:r>
    </w:p>
    <w:p>
      <w:pPr>
        <w:pStyle w:val="Indenta"/>
      </w:pPr>
      <w:r>
        <w:tab/>
        <w:t>(a)</w:t>
      </w:r>
      <w:r>
        <w:tab/>
        <w:t>the magistrate must send to the applicant by remote communication any information that must be set out in the warrant; and</w:t>
      </w:r>
    </w:p>
    <w:p>
      <w:pPr>
        <w:pStyle w:val="Indenta"/>
      </w:pPr>
      <w:r>
        <w:tab/>
        <w:t>(b)</w:t>
      </w:r>
      <w:r>
        <w:tab/>
        <w:t xml:space="preserve">the applicant must — </w:t>
      </w:r>
    </w:p>
    <w:p>
      <w:pPr>
        <w:pStyle w:val="Indenti"/>
      </w:pPr>
      <w:r>
        <w:tab/>
        <w:t>(i)</w:t>
      </w:r>
      <w:r>
        <w:tab/>
        <w:t>complete a form of warrant with the information received; and</w:t>
      </w:r>
    </w:p>
    <w:p>
      <w:pPr>
        <w:pStyle w:val="Indenti"/>
      </w:pPr>
      <w:r>
        <w:tab/>
        <w:t>(ii)</w:t>
      </w:r>
      <w:r>
        <w:tab/>
        <w:t xml:space="preserve">give the magistrate a copy of the form as soon as practicable after completing the form; </w:t>
      </w:r>
    </w:p>
    <w:p>
      <w:pPr>
        <w:pStyle w:val="Indenta"/>
      </w:pPr>
      <w:r>
        <w:tab/>
      </w:r>
      <w:r>
        <w:tab/>
        <w:t>and</w:t>
      </w:r>
    </w:p>
    <w:p>
      <w:pPr>
        <w:pStyle w:val="Indenta"/>
      </w:pPr>
      <w:r>
        <w:tab/>
        <w:t>(c)</w:t>
      </w:r>
      <w:r>
        <w:tab/>
        <w:t xml:space="preserve">the magistrate must — </w:t>
      </w:r>
    </w:p>
    <w:p>
      <w:pPr>
        <w:pStyle w:val="Indenti"/>
      </w:pPr>
      <w:r>
        <w:tab/>
        <w:t>(i)</w:t>
      </w:r>
      <w:r>
        <w:tab/>
        <w:t xml:space="preserve">attach the copy of the form to the original warrant and any affidavit received from the applicant; and </w:t>
      </w:r>
    </w:p>
    <w:p>
      <w:pPr>
        <w:pStyle w:val="Indenti"/>
      </w:pPr>
      <w:r>
        <w:tab/>
        <w:t>(ii)</w:t>
      </w:r>
      <w:r>
        <w:tab/>
        <w:t>make them available for collection by the applicant.</w:t>
      </w:r>
    </w:p>
    <w:p>
      <w:pPr>
        <w:pStyle w:val="Subsection"/>
      </w:pPr>
      <w:r>
        <w:tab/>
        <w:t>(2)</w:t>
      </w:r>
      <w:r>
        <w:tab/>
        <w:t>The copy of the original warrant sent, or the form of the warrant completed, as the case may be, under subsection (1) has the same force as the original warrant.</w:t>
      </w:r>
    </w:p>
    <w:p>
      <w:pPr>
        <w:pStyle w:val="Subsection"/>
      </w:pPr>
      <w:r>
        <w:lastRenderedPageBreak/>
        <w:tab/>
        <w:t>(3)</w:t>
      </w:r>
      <w:r>
        <w:tab/>
        <w:t>If an applicant contravenes subsection (1)(b) or section 245(8)(b), any evidence obtained under the entry warrant is not admissible in proceedings in a court or the State Administrative Tribunal.</w:t>
      </w:r>
    </w:p>
    <w:p>
      <w:pPr>
        <w:pStyle w:val="Heading5"/>
      </w:pPr>
      <w:bookmarkStart w:id="319" w:name="_Toc154742945"/>
      <w:r>
        <w:rPr>
          <w:rStyle w:val="CharSectno"/>
        </w:rPr>
        <w:t>247</w:t>
      </w:r>
      <w:r>
        <w:t>.</w:t>
      </w:r>
      <w:r>
        <w:tab/>
        <w:t>Issuing entry warrant</w:t>
      </w:r>
      <w:bookmarkEnd w:id="319"/>
    </w:p>
    <w:p>
      <w:pPr>
        <w:pStyle w:val="Subsection"/>
      </w:pPr>
      <w:r>
        <w:tab/>
        <w:t>(1)</w:t>
      </w:r>
      <w:r>
        <w:tab/>
        <w:t>A magistrate may issue an entry warrant only if satisfied that, for inspection purposes, it is necessary for an inspector to enter a place or vehicle.</w:t>
      </w:r>
    </w:p>
    <w:p>
      <w:pPr>
        <w:pStyle w:val="Subsection"/>
      </w:pPr>
      <w:r>
        <w:tab/>
        <w:t>(2)</w:t>
      </w:r>
      <w:r>
        <w:tab/>
        <w:t xml:space="preserve">An entry warrant must contain the following information — </w:t>
      </w:r>
    </w:p>
    <w:p>
      <w:pPr>
        <w:pStyle w:val="Indenta"/>
      </w:pPr>
      <w:r>
        <w:tab/>
        <w:t>(a)</w:t>
      </w:r>
      <w:r>
        <w:tab/>
        <w:t>a reasonably particular description of the place or vehicle to which it relates;</w:t>
      </w:r>
    </w:p>
    <w:p>
      <w:pPr>
        <w:pStyle w:val="Indenta"/>
      </w:pPr>
      <w:r>
        <w:tab/>
        <w:t>(b)</w:t>
      </w:r>
      <w:r>
        <w:tab/>
        <w:t>a reasonably particular description of the inspection purposes for which entry to the place or vehicle is required;</w:t>
      </w:r>
    </w:p>
    <w:p>
      <w:pPr>
        <w:pStyle w:val="Indenta"/>
      </w:pPr>
      <w:r>
        <w:tab/>
        <w:t>(c)</w:t>
      </w:r>
      <w:r>
        <w:tab/>
        <w:t>the period, not exceeding 30 days, during which it may be executed;</w:t>
      </w:r>
    </w:p>
    <w:p>
      <w:pPr>
        <w:pStyle w:val="Indenta"/>
      </w:pPr>
      <w:r>
        <w:tab/>
        <w:t>(d)</w:t>
      </w:r>
      <w:r>
        <w:tab/>
        <w:t>the name of the magistrate who issued it;</w:t>
      </w:r>
    </w:p>
    <w:p>
      <w:pPr>
        <w:pStyle w:val="Indenta"/>
      </w:pPr>
      <w:r>
        <w:tab/>
        <w:t>(e)</w:t>
      </w:r>
      <w:r>
        <w:tab/>
        <w:t>the date and time when it was issued.</w:t>
      </w:r>
    </w:p>
    <w:p>
      <w:pPr>
        <w:pStyle w:val="Subsection"/>
      </w:pPr>
      <w:r>
        <w:tab/>
        <w:t>(3)</w:t>
      </w:r>
      <w:r>
        <w:tab/>
        <w:t>If a magistrate refuses to issue an entry warrant, the magistrate must record on the application the fact of, the date and time of, and the reasons for, the refusal.</w:t>
      </w:r>
    </w:p>
    <w:p>
      <w:pPr>
        <w:pStyle w:val="Heading5"/>
      </w:pPr>
      <w:bookmarkStart w:id="320" w:name="_Toc154742946"/>
      <w:r>
        <w:rPr>
          <w:rStyle w:val="CharSectno"/>
        </w:rPr>
        <w:t>248</w:t>
      </w:r>
      <w:r>
        <w:t>.</w:t>
      </w:r>
      <w:r>
        <w:tab/>
        <w:t>Effect of entry warrant</w:t>
      </w:r>
      <w:bookmarkEnd w:id="320"/>
    </w:p>
    <w:p>
      <w:pPr>
        <w:pStyle w:val="Subsection"/>
      </w:pPr>
      <w:r>
        <w:tab/>
        <w:t>(1)</w:t>
      </w:r>
      <w:r>
        <w:tab/>
        <w:t>An entry warrant has effect according to its content and this section.</w:t>
      </w:r>
    </w:p>
    <w:p>
      <w:pPr>
        <w:pStyle w:val="Subsection"/>
      </w:pPr>
      <w:r>
        <w:tab/>
        <w:t>(2)</w:t>
      </w:r>
      <w:r>
        <w:tab/>
        <w:t>An entry warrant comes into force when it is issued by the magistrate.</w:t>
      </w:r>
    </w:p>
    <w:p>
      <w:pPr>
        <w:pStyle w:val="Subsection"/>
      </w:pPr>
      <w:r>
        <w:tab/>
        <w:t>(3)</w:t>
      </w:r>
      <w:r>
        <w:tab/>
        <w:t xml:space="preserve">An entry warrant authorises the inspector executing the warrant — </w:t>
      </w:r>
    </w:p>
    <w:p>
      <w:pPr>
        <w:pStyle w:val="Indenta"/>
      </w:pPr>
      <w:r>
        <w:tab/>
        <w:t>(a)</w:t>
      </w:r>
      <w:r>
        <w:tab/>
        <w:t>to enter the place or vehicle described in the warrant; and</w:t>
      </w:r>
    </w:p>
    <w:p>
      <w:pPr>
        <w:pStyle w:val="Indenta"/>
      </w:pPr>
      <w:r>
        <w:lastRenderedPageBreak/>
        <w:tab/>
        <w:t>(b)</w:t>
      </w:r>
      <w:r>
        <w:tab/>
        <w:t>to exercise the powers conferred by Division 3.</w:t>
      </w:r>
    </w:p>
    <w:p>
      <w:pPr>
        <w:pStyle w:val="Heading5"/>
      </w:pPr>
      <w:bookmarkStart w:id="321" w:name="_Toc154742947"/>
      <w:r>
        <w:rPr>
          <w:rStyle w:val="CharSectno"/>
        </w:rPr>
        <w:t>249</w:t>
      </w:r>
      <w:r>
        <w:t>.</w:t>
      </w:r>
      <w:r>
        <w:tab/>
        <w:t>Execution of entry warrant</w:t>
      </w:r>
      <w:bookmarkEnd w:id="321"/>
    </w:p>
    <w:p>
      <w:pPr>
        <w:pStyle w:val="Subsection"/>
      </w:pPr>
      <w:r>
        <w:tab/>
        <w:t>(1)</w:t>
      </w:r>
      <w:r>
        <w:tab/>
        <w:t>An entry warrant may be executed by the inspector to whom it is issued or by any other inspector.</w:t>
      </w:r>
    </w:p>
    <w:p>
      <w:pPr>
        <w:pStyle w:val="Subsection"/>
      </w:pPr>
      <w:r>
        <w:tab/>
        <w:t>(2)</w:t>
      </w:r>
      <w:r>
        <w:tab/>
        <w:t>An inspector executing an entry warrant must, at the reasonable request of a person apparently in charge of the place or vehicle to which the warrant relates, produce the warrant.</w:t>
      </w:r>
    </w:p>
    <w:p>
      <w:pPr>
        <w:pStyle w:val="Heading3"/>
      </w:pPr>
      <w:bookmarkStart w:id="322" w:name="_Toc154742948"/>
      <w:r>
        <w:rPr>
          <w:rStyle w:val="CharDivNo"/>
        </w:rPr>
        <w:t>Division 5</w:t>
      </w:r>
      <w:r>
        <w:t> — </w:t>
      </w:r>
      <w:r>
        <w:rPr>
          <w:rStyle w:val="CharDivText"/>
        </w:rPr>
        <w:t>Other provisions</w:t>
      </w:r>
      <w:bookmarkEnd w:id="322"/>
    </w:p>
    <w:p>
      <w:pPr>
        <w:pStyle w:val="Heading5"/>
      </w:pPr>
      <w:bookmarkStart w:id="323" w:name="_Toc154742949"/>
      <w:r>
        <w:rPr>
          <w:rStyle w:val="CharSectno"/>
        </w:rPr>
        <w:t>250</w:t>
      </w:r>
      <w:r>
        <w:t>.</w:t>
      </w:r>
      <w:r>
        <w:tab/>
        <w:t>Direction may be given orally or in writing</w:t>
      </w:r>
      <w:bookmarkEnd w:id="323"/>
    </w:p>
    <w:p>
      <w:pPr>
        <w:pStyle w:val="Subsection"/>
      </w:pPr>
      <w:r>
        <w:tab/>
        <w:t>(1)</w:t>
      </w:r>
      <w:r>
        <w:tab/>
        <w:t>A direction under this Part may be given by an inspector orally or in writing.</w:t>
      </w:r>
    </w:p>
    <w:p>
      <w:pPr>
        <w:pStyle w:val="Subsection"/>
      </w:pPr>
      <w:r>
        <w:tab/>
        <w:t>(2)</w:t>
      </w:r>
      <w:r>
        <w:tab/>
        <w:t>A direction that is given orally must be confirmed in writing within 5 business days after it is given, unless within that period it is complied with or cancelled.</w:t>
      </w:r>
    </w:p>
    <w:p>
      <w:pPr>
        <w:pStyle w:val="Subsection"/>
      </w:pPr>
      <w:r>
        <w:tab/>
        <w:t>(3)</w:t>
      </w:r>
      <w:r>
        <w:tab/>
        <w:t>Failure to comply with subsection (2) does not invalidate the direction.</w:t>
      </w:r>
    </w:p>
    <w:p>
      <w:pPr>
        <w:pStyle w:val="Heading5"/>
      </w:pPr>
      <w:bookmarkStart w:id="324" w:name="_Toc154742950"/>
      <w:r>
        <w:rPr>
          <w:rStyle w:val="CharSectno"/>
        </w:rPr>
        <w:t>251</w:t>
      </w:r>
      <w:r>
        <w:t>.</w:t>
      </w:r>
      <w:r>
        <w:tab/>
        <w:t>Time and place for compliance with direction</w:t>
      </w:r>
      <w:bookmarkEnd w:id="324"/>
    </w:p>
    <w:p>
      <w:pPr>
        <w:pStyle w:val="Subsection"/>
      </w:pPr>
      <w:r>
        <w:tab/>
      </w:r>
      <w:r>
        <w:tab/>
        <w:t>An inspector may specify the date and time when, and place where, a direction given under this Part must be complied with.</w:t>
      </w:r>
    </w:p>
    <w:p>
      <w:pPr>
        <w:pStyle w:val="Heading5"/>
      </w:pPr>
      <w:bookmarkStart w:id="325" w:name="_Toc154742951"/>
      <w:r>
        <w:t>252.</w:t>
      </w:r>
      <w:r>
        <w:tab/>
        <w:t>Contravention of directions</w:t>
      </w:r>
      <w:bookmarkEnd w:id="325"/>
    </w:p>
    <w:p>
      <w:pPr>
        <w:pStyle w:val="Subsection"/>
      </w:pPr>
      <w:r>
        <w:tab/>
      </w:r>
      <w:r>
        <w:tab/>
        <w:t>A person must not, without reasonable excuse, contravene a direction given to the person by an inspector under this Part .</w:t>
      </w:r>
    </w:p>
    <w:p>
      <w:pPr>
        <w:pStyle w:val="Penstart"/>
      </w:pPr>
      <w:r>
        <w:tab/>
        <w:t>Penalty: a fine of $10 000.</w:t>
      </w:r>
    </w:p>
    <w:p>
      <w:pPr>
        <w:pStyle w:val="Heading5"/>
      </w:pPr>
      <w:bookmarkStart w:id="326" w:name="_Toc154742952"/>
      <w:r>
        <w:rPr>
          <w:rStyle w:val="CharSectno"/>
        </w:rPr>
        <w:t>253</w:t>
      </w:r>
      <w:r>
        <w:t>.</w:t>
      </w:r>
      <w:r>
        <w:tab/>
        <w:t>Exercise of power may be recorded</w:t>
      </w:r>
      <w:bookmarkEnd w:id="326"/>
    </w:p>
    <w:p>
      <w:pPr>
        <w:pStyle w:val="Subsection"/>
      </w:pPr>
      <w:r>
        <w:tab/>
      </w:r>
      <w:r>
        <w:tab/>
        <w:t>An inspector may record the exercise of a power under this Act, including by making an audiovisual recording.</w:t>
      </w:r>
    </w:p>
    <w:p>
      <w:pPr>
        <w:pStyle w:val="Heading5"/>
      </w:pPr>
      <w:bookmarkStart w:id="327" w:name="_Toc154742953"/>
      <w:r>
        <w:rPr>
          <w:rStyle w:val="CharSectno"/>
        </w:rPr>
        <w:lastRenderedPageBreak/>
        <w:t>254</w:t>
      </w:r>
      <w:r>
        <w:t>.</w:t>
      </w:r>
      <w:r>
        <w:tab/>
        <w:t>Assistance to exercise powers</w:t>
      </w:r>
      <w:bookmarkEnd w:id="327"/>
    </w:p>
    <w:p>
      <w:pPr>
        <w:pStyle w:val="Subsection"/>
      </w:pPr>
      <w:r>
        <w:tab/>
        <w:t>(1)</w:t>
      </w:r>
      <w:r>
        <w:tab/>
        <w:t>An inspector exercising a power under this Act may authorise as many other persons to assist in exercising the power as are reasonably necessary in the circumstances.</w:t>
      </w:r>
    </w:p>
    <w:p>
      <w:pPr>
        <w:pStyle w:val="Subsection"/>
      </w:pPr>
      <w:r>
        <w:tab/>
        <w:t>(2)</w:t>
      </w:r>
      <w:r>
        <w:tab/>
        <w:t>A person who, under subsection (1), is authorised by an inspector to assist in exercising a power must obey any lawful and reasonable direction given to the person by the inspector when assisting in exercising the power.</w:t>
      </w:r>
    </w:p>
    <w:p>
      <w:pPr>
        <w:pStyle w:val="Subsection"/>
      </w:pPr>
      <w:r>
        <w:tab/>
        <w:t>(3)</w:t>
      </w:r>
      <w:r>
        <w:tab/>
        <w:t>For the purposes of section 305, a person who assists in exercising a power under this Act, having been authorised under subsection (1) by an inspector to do so, is taken to be performing a function under this Act.</w:t>
      </w:r>
    </w:p>
    <w:p>
      <w:pPr>
        <w:pStyle w:val="Subsection"/>
      </w:pPr>
      <w:r>
        <w:tab/>
        <w:t>(4)</w:t>
      </w:r>
      <w:r>
        <w:tab/>
        <w:t>The protection from liability given to a person under subsection (3) does not extend to anything done or omitted to be done by the person in contravention of a lawful and reasonable direction referred to in subsection (2).</w:t>
      </w:r>
    </w:p>
    <w:p>
      <w:pPr>
        <w:pStyle w:val="Heading5"/>
      </w:pPr>
      <w:bookmarkStart w:id="328" w:name="_Toc154742954"/>
      <w:r>
        <w:rPr>
          <w:rStyle w:val="CharSectno"/>
        </w:rPr>
        <w:t>255</w:t>
      </w:r>
      <w:r>
        <w:t>.</w:t>
      </w:r>
      <w:r>
        <w:tab/>
        <w:t>Application of CI Act s. 154 and 155</w:t>
      </w:r>
      <w:bookmarkEnd w:id="328"/>
    </w:p>
    <w:p>
      <w:pPr>
        <w:pStyle w:val="Subsection"/>
      </w:pPr>
      <w:r>
        <w:tab/>
      </w:r>
      <w:r>
        <w:tab/>
        <w:t xml:space="preserve">The CI Act sections 154 and 155 apply, with all necessary modifications, to and in relation to a thing seized under section 239(2) as if references in those provisions to — </w:t>
      </w:r>
    </w:p>
    <w:p>
      <w:pPr>
        <w:pStyle w:val="Indenta"/>
      </w:pPr>
      <w:r>
        <w:tab/>
        <w:t>(a)</w:t>
      </w:r>
      <w:r>
        <w:tab/>
        <w:t>an authorisation under that Act were references to an entry warrant; and</w:t>
      </w:r>
    </w:p>
    <w:p>
      <w:pPr>
        <w:pStyle w:val="Indenta"/>
      </w:pPr>
      <w:r>
        <w:tab/>
        <w:t>(b)</w:t>
      </w:r>
      <w:r>
        <w:tab/>
        <w:t>a power conferred by, or a requirement of, that Act were references to a power conferred by, or a requirement of, this Act.</w:t>
      </w:r>
    </w:p>
    <w:p>
      <w:pPr>
        <w:pStyle w:val="Heading5"/>
      </w:pPr>
      <w:bookmarkStart w:id="329" w:name="_Toc154742955"/>
      <w:r>
        <w:rPr>
          <w:rStyle w:val="CharSectno"/>
        </w:rPr>
        <w:t>256</w:t>
      </w:r>
      <w:r>
        <w:t>.</w:t>
      </w:r>
      <w:r>
        <w:tab/>
        <w:t>Obstruction of inspector</w:t>
      </w:r>
      <w:bookmarkEnd w:id="329"/>
    </w:p>
    <w:p>
      <w:pPr>
        <w:pStyle w:val="Subsection"/>
      </w:pPr>
      <w:r>
        <w:tab/>
      </w:r>
      <w:r>
        <w:tab/>
        <w:t>A person must not obstruct an inspector, or a person assisting an inspector, in the exercise or attempted exercise of a power under this Act.</w:t>
      </w:r>
    </w:p>
    <w:p>
      <w:pPr>
        <w:pStyle w:val="Penstart"/>
      </w:pPr>
      <w:r>
        <w:tab/>
        <w:t>Penalty: a fine of $20 000.</w:t>
      </w:r>
    </w:p>
    <w:p>
      <w:pPr>
        <w:pStyle w:val="Heading5"/>
      </w:pPr>
      <w:bookmarkStart w:id="330" w:name="_Toc154742956"/>
      <w:r>
        <w:rPr>
          <w:rStyle w:val="CharSectno"/>
        </w:rPr>
        <w:lastRenderedPageBreak/>
        <w:t>257</w:t>
      </w:r>
      <w:r>
        <w:t>.</w:t>
      </w:r>
      <w:r>
        <w:tab/>
        <w:t>Self</w:t>
      </w:r>
      <w:r>
        <w:noBreakHyphen/>
        <w:t>incrimination not an excuse</w:t>
      </w:r>
      <w:bookmarkEnd w:id="330"/>
    </w:p>
    <w:p>
      <w:pPr>
        <w:pStyle w:val="Subsection"/>
      </w:pPr>
      <w:r>
        <w:tab/>
        <w:t>(1)</w:t>
      </w:r>
      <w:r>
        <w:tab/>
        <w:t>An individual is not excused from complying with a direction under this Part to provide information or answer a question, or to produce a record or thing, on the ground that the information, answer, record or thing might incriminate the individual or make the individual liable to a penalty.</w:t>
      </w:r>
    </w:p>
    <w:p>
      <w:pPr>
        <w:pStyle w:val="Subsection"/>
      </w:pPr>
      <w:r>
        <w:tab/>
        <w:t>(2)</w:t>
      </w:r>
      <w:r>
        <w:tab/>
        <w:t>However, any information or answer provided, or document or thing produced, by an individual in compliance with a direction under this Part is not admissible as evidence in any proceedings against the individual other than proceedings for perjury or an offence under section 304(1).</w:t>
      </w:r>
    </w:p>
    <w:p>
      <w:pPr>
        <w:pStyle w:val="Heading5"/>
      </w:pPr>
      <w:bookmarkStart w:id="331" w:name="_Toc154742957"/>
      <w:r>
        <w:rPr>
          <w:rStyle w:val="CharSectno"/>
        </w:rPr>
        <w:t>258</w:t>
      </w:r>
      <w:r>
        <w:t>.</w:t>
      </w:r>
      <w:r>
        <w:tab/>
        <w:t>Orders for forfeiture or disposal of seized things</w:t>
      </w:r>
      <w:bookmarkEnd w:id="331"/>
    </w:p>
    <w:p>
      <w:pPr>
        <w:pStyle w:val="Subsection"/>
      </w:pPr>
      <w:r>
        <w:tab/>
        <w:t>(1)</w:t>
      </w:r>
      <w:r>
        <w:tab/>
        <w:t>Subject to subsection (2), a court that convicts a person of an offence under this Act may make an order for the forfeiture to the State, or the destruction or disposal, of a seized thing if the court is satisfied that the thing was the subject of, used in, or otherwise involved in, the commission of the offence.</w:t>
      </w:r>
    </w:p>
    <w:p>
      <w:pPr>
        <w:pStyle w:val="Subsection"/>
      </w:pPr>
      <w:r>
        <w:tab/>
        <w:t>(2)</w:t>
      </w:r>
      <w:r>
        <w:tab/>
        <w:t>Subsection (1) does not apply to a seized thing that is an Aboriginal object except to the extent that it allows the object to be forfeited to the State and transferred to the ACH Council to be dealt with under section 66, whether or not the object is a secret or sacred object.</w:t>
      </w:r>
    </w:p>
    <w:p>
      <w:pPr>
        <w:pStyle w:val="Heading5"/>
      </w:pPr>
      <w:bookmarkStart w:id="332" w:name="_Toc154742958"/>
      <w:r>
        <w:rPr>
          <w:rStyle w:val="CharSectno"/>
        </w:rPr>
        <w:t>259</w:t>
      </w:r>
      <w:r>
        <w:t>.</w:t>
      </w:r>
      <w:r>
        <w:tab/>
        <w:t xml:space="preserve">Application of </w:t>
      </w:r>
      <w:r>
        <w:rPr>
          <w:i/>
        </w:rPr>
        <w:t>Criminal and Found Property Disposal Act 2006</w:t>
      </w:r>
      <w:bookmarkEnd w:id="332"/>
    </w:p>
    <w:p>
      <w:pPr>
        <w:pStyle w:val="Subsection"/>
      </w:pPr>
      <w:r>
        <w:tab/>
        <w:t>(1)</w:t>
      </w:r>
      <w:r>
        <w:tab/>
        <w:t xml:space="preserve">The </w:t>
      </w:r>
      <w:r>
        <w:rPr>
          <w:i/>
        </w:rPr>
        <w:t>Criminal and Found Property Disposal Act 2006</w:t>
      </w:r>
      <w:r>
        <w:t xml:space="preserve"> applies to and in respect of — </w:t>
      </w:r>
    </w:p>
    <w:p>
      <w:pPr>
        <w:pStyle w:val="Indenta"/>
      </w:pPr>
      <w:r>
        <w:tab/>
        <w:t>(a)</w:t>
      </w:r>
      <w:r>
        <w:tab/>
        <w:t>any seized thing unless the thing is dealt with under section 241; and</w:t>
      </w:r>
    </w:p>
    <w:p>
      <w:pPr>
        <w:pStyle w:val="Indenta"/>
      </w:pPr>
      <w:r>
        <w:tab/>
        <w:t>(b)</w:t>
      </w:r>
      <w:r>
        <w:tab/>
        <w:t>any thing forfeited under section 258, other than an Aboriginal object.</w:t>
      </w:r>
    </w:p>
    <w:p>
      <w:pPr>
        <w:pStyle w:val="Subsection"/>
      </w:pPr>
      <w:r>
        <w:lastRenderedPageBreak/>
        <w:tab/>
        <w:t>(2)</w:t>
      </w:r>
      <w:r>
        <w:tab/>
        <w:t xml:space="preserve">The Department, when assisting the Minister in the administration of this Act, is a prescribed agency for the purposes of the </w:t>
      </w:r>
      <w:r>
        <w:rPr>
          <w:i/>
        </w:rPr>
        <w:t>Criminal and Found Property Disposal Act 2006</w:t>
      </w:r>
      <w:r>
        <w:t>.</w:t>
      </w:r>
    </w:p>
    <w:p>
      <w:pPr>
        <w:pStyle w:val="Heading2"/>
      </w:pPr>
      <w:bookmarkStart w:id="333" w:name="_Toc154742959"/>
      <w:r>
        <w:rPr>
          <w:rStyle w:val="CharPartNo"/>
        </w:rPr>
        <w:lastRenderedPageBreak/>
        <w:t>Part 11</w:t>
      </w:r>
      <w:r>
        <w:t> — </w:t>
      </w:r>
      <w:r>
        <w:rPr>
          <w:rStyle w:val="CharPartText"/>
        </w:rPr>
        <w:t>Legal proceedings</w:t>
      </w:r>
      <w:bookmarkEnd w:id="333"/>
    </w:p>
    <w:p>
      <w:pPr>
        <w:pStyle w:val="Heading3"/>
      </w:pPr>
      <w:bookmarkStart w:id="334" w:name="_Toc154742960"/>
      <w:r>
        <w:rPr>
          <w:rStyle w:val="CharDivNo"/>
        </w:rPr>
        <w:t>Division 1</w:t>
      </w:r>
      <w:r>
        <w:t> — </w:t>
      </w:r>
      <w:r>
        <w:rPr>
          <w:rStyle w:val="CharDivText"/>
        </w:rPr>
        <w:t>General provisions relating to offences</w:t>
      </w:r>
      <w:bookmarkEnd w:id="334"/>
    </w:p>
    <w:p>
      <w:pPr>
        <w:pStyle w:val="Heading5"/>
      </w:pPr>
      <w:bookmarkStart w:id="335" w:name="_Toc154742961"/>
      <w:r>
        <w:rPr>
          <w:rStyle w:val="CharSectno"/>
        </w:rPr>
        <w:t>260</w:t>
      </w:r>
      <w:r>
        <w:t>.</w:t>
      </w:r>
      <w:r>
        <w:tab/>
        <w:t>Who may commence proceedings</w:t>
      </w:r>
      <w:bookmarkEnd w:id="335"/>
    </w:p>
    <w:p>
      <w:pPr>
        <w:pStyle w:val="Subsection"/>
      </w:pPr>
      <w:r>
        <w:tab/>
        <w:t>(1)</w:t>
      </w:r>
      <w:r>
        <w:tab/>
        <w:t>A prosecution of an offence under this Act, or proceedings in respect of any other matter arising under this Act, may be commenced by the CEO or by a person authorised by the CEO to do so.</w:t>
      </w:r>
    </w:p>
    <w:p>
      <w:pPr>
        <w:pStyle w:val="Subsection"/>
      </w:pPr>
      <w:r>
        <w:tab/>
        <w:t>(2)</w:t>
      </w:r>
      <w:r>
        <w:tab/>
        <w:t>Subsection (1) does not limit the ability of a person to commence or conduct the prosecution of an offence under this Act if the person has authority at law to do so.</w:t>
      </w:r>
    </w:p>
    <w:p>
      <w:pPr>
        <w:pStyle w:val="Heading5"/>
      </w:pPr>
      <w:bookmarkStart w:id="336" w:name="_Toc154742962"/>
      <w:r>
        <w:rPr>
          <w:rStyle w:val="CharSectno"/>
        </w:rPr>
        <w:t>261</w:t>
      </w:r>
      <w:r>
        <w:t>.</w:t>
      </w:r>
      <w:r>
        <w:tab/>
        <w:t>Time limit for prosecution of simple offence</w:t>
      </w:r>
      <w:bookmarkEnd w:id="336"/>
    </w:p>
    <w:p>
      <w:pPr>
        <w:pStyle w:val="Subsection"/>
      </w:pPr>
      <w:r>
        <w:tab/>
        <w:t>(1)</w:t>
      </w:r>
      <w:r>
        <w:tab/>
        <w:t>A prosecution of a simple offence under this Act must be commenced within 6 years after the date on which the offence was allegedly committed.</w:t>
      </w:r>
    </w:p>
    <w:p>
      <w:pPr>
        <w:pStyle w:val="Subsection"/>
      </w:pPr>
      <w:r>
        <w:tab/>
        <w:t>(2)</w:t>
      </w:r>
      <w:r>
        <w:tab/>
        <w:t xml:space="preserve">However, if a prosecution notice alleging a simple offence under this Act specifies the date on which evidence of the alleged offence first came to the attention of a person authorised to commence the prosecution (the </w:t>
      </w:r>
      <w:r>
        <w:rPr>
          <w:rStyle w:val="CharDefText"/>
        </w:rPr>
        <w:t>date specified</w:t>
      </w:r>
      <w:r>
        <w:t xml:space="preserve">) — </w:t>
      </w:r>
    </w:p>
    <w:p>
      <w:pPr>
        <w:pStyle w:val="Indenta"/>
      </w:pPr>
      <w:r>
        <w:tab/>
        <w:t>(a)</w:t>
      </w:r>
      <w:r>
        <w:tab/>
        <w:t>the prosecution may be commenced within 2 years after the date specified; and</w:t>
      </w:r>
    </w:p>
    <w:p>
      <w:pPr>
        <w:pStyle w:val="Indenta"/>
      </w:pPr>
      <w:r>
        <w:tab/>
        <w:t>(b)</w:t>
      </w:r>
      <w:r>
        <w:tab/>
        <w:t>the prosecution notice need not contain particulars of the date on which the offence was allegedly committed.</w:t>
      </w:r>
    </w:p>
    <w:p>
      <w:pPr>
        <w:pStyle w:val="Subsection"/>
      </w:pPr>
      <w:r>
        <w:tab/>
        <w:t>(3)</w:t>
      </w:r>
      <w:r>
        <w:tab/>
        <w:t>The date on which evidence of the alleged offence first came to the attention of a person authorised to commence a prosecution is, in the absence of evidence to the contrary, the date specified.</w:t>
      </w:r>
    </w:p>
    <w:p>
      <w:pPr>
        <w:pStyle w:val="Heading3"/>
      </w:pPr>
      <w:bookmarkStart w:id="337" w:name="_Toc154742963"/>
      <w:r>
        <w:rPr>
          <w:rStyle w:val="CharDivNo"/>
        </w:rPr>
        <w:lastRenderedPageBreak/>
        <w:t>Division 2</w:t>
      </w:r>
      <w:r>
        <w:t> — </w:t>
      </w:r>
      <w:r>
        <w:rPr>
          <w:rStyle w:val="CharDivText"/>
        </w:rPr>
        <w:t>Court may order costs and expenses</w:t>
      </w:r>
      <w:bookmarkEnd w:id="337"/>
    </w:p>
    <w:p>
      <w:pPr>
        <w:pStyle w:val="Heading5"/>
      </w:pPr>
      <w:bookmarkStart w:id="338" w:name="_Toc154742964"/>
      <w:r>
        <w:rPr>
          <w:rStyle w:val="CharSectno"/>
        </w:rPr>
        <w:t>262</w:t>
      </w:r>
      <w:r>
        <w:t>.</w:t>
      </w:r>
      <w:r>
        <w:tab/>
        <w:t>Court may order costs and expenses</w:t>
      </w:r>
      <w:bookmarkEnd w:id="338"/>
    </w:p>
    <w:p>
      <w:pPr>
        <w:pStyle w:val="Subsection"/>
      </w:pPr>
      <w:r>
        <w:tab/>
        <w:t>(1)</w:t>
      </w:r>
      <w:r>
        <w:tab/>
        <w:t>A court that hears proceedings for an offence under this Act has power to make the orders that it thinks fit in respect of the costs and expenses of, and incidental to, the examination, seizure, detention, storage, analysis, destruction or other disposition of anything the subject of those proceedings.</w:t>
      </w:r>
    </w:p>
    <w:p>
      <w:pPr>
        <w:pStyle w:val="Subsection"/>
      </w:pPr>
      <w:r>
        <w:tab/>
        <w:t>(2)</w:t>
      </w:r>
      <w:r>
        <w:tab/>
        <w:t xml:space="preserve">Subsection (1) does not affect — </w:t>
      </w:r>
    </w:p>
    <w:p>
      <w:pPr>
        <w:pStyle w:val="Indenta"/>
      </w:pPr>
      <w:r>
        <w:tab/>
        <w:t>(a)</w:t>
      </w:r>
      <w:r>
        <w:tab/>
        <w:t>any other power of a court to award costs; or</w:t>
      </w:r>
    </w:p>
    <w:p>
      <w:pPr>
        <w:pStyle w:val="Indenta"/>
      </w:pPr>
      <w:r>
        <w:tab/>
        <w:t>(b)</w:t>
      </w:r>
      <w:r>
        <w:tab/>
        <w:t xml:space="preserve">the </w:t>
      </w:r>
      <w:r>
        <w:rPr>
          <w:i/>
        </w:rPr>
        <w:t>Criminal Procedure Act 2004</w:t>
      </w:r>
      <w:r>
        <w:t xml:space="preserve"> section 123.</w:t>
      </w:r>
    </w:p>
    <w:p>
      <w:pPr>
        <w:pStyle w:val="Heading3"/>
      </w:pPr>
      <w:bookmarkStart w:id="339" w:name="_Toc154742965"/>
      <w:r>
        <w:rPr>
          <w:rStyle w:val="CharDivNo"/>
        </w:rPr>
        <w:t>Division 3</w:t>
      </w:r>
      <w:r>
        <w:t> — </w:t>
      </w:r>
      <w:r>
        <w:rPr>
          <w:rStyle w:val="CharDivText"/>
        </w:rPr>
        <w:t>Criminal liability of body corporate officers, employees and others</w:t>
      </w:r>
      <w:bookmarkEnd w:id="339"/>
    </w:p>
    <w:p>
      <w:pPr>
        <w:pStyle w:val="Heading5"/>
      </w:pPr>
      <w:bookmarkStart w:id="340" w:name="_Toc154742966"/>
      <w:r>
        <w:rPr>
          <w:rStyle w:val="CharSectno"/>
        </w:rPr>
        <w:t>263</w:t>
      </w:r>
      <w:r>
        <w:t>.</w:t>
      </w:r>
      <w:r>
        <w:tab/>
        <w:t>Liability of officers for offence by body corporate</w:t>
      </w:r>
      <w:bookmarkEnd w:id="340"/>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zTHeadingNAm"/>
      </w:pPr>
      <w:r>
        <w:t>Table</w:t>
      </w:r>
    </w:p>
    <w:tbl>
      <w:tblPr>
        <w:tblW w:w="637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126"/>
        <w:gridCol w:w="2126"/>
        <w:gridCol w:w="2127"/>
      </w:tblGrid>
      <w:tr>
        <w:tc>
          <w:tcPr>
            <w:tcW w:w="2126" w:type="dxa"/>
            <w:noWrap/>
          </w:tcPr>
          <w:p>
            <w:pPr>
              <w:pStyle w:val="TableNAm"/>
            </w:pPr>
            <w:r>
              <w:t>s. 52(1)</w:t>
            </w:r>
          </w:p>
        </w:tc>
        <w:tc>
          <w:tcPr>
            <w:tcW w:w="2126" w:type="dxa"/>
            <w:noWrap/>
          </w:tcPr>
          <w:p>
            <w:pPr>
              <w:pStyle w:val="TableNAm"/>
            </w:pPr>
            <w:r>
              <w:t>s. 56(1)</w:t>
            </w:r>
          </w:p>
        </w:tc>
        <w:tc>
          <w:tcPr>
            <w:tcW w:w="2127" w:type="dxa"/>
            <w:noWrap/>
          </w:tcPr>
          <w:p>
            <w:pPr>
              <w:pStyle w:val="TableNAm"/>
            </w:pPr>
            <w:r>
              <w:t>s. 57(1) and (4)</w:t>
            </w:r>
          </w:p>
        </w:tc>
      </w:tr>
      <w:tr>
        <w:tc>
          <w:tcPr>
            <w:tcW w:w="2126" w:type="dxa"/>
            <w:noWrap/>
          </w:tcPr>
          <w:p>
            <w:pPr>
              <w:pStyle w:val="TableNAm"/>
            </w:pPr>
            <w:r>
              <w:t>s. 61(1)</w:t>
            </w:r>
          </w:p>
        </w:tc>
        <w:tc>
          <w:tcPr>
            <w:tcW w:w="2126" w:type="dxa"/>
            <w:noWrap/>
          </w:tcPr>
          <w:p>
            <w:pPr>
              <w:pStyle w:val="TableNAm"/>
            </w:pPr>
            <w:r>
              <w:t>s. 64(1)</w:t>
            </w:r>
          </w:p>
        </w:tc>
        <w:tc>
          <w:tcPr>
            <w:tcW w:w="2127" w:type="dxa"/>
            <w:noWrap/>
          </w:tcPr>
          <w:p>
            <w:pPr>
              <w:pStyle w:val="TableNAm"/>
            </w:pPr>
            <w:r>
              <w:t>s. 67(1)</w:t>
            </w:r>
          </w:p>
        </w:tc>
      </w:tr>
      <w:tr>
        <w:tc>
          <w:tcPr>
            <w:tcW w:w="2126" w:type="dxa"/>
            <w:noWrap/>
          </w:tcPr>
          <w:p>
            <w:pPr>
              <w:pStyle w:val="TableNAm"/>
            </w:pPr>
            <w:r>
              <w:t>s. 68(1)</w:t>
            </w:r>
          </w:p>
        </w:tc>
        <w:tc>
          <w:tcPr>
            <w:tcW w:w="2126" w:type="dxa"/>
            <w:noWrap/>
          </w:tcPr>
          <w:p>
            <w:pPr>
              <w:pStyle w:val="TableNAm"/>
            </w:pPr>
            <w:r>
              <w:t>s. 88(1)</w:t>
            </w:r>
          </w:p>
        </w:tc>
        <w:tc>
          <w:tcPr>
            <w:tcW w:w="2127" w:type="dxa"/>
            <w:noWrap/>
          </w:tcPr>
          <w:p>
            <w:pPr>
              <w:pStyle w:val="TableNAm"/>
            </w:pPr>
            <w:r>
              <w:t>s. 92</w:t>
            </w:r>
          </w:p>
        </w:tc>
      </w:tr>
      <w:tr>
        <w:tc>
          <w:tcPr>
            <w:tcW w:w="2126" w:type="dxa"/>
            <w:noWrap/>
          </w:tcPr>
          <w:p>
            <w:pPr>
              <w:pStyle w:val="TableNAm"/>
            </w:pPr>
            <w:r>
              <w:t>s. 93(1)</w:t>
            </w:r>
          </w:p>
        </w:tc>
        <w:tc>
          <w:tcPr>
            <w:tcW w:w="2126" w:type="dxa"/>
            <w:noWrap/>
          </w:tcPr>
          <w:p>
            <w:pPr>
              <w:pStyle w:val="TableNAm"/>
            </w:pPr>
            <w:r>
              <w:t>s. 94</w:t>
            </w:r>
          </w:p>
        </w:tc>
        <w:tc>
          <w:tcPr>
            <w:tcW w:w="2127" w:type="dxa"/>
            <w:noWrap/>
          </w:tcPr>
          <w:p>
            <w:pPr>
              <w:pStyle w:val="TableNAm"/>
            </w:pPr>
            <w:r>
              <w:t>s. 95</w:t>
            </w:r>
          </w:p>
        </w:tc>
      </w:tr>
      <w:tr>
        <w:tc>
          <w:tcPr>
            <w:tcW w:w="2126" w:type="dxa"/>
            <w:noWrap/>
          </w:tcPr>
          <w:p>
            <w:pPr>
              <w:pStyle w:val="TableNAm"/>
            </w:pPr>
            <w:r>
              <w:t>s. 127(1)</w:t>
            </w:r>
          </w:p>
        </w:tc>
        <w:tc>
          <w:tcPr>
            <w:tcW w:w="2126" w:type="dxa"/>
            <w:noWrap/>
          </w:tcPr>
          <w:p>
            <w:pPr>
              <w:pStyle w:val="TableNAm"/>
            </w:pPr>
            <w:r>
              <w:t>s. 133</w:t>
            </w:r>
          </w:p>
        </w:tc>
        <w:tc>
          <w:tcPr>
            <w:tcW w:w="2127" w:type="dxa"/>
            <w:noWrap/>
          </w:tcPr>
          <w:p>
            <w:pPr>
              <w:pStyle w:val="TableNAm"/>
            </w:pPr>
            <w:r>
              <w:t>s. 171(4)</w:t>
            </w:r>
          </w:p>
        </w:tc>
      </w:tr>
      <w:tr>
        <w:tc>
          <w:tcPr>
            <w:tcW w:w="2126" w:type="dxa"/>
            <w:noWrap/>
          </w:tcPr>
          <w:p>
            <w:pPr>
              <w:pStyle w:val="TableNAm"/>
            </w:pPr>
            <w:r>
              <w:t>s. 173</w:t>
            </w:r>
          </w:p>
        </w:tc>
        <w:tc>
          <w:tcPr>
            <w:tcW w:w="2126" w:type="dxa"/>
            <w:noWrap/>
          </w:tcPr>
          <w:p>
            <w:pPr>
              <w:pStyle w:val="TableNAm"/>
            </w:pPr>
            <w:r>
              <w:t>s. 183(1) and (2)</w:t>
            </w:r>
          </w:p>
        </w:tc>
        <w:tc>
          <w:tcPr>
            <w:tcW w:w="2127" w:type="dxa"/>
            <w:noWrap/>
          </w:tcPr>
          <w:p>
            <w:pPr>
              <w:pStyle w:val="TableNAm"/>
            </w:pPr>
            <w:r>
              <w:t>s. 190(1) and (2)</w:t>
            </w:r>
          </w:p>
        </w:tc>
      </w:tr>
      <w:tr>
        <w:tc>
          <w:tcPr>
            <w:tcW w:w="2126" w:type="dxa"/>
            <w:noWrap/>
          </w:tcPr>
          <w:p>
            <w:pPr>
              <w:pStyle w:val="TableNAm"/>
            </w:pPr>
            <w:r>
              <w:t>s. 196(1) and (2)</w:t>
            </w:r>
          </w:p>
        </w:tc>
        <w:tc>
          <w:tcPr>
            <w:tcW w:w="2126" w:type="dxa"/>
            <w:noWrap/>
          </w:tcPr>
          <w:p>
            <w:pPr>
              <w:pStyle w:val="TableNAm"/>
            </w:pPr>
            <w:r>
              <w:t xml:space="preserve">s. 205(1) and (2) </w:t>
            </w:r>
          </w:p>
        </w:tc>
        <w:tc>
          <w:tcPr>
            <w:tcW w:w="2127" w:type="dxa"/>
            <w:noWrap/>
          </w:tcPr>
          <w:p>
            <w:pPr>
              <w:pStyle w:val="TableNAm"/>
            </w:pPr>
            <w:r>
              <w:t>s. 240(2)</w:t>
            </w:r>
          </w:p>
        </w:tc>
      </w:tr>
      <w:tr>
        <w:tc>
          <w:tcPr>
            <w:tcW w:w="2126" w:type="dxa"/>
            <w:noWrap/>
          </w:tcPr>
          <w:p>
            <w:pPr>
              <w:pStyle w:val="TableNAm"/>
              <w:keepNext/>
            </w:pPr>
            <w:r>
              <w:lastRenderedPageBreak/>
              <w:t>s. 252</w:t>
            </w:r>
          </w:p>
        </w:tc>
        <w:tc>
          <w:tcPr>
            <w:tcW w:w="2126" w:type="dxa"/>
            <w:noWrap/>
          </w:tcPr>
          <w:p>
            <w:pPr>
              <w:pStyle w:val="TableNAm"/>
            </w:pPr>
            <w:r>
              <w:t>s. 256</w:t>
            </w:r>
          </w:p>
        </w:tc>
        <w:tc>
          <w:tcPr>
            <w:tcW w:w="2127" w:type="dxa"/>
            <w:noWrap/>
          </w:tcPr>
          <w:p>
            <w:pPr>
              <w:pStyle w:val="TableNAm"/>
            </w:pPr>
            <w:r>
              <w:t>s. 304(1)</w:t>
            </w:r>
          </w:p>
        </w:tc>
      </w:tr>
      <w:tr>
        <w:tc>
          <w:tcPr>
            <w:tcW w:w="2126" w:type="dxa"/>
            <w:noWrap/>
          </w:tcPr>
          <w:p>
            <w:pPr>
              <w:pStyle w:val="TableNAm"/>
              <w:keepNext/>
            </w:pPr>
            <w:r>
              <w:t>s. 306(2)</w:t>
            </w:r>
          </w:p>
        </w:tc>
        <w:tc>
          <w:tcPr>
            <w:tcW w:w="2126" w:type="dxa"/>
            <w:noWrap/>
          </w:tcPr>
          <w:p>
            <w:pPr>
              <w:pStyle w:val="TableNAm"/>
              <w:keepNext/>
            </w:pPr>
          </w:p>
        </w:tc>
        <w:tc>
          <w:tcPr>
            <w:tcW w:w="2127" w:type="dxa"/>
            <w:noWrap/>
          </w:tcPr>
          <w:p>
            <w:pPr>
              <w:pStyle w:val="TableNAm"/>
              <w:keepNext/>
            </w:pPr>
          </w:p>
        </w:tc>
      </w:tr>
    </w:tbl>
    <w:p>
      <w:pPr>
        <w:pStyle w:val="Footnotesection"/>
      </w:pPr>
      <w:r>
        <w:tab/>
        <w:t>[Section 263 inserted: No. 9 of 2023 s. 8.]</w:t>
      </w:r>
    </w:p>
    <w:p>
      <w:pPr>
        <w:pStyle w:val="Ednotesection"/>
      </w:pPr>
      <w:r>
        <w:t>[</w:t>
      </w:r>
      <w:r>
        <w:rPr>
          <w:b/>
        </w:rPr>
        <w:t>264, 265.</w:t>
      </w:r>
      <w:r>
        <w:tab/>
        <w:t>Deleted: No. 9 of 2023 s. 8.]</w:t>
      </w:r>
    </w:p>
    <w:p>
      <w:pPr>
        <w:pStyle w:val="Heading5"/>
      </w:pPr>
      <w:bookmarkStart w:id="341" w:name="_Toc154742967"/>
      <w:r>
        <w:rPr>
          <w:rStyle w:val="CharSectno"/>
        </w:rPr>
        <w:t>266</w:t>
      </w:r>
      <w:r>
        <w:t>.</w:t>
      </w:r>
      <w:r>
        <w:tab/>
        <w:t>Liability of partners</w:t>
      </w:r>
      <w:bookmarkEnd w:id="341"/>
    </w:p>
    <w:p>
      <w:pPr>
        <w:pStyle w:val="Subsection"/>
      </w:pPr>
      <w:r>
        <w:tab/>
        <w:t>(1)</w:t>
      </w:r>
      <w:r>
        <w:tab/>
        <w:t>If an ACH permit is granted to a partner in relation to the activities of a partnership, each partner in the partnership has the same rights and duties as the holder of the permit, whether or not the partner is named in the permit.</w:t>
      </w:r>
    </w:p>
    <w:p>
      <w:pPr>
        <w:pStyle w:val="Subsection"/>
      </w:pPr>
      <w:r>
        <w:tab/>
        <w:t>(2)</w:t>
      </w:r>
      <w:r>
        <w:tab/>
        <w:t>If an ACH management plan is approved under section 150(1)(b)(i) or authorised under section 165(1)(b)(i) in respect of the activities of a proponent that is in a partnership, each partner in the partnership has the same rights and duties as a party to the plan, whether or not the partner is named in the plan.</w:t>
      </w:r>
    </w:p>
    <w:p>
      <w:pPr>
        <w:pStyle w:val="Heading5"/>
      </w:pPr>
      <w:bookmarkStart w:id="342" w:name="_Toc154742968"/>
      <w:r>
        <w:rPr>
          <w:rStyle w:val="CharSectno"/>
        </w:rPr>
        <w:t>267</w:t>
      </w:r>
      <w:r>
        <w:t>.</w:t>
      </w:r>
      <w:r>
        <w:tab/>
        <w:t>Liability of principals for offence by agent</w:t>
      </w:r>
      <w:bookmarkEnd w:id="342"/>
    </w:p>
    <w:p>
      <w:pPr>
        <w:pStyle w:val="Subsection"/>
      </w:pPr>
      <w:r>
        <w:tab/>
        <w:t>(1)</w:t>
      </w:r>
      <w:r>
        <w:tab/>
        <w:t xml:space="preserve">If a person (the </w:t>
      </w:r>
      <w:r>
        <w:rPr>
          <w:rStyle w:val="CharDefText"/>
        </w:rPr>
        <w:t>agent</w:t>
      </w:r>
      <w:r>
        <w:t xml:space="preserve">) acting, otherwise than as an employee, for or on behalf of another person (the </w:t>
      </w:r>
      <w:r>
        <w:rPr>
          <w:rStyle w:val="CharDefText"/>
        </w:rPr>
        <w:t>principal</w:t>
      </w:r>
      <w:r>
        <w:t>) contravenes any provision of this Act, the principal is taken to have contravened the same provision.</w:t>
      </w:r>
    </w:p>
    <w:p>
      <w:pPr>
        <w:pStyle w:val="Subsection"/>
        <w:keepNext/>
      </w:pPr>
      <w:r>
        <w:tab/>
        <w:t>(2)</w:t>
      </w:r>
      <w:r>
        <w:tab/>
        <w:t xml:space="preserve">For the purposes of this section, an agent and principal relationship exists — </w:t>
      </w:r>
    </w:p>
    <w:p>
      <w:pPr>
        <w:pStyle w:val="Indenta"/>
      </w:pPr>
      <w:r>
        <w:tab/>
        <w:t>(a)</w:t>
      </w:r>
      <w:r>
        <w:tab/>
        <w:t xml:space="preserve">if a person (the </w:t>
      </w:r>
      <w:r>
        <w:rPr>
          <w:rStyle w:val="CharDefText"/>
        </w:rPr>
        <w:t>agent</w:t>
      </w:r>
      <w:r>
        <w:t xml:space="preserve">) carries out, manages or controls an activity the subject of an authorisation under Part 6 Division 4 for or on behalf of the proponent for the activity (the </w:t>
      </w:r>
      <w:r>
        <w:rPr>
          <w:rStyle w:val="CharDefText"/>
        </w:rPr>
        <w:t>principal</w:t>
      </w:r>
      <w:r>
        <w:t>);</w:t>
      </w:r>
    </w:p>
    <w:p>
      <w:pPr>
        <w:pStyle w:val="Indenta"/>
      </w:pPr>
      <w:r>
        <w:tab/>
        <w:t>(b)</w:t>
      </w:r>
      <w:r>
        <w:tab/>
        <w:t>whether the agent is acting directly for the principal or acting indirectly through another person, or persons, including a contractor, subcontractor or consultant.</w:t>
      </w:r>
    </w:p>
    <w:p>
      <w:pPr>
        <w:pStyle w:val="Subsection"/>
      </w:pPr>
      <w:r>
        <w:lastRenderedPageBreak/>
        <w:tab/>
        <w:t>(3)</w:t>
      </w:r>
      <w:r>
        <w:tab/>
        <w:t>In proceedings against a principal for such a contravention, it is a defence to prove that the principal took all reasonable steps to prevent the commission of the offence by the agent.</w:t>
      </w:r>
    </w:p>
    <w:p>
      <w:pPr>
        <w:pStyle w:val="Subsection"/>
        <w:keepNext/>
      </w:pPr>
      <w:r>
        <w:tab/>
        <w:t>(4)</w:t>
      </w:r>
      <w:r>
        <w:tab/>
        <w:t xml:space="preserve">In determining whether things done or omitted to be done by the principal constituted reasonable steps, a court must have regard to — </w:t>
      </w:r>
    </w:p>
    <w:p>
      <w:pPr>
        <w:pStyle w:val="Indenta"/>
      </w:pPr>
      <w:r>
        <w:tab/>
        <w:t>(a)</w:t>
      </w:r>
      <w:r>
        <w:tab/>
        <w:t>what the principal knew, or ought to have known, about the risk of the contravention occurring; and</w:t>
      </w:r>
    </w:p>
    <w:p>
      <w:pPr>
        <w:pStyle w:val="Indenta"/>
      </w:pPr>
      <w:r>
        <w:tab/>
        <w:t>(b)</w:t>
      </w:r>
      <w:r>
        <w:tab/>
        <w:t>whether the principal could, by the exercise of due diligence, have prevented the contravention; and</w:t>
      </w:r>
    </w:p>
    <w:p>
      <w:pPr>
        <w:pStyle w:val="Indenta"/>
      </w:pPr>
      <w:r>
        <w:tab/>
        <w:t>(c)</w:t>
      </w:r>
      <w:r>
        <w:tab/>
        <w:t>any other relevant matter.</w:t>
      </w:r>
    </w:p>
    <w:p>
      <w:pPr>
        <w:pStyle w:val="Subsection"/>
      </w:pPr>
      <w:r>
        <w:tab/>
        <w:t>(5)</w:t>
      </w:r>
      <w:r>
        <w:tab/>
        <w:t>A principal may be proceeded against and convicted under a provision of this Act in accordance with this section whether or not the agent has been proceeded against or convicted under that provision.</w:t>
      </w:r>
    </w:p>
    <w:p>
      <w:pPr>
        <w:pStyle w:val="Heading5"/>
      </w:pPr>
      <w:bookmarkStart w:id="343" w:name="_Toc154742969"/>
      <w:r>
        <w:rPr>
          <w:rStyle w:val="CharSectno"/>
        </w:rPr>
        <w:t>268</w:t>
      </w:r>
      <w:r>
        <w:t>.</w:t>
      </w:r>
      <w:r>
        <w:tab/>
        <w:t>Liability of employer for offences by employee</w:t>
      </w:r>
      <w:bookmarkEnd w:id="343"/>
    </w:p>
    <w:p>
      <w:pPr>
        <w:pStyle w:val="Subsection"/>
        <w:keepNext/>
      </w:pPr>
      <w:r>
        <w:tab/>
        <w:t>(1)</w:t>
      </w:r>
      <w:r>
        <w:tab/>
        <w:t xml:space="preserve">If an employee of another person (the </w:t>
      </w:r>
      <w:r>
        <w:rPr>
          <w:rStyle w:val="CharDefText"/>
          <w:snapToGrid w:val="0"/>
        </w:rPr>
        <w:t>employer</w:t>
      </w:r>
      <w:r>
        <w:t xml:space="preserve">) contravenes any provision of this Act while acting as an employee, the employer is taken to have contravened the same provision, whether or not the employee contravened the provision — </w:t>
      </w:r>
    </w:p>
    <w:p>
      <w:pPr>
        <w:pStyle w:val="Indenta"/>
      </w:pPr>
      <w:r>
        <w:tab/>
        <w:t>(a)</w:t>
      </w:r>
      <w:r>
        <w:tab/>
        <w:t>without the employer’s authority; or</w:t>
      </w:r>
    </w:p>
    <w:p>
      <w:pPr>
        <w:pStyle w:val="Indenta"/>
      </w:pPr>
      <w:r>
        <w:tab/>
        <w:t>(b)</w:t>
      </w:r>
      <w:r>
        <w:tab/>
        <w:t>contrary to the employer’s orders or instructions.</w:t>
      </w:r>
    </w:p>
    <w:p>
      <w:pPr>
        <w:pStyle w:val="Subsection"/>
      </w:pPr>
      <w:r>
        <w:tab/>
        <w:t>(2)</w:t>
      </w:r>
      <w:r>
        <w:tab/>
        <w:t>In proceedings against an employer for such a contravention, it is a defence to prove that the employer took all reasonable steps to prevent the commission of the offence by the employee.</w:t>
      </w:r>
    </w:p>
    <w:p>
      <w:pPr>
        <w:pStyle w:val="Subsection"/>
        <w:keepNext/>
      </w:pPr>
      <w:r>
        <w:tab/>
        <w:t>(3)</w:t>
      </w:r>
      <w:r>
        <w:tab/>
        <w:t xml:space="preserve">In determining whether things done or omitted to be done by the employer constituted reasonable steps, a court must have regard to — </w:t>
      </w:r>
    </w:p>
    <w:p>
      <w:pPr>
        <w:pStyle w:val="Indenta"/>
      </w:pPr>
      <w:r>
        <w:tab/>
        <w:t>(a)</w:t>
      </w:r>
      <w:r>
        <w:tab/>
        <w:t>what the employer knew, or ought to have known, about the risk of the contravention occurring; and</w:t>
      </w:r>
    </w:p>
    <w:p>
      <w:pPr>
        <w:pStyle w:val="Indenta"/>
      </w:pPr>
      <w:r>
        <w:lastRenderedPageBreak/>
        <w:tab/>
        <w:t>(b)</w:t>
      </w:r>
      <w:r>
        <w:tab/>
        <w:t>whether the employer could, by the exercise of due diligence, have prevented the contravention; and</w:t>
      </w:r>
    </w:p>
    <w:p>
      <w:pPr>
        <w:pStyle w:val="Indenta"/>
      </w:pPr>
      <w:r>
        <w:tab/>
        <w:t>(c)</w:t>
      </w:r>
      <w:r>
        <w:tab/>
        <w:t>any other relevant matter.</w:t>
      </w:r>
    </w:p>
    <w:p>
      <w:pPr>
        <w:pStyle w:val="Subsection"/>
      </w:pPr>
      <w:r>
        <w:tab/>
        <w:t>(4)</w:t>
      </w:r>
      <w:r>
        <w:tab/>
        <w:t>An employer may be proceeded against and convicted under a provision of this Act in accordance with this section whether or not the employee has been proceeded against or convicted under that provision.</w:t>
      </w:r>
    </w:p>
    <w:p>
      <w:pPr>
        <w:pStyle w:val="Heading5"/>
      </w:pPr>
      <w:bookmarkStart w:id="344" w:name="_Toc154742970"/>
      <w:r>
        <w:rPr>
          <w:rStyle w:val="CharSectno"/>
        </w:rPr>
        <w:t>269</w:t>
      </w:r>
      <w:r>
        <w:t>.</w:t>
      </w:r>
      <w:r>
        <w:tab/>
        <w:t>Liability of employees and agents</w:t>
      </w:r>
      <w:bookmarkEnd w:id="344"/>
    </w:p>
    <w:p>
      <w:pPr>
        <w:pStyle w:val="Subsection"/>
      </w:pPr>
      <w:r>
        <w:tab/>
      </w:r>
      <w:r>
        <w:tab/>
        <w:t>It is not a defence to a charge of an offence under this Act that the accused person was, at the time of the commission of the offence, an employee or agent of another person.</w:t>
      </w:r>
    </w:p>
    <w:p>
      <w:pPr>
        <w:pStyle w:val="Heading3"/>
      </w:pPr>
      <w:bookmarkStart w:id="345" w:name="_Toc154742971"/>
      <w:r>
        <w:rPr>
          <w:rStyle w:val="CharDivNo"/>
        </w:rPr>
        <w:t>Division 4</w:t>
      </w:r>
      <w:r>
        <w:t> — </w:t>
      </w:r>
      <w:r>
        <w:rPr>
          <w:rStyle w:val="CharDivText"/>
        </w:rPr>
        <w:t>Evidentiary provisions</w:t>
      </w:r>
      <w:bookmarkEnd w:id="345"/>
    </w:p>
    <w:p>
      <w:pPr>
        <w:pStyle w:val="Heading5"/>
      </w:pPr>
      <w:bookmarkStart w:id="346" w:name="_Toc154742972"/>
      <w:r>
        <w:rPr>
          <w:rStyle w:val="CharSectno"/>
        </w:rPr>
        <w:t>270</w:t>
      </w:r>
      <w:r>
        <w:t>.</w:t>
      </w:r>
      <w:r>
        <w:tab/>
        <w:t>Application of Division</w:t>
      </w:r>
      <w:bookmarkEnd w:id="346"/>
    </w:p>
    <w:p>
      <w:pPr>
        <w:pStyle w:val="Subsection"/>
      </w:pPr>
      <w:r>
        <w:tab/>
        <w:t>(1)</w:t>
      </w:r>
      <w:r>
        <w:tab/>
        <w:t>This Division applies for the purposes of proceedings for an offence under this Act.</w:t>
      </w:r>
    </w:p>
    <w:p>
      <w:pPr>
        <w:pStyle w:val="Subsection"/>
      </w:pPr>
      <w:r>
        <w:tab/>
        <w:t>(2)</w:t>
      </w:r>
      <w:r>
        <w:tab/>
        <w:t>A provision of this Division that provides for a matter to be taken to be proved applies only in the absence of evidence to the contrary.</w:t>
      </w:r>
    </w:p>
    <w:p>
      <w:pPr>
        <w:pStyle w:val="Subsection"/>
      </w:pPr>
      <w:r>
        <w:tab/>
        <w:t>(3)</w:t>
      </w:r>
      <w:r>
        <w:tab/>
        <w:t xml:space="preserve">This Division is in addition to and does not affect the operation of the </w:t>
      </w:r>
      <w:r>
        <w:rPr>
          <w:i/>
        </w:rPr>
        <w:t>Evidence Act 1906</w:t>
      </w:r>
      <w:r>
        <w:t>.</w:t>
      </w:r>
    </w:p>
    <w:p>
      <w:pPr>
        <w:pStyle w:val="Heading5"/>
        <w:keepNext w:val="0"/>
        <w:keepLines w:val="0"/>
      </w:pPr>
      <w:bookmarkStart w:id="347" w:name="_Toc154742973"/>
      <w:r>
        <w:rPr>
          <w:rStyle w:val="CharSectno"/>
        </w:rPr>
        <w:t>271</w:t>
      </w:r>
      <w:r>
        <w:t>.</w:t>
      </w:r>
      <w:r>
        <w:tab/>
        <w:t>Certain matters taken to be proved if alleged in prosecution notice or indictment</w:t>
      </w:r>
      <w:bookmarkEnd w:id="347"/>
    </w:p>
    <w:p>
      <w:pPr>
        <w:pStyle w:val="Subsection"/>
      </w:pPr>
      <w:r>
        <w:tab/>
      </w:r>
      <w:r>
        <w:tab/>
        <w:t>An allegation in a prosecution notice or indictment of any matter listed in the Table is taken to be proved.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 xml:space="preserve">That the person who commenced the proceeding is authorised to do so </w:t>
            </w:r>
          </w:p>
        </w:tc>
      </w:tr>
      <w:tr>
        <w:tc>
          <w:tcPr>
            <w:tcW w:w="964" w:type="dxa"/>
            <w:noWrap/>
          </w:tcPr>
          <w:p>
            <w:pPr>
              <w:pStyle w:val="TableNAm"/>
            </w:pPr>
            <w:r>
              <w:t>2.</w:t>
            </w:r>
          </w:p>
        </w:tc>
        <w:tc>
          <w:tcPr>
            <w:tcW w:w="5103" w:type="dxa"/>
            <w:noWrap/>
          </w:tcPr>
          <w:p>
            <w:pPr>
              <w:pStyle w:val="TableNAm"/>
            </w:pPr>
            <w:r>
              <w:t>That specified land is land of a specified description</w:t>
            </w:r>
          </w:p>
          <w:p>
            <w:pPr>
              <w:pStyle w:val="PermNoteHeading"/>
            </w:pPr>
            <w:r>
              <w:t>Example for this item:</w:t>
            </w:r>
          </w:p>
          <w:p>
            <w:pPr>
              <w:pStyle w:val="PermNoteText"/>
            </w:pPr>
            <w:r>
              <w:t>Crown land</w:t>
            </w:r>
          </w:p>
        </w:tc>
      </w:tr>
      <w:tr>
        <w:tc>
          <w:tcPr>
            <w:tcW w:w="964" w:type="dxa"/>
            <w:noWrap/>
          </w:tcPr>
          <w:p>
            <w:pPr>
              <w:pStyle w:val="TableNAm"/>
            </w:pPr>
            <w:r>
              <w:t>3.</w:t>
            </w:r>
          </w:p>
        </w:tc>
        <w:tc>
          <w:tcPr>
            <w:tcW w:w="5103" w:type="dxa"/>
            <w:noWrap/>
          </w:tcPr>
          <w:p>
            <w:pPr>
              <w:pStyle w:val="TableNAm"/>
            </w:pPr>
            <w:r>
              <w:t>That on a specified day or during a specified period a specified person was the landholder of specified land</w:t>
            </w:r>
          </w:p>
        </w:tc>
      </w:tr>
      <w:tr>
        <w:tc>
          <w:tcPr>
            <w:tcW w:w="964" w:type="dxa"/>
            <w:noWrap/>
          </w:tcPr>
          <w:p>
            <w:pPr>
              <w:pStyle w:val="TableNAm"/>
            </w:pPr>
            <w:r>
              <w:t>4.</w:t>
            </w:r>
          </w:p>
        </w:tc>
        <w:tc>
          <w:tcPr>
            <w:tcW w:w="5103" w:type="dxa"/>
            <w:noWrap/>
          </w:tcPr>
          <w:p>
            <w:pPr>
              <w:pStyle w:val="TableNAm"/>
            </w:pPr>
            <w:r>
              <w:t>That a document purporting to have been signed or executed, as relevant, by the Minister, the CEO, an inspector, an Aboriginal inspector or the ACH Council was signed, or executed, as relevant, by a person who at the specified time was the Minister, the CEO, an inspector, an Aboriginal inspector or a person authorised to sign or execute the document on behalf of the Council, as the case requires</w:t>
            </w:r>
          </w:p>
        </w:tc>
      </w:tr>
    </w:tbl>
    <w:p>
      <w:pPr>
        <w:pStyle w:val="Heading5"/>
      </w:pPr>
      <w:bookmarkStart w:id="348" w:name="_Toc154742974"/>
      <w:r>
        <w:rPr>
          <w:rStyle w:val="CharSectno"/>
        </w:rPr>
        <w:t>272</w:t>
      </w:r>
      <w:r>
        <w:t>.</w:t>
      </w:r>
      <w:r>
        <w:tab/>
        <w:t>Evidence of certain matters if stated in certificate</w:t>
      </w:r>
      <w:bookmarkEnd w:id="348"/>
    </w:p>
    <w:p>
      <w:pPr>
        <w:pStyle w:val="Subsection"/>
        <w:keepNext/>
      </w:pPr>
      <w:r>
        <w:tab/>
        <w:t>(1)</w:t>
      </w:r>
      <w:r>
        <w:tab/>
        <w:t>In this section —</w:t>
      </w:r>
    </w:p>
    <w:p>
      <w:pPr>
        <w:pStyle w:val="Defstart"/>
      </w:pPr>
      <w:r>
        <w:tab/>
      </w:r>
      <w:r>
        <w:rPr>
          <w:rStyle w:val="CharDefText"/>
        </w:rPr>
        <w:t>authorised person</w:t>
      </w:r>
      <w:r>
        <w:t xml:space="preserve"> means a person designated under subsection (2).</w:t>
      </w:r>
    </w:p>
    <w:p>
      <w:pPr>
        <w:pStyle w:val="Subsection"/>
      </w:pPr>
      <w:r>
        <w:tab/>
        <w:t>(2)</w:t>
      </w:r>
      <w:r>
        <w:tab/>
        <w:t xml:space="preserve">The Minister may, by notice published in the </w:t>
      </w:r>
      <w:r>
        <w:rPr>
          <w:i/>
        </w:rPr>
        <w:t>Gazette</w:t>
      </w:r>
      <w:r>
        <w:t>, designate a person to be an authorised person for the purposes of this section.</w:t>
      </w:r>
    </w:p>
    <w:p>
      <w:pPr>
        <w:pStyle w:val="Subsection"/>
      </w:pPr>
      <w:r>
        <w:tab/>
        <w:t>(3)</w:t>
      </w:r>
      <w:r>
        <w:tab/>
        <w:t xml:space="preserve">Production of a certificate purporting to be signed by the CEO and stating any of the matters listed in the Table is, without </w:t>
      </w:r>
      <w:r>
        <w:lastRenderedPageBreak/>
        <w:t>proof of the CEO’s signature, taken to be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 xml:space="preserve">That on a specified day or during a specified period a person was or was not — </w:t>
            </w:r>
          </w:p>
          <w:p>
            <w:pPr>
              <w:pStyle w:val="TableNAm"/>
              <w:tabs>
                <w:tab w:val="clear" w:pos="567"/>
              </w:tabs>
              <w:ind w:left="488" w:hanging="488"/>
            </w:pPr>
            <w:r>
              <w:t>(a)</w:t>
            </w:r>
            <w:r>
              <w:tab/>
              <w:t>the holder of an ACH permit; or</w:t>
            </w:r>
          </w:p>
          <w:p>
            <w:pPr>
              <w:pStyle w:val="TableNAm"/>
              <w:tabs>
                <w:tab w:val="clear" w:pos="567"/>
              </w:tabs>
              <w:ind w:left="488" w:hanging="488"/>
            </w:pPr>
            <w:r>
              <w:t>(b)</w:t>
            </w:r>
            <w:r>
              <w:tab/>
              <w:t>a party to an approved or authorised ACH management plan; or</w:t>
            </w:r>
          </w:p>
          <w:p>
            <w:pPr>
              <w:pStyle w:val="TableNAm"/>
            </w:pPr>
            <w:r>
              <w:t>(c)</w:t>
            </w:r>
            <w:r>
              <w:tab/>
              <w:t>a person given a Part 7 order</w:t>
            </w:r>
          </w:p>
        </w:tc>
      </w:tr>
      <w:tr>
        <w:trPr>
          <w:cantSplit/>
        </w:trPr>
        <w:tc>
          <w:tcPr>
            <w:tcW w:w="964" w:type="dxa"/>
            <w:noWrap/>
          </w:tcPr>
          <w:p>
            <w:pPr>
              <w:pStyle w:val="TableNAm"/>
            </w:pPr>
            <w:r>
              <w:t>2.</w:t>
            </w:r>
          </w:p>
        </w:tc>
        <w:tc>
          <w:tcPr>
            <w:tcW w:w="5103" w:type="dxa"/>
            <w:noWrap/>
          </w:tcPr>
          <w:p>
            <w:pPr>
              <w:pStyle w:val="TableNAm"/>
            </w:pPr>
            <w:r>
              <w:t>That on a specified day or during a specified period a specified instrument was or was not of effect</w:t>
            </w:r>
          </w:p>
        </w:tc>
      </w:tr>
      <w:tr>
        <w:trPr>
          <w:cantSplit/>
        </w:trPr>
        <w:tc>
          <w:tcPr>
            <w:tcW w:w="964" w:type="dxa"/>
            <w:noWrap/>
          </w:tcPr>
          <w:p>
            <w:pPr>
              <w:pStyle w:val="TableNAm"/>
            </w:pPr>
            <w:r>
              <w:t>3.</w:t>
            </w:r>
          </w:p>
        </w:tc>
        <w:tc>
          <w:tcPr>
            <w:tcW w:w="5103" w:type="dxa"/>
            <w:noWrap/>
          </w:tcPr>
          <w:p>
            <w:pPr>
              <w:pStyle w:val="TableNAm"/>
            </w:pPr>
            <w:r>
              <w:t xml:space="preserve">That on a specified day or during a specified period a specified instrument was or was not subject to a specified condition </w:t>
            </w:r>
          </w:p>
        </w:tc>
      </w:tr>
      <w:tr>
        <w:trPr>
          <w:cantSplit/>
        </w:trPr>
        <w:tc>
          <w:tcPr>
            <w:tcW w:w="964" w:type="dxa"/>
            <w:noWrap/>
          </w:tcPr>
          <w:p>
            <w:pPr>
              <w:pStyle w:val="TableNAm"/>
            </w:pPr>
            <w:r>
              <w:t>4.</w:t>
            </w:r>
          </w:p>
        </w:tc>
        <w:tc>
          <w:tcPr>
            <w:tcW w:w="5103" w:type="dxa"/>
            <w:noWrap/>
          </w:tcPr>
          <w:p>
            <w:pPr>
              <w:pStyle w:val="TableNAm"/>
            </w:pPr>
            <w:r>
              <w:t>That on a specified day or during a specified period a Part 7 order contained or did not contain a specified direction</w:t>
            </w:r>
          </w:p>
        </w:tc>
      </w:tr>
      <w:tr>
        <w:trPr>
          <w:cantSplit/>
        </w:trPr>
        <w:tc>
          <w:tcPr>
            <w:tcW w:w="964" w:type="dxa"/>
            <w:noWrap/>
          </w:tcPr>
          <w:p>
            <w:pPr>
              <w:pStyle w:val="TableNAm"/>
            </w:pPr>
            <w:r>
              <w:t>5.</w:t>
            </w:r>
          </w:p>
        </w:tc>
        <w:tc>
          <w:tcPr>
            <w:tcW w:w="5103" w:type="dxa"/>
            <w:noWrap/>
          </w:tcPr>
          <w:p>
            <w:pPr>
              <w:pStyle w:val="TableNAm"/>
            </w:pPr>
            <w:r>
              <w:t>That on a specified day or during a specified period a specified person was or was not authorised to carry out a specified activity under a specified instrument</w:t>
            </w:r>
          </w:p>
        </w:tc>
      </w:tr>
      <w:tr>
        <w:trPr>
          <w:cantSplit/>
        </w:trPr>
        <w:tc>
          <w:tcPr>
            <w:tcW w:w="964" w:type="dxa"/>
            <w:noWrap/>
          </w:tcPr>
          <w:p>
            <w:pPr>
              <w:pStyle w:val="TableNAm"/>
            </w:pPr>
            <w:r>
              <w:t>6.</w:t>
            </w:r>
          </w:p>
        </w:tc>
        <w:tc>
          <w:tcPr>
            <w:tcW w:w="5103" w:type="dxa"/>
            <w:noWrap/>
          </w:tcPr>
          <w:p>
            <w:pPr>
              <w:pStyle w:val="TableNAm"/>
            </w:pPr>
            <w:r>
              <w:t>That on a specified day or during a specified period a specified person was or was not designated as a local ACH service for a specified area</w:t>
            </w:r>
          </w:p>
        </w:tc>
      </w:tr>
      <w:tr>
        <w:trPr>
          <w:cantSplit/>
        </w:trPr>
        <w:tc>
          <w:tcPr>
            <w:tcW w:w="964" w:type="dxa"/>
            <w:noWrap/>
          </w:tcPr>
          <w:p>
            <w:pPr>
              <w:pStyle w:val="TableNAm"/>
            </w:pPr>
            <w:r>
              <w:lastRenderedPageBreak/>
              <w:t>7.</w:t>
            </w:r>
          </w:p>
        </w:tc>
        <w:tc>
          <w:tcPr>
            <w:tcW w:w="5103" w:type="dxa"/>
            <w:noWrap/>
          </w:tcPr>
          <w:p>
            <w:pPr>
              <w:pStyle w:val="TableNAm"/>
            </w:pPr>
            <w:r>
              <w:t xml:space="preserve">That on a specified day or during a specified period a person was or was not a native title party for a specified area </w:t>
            </w:r>
          </w:p>
        </w:tc>
      </w:tr>
      <w:tr>
        <w:trPr>
          <w:cantSplit/>
        </w:trPr>
        <w:tc>
          <w:tcPr>
            <w:tcW w:w="964" w:type="dxa"/>
            <w:noWrap/>
          </w:tcPr>
          <w:p>
            <w:pPr>
              <w:pStyle w:val="TableNAm"/>
            </w:pPr>
            <w:r>
              <w:t>8.</w:t>
            </w:r>
          </w:p>
        </w:tc>
        <w:tc>
          <w:tcPr>
            <w:tcW w:w="5103" w:type="dxa"/>
            <w:noWrap/>
          </w:tcPr>
          <w:p>
            <w:pPr>
              <w:pStyle w:val="TableNAm"/>
            </w:pPr>
            <w:r>
              <w:t>That on a specified day or during a specified period a body was or was not a native title representative body for a specified area</w:t>
            </w:r>
          </w:p>
        </w:tc>
      </w:tr>
      <w:tr>
        <w:trPr>
          <w:cantSplit/>
        </w:trPr>
        <w:tc>
          <w:tcPr>
            <w:tcW w:w="964" w:type="dxa"/>
            <w:noWrap/>
          </w:tcPr>
          <w:p>
            <w:pPr>
              <w:pStyle w:val="TableNAm"/>
            </w:pPr>
            <w:r>
              <w:t>9.</w:t>
            </w:r>
          </w:p>
        </w:tc>
        <w:tc>
          <w:tcPr>
            <w:tcW w:w="5103" w:type="dxa"/>
            <w:noWrap/>
          </w:tcPr>
          <w:p>
            <w:pPr>
              <w:pStyle w:val="TableNAm"/>
            </w:pPr>
            <w:r>
              <w:t>That on a specified day or during a specified period a person was or was not an inspector, an Aboriginal inspector or a person authorised to assist an inspector or an Aboriginal inspector</w:t>
            </w:r>
          </w:p>
        </w:tc>
      </w:tr>
      <w:tr>
        <w:trPr>
          <w:cantSplit/>
        </w:trPr>
        <w:tc>
          <w:tcPr>
            <w:tcW w:w="964" w:type="dxa"/>
            <w:noWrap/>
          </w:tcPr>
          <w:p>
            <w:pPr>
              <w:pStyle w:val="TableNAm"/>
            </w:pPr>
            <w:r>
              <w:t>10.</w:t>
            </w:r>
          </w:p>
        </w:tc>
        <w:tc>
          <w:tcPr>
            <w:tcW w:w="5103" w:type="dxa"/>
            <w:noWrap/>
          </w:tcPr>
          <w:p>
            <w:pPr>
              <w:pStyle w:val="TableNAm"/>
            </w:pPr>
            <w:r>
              <w:t>That on a specified day or during a specified period a specified area did or did not include any area that was part of a protected area</w:t>
            </w:r>
          </w:p>
        </w:tc>
      </w:tr>
      <w:tr>
        <w:trPr>
          <w:cantSplit/>
        </w:trPr>
        <w:tc>
          <w:tcPr>
            <w:tcW w:w="964" w:type="dxa"/>
            <w:noWrap/>
          </w:tcPr>
          <w:p>
            <w:pPr>
              <w:pStyle w:val="TableNAm"/>
            </w:pPr>
            <w:r>
              <w:t>11.</w:t>
            </w:r>
          </w:p>
        </w:tc>
        <w:tc>
          <w:tcPr>
            <w:tcW w:w="5103" w:type="dxa"/>
            <w:noWrap/>
          </w:tcPr>
          <w:p>
            <w:pPr>
              <w:pStyle w:val="TableNAm"/>
            </w:pPr>
            <w:r>
              <w:t>That on a specified day or during a specified period specified Aboriginal cultural heritage was determined under section 176(1)(b) to be or not to be of State significance for the purposes of this Act</w:t>
            </w:r>
          </w:p>
        </w:tc>
      </w:tr>
      <w:tr>
        <w:trPr>
          <w:cantSplit/>
        </w:trPr>
        <w:tc>
          <w:tcPr>
            <w:tcW w:w="964" w:type="dxa"/>
            <w:noWrap/>
          </w:tcPr>
          <w:p>
            <w:pPr>
              <w:pStyle w:val="TableNAm"/>
            </w:pPr>
            <w:r>
              <w:t>12.</w:t>
            </w:r>
          </w:p>
        </w:tc>
        <w:tc>
          <w:tcPr>
            <w:tcW w:w="5103" w:type="dxa"/>
            <w:noWrap/>
          </w:tcPr>
          <w:p>
            <w:pPr>
              <w:pStyle w:val="TableNAm"/>
            </w:pPr>
            <w:r>
              <w:t>That on a specified day or during a specified period a person held or did not hold a specified office</w:t>
            </w:r>
          </w:p>
        </w:tc>
      </w:tr>
    </w:tbl>
    <w:p>
      <w:pPr>
        <w:pStyle w:val="Subsection"/>
        <w:keepNext/>
      </w:pPr>
      <w:r>
        <w:tab/>
        <w:t>(4)</w:t>
      </w:r>
      <w:r>
        <w:tab/>
        <w:t xml:space="preserve">Production of a certificate purporting to be signed by an authorised person and stating any of the matters listed in the </w:t>
      </w:r>
      <w:r>
        <w:lastRenderedPageBreak/>
        <w:t>Table is, without proof of the authorised person’s signature,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That on a specified day or during a specified period a specified place was or was not an Aboriginal place</w:t>
            </w:r>
          </w:p>
        </w:tc>
      </w:tr>
      <w:tr>
        <w:tc>
          <w:tcPr>
            <w:tcW w:w="964" w:type="dxa"/>
            <w:noWrap/>
          </w:tcPr>
          <w:p>
            <w:pPr>
              <w:pStyle w:val="TableNAm"/>
            </w:pPr>
            <w:r>
              <w:t>2.</w:t>
            </w:r>
          </w:p>
        </w:tc>
        <w:tc>
          <w:tcPr>
            <w:tcW w:w="5103" w:type="dxa"/>
            <w:noWrap/>
          </w:tcPr>
          <w:p>
            <w:pPr>
              <w:pStyle w:val="TableNAm"/>
            </w:pPr>
            <w:r>
              <w:t>That on a specified day or during a specified period a specified thing was or was not an Aboriginal object</w:t>
            </w:r>
          </w:p>
        </w:tc>
      </w:tr>
      <w:tr>
        <w:tc>
          <w:tcPr>
            <w:tcW w:w="964" w:type="dxa"/>
            <w:noWrap/>
          </w:tcPr>
          <w:p>
            <w:pPr>
              <w:pStyle w:val="TableNAm"/>
            </w:pPr>
            <w:r>
              <w:t>3.</w:t>
            </w:r>
          </w:p>
        </w:tc>
        <w:tc>
          <w:tcPr>
            <w:tcW w:w="5103" w:type="dxa"/>
            <w:noWrap/>
          </w:tcPr>
          <w:p>
            <w:pPr>
              <w:pStyle w:val="TableNAm"/>
            </w:pPr>
            <w:r>
              <w:t>That on a specified day or during a specified period a specified thing was or was not a secret or sacred object</w:t>
            </w:r>
          </w:p>
        </w:tc>
      </w:tr>
      <w:tr>
        <w:tc>
          <w:tcPr>
            <w:tcW w:w="964" w:type="dxa"/>
            <w:noWrap/>
          </w:tcPr>
          <w:p>
            <w:pPr>
              <w:pStyle w:val="TableNAm"/>
            </w:pPr>
            <w:r>
              <w:t>4.</w:t>
            </w:r>
          </w:p>
        </w:tc>
        <w:tc>
          <w:tcPr>
            <w:tcW w:w="5103" w:type="dxa"/>
            <w:noWrap/>
          </w:tcPr>
          <w:p>
            <w:pPr>
              <w:pStyle w:val="TableNAm"/>
            </w:pPr>
            <w:r>
              <w:t>That on a specified day or during a specified period specified human remains were or were not Aboriginal ancestral remains</w:t>
            </w:r>
          </w:p>
        </w:tc>
      </w:tr>
      <w:tr>
        <w:tc>
          <w:tcPr>
            <w:tcW w:w="964" w:type="dxa"/>
            <w:noWrap/>
          </w:tcPr>
          <w:p>
            <w:pPr>
              <w:pStyle w:val="TableNAm"/>
            </w:pPr>
            <w:r>
              <w:t>5.</w:t>
            </w:r>
          </w:p>
        </w:tc>
        <w:tc>
          <w:tcPr>
            <w:tcW w:w="5103" w:type="dxa"/>
            <w:noWrap/>
          </w:tcPr>
          <w:p>
            <w:pPr>
              <w:pStyle w:val="TableNAm"/>
            </w:pPr>
            <w:r>
              <w:t>That on a specified day or during a specified period a specified person was or was not a custodian of Aboriginal ancestral remains</w:t>
            </w:r>
          </w:p>
        </w:tc>
      </w:tr>
      <w:tr>
        <w:tc>
          <w:tcPr>
            <w:tcW w:w="964" w:type="dxa"/>
            <w:noWrap/>
          </w:tcPr>
          <w:p>
            <w:pPr>
              <w:pStyle w:val="TableNAm"/>
            </w:pPr>
            <w:r>
              <w:t>6.</w:t>
            </w:r>
          </w:p>
        </w:tc>
        <w:tc>
          <w:tcPr>
            <w:tcW w:w="5103" w:type="dxa"/>
            <w:noWrap/>
          </w:tcPr>
          <w:p>
            <w:pPr>
              <w:pStyle w:val="TableNAm"/>
            </w:pPr>
            <w:r>
              <w:t>That on a specified day or during a specified period a specified person was or was not a custodian of a specified secret or sacred object</w:t>
            </w:r>
          </w:p>
        </w:tc>
      </w:tr>
      <w:tr>
        <w:tc>
          <w:tcPr>
            <w:tcW w:w="964" w:type="dxa"/>
            <w:noWrap/>
          </w:tcPr>
          <w:p>
            <w:pPr>
              <w:pStyle w:val="TableNAm"/>
            </w:pPr>
            <w:r>
              <w:t>7.</w:t>
            </w:r>
          </w:p>
        </w:tc>
        <w:tc>
          <w:tcPr>
            <w:tcW w:w="5103" w:type="dxa"/>
            <w:noWrap/>
          </w:tcPr>
          <w:p>
            <w:pPr>
              <w:pStyle w:val="TableNAm"/>
            </w:pPr>
            <w:r>
              <w:t>That on a specified day or during a specified period a person was or was not a knowledge holder for a specified area</w:t>
            </w:r>
          </w:p>
        </w:tc>
      </w:tr>
    </w:tbl>
    <w:p>
      <w:pPr>
        <w:pStyle w:val="Subsection"/>
        <w:keepNext/>
      </w:pPr>
      <w:r>
        <w:tab/>
        <w:t>(5)</w:t>
      </w:r>
      <w:r>
        <w:tab/>
        <w:t>Subsections (3) and (4) only apply if —</w:t>
      </w:r>
    </w:p>
    <w:p>
      <w:pPr>
        <w:pStyle w:val="Indenta"/>
      </w:pPr>
      <w:r>
        <w:tab/>
        <w:t>(a)</w:t>
      </w:r>
      <w:r>
        <w:tab/>
        <w:t xml:space="preserve">at least 28 days before the hearing at which the certificate is proposed to be produced, written notice </w:t>
      </w:r>
      <w:r>
        <w:lastRenderedPageBreak/>
        <w:t>was given to the accused of the prosecutor’s intention to produce the certificate; and</w:t>
      </w:r>
    </w:p>
    <w:p>
      <w:pPr>
        <w:pStyle w:val="Indenta"/>
      </w:pPr>
      <w:r>
        <w:tab/>
        <w:t>(b)</w:t>
      </w:r>
      <w:r>
        <w:tab/>
        <w:t>the accused has not, within 14 days after receipt of the notice, delivered to the prosecutor a notice requiring that the evidence of the CEO or the authorised person be given in person.</w:t>
      </w:r>
    </w:p>
    <w:p>
      <w:pPr>
        <w:pStyle w:val="Subsection"/>
      </w:pPr>
      <w:r>
        <w:tab/>
        <w:t>(6)</w:t>
      </w:r>
      <w:r>
        <w:tab/>
        <w:t>The court before which proceedings are held may, in addition to making any other order as to costs, make any order it thinks fit as to the expenses and remuneration to be paid for the services of the CEO or the authorised person.</w:t>
      </w:r>
    </w:p>
    <w:p>
      <w:pPr>
        <w:pStyle w:val="Heading5"/>
      </w:pPr>
      <w:bookmarkStart w:id="349" w:name="_Toc154742975"/>
      <w:r>
        <w:rPr>
          <w:rStyle w:val="CharSectno"/>
        </w:rPr>
        <w:t>273</w:t>
      </w:r>
      <w:r>
        <w:t>.</w:t>
      </w:r>
      <w:r>
        <w:tab/>
        <w:t>Evidence in relation to documents</w:t>
      </w:r>
      <w:bookmarkEnd w:id="349"/>
    </w:p>
    <w:p>
      <w:pPr>
        <w:pStyle w:val="Subsection"/>
        <w:keepNext/>
      </w:pPr>
      <w:r>
        <w:tab/>
        <w:t>(1)</w:t>
      </w:r>
      <w:r>
        <w:tab/>
        <w:t>A document certified by the CEO to be a true copy of an instrument as at a specified date —</w:t>
      </w:r>
    </w:p>
    <w:p>
      <w:pPr>
        <w:pStyle w:val="Indenta"/>
      </w:pPr>
      <w:r>
        <w:tab/>
        <w:t>(a)</w:t>
      </w:r>
      <w:r>
        <w:tab/>
        <w:t>is taken to be proved to be a copy of the original document as at that date; and</w:t>
      </w:r>
    </w:p>
    <w:p>
      <w:pPr>
        <w:pStyle w:val="Indenta"/>
      </w:pPr>
      <w:r>
        <w:tab/>
        <w:t>(b)</w:t>
      </w:r>
      <w:r>
        <w:tab/>
        <w:t>is admissible in the same way, and has the same evidentiary value, as the original.</w:t>
      </w:r>
    </w:p>
    <w:p>
      <w:pPr>
        <w:pStyle w:val="Subsection"/>
      </w:pPr>
      <w:r>
        <w:tab/>
        <w:t>(2)</w:t>
      </w:r>
      <w:r>
        <w:tab/>
        <w:t>A document certified by the CEO to be a true copy of the ACH Directory, or any part of the Directory, as at a specified date is taken to be proof of the contents of the Directory, or that part of the Directory, as at that date.</w:t>
      </w:r>
    </w:p>
    <w:p>
      <w:pPr>
        <w:pStyle w:val="Subsection"/>
      </w:pPr>
      <w:r>
        <w:tab/>
        <w:t>(3)</w:t>
      </w:r>
      <w:r>
        <w:tab/>
        <w:t>A document certified by the CEO to be a true copy of specified guidelines as at a specified date or during a specified period is taken to be proof of the contents of the guidelines as at that date or during that period.</w:t>
      </w:r>
    </w:p>
    <w:p>
      <w:pPr>
        <w:pStyle w:val="Subsection"/>
      </w:pPr>
      <w:r>
        <w:tab/>
        <w:t>(4)</w:t>
      </w:r>
      <w:r>
        <w:tab/>
        <w:t>A document purporting to have been signed by a delegate of the Minister, the ACH Council or the CEO is taken to have been signed by a person who at the time was such a delegate and was authorised to sign it.</w:t>
      </w:r>
    </w:p>
    <w:p>
      <w:pPr>
        <w:pStyle w:val="Subsection"/>
      </w:pPr>
      <w:r>
        <w:tab/>
        <w:t>(5)</w:t>
      </w:r>
      <w:r>
        <w:tab/>
        <w:t xml:space="preserve">A copy of a document or record obtained by an inspector or an Aboriginal inspector exercising a power under Part 10 </w:t>
      </w:r>
      <w:r>
        <w:lastRenderedPageBreak/>
        <w:t>Division 3 is admissible in evidence if it is certified by the inspector or the Aboriginal inspector, as is relevant, as having been obtained in the exercise of that power.</w:t>
      </w:r>
    </w:p>
    <w:p>
      <w:pPr>
        <w:pStyle w:val="Heading5"/>
      </w:pPr>
      <w:bookmarkStart w:id="350" w:name="_Toc154742976"/>
      <w:r>
        <w:rPr>
          <w:rStyle w:val="CharSectno"/>
        </w:rPr>
        <w:t>274</w:t>
      </w:r>
      <w:r>
        <w:t>.</w:t>
      </w:r>
      <w:r>
        <w:tab/>
        <w:t>Onus of proving certain matters</w:t>
      </w:r>
      <w:bookmarkEnd w:id="350"/>
    </w:p>
    <w:p>
      <w:pPr>
        <w:pStyle w:val="Subsection"/>
        <w:keepNext/>
      </w:pPr>
      <w:r>
        <w:tab/>
      </w:r>
      <w:r>
        <w:tab/>
        <w:t>In any proceedings for an offence under this Act, the onus of proving a matter listed in the Table lies with the person asserting the matter.</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That a person has undertaken consultation in accordance with the consultation guidelines</w:t>
            </w:r>
          </w:p>
        </w:tc>
      </w:tr>
      <w:tr>
        <w:trPr>
          <w:cantSplit/>
        </w:trPr>
        <w:tc>
          <w:tcPr>
            <w:tcW w:w="964" w:type="dxa"/>
            <w:noWrap/>
          </w:tcPr>
          <w:p>
            <w:pPr>
              <w:pStyle w:val="TableNAm"/>
            </w:pPr>
            <w:r>
              <w:t>2</w:t>
            </w:r>
          </w:p>
        </w:tc>
        <w:tc>
          <w:tcPr>
            <w:tcW w:w="5103" w:type="dxa"/>
            <w:noWrap/>
          </w:tcPr>
          <w:p>
            <w:pPr>
              <w:pStyle w:val="TableNAm"/>
            </w:pPr>
            <w:r>
              <w:t>That a person has undertaken a due diligence assessment in accordance with the ACH Management Code</w:t>
            </w:r>
          </w:p>
        </w:tc>
      </w:tr>
      <w:tr>
        <w:trPr>
          <w:cantSplit/>
        </w:trPr>
        <w:tc>
          <w:tcPr>
            <w:tcW w:w="964" w:type="dxa"/>
            <w:noWrap/>
          </w:tcPr>
          <w:p>
            <w:pPr>
              <w:pStyle w:val="TableNAm"/>
            </w:pPr>
            <w:r>
              <w:t>3.</w:t>
            </w:r>
          </w:p>
        </w:tc>
        <w:tc>
          <w:tcPr>
            <w:tcW w:w="5103" w:type="dxa"/>
            <w:noWrap/>
          </w:tcPr>
          <w:p>
            <w:pPr>
              <w:pStyle w:val="TableNAm"/>
            </w:pPr>
            <w:r>
              <w:t>That conduct was engaged in with reasonable excuse</w:t>
            </w:r>
          </w:p>
        </w:tc>
      </w:tr>
    </w:tbl>
    <w:p>
      <w:pPr>
        <w:pStyle w:val="Heading2"/>
      </w:pPr>
      <w:bookmarkStart w:id="351" w:name="_Toc154742977"/>
      <w:r>
        <w:rPr>
          <w:rStyle w:val="CharPartNo"/>
        </w:rPr>
        <w:lastRenderedPageBreak/>
        <w:t>Part 12</w:t>
      </w:r>
      <w:r>
        <w:t> — </w:t>
      </w:r>
      <w:r>
        <w:rPr>
          <w:rStyle w:val="CharPartText"/>
        </w:rPr>
        <w:t>Review by State Administrative Tribunal</w:t>
      </w:r>
      <w:bookmarkEnd w:id="351"/>
    </w:p>
    <w:p>
      <w:pPr>
        <w:pStyle w:val="Heading3"/>
      </w:pPr>
      <w:bookmarkStart w:id="352" w:name="_Toc154742978"/>
      <w:r>
        <w:rPr>
          <w:rStyle w:val="CharDivNo"/>
        </w:rPr>
        <w:t>Division 1</w:t>
      </w:r>
      <w:r>
        <w:t> — </w:t>
      </w:r>
      <w:r>
        <w:rPr>
          <w:rStyle w:val="CharDivText"/>
        </w:rPr>
        <w:t>Preliminary</w:t>
      </w:r>
      <w:bookmarkEnd w:id="352"/>
    </w:p>
    <w:p>
      <w:pPr>
        <w:pStyle w:val="Heading5"/>
      </w:pPr>
      <w:bookmarkStart w:id="353" w:name="_Toc154742979"/>
      <w:r>
        <w:rPr>
          <w:rStyle w:val="CharSectno"/>
        </w:rPr>
        <w:t>275</w:t>
      </w:r>
      <w:r>
        <w:t>.</w:t>
      </w:r>
      <w:r>
        <w:tab/>
        <w:t>Application of Part</w:t>
      </w:r>
      <w:bookmarkEnd w:id="353"/>
    </w:p>
    <w:p>
      <w:pPr>
        <w:pStyle w:val="Subsection"/>
      </w:pPr>
      <w:r>
        <w:tab/>
      </w:r>
      <w:r>
        <w:tab/>
        <w:t>This Part applies where jurisdiction is conferred on the State Administrative Tribunal under Division 2 in relation to the review of a decision under this Act.</w:t>
      </w:r>
    </w:p>
    <w:p>
      <w:pPr>
        <w:pStyle w:val="Heading5"/>
      </w:pPr>
      <w:bookmarkStart w:id="354" w:name="_Toc154742980"/>
      <w:r>
        <w:rPr>
          <w:rStyle w:val="CharSectno"/>
        </w:rPr>
        <w:t>276</w:t>
      </w:r>
      <w:r>
        <w:t>.</w:t>
      </w:r>
      <w:r>
        <w:tab/>
        <w:t>Terms used</w:t>
      </w:r>
      <w:bookmarkEnd w:id="354"/>
    </w:p>
    <w:p>
      <w:pPr>
        <w:pStyle w:val="Subsection"/>
      </w:pPr>
      <w:r>
        <w:tab/>
      </w:r>
      <w:r>
        <w:tab/>
        <w:t xml:space="preserve">In this Part — </w:t>
      </w:r>
    </w:p>
    <w:p>
      <w:pPr>
        <w:pStyle w:val="Defstart"/>
      </w:pPr>
      <w:r>
        <w:tab/>
      </w:r>
      <w:r>
        <w:rPr>
          <w:rStyle w:val="CharDefText"/>
        </w:rPr>
        <w:t>affected person</w:t>
      </w:r>
      <w:r>
        <w:t xml:space="preserve">, in relation to a reviewable decision, has the meaning given in section 277(1)(b); </w:t>
      </w:r>
    </w:p>
    <w:p>
      <w:pPr>
        <w:pStyle w:val="Defstart"/>
      </w:pPr>
      <w:r>
        <w:tab/>
      </w:r>
      <w:r>
        <w:rPr>
          <w:rStyle w:val="CharDefText"/>
        </w:rPr>
        <w:t>reviewable decision</w:t>
      </w:r>
      <w:r>
        <w:t xml:space="preserve"> has the meaning given in section 277(1)(a).</w:t>
      </w:r>
    </w:p>
    <w:p>
      <w:pPr>
        <w:pStyle w:val="Heading3"/>
      </w:pPr>
      <w:bookmarkStart w:id="355" w:name="_Toc154742981"/>
      <w:r>
        <w:rPr>
          <w:rStyle w:val="CharDivNo"/>
        </w:rPr>
        <w:t>Division 2</w:t>
      </w:r>
      <w:r>
        <w:t> — </w:t>
      </w:r>
      <w:r>
        <w:rPr>
          <w:rStyle w:val="CharDivText"/>
        </w:rPr>
        <w:t>Review by State Administrative Tribunal</w:t>
      </w:r>
      <w:bookmarkEnd w:id="355"/>
    </w:p>
    <w:p>
      <w:pPr>
        <w:pStyle w:val="Heading5"/>
      </w:pPr>
      <w:bookmarkStart w:id="356" w:name="_Toc154742982"/>
      <w:r>
        <w:rPr>
          <w:rStyle w:val="CharSectno"/>
        </w:rPr>
        <w:t>277</w:t>
      </w:r>
      <w:r>
        <w:t>.</w:t>
      </w:r>
      <w:r>
        <w:tab/>
        <w:t>Review of certain decisions</w:t>
      </w:r>
      <w:bookmarkEnd w:id="356"/>
    </w:p>
    <w:p>
      <w:pPr>
        <w:pStyle w:val="Subsection"/>
      </w:pPr>
      <w:r>
        <w:tab/>
        <w:t>(1)</w:t>
      </w:r>
      <w:r>
        <w:tab/>
        <w:t xml:space="preserve">The Table sets out — </w:t>
      </w:r>
    </w:p>
    <w:p>
      <w:pPr>
        <w:pStyle w:val="Indenta"/>
      </w:pPr>
      <w:r>
        <w:tab/>
        <w:t>(a)</w:t>
      </w:r>
      <w:r>
        <w:tab/>
        <w:t>decisions made under this Act that are reviewable in accordance with this Part (</w:t>
      </w:r>
      <w:r>
        <w:rPr>
          <w:rStyle w:val="CharDefText"/>
        </w:rPr>
        <w:t>reviewable decision</w:t>
      </w:r>
      <w:r>
        <w:t>); and</w:t>
      </w:r>
    </w:p>
    <w:p>
      <w:pPr>
        <w:pStyle w:val="Indenta"/>
      </w:pPr>
      <w:r>
        <w:tab/>
        <w:t>(b)</w:t>
      </w:r>
      <w:r>
        <w:tab/>
        <w:t xml:space="preserve">who is eligible to apply for a review of a reviewable decision (the </w:t>
      </w:r>
      <w:r>
        <w:rPr>
          <w:rStyle w:val="CharDefText"/>
        </w:rPr>
        <w:t>affected person</w:t>
      </w:r>
      <w:r>
        <w:t>).</w:t>
      </w:r>
    </w:p>
    <w:p>
      <w:pPr>
        <w:pStyle w:val="THeadingNAm"/>
      </w:pPr>
      <w:r>
        <w:t>Table</w:t>
      </w:r>
    </w:p>
    <w:tbl>
      <w:tblPr>
        <w:tblW w:w="623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260"/>
        <w:gridCol w:w="2268"/>
      </w:tblGrid>
      <w:tr>
        <w:trPr>
          <w:tblHeader/>
        </w:trPr>
        <w:tc>
          <w:tcPr>
            <w:tcW w:w="709" w:type="dxa"/>
            <w:noWrap/>
          </w:tcPr>
          <w:p>
            <w:pPr>
              <w:pStyle w:val="TableNAm"/>
              <w:jc w:val="center"/>
              <w:rPr>
                <w:b/>
                <w:bCs/>
              </w:rPr>
            </w:pPr>
            <w:r>
              <w:rPr>
                <w:b/>
                <w:bCs/>
              </w:rPr>
              <w:t>Item</w:t>
            </w:r>
          </w:p>
        </w:tc>
        <w:tc>
          <w:tcPr>
            <w:tcW w:w="3260" w:type="dxa"/>
            <w:noWrap/>
          </w:tcPr>
          <w:p>
            <w:pPr>
              <w:pStyle w:val="TableNAm"/>
              <w:jc w:val="center"/>
              <w:rPr>
                <w:b/>
                <w:bCs/>
              </w:rPr>
            </w:pPr>
            <w:r>
              <w:rPr>
                <w:b/>
                <w:bCs/>
              </w:rPr>
              <w:t>Reviewable decision</w:t>
            </w:r>
          </w:p>
        </w:tc>
        <w:tc>
          <w:tcPr>
            <w:tcW w:w="2268" w:type="dxa"/>
            <w:noWrap/>
          </w:tcPr>
          <w:p>
            <w:pPr>
              <w:pStyle w:val="TableNAm"/>
              <w:jc w:val="center"/>
              <w:rPr>
                <w:b/>
                <w:bCs/>
              </w:rPr>
            </w:pPr>
            <w:r>
              <w:rPr>
                <w:b/>
                <w:bCs/>
              </w:rPr>
              <w:t>Affected person</w:t>
            </w:r>
          </w:p>
        </w:tc>
      </w:tr>
      <w:tr>
        <w:tc>
          <w:tcPr>
            <w:tcW w:w="709" w:type="dxa"/>
            <w:noWrap/>
          </w:tcPr>
          <w:p>
            <w:pPr>
              <w:pStyle w:val="TableNAm"/>
            </w:pPr>
            <w:r>
              <w:t>1.</w:t>
            </w:r>
          </w:p>
        </w:tc>
        <w:tc>
          <w:tcPr>
            <w:tcW w:w="3260" w:type="dxa"/>
            <w:noWrap/>
          </w:tcPr>
          <w:p>
            <w:pPr>
              <w:pStyle w:val="TableNAm"/>
            </w:pPr>
            <w:r>
              <w:t>A decision of the Minister under section 154(1) to cancel or suspend the approval of an ACH management plan</w:t>
            </w:r>
          </w:p>
        </w:tc>
        <w:tc>
          <w:tcPr>
            <w:tcW w:w="2268" w:type="dxa"/>
            <w:noWrap/>
          </w:tcPr>
          <w:p>
            <w:pPr>
              <w:pStyle w:val="TableNAm"/>
            </w:pPr>
            <w:r>
              <w:t>A party to the ACH management plan</w:t>
            </w:r>
          </w:p>
        </w:tc>
      </w:tr>
      <w:tr>
        <w:tc>
          <w:tcPr>
            <w:tcW w:w="709" w:type="dxa"/>
            <w:noWrap/>
          </w:tcPr>
          <w:p>
            <w:pPr>
              <w:pStyle w:val="TableNAm"/>
            </w:pPr>
            <w:r>
              <w:lastRenderedPageBreak/>
              <w:t>2.</w:t>
            </w:r>
          </w:p>
        </w:tc>
        <w:tc>
          <w:tcPr>
            <w:tcW w:w="3260" w:type="dxa"/>
            <w:noWrap/>
          </w:tcPr>
          <w:p>
            <w:pPr>
              <w:pStyle w:val="TableNAm"/>
            </w:pPr>
            <w:r>
              <w:t>A decision of the Minister under section 180(1) to give a stop activity order</w:t>
            </w:r>
          </w:p>
        </w:tc>
        <w:tc>
          <w:tcPr>
            <w:tcW w:w="2268" w:type="dxa"/>
            <w:noWrap/>
          </w:tcPr>
          <w:p>
            <w:pPr>
              <w:pStyle w:val="TableNAm"/>
            </w:pPr>
            <w:r>
              <w:t>The person who was given the stop activity order</w:t>
            </w:r>
          </w:p>
        </w:tc>
      </w:tr>
      <w:tr>
        <w:tc>
          <w:tcPr>
            <w:tcW w:w="709" w:type="dxa"/>
            <w:noWrap/>
          </w:tcPr>
          <w:p>
            <w:pPr>
              <w:pStyle w:val="TableNAm"/>
            </w:pPr>
            <w:r>
              <w:t>3.</w:t>
            </w:r>
          </w:p>
        </w:tc>
        <w:tc>
          <w:tcPr>
            <w:tcW w:w="3260" w:type="dxa"/>
            <w:noWrap/>
          </w:tcPr>
          <w:p>
            <w:pPr>
              <w:pStyle w:val="TableNAm"/>
            </w:pPr>
            <w:r>
              <w:t>A decision of the Minister under section 188(1)(b)(i) to give a prohibition order</w:t>
            </w:r>
          </w:p>
        </w:tc>
        <w:tc>
          <w:tcPr>
            <w:tcW w:w="2268" w:type="dxa"/>
            <w:noWrap/>
          </w:tcPr>
          <w:p>
            <w:pPr>
              <w:pStyle w:val="TableNAm"/>
            </w:pPr>
            <w:r>
              <w:t>The person who was given the prohibition order</w:t>
            </w:r>
          </w:p>
        </w:tc>
      </w:tr>
      <w:tr>
        <w:tc>
          <w:tcPr>
            <w:tcW w:w="709" w:type="dxa"/>
            <w:noWrap/>
          </w:tcPr>
          <w:p>
            <w:pPr>
              <w:pStyle w:val="TableNAm"/>
            </w:pPr>
            <w:r>
              <w:t>4.</w:t>
            </w:r>
          </w:p>
        </w:tc>
        <w:tc>
          <w:tcPr>
            <w:tcW w:w="3260" w:type="dxa"/>
            <w:noWrap/>
          </w:tcPr>
          <w:p>
            <w:pPr>
              <w:pStyle w:val="TableNAm"/>
            </w:pPr>
            <w:r>
              <w:t>A decision of the Minister under section 191(1) to extend the term of a prohibition order</w:t>
            </w:r>
          </w:p>
        </w:tc>
        <w:tc>
          <w:tcPr>
            <w:tcW w:w="2268" w:type="dxa"/>
            <w:noWrap/>
          </w:tcPr>
          <w:p>
            <w:pPr>
              <w:pStyle w:val="TableNAm"/>
            </w:pPr>
            <w:r>
              <w:t>The person who was given the prohibition order</w:t>
            </w:r>
          </w:p>
        </w:tc>
      </w:tr>
      <w:tr>
        <w:tc>
          <w:tcPr>
            <w:tcW w:w="709" w:type="dxa"/>
            <w:noWrap/>
          </w:tcPr>
          <w:p>
            <w:pPr>
              <w:pStyle w:val="TableNAm"/>
            </w:pPr>
            <w:r>
              <w:t>5.</w:t>
            </w:r>
          </w:p>
        </w:tc>
        <w:tc>
          <w:tcPr>
            <w:tcW w:w="3260" w:type="dxa"/>
            <w:noWrap/>
          </w:tcPr>
          <w:p>
            <w:pPr>
              <w:pStyle w:val="TableNAm"/>
            </w:pPr>
            <w:r>
              <w:t>A decision of the Minister under section 194(1) to give a remediation order</w:t>
            </w:r>
          </w:p>
        </w:tc>
        <w:tc>
          <w:tcPr>
            <w:tcW w:w="2268" w:type="dxa"/>
            <w:noWrap/>
          </w:tcPr>
          <w:p>
            <w:pPr>
              <w:pStyle w:val="TableNAm"/>
            </w:pPr>
            <w:r>
              <w:t xml:space="preserve">The person who was given the remediation order </w:t>
            </w:r>
          </w:p>
        </w:tc>
      </w:tr>
      <w:tr>
        <w:tc>
          <w:tcPr>
            <w:tcW w:w="709" w:type="dxa"/>
            <w:noWrap/>
          </w:tcPr>
          <w:p>
            <w:pPr>
              <w:pStyle w:val="TableNAm"/>
            </w:pPr>
            <w:r>
              <w:t>6.</w:t>
            </w:r>
          </w:p>
        </w:tc>
        <w:tc>
          <w:tcPr>
            <w:tcW w:w="3260" w:type="dxa"/>
            <w:noWrap/>
          </w:tcPr>
          <w:p>
            <w:pPr>
              <w:pStyle w:val="TableNAm"/>
            </w:pPr>
            <w:r>
              <w:t>A decision by the Minister under section 203(1)(a) to amend or cancel a prohibition order</w:t>
            </w:r>
          </w:p>
          <w:p/>
        </w:tc>
        <w:tc>
          <w:tcPr>
            <w:tcW w:w="2268" w:type="dxa"/>
            <w:noWrap/>
          </w:tcPr>
          <w:p>
            <w:pPr>
              <w:pStyle w:val="TableNAm"/>
            </w:pPr>
            <w:r>
              <w:t>The person who was given the prohibition order</w:t>
            </w:r>
          </w:p>
          <w:p>
            <w:pPr>
              <w:pStyle w:val="TableNAm"/>
            </w:pPr>
            <w:r>
              <w:t>A person referred to in section 187(3)(b) to (d)</w:t>
            </w:r>
          </w:p>
        </w:tc>
      </w:tr>
    </w:tbl>
    <w:p>
      <w:pPr>
        <w:pStyle w:val="Subsection"/>
      </w:pPr>
      <w:r>
        <w:tab/>
        <w:t>(2)</w:t>
      </w:r>
      <w:r>
        <w:tab/>
        <w:t>An affected person who is aggrieved by a reviewable decision may apply to the State Administrative Tribunal for a review of the decision.</w:t>
      </w:r>
    </w:p>
    <w:p>
      <w:pPr>
        <w:pStyle w:val="Subsection"/>
      </w:pPr>
      <w:r>
        <w:tab/>
        <w:t>(3)</w:t>
      </w:r>
      <w:r>
        <w:tab/>
        <w:t>The application must be made within 28 days after the day on which notice of the reviewable decision is given.</w:t>
      </w:r>
    </w:p>
    <w:p>
      <w:pPr>
        <w:pStyle w:val="Subsection"/>
      </w:pPr>
      <w:r>
        <w:tab/>
        <w:t>(4)</w:t>
      </w:r>
      <w:r>
        <w:tab/>
        <w:t xml:space="preserve">For the purposes of the </w:t>
      </w:r>
      <w:r>
        <w:rPr>
          <w:i/>
        </w:rPr>
        <w:t>State Administrative Tribunal Act 2004</w:t>
      </w:r>
      <w:r>
        <w:t xml:space="preserve"> section 45(1)(b), each other affected person in relation to the reviewable decision is entitled to a copy of the application.</w:t>
      </w:r>
    </w:p>
    <w:p>
      <w:pPr>
        <w:pStyle w:val="Subsection"/>
        <w:keepNext/>
      </w:pPr>
      <w:r>
        <w:lastRenderedPageBreak/>
        <w:tab/>
        <w:t>(5)</w:t>
      </w:r>
      <w:r>
        <w:tab/>
        <w:t xml:space="preserve">Despite the </w:t>
      </w:r>
      <w:r>
        <w:rPr>
          <w:i/>
        </w:rPr>
        <w:t>State Administrative Tribunal Act 2004</w:t>
      </w:r>
      <w:r>
        <w:t xml:space="preserve"> section 61, the State Administrative Tribunal may — </w:t>
      </w:r>
    </w:p>
    <w:p>
      <w:pPr>
        <w:pStyle w:val="Indenta"/>
      </w:pPr>
      <w:r>
        <w:tab/>
        <w:t>(a)</w:t>
      </w:r>
      <w:r>
        <w:tab/>
        <w:t>order that the hearing of a review, or any part of the hearing, be held in private; and</w:t>
      </w:r>
    </w:p>
    <w:p>
      <w:pPr>
        <w:pStyle w:val="Indenta"/>
      </w:pPr>
      <w:r>
        <w:tab/>
        <w:t>(b)</w:t>
      </w:r>
      <w:r>
        <w:tab/>
        <w:t>specify the persons who may be present at the hearing.</w:t>
      </w:r>
    </w:p>
    <w:p>
      <w:pPr>
        <w:pStyle w:val="Subsection"/>
      </w:pPr>
      <w:r>
        <w:tab/>
        <w:t>(6)</w:t>
      </w:r>
      <w:r>
        <w:tab/>
        <w:t xml:space="preserve">The State Administrative Tribunal’s power to make an order under subsection (5) is exercisable by — </w:t>
      </w:r>
    </w:p>
    <w:p>
      <w:pPr>
        <w:pStyle w:val="Indenta"/>
      </w:pPr>
      <w:r>
        <w:tab/>
        <w:t>(a)</w:t>
      </w:r>
      <w:r>
        <w:tab/>
        <w:t>a legally qualified member; or</w:t>
      </w:r>
    </w:p>
    <w:p>
      <w:pPr>
        <w:pStyle w:val="Indenta"/>
      </w:pPr>
      <w:r>
        <w:tab/>
        <w:t>(b)</w:t>
      </w:r>
      <w:r>
        <w:tab/>
        <w:t>if the Tribunal as constituted for a hearing does not consist of or include a legally qualified member, the presiding member.</w:t>
      </w:r>
    </w:p>
    <w:p>
      <w:pPr>
        <w:pStyle w:val="Subsection"/>
      </w:pPr>
      <w:r>
        <w:tab/>
        <w:t>(7)</w:t>
      </w:r>
      <w:r>
        <w:tab/>
        <w:t>The State Administrative Tribunal may make an order under subsection (5) if the Tribunal considers it necessary to do so.</w:t>
      </w:r>
    </w:p>
    <w:p>
      <w:pPr>
        <w:pStyle w:val="Heading5"/>
      </w:pPr>
      <w:bookmarkStart w:id="357" w:name="_Toc154742983"/>
      <w:r>
        <w:rPr>
          <w:rStyle w:val="CharSectno"/>
        </w:rPr>
        <w:t>278</w:t>
      </w:r>
      <w:r>
        <w:t>.</w:t>
      </w:r>
      <w:r>
        <w:tab/>
        <w:t>Notice of reviewable decisions must be given</w:t>
      </w:r>
      <w:bookmarkEnd w:id="357"/>
    </w:p>
    <w:p>
      <w:pPr>
        <w:pStyle w:val="Subsection"/>
      </w:pPr>
      <w:r>
        <w:tab/>
        <w:t>(1)</w:t>
      </w:r>
      <w:r>
        <w:tab/>
        <w:t>The decision</w:t>
      </w:r>
      <w:r>
        <w:noBreakHyphen/>
        <w:t>maker must give written notice of a reviewable decision within 14 days after the decision is made to each person who is an affected person in relation to the decision.</w:t>
      </w:r>
    </w:p>
    <w:p>
      <w:pPr>
        <w:pStyle w:val="Subsection"/>
      </w:pPr>
      <w:r>
        <w:tab/>
        <w:t>(2)</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an affected person who is aggrieved by the decision has a right to apply for a review of the decision under section 277 within 28 days after the day the notice is given.</w:t>
      </w:r>
    </w:p>
    <w:p>
      <w:pPr>
        <w:pStyle w:val="Heading2"/>
      </w:pPr>
      <w:bookmarkStart w:id="358" w:name="_Toc154742984"/>
      <w:r>
        <w:rPr>
          <w:rStyle w:val="CharPartNo"/>
        </w:rPr>
        <w:lastRenderedPageBreak/>
        <w:t>Part 13</w:t>
      </w:r>
      <w:r>
        <w:t> — </w:t>
      </w:r>
      <w:r>
        <w:rPr>
          <w:rStyle w:val="CharPartText"/>
        </w:rPr>
        <w:t>Miscellaneous</w:t>
      </w:r>
      <w:bookmarkEnd w:id="358"/>
    </w:p>
    <w:p>
      <w:pPr>
        <w:pStyle w:val="Heading3"/>
      </w:pPr>
      <w:bookmarkStart w:id="359" w:name="_Toc154742985"/>
      <w:r>
        <w:rPr>
          <w:rStyle w:val="CharDivNo"/>
        </w:rPr>
        <w:t>Division 1</w:t>
      </w:r>
      <w:r>
        <w:t> — </w:t>
      </w:r>
      <w:r>
        <w:rPr>
          <w:rStyle w:val="CharDivText"/>
        </w:rPr>
        <w:t>Aboriginal Cultural Heritage Account and Aboriginal Cultural Heritage Compensation Fund</w:t>
      </w:r>
      <w:bookmarkEnd w:id="359"/>
    </w:p>
    <w:p>
      <w:pPr>
        <w:pStyle w:val="Heading4"/>
      </w:pPr>
      <w:bookmarkStart w:id="360" w:name="_Toc154742986"/>
      <w:r>
        <w:t>Subdivision 1 — Aboriginal Cultural Heritage Account</w:t>
      </w:r>
      <w:bookmarkEnd w:id="360"/>
    </w:p>
    <w:p>
      <w:pPr>
        <w:pStyle w:val="Heading5"/>
      </w:pPr>
      <w:bookmarkStart w:id="361" w:name="_Toc154742987"/>
      <w:r>
        <w:rPr>
          <w:rStyle w:val="CharSectno"/>
        </w:rPr>
        <w:t>279</w:t>
      </w:r>
      <w:r>
        <w:t>.</w:t>
      </w:r>
      <w:r>
        <w:tab/>
        <w:t>Aboriginal Cultural Heritage Account</w:t>
      </w:r>
      <w:bookmarkEnd w:id="361"/>
    </w:p>
    <w:p>
      <w:pPr>
        <w:pStyle w:val="Subsection"/>
      </w:pPr>
      <w:r>
        <w:tab/>
        <w:t>(1)</w:t>
      </w:r>
      <w:r>
        <w:tab/>
        <w:t>An account called the Aboriginal Cultural Heritage Account (</w:t>
      </w:r>
      <w:r>
        <w:rPr>
          <w:rStyle w:val="CharDefText"/>
        </w:rPr>
        <w:t>ACH Account</w:t>
      </w:r>
      <w:r>
        <w:t>) is established.</w:t>
      </w:r>
    </w:p>
    <w:p>
      <w:pPr>
        <w:pStyle w:val="Subsection"/>
      </w:pPr>
      <w:r>
        <w:tab/>
        <w:t>(2)</w:t>
      </w:r>
      <w:r>
        <w:tab/>
        <w:t xml:space="preserve">The ACH Account is an agency special purpose account under the </w:t>
      </w:r>
      <w:r>
        <w:rPr>
          <w:i/>
        </w:rPr>
        <w:t>Financial Management Act 2006</w:t>
      </w:r>
      <w:r>
        <w:t xml:space="preserve"> section 16(1).</w:t>
      </w:r>
    </w:p>
    <w:p>
      <w:pPr>
        <w:pStyle w:val="Subsection"/>
      </w:pPr>
      <w:r>
        <w:tab/>
        <w:t>(3)</w:t>
      </w:r>
      <w:r>
        <w:tab/>
        <w:t>The ACH Account must be administered by the CEO.</w:t>
      </w:r>
    </w:p>
    <w:p>
      <w:pPr>
        <w:pStyle w:val="Subsection"/>
      </w:pPr>
      <w:r>
        <w:tab/>
        <w:t>(4)</w:t>
      </w:r>
      <w:r>
        <w:tab/>
        <w:t xml:space="preserve">The Treasurer cannot give a direction in relation to the ACH Account under the </w:t>
      </w:r>
      <w:r>
        <w:rPr>
          <w:i/>
        </w:rPr>
        <w:t>Financial Management Act 2006</w:t>
      </w:r>
      <w:r>
        <w:t xml:space="preserve"> section 20(1).</w:t>
      </w:r>
    </w:p>
    <w:p>
      <w:pPr>
        <w:pStyle w:val="Subsection"/>
      </w:pPr>
      <w:r>
        <w:tab/>
        <w:t>(5)</w:t>
      </w:r>
      <w:r>
        <w:tab/>
        <w:t xml:space="preserve">There is to be credited to the ACH Account the following — </w:t>
      </w:r>
    </w:p>
    <w:p>
      <w:pPr>
        <w:pStyle w:val="Indenta"/>
      </w:pPr>
      <w:r>
        <w:tab/>
        <w:t>(a)</w:t>
      </w:r>
      <w:r>
        <w:tab/>
        <w:t>fees and charges paid or recovered under this Act;</w:t>
      </w:r>
    </w:p>
    <w:p>
      <w:pPr>
        <w:pStyle w:val="Indenta"/>
      </w:pPr>
      <w:r>
        <w:tab/>
        <w:t>(b)</w:t>
      </w:r>
      <w:r>
        <w:tab/>
        <w:t>proceeds from the sale of any seized thing under section 241(4)(b);</w:t>
      </w:r>
    </w:p>
    <w:p>
      <w:pPr>
        <w:pStyle w:val="Indenta"/>
      </w:pPr>
      <w:r>
        <w:tab/>
        <w:t>(c)</w:t>
      </w:r>
      <w:r>
        <w:tab/>
        <w:t>an amount equal to an uncommitted amount paid to the ACH Council under a condition imposed under section 51(4);</w:t>
      </w:r>
    </w:p>
    <w:p>
      <w:pPr>
        <w:pStyle w:val="Indenta"/>
      </w:pPr>
      <w:r>
        <w:tab/>
        <w:t>(d)</w:t>
      </w:r>
      <w:r>
        <w:tab/>
        <w:t>any other amounts lawfully received by, or made available for, the purposes of the Account.</w:t>
      </w:r>
    </w:p>
    <w:p>
      <w:pPr>
        <w:pStyle w:val="Subsection"/>
      </w:pPr>
      <w:r>
        <w:tab/>
        <w:t>(6)</w:t>
      </w:r>
      <w:r>
        <w:tab/>
        <w:t>Money standing to the credit of the ACH Account may be applied for the following purposes —</w:t>
      </w:r>
    </w:p>
    <w:p>
      <w:pPr>
        <w:pStyle w:val="Indenta"/>
      </w:pPr>
      <w:r>
        <w:tab/>
        <w:t>(a)</w:t>
      </w:r>
      <w:r>
        <w:tab/>
        <w:t>in payment of the costs of the administration and enforcement of this Act, including the remuneration and allowances payable under sections 26(3) and 32;</w:t>
      </w:r>
    </w:p>
    <w:p>
      <w:pPr>
        <w:pStyle w:val="Indenta"/>
        <w:keepNext/>
      </w:pPr>
      <w:r>
        <w:lastRenderedPageBreak/>
        <w:tab/>
        <w:t>(b)</w:t>
      </w:r>
      <w:r>
        <w:tab/>
        <w:t>in payment of funding to persons designated as a local ACH service under section 51;</w:t>
      </w:r>
    </w:p>
    <w:p>
      <w:pPr>
        <w:pStyle w:val="Indenta"/>
      </w:pPr>
      <w:r>
        <w:tab/>
        <w:t>(c)</w:t>
      </w:r>
      <w:r>
        <w:tab/>
        <w:t>to proactively assist in the recognition, protection, conservation, preservation and management of Aboriginal cultural heritage, including, if relevant, by developing guidance materials;</w:t>
      </w:r>
    </w:p>
    <w:p>
      <w:pPr>
        <w:pStyle w:val="Indenta"/>
      </w:pPr>
      <w:r>
        <w:tab/>
        <w:t>(d)</w:t>
      </w:r>
      <w:r>
        <w:tab/>
        <w:t>any other purpose approved by the Minister.</w:t>
      </w:r>
    </w:p>
    <w:p>
      <w:pPr>
        <w:pStyle w:val="Heading4"/>
      </w:pPr>
      <w:bookmarkStart w:id="362" w:name="_Toc154742988"/>
      <w:r>
        <w:t>Subdivision 2 — Aboriginal Cultural Heritage Compensation Fund</w:t>
      </w:r>
      <w:bookmarkEnd w:id="362"/>
    </w:p>
    <w:p>
      <w:pPr>
        <w:pStyle w:val="Heading5"/>
      </w:pPr>
      <w:bookmarkStart w:id="363" w:name="_Toc154742989"/>
      <w:r>
        <w:rPr>
          <w:rStyle w:val="CharSectno"/>
        </w:rPr>
        <w:t>280</w:t>
      </w:r>
      <w:r>
        <w:t>.</w:t>
      </w:r>
      <w:r>
        <w:tab/>
        <w:t>Aboriginal Cultural Heritage Compensation Fund</w:t>
      </w:r>
      <w:bookmarkEnd w:id="363"/>
    </w:p>
    <w:p>
      <w:pPr>
        <w:pStyle w:val="Subsection"/>
      </w:pPr>
      <w:r>
        <w:tab/>
        <w:t>(1)</w:t>
      </w:r>
      <w:r>
        <w:tab/>
        <w:t>An account called the Aboriginal Cultural Heritage Compensation Fund (</w:t>
      </w:r>
      <w:r>
        <w:rPr>
          <w:rStyle w:val="CharDefText"/>
        </w:rPr>
        <w:t>ACH Compensation Fund</w:t>
      </w:r>
      <w:r>
        <w:t>) is established.</w:t>
      </w:r>
    </w:p>
    <w:p>
      <w:pPr>
        <w:pStyle w:val="Subsection"/>
      </w:pPr>
      <w:r>
        <w:tab/>
        <w:t>(2)</w:t>
      </w:r>
      <w:r>
        <w:tab/>
        <w:t xml:space="preserve">The ACH Compensation Fund is an agency special purpose account under the </w:t>
      </w:r>
      <w:r>
        <w:rPr>
          <w:i/>
        </w:rPr>
        <w:t>Financial Management Act 2006</w:t>
      </w:r>
      <w:r>
        <w:t xml:space="preserve"> section 16(1).</w:t>
      </w:r>
    </w:p>
    <w:p>
      <w:pPr>
        <w:pStyle w:val="Subsection"/>
      </w:pPr>
      <w:r>
        <w:tab/>
        <w:t>(3)</w:t>
      </w:r>
      <w:r>
        <w:tab/>
        <w:t>The ACH Compensation Fund must be administered by the CEO.</w:t>
      </w:r>
    </w:p>
    <w:p>
      <w:pPr>
        <w:pStyle w:val="Subsection"/>
      </w:pPr>
      <w:r>
        <w:tab/>
        <w:t>(4)</w:t>
      </w:r>
      <w:r>
        <w:tab/>
        <w:t xml:space="preserve">The Treasurer cannot give a direction in relation to the ACH Compensation Fund under the </w:t>
      </w:r>
      <w:r>
        <w:rPr>
          <w:i/>
        </w:rPr>
        <w:t>Financial Management Act 2006</w:t>
      </w:r>
      <w:r>
        <w:t xml:space="preserve"> section 20(1).</w:t>
      </w:r>
    </w:p>
    <w:p>
      <w:pPr>
        <w:pStyle w:val="Subsection"/>
      </w:pPr>
      <w:r>
        <w:tab/>
        <w:t>(5)</w:t>
      </w:r>
      <w:r>
        <w:tab/>
        <w:t>Fines imposed under this Act must be credited to the ACH Compensation Fund.</w:t>
      </w:r>
    </w:p>
    <w:p>
      <w:pPr>
        <w:pStyle w:val="Subsection"/>
      </w:pPr>
      <w:r>
        <w:tab/>
        <w:t>(6)</w:t>
      </w:r>
      <w:r>
        <w:tab/>
        <w:t>Money standing to the credit of the ACH Compensation fund is to be applied in the payment under section 99 of compensation in respect of Aboriginal cultural heritage to which harm has been caused.</w:t>
      </w:r>
    </w:p>
    <w:p>
      <w:pPr>
        <w:pStyle w:val="Heading4"/>
      </w:pPr>
      <w:bookmarkStart w:id="364" w:name="_Toc154742990"/>
      <w:r>
        <w:lastRenderedPageBreak/>
        <w:t>Subdivision 3 — Provisions relating to accounts established under this Division</w:t>
      </w:r>
      <w:bookmarkEnd w:id="364"/>
    </w:p>
    <w:p>
      <w:pPr>
        <w:pStyle w:val="Heading5"/>
        <w:rPr>
          <w:i/>
        </w:rPr>
      </w:pPr>
      <w:bookmarkStart w:id="365" w:name="_Toc154742991"/>
      <w:r>
        <w:rPr>
          <w:rStyle w:val="CharSectno"/>
        </w:rPr>
        <w:t>281</w:t>
      </w:r>
      <w:r>
        <w:t>.</w:t>
      </w:r>
      <w:r>
        <w:tab/>
        <w:t xml:space="preserve">Application of </w:t>
      </w:r>
      <w:r>
        <w:rPr>
          <w:i/>
        </w:rPr>
        <w:t>Financial Management Act 2006</w:t>
      </w:r>
      <w:r>
        <w:t xml:space="preserve"> and </w:t>
      </w:r>
      <w:r>
        <w:rPr>
          <w:i/>
        </w:rPr>
        <w:t>Auditor General Act 2006</w:t>
      </w:r>
      <w:bookmarkEnd w:id="365"/>
    </w:p>
    <w:p>
      <w:pPr>
        <w:pStyle w:val="Subsection"/>
        <w:keepNext/>
      </w:pPr>
      <w:r>
        <w:tab/>
        <w:t>(1)</w:t>
      </w:r>
      <w:r>
        <w:tab/>
        <w:t xml:space="preserve">In this section — </w:t>
      </w:r>
    </w:p>
    <w:p>
      <w:pPr>
        <w:pStyle w:val="Defstart"/>
        <w:keepNext/>
      </w:pPr>
      <w:r>
        <w:tab/>
      </w:r>
      <w:r>
        <w:rPr>
          <w:rStyle w:val="CharDefText"/>
        </w:rPr>
        <w:t>account</w:t>
      </w:r>
      <w:r>
        <w:t xml:space="preserve"> means each of the following — </w:t>
      </w:r>
    </w:p>
    <w:p>
      <w:pPr>
        <w:pStyle w:val="Defpara"/>
      </w:pPr>
      <w:r>
        <w:tab/>
        <w:t>(a)</w:t>
      </w:r>
      <w:r>
        <w:tab/>
        <w:t>the Aboriginal Cultural Heritage Account established under section 279(1);</w:t>
      </w:r>
    </w:p>
    <w:p>
      <w:pPr>
        <w:pStyle w:val="Defpara"/>
      </w:pPr>
      <w:r>
        <w:tab/>
        <w:t>(b)</w:t>
      </w:r>
      <w:r>
        <w:tab/>
        <w:t>the Aboriginal Cultural Heritage Compensation fund established under section 280(1).</w:t>
      </w:r>
    </w:p>
    <w:p>
      <w:pPr>
        <w:pStyle w:val="Subsection"/>
      </w:pPr>
      <w:r>
        <w:tab/>
        <w:t>(2)</w:t>
      </w:r>
      <w:r>
        <w:tab/>
        <w:t xml:space="preserve">The </w:t>
      </w:r>
      <w:r>
        <w:rPr>
          <w:i/>
        </w:rPr>
        <w:t>Financial Management Act 2006</w:t>
      </w:r>
      <w:r>
        <w:t xml:space="preserve"> and the </w:t>
      </w:r>
      <w:r>
        <w:rPr>
          <w:i/>
        </w:rPr>
        <w:t>Auditor General Act 2006</w:t>
      </w:r>
      <w:r>
        <w:t xml:space="preserve"> regulating the financial administration, audit and reporting of departments apply to and in relation to each account, other than as provided in sections 279(4) and 280(4).</w:t>
      </w:r>
    </w:p>
    <w:p>
      <w:pPr>
        <w:pStyle w:val="Subsection"/>
      </w:pPr>
      <w:r>
        <w:tab/>
        <w:t>(3)</w:t>
      </w:r>
      <w:r>
        <w:tab/>
        <w:t xml:space="preserve">The administration of each account is for the purposes of the </w:t>
      </w:r>
      <w:r>
        <w:rPr>
          <w:i/>
        </w:rPr>
        <w:t>Financial Management Act 2006</w:t>
      </w:r>
      <w:r>
        <w:t xml:space="preserve"> section 52 to be regarded as a service of the Department.</w:t>
      </w:r>
    </w:p>
    <w:p>
      <w:pPr>
        <w:pStyle w:val="Subsection"/>
      </w:pPr>
      <w:r>
        <w:tab/>
        <w:t>(4)</w:t>
      </w:r>
      <w:r>
        <w:tab/>
        <w:t xml:space="preserve">Without limiting the </w:t>
      </w:r>
      <w:r>
        <w:rPr>
          <w:i/>
        </w:rPr>
        <w:t>Financial Management Act 2006</w:t>
      </w:r>
      <w:r>
        <w:t xml:space="preserve"> section 61, the annual report for a financial year prepared under that section by the accountable authority of the Department (the </w:t>
      </w:r>
      <w:r>
        <w:rPr>
          <w:rStyle w:val="CharDefText"/>
        </w:rPr>
        <w:t>annual report</w:t>
      </w:r>
      <w:r>
        <w:t>) must contain information about the operation of each account.</w:t>
      </w:r>
    </w:p>
    <w:p>
      <w:pPr>
        <w:pStyle w:val="Subsection"/>
      </w:pPr>
      <w:r>
        <w:tab/>
        <w:t>(5)</w:t>
      </w:r>
      <w:r>
        <w:tab/>
        <w:t>The annual report must include details of how money standing to the credit of each account was applied during the financial year (if at all).</w:t>
      </w:r>
    </w:p>
    <w:p>
      <w:pPr>
        <w:pStyle w:val="Heading3"/>
      </w:pPr>
      <w:bookmarkStart w:id="366" w:name="_Toc154742992"/>
      <w:r>
        <w:rPr>
          <w:rStyle w:val="CharDivNo"/>
        </w:rPr>
        <w:lastRenderedPageBreak/>
        <w:t>Division 2</w:t>
      </w:r>
      <w:r>
        <w:t> — </w:t>
      </w:r>
      <w:r>
        <w:rPr>
          <w:rStyle w:val="CharDivText"/>
        </w:rPr>
        <w:t>Giving notice</w:t>
      </w:r>
      <w:bookmarkEnd w:id="366"/>
    </w:p>
    <w:p>
      <w:pPr>
        <w:pStyle w:val="Heading5"/>
      </w:pPr>
      <w:bookmarkStart w:id="367" w:name="_Toc154742993"/>
      <w:r>
        <w:rPr>
          <w:rStyle w:val="CharSectno"/>
        </w:rPr>
        <w:t>282</w:t>
      </w:r>
      <w:r>
        <w:t>.</w:t>
      </w:r>
      <w:r>
        <w:tab/>
        <w:t>Public notice</w:t>
      </w:r>
      <w:bookmarkEnd w:id="367"/>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368" w:name="_Toc154742994"/>
      <w:r>
        <w:rPr>
          <w:rStyle w:val="CharSectno"/>
        </w:rPr>
        <w:t>283</w:t>
      </w:r>
      <w:r>
        <w:t>.</w:t>
      </w:r>
      <w:r>
        <w:tab/>
        <w:t>Giving notice generally</w:t>
      </w:r>
      <w:bookmarkEnd w:id="368"/>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lastRenderedPageBreak/>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Heading5"/>
      </w:pPr>
      <w:bookmarkStart w:id="369" w:name="_Toc154742995"/>
      <w:r>
        <w:rPr>
          <w:rStyle w:val="CharSectno"/>
        </w:rPr>
        <w:t>284</w:t>
      </w:r>
      <w:r>
        <w:t>.</w:t>
      </w:r>
      <w:r>
        <w:tab/>
        <w:t>Giving notice to landholder or occupier of land</w:t>
      </w:r>
      <w:bookmarkEnd w:id="369"/>
    </w:p>
    <w:p>
      <w:pPr>
        <w:pStyle w:val="Subsection"/>
      </w:pPr>
      <w:r>
        <w:tab/>
        <w:t>(1)</w:t>
      </w:r>
      <w:r>
        <w:tab/>
        <w:t>If notice of a document is required or authorised to be given under this Act to a person because the person is a landholder or an occupier of land, the notice may be addressed to the person by the description of “the landholder” or “the occupier” of the relevant land, describing the relevant land, without further name or description.</w:t>
      </w:r>
    </w:p>
    <w:p>
      <w:pPr>
        <w:pStyle w:val="Subsection"/>
      </w:pPr>
      <w:r>
        <w:lastRenderedPageBreak/>
        <w:tab/>
        <w:t>(2)</w:t>
      </w:r>
      <w:r>
        <w:tab/>
        <w:t>If there are 2 or more landholders or occupiers, notice is sufficiently given to all of them if it is given to 1 of them, and is addressed to that 1 with the addition of the words “and others” or “and another”, as the case requires.</w:t>
      </w:r>
    </w:p>
    <w:p>
      <w:pPr>
        <w:pStyle w:val="Subsection"/>
      </w:pPr>
      <w:r>
        <w:tab/>
        <w:t>(3)</w:t>
      </w:r>
      <w:r>
        <w:tab/>
        <w:t>If notice of a document is to be given to a person because the person is a landholder, the notice may be given to the person by addressing the document to the landholder and giving it in accordance with section 283 to the occupier, if any, of the land.</w:t>
      </w:r>
    </w:p>
    <w:p>
      <w:pPr>
        <w:pStyle w:val="Subsection"/>
      </w:pPr>
      <w:r>
        <w:tab/>
        <w:t>(4)</w:t>
      </w:r>
      <w:r>
        <w:tab/>
        <w:t>If notice of a document is to be given to a person because the person is a landholder or occupier of land, the notice may be given to the person by addressing the document to the person and affixing it to a conspicuous part of the land.</w:t>
      </w:r>
    </w:p>
    <w:p>
      <w:pPr>
        <w:pStyle w:val="Subsection"/>
      </w:pPr>
      <w:r>
        <w:tab/>
        <w:t>(5)</w:t>
      </w:r>
      <w:r>
        <w:tab/>
        <w:t>Subsections (3) and (4) only apply if it is not practicable to give the notice in any of the ways provided for in section 283 and this Act does not otherwise state how the notice is to be given.</w:t>
      </w:r>
    </w:p>
    <w:p>
      <w:pPr>
        <w:pStyle w:val="Heading5"/>
      </w:pPr>
      <w:bookmarkStart w:id="370" w:name="_Toc154742996"/>
      <w:r>
        <w:rPr>
          <w:rStyle w:val="CharSectno"/>
        </w:rPr>
        <w:t>285</w:t>
      </w:r>
      <w:r>
        <w:t>.</w:t>
      </w:r>
      <w:r>
        <w:tab/>
        <w:t>Giving certain notices</w:t>
      </w:r>
      <w:bookmarkEnd w:id="370"/>
    </w:p>
    <w:p>
      <w:pPr>
        <w:pStyle w:val="Subsection"/>
      </w:pPr>
      <w:r>
        <w:tab/>
        <w:t>(1)</w:t>
      </w:r>
      <w:r>
        <w:tab/>
        <w:t>If notice of a document is required or permitted to be given under this Act to a landholder, an occupier of land or a knowledge holder for an area and it is not practicable to give the notice in accordance with section 283, the notice may be given by publishing a copy of the document in the prescribed manner.</w:t>
      </w:r>
    </w:p>
    <w:p>
      <w:pPr>
        <w:pStyle w:val="Subsection"/>
      </w:pPr>
      <w:r>
        <w:tab/>
        <w:t>(2)</w:t>
      </w:r>
      <w:r>
        <w:tab/>
        <w:t xml:space="preserve">Notice given in accordance with subsection (1) — </w:t>
      </w:r>
    </w:p>
    <w:p>
      <w:pPr>
        <w:pStyle w:val="Indenta"/>
      </w:pPr>
      <w:r>
        <w:tab/>
        <w:t>(a)</w:t>
      </w:r>
      <w:r>
        <w:tab/>
        <w:t xml:space="preserve">may be directed to any number of — </w:t>
      </w:r>
    </w:p>
    <w:p>
      <w:pPr>
        <w:pStyle w:val="Indenti"/>
      </w:pPr>
      <w:r>
        <w:tab/>
        <w:t>(i)</w:t>
      </w:r>
      <w:r>
        <w:tab/>
        <w:t>landholders or occupiers of land; or</w:t>
      </w:r>
    </w:p>
    <w:p>
      <w:pPr>
        <w:pStyle w:val="Indenti"/>
      </w:pPr>
      <w:r>
        <w:tab/>
        <w:t>(ii)</w:t>
      </w:r>
      <w:r>
        <w:tab/>
        <w:t>knowledge holders for an area;</w:t>
      </w:r>
    </w:p>
    <w:p>
      <w:pPr>
        <w:pStyle w:val="Indenta"/>
      </w:pPr>
      <w:r>
        <w:tab/>
      </w:r>
      <w:r>
        <w:tab/>
        <w:t>and</w:t>
      </w:r>
    </w:p>
    <w:p>
      <w:pPr>
        <w:pStyle w:val="Indenta"/>
      </w:pPr>
      <w:r>
        <w:tab/>
        <w:t>(b)</w:t>
      </w:r>
      <w:r>
        <w:tab/>
        <w:t xml:space="preserve">is taken to be given to — </w:t>
      </w:r>
    </w:p>
    <w:p>
      <w:pPr>
        <w:pStyle w:val="Indenti"/>
      </w:pPr>
      <w:r>
        <w:tab/>
        <w:t>(i)</w:t>
      </w:r>
      <w:r>
        <w:tab/>
        <w:t>all of the landholders and occupiers of the land specified in the notice; or</w:t>
      </w:r>
    </w:p>
    <w:p>
      <w:pPr>
        <w:pStyle w:val="Indenti"/>
      </w:pPr>
      <w:r>
        <w:tab/>
        <w:t>(ii)</w:t>
      </w:r>
      <w:r>
        <w:tab/>
        <w:t>all of the knowledge holders for the area specified in the notice.</w:t>
      </w:r>
    </w:p>
    <w:p>
      <w:pPr>
        <w:pStyle w:val="Heading5"/>
      </w:pPr>
      <w:bookmarkStart w:id="371" w:name="_Toc154742997"/>
      <w:r>
        <w:rPr>
          <w:rStyle w:val="CharSectno"/>
        </w:rPr>
        <w:lastRenderedPageBreak/>
        <w:t>286</w:t>
      </w:r>
      <w:r>
        <w:t>.</w:t>
      </w:r>
      <w:r>
        <w:tab/>
        <w:t>Defects in notice</w:t>
      </w:r>
      <w:bookmarkEnd w:id="371"/>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372" w:name="_Toc154742998"/>
      <w:r>
        <w:rPr>
          <w:rStyle w:val="CharDivNo"/>
        </w:rPr>
        <w:t>Division 3</w:t>
      </w:r>
      <w:r>
        <w:t> — </w:t>
      </w:r>
      <w:r>
        <w:rPr>
          <w:rStyle w:val="CharDivText"/>
        </w:rPr>
        <w:t>Regulations and guidelines</w:t>
      </w:r>
      <w:bookmarkEnd w:id="372"/>
    </w:p>
    <w:p>
      <w:pPr>
        <w:pStyle w:val="Heading4"/>
      </w:pPr>
      <w:bookmarkStart w:id="373" w:name="_Toc154742999"/>
      <w:r>
        <w:t>Subdivision 1 — Regulations</w:t>
      </w:r>
      <w:bookmarkEnd w:id="373"/>
    </w:p>
    <w:p>
      <w:pPr>
        <w:pStyle w:val="Heading5"/>
      </w:pPr>
      <w:bookmarkStart w:id="374" w:name="_Toc154743000"/>
      <w:r>
        <w:rPr>
          <w:rStyle w:val="CharSectno"/>
        </w:rPr>
        <w:t>287</w:t>
      </w:r>
      <w:r>
        <w:t>.</w:t>
      </w:r>
      <w:r>
        <w:tab/>
        <w:t>Regulations</w:t>
      </w:r>
      <w:bookmarkEnd w:id="374"/>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375" w:name="_Toc154743001"/>
      <w:r>
        <w:rPr>
          <w:rStyle w:val="CharSectno"/>
        </w:rPr>
        <w:t>288</w:t>
      </w:r>
      <w:r>
        <w:t>.</w:t>
      </w:r>
      <w:r>
        <w:tab/>
        <w:t>Regulations about ACH Council and local ACH services</w:t>
      </w:r>
      <w:bookmarkEnd w:id="375"/>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lastRenderedPageBreak/>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376" w:name="_Toc154743002"/>
      <w:r>
        <w:rPr>
          <w:rStyle w:val="CharSectno"/>
        </w:rPr>
        <w:t>289</w:t>
      </w:r>
      <w:r>
        <w:t>.</w:t>
      </w:r>
      <w:r>
        <w:tab/>
        <w:t>Regulations about protected areas</w:t>
      </w:r>
      <w:bookmarkEnd w:id="376"/>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lastRenderedPageBreak/>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377" w:name="_Toc154743003"/>
      <w:r>
        <w:rPr>
          <w:rStyle w:val="CharSectno"/>
        </w:rPr>
        <w:t>290</w:t>
      </w:r>
      <w:r>
        <w:t>.</w:t>
      </w:r>
      <w:r>
        <w:tab/>
        <w:t>Regulations about ACH Directory</w:t>
      </w:r>
      <w:bookmarkEnd w:id="377"/>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378" w:name="_Toc154743004"/>
      <w:r>
        <w:rPr>
          <w:rStyle w:val="CharSectno"/>
        </w:rPr>
        <w:t>291</w:t>
      </w:r>
      <w:r>
        <w:t>.</w:t>
      </w:r>
      <w:r>
        <w:tab/>
        <w:t>Regulations about determining whether information is culturally sensitive information</w:t>
      </w:r>
      <w:bookmarkEnd w:id="378"/>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379" w:name="_Toc154743005"/>
      <w:r>
        <w:rPr>
          <w:rStyle w:val="CharSectno"/>
        </w:rPr>
        <w:t>292</w:t>
      </w:r>
      <w:r>
        <w:t>.</w:t>
      </w:r>
      <w:r>
        <w:tab/>
        <w:t>Regulations about fees and charges</w:t>
      </w:r>
      <w:bookmarkEnd w:id="379"/>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lastRenderedPageBreak/>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w:t>
      </w:r>
      <w:r>
        <w:lastRenderedPageBreak/>
        <w:t xml:space="preserve">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380" w:name="_Toc154743006"/>
      <w:r>
        <w:rPr>
          <w:rStyle w:val="CharSectno"/>
        </w:rPr>
        <w:t>293</w:t>
      </w:r>
      <w:r>
        <w:t>.</w:t>
      </w:r>
      <w:r>
        <w:tab/>
        <w:t>Other regulations</w:t>
      </w:r>
      <w:bookmarkEnd w:id="380"/>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lastRenderedPageBreak/>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381" w:name="_Toc154743007"/>
      <w:r>
        <w:t>Subdivision 2 — Guidelines</w:t>
      </w:r>
      <w:bookmarkEnd w:id="381"/>
    </w:p>
    <w:p>
      <w:pPr>
        <w:pStyle w:val="Heading5"/>
      </w:pPr>
      <w:bookmarkStart w:id="382" w:name="_Toc154743008"/>
      <w:r>
        <w:rPr>
          <w:rStyle w:val="CharSectno"/>
        </w:rPr>
        <w:t>294</w:t>
      </w:r>
      <w:r>
        <w:t>.</w:t>
      </w:r>
      <w:r>
        <w:tab/>
        <w:t>Guidelines</w:t>
      </w:r>
      <w:bookmarkEnd w:id="382"/>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383" w:name="_Toc154743009"/>
      <w:r>
        <w:rPr>
          <w:rStyle w:val="CharSectno"/>
        </w:rPr>
        <w:lastRenderedPageBreak/>
        <w:t>295</w:t>
      </w:r>
      <w:r>
        <w:t>.</w:t>
      </w:r>
      <w:r>
        <w:tab/>
        <w:t>Preparation of guidelines</w:t>
      </w:r>
      <w:bookmarkEnd w:id="383"/>
    </w:p>
    <w:p>
      <w:pPr>
        <w:pStyle w:val="Subsection"/>
      </w:pPr>
      <w:r>
        <w:tab/>
      </w:r>
      <w:r>
        <w:tab/>
        <w:t>The ACH Council may, with the approval or on the direction of the Minister, prepare proposed guidelines.</w:t>
      </w:r>
    </w:p>
    <w:p>
      <w:pPr>
        <w:pStyle w:val="Heading5"/>
      </w:pPr>
      <w:bookmarkStart w:id="384" w:name="_Toc154743010"/>
      <w:r>
        <w:rPr>
          <w:rStyle w:val="CharSectno"/>
        </w:rPr>
        <w:t>296</w:t>
      </w:r>
      <w:r>
        <w:t>.</w:t>
      </w:r>
      <w:r>
        <w:tab/>
        <w:t>Consultation on proposed guidelines</w:t>
      </w:r>
      <w:bookmarkEnd w:id="384"/>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385" w:name="_Toc154743011"/>
      <w:r>
        <w:rPr>
          <w:rStyle w:val="CharSectno"/>
        </w:rPr>
        <w:lastRenderedPageBreak/>
        <w:t>297</w:t>
      </w:r>
      <w:r>
        <w:t>.</w:t>
      </w:r>
      <w:r>
        <w:tab/>
        <w:t>Approval of Minister</w:t>
      </w:r>
      <w:bookmarkEnd w:id="385"/>
    </w:p>
    <w:p>
      <w:pPr>
        <w:pStyle w:val="Subsection"/>
      </w:pPr>
      <w:r>
        <w:tab/>
      </w:r>
      <w:r>
        <w:tab/>
        <w:t>The Minister may approve proposed guidelines prepared by the ACH Council with or without any modifications that the Minister thinks fit.</w:t>
      </w:r>
    </w:p>
    <w:p>
      <w:pPr>
        <w:pStyle w:val="Heading5"/>
      </w:pPr>
      <w:bookmarkStart w:id="386" w:name="_Toc154743012"/>
      <w:r>
        <w:rPr>
          <w:rStyle w:val="CharSectno"/>
        </w:rPr>
        <w:t>298</w:t>
      </w:r>
      <w:r>
        <w:t>.</w:t>
      </w:r>
      <w:r>
        <w:tab/>
        <w:t>Provisions about guidelines</w:t>
      </w:r>
      <w:bookmarkEnd w:id="386"/>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387" w:name="_Toc154743013"/>
      <w:r>
        <w:rPr>
          <w:rStyle w:val="CharSectno"/>
        </w:rPr>
        <w:t>299</w:t>
      </w:r>
      <w:r>
        <w:t>.</w:t>
      </w:r>
      <w:r>
        <w:tab/>
        <w:t>Amending or repealing guidelines</w:t>
      </w:r>
      <w:bookmarkEnd w:id="387"/>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lastRenderedPageBreak/>
        <w:tab/>
        <w:t>(ii)</w:t>
      </w:r>
      <w:r>
        <w:tab/>
        <w:t xml:space="preserve">approved by the Minister and published in the </w:t>
      </w:r>
      <w:r>
        <w:rPr>
          <w:i/>
        </w:rPr>
        <w:t>Gazette</w:t>
      </w:r>
      <w:r>
        <w:t>.</w:t>
      </w:r>
    </w:p>
    <w:p>
      <w:pPr>
        <w:pStyle w:val="Heading3"/>
      </w:pPr>
      <w:bookmarkStart w:id="388" w:name="_Toc154743014"/>
      <w:r>
        <w:rPr>
          <w:rStyle w:val="CharDivNo"/>
        </w:rPr>
        <w:t>Division 4</w:t>
      </w:r>
      <w:r>
        <w:t> — </w:t>
      </w:r>
      <w:r>
        <w:rPr>
          <w:rStyle w:val="CharDivText"/>
        </w:rPr>
        <w:t>General provisions</w:t>
      </w:r>
      <w:bookmarkEnd w:id="388"/>
    </w:p>
    <w:p>
      <w:pPr>
        <w:pStyle w:val="Heading5"/>
      </w:pPr>
      <w:bookmarkStart w:id="389" w:name="_Toc154743015"/>
      <w:r>
        <w:rPr>
          <w:rStyle w:val="CharSectno"/>
        </w:rPr>
        <w:t>300</w:t>
      </w:r>
      <w:r>
        <w:t>.</w:t>
      </w:r>
      <w:r>
        <w:tab/>
        <w:t>No circumventing or contracting out</w:t>
      </w:r>
      <w:bookmarkEnd w:id="389"/>
    </w:p>
    <w:p>
      <w:pPr>
        <w:pStyle w:val="Subsection"/>
      </w:pPr>
      <w:r>
        <w:tab/>
        <w:t>(1)</w:t>
      </w:r>
      <w:r>
        <w:tab/>
        <w:t xml:space="preserve">For the purposes of this Act, a term of a contract or other agreement that purports to do, or has the effect of doing, any of the following is of no effect — </w:t>
      </w:r>
    </w:p>
    <w:p>
      <w:pPr>
        <w:pStyle w:val="Indenta"/>
      </w:pPr>
      <w:r>
        <w:tab/>
        <w:t>(a)</w:t>
      </w:r>
      <w:r>
        <w:tab/>
        <w:t>exclude, limit or modify the operation of this Act;</w:t>
      </w:r>
    </w:p>
    <w:p>
      <w:pPr>
        <w:pStyle w:val="Indenta"/>
      </w:pPr>
      <w:r>
        <w:tab/>
        <w:t>(b)</w:t>
      </w:r>
      <w:r>
        <w:tab/>
        <w:t xml:space="preserve">exclude, limit or modify any duty owed under this Act; </w:t>
      </w:r>
    </w:p>
    <w:p>
      <w:pPr>
        <w:pStyle w:val="Indenta"/>
      </w:pPr>
      <w:r>
        <w:tab/>
        <w:t>(c)</w:t>
      </w:r>
      <w:r>
        <w:tab/>
        <w:t>transfer to another person any duty owed under this Act.</w:t>
      </w:r>
    </w:p>
    <w:p>
      <w:pPr>
        <w:pStyle w:val="PermNoteHeading"/>
      </w:pPr>
      <w:r>
        <w:tab/>
        <w:t>Note for this subsection:</w:t>
      </w:r>
    </w:p>
    <w:p>
      <w:pPr>
        <w:pStyle w:val="PermNoteText"/>
      </w:pPr>
      <w:r>
        <w:tab/>
      </w:r>
      <w:r>
        <w:tab/>
        <w:t>The transfer of an ACH permit by the holder of the permit to another person referred to in section 127, or a change to a party to an approved or authorised ACH management plan referred to in section 171, is not the transfer to another person of a duty owed under this Act as described in subsection (1)(c).</w:t>
      </w:r>
    </w:p>
    <w:p>
      <w:pPr>
        <w:pStyle w:val="Subsection"/>
      </w:pPr>
      <w:r>
        <w:tab/>
        <w:t>(2)</w:t>
      </w:r>
      <w:r>
        <w:tab/>
        <w:t>A purported waiver, limitation or modification of a right, remedy or benefit conferred on a person under this Act is of no effect.</w:t>
      </w:r>
    </w:p>
    <w:p>
      <w:pPr>
        <w:pStyle w:val="Heading5"/>
      </w:pPr>
      <w:bookmarkStart w:id="390" w:name="_Toc154743016"/>
      <w:r>
        <w:rPr>
          <w:rStyle w:val="CharSectno"/>
        </w:rPr>
        <w:t>301</w:t>
      </w:r>
      <w:r>
        <w:t>.</w:t>
      </w:r>
      <w:r>
        <w:tab/>
        <w:t>Delegation by Minister</w:t>
      </w:r>
      <w:bookmarkEnd w:id="390"/>
    </w:p>
    <w:p>
      <w:pPr>
        <w:pStyle w:val="Subsection"/>
      </w:pPr>
      <w:r>
        <w:tab/>
        <w:t>(1)</w:t>
      </w:r>
      <w:r>
        <w:tab/>
        <w:t xml:space="preserve">The Minister may delegate any power or duty of the Minister under another provision of this Act, other than any power or duty under a provision listed in the Table, to any of the following — </w:t>
      </w:r>
    </w:p>
    <w:p>
      <w:pPr>
        <w:pStyle w:val="Indenta"/>
      </w:pPr>
      <w:r>
        <w:tab/>
        <w:t>(a)</w:t>
      </w:r>
      <w:r>
        <w:tab/>
        <w:t>the ACH Council;</w:t>
      </w:r>
    </w:p>
    <w:p>
      <w:pPr>
        <w:pStyle w:val="Indenta"/>
      </w:pPr>
      <w:r>
        <w:tab/>
        <w:t>(b)</w:t>
      </w:r>
      <w:r>
        <w:tab/>
        <w:t>the CEO;</w:t>
      </w:r>
    </w:p>
    <w:p>
      <w:pPr>
        <w:pStyle w:val="Indenta"/>
      </w:pPr>
      <w:r>
        <w:tab/>
        <w:t>(c)</w:t>
      </w:r>
      <w:r>
        <w:tab/>
        <w:t>a person employed or engaged in the Department.</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keepNext/>
              <w:rPr>
                <w:bCs/>
              </w:rPr>
            </w:pPr>
            <w:r>
              <w:rPr>
                <w:bCs/>
              </w:rPr>
              <w:t>s. 21(1)</w:t>
            </w:r>
          </w:p>
        </w:tc>
        <w:tc>
          <w:tcPr>
            <w:tcW w:w="3034" w:type="dxa"/>
            <w:noWrap/>
          </w:tcPr>
          <w:p>
            <w:pPr>
              <w:pStyle w:val="TableNAm"/>
              <w:keepNext/>
              <w:rPr>
                <w:bCs/>
              </w:rPr>
            </w:pPr>
            <w:r>
              <w:rPr>
                <w:bCs/>
              </w:rPr>
              <w:t>s.</w:t>
            </w:r>
            <w:r>
              <w:t> </w:t>
            </w:r>
            <w:r>
              <w:rPr>
                <w:bCs/>
              </w:rPr>
              <w:t>27(1)</w:t>
            </w:r>
          </w:p>
        </w:tc>
      </w:tr>
      <w:tr>
        <w:trPr>
          <w:cantSplit/>
        </w:trPr>
        <w:tc>
          <w:tcPr>
            <w:tcW w:w="3033" w:type="dxa"/>
            <w:noWrap/>
          </w:tcPr>
          <w:p>
            <w:pPr>
              <w:pStyle w:val="TableNAm"/>
              <w:rPr>
                <w:bCs/>
              </w:rPr>
            </w:pPr>
            <w:r>
              <w:rPr>
                <w:bCs/>
              </w:rPr>
              <w:t>s.</w:t>
            </w:r>
            <w:r>
              <w:t> </w:t>
            </w:r>
            <w:r>
              <w:rPr>
                <w:bCs/>
              </w:rPr>
              <w:t>32</w:t>
            </w:r>
          </w:p>
        </w:tc>
        <w:tc>
          <w:tcPr>
            <w:tcW w:w="3034" w:type="dxa"/>
            <w:noWrap/>
          </w:tcPr>
          <w:p>
            <w:pPr>
              <w:pStyle w:val="TableNAm"/>
              <w:rPr>
                <w:bCs/>
              </w:rPr>
            </w:pPr>
            <w:r>
              <w:rPr>
                <w:bCs/>
              </w:rPr>
              <w:t>s.</w:t>
            </w:r>
            <w:r>
              <w:t> </w:t>
            </w:r>
            <w:r>
              <w:rPr>
                <w:bCs/>
              </w:rPr>
              <w:t>43(2)</w:t>
            </w:r>
          </w:p>
        </w:tc>
      </w:tr>
      <w:tr>
        <w:trPr>
          <w:cantSplit/>
        </w:trPr>
        <w:tc>
          <w:tcPr>
            <w:tcW w:w="3033" w:type="dxa"/>
            <w:noWrap/>
          </w:tcPr>
          <w:p>
            <w:pPr>
              <w:pStyle w:val="TableNAm"/>
            </w:pPr>
            <w:r>
              <w:rPr>
                <w:bCs/>
              </w:rPr>
              <w:t>s.</w:t>
            </w:r>
            <w:r>
              <w:t> 78(4)</w:t>
            </w:r>
            <w:r>
              <w:rPr>
                <w:bCs/>
              </w:rPr>
              <w:t xml:space="preserve"> and (5)</w:t>
            </w:r>
          </w:p>
        </w:tc>
        <w:tc>
          <w:tcPr>
            <w:tcW w:w="3034" w:type="dxa"/>
            <w:noWrap/>
          </w:tcPr>
          <w:p>
            <w:pPr>
              <w:pStyle w:val="TableNAm"/>
            </w:pPr>
            <w:r>
              <w:rPr>
                <w:bCs/>
              </w:rPr>
              <w:t>s.</w:t>
            </w:r>
            <w:r>
              <w:t> 81(1)</w:t>
            </w:r>
          </w:p>
        </w:tc>
      </w:tr>
      <w:tr>
        <w:trPr>
          <w:cantSplit/>
        </w:trPr>
        <w:tc>
          <w:tcPr>
            <w:tcW w:w="3033" w:type="dxa"/>
            <w:noWrap/>
          </w:tcPr>
          <w:p>
            <w:pPr>
              <w:pStyle w:val="TableNAm"/>
              <w:rPr>
                <w:bCs/>
              </w:rPr>
            </w:pPr>
            <w:r>
              <w:rPr>
                <w:bCs/>
              </w:rPr>
              <w:t>s.</w:t>
            </w:r>
            <w:r>
              <w:t> 131(6)</w:t>
            </w:r>
          </w:p>
        </w:tc>
        <w:tc>
          <w:tcPr>
            <w:tcW w:w="3034" w:type="dxa"/>
            <w:noWrap/>
          </w:tcPr>
          <w:p>
            <w:pPr>
              <w:pStyle w:val="TableNAm"/>
              <w:rPr>
                <w:bCs/>
              </w:rPr>
            </w:pPr>
            <w:r>
              <w:rPr>
                <w:bCs/>
              </w:rPr>
              <w:t>s.</w:t>
            </w:r>
            <w:r>
              <w:t> 154(1)(b)</w:t>
            </w:r>
          </w:p>
        </w:tc>
      </w:tr>
      <w:tr>
        <w:trPr>
          <w:cantSplit/>
        </w:trPr>
        <w:tc>
          <w:tcPr>
            <w:tcW w:w="3033" w:type="dxa"/>
            <w:noWrap/>
          </w:tcPr>
          <w:p>
            <w:pPr>
              <w:pStyle w:val="TableNAm"/>
            </w:pPr>
            <w:r>
              <w:t>s. 155(4)</w:t>
            </w:r>
          </w:p>
        </w:tc>
        <w:tc>
          <w:tcPr>
            <w:tcW w:w="3034" w:type="dxa"/>
            <w:noWrap/>
          </w:tcPr>
          <w:p>
            <w:pPr>
              <w:pStyle w:val="TableNAm"/>
            </w:pPr>
            <w:r>
              <w:rPr>
                <w:bCs/>
              </w:rPr>
              <w:t>s.</w:t>
            </w:r>
            <w:r>
              <w:t> 165(1)</w:t>
            </w:r>
          </w:p>
        </w:tc>
      </w:tr>
      <w:tr>
        <w:trPr>
          <w:cantSplit/>
        </w:trPr>
        <w:tc>
          <w:tcPr>
            <w:tcW w:w="3033" w:type="dxa"/>
            <w:noWrap/>
          </w:tcPr>
          <w:p>
            <w:pPr>
              <w:pStyle w:val="TableNAm"/>
            </w:pPr>
            <w:r>
              <w:rPr>
                <w:bCs/>
              </w:rPr>
              <w:t>s.</w:t>
            </w:r>
            <w:r>
              <w:t> 168(1)</w:t>
            </w:r>
          </w:p>
        </w:tc>
        <w:tc>
          <w:tcPr>
            <w:tcW w:w="3034" w:type="dxa"/>
            <w:noWrap/>
          </w:tcPr>
          <w:p>
            <w:pPr>
              <w:pStyle w:val="TableNAm"/>
            </w:pPr>
            <w:r>
              <w:rPr>
                <w:bCs/>
              </w:rPr>
              <w:t>s.</w:t>
            </w:r>
            <w:r>
              <w:t> 170</w:t>
            </w:r>
          </w:p>
        </w:tc>
      </w:tr>
      <w:tr>
        <w:trPr>
          <w:cantSplit/>
        </w:trPr>
        <w:tc>
          <w:tcPr>
            <w:tcW w:w="3033" w:type="dxa"/>
            <w:noWrap/>
          </w:tcPr>
          <w:p>
            <w:pPr>
              <w:pStyle w:val="TableNAm"/>
            </w:pPr>
            <w:r>
              <w:rPr>
                <w:bCs/>
              </w:rPr>
              <w:t>s.</w:t>
            </w:r>
            <w:r>
              <w:t> 180(1)</w:t>
            </w:r>
          </w:p>
        </w:tc>
        <w:tc>
          <w:tcPr>
            <w:tcW w:w="3034" w:type="dxa"/>
            <w:noWrap/>
          </w:tcPr>
          <w:p>
            <w:pPr>
              <w:pStyle w:val="TableNAm"/>
            </w:pPr>
            <w:r>
              <w:t>s. 182(1)</w:t>
            </w:r>
          </w:p>
        </w:tc>
      </w:tr>
      <w:tr>
        <w:trPr>
          <w:cantSplit/>
        </w:trPr>
        <w:tc>
          <w:tcPr>
            <w:tcW w:w="3033" w:type="dxa"/>
            <w:noWrap/>
          </w:tcPr>
          <w:p>
            <w:pPr>
              <w:pStyle w:val="TableNAm"/>
              <w:rPr>
                <w:bCs/>
              </w:rPr>
            </w:pPr>
            <w:r>
              <w:rPr>
                <w:bCs/>
              </w:rPr>
              <w:t>s.</w:t>
            </w:r>
            <w:r>
              <w:t> 188(1)</w:t>
            </w:r>
          </w:p>
        </w:tc>
        <w:tc>
          <w:tcPr>
            <w:tcW w:w="3034" w:type="dxa"/>
            <w:noWrap/>
          </w:tcPr>
          <w:p>
            <w:pPr>
              <w:pStyle w:val="TableNAm"/>
              <w:rPr>
                <w:bCs/>
              </w:rPr>
            </w:pPr>
            <w:r>
              <w:rPr>
                <w:bCs/>
              </w:rPr>
              <w:t>s.</w:t>
            </w:r>
            <w:r>
              <w:t> 191(1)</w:t>
            </w:r>
          </w:p>
        </w:tc>
      </w:tr>
      <w:tr>
        <w:trPr>
          <w:cantSplit/>
        </w:trPr>
        <w:tc>
          <w:tcPr>
            <w:tcW w:w="3033" w:type="dxa"/>
            <w:noWrap/>
          </w:tcPr>
          <w:p>
            <w:pPr>
              <w:pStyle w:val="TableNAm"/>
              <w:rPr>
                <w:bCs/>
              </w:rPr>
            </w:pPr>
            <w:r>
              <w:rPr>
                <w:bCs/>
              </w:rPr>
              <w:t>s.</w:t>
            </w:r>
            <w:r>
              <w:t> 194(1)</w:t>
            </w:r>
          </w:p>
        </w:tc>
        <w:tc>
          <w:tcPr>
            <w:tcW w:w="3034" w:type="dxa"/>
            <w:noWrap/>
          </w:tcPr>
          <w:p>
            <w:pPr>
              <w:pStyle w:val="TableNAm"/>
              <w:rPr>
                <w:bCs/>
              </w:rPr>
            </w:pPr>
            <w:r>
              <w:rPr>
                <w:bCs/>
              </w:rPr>
              <w:t>s.</w:t>
            </w:r>
            <w:r>
              <w:t> 203(1)</w:t>
            </w:r>
          </w:p>
        </w:tc>
      </w:tr>
    </w:tbl>
    <w:p>
      <w:pPr>
        <w:pStyle w:val="Subsection"/>
      </w:pPr>
      <w:r>
        <w:tab/>
        <w:t>(2)</w:t>
      </w:r>
      <w:r>
        <w:tab/>
        <w:t>A delegation must be in writing signed by the Minister.</w:t>
      </w:r>
    </w:p>
    <w:p>
      <w:pPr>
        <w:pStyle w:val="Subsection"/>
      </w:pPr>
      <w:r>
        <w:tab/>
        <w:t>(3)</w:t>
      </w:r>
      <w:r>
        <w:tab/>
        <w:t>A person or body to whom or which a power or duty is delegated under this section cannot delegate that power or duty.</w:t>
      </w:r>
    </w:p>
    <w:p>
      <w:pPr>
        <w:pStyle w:val="Subsection"/>
      </w:pPr>
      <w:r>
        <w:tab/>
        <w:t>(4)</w:t>
      </w:r>
      <w:r>
        <w:tab/>
        <w:t>A person or body exercising or performing a power or duty that has been delegated to the person or body under this section is taken to do so in accordance with the terms of the delegation unless the contrary is shown.</w:t>
      </w:r>
    </w:p>
    <w:p>
      <w:pPr>
        <w:pStyle w:val="Subsection"/>
      </w:pPr>
      <w:r>
        <w:tab/>
        <w:t>(5)</w:t>
      </w:r>
      <w:r>
        <w:tab/>
        <w:t>This section does not limit the ability of the Minister to perform a function through an officer or agent.</w:t>
      </w:r>
    </w:p>
    <w:p>
      <w:pPr>
        <w:pStyle w:val="Heading5"/>
      </w:pPr>
      <w:bookmarkStart w:id="391" w:name="_Toc154743017"/>
      <w:r>
        <w:rPr>
          <w:rStyle w:val="CharSectno"/>
        </w:rPr>
        <w:t>302</w:t>
      </w:r>
      <w:r>
        <w:t>.</w:t>
      </w:r>
      <w:r>
        <w:tab/>
        <w:t>Delegation by CEO</w:t>
      </w:r>
      <w:bookmarkEnd w:id="391"/>
    </w:p>
    <w:p>
      <w:pPr>
        <w:pStyle w:val="Subsection"/>
      </w:pPr>
      <w:r>
        <w:tab/>
        <w:t>(1)</w:t>
      </w:r>
      <w:r>
        <w:tab/>
        <w:t>The CEO may delegate any power or duty of the CEO under another provision of this Act, other than any power or duty under a provision listed in the Table, to a person employed or engaged in the Department.</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51(1)</w:t>
            </w:r>
          </w:p>
        </w:tc>
        <w:tc>
          <w:tcPr>
            <w:tcW w:w="3034" w:type="dxa"/>
            <w:noWrap/>
          </w:tcPr>
          <w:p>
            <w:pPr>
              <w:pStyle w:val="TableNAm"/>
              <w:rPr>
                <w:bCs/>
              </w:rPr>
            </w:pPr>
            <w:r>
              <w:rPr>
                <w:bCs/>
              </w:rPr>
              <w:t>s. 99(1)</w:t>
            </w:r>
          </w:p>
        </w:tc>
      </w:tr>
      <w:tr>
        <w:tc>
          <w:tcPr>
            <w:tcW w:w="3033" w:type="dxa"/>
            <w:noWrap/>
          </w:tcPr>
          <w:p>
            <w:pPr>
              <w:pStyle w:val="TableNAm"/>
            </w:pPr>
            <w:r>
              <w:rPr>
                <w:bCs/>
              </w:rPr>
              <w:t>s.</w:t>
            </w:r>
            <w:r>
              <w:t xml:space="preserve"> 104(3) </w:t>
            </w:r>
          </w:p>
        </w:tc>
        <w:tc>
          <w:tcPr>
            <w:tcW w:w="3034" w:type="dxa"/>
            <w:noWrap/>
          </w:tcPr>
          <w:p>
            <w:pPr>
              <w:pStyle w:val="TableNAm"/>
            </w:pPr>
          </w:p>
        </w:tc>
      </w:tr>
    </w:tbl>
    <w:p>
      <w:pPr>
        <w:pStyle w:val="Subsection"/>
      </w:pPr>
      <w:r>
        <w:tab/>
        <w:t>(2)</w:t>
      </w:r>
      <w:r>
        <w:tab/>
        <w:t>A delegation must be in writing signed by the CEO.</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taken to do so in accordance with the terms of the delegation unless the contrary is shown.</w:t>
      </w:r>
    </w:p>
    <w:p>
      <w:pPr>
        <w:pStyle w:val="Subsection"/>
      </w:pPr>
      <w:r>
        <w:tab/>
        <w:t>(5)</w:t>
      </w:r>
      <w:r>
        <w:tab/>
        <w:t>This section does not limit the ability of the CEO to perform a function through an officer or agent.</w:t>
      </w:r>
    </w:p>
    <w:p>
      <w:pPr>
        <w:pStyle w:val="Heading5"/>
      </w:pPr>
      <w:bookmarkStart w:id="392" w:name="_Toc154743018"/>
      <w:r>
        <w:rPr>
          <w:rStyle w:val="CharSectno"/>
        </w:rPr>
        <w:t>303</w:t>
      </w:r>
      <w:r>
        <w:t>.</w:t>
      </w:r>
      <w:r>
        <w:tab/>
        <w:t>CEO may disclose information</w:t>
      </w:r>
      <w:bookmarkEnd w:id="392"/>
    </w:p>
    <w:p>
      <w:pPr>
        <w:pStyle w:val="Subsection"/>
      </w:pPr>
      <w:r>
        <w:tab/>
        <w:t>(1)</w:t>
      </w:r>
      <w:r>
        <w:tab/>
        <w:t xml:space="preserve">In this section — </w:t>
      </w:r>
    </w:p>
    <w:p>
      <w:pPr>
        <w:pStyle w:val="Defstart"/>
      </w:pPr>
      <w:r>
        <w:tab/>
      </w:r>
      <w:r>
        <w:rPr>
          <w:rStyle w:val="CharDefText"/>
        </w:rPr>
        <w:t>authorised officer</w:t>
      </w:r>
      <w:r>
        <w:t xml:space="preserve"> means an officer designated under subsection (2);</w:t>
      </w:r>
    </w:p>
    <w:p>
      <w:pPr>
        <w:pStyle w:val="Defstart"/>
      </w:pPr>
      <w:r>
        <w:tab/>
      </w:r>
      <w:r>
        <w:rPr>
          <w:rStyle w:val="CharDefText"/>
        </w:rPr>
        <w:t>officer</w:t>
      </w:r>
      <w:r>
        <w:t xml:space="preserve">, in relation to a prescribed entity, means — </w:t>
      </w:r>
    </w:p>
    <w:p>
      <w:pPr>
        <w:pStyle w:val="Defpara"/>
      </w:pPr>
      <w:r>
        <w:tab/>
        <w:t>(a)</w:t>
      </w:r>
      <w:r>
        <w:tab/>
        <w:t xml:space="preserve">an officer or person employed by or in — </w:t>
      </w:r>
    </w:p>
    <w:p>
      <w:pPr>
        <w:pStyle w:val="Defsubpara"/>
      </w:pPr>
      <w:r>
        <w:tab/>
        <w:t>(i)</w:t>
      </w:r>
      <w:r>
        <w:tab/>
        <w:t>the prescribed entity; or</w:t>
      </w:r>
    </w:p>
    <w:p>
      <w:pPr>
        <w:pStyle w:val="Defsubpara"/>
      </w:pPr>
      <w:r>
        <w:tab/>
        <w:t>(ii)</w:t>
      </w:r>
      <w:r>
        <w:tab/>
        <w:t>the Public Service of the State;</w:t>
      </w:r>
    </w:p>
    <w:p>
      <w:pPr>
        <w:pStyle w:val="Defpara"/>
      </w:pPr>
      <w:r>
        <w:tab/>
      </w:r>
      <w:r>
        <w:tab/>
        <w:t>or</w:t>
      </w:r>
    </w:p>
    <w:p>
      <w:pPr>
        <w:pStyle w:val="Defpara"/>
      </w:pPr>
      <w:r>
        <w:tab/>
        <w:t>(b)</w:t>
      </w:r>
      <w:r>
        <w:tab/>
        <w:t>if the prescribed entity is the Police Force — a police officer;</w:t>
      </w:r>
    </w:p>
    <w:p>
      <w:pPr>
        <w:pStyle w:val="Defstart"/>
      </w:pPr>
      <w:r>
        <w:tab/>
      </w:r>
      <w:r>
        <w:rPr>
          <w:rStyle w:val="CharDefText"/>
        </w:rPr>
        <w:t>Police Force</w:t>
      </w:r>
      <w:r>
        <w:t xml:space="preserve"> means the Police Force of Western Australia provided for by the </w:t>
      </w:r>
      <w:r>
        <w:rPr>
          <w:i/>
        </w:rPr>
        <w:t>Police Act 1892</w:t>
      </w:r>
      <w:r>
        <w:t>;</w:t>
      </w:r>
    </w:p>
    <w:p>
      <w:pPr>
        <w:pStyle w:val="Defstart"/>
      </w:pPr>
      <w:r>
        <w:tab/>
      </w:r>
      <w:r>
        <w:rPr>
          <w:rStyle w:val="CharDefText"/>
        </w:rPr>
        <w:t>prescribed entity</w:t>
      </w:r>
      <w:r>
        <w:t xml:space="preserve"> means any of the following — </w:t>
      </w:r>
    </w:p>
    <w:p>
      <w:pPr>
        <w:pStyle w:val="Defpara"/>
      </w:pPr>
      <w:r>
        <w:tab/>
        <w:t>(a)</w:t>
      </w:r>
      <w:r>
        <w:tab/>
        <w:t>a public authority;</w:t>
      </w:r>
    </w:p>
    <w:p>
      <w:pPr>
        <w:pStyle w:val="Defpara"/>
      </w:pPr>
      <w:r>
        <w:tab/>
        <w:t>(b)</w:t>
      </w:r>
      <w:r>
        <w:tab/>
        <w:t>a body or person prescribed;</w:t>
      </w:r>
    </w:p>
    <w:p>
      <w:pPr>
        <w:pStyle w:val="Defstart"/>
      </w:pPr>
      <w:r>
        <w:lastRenderedPageBreak/>
        <w:tab/>
      </w:r>
      <w:r>
        <w:rPr>
          <w:rStyle w:val="CharDefText"/>
        </w:rPr>
        <w:t>protocol</w:t>
      </w:r>
      <w:r>
        <w:t xml:space="preserve"> means a protocol established under subsection (3);</w:t>
      </w:r>
    </w:p>
    <w:p>
      <w:pPr>
        <w:pStyle w:val="Defstart"/>
        <w:keepNext/>
      </w:pPr>
      <w:r>
        <w:tab/>
      </w:r>
      <w:r>
        <w:rPr>
          <w:rStyle w:val="CharDefText"/>
        </w:rPr>
        <w:t>relevant information</w:t>
      </w:r>
      <w:r>
        <w:t xml:space="preserve">, in relation to a prescribed entity — </w:t>
      </w:r>
    </w:p>
    <w:p>
      <w:pPr>
        <w:pStyle w:val="Defpara"/>
      </w:pPr>
      <w:r>
        <w:tab/>
        <w:t>(a)</w:t>
      </w:r>
      <w:r>
        <w:tab/>
        <w:t>means information relevant to the performance by the prescribed entity of a function of the prescribed entity under a written law; and</w:t>
      </w:r>
    </w:p>
    <w:p>
      <w:pPr>
        <w:pStyle w:val="Defpara"/>
      </w:pPr>
      <w:r>
        <w:tab/>
        <w:t>(b)</w:t>
      </w:r>
      <w:r>
        <w:tab/>
        <w:t>includes culturally sensitive information.</w:t>
      </w:r>
    </w:p>
    <w:p>
      <w:pPr>
        <w:pStyle w:val="Subsection"/>
      </w:pPr>
      <w:r>
        <w:tab/>
        <w:t>(2)</w:t>
      </w:r>
      <w:r>
        <w:tab/>
        <w:t>The CEO may designate an officer of the Department as an authorised officer for the purposes of this section.</w:t>
      </w:r>
    </w:p>
    <w:p>
      <w:pPr>
        <w:pStyle w:val="Subsection"/>
      </w:pPr>
      <w:r>
        <w:tab/>
        <w:t>(3)</w:t>
      </w:r>
      <w:r>
        <w:tab/>
        <w:t>The CEO must establish protocols for the disclosure of relevant information under subsection (4).</w:t>
      </w:r>
    </w:p>
    <w:p>
      <w:pPr>
        <w:pStyle w:val="Subsection"/>
      </w:pPr>
      <w:r>
        <w:tab/>
        <w:t>(4)</w:t>
      </w:r>
      <w:r>
        <w:tab/>
        <w:t>An authorised officer may, in accordance with the protocols, and any regulations, disclose relevant information for a prescribed entity to an officer of the prescribed entity.</w:t>
      </w:r>
    </w:p>
    <w:p>
      <w:pPr>
        <w:pStyle w:val="Subsection"/>
      </w:pPr>
      <w:r>
        <w:tab/>
        <w:t>(5)</w:t>
      </w:r>
      <w:r>
        <w:tab/>
        <w:t xml:space="preserve">If relevant information is disclosed, in good faith, under subsection (4) — </w:t>
      </w:r>
    </w:p>
    <w:p>
      <w:pPr>
        <w:pStyle w:val="Indenta"/>
      </w:pPr>
      <w:r>
        <w:tab/>
        <w:t>(a)</w:t>
      </w:r>
      <w:r>
        <w:tab/>
        <w:t>no civil or criminal liability is incurred in respect of the disclosure; and</w:t>
      </w:r>
    </w:p>
    <w:p>
      <w:pPr>
        <w:pStyle w:val="Indenta"/>
      </w:pPr>
      <w:r>
        <w:tab/>
        <w:t>(b)</w:t>
      </w:r>
      <w:r>
        <w:tab/>
        <w:t xml:space="preserve">the disclosure is not to be regarded as — </w:t>
      </w:r>
    </w:p>
    <w:p>
      <w:pPr>
        <w:pStyle w:val="Indenti"/>
      </w:pPr>
      <w:r>
        <w:tab/>
        <w:t>(i)</w:t>
      </w:r>
      <w:r>
        <w:tab/>
        <w:t>a breach of any duty of confidentiality or secrecy imposed by law; or</w:t>
      </w:r>
    </w:p>
    <w:p>
      <w:pPr>
        <w:pStyle w:val="Indenti"/>
      </w:pPr>
      <w:r>
        <w:tab/>
        <w:t>(ii)</w:t>
      </w:r>
      <w:r>
        <w:tab/>
        <w:t>a breach of professional ethics or standards or any principles of conduct applicable to a person’s employment; or</w:t>
      </w:r>
    </w:p>
    <w:p>
      <w:pPr>
        <w:pStyle w:val="Indenti"/>
      </w:pPr>
      <w:r>
        <w:tab/>
        <w:t>(iii)</w:t>
      </w:r>
      <w:r>
        <w:tab/>
        <w:t>unprofessional conduct.</w:t>
      </w:r>
    </w:p>
    <w:p>
      <w:pPr>
        <w:pStyle w:val="Subsection"/>
      </w:pPr>
      <w:r>
        <w:tab/>
        <w:t>(6)</w:t>
      </w:r>
      <w:r>
        <w:tab/>
        <w:t xml:space="preserve">The regulations may make provision for and in relation to — </w:t>
      </w:r>
    </w:p>
    <w:p>
      <w:pPr>
        <w:pStyle w:val="Indenta"/>
      </w:pPr>
      <w:r>
        <w:tab/>
        <w:t>(a)</w:t>
      </w:r>
      <w:r>
        <w:tab/>
        <w:t>the circumstances in which relevant information may be disclosed under subsection (4); and</w:t>
      </w:r>
    </w:p>
    <w:p>
      <w:pPr>
        <w:pStyle w:val="Indenta"/>
      </w:pPr>
      <w:r>
        <w:tab/>
        <w:t>(b)</w:t>
      </w:r>
      <w:r>
        <w:tab/>
        <w:t xml:space="preserve">the receipt and storage of relevant information disclosed under subsection (4), including — </w:t>
      </w:r>
    </w:p>
    <w:p>
      <w:pPr>
        <w:pStyle w:val="Indenti"/>
      </w:pPr>
      <w:r>
        <w:tab/>
        <w:t>(i)</w:t>
      </w:r>
      <w:r>
        <w:tab/>
        <w:t>the period for which the information may be stored; and</w:t>
      </w:r>
    </w:p>
    <w:p>
      <w:pPr>
        <w:pStyle w:val="Indenti"/>
      </w:pPr>
      <w:r>
        <w:lastRenderedPageBreak/>
        <w:tab/>
        <w:t>(ii)</w:t>
      </w:r>
      <w:r>
        <w:tab/>
        <w:t>how it is to be disposed of;</w:t>
      </w:r>
    </w:p>
    <w:p>
      <w:pPr>
        <w:pStyle w:val="Indenta"/>
      </w:pPr>
      <w:r>
        <w:tab/>
      </w:r>
      <w:r>
        <w:tab/>
        <w:t>and</w:t>
      </w:r>
    </w:p>
    <w:p>
      <w:pPr>
        <w:pStyle w:val="Indenta"/>
      </w:pPr>
      <w:r>
        <w:tab/>
        <w:t>(c)</w:t>
      </w:r>
      <w:r>
        <w:tab/>
        <w:t>the conditions subject to which relevant information may be disclosed under subsection (4); and</w:t>
      </w:r>
    </w:p>
    <w:p>
      <w:pPr>
        <w:pStyle w:val="Indenta"/>
      </w:pPr>
      <w:r>
        <w:tab/>
        <w:t>(d)</w:t>
      </w:r>
      <w:r>
        <w:tab/>
        <w:t>the restriction of access to relevant information disclosed under subsection (4).</w:t>
      </w:r>
    </w:p>
    <w:p>
      <w:pPr>
        <w:pStyle w:val="Heading5"/>
      </w:pPr>
      <w:bookmarkStart w:id="393" w:name="_Toc154743019"/>
      <w:r>
        <w:rPr>
          <w:rStyle w:val="CharSectno"/>
        </w:rPr>
        <w:t>304</w:t>
      </w:r>
      <w:r>
        <w:t>.</w:t>
      </w:r>
      <w:r>
        <w:tab/>
        <w:t>Giving false or misleading information</w:t>
      </w:r>
      <w:bookmarkEnd w:id="393"/>
    </w:p>
    <w:p>
      <w:pPr>
        <w:pStyle w:val="Subsection"/>
      </w:pPr>
      <w:r>
        <w:tab/>
        <w:t>(1)</w:t>
      </w:r>
      <w:r>
        <w:tab/>
        <w:t xml:space="preserve">A person must not do anything described in subsection (2) — </w:t>
      </w:r>
    </w:p>
    <w:p>
      <w:pPr>
        <w:pStyle w:val="Indenta"/>
      </w:pPr>
      <w:r>
        <w:tab/>
        <w:t>(a)</w:t>
      </w:r>
      <w:r>
        <w:tab/>
        <w:t>in, or in connection with, an application made or a notice or other document given under this Act; or</w:t>
      </w:r>
    </w:p>
    <w:p>
      <w:pPr>
        <w:pStyle w:val="Indenta"/>
      </w:pPr>
      <w:r>
        <w:tab/>
        <w:t>(b)</w:t>
      </w:r>
      <w:r>
        <w:tab/>
        <w:t>in compliance, or purported compliance, with a requirement, direction or request under this Act; or</w:t>
      </w:r>
    </w:p>
    <w:p>
      <w:pPr>
        <w:pStyle w:val="Indenta"/>
      </w:pPr>
      <w:r>
        <w:tab/>
        <w:t>(c)</w:t>
      </w:r>
      <w:r>
        <w:tab/>
        <w:t>for any other purpose under this Act.</w:t>
      </w:r>
    </w:p>
    <w:p>
      <w:pPr>
        <w:pStyle w:val="Penstart"/>
      </w:pPr>
      <w:r>
        <w:tab/>
        <w:t>Penalty for this subsection: a fine of $20 000.</w:t>
      </w:r>
    </w:p>
    <w:p>
      <w:pPr>
        <w:pStyle w:val="Subsection"/>
      </w:pPr>
      <w:r>
        <w:tab/>
        <w:t>(2)</w:t>
      </w:r>
      <w:r>
        <w:tab/>
        <w:t xml:space="preserve">The things to which subsection (1) applies are as follows — </w:t>
      </w:r>
    </w:p>
    <w:p>
      <w:pPr>
        <w:pStyle w:val="Indenta"/>
      </w:pPr>
      <w:r>
        <w:tab/>
        <w:t>(a)</w:t>
      </w:r>
      <w:r>
        <w:tab/>
        <w:t>making a statement knowing it to be false or misleading in a material particular;</w:t>
      </w:r>
    </w:p>
    <w:p>
      <w:pPr>
        <w:pStyle w:val="Indenta"/>
      </w:pPr>
      <w:r>
        <w:tab/>
        <w:t>(b)</w:t>
      </w:r>
      <w:r>
        <w:tab/>
        <w:t>omitting from a statement made anything without which the statement is, to the person’s knowledge, misleading in a material particular;</w:t>
      </w:r>
    </w:p>
    <w:p>
      <w:pPr>
        <w:pStyle w:val="Indenta"/>
      </w:pPr>
      <w:r>
        <w:tab/>
        <w:t>(c)</w:t>
      </w:r>
      <w:r>
        <w:tab/>
        <w:t xml:space="preserve">giving information that — </w:t>
      </w:r>
    </w:p>
    <w:p>
      <w:pPr>
        <w:pStyle w:val="Indenti"/>
      </w:pPr>
      <w:r>
        <w:tab/>
        <w:t>(i)</w:t>
      </w:r>
      <w:r>
        <w:tab/>
        <w:t>the person knows is false or misleading in a material particular; or</w:t>
      </w:r>
    </w:p>
    <w:p>
      <w:pPr>
        <w:pStyle w:val="Indenti"/>
      </w:pPr>
      <w:r>
        <w:tab/>
        <w:t>(ii)</w:t>
      </w:r>
      <w:r>
        <w:tab/>
        <w:t>omits anything without which the information is, to the person’s knowledge, misleading in a material particular.</w:t>
      </w:r>
    </w:p>
    <w:p>
      <w:pPr>
        <w:pStyle w:val="Heading5"/>
      </w:pPr>
      <w:bookmarkStart w:id="394" w:name="_Toc154743020"/>
      <w:r>
        <w:rPr>
          <w:rStyle w:val="CharSectno"/>
        </w:rPr>
        <w:t>305</w:t>
      </w:r>
      <w:r>
        <w:t>.</w:t>
      </w:r>
      <w:r>
        <w:tab/>
        <w:t>Protection from liability for wrongdoing</w:t>
      </w:r>
      <w:bookmarkEnd w:id="394"/>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lastRenderedPageBreak/>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395" w:name="_Toc154743021"/>
      <w:r>
        <w:rPr>
          <w:rStyle w:val="CharSectno"/>
        </w:rPr>
        <w:t>306</w:t>
      </w:r>
      <w:r>
        <w:t>.</w:t>
      </w:r>
      <w:r>
        <w:tab/>
        <w:t>Confidentiality</w:t>
      </w:r>
      <w:bookmarkEnd w:id="395"/>
    </w:p>
    <w:p>
      <w:pPr>
        <w:pStyle w:val="Subsection"/>
      </w:pPr>
      <w:r>
        <w:tab/>
        <w:t>(1)</w:t>
      </w:r>
      <w:r>
        <w:tab/>
        <w:t xml:space="preserve">A person must not, directly or indirectly, record, disclose or make use of any information obtained by reason of a function that the person has, or at any time had, in the administration of this Act except — </w:t>
      </w:r>
    </w:p>
    <w:p>
      <w:pPr>
        <w:pStyle w:val="Indenta"/>
      </w:pPr>
      <w:r>
        <w:tab/>
        <w:t>(a)</w:t>
      </w:r>
      <w:r>
        <w:tab/>
        <w:t>for the purpose of, or in connection with, performing a function under this Act; or</w:t>
      </w:r>
    </w:p>
    <w:p>
      <w:pPr>
        <w:pStyle w:val="Indenta"/>
      </w:pPr>
      <w:r>
        <w:tab/>
        <w:t>(b)</w:t>
      </w:r>
      <w:r>
        <w:tab/>
        <w:t>as required or allowed under this Act or another written law; or</w:t>
      </w:r>
    </w:p>
    <w:p>
      <w:pPr>
        <w:pStyle w:val="Indenta"/>
      </w:pPr>
      <w:r>
        <w:tab/>
        <w:t>(c)</w:t>
      </w:r>
      <w:r>
        <w:tab/>
        <w:t>for the purposes of any legal proceedings arising under this Act; or</w:t>
      </w:r>
    </w:p>
    <w:p>
      <w:pPr>
        <w:pStyle w:val="Indenta"/>
      </w:pPr>
      <w:r>
        <w:tab/>
        <w:t>(d)</w:t>
      </w:r>
      <w:r>
        <w:tab/>
        <w:t>with the written consent of the person to whom the information relates; or</w:t>
      </w:r>
    </w:p>
    <w:p>
      <w:pPr>
        <w:pStyle w:val="Indenta"/>
      </w:pPr>
      <w:r>
        <w:tab/>
        <w:t>(e)</w:t>
      </w:r>
      <w:r>
        <w:tab/>
        <w:t>in other circumstances, if any, prescribed for the purposes of this paragraph.</w:t>
      </w:r>
    </w:p>
    <w:p>
      <w:pPr>
        <w:pStyle w:val="Penstart"/>
      </w:pPr>
      <w:r>
        <w:tab/>
        <w:t>Penalty for this subsection: a fine of $20 000.</w:t>
      </w:r>
    </w:p>
    <w:p>
      <w:pPr>
        <w:pStyle w:val="Subsection"/>
      </w:pPr>
      <w:r>
        <w:tab/>
        <w:t>(2)</w:t>
      </w:r>
      <w:r>
        <w:tab/>
        <w:t>Information relating to trade processes or financial information, or culturally sensitive information, that has been disclosed under subsection (1) for a particular purpose must not be used for any other purpose by —</w:t>
      </w:r>
    </w:p>
    <w:p>
      <w:pPr>
        <w:pStyle w:val="Indenta"/>
      </w:pPr>
      <w:r>
        <w:tab/>
        <w:t>(a)</w:t>
      </w:r>
      <w:r>
        <w:tab/>
        <w:t>the person to whom the information is disclosed; or</w:t>
      </w:r>
    </w:p>
    <w:p>
      <w:pPr>
        <w:pStyle w:val="Indenta"/>
      </w:pPr>
      <w:r>
        <w:lastRenderedPageBreak/>
        <w:tab/>
        <w:t>(b)</w:t>
      </w:r>
      <w:r>
        <w:tab/>
        <w:t>any other person who gains access to the information (whether properly or improperly and whether directly or indirectly) as a result of that disclosure.</w:t>
      </w:r>
    </w:p>
    <w:p>
      <w:pPr>
        <w:pStyle w:val="Penstart"/>
      </w:pPr>
      <w:r>
        <w:tab/>
        <w:t>Penalty for this subsection: a fine of $20 000.</w:t>
      </w:r>
    </w:p>
    <w:p>
      <w:pPr>
        <w:pStyle w:val="Subsection"/>
        <w:keepNext/>
      </w:pPr>
      <w:r>
        <w:tab/>
        <w:t>(3)</w:t>
      </w:r>
      <w:r>
        <w:tab/>
        <w:t xml:space="preserve">Subsection (1) does not extend to the recording, disclosure or use of — </w:t>
      </w:r>
    </w:p>
    <w:p>
      <w:pPr>
        <w:pStyle w:val="Indenta"/>
      </w:pPr>
      <w:r>
        <w:tab/>
        <w:t>(a)</w:t>
      </w:r>
      <w:r>
        <w:tab/>
        <w:t>statistical or other information that could not reasonably be expected to lead to the identification of any person to whom it relates; or</w:t>
      </w:r>
    </w:p>
    <w:p>
      <w:pPr>
        <w:pStyle w:val="Indenta"/>
      </w:pPr>
      <w:r>
        <w:tab/>
        <w:t>(b)</w:t>
      </w:r>
      <w:r>
        <w:tab/>
        <w:t>information that is already in the public domain.</w:t>
      </w:r>
    </w:p>
    <w:p>
      <w:pPr>
        <w:pStyle w:val="Heading5"/>
      </w:pPr>
      <w:bookmarkStart w:id="396" w:name="_Toc154743022"/>
      <w:r>
        <w:rPr>
          <w:rStyle w:val="CharSectno"/>
        </w:rPr>
        <w:t>307</w:t>
      </w:r>
      <w:r>
        <w:t>.</w:t>
      </w:r>
      <w:r>
        <w:tab/>
        <w:t>CEO may approve forms</w:t>
      </w:r>
      <w:bookmarkEnd w:id="396"/>
    </w:p>
    <w:p>
      <w:pPr>
        <w:pStyle w:val="Subsection"/>
      </w:pPr>
      <w:r>
        <w:tab/>
      </w:r>
      <w:r>
        <w:tab/>
        <w:t>The CEO may approve forms for use under this Act.</w:t>
      </w:r>
    </w:p>
    <w:p>
      <w:pPr>
        <w:pStyle w:val="Heading5"/>
      </w:pPr>
      <w:bookmarkStart w:id="397" w:name="_Toc154743023"/>
      <w:r>
        <w:rPr>
          <w:rStyle w:val="CharSectno"/>
        </w:rPr>
        <w:t>308</w:t>
      </w:r>
      <w:r>
        <w:t>.</w:t>
      </w:r>
      <w:r>
        <w:tab/>
        <w:t>Laying documents before House of Parliament not sitting</w:t>
      </w:r>
      <w:bookmarkEnd w:id="397"/>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Heading5"/>
      </w:pPr>
      <w:bookmarkStart w:id="398" w:name="_Toc154743024"/>
      <w:r>
        <w:rPr>
          <w:rStyle w:val="CharSectno"/>
        </w:rPr>
        <w:lastRenderedPageBreak/>
        <w:t>309</w:t>
      </w:r>
      <w:r>
        <w:t>.</w:t>
      </w:r>
      <w:r>
        <w:tab/>
        <w:t>Review of Act</w:t>
      </w:r>
      <w:bookmarkEnd w:id="398"/>
    </w:p>
    <w:p>
      <w:pPr>
        <w:pStyle w:val="Subsection"/>
        <w:keepNext/>
      </w:pPr>
      <w:r>
        <w:tab/>
        <w:t>(1)</w:t>
      </w:r>
      <w:r>
        <w:tab/>
        <w:t xml:space="preserve">The Minister must review the operation and effectiveness of this Act, and prepare a report based on the review as soon as practicable — </w:t>
      </w:r>
    </w:p>
    <w:p>
      <w:pPr>
        <w:pStyle w:val="Indenta"/>
      </w:pPr>
      <w:r>
        <w:tab/>
        <w:t>(a)</w:t>
      </w:r>
      <w:r>
        <w:tab/>
        <w:t>after the 5</w:t>
      </w:r>
      <w:r>
        <w:rPr>
          <w:vertAlign w:val="superscript"/>
        </w:rPr>
        <w:t>th</w:t>
      </w:r>
      <w:r>
        <w:t> anniversary of the day on which this section comes into operation; and</w:t>
      </w:r>
    </w:p>
    <w:p>
      <w:pPr>
        <w:pStyle w:val="Indenta"/>
      </w:pPr>
      <w:r>
        <w:tab/>
        <w:t>(b)</w:t>
      </w:r>
      <w:r>
        <w:tab/>
        <w:t>after that, at intervals of not more than 5 years.</w:t>
      </w:r>
    </w:p>
    <w:p>
      <w:pPr>
        <w:pStyle w:val="Subsection"/>
      </w:pPr>
      <w:r>
        <w:tab/>
        <w:t>(2)</w:t>
      </w:r>
      <w:r>
        <w:tab/>
        <w:t>The Minister must cause each report to be laid before each House of Parliament, or dealt with under section 308, as soon as practicable after it is prepared, but not later than 12 months after the requirement to carry out the review arose.</w:t>
      </w:r>
    </w:p>
    <w:p>
      <w:pPr>
        <w:pStyle w:val="Heading2"/>
      </w:pPr>
      <w:bookmarkStart w:id="399" w:name="_Toc154743025"/>
      <w:r>
        <w:rPr>
          <w:rStyle w:val="CharPartNo"/>
        </w:rPr>
        <w:lastRenderedPageBreak/>
        <w:t>Part 14</w:t>
      </w:r>
      <w:r>
        <w:t> — </w:t>
      </w:r>
      <w:r>
        <w:rPr>
          <w:rStyle w:val="CharPartText"/>
        </w:rPr>
        <w:t>Repeals and transitional matters</w:t>
      </w:r>
      <w:bookmarkEnd w:id="399"/>
    </w:p>
    <w:p>
      <w:pPr>
        <w:pStyle w:val="Heading3"/>
      </w:pPr>
      <w:bookmarkStart w:id="400" w:name="_Toc154743026"/>
      <w:r>
        <w:rPr>
          <w:rStyle w:val="CharDivNo"/>
        </w:rPr>
        <w:t>Division 1</w:t>
      </w:r>
      <w:r>
        <w:t> — </w:t>
      </w:r>
      <w:r>
        <w:rPr>
          <w:rStyle w:val="CharDivText"/>
        </w:rPr>
        <w:t>Repeals</w:t>
      </w:r>
      <w:bookmarkEnd w:id="400"/>
    </w:p>
    <w:p>
      <w:pPr>
        <w:pStyle w:val="Ednotesection"/>
      </w:pPr>
      <w:r>
        <w:t>[</w:t>
      </w:r>
      <w:r>
        <w:rPr>
          <w:b/>
        </w:rPr>
        <w:t>310, 311.</w:t>
      </w:r>
      <w:r>
        <w:tab/>
        <w:t>have not come into operation.]</w:t>
      </w:r>
    </w:p>
    <w:p>
      <w:pPr>
        <w:pStyle w:val="Heading5"/>
      </w:pPr>
      <w:bookmarkStart w:id="401" w:name="_Toc154743027"/>
      <w:r>
        <w:rPr>
          <w:rStyle w:val="CharSectno"/>
        </w:rPr>
        <w:t>312</w:t>
      </w:r>
      <w:r>
        <w:t>.</w:t>
      </w:r>
      <w:r>
        <w:tab/>
      </w:r>
      <w:r>
        <w:rPr>
          <w:i/>
        </w:rPr>
        <w:t>Aboriginal Heritage (Marandoo) Act 1992</w:t>
      </w:r>
      <w:r>
        <w:t xml:space="preserve"> repealed</w:t>
      </w:r>
      <w:bookmarkEnd w:id="401"/>
    </w:p>
    <w:p>
      <w:pPr>
        <w:pStyle w:val="Subsection"/>
      </w:pPr>
      <w:r>
        <w:tab/>
      </w:r>
      <w:r>
        <w:tab/>
        <w:t xml:space="preserve">The </w:t>
      </w:r>
      <w:r>
        <w:rPr>
          <w:i/>
        </w:rPr>
        <w:t>Aboriginal Heritage (Marandoo) Act 1992</w:t>
      </w:r>
      <w:r>
        <w:t xml:space="preserve"> is repealed.</w:t>
      </w:r>
    </w:p>
    <w:p>
      <w:pPr>
        <w:pStyle w:val="Heading3"/>
      </w:pPr>
      <w:bookmarkStart w:id="402" w:name="_Toc154743028"/>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402"/>
    </w:p>
    <w:p>
      <w:pPr>
        <w:pStyle w:val="Heading4"/>
      </w:pPr>
      <w:bookmarkStart w:id="403" w:name="_Toc154743029"/>
      <w:r>
        <w:t>Subdivision 1 — Interpretation</w:t>
      </w:r>
      <w:bookmarkEnd w:id="403"/>
    </w:p>
    <w:p>
      <w:pPr>
        <w:pStyle w:val="Heading5"/>
      </w:pPr>
      <w:bookmarkStart w:id="404" w:name="_Toc154743030"/>
      <w:r>
        <w:rPr>
          <w:rStyle w:val="CharSectno"/>
        </w:rPr>
        <w:t>313</w:t>
      </w:r>
      <w:r>
        <w:t>.</w:t>
      </w:r>
      <w:r>
        <w:tab/>
        <w:t>Terms used</w:t>
      </w:r>
      <w:bookmarkEnd w:id="404"/>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405" w:name="_Toc154743031"/>
      <w:r>
        <w:lastRenderedPageBreak/>
        <w:t>Subdivision 2 — Protected areas</w:t>
      </w:r>
      <w:bookmarkEnd w:id="405"/>
    </w:p>
    <w:p>
      <w:pPr>
        <w:pStyle w:val="Heading5"/>
      </w:pPr>
      <w:bookmarkStart w:id="406" w:name="_Toc154743032"/>
      <w:r>
        <w:rPr>
          <w:rStyle w:val="CharSectno"/>
        </w:rPr>
        <w:t>314</w:t>
      </w:r>
      <w:r>
        <w:t>.</w:t>
      </w:r>
      <w:r>
        <w:tab/>
        <w:t>Terms used</w:t>
      </w:r>
      <w:bookmarkEnd w:id="406"/>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407" w:name="_Toc154743033"/>
      <w:r>
        <w:rPr>
          <w:rStyle w:val="CharSectno"/>
        </w:rPr>
        <w:t>315</w:t>
      </w:r>
      <w:r>
        <w:t>.</w:t>
      </w:r>
      <w:r>
        <w:tab/>
        <w:t>Historical protected area orders</w:t>
      </w:r>
      <w:bookmarkEnd w:id="407"/>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lastRenderedPageBreak/>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408" w:name="_Toc154743034"/>
      <w:r>
        <w:rPr>
          <w:rStyle w:val="CharSectno"/>
        </w:rPr>
        <w:t>316</w:t>
      </w:r>
      <w:r>
        <w:t>.</w:t>
      </w:r>
      <w:r>
        <w:tab/>
        <w:t>Continuation of former protected area orders</w:t>
      </w:r>
      <w:bookmarkEnd w:id="408"/>
    </w:p>
    <w:p>
      <w:pPr>
        <w:pStyle w:val="Subsection"/>
      </w:pPr>
      <w:r>
        <w:tab/>
        <w:t>(1)</w:t>
      </w:r>
      <w:r>
        <w:tab/>
        <w:t>On and after transition day, a former protected area order has effect as if it were a protected area order made under section 82(1).</w:t>
      </w:r>
    </w:p>
    <w:p>
      <w:pPr>
        <w:pStyle w:val="Subsection"/>
      </w:pPr>
      <w:r>
        <w:tab/>
        <w:t>(2)</w:t>
      </w:r>
      <w:r>
        <w:tab/>
        <w:t xml:space="preserve">Section 87 applies on and after transition day in respect of a former protected area order and for that purpose — </w:t>
      </w:r>
    </w:p>
    <w:p>
      <w:pPr>
        <w:pStyle w:val="Indenta"/>
      </w:pPr>
      <w:r>
        <w:tab/>
        <w:t>(a)</w:t>
      </w:r>
      <w:r>
        <w:tab/>
        <w:t>a former protected area order is taken to have been made under section 82(1) on transition day; and</w:t>
      </w:r>
    </w:p>
    <w:p>
      <w:pPr>
        <w:pStyle w:val="Indenta"/>
      </w:pPr>
      <w:r>
        <w:tab/>
        <w:t>(b)</w:t>
      </w:r>
      <w:r>
        <w:tab/>
        <w:t>the CEO must comply with section 87 in relation to a former protected area order unless the Registrar, as defined in section 87(1), confirms that adequate notice for the purposes of section 87 has already been given in relation to the protected area to which the order relates.</w:t>
      </w:r>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Heading5"/>
      </w:pPr>
      <w:bookmarkStart w:id="409" w:name="_Toc154743035"/>
      <w:r>
        <w:rPr>
          <w:rStyle w:val="CharSectno"/>
        </w:rPr>
        <w:lastRenderedPageBreak/>
        <w:t>317</w:t>
      </w:r>
      <w:r>
        <w:t>.</w:t>
      </w:r>
      <w:r>
        <w:tab/>
        <w:t>Conditions on former protected area orders</w:t>
      </w:r>
      <w:bookmarkEnd w:id="409"/>
    </w:p>
    <w:p>
      <w:pPr>
        <w:pStyle w:val="Subsection"/>
      </w:pPr>
      <w:r>
        <w:tab/>
        <w:t>(1)</w:t>
      </w:r>
      <w:r>
        <w:tab/>
        <w:t>The Governor may by order made on a recommendation of the Minister under subsection (2), amend a former protected area order, that has effect as if it were a protected area order made under section 82(1), to provide for the imposition of a condition, or conditions.</w:t>
      </w:r>
    </w:p>
    <w:p>
      <w:pPr>
        <w:pStyle w:val="Subsection"/>
      </w:pPr>
      <w:r>
        <w:tab/>
        <w:t>(2)</w:t>
      </w:r>
      <w:r>
        <w:tab/>
        <w:t>The Minister may, on the Minister’s own initiative, recommend to the Governor that the Governor make an order amending a former protected area order to provide for the imposition of a condition, or conditions, to which the order is to be subject, relating to anything to which a condition may relate under section 81(4).</w:t>
      </w:r>
    </w:p>
    <w:p>
      <w:pPr>
        <w:pStyle w:val="Subsection"/>
      </w:pPr>
      <w:r>
        <w:tab/>
        <w:t>(3)</w:t>
      </w:r>
      <w:r>
        <w:tab/>
        <w:t>Sections 86 and 87 apply in relation to an order made under subsection (1) as if it were a protected area order made under section 82(1).</w:t>
      </w:r>
    </w:p>
    <w:p>
      <w:pPr>
        <w:pStyle w:val="Subsection"/>
      </w:pPr>
      <w:r>
        <w:tab/>
        <w:t>(4)</w:t>
      </w:r>
      <w:r>
        <w:tab/>
        <w:t>An order under subsection (1) must be made within the period of 2 years beginning on transition day.</w:t>
      </w:r>
    </w:p>
    <w:p>
      <w:pPr>
        <w:pStyle w:val="Heading4"/>
      </w:pPr>
      <w:bookmarkStart w:id="410" w:name="_Toc154743036"/>
      <w:r>
        <w:t>Subdivision 3 — AH Act section 18 consents and AH Act approvals</w:t>
      </w:r>
      <w:bookmarkEnd w:id="410"/>
    </w:p>
    <w:p>
      <w:pPr>
        <w:pStyle w:val="Heading5"/>
      </w:pPr>
      <w:bookmarkStart w:id="411" w:name="_Toc154743037"/>
      <w:r>
        <w:rPr>
          <w:rStyle w:val="CharSectno"/>
        </w:rPr>
        <w:t>318</w:t>
      </w:r>
      <w:r>
        <w:t>.</w:t>
      </w:r>
      <w:r>
        <w:tab/>
        <w:t>Terms used</w:t>
      </w:r>
      <w:bookmarkEnd w:id="411"/>
    </w:p>
    <w:p>
      <w:pPr>
        <w:pStyle w:val="Subsection"/>
      </w:pPr>
      <w:r>
        <w:tab/>
      </w:r>
      <w:r>
        <w:tab/>
        <w:t xml:space="preserve">In this Subdivision — </w:t>
      </w:r>
    </w:p>
    <w:p>
      <w:pPr>
        <w:pStyle w:val="Defstart"/>
      </w:pPr>
      <w:r>
        <w:tab/>
      </w:r>
      <w:r>
        <w:rPr>
          <w:rStyle w:val="CharDefText"/>
        </w:rPr>
        <w:t>Aboriginal party</w:t>
      </w:r>
      <w:r>
        <w:t xml:space="preserve"> has the meaning given in section 100;</w:t>
      </w:r>
    </w:p>
    <w:p>
      <w:pPr>
        <w:pStyle w:val="Defstart"/>
      </w:pPr>
      <w:r>
        <w:tab/>
      </w:r>
      <w:r>
        <w:rPr>
          <w:rStyle w:val="CharDefText"/>
        </w:rPr>
        <w:t>AH Act approval</w:t>
      </w:r>
      <w:r>
        <w:t xml:space="preserve"> means — </w:t>
      </w:r>
    </w:p>
    <w:p>
      <w:pPr>
        <w:pStyle w:val="Defpara"/>
      </w:pPr>
      <w:r>
        <w:tab/>
        <w:t>(a)</w:t>
      </w:r>
      <w:r>
        <w:tab/>
        <w:t>an authorisation under the AH Act section 16(2); or</w:t>
      </w:r>
    </w:p>
    <w:p>
      <w:pPr>
        <w:pStyle w:val="Defpara"/>
      </w:pPr>
      <w:r>
        <w:tab/>
        <w:t>(b)</w:t>
      </w:r>
      <w:r>
        <w:tab/>
        <w:t xml:space="preserve">an approval referred to in the </w:t>
      </w:r>
      <w:r>
        <w:rPr>
          <w:i/>
        </w:rPr>
        <w:t>Aboriginal Heritage Regulations 1974</w:t>
      </w:r>
      <w:r>
        <w:t xml:space="preserve"> regulation 7; or</w:t>
      </w:r>
    </w:p>
    <w:p>
      <w:pPr>
        <w:pStyle w:val="Defpara"/>
      </w:pPr>
      <w:r>
        <w:tab/>
        <w:t>(c)</w:t>
      </w:r>
      <w:r>
        <w:tab/>
        <w:t xml:space="preserve">a consent referred to in the </w:t>
      </w:r>
      <w:r>
        <w:rPr>
          <w:i/>
        </w:rPr>
        <w:t>Aboriginal Heritage Regulations 1974</w:t>
      </w:r>
      <w:r>
        <w:t xml:space="preserve"> regulation 10;</w:t>
      </w:r>
    </w:p>
    <w:p>
      <w:pPr>
        <w:pStyle w:val="Defstart"/>
      </w:pPr>
      <w:r>
        <w:tab/>
      </w:r>
      <w:r>
        <w:rPr>
          <w:rStyle w:val="CharDefText"/>
        </w:rPr>
        <w:t>authorised ACH management plan</w:t>
      </w:r>
      <w:r>
        <w:t xml:space="preserve"> means an ACH management plan that has been authorised under section 165(1)(b)(i);</w:t>
      </w:r>
    </w:p>
    <w:p>
      <w:pPr>
        <w:pStyle w:val="Defstart"/>
      </w:pPr>
      <w:r>
        <w:lastRenderedPageBreak/>
        <w:tab/>
      </w:r>
      <w:r>
        <w:rPr>
          <w:rStyle w:val="CharDefText"/>
        </w:rPr>
        <w:t>no longer in force</w:t>
      </w:r>
      <w:r>
        <w:t xml:space="preserve"> — </w:t>
      </w:r>
    </w:p>
    <w:p>
      <w:pPr>
        <w:pStyle w:val="Defpara"/>
      </w:pPr>
      <w:r>
        <w:tab/>
        <w:t>(a)</w:t>
      </w:r>
      <w:r>
        <w:tab/>
        <w:t>in relation to an AH Act section 18 consent — has the meaning given in section 319; or</w:t>
      </w:r>
    </w:p>
    <w:p>
      <w:pPr>
        <w:pStyle w:val="Defpara"/>
      </w:pPr>
      <w:r>
        <w:tab/>
        <w:t>(b)</w:t>
      </w:r>
      <w:r>
        <w:tab/>
        <w:t>in relation to an AH Act approval — has the meaning given in section 320;</w:t>
      </w:r>
    </w:p>
    <w:p>
      <w:pPr>
        <w:pStyle w:val="Defstart"/>
      </w:pPr>
      <w:r>
        <w:tab/>
      </w:r>
      <w:r>
        <w:rPr>
          <w:rStyle w:val="CharDefText"/>
        </w:rPr>
        <w:t>owner</w:t>
      </w:r>
      <w:r>
        <w:t>, in relation to land the subject of an AH Act section 18 consent, means the person to whom the consent was given under the AH Act section 18.</w:t>
      </w:r>
    </w:p>
    <w:p>
      <w:pPr>
        <w:pStyle w:val="Heading5"/>
      </w:pPr>
      <w:bookmarkStart w:id="412" w:name="_Toc154743038"/>
      <w:r>
        <w:rPr>
          <w:rStyle w:val="CharSectno"/>
        </w:rPr>
        <w:t>319</w:t>
      </w:r>
      <w:r>
        <w:t>.</w:t>
      </w:r>
      <w:r>
        <w:tab/>
        <w:t>AH Act section 18 consents no longer in force</w:t>
      </w:r>
      <w:bookmarkEnd w:id="412"/>
    </w:p>
    <w:p>
      <w:pPr>
        <w:pStyle w:val="Subsection"/>
      </w:pPr>
      <w:r>
        <w:tab/>
      </w:r>
      <w:r>
        <w:tab/>
        <w:t xml:space="preserve">An AH Act section 18 consent is </w:t>
      </w:r>
      <w:r>
        <w:rPr>
          <w:rStyle w:val="CharDefText"/>
        </w:rPr>
        <w:t>no longer in force</w:t>
      </w:r>
      <w:r>
        <w:t xml:space="preserve"> and has no further effect — </w:t>
      </w:r>
    </w:p>
    <w:p>
      <w:pPr>
        <w:pStyle w:val="Indenta"/>
      </w:pPr>
      <w:r>
        <w:tab/>
        <w:t>(a)</w:t>
      </w:r>
      <w:r>
        <w:tab/>
        <w:t>if the consent has expired in accordance with its terms, the AH Act or this Act, as is relevant; or</w:t>
      </w:r>
    </w:p>
    <w:p>
      <w:pPr>
        <w:pStyle w:val="Indenta"/>
      </w:pPr>
      <w:r>
        <w:tab/>
        <w:t>(b)</w:t>
      </w:r>
      <w:r>
        <w:tab/>
        <w:t>if the purpose specified in the consent has been achieved; or</w:t>
      </w:r>
    </w:p>
    <w:p>
      <w:pPr>
        <w:pStyle w:val="Indenta"/>
      </w:pPr>
      <w:r>
        <w:tab/>
        <w:t>(c)</w:t>
      </w:r>
      <w:r>
        <w:tab/>
        <w:t>if the owner of the land the subject of the consent cannot be identified or found, or no longer exists; or</w:t>
      </w:r>
    </w:p>
    <w:p>
      <w:pPr>
        <w:pStyle w:val="Indenta"/>
      </w:pPr>
      <w:r>
        <w:tab/>
        <w:t>(d)</w:t>
      </w:r>
      <w:r>
        <w:tab/>
        <w:t>if the owner of the land the subject of the consent has voluntarily surrendered the consent to the Minister; or</w:t>
      </w:r>
    </w:p>
    <w:p>
      <w:pPr>
        <w:pStyle w:val="Indenta"/>
      </w:pPr>
      <w:r>
        <w:tab/>
        <w:t>(e)</w:t>
      </w:r>
      <w:r>
        <w:tab/>
        <w:t>if the consent is an historical AH Act section 18 consent that has expired in accordance with section 325(1).</w:t>
      </w:r>
    </w:p>
    <w:p>
      <w:pPr>
        <w:pStyle w:val="Heading5"/>
      </w:pPr>
      <w:bookmarkStart w:id="413" w:name="_Toc154743039"/>
      <w:r>
        <w:rPr>
          <w:rStyle w:val="CharSectno"/>
        </w:rPr>
        <w:t>320</w:t>
      </w:r>
      <w:r>
        <w:t>.</w:t>
      </w:r>
      <w:r>
        <w:tab/>
        <w:t>AH Act approvals no longer in force</w:t>
      </w:r>
      <w:bookmarkEnd w:id="413"/>
    </w:p>
    <w:p>
      <w:pPr>
        <w:pStyle w:val="Subsection"/>
      </w:pPr>
      <w:r>
        <w:tab/>
      </w:r>
      <w:r>
        <w:tab/>
        <w:t xml:space="preserve">An AH Act approval is </w:t>
      </w:r>
      <w:r>
        <w:rPr>
          <w:rStyle w:val="CharDefText"/>
        </w:rPr>
        <w:t>no longer in force</w:t>
      </w:r>
      <w:r>
        <w:t xml:space="preserve"> and has no further effect — </w:t>
      </w:r>
    </w:p>
    <w:p>
      <w:pPr>
        <w:pStyle w:val="Indenta"/>
      </w:pPr>
      <w:r>
        <w:tab/>
        <w:t>(a)</w:t>
      </w:r>
      <w:r>
        <w:tab/>
        <w:t>if the approval has expired in accordance with its terms; or</w:t>
      </w:r>
    </w:p>
    <w:p>
      <w:pPr>
        <w:pStyle w:val="Indenta"/>
      </w:pPr>
      <w:r>
        <w:tab/>
        <w:t>(b)</w:t>
      </w:r>
      <w:r>
        <w:tab/>
        <w:t>if the purpose for which the approval was given has been achieved or the activities to which the approval relates have been completed; or</w:t>
      </w:r>
    </w:p>
    <w:p>
      <w:pPr>
        <w:pStyle w:val="Indenta"/>
      </w:pPr>
      <w:r>
        <w:tab/>
        <w:t>(c)</w:t>
      </w:r>
      <w:r>
        <w:tab/>
        <w:t>if the person to whom the approval was given cannot be identified, or found or no longer exists; or</w:t>
      </w:r>
    </w:p>
    <w:p>
      <w:pPr>
        <w:pStyle w:val="Indenta"/>
      </w:pPr>
      <w:r>
        <w:lastRenderedPageBreak/>
        <w:tab/>
        <w:t>(d)</w:t>
      </w:r>
      <w:r>
        <w:tab/>
        <w:t>if the person to whom the approval was given has voluntarily surrendered the approval to the Minister.</w:t>
      </w:r>
    </w:p>
    <w:p>
      <w:pPr>
        <w:pStyle w:val="Heading5"/>
      </w:pPr>
      <w:bookmarkStart w:id="414" w:name="_Toc154743040"/>
      <w:r>
        <w:rPr>
          <w:rStyle w:val="CharSectno"/>
        </w:rPr>
        <w:t>321</w:t>
      </w:r>
      <w:r>
        <w:t>.</w:t>
      </w:r>
      <w:r>
        <w:tab/>
        <w:t>AH Act section 18 consents taken to be authorised ACH management plans in some circumstances</w:t>
      </w:r>
      <w:bookmarkEnd w:id="414"/>
    </w:p>
    <w:p>
      <w:pPr>
        <w:pStyle w:val="Subsection"/>
      </w:pPr>
      <w:r>
        <w:tab/>
        <w:t>(1)</w:t>
      </w:r>
      <w:r>
        <w:tab/>
        <w:t xml:space="preserve">On and after transition day, an AH Act section 18 consent is taken to be an authorised ACH management plan in the following circumstances only — </w:t>
      </w:r>
    </w:p>
    <w:p>
      <w:pPr>
        <w:pStyle w:val="Indenta"/>
      </w:pPr>
      <w:r>
        <w:tab/>
        <w:t>(a)</w:t>
      </w:r>
      <w:r>
        <w:tab/>
        <w:t>in relation to protected area orders under Part 4 — for the purposes of sections 72(2)(e) and (4), 79(4)(c), 81(3)(b) and 169(3);</w:t>
      </w:r>
    </w:p>
    <w:p>
      <w:pPr>
        <w:pStyle w:val="Indenta"/>
      </w:pPr>
      <w:r>
        <w:tab/>
        <w:t>(b)</w:t>
      </w:r>
      <w:r>
        <w:tab/>
        <w:t>in relation to ACH management plans under Part 6 Division 6 — for the purposes of sections 171(4)(b) and (5), 172(b)(ii) and 173;</w:t>
      </w:r>
    </w:p>
    <w:p>
      <w:pPr>
        <w:pStyle w:val="Indenta"/>
      </w:pPr>
      <w:r>
        <w:tab/>
        <w:t>(c)</w:t>
      </w:r>
      <w:r>
        <w:tab/>
        <w:t>in relation to Part 7 orders and only if the AH Act section 18 consent is a transitional AH Act section 18 consent — for the purposes of sections 180(3)(b) and 185(3)(b);</w:t>
      </w:r>
    </w:p>
    <w:p>
      <w:pPr>
        <w:pStyle w:val="Indenta"/>
      </w:pPr>
      <w:r>
        <w:tab/>
        <w:t>(d)</w:t>
      </w:r>
      <w:r>
        <w:tab/>
        <w:t>in relation to the ACH Directory under Part 9 — for the purposes of sections 213(1)(h) and 218(d)(ii) and (h);</w:t>
      </w:r>
    </w:p>
    <w:p>
      <w:pPr>
        <w:pStyle w:val="Indenta"/>
      </w:pPr>
      <w:r>
        <w:tab/>
        <w:t>(e)</w:t>
      </w:r>
      <w:r>
        <w:tab/>
        <w:t>in relation to securing compliance with this Act under Part 10 — for the purposes of Part 10;</w:t>
      </w:r>
    </w:p>
    <w:p>
      <w:pPr>
        <w:pStyle w:val="Indenta"/>
      </w:pPr>
      <w:r>
        <w:tab/>
        <w:t>(f)</w:t>
      </w:r>
      <w:r>
        <w:tab/>
        <w:t>in relation to legal proceedings under Part 11 — for the purposes of Part 11;</w:t>
      </w:r>
    </w:p>
    <w:p>
      <w:pPr>
        <w:pStyle w:val="Indenta"/>
      </w:pPr>
      <w:r>
        <w:tab/>
        <w:t>(g)</w:t>
      </w:r>
      <w:r>
        <w:tab/>
        <w:t>in relation to miscellaneous provisions under Part 13 — for the purposes of Part 13.</w:t>
      </w:r>
    </w:p>
    <w:p>
      <w:pPr>
        <w:pStyle w:val="Subsection"/>
        <w:keepNext/>
      </w:pPr>
      <w:r>
        <w:tab/>
        <w:t>(2)</w:t>
      </w:r>
      <w:r>
        <w:tab/>
        <w:t xml:space="preserve">For the purposes of giving effect to subsection (1) — </w:t>
      </w:r>
    </w:p>
    <w:p>
      <w:pPr>
        <w:pStyle w:val="Indenta"/>
      </w:pPr>
      <w:r>
        <w:tab/>
        <w:t>(a)</w:t>
      </w:r>
      <w:r>
        <w:tab/>
        <w:t>the owner of land the subject of an AH Act section 18 consent, taken under subsection (1) to be an authorised ACH management plan, is taken to be the proponent for the activity to which the plan relates, subject to the application of section 175(5); and</w:t>
      </w:r>
    </w:p>
    <w:p>
      <w:pPr>
        <w:pStyle w:val="Indenta"/>
      </w:pPr>
      <w:r>
        <w:lastRenderedPageBreak/>
        <w:tab/>
        <w:t>(b)</w:t>
      </w:r>
      <w:r>
        <w:tab/>
        <w:t xml:space="preserve">an AH Act section 18 consent, taken under subsection (1) to be an authorised ACH management plan, is taken — </w:t>
      </w:r>
    </w:p>
    <w:p>
      <w:pPr>
        <w:pStyle w:val="Indenti"/>
      </w:pPr>
      <w:r>
        <w:tab/>
        <w:t>(i)</w:t>
      </w:r>
      <w:r>
        <w:tab/>
        <w:t>not to have any Aboriginal party; and</w:t>
      </w:r>
    </w:p>
    <w:p>
      <w:pPr>
        <w:pStyle w:val="Indenti"/>
      </w:pPr>
      <w:r>
        <w:tab/>
        <w:t>(ii)</w:t>
      </w:r>
      <w:r>
        <w:tab/>
        <w:t>to be subject to the same conditions, if any, as the AH Act section 18 consent is subject.</w:t>
      </w:r>
    </w:p>
    <w:p>
      <w:pPr>
        <w:pStyle w:val="Subsection"/>
      </w:pPr>
      <w:r>
        <w:tab/>
        <w:t>(3)</w:t>
      </w:r>
      <w:r>
        <w:tab/>
        <w:t xml:space="preserve">For the purposes of giving effect to subsection (1)(c) — </w:t>
      </w:r>
    </w:p>
    <w:p>
      <w:pPr>
        <w:pStyle w:val="Defstart"/>
      </w:pPr>
      <w:r>
        <w:tab/>
      </w:r>
      <w:r>
        <w:rPr>
          <w:rStyle w:val="CharDefText"/>
        </w:rPr>
        <w:t>new information about Aboriginal cultural heritage</w:t>
      </w:r>
      <w:r>
        <w:t xml:space="preserve">, in relation to an area of land to which a transitional AH Act section 18 consent (taken under subsection (1) to be an authorised ACH management plan) relates, means information not identified to the Minister or the ACMC (whether in the notice given to the ACMC under the AH Act section 18(2) in relation to the consent or otherwise) before the consent was given, about — </w:t>
      </w:r>
    </w:p>
    <w:p>
      <w:pPr>
        <w:pStyle w:val="Defpara"/>
      </w:pPr>
      <w:r>
        <w:tab/>
        <w:t>(a)</w:t>
      </w:r>
      <w:r>
        <w:tab/>
        <w:t>Aboriginal cultural heritage located in the area; or</w:t>
      </w:r>
    </w:p>
    <w:p>
      <w:pPr>
        <w:pStyle w:val="Defpara"/>
      </w:pPr>
      <w:r>
        <w:tab/>
        <w:t>(b)</w:t>
      </w:r>
      <w:r>
        <w:tab/>
        <w:t>the characteristics of Aboriginal cultural heritage located in the area.</w:t>
      </w:r>
    </w:p>
    <w:p>
      <w:pPr>
        <w:pStyle w:val="Subsection"/>
      </w:pPr>
      <w:r>
        <w:tab/>
        <w:t>(4)</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415" w:name="_Toc154743041"/>
      <w:r>
        <w:rPr>
          <w:rStyle w:val="CharSectno"/>
        </w:rPr>
        <w:t>322</w:t>
      </w:r>
      <w:r>
        <w:t>.</w:t>
      </w:r>
      <w:r>
        <w:tab/>
        <w:t>AH Act section 18 consents taken to be authorisation under Part 6 Division 4 in some circumstances</w:t>
      </w:r>
      <w:bookmarkEnd w:id="415"/>
    </w:p>
    <w:p>
      <w:pPr>
        <w:pStyle w:val="Subsection"/>
      </w:pPr>
      <w:r>
        <w:tab/>
        <w:t>(1)</w:t>
      </w:r>
      <w:r>
        <w:tab/>
        <w:t xml:space="preserve">On and after transition day, an activity being carried out in accordance with an AH Act section 18 consent is taken to be an activity that is authorised under Part 6 Division 4 in the following circumstances only — </w:t>
      </w:r>
    </w:p>
    <w:p>
      <w:pPr>
        <w:pStyle w:val="Indenta"/>
      </w:pPr>
      <w:r>
        <w:lastRenderedPageBreak/>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under this Act by agents — for the purposes of section 267(2)(a).</w:t>
      </w:r>
    </w:p>
    <w:p>
      <w:pPr>
        <w:pStyle w:val="Subsection"/>
      </w:pPr>
      <w:r>
        <w:tab/>
        <w:t>(2)</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416" w:name="_Toc154743042"/>
      <w:r>
        <w:rPr>
          <w:rStyle w:val="CharSectno"/>
        </w:rPr>
        <w:t>323</w:t>
      </w:r>
      <w:r>
        <w:t>.</w:t>
      </w:r>
      <w:r>
        <w:tab/>
        <w:t>AH Act approvals taken to be ACH permits in some circumstances</w:t>
      </w:r>
      <w:bookmarkEnd w:id="416"/>
    </w:p>
    <w:p>
      <w:pPr>
        <w:pStyle w:val="Subsection"/>
      </w:pPr>
      <w:r>
        <w:tab/>
        <w:t>(1)</w:t>
      </w:r>
      <w:r>
        <w:tab/>
        <w:t xml:space="preserve">On and after transition day, an AH Act approval is taken to be an ACH permit in the following circumstances only — </w:t>
      </w:r>
    </w:p>
    <w:p>
      <w:pPr>
        <w:pStyle w:val="Indenta"/>
      </w:pPr>
      <w:r>
        <w:tab/>
        <w:t>(a)</w:t>
      </w:r>
      <w:r>
        <w:tab/>
        <w:t>in relation to a protected area order under Part 4 — for the purposes of sections 72(2)(d) and (3), 79(4)(c), 81(3)(a) and 129(1);</w:t>
      </w:r>
    </w:p>
    <w:p>
      <w:pPr>
        <w:pStyle w:val="Indenta"/>
      </w:pPr>
      <w:r>
        <w:tab/>
        <w:t>(b)</w:t>
      </w:r>
      <w:r>
        <w:tab/>
        <w:t>in relation to the contravention of conditions under Part 6 Division 5 — for the purposes of section 133;</w:t>
      </w:r>
    </w:p>
    <w:p>
      <w:pPr>
        <w:pStyle w:val="Indenta"/>
      </w:pPr>
      <w:r>
        <w:tab/>
        <w:t>(c)</w:t>
      </w:r>
      <w:r>
        <w:tab/>
        <w:t>in relation to the ACH Directory under Part 9 — for the purposes of sections 213(1)(f) and 218(d)(i) and (g);</w:t>
      </w:r>
    </w:p>
    <w:p>
      <w:pPr>
        <w:pStyle w:val="Indenta"/>
      </w:pPr>
      <w:r>
        <w:tab/>
        <w:t>(d)</w:t>
      </w:r>
      <w:r>
        <w:tab/>
        <w:t>in relation to securing compliance with this Act under Part 10 — for the purposes of Part 10;</w:t>
      </w:r>
    </w:p>
    <w:p>
      <w:pPr>
        <w:pStyle w:val="Indenta"/>
      </w:pPr>
      <w:r>
        <w:tab/>
        <w:t>(e)</w:t>
      </w:r>
      <w:r>
        <w:tab/>
        <w:t>in relation to legal proceedings under Part 11 — for the purposes of Part 11;</w:t>
      </w:r>
    </w:p>
    <w:p>
      <w:pPr>
        <w:pStyle w:val="Indenta"/>
      </w:pPr>
      <w:r>
        <w:lastRenderedPageBreak/>
        <w:tab/>
        <w:t>(f)</w:t>
      </w:r>
      <w:r>
        <w:tab/>
        <w:t>in relation to miscellaneous provisions under Part 13 — for the purposes of Part 13.</w:t>
      </w:r>
    </w:p>
    <w:p>
      <w:pPr>
        <w:pStyle w:val="Subsection"/>
      </w:pPr>
      <w:r>
        <w:tab/>
        <w:t>(2)</w:t>
      </w:r>
      <w:r>
        <w:tab/>
        <w:t xml:space="preserve">For the purposes of giving effect to subsection (1) — </w:t>
      </w:r>
    </w:p>
    <w:p>
      <w:pPr>
        <w:pStyle w:val="Indenta"/>
      </w:pPr>
      <w:r>
        <w:tab/>
        <w:t>(a)</w:t>
      </w:r>
      <w:r>
        <w:tab/>
        <w:t>the person who was given an AH Act approval, taken under subsection (1) to be an ACH permit, is taken to be the holder of the ACH permit; and</w:t>
      </w:r>
    </w:p>
    <w:p>
      <w:pPr>
        <w:pStyle w:val="Indenta"/>
      </w:pPr>
      <w:r>
        <w:tab/>
        <w:t>(b)</w:t>
      </w:r>
      <w:r>
        <w:tab/>
        <w:t>an AH Act approval, taken under subsection (1) to be an ACH permit, is taken to be subject to the same conditions, if any, as the AH Act approval is subject.</w:t>
      </w:r>
    </w:p>
    <w:p>
      <w:pPr>
        <w:pStyle w:val="Subsection"/>
      </w:pPr>
      <w:r>
        <w:tab/>
        <w:t>(3)</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417" w:name="_Toc154743043"/>
      <w:r>
        <w:rPr>
          <w:rStyle w:val="CharSectno"/>
        </w:rPr>
        <w:t>324</w:t>
      </w:r>
      <w:r>
        <w:t>.</w:t>
      </w:r>
      <w:r>
        <w:tab/>
        <w:t>AH Act approvals taken to be authorisation under Part 6 Division 4 in some circumstances</w:t>
      </w:r>
      <w:bookmarkEnd w:id="417"/>
    </w:p>
    <w:p>
      <w:pPr>
        <w:pStyle w:val="Subsection"/>
      </w:pPr>
      <w:r>
        <w:tab/>
        <w:t>(1)</w:t>
      </w:r>
      <w:r>
        <w:tab/>
        <w:t xml:space="preserve">On and after transition day, an activity being carried out in accordance with an AH Act approval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by agents — for the purposes of section 267(2)(a).</w:t>
      </w:r>
    </w:p>
    <w:p>
      <w:pPr>
        <w:pStyle w:val="Subsection"/>
      </w:pPr>
      <w:r>
        <w:tab/>
        <w:t>(2)</w:t>
      </w:r>
      <w:r>
        <w:tab/>
        <w:t xml:space="preserve">If an AH Act approval — </w:t>
      </w:r>
    </w:p>
    <w:p>
      <w:pPr>
        <w:pStyle w:val="Indenta"/>
      </w:pPr>
      <w:r>
        <w:lastRenderedPageBreak/>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418" w:name="_Toc154743044"/>
      <w:r>
        <w:rPr>
          <w:rStyle w:val="CharSectno"/>
        </w:rPr>
        <w:t>325</w:t>
      </w:r>
      <w:r>
        <w:t>.</w:t>
      </w:r>
      <w:r>
        <w:tab/>
        <w:t>Expiry of historical AH Act section 18 consents</w:t>
      </w:r>
      <w:bookmarkEnd w:id="418"/>
    </w:p>
    <w:p>
      <w:pPr>
        <w:pStyle w:val="Subsection"/>
      </w:pPr>
      <w:r>
        <w:tab/>
        <w:t>(1)</w:t>
      </w:r>
      <w:r>
        <w:tab/>
        <w:t>An historical AH Act section 18 consent expires at the end of the period of 10 years beginning on transition day (</w:t>
      </w:r>
      <w:r>
        <w:rPr>
          <w:rStyle w:val="CharDefText"/>
        </w:rPr>
        <w:t>expiry day</w:t>
      </w:r>
      <w:r>
        <w:t xml:space="preserve">) unless — </w:t>
      </w:r>
    </w:p>
    <w:p>
      <w:pPr>
        <w:pStyle w:val="Indenta"/>
      </w:pPr>
      <w:r>
        <w:tab/>
        <w:t>(a)</w:t>
      </w:r>
      <w:r>
        <w:tab/>
        <w:t>it is no longer in force on expiry day; or</w:t>
      </w:r>
    </w:p>
    <w:p>
      <w:pPr>
        <w:pStyle w:val="Indenta"/>
      </w:pPr>
      <w:r>
        <w:tab/>
        <w:t>(b)</w:t>
      </w:r>
      <w:r>
        <w:tab/>
        <w:t>subsection (2) applies.</w:t>
      </w:r>
    </w:p>
    <w:p>
      <w:pPr>
        <w:pStyle w:val="Subsection"/>
      </w:pPr>
      <w:r>
        <w:tab/>
        <w:t>(2)</w:t>
      </w:r>
      <w:r>
        <w:tab/>
        <w:t xml:space="preserve">An historical AH Act section 18 consent does not expire under subsection (1) if — </w:t>
      </w:r>
    </w:p>
    <w:p>
      <w:pPr>
        <w:pStyle w:val="Indenta"/>
      </w:pPr>
      <w:r>
        <w:tab/>
        <w:t>(a)</w:t>
      </w:r>
      <w:r>
        <w:tab/>
        <w:t>an application in relation to the consent has been made to the Minister no later than 12 months before expiry day; and</w:t>
      </w:r>
    </w:p>
    <w:p>
      <w:pPr>
        <w:pStyle w:val="Indenta"/>
      </w:pPr>
      <w:r>
        <w:tab/>
        <w:t>(b)</w:t>
      </w:r>
      <w:r>
        <w:tab/>
        <w:t>the Minister makes a decision in accordance with subsection (3) that the consent the subject of the application will not expire on expiry day; and</w:t>
      </w:r>
    </w:p>
    <w:p>
      <w:pPr>
        <w:pStyle w:val="Indenta"/>
      </w:pPr>
      <w:r>
        <w:tab/>
        <w:t>(c)</w:t>
      </w:r>
      <w:r>
        <w:tab/>
        <w:t>the Minister gives the owner of the land the subject of the consent written notice of that decision before expiry day.</w:t>
      </w:r>
    </w:p>
    <w:p>
      <w:pPr>
        <w:pStyle w:val="Subsection"/>
      </w:pPr>
      <w:r>
        <w:tab/>
        <w:t>(3)</w:t>
      </w:r>
      <w:r>
        <w:tab/>
        <w:t>A decision under subsection (2)(b) can only be made if the Minister forms the opinion that the purpose for which the land the subject of the consent may be used, as specified in the consent, has been substantially commenced.</w:t>
      </w:r>
    </w:p>
    <w:p>
      <w:pPr>
        <w:pStyle w:val="Subsection"/>
        <w:keepNext/>
      </w:pPr>
      <w:r>
        <w:tab/>
        <w:t>(4)</w:t>
      </w:r>
      <w:r>
        <w:tab/>
        <w:t xml:space="preserve">Transitional regulations may be made about — </w:t>
      </w:r>
    </w:p>
    <w:p>
      <w:pPr>
        <w:pStyle w:val="Indenta"/>
      </w:pPr>
      <w:r>
        <w:tab/>
        <w:t>(a)</w:t>
      </w:r>
      <w:r>
        <w:tab/>
        <w:t>the manner in which applications referred to in subsection (2)(a) may be made; and</w:t>
      </w:r>
    </w:p>
    <w:p>
      <w:pPr>
        <w:pStyle w:val="Indenta"/>
      </w:pPr>
      <w:r>
        <w:tab/>
        <w:t>(b)</w:t>
      </w:r>
      <w:r>
        <w:tab/>
        <w:t xml:space="preserve">the criteria to apply under subsection (3) in determining whether the purpose for which land the subject of an </w:t>
      </w:r>
      <w:r>
        <w:lastRenderedPageBreak/>
        <w:t>historical AH Act section 18 consent may be used, as specified in the consent, has been substantially commenced; and</w:t>
      </w:r>
    </w:p>
    <w:p>
      <w:pPr>
        <w:pStyle w:val="Indenta"/>
      </w:pPr>
      <w:r>
        <w:tab/>
        <w:t>(c)</w:t>
      </w:r>
      <w:r>
        <w:tab/>
        <w:t>the giving of notice, including the persons to be notified, about decisions made under subsection (2)(b).</w:t>
      </w:r>
    </w:p>
    <w:p>
      <w:pPr>
        <w:pStyle w:val="Subsection"/>
      </w:pPr>
      <w:r>
        <w:tab/>
        <w:t>(5)</w:t>
      </w:r>
      <w:r>
        <w:tab/>
        <w:t>A decision by the Minister under subsection (2)(b) can be delegated under section 301 only to the ACH Council.</w:t>
      </w:r>
    </w:p>
    <w:p>
      <w:pPr>
        <w:pStyle w:val="Heading5"/>
      </w:pPr>
      <w:bookmarkStart w:id="419" w:name="_Toc154743045"/>
      <w:r>
        <w:rPr>
          <w:rStyle w:val="CharSectno"/>
        </w:rPr>
        <w:t>326</w:t>
      </w:r>
      <w:r>
        <w:t>.</w:t>
      </w:r>
      <w:r>
        <w:tab/>
        <w:t>Extension of duration of transitional AH Act section 18 consents</w:t>
      </w:r>
      <w:bookmarkEnd w:id="419"/>
    </w:p>
    <w:p>
      <w:pPr>
        <w:pStyle w:val="Subsection"/>
      </w:pPr>
      <w:r>
        <w:tab/>
        <w:t>(1)</w:t>
      </w:r>
      <w:r>
        <w:tab/>
        <w:t>The duration of a transitional AH Act section 18 consent that would otherwise expire in accordance with its terms or the AH Act, as is relevant, may be extended as set out in subsections (2) and (4).</w:t>
      </w:r>
    </w:p>
    <w:p>
      <w:pPr>
        <w:pStyle w:val="Subsection"/>
      </w:pPr>
      <w:r>
        <w:tab/>
        <w:t>(2)</w:t>
      </w:r>
      <w:r>
        <w:tab/>
        <w:t xml:space="preserve">A transitional AH Act section 18 consent does not expire in accordance with its terms or the AH Act, as is relevant, if — </w:t>
      </w:r>
    </w:p>
    <w:p>
      <w:pPr>
        <w:pStyle w:val="Indenta"/>
      </w:pPr>
      <w:r>
        <w:tab/>
        <w:t>(a)</w:t>
      </w:r>
      <w:r>
        <w:tab/>
        <w:t>an application in relation to the consent has been made to the Minister no later than 12 months before the consent would otherwise expire; and</w:t>
      </w:r>
    </w:p>
    <w:p>
      <w:pPr>
        <w:pStyle w:val="Indenta"/>
      </w:pPr>
      <w:r>
        <w:tab/>
        <w:t>(b)</w:t>
      </w:r>
      <w:r>
        <w:tab/>
        <w:t>the Minister makes a decision in accordance with subsection (3) that the duration of the consent will be extended in accordance with subsection (4); and</w:t>
      </w:r>
    </w:p>
    <w:p>
      <w:pPr>
        <w:pStyle w:val="Indenta"/>
      </w:pPr>
      <w:r>
        <w:tab/>
        <w:t>(c)</w:t>
      </w:r>
      <w:r>
        <w:tab/>
        <w:t>the Minister gives written notice of that decision to the owner of the land the subject of the consent before the consent would otherwise expire.</w:t>
      </w:r>
    </w:p>
    <w:p>
      <w:pPr>
        <w:pStyle w:val="Subsection"/>
      </w:pPr>
      <w:r>
        <w:tab/>
        <w:t>(3)</w:t>
      </w:r>
      <w:r>
        <w:tab/>
        <w:t>A decision under subsection (2)(b) can only be made if the Minister forms the opinion that the purpose for which the land the subject of the consent may be used, as specified in the consent, is a State significant project.</w:t>
      </w:r>
    </w:p>
    <w:p>
      <w:pPr>
        <w:pStyle w:val="Subsection"/>
      </w:pPr>
      <w:r>
        <w:tab/>
        <w:t>(4)</w:t>
      </w:r>
      <w:r>
        <w:tab/>
        <w:t xml:space="preserve">The duration of a transitional AH Act section 18 consent may be extended — </w:t>
      </w:r>
    </w:p>
    <w:p>
      <w:pPr>
        <w:pStyle w:val="Indenta"/>
      </w:pPr>
      <w:r>
        <w:tab/>
        <w:t>(a)</w:t>
      </w:r>
      <w:r>
        <w:tab/>
        <w:t>on only one occasion; and</w:t>
      </w:r>
    </w:p>
    <w:p>
      <w:pPr>
        <w:pStyle w:val="Indenta"/>
      </w:pPr>
      <w:r>
        <w:lastRenderedPageBreak/>
        <w:tab/>
        <w:t>(b)</w:t>
      </w:r>
      <w:r>
        <w:tab/>
        <w:t xml:space="preserve">for — </w:t>
      </w:r>
    </w:p>
    <w:p>
      <w:pPr>
        <w:pStyle w:val="Indenti"/>
      </w:pPr>
      <w:r>
        <w:tab/>
        <w:t>(i)</w:t>
      </w:r>
      <w:r>
        <w:tab/>
        <w:t>a period of 5 years beginning immediately after the consent would otherwise expire; or</w:t>
      </w:r>
    </w:p>
    <w:p>
      <w:pPr>
        <w:pStyle w:val="Indenti"/>
      </w:pPr>
      <w:r>
        <w:tab/>
        <w:t>(ii)</w:t>
      </w:r>
      <w:r>
        <w:tab/>
        <w:t>any shorter period specified in writing by the Minister.</w:t>
      </w:r>
    </w:p>
    <w:p>
      <w:pPr>
        <w:pStyle w:val="Subsection"/>
      </w:pPr>
      <w:r>
        <w:tab/>
        <w:t>(5)</w:t>
      </w:r>
      <w:r>
        <w:tab/>
        <w:t xml:space="preserve">Transitional regulations may be made as to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the land the subject of a transitional AH Act section 18 consent may be used, as specified in the consent, is a State significant project; and</w:t>
      </w:r>
    </w:p>
    <w:p>
      <w:pPr>
        <w:pStyle w:val="Indenta"/>
      </w:pPr>
      <w:r>
        <w:tab/>
        <w:t>(c)</w:t>
      </w:r>
      <w:r>
        <w:tab/>
        <w:t>the giving of notice, including the persons to be notified, about decisions made under subsection (2)(b).</w:t>
      </w:r>
    </w:p>
    <w:p>
      <w:pPr>
        <w:pStyle w:val="Subsection"/>
      </w:pPr>
      <w:r>
        <w:tab/>
        <w:t>(6)</w:t>
      </w:r>
      <w:r>
        <w:tab/>
        <w:t>A decision by the Minister under subsection (2)(b) cannot be delegated under section 301.</w:t>
      </w:r>
    </w:p>
    <w:p>
      <w:pPr>
        <w:pStyle w:val="Heading4"/>
      </w:pPr>
      <w:bookmarkStart w:id="420" w:name="_Toc154743046"/>
      <w:r>
        <w:t>Subdivision 4 — Marandoo Act area</w:t>
      </w:r>
      <w:bookmarkEnd w:id="420"/>
    </w:p>
    <w:p>
      <w:pPr>
        <w:pStyle w:val="Heading5"/>
      </w:pPr>
      <w:bookmarkStart w:id="421" w:name="_Toc154743047"/>
      <w:r>
        <w:rPr>
          <w:rStyle w:val="CharSectno"/>
        </w:rPr>
        <w:t>327</w:t>
      </w:r>
      <w:r>
        <w:t>.</w:t>
      </w:r>
      <w:r>
        <w:tab/>
        <w:t>Terms used</w:t>
      </w:r>
      <w:bookmarkEnd w:id="421"/>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lastRenderedPageBreak/>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422" w:name="_Toc154743048"/>
      <w:r>
        <w:rPr>
          <w:rStyle w:val="CharSectno"/>
        </w:rPr>
        <w:t>328</w:t>
      </w:r>
      <w:r>
        <w:t>.</w:t>
      </w:r>
      <w:r>
        <w:tab/>
        <w:t>Historical AH Act section 18 consent taken to be held</w:t>
      </w:r>
      <w:bookmarkEnd w:id="422"/>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423" w:name="_Toc154743049"/>
      <w:r>
        <w:rPr>
          <w:rStyle w:val="CharSectno"/>
        </w:rPr>
        <w:t>329</w:t>
      </w:r>
      <w:r>
        <w:t>.</w:t>
      </w:r>
      <w:r>
        <w:tab/>
        <w:t>Minister may approve reduced area</w:t>
      </w:r>
      <w:bookmarkEnd w:id="423"/>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lastRenderedPageBreak/>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Heading5"/>
      </w:pPr>
      <w:bookmarkStart w:id="424" w:name="_Toc154743050"/>
      <w:r>
        <w:rPr>
          <w:rStyle w:val="CharSectno"/>
        </w:rPr>
        <w:t>330</w:t>
      </w:r>
      <w:r>
        <w:t>.</w:t>
      </w:r>
      <w:r>
        <w:tab/>
        <w:t>Purported section 18 consents are of no effect</w:t>
      </w:r>
      <w:bookmarkEnd w:id="424"/>
    </w:p>
    <w:p>
      <w:pPr>
        <w:pStyle w:val="Subsection"/>
      </w:pPr>
      <w:r>
        <w:tab/>
        <w:t>(1)</w:t>
      </w:r>
      <w:r>
        <w:tab/>
        <w:t>On and after transition day, a purported section 18 consent is not a valid AH Act section 18 consent and is of no force or effect.</w:t>
      </w:r>
    </w:p>
    <w:p>
      <w:pPr>
        <w:pStyle w:val="Subsection"/>
      </w:pPr>
      <w:r>
        <w:tab/>
        <w:t>(2)</w:t>
      </w:r>
      <w:r>
        <w:tab/>
        <w:t xml:space="preserve">In subsection (1) — </w:t>
      </w:r>
    </w:p>
    <w:p>
      <w:pPr>
        <w:pStyle w:val="Defstart"/>
      </w:pPr>
      <w:r>
        <w:tab/>
      </w:r>
      <w:r>
        <w:rPr>
          <w:rStyle w:val="CharDefText"/>
        </w:rPr>
        <w:t>purported section 18 consent</w:t>
      </w:r>
      <w:r>
        <w:t xml:space="preserve"> means a consent given, or purportedly given, under the AH Act section 18 — </w:t>
      </w:r>
    </w:p>
    <w:p>
      <w:pPr>
        <w:pStyle w:val="Defpara"/>
      </w:pPr>
      <w:r>
        <w:tab/>
        <w:t>(a)</w:t>
      </w:r>
      <w:r>
        <w:tab/>
        <w:t xml:space="preserve">before the commencement of the </w:t>
      </w:r>
      <w:r>
        <w:rPr>
          <w:i/>
        </w:rPr>
        <w:t>Aboriginal Heritage (Marandoo) Act 1992</w:t>
      </w:r>
      <w:r>
        <w:t>; and</w:t>
      </w:r>
    </w:p>
    <w:p>
      <w:pPr>
        <w:pStyle w:val="Defpara"/>
      </w:pPr>
      <w:r>
        <w:tab/>
        <w:t>(b)</w:t>
      </w:r>
      <w:r>
        <w:tab/>
        <w:t>to use any of the Marandoo Act area for any purpose.</w:t>
      </w:r>
    </w:p>
    <w:p>
      <w:pPr>
        <w:pStyle w:val="Heading4"/>
      </w:pPr>
      <w:bookmarkStart w:id="425" w:name="_Toc154743051"/>
      <w:r>
        <w:lastRenderedPageBreak/>
        <w:t>Subdivision 5 — Other matters</w:t>
      </w:r>
      <w:bookmarkEnd w:id="425"/>
    </w:p>
    <w:p>
      <w:pPr>
        <w:pStyle w:val="Heading5"/>
      </w:pPr>
      <w:bookmarkStart w:id="426" w:name="_Toc154743052"/>
      <w:r>
        <w:rPr>
          <w:rStyle w:val="CharSectno"/>
        </w:rPr>
        <w:t>331</w:t>
      </w:r>
      <w:r>
        <w:t>.</w:t>
      </w:r>
      <w:r>
        <w:tab/>
        <w:t>Information and documents on former register transferred to ACH Directory</w:t>
      </w:r>
      <w:bookmarkEnd w:id="426"/>
    </w:p>
    <w:p>
      <w:pPr>
        <w:pStyle w:val="Subsection"/>
      </w:pPr>
      <w:r>
        <w:tab/>
      </w:r>
      <w:r>
        <w:tab/>
        <w:t>On transition day, all of the information and documents that were, immediately before that day, recorded in the register maintained under the AH Act section 38 must be transferred to and included on the ACH Directory.</w:t>
      </w:r>
    </w:p>
    <w:p>
      <w:pPr>
        <w:pStyle w:val="Heading5"/>
      </w:pPr>
      <w:bookmarkStart w:id="427" w:name="_Toc154743053"/>
      <w:r>
        <w:rPr>
          <w:rStyle w:val="CharSectno"/>
        </w:rPr>
        <w:t>332</w:t>
      </w:r>
      <w:r>
        <w:t>.</w:t>
      </w:r>
      <w:r>
        <w:tab/>
        <w:t>Unfinished business</w:t>
      </w:r>
      <w:bookmarkEnd w:id="427"/>
    </w:p>
    <w:p>
      <w:pPr>
        <w:pStyle w:val="Subsection"/>
      </w:pPr>
      <w:r>
        <w:tab/>
        <w:t>(1)</w:t>
      </w:r>
      <w:r>
        <w:tab/>
        <w:t>On and after transition day, the Minister under the AH Act continues in existence for the purposes of dealing with and finalising any proceedings commenced by or against the ACMC or the Minister before that day.</w:t>
      </w:r>
    </w:p>
    <w:p>
      <w:pPr>
        <w:pStyle w:val="Subsection"/>
      </w:pPr>
      <w:r>
        <w:tab/>
        <w:t>(2)</w:t>
      </w:r>
      <w:r>
        <w:tab/>
        <w:t>While the Minister under the AH Act continues in existence under subsection (1), the Minister has the powers to do any act that the Minister considers necessary or expedient to do for the purpose for which the Minister is continued in existence.</w:t>
      </w:r>
    </w:p>
    <w:p>
      <w:pPr>
        <w:pStyle w:val="Subsection"/>
      </w:pPr>
      <w:r>
        <w:tab/>
        <w:t>(3)</w:t>
      </w:r>
      <w:r>
        <w:tab/>
        <w:t>This section applies despite the amendment and repeal of the AH Act by this Act.</w:t>
      </w:r>
    </w:p>
    <w:p>
      <w:pPr>
        <w:pStyle w:val="Heading5"/>
      </w:pPr>
      <w:bookmarkStart w:id="428" w:name="_Toc154743054"/>
      <w:r>
        <w:rPr>
          <w:rStyle w:val="CharSectno"/>
        </w:rPr>
        <w:t>333</w:t>
      </w:r>
      <w:r>
        <w:t>.</w:t>
      </w:r>
      <w:r>
        <w:tab/>
        <w:t>ACMC abolished</w:t>
      </w:r>
      <w:bookmarkEnd w:id="428"/>
    </w:p>
    <w:p>
      <w:pPr>
        <w:pStyle w:val="Subsection"/>
      </w:pPr>
      <w:r>
        <w:tab/>
      </w:r>
      <w:r>
        <w:tab/>
        <w:t xml:space="preserve">On repeal day — </w:t>
      </w:r>
    </w:p>
    <w:p>
      <w:pPr>
        <w:pStyle w:val="Indenta"/>
      </w:pPr>
      <w:r>
        <w:tab/>
        <w:t>(a)</w:t>
      </w:r>
      <w:r>
        <w:tab/>
        <w:t>the ACMC, as in existence immediately before that day, is abolished; and</w:t>
      </w:r>
    </w:p>
    <w:p>
      <w:pPr>
        <w:pStyle w:val="Indenta"/>
      </w:pPr>
      <w:r>
        <w:tab/>
        <w:t>(b)</w:t>
      </w:r>
      <w:r>
        <w:tab/>
        <w:t>a person who, immediately before that day, was a member of the ACMC ceases to be a member; and</w:t>
      </w:r>
    </w:p>
    <w:p>
      <w:pPr>
        <w:pStyle w:val="Indenta"/>
      </w:pPr>
      <w:r>
        <w:tab/>
        <w:t>(c)</w:t>
      </w:r>
      <w:r>
        <w:tab/>
        <w:t>the records of the ACMC are taken to be the records of the ACH Council.</w:t>
      </w:r>
    </w:p>
    <w:p>
      <w:pPr>
        <w:pStyle w:val="Heading5"/>
      </w:pPr>
      <w:bookmarkStart w:id="429" w:name="_Toc154743055"/>
      <w:r>
        <w:rPr>
          <w:rStyle w:val="CharSectno"/>
        </w:rPr>
        <w:t>334</w:t>
      </w:r>
      <w:r>
        <w:t>.</w:t>
      </w:r>
      <w:r>
        <w:tab/>
        <w:t>Completion of things commenced</w:t>
      </w:r>
      <w:bookmarkEnd w:id="429"/>
    </w:p>
    <w:p>
      <w:pPr>
        <w:pStyle w:val="Subsection"/>
      </w:pPr>
      <w:r>
        <w:tab/>
      </w:r>
      <w:r>
        <w:tab/>
        <w:t xml:space="preserve">Subject to section 332, anything commenced by the ACMC before repeal day may be continued by the ACH Council on and </w:t>
      </w:r>
      <w:r>
        <w:lastRenderedPageBreak/>
        <w:t>after that day, to the extent to which the doing of that thing is within the functions of the Council.</w:t>
      </w:r>
    </w:p>
    <w:p>
      <w:pPr>
        <w:pStyle w:val="Heading5"/>
      </w:pPr>
      <w:bookmarkStart w:id="430" w:name="_Toc154743056"/>
      <w:r>
        <w:rPr>
          <w:rStyle w:val="CharSectno"/>
        </w:rPr>
        <w:t>335</w:t>
      </w:r>
      <w:r>
        <w:t>.</w:t>
      </w:r>
      <w:r>
        <w:tab/>
        <w:t xml:space="preserve">References to </w:t>
      </w:r>
      <w:r>
        <w:rPr>
          <w:i/>
        </w:rPr>
        <w:t>Aboriginal Heritage Act 1972</w:t>
      </w:r>
      <w:bookmarkEnd w:id="430"/>
    </w:p>
    <w:p>
      <w:pPr>
        <w:pStyle w:val="Subsection"/>
      </w:pPr>
      <w:r>
        <w:tab/>
      </w:r>
      <w:r>
        <w:tab/>
        <w:t xml:space="preserve">If a written law or document refers to the </w:t>
      </w:r>
      <w:r>
        <w:rPr>
          <w:i/>
        </w:rPr>
        <w:t>Aboriginal Heritage Act 1972</w:t>
      </w:r>
      <w:r>
        <w:t xml:space="preserve"> the reference is taken, if the context permits, to be a reference to — </w:t>
      </w:r>
    </w:p>
    <w:p>
      <w:pPr>
        <w:pStyle w:val="Indenta"/>
      </w:pPr>
      <w:r>
        <w:tab/>
        <w:t>(a)</w:t>
      </w:r>
      <w:r>
        <w:tab/>
        <w:t xml:space="preserve">on and after transition day and before repeal day — the </w:t>
      </w:r>
      <w:r>
        <w:rPr>
          <w:i/>
        </w:rPr>
        <w:t>Aboriginal Heritage Act 1972</w:t>
      </w:r>
      <w:r>
        <w:t xml:space="preserve"> or the </w:t>
      </w:r>
      <w:r>
        <w:rPr>
          <w:i/>
        </w:rPr>
        <w:t>Aboriginal Cultural Heritage Act 2021</w:t>
      </w:r>
      <w:r>
        <w:t>, or both, as appropriate; and</w:t>
      </w:r>
    </w:p>
    <w:p>
      <w:pPr>
        <w:pStyle w:val="Indenta"/>
      </w:pPr>
      <w:r>
        <w:tab/>
        <w:t>(b)</w:t>
      </w:r>
      <w:r>
        <w:tab/>
        <w:t xml:space="preserve">on and after repeal day — the </w:t>
      </w:r>
      <w:r>
        <w:rPr>
          <w:i/>
        </w:rPr>
        <w:t>Aboriginal Cultural Heritage Act 2021</w:t>
      </w:r>
      <w:r>
        <w:t>.</w:t>
      </w:r>
    </w:p>
    <w:p>
      <w:pPr>
        <w:pStyle w:val="Heading5"/>
      </w:pPr>
      <w:bookmarkStart w:id="431" w:name="_Toc154743057"/>
      <w:r>
        <w:rPr>
          <w:rStyle w:val="CharSectno"/>
        </w:rPr>
        <w:t>336</w:t>
      </w:r>
      <w:r>
        <w:t>.</w:t>
      </w:r>
      <w:r>
        <w:tab/>
        <w:t>Transitional regulations</w:t>
      </w:r>
      <w:bookmarkEnd w:id="431"/>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lastRenderedPageBreak/>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Heading5"/>
      </w:pPr>
      <w:bookmarkStart w:id="432" w:name="_Toc154743058"/>
      <w:r>
        <w:rPr>
          <w:rStyle w:val="CharSectno"/>
        </w:rPr>
        <w:t>337</w:t>
      </w:r>
      <w:r>
        <w:t>.</w:t>
      </w:r>
      <w:r>
        <w:tab/>
      </w:r>
      <w:r>
        <w:rPr>
          <w:i/>
        </w:rPr>
        <w:t>Interpretation Act 1984</w:t>
      </w:r>
      <w:r>
        <w:t xml:space="preserve"> not affected</w:t>
      </w:r>
      <w:bookmarkEnd w:id="432"/>
    </w:p>
    <w:p>
      <w:pPr>
        <w:pStyle w:val="Subsection"/>
      </w:pPr>
      <w:r>
        <w:tab/>
      </w:r>
      <w:r>
        <w:tab/>
        <w:t xml:space="preserve">Except to the extent that this Part or regulations made under section 336 expressly provide differently, the </w:t>
      </w:r>
      <w:r>
        <w:rPr>
          <w:i/>
        </w:rPr>
        <w:t>Interpretation Act 1984</w:t>
      </w:r>
      <w:r>
        <w:t xml:space="preserve"> applies in relation to the repeal of a written law referred to in Division 1.</w:t>
      </w:r>
    </w:p>
    <w:p>
      <w:pPr>
        <w:pStyle w:val="Heading2"/>
      </w:pPr>
      <w:bookmarkStart w:id="433" w:name="_Toc154743059"/>
      <w:r>
        <w:rPr>
          <w:rStyle w:val="CharPartNo"/>
        </w:rPr>
        <w:lastRenderedPageBreak/>
        <w:t>Part 15</w:t>
      </w:r>
      <w:r>
        <w:t> — </w:t>
      </w:r>
      <w:r>
        <w:rPr>
          <w:rStyle w:val="CharPartText"/>
          <w:i/>
        </w:rPr>
        <w:t>Aboriginal Heritage Act 1972</w:t>
      </w:r>
      <w:r>
        <w:rPr>
          <w:rStyle w:val="CharPartText"/>
        </w:rPr>
        <w:t xml:space="preserve"> amended</w:t>
      </w:r>
      <w:bookmarkEnd w:id="433"/>
    </w:p>
    <w:p>
      <w:pPr>
        <w:pStyle w:val="Heading3"/>
      </w:pPr>
      <w:bookmarkStart w:id="434" w:name="_Toc154743060"/>
      <w:r>
        <w:rPr>
          <w:rStyle w:val="CharDivNo"/>
        </w:rPr>
        <w:t>Division 1</w:t>
      </w:r>
      <w:r>
        <w:t> — </w:t>
      </w:r>
      <w:r>
        <w:rPr>
          <w:rStyle w:val="CharDivText"/>
        </w:rPr>
        <w:t>Act amended</w:t>
      </w:r>
      <w:bookmarkEnd w:id="434"/>
    </w:p>
    <w:p>
      <w:pPr>
        <w:pStyle w:val="Heading5"/>
        <w:spacing w:before="200"/>
      </w:pPr>
      <w:bookmarkStart w:id="435" w:name="_Toc154743061"/>
      <w:r>
        <w:rPr>
          <w:rStyle w:val="CharSectno"/>
        </w:rPr>
        <w:t>338</w:t>
      </w:r>
      <w:r>
        <w:t>.</w:t>
      </w:r>
      <w:r>
        <w:tab/>
      </w:r>
      <w:r>
        <w:rPr>
          <w:i/>
        </w:rPr>
        <w:t>Aboriginal Heritage Act 1972</w:t>
      </w:r>
      <w:r>
        <w:t xml:space="preserve"> amended</w:t>
      </w:r>
      <w:bookmarkEnd w:id="435"/>
    </w:p>
    <w:p>
      <w:pPr>
        <w:pStyle w:val="Subsection"/>
        <w:spacing w:before="120"/>
      </w:pPr>
      <w:r>
        <w:tab/>
      </w:r>
      <w:r>
        <w:tab/>
        <w:t xml:space="preserve">This Part amends the </w:t>
      </w:r>
      <w:r>
        <w:rPr>
          <w:i/>
        </w:rPr>
        <w:t>Aboriginal Heritage Act 1972</w:t>
      </w:r>
      <w:r>
        <w:t>.</w:t>
      </w:r>
    </w:p>
    <w:p>
      <w:pPr>
        <w:pStyle w:val="Heading3"/>
      </w:pPr>
      <w:bookmarkStart w:id="436" w:name="_Toc154743062"/>
      <w:r>
        <w:rPr>
          <w:rStyle w:val="CharDivNo"/>
        </w:rPr>
        <w:t>Division 2</w:t>
      </w:r>
      <w:r>
        <w:t> — </w:t>
      </w:r>
      <w:r>
        <w:rPr>
          <w:rStyle w:val="CharDivText"/>
        </w:rPr>
        <w:t>Amendments commencing on day after assent day</w:t>
      </w:r>
      <w:bookmarkEnd w:id="436"/>
    </w:p>
    <w:p>
      <w:pPr>
        <w:pStyle w:val="Heading5"/>
        <w:spacing w:before="200"/>
      </w:pPr>
      <w:bookmarkStart w:id="437" w:name="_Toc154743063"/>
      <w:r>
        <w:rPr>
          <w:rStyle w:val="CharSectno"/>
        </w:rPr>
        <w:t>339</w:t>
      </w:r>
      <w:r>
        <w:t>.</w:t>
      </w:r>
      <w:r>
        <w:tab/>
        <w:t>Section 4 amended</w:t>
      </w:r>
      <w:bookmarkEnd w:id="437"/>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438" w:name="_Toc154743064"/>
      <w:r>
        <w:rPr>
          <w:rStyle w:val="CharSectno"/>
        </w:rPr>
        <w:t>340</w:t>
      </w:r>
      <w:r>
        <w:t>.</w:t>
      </w:r>
      <w:r>
        <w:tab/>
        <w:t>Section 18 amended</w:t>
      </w:r>
      <w:bookmarkEnd w:id="438"/>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Heading3"/>
      </w:pPr>
      <w:bookmarkStart w:id="439" w:name="_Toc154743065"/>
      <w:r>
        <w:rPr>
          <w:rStyle w:val="CharDivNo"/>
        </w:rPr>
        <w:t>Division 3</w:t>
      </w:r>
      <w:r>
        <w:t> — </w:t>
      </w:r>
      <w:r>
        <w:rPr>
          <w:rStyle w:val="CharDivText"/>
        </w:rPr>
        <w:t>Amendments commencing on transition day</w:t>
      </w:r>
      <w:bookmarkEnd w:id="439"/>
    </w:p>
    <w:p>
      <w:pPr>
        <w:pStyle w:val="Heading5"/>
      </w:pPr>
      <w:bookmarkStart w:id="440" w:name="_Toc154743066"/>
      <w:r>
        <w:rPr>
          <w:rStyle w:val="CharSectno"/>
        </w:rPr>
        <w:t>341</w:t>
      </w:r>
      <w:r>
        <w:t>.</w:t>
      </w:r>
      <w:r>
        <w:tab/>
        <w:t>Long title replaced</w:t>
      </w:r>
      <w:bookmarkEnd w:id="440"/>
    </w:p>
    <w:p>
      <w:pPr>
        <w:pStyle w:val="Subsection"/>
        <w:rPr>
          <w:snapToGrid w:val="0"/>
        </w:rPr>
      </w:pPr>
      <w:r>
        <w:tab/>
      </w:r>
      <w:r>
        <w:tab/>
        <w:t>Delete the long title and insert</w:t>
      </w:r>
      <w:r>
        <w:rPr>
          <w:snapToGrid w:val="0"/>
        </w:rPr>
        <w:t>:</w:t>
      </w:r>
    </w:p>
    <w:p>
      <w:pPr>
        <w:pStyle w:val="BlankOpen"/>
        <w:rPr>
          <w:snapToGrid w:val="0"/>
        </w:rPr>
      </w:pPr>
    </w:p>
    <w:p>
      <w:pPr>
        <w:pStyle w:val="zLongTitle"/>
        <w:rPr>
          <w:snapToGrid w:val="0"/>
        </w:rPr>
      </w:pPr>
      <w:r>
        <w:rPr>
          <w:snapToGrid w:val="0"/>
        </w:rPr>
        <w:t>An Act to provide for the determination of certain applications made, and notices given, under this Act before transition day and for related purposes.</w:t>
      </w:r>
    </w:p>
    <w:p>
      <w:pPr>
        <w:pStyle w:val="BlankClose"/>
      </w:pPr>
    </w:p>
    <w:p>
      <w:pPr>
        <w:pStyle w:val="Heading5"/>
      </w:pPr>
      <w:bookmarkStart w:id="441" w:name="_Toc154743067"/>
      <w:r>
        <w:rPr>
          <w:rStyle w:val="CharSectno"/>
        </w:rPr>
        <w:t>342</w:t>
      </w:r>
      <w:r>
        <w:t>.</w:t>
      </w:r>
      <w:r>
        <w:tab/>
        <w:t>Sections 4A and 4B inserted</w:t>
      </w:r>
      <w:bookmarkEnd w:id="441"/>
    </w:p>
    <w:p>
      <w:pPr>
        <w:pStyle w:val="Subsection"/>
      </w:pPr>
      <w:r>
        <w:tab/>
      </w:r>
      <w:r>
        <w:tab/>
        <w:t>At the beginning of Part II insert:</w:t>
      </w:r>
    </w:p>
    <w:p>
      <w:pPr>
        <w:pStyle w:val="BlankOpen"/>
      </w:pPr>
    </w:p>
    <w:p>
      <w:pPr>
        <w:pStyle w:val="zHeading5"/>
      </w:pPr>
      <w:bookmarkStart w:id="442" w:name="_Toc154743068"/>
      <w:r>
        <w:t>4A.</w:t>
      </w:r>
      <w:r>
        <w:tab/>
        <w:t>Application of Act limited</w:t>
      </w:r>
      <w:bookmarkEnd w:id="442"/>
    </w:p>
    <w:p>
      <w:pPr>
        <w:pStyle w:val="zSubsection"/>
      </w:pPr>
      <w:r>
        <w:tab/>
      </w:r>
      <w:r>
        <w:tab/>
        <w:t>This Act does not apply on and after transition day, other than as set out in section 4B.</w:t>
      </w:r>
    </w:p>
    <w:p>
      <w:pPr>
        <w:pStyle w:val="zHeading5"/>
      </w:pPr>
      <w:bookmarkStart w:id="443" w:name="_Toc154743069"/>
      <w:r>
        <w:t>4B.</w:t>
      </w:r>
      <w:r>
        <w:tab/>
        <w:t>Act continues to apply for certain purposes only</w:t>
      </w:r>
      <w:bookmarkEnd w:id="443"/>
    </w:p>
    <w:p>
      <w:pPr>
        <w:pStyle w:val="zSubsection"/>
      </w:pPr>
      <w:r>
        <w:tab/>
      </w:r>
      <w:r>
        <w:tab/>
        <w:t xml:space="preserve">This Act continues to apply on and after transition day for the following purposes only — </w:t>
      </w:r>
    </w:p>
    <w:p>
      <w:pPr>
        <w:pStyle w:val="zIndenta"/>
      </w:pPr>
      <w:r>
        <w:tab/>
        <w:t>(a)</w:t>
      </w:r>
      <w:r>
        <w:tab/>
        <w:t>the determination of applications, made before transition day, for authorisations under section 16(2);</w:t>
      </w:r>
    </w:p>
    <w:p>
      <w:pPr>
        <w:pStyle w:val="zIndenta"/>
      </w:pPr>
      <w:r>
        <w:tab/>
        <w:t>(b)</w:t>
      </w:r>
      <w:r>
        <w:tab/>
        <w:t>the determination of notices, given before transition day, under section 18(2);</w:t>
      </w:r>
    </w:p>
    <w:p>
      <w:pPr>
        <w:pStyle w:val="zIndenta"/>
      </w:pPr>
      <w:r>
        <w:tab/>
        <w:t>(c)</w:t>
      </w:r>
      <w:r>
        <w:tab/>
        <w:t xml:space="preserve">the determination of applications, made before transition day, for — </w:t>
      </w:r>
    </w:p>
    <w:p>
      <w:pPr>
        <w:pStyle w:val="zIndenti"/>
      </w:pPr>
      <w:r>
        <w:tab/>
        <w:t>(i)</w:t>
      </w:r>
      <w:r>
        <w:tab/>
        <w:t xml:space="preserve">approvals referred to in the </w:t>
      </w:r>
      <w:r>
        <w:rPr>
          <w:i/>
        </w:rPr>
        <w:t>Aboriginal Heritage Regulations 1974</w:t>
      </w:r>
      <w:r>
        <w:t xml:space="preserve"> regulation 7; or</w:t>
      </w:r>
    </w:p>
    <w:p>
      <w:pPr>
        <w:pStyle w:val="zIndenti"/>
      </w:pPr>
      <w:r>
        <w:tab/>
        <w:t>(ii)</w:t>
      </w:r>
      <w:r>
        <w:tab/>
        <w:t xml:space="preserve">consents referred to in the </w:t>
      </w:r>
      <w:r>
        <w:rPr>
          <w:i/>
        </w:rPr>
        <w:t>Aboriginal Heritage Regulations 1974</w:t>
      </w:r>
      <w:r>
        <w:t xml:space="preserve"> regulation 10;</w:t>
      </w:r>
    </w:p>
    <w:p>
      <w:pPr>
        <w:pStyle w:val="zIndenta"/>
      </w:pPr>
      <w:r>
        <w:tab/>
        <w:t>(d)</w:t>
      </w:r>
      <w:r>
        <w:tab/>
        <w:t>the making of applications to the State Administrative Tribunal for reviews of decisions under section 18(3).</w:t>
      </w:r>
    </w:p>
    <w:p>
      <w:pPr>
        <w:pStyle w:val="BlankClose"/>
      </w:pPr>
    </w:p>
    <w:p>
      <w:pPr>
        <w:pStyle w:val="Heading2"/>
      </w:pPr>
      <w:bookmarkStart w:id="444" w:name="_Toc154743070"/>
      <w:r>
        <w:rPr>
          <w:rStyle w:val="CharPartNo"/>
        </w:rPr>
        <w:lastRenderedPageBreak/>
        <w:t>Part 16</w:t>
      </w:r>
      <w:r>
        <w:rPr>
          <w:rStyle w:val="CharDivNo"/>
        </w:rPr>
        <w:t> </w:t>
      </w:r>
      <w:r>
        <w:t>—</w:t>
      </w:r>
      <w:r>
        <w:rPr>
          <w:rStyle w:val="CharDivText"/>
        </w:rPr>
        <w:t> </w:t>
      </w:r>
      <w:r>
        <w:rPr>
          <w:rStyle w:val="CharPartText"/>
        </w:rPr>
        <w:t>Other Acts amended</w:t>
      </w:r>
      <w:bookmarkEnd w:id="444"/>
    </w:p>
    <w:p>
      <w:pPr>
        <w:pStyle w:val="Heading5"/>
      </w:pPr>
      <w:bookmarkStart w:id="445" w:name="_Toc154743071"/>
      <w:r>
        <w:rPr>
          <w:rStyle w:val="CharSectno"/>
        </w:rPr>
        <w:t>343</w:t>
      </w:r>
      <w:r>
        <w:t>.</w:t>
      </w:r>
      <w:r>
        <w:tab/>
      </w:r>
      <w:r>
        <w:rPr>
          <w:i/>
        </w:rPr>
        <w:t>Conservation and Land Management Act 1984</w:t>
      </w:r>
      <w:r>
        <w:t xml:space="preserve"> amended</w:t>
      </w:r>
      <w:bookmarkEnd w:id="445"/>
    </w:p>
    <w:p>
      <w:pPr>
        <w:pStyle w:val="Subsection"/>
      </w:pPr>
      <w:r>
        <w:tab/>
        <w:t>(1)</w:t>
      </w:r>
      <w:r>
        <w:tab/>
        <w:t xml:space="preserve">This section amends the </w:t>
      </w:r>
      <w:r>
        <w:rPr>
          <w:i/>
        </w:rPr>
        <w:t>Conservation and Land Management Act 1984</w:t>
      </w:r>
      <w:r>
        <w:t>.</w:t>
      </w:r>
    </w:p>
    <w:p>
      <w:pPr>
        <w:pStyle w:val="Subsection"/>
      </w:pPr>
      <w:r>
        <w:tab/>
        <w:t>(2)</w:t>
      </w:r>
      <w:r>
        <w:tab/>
        <w:t xml:space="preserve">In section 3 in the definition of </w:t>
      </w:r>
      <w:r>
        <w:rPr>
          <w:b/>
          <w:i/>
        </w:rPr>
        <w:t>Minister for Indigenous Affairs</w:t>
      </w:r>
      <w:r>
        <w:t xml:space="preserve"> delete “</w:t>
      </w:r>
      <w:r>
        <w:rPr>
          <w:i/>
        </w:rPr>
        <w:t>Aboriginal Heritage Act 1972</w:t>
      </w:r>
      <w:r>
        <w:t>” and insert:</w:t>
      </w:r>
    </w:p>
    <w:p>
      <w:pPr>
        <w:pStyle w:val="BlankOpen"/>
      </w:pPr>
    </w:p>
    <w:p>
      <w:pPr>
        <w:pStyle w:val="Subsection"/>
      </w:pPr>
      <w:r>
        <w:tab/>
      </w:r>
      <w:r>
        <w:tab/>
      </w:r>
      <w:r>
        <w:rPr>
          <w:i/>
        </w:rPr>
        <w:t>Aboriginal Cultural Heritage Act 2021</w:t>
      </w:r>
    </w:p>
    <w:p>
      <w:pPr>
        <w:pStyle w:val="BlankClose"/>
      </w:pPr>
    </w:p>
    <w:p>
      <w:pPr>
        <w:pStyle w:val="Subsection"/>
      </w:pPr>
      <w:r>
        <w:tab/>
        <w:t>(3)</w:t>
      </w:r>
      <w:r>
        <w:tab/>
        <w:t>In section 4(5)(a) delete “</w:t>
      </w:r>
      <w:r>
        <w:rPr>
          <w:i/>
        </w:rPr>
        <w:t>Aboriginal Heritage Act 1972</w:t>
      </w:r>
      <w:r>
        <w:t> —” and insert:</w:t>
      </w:r>
    </w:p>
    <w:p>
      <w:pPr>
        <w:pStyle w:val="BlankOpen"/>
      </w:pPr>
    </w:p>
    <w:p>
      <w:pPr>
        <w:pStyle w:val="Subsection"/>
      </w:pPr>
      <w:r>
        <w:tab/>
      </w:r>
      <w:r>
        <w:tab/>
      </w:r>
      <w:r>
        <w:rPr>
          <w:i/>
        </w:rPr>
        <w:t>Aboriginal Cultural Heritage Act 2021</w:t>
      </w:r>
      <w:r>
        <w:t xml:space="preserve"> — </w:t>
      </w:r>
    </w:p>
    <w:p>
      <w:pPr>
        <w:pStyle w:val="BlankClose"/>
      </w:pPr>
    </w:p>
    <w:p>
      <w:pPr>
        <w:pStyle w:val="Subsection"/>
      </w:pPr>
      <w:r>
        <w:tab/>
        <w:t>(4)</w:t>
      </w:r>
      <w:r>
        <w:tab/>
        <w:t xml:space="preserve">Delete section 59(3)(c) and insert: </w:t>
      </w:r>
    </w:p>
    <w:p>
      <w:pPr>
        <w:pStyle w:val="BlankOpen"/>
      </w:pPr>
    </w:p>
    <w:p>
      <w:pPr>
        <w:pStyle w:val="zIndenta"/>
      </w:pPr>
      <w:r>
        <w:tab/>
        <w:t>(c)</w:t>
      </w:r>
      <w:r>
        <w:tab/>
        <w:t>if Aboriginal cultural heritage is located on the land, to the Minister for Indigenous Affairs.</w:t>
      </w:r>
    </w:p>
    <w:p>
      <w:pPr>
        <w:pStyle w:val="BlankClose"/>
      </w:pPr>
    </w:p>
    <w:p>
      <w:pPr>
        <w:pStyle w:val="Subsection"/>
      </w:pPr>
      <w:r>
        <w:tab/>
        <w:t>(5)</w:t>
      </w:r>
      <w:r>
        <w:tab/>
        <w:t>After section 59(3) insert:</w:t>
      </w:r>
    </w:p>
    <w:p>
      <w:pPr>
        <w:pStyle w:val="BlankOpen"/>
      </w:pPr>
    </w:p>
    <w:p>
      <w:pPr>
        <w:pStyle w:val="zSubsection"/>
      </w:pPr>
      <w:r>
        <w:tab/>
        <w:t>(3A)</w:t>
      </w:r>
      <w:r>
        <w:tab/>
        <w:t xml:space="preserve">In subsection (3)(c)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BlankClose"/>
      </w:pPr>
    </w:p>
    <w:p>
      <w:pPr>
        <w:pStyle w:val="Heading5"/>
      </w:pPr>
      <w:bookmarkStart w:id="446" w:name="_Toc154743072"/>
      <w:r>
        <w:rPr>
          <w:rStyle w:val="CharSectno"/>
        </w:rPr>
        <w:t>344</w:t>
      </w:r>
      <w:r>
        <w:t>.</w:t>
      </w:r>
      <w:r>
        <w:tab/>
      </w:r>
      <w:r>
        <w:rPr>
          <w:i/>
        </w:rPr>
        <w:t>Constitution Acts Amendment Act 1899</w:t>
      </w:r>
      <w:r>
        <w:t xml:space="preserve"> amended</w:t>
      </w:r>
      <w:bookmarkEnd w:id="446"/>
    </w:p>
    <w:p>
      <w:pPr>
        <w:pStyle w:val="Subsection"/>
      </w:pPr>
      <w:r>
        <w:tab/>
        <w:t>(1)</w:t>
      </w:r>
      <w:r>
        <w:tab/>
        <w:t xml:space="preserve">This section amends the </w:t>
      </w:r>
      <w:r>
        <w:rPr>
          <w:i/>
        </w:rPr>
        <w:t>Constitution Acts Amendment Act 1899</w:t>
      </w:r>
      <w:r>
        <w:t>.</w:t>
      </w:r>
    </w:p>
    <w:p>
      <w:pPr>
        <w:pStyle w:val="Subsection"/>
        <w:keepNext/>
      </w:pPr>
      <w:r>
        <w:lastRenderedPageBreak/>
        <w:tab/>
        <w:t>(2)</w:t>
      </w:r>
      <w:r>
        <w:tab/>
        <w:t>In Schedule V Part 3:</w:t>
      </w:r>
    </w:p>
    <w:p>
      <w:pPr>
        <w:pStyle w:val="Indenta"/>
      </w:pPr>
      <w:r>
        <w:tab/>
        <w:t>(a)</w:t>
      </w:r>
      <w:r>
        <w:tab/>
        <w:t>after the item relating to The Aboriginal Advisory Council insert:</w:t>
      </w:r>
    </w:p>
    <w:p>
      <w:pPr>
        <w:pStyle w:val="BlankOpen"/>
      </w:pPr>
    </w:p>
    <w:p>
      <w:pPr>
        <w:pStyle w:val="zyMiscellaneousBody"/>
      </w:pPr>
      <w:r>
        <w:t xml:space="preserve">The Aboriginal Cultural Heritage Council established under the </w:t>
      </w:r>
      <w:r>
        <w:rPr>
          <w:i/>
        </w:rPr>
        <w:t>Aboriginal Cultural Heritage Act 2021</w:t>
      </w:r>
      <w:r>
        <w:t>.</w:t>
      </w:r>
    </w:p>
    <w:p>
      <w:pPr>
        <w:pStyle w:val="BlankClose"/>
      </w:pPr>
    </w:p>
    <w:p>
      <w:pPr>
        <w:pStyle w:val="Indenta"/>
      </w:pPr>
      <w:r>
        <w:tab/>
        <w:t>(b)</w:t>
      </w:r>
      <w:r>
        <w:tab/>
        <w:t>delete the item relating to the Aboriginal Cultural Material Committee.</w:t>
      </w:r>
    </w:p>
    <w:p>
      <w:pPr>
        <w:pStyle w:val="Heading5"/>
      </w:pPr>
      <w:bookmarkStart w:id="447" w:name="_Toc154743073"/>
      <w:r>
        <w:rPr>
          <w:rStyle w:val="CharSectno"/>
        </w:rPr>
        <w:t>345</w:t>
      </w:r>
      <w:r>
        <w:t>.</w:t>
      </w:r>
      <w:r>
        <w:tab/>
      </w:r>
      <w:r>
        <w:rPr>
          <w:i/>
        </w:rPr>
        <w:t>Control of Vehicles (Off</w:t>
      </w:r>
      <w:r>
        <w:rPr>
          <w:i/>
        </w:rPr>
        <w:noBreakHyphen/>
        <w:t>road Areas) Act 1978</w:t>
      </w:r>
      <w:r>
        <w:t xml:space="preserve"> amended</w:t>
      </w:r>
      <w:bookmarkEnd w:id="447"/>
    </w:p>
    <w:p>
      <w:pPr>
        <w:pStyle w:val="Subsection"/>
      </w:pPr>
      <w:r>
        <w:tab/>
        <w:t>(1)</w:t>
      </w:r>
      <w:r>
        <w:tab/>
        <w:t xml:space="preserve">This section amends the </w:t>
      </w:r>
      <w:r>
        <w:rPr>
          <w:i/>
        </w:rPr>
        <w:t>Control of Vehicles (Off</w:t>
      </w:r>
      <w:r>
        <w:rPr>
          <w:i/>
        </w:rPr>
        <w:noBreakHyphen/>
        <w:t>road Areas) Act 1978</w:t>
      </w:r>
      <w:r>
        <w:t>.</w:t>
      </w:r>
    </w:p>
    <w:p>
      <w:pPr>
        <w:pStyle w:val="Subsection"/>
      </w:pPr>
      <w:r>
        <w:tab/>
        <w:t>(2)</w:t>
      </w:r>
      <w:r>
        <w:tab/>
        <w:t>Delete section 38(2)(e) and insert:</w:t>
      </w:r>
    </w:p>
    <w:p>
      <w:pPr>
        <w:pStyle w:val="BlankOpen"/>
      </w:pPr>
    </w:p>
    <w:p>
      <w:pPr>
        <w:pStyle w:val="zIndenta"/>
      </w:pPr>
      <w:r>
        <w:tab/>
        <w:t>(e)</w:t>
      </w:r>
      <w:r>
        <w:tab/>
        <w:t xml:space="preserve">an inspector or Aboriginal inspector, under the </w:t>
      </w:r>
      <w:r>
        <w:rPr>
          <w:i/>
        </w:rPr>
        <w:t>Aboriginal Cultural Heritage Act 2021</w:t>
      </w:r>
      <w:r>
        <w:t>; or</w:t>
      </w:r>
    </w:p>
    <w:p>
      <w:pPr>
        <w:pStyle w:val="BlankClose"/>
      </w:pPr>
    </w:p>
    <w:p>
      <w:pPr>
        <w:pStyle w:val="Heading5"/>
      </w:pPr>
      <w:bookmarkStart w:id="448" w:name="_Toc154743074"/>
      <w:r>
        <w:rPr>
          <w:rStyle w:val="CharSectno"/>
        </w:rPr>
        <w:t>346</w:t>
      </w:r>
      <w:r>
        <w:t>.</w:t>
      </w:r>
      <w:r>
        <w:tab/>
      </w:r>
      <w:r>
        <w:rPr>
          <w:i/>
        </w:rPr>
        <w:t>Coroners Act 1996</w:t>
      </w:r>
      <w:r>
        <w:t xml:space="preserve"> amended</w:t>
      </w:r>
      <w:bookmarkEnd w:id="448"/>
    </w:p>
    <w:p>
      <w:pPr>
        <w:pStyle w:val="Subsection"/>
      </w:pPr>
      <w:r>
        <w:tab/>
        <w:t>(1)</w:t>
      </w:r>
      <w:r>
        <w:tab/>
        <w:t xml:space="preserve">This section amends the </w:t>
      </w:r>
      <w:r>
        <w:rPr>
          <w:i/>
        </w:rPr>
        <w:t>Coroners Act 1996</w:t>
      </w:r>
      <w:r>
        <w:t>.</w:t>
      </w:r>
    </w:p>
    <w:p>
      <w:pPr>
        <w:pStyle w:val="Subsection"/>
      </w:pPr>
      <w:r>
        <w:tab/>
        <w:t>(2)</w:t>
      </w:r>
      <w:r>
        <w:tab/>
        <w:t>After section 19A insert:</w:t>
      </w:r>
    </w:p>
    <w:p>
      <w:pPr>
        <w:pStyle w:val="BlankOpen"/>
      </w:pPr>
    </w:p>
    <w:p>
      <w:pPr>
        <w:pStyle w:val="zHeading5"/>
      </w:pPr>
      <w:bookmarkStart w:id="449" w:name="_Toc154743075"/>
      <w:r>
        <w:t>19B.</w:t>
      </w:r>
      <w:r>
        <w:tab/>
        <w:t>Investigations and Aboriginal ancestral remains</w:t>
      </w:r>
      <w:bookmarkEnd w:id="449"/>
    </w:p>
    <w:p>
      <w:pPr>
        <w:pStyle w:val="zSubsection"/>
      </w:pPr>
      <w:r>
        <w:tab/>
        <w:t>(1)</w:t>
      </w:r>
      <w:r>
        <w:tab/>
        <w:t xml:space="preserve">In this section — </w:t>
      </w:r>
    </w:p>
    <w:p>
      <w:pPr>
        <w:pStyle w:val="zDefstart"/>
      </w:pPr>
      <w:r>
        <w:tab/>
      </w:r>
      <w:r>
        <w:rPr>
          <w:rStyle w:val="CharDefText"/>
        </w:rPr>
        <w:t>Aboriginal ancestral remains</w:t>
      </w:r>
      <w:r>
        <w:t xml:space="preserve"> has the meaning given in paragraph (b)(iv) of the definition of </w:t>
      </w:r>
      <w:r>
        <w:rPr>
          <w:b/>
          <w:i/>
        </w:rPr>
        <w:t>Aboriginal cultural heritage</w:t>
      </w:r>
      <w:r>
        <w:t xml:space="preserve"> in the </w:t>
      </w:r>
      <w:r>
        <w:rPr>
          <w:i/>
        </w:rPr>
        <w:t xml:space="preserve">Aboriginal Cultural Heritage Act 2021 </w:t>
      </w:r>
      <w:r>
        <w:t>section 12;</w:t>
      </w:r>
    </w:p>
    <w:p>
      <w:pPr>
        <w:pStyle w:val="zDefstart"/>
      </w:pPr>
      <w:r>
        <w:lastRenderedPageBreak/>
        <w:tab/>
      </w:r>
      <w:r>
        <w:rPr>
          <w:rStyle w:val="CharDefText"/>
        </w:rPr>
        <w:t>Aboriginal Cultural Heritage Council</w:t>
      </w:r>
      <w:r>
        <w:t xml:space="preserve"> means the body established under the </w:t>
      </w:r>
      <w:r>
        <w:rPr>
          <w:i/>
        </w:rPr>
        <w:t xml:space="preserve">Aboriginal Cultural Heritage Act 2021 </w:t>
      </w:r>
      <w:r>
        <w:t>section 20(1).</w:t>
      </w:r>
    </w:p>
    <w:p>
      <w:pPr>
        <w:pStyle w:val="zSubsection"/>
      </w:pPr>
      <w:r>
        <w:tab/>
        <w:t>(2)</w:t>
      </w:r>
      <w:r>
        <w:tab/>
        <w:t>If a coroner investigating a death believes that the body is, or is likely to be, Aboriginal ancestral remains, the coroner must notify the Aboriginal Cultural Heritage Council.</w:t>
      </w:r>
    </w:p>
    <w:p>
      <w:pPr>
        <w:pStyle w:val="BlankClose"/>
      </w:pPr>
    </w:p>
    <w:p>
      <w:pPr>
        <w:pStyle w:val="Heading5"/>
      </w:pPr>
      <w:bookmarkStart w:id="450" w:name="_Toc154743076"/>
      <w:r>
        <w:rPr>
          <w:rStyle w:val="CharSectno"/>
        </w:rPr>
        <w:t>347</w:t>
      </w:r>
      <w:r>
        <w:t>.</w:t>
      </w:r>
      <w:r>
        <w:tab/>
      </w:r>
      <w:r>
        <w:rPr>
          <w:i/>
        </w:rPr>
        <w:t>COVID</w:t>
      </w:r>
      <w:r>
        <w:rPr>
          <w:i/>
        </w:rPr>
        <w:noBreakHyphen/>
        <w:t>19 Response and Economic Recovery Omnibus Act 2020</w:t>
      </w:r>
      <w:r>
        <w:t xml:space="preserve"> amended</w:t>
      </w:r>
      <w:bookmarkEnd w:id="450"/>
    </w:p>
    <w:p>
      <w:pPr>
        <w:pStyle w:val="Subsection"/>
      </w:pPr>
      <w:r>
        <w:tab/>
        <w:t>(1)</w:t>
      </w:r>
      <w:r>
        <w:tab/>
        <w:t xml:space="preserve">This section amends the </w:t>
      </w:r>
      <w:r>
        <w:rPr>
          <w:i/>
        </w:rPr>
        <w:t>COVID</w:t>
      </w:r>
      <w:r>
        <w:rPr>
          <w:i/>
        </w:rPr>
        <w:noBreakHyphen/>
        <w:t>19 Response and Economic Recovery Omnibus Act 2020</w:t>
      </w:r>
      <w:r>
        <w:t>.</w:t>
      </w:r>
    </w:p>
    <w:p>
      <w:pPr>
        <w:pStyle w:val="Subsection"/>
      </w:pPr>
      <w:r>
        <w:tab/>
        <w:t>(2)</w:t>
      </w:r>
      <w:r>
        <w:tab/>
        <w:t>Delete section 13(4)(b).</w:t>
      </w:r>
    </w:p>
    <w:p>
      <w:pPr>
        <w:pStyle w:val="Heading5"/>
      </w:pPr>
      <w:bookmarkStart w:id="451" w:name="_Toc154743077"/>
      <w:r>
        <w:rPr>
          <w:rStyle w:val="CharSectno"/>
        </w:rPr>
        <w:t>348</w:t>
      </w:r>
      <w:r>
        <w:t>.</w:t>
      </w:r>
      <w:r>
        <w:tab/>
      </w:r>
      <w:r>
        <w:rPr>
          <w:i/>
        </w:rPr>
        <w:t>Environmental Protection Act 1986</w:t>
      </w:r>
      <w:r>
        <w:t xml:space="preserve"> amended</w:t>
      </w:r>
      <w:bookmarkEnd w:id="451"/>
    </w:p>
    <w:p>
      <w:pPr>
        <w:pStyle w:val="Subsection"/>
      </w:pPr>
      <w:r>
        <w:tab/>
        <w:t>(1)</w:t>
      </w:r>
      <w:r>
        <w:tab/>
        <w:t xml:space="preserve">This section amends the </w:t>
      </w:r>
      <w:r>
        <w:rPr>
          <w:i/>
        </w:rPr>
        <w:t>Environmental Protection Act 1986</w:t>
      </w:r>
      <w:r>
        <w:t>.</w:t>
      </w:r>
    </w:p>
    <w:p>
      <w:pPr>
        <w:pStyle w:val="Subsection"/>
      </w:pPr>
      <w:r>
        <w:tab/>
        <w:t>(2)</w:t>
      </w:r>
      <w:r>
        <w:tab/>
        <w:t>After section 41(4) insert:</w:t>
      </w:r>
    </w:p>
    <w:p>
      <w:pPr>
        <w:pStyle w:val="BlankOpen"/>
      </w:pPr>
    </w:p>
    <w:p>
      <w:pPr>
        <w:pStyle w:val="zSubsection"/>
      </w:pPr>
      <w:r>
        <w:tab/>
        <w:t>(5)</w:t>
      </w:r>
      <w:r>
        <w:tab/>
        <w:t xml:space="preserve">Subsections (2) and (3) do not apply to a decision in relation to a proposal if the decision is made under the </w:t>
      </w:r>
      <w:r>
        <w:rPr>
          <w:i/>
        </w:rPr>
        <w:t>Aboriginal Cultural Heritage Act 2021</w:t>
      </w:r>
      <w:r>
        <w:t>.</w:t>
      </w:r>
    </w:p>
    <w:p>
      <w:pPr>
        <w:pStyle w:val="BlankClose"/>
      </w:pPr>
    </w:p>
    <w:p>
      <w:pPr>
        <w:pStyle w:val="Heading5"/>
      </w:pPr>
      <w:bookmarkStart w:id="452" w:name="_Toc154743078"/>
      <w:r>
        <w:rPr>
          <w:rStyle w:val="CharSectno"/>
        </w:rPr>
        <w:t>349</w:t>
      </w:r>
      <w:r>
        <w:t>.</w:t>
      </w:r>
      <w:r>
        <w:tab/>
      </w:r>
      <w:r>
        <w:rPr>
          <w:i/>
        </w:rPr>
        <w:t>Heritage Act 2018</w:t>
      </w:r>
      <w:r>
        <w:t xml:space="preserve"> amended</w:t>
      </w:r>
      <w:bookmarkEnd w:id="452"/>
    </w:p>
    <w:p>
      <w:pPr>
        <w:pStyle w:val="Subsection"/>
      </w:pPr>
      <w:r>
        <w:tab/>
        <w:t>(1)</w:t>
      </w:r>
      <w:r>
        <w:tab/>
        <w:t xml:space="preserve">This section amends the </w:t>
      </w:r>
      <w:r>
        <w:rPr>
          <w:i/>
        </w:rPr>
        <w:t>Heritage Act 2018</w:t>
      </w:r>
      <w:r>
        <w:t>.</w:t>
      </w:r>
    </w:p>
    <w:p>
      <w:pPr>
        <w:pStyle w:val="Subsection"/>
      </w:pPr>
      <w:r>
        <w:tab/>
        <w:t>(2)</w:t>
      </w:r>
      <w:r>
        <w:tab/>
        <w:t>In section 9(b)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Subsection"/>
        <w:keepNext/>
      </w:pPr>
      <w:r>
        <w:lastRenderedPageBreak/>
        <w:tab/>
        <w:t>(3)</w:t>
      </w:r>
      <w:r>
        <w:tab/>
        <w:t>Delete section 10(a) and insert:</w:t>
      </w:r>
    </w:p>
    <w:p>
      <w:pPr>
        <w:pStyle w:val="BlankOpen"/>
      </w:pPr>
    </w:p>
    <w:p>
      <w:pPr>
        <w:pStyle w:val="zIndenta"/>
        <w:keepNext/>
        <w:rPr>
          <w:szCs w:val="24"/>
        </w:rPr>
      </w:pPr>
      <w:r>
        <w:rPr>
          <w:szCs w:val="24"/>
        </w:rPr>
        <w:tab/>
        <w:t>(a)</w:t>
      </w:r>
      <w:r>
        <w:rPr>
          <w:szCs w:val="24"/>
        </w:rPr>
        <w:tab/>
      </w:r>
      <w:r>
        <w:t>the</w:t>
      </w:r>
      <w:r>
        <w:rPr>
          <w:szCs w:val="24"/>
        </w:rPr>
        <w:t xml:space="preserve"> </w:t>
      </w:r>
      <w:r>
        <w:rPr>
          <w:i/>
          <w:szCs w:val="24"/>
        </w:rPr>
        <w:t>Aboriginal Cultural Heritage Act 2021</w:t>
      </w:r>
      <w:r>
        <w:rPr>
          <w:szCs w:val="24"/>
        </w:rPr>
        <w:t>; or</w:t>
      </w:r>
    </w:p>
    <w:p>
      <w:pPr>
        <w:pStyle w:val="BlankClose"/>
      </w:pPr>
    </w:p>
    <w:p>
      <w:pPr>
        <w:pStyle w:val="Subsection"/>
      </w:pPr>
      <w:r>
        <w:tab/>
        <w:t>(4)</w:t>
      </w:r>
      <w:r>
        <w:tab/>
        <w:t>In section 12(2)(b)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Heading5"/>
      </w:pPr>
      <w:bookmarkStart w:id="453" w:name="_Toc154743079"/>
      <w:r>
        <w:rPr>
          <w:rStyle w:val="CharSectno"/>
        </w:rPr>
        <w:t>350</w:t>
      </w:r>
      <w:r>
        <w:t>.</w:t>
      </w:r>
      <w:r>
        <w:tab/>
      </w:r>
      <w:r>
        <w:rPr>
          <w:i/>
        </w:rPr>
        <w:t>Planning and Development Act 2005</w:t>
      </w:r>
      <w:r>
        <w:t xml:space="preserve"> amended</w:t>
      </w:r>
      <w:bookmarkEnd w:id="453"/>
    </w:p>
    <w:p>
      <w:pPr>
        <w:pStyle w:val="Subsection"/>
      </w:pPr>
      <w:r>
        <w:tab/>
        <w:t>(1)</w:t>
      </w:r>
      <w:r>
        <w:tab/>
        <w:t xml:space="preserve">This section amends the </w:t>
      </w:r>
      <w:r>
        <w:rPr>
          <w:i/>
        </w:rPr>
        <w:t>Planning and Development Act 2005</w:t>
      </w:r>
      <w:r>
        <w:t>.</w:t>
      </w:r>
    </w:p>
    <w:p>
      <w:pPr>
        <w:pStyle w:val="Subsection"/>
      </w:pPr>
      <w:r>
        <w:tab/>
        <w:t>(2)</w:t>
      </w:r>
      <w:r>
        <w:tab/>
        <w:t>In section 277(6) delete example 1 and insert:</w:t>
      </w:r>
    </w:p>
    <w:p>
      <w:pPr>
        <w:pStyle w:val="BlankOpen"/>
      </w:pPr>
    </w:p>
    <w:p>
      <w:pPr>
        <w:pStyle w:val="zPermNoteText"/>
      </w:pPr>
      <w:r>
        <w:tab/>
        <w:t>1.</w:t>
      </w:r>
      <w:r>
        <w:tab/>
        <w:t xml:space="preserve">An ACH permit or an approved or authorised ACH management plan under the </w:t>
      </w:r>
      <w:r>
        <w:rPr>
          <w:i/>
        </w:rPr>
        <w:t>Aboriginal Cultural Heritage Act 2021</w:t>
      </w:r>
      <w:r>
        <w:t xml:space="preserve"> Part 6.</w:t>
      </w:r>
    </w:p>
    <w:p>
      <w:pPr>
        <w:pStyle w:val="BlankClose"/>
      </w:pPr>
    </w:p>
    <w:p>
      <w:pPr>
        <w:pStyle w:val="Heading5"/>
      </w:pPr>
      <w:bookmarkStart w:id="454" w:name="_Toc154743080"/>
      <w:r>
        <w:rPr>
          <w:rStyle w:val="CharSectno"/>
        </w:rPr>
        <w:t>351</w:t>
      </w:r>
      <w:r>
        <w:t>.</w:t>
      </w:r>
      <w:r>
        <w:rPr>
          <w:b w:val="0"/>
        </w:rPr>
        <w:tab/>
      </w:r>
      <w:r>
        <w:rPr>
          <w:i/>
        </w:rPr>
        <w:t>Railway (Tilley to Karara) Act 2010</w:t>
      </w:r>
      <w:r>
        <w:t> amended</w:t>
      </w:r>
      <w:bookmarkEnd w:id="454"/>
    </w:p>
    <w:p>
      <w:pPr>
        <w:pStyle w:val="Subsection"/>
      </w:pPr>
      <w:r>
        <w:tab/>
        <w:t>(1)</w:t>
      </w:r>
      <w:r>
        <w:tab/>
        <w:t xml:space="preserve">This section amends the </w:t>
      </w:r>
      <w:r>
        <w:rPr>
          <w:i/>
        </w:rPr>
        <w:t>Railway (Tilley to Karara) Act 2010</w:t>
      </w:r>
      <w:r>
        <w:t>.</w:t>
      </w:r>
    </w:p>
    <w:p>
      <w:pPr>
        <w:pStyle w:val="Subsection"/>
      </w:pPr>
      <w:r>
        <w:tab/>
        <w:t>(2)</w:t>
      </w:r>
      <w:r>
        <w:tab/>
        <w:t>Delete section 6.</w:t>
      </w:r>
    </w:p>
    <w:p>
      <w:pPr>
        <w:pStyle w:val="Heading5"/>
      </w:pPr>
      <w:bookmarkStart w:id="455" w:name="_Toc154743081"/>
      <w:r>
        <w:rPr>
          <w:rStyle w:val="CharSectno"/>
        </w:rPr>
        <w:t>352</w:t>
      </w:r>
      <w:r>
        <w:t>.</w:t>
      </w:r>
      <w:r>
        <w:tab/>
      </w:r>
      <w:r>
        <w:rPr>
          <w:i/>
        </w:rPr>
        <w:t>Sentencing Act 1995</w:t>
      </w:r>
      <w:r>
        <w:t xml:space="preserve"> amended</w:t>
      </w:r>
      <w:bookmarkEnd w:id="455"/>
    </w:p>
    <w:p>
      <w:pPr>
        <w:pStyle w:val="Subsection"/>
      </w:pPr>
      <w:r>
        <w:tab/>
        <w:t>(1)</w:t>
      </w:r>
      <w:r>
        <w:tab/>
        <w:t xml:space="preserve">This section amends the </w:t>
      </w:r>
      <w:r>
        <w:rPr>
          <w:i/>
        </w:rPr>
        <w:t>Sentencing Act 1995</w:t>
      </w:r>
      <w:r>
        <w:t>.</w:t>
      </w:r>
    </w:p>
    <w:p>
      <w:pPr>
        <w:pStyle w:val="Subsection"/>
      </w:pPr>
      <w:r>
        <w:tab/>
        <w:t>(2)</w:t>
      </w:r>
      <w:r>
        <w:tab/>
        <w:t xml:space="preserve">In Schedule 1 after the item relating to the </w:t>
      </w:r>
      <w:r>
        <w:rPr>
          <w:i/>
        </w:rPr>
        <w:t>Aboriginal Communities Act 1979</w:t>
      </w:r>
      <w:r>
        <w:t xml:space="preserve"> insert:</w:t>
      </w:r>
    </w:p>
    <w:p>
      <w:pPr>
        <w:pStyle w:val="BlankOpen"/>
      </w:pPr>
    </w:p>
    <w:tbl>
      <w:tblPr>
        <w:tblW w:w="0" w:type="auto"/>
        <w:tblInd w:w="250" w:type="dxa"/>
        <w:tblLayout w:type="fixed"/>
        <w:tblCellMar>
          <w:bottom w:w="113" w:type="dxa"/>
        </w:tblCellMar>
        <w:tblLook w:val="0000" w:firstRow="0" w:lastRow="0" w:firstColumn="0" w:lastColumn="0" w:noHBand="0" w:noVBand="0"/>
      </w:tblPr>
      <w:tblGrid>
        <w:gridCol w:w="3402"/>
        <w:gridCol w:w="3402"/>
      </w:tblGrid>
      <w:tr>
        <w:tc>
          <w:tcPr>
            <w:tcW w:w="3402" w:type="dxa"/>
          </w:tcPr>
          <w:p>
            <w:pPr>
              <w:pStyle w:val="zyTableNAm"/>
              <w:rPr>
                <w:i/>
              </w:rPr>
            </w:pPr>
            <w:r>
              <w:rPr>
                <w:i/>
              </w:rPr>
              <w:t>Aboriginal Cultural Heritage Act 2021</w:t>
            </w:r>
          </w:p>
        </w:tc>
        <w:tc>
          <w:tcPr>
            <w:tcW w:w="3402" w:type="dxa"/>
          </w:tcPr>
          <w:p>
            <w:pPr>
              <w:pStyle w:val="zyTableNAm"/>
            </w:pPr>
            <w:r>
              <w:t>Aboriginal Cultural Heritage Compensation Fund</w:t>
            </w:r>
          </w:p>
        </w:tc>
      </w:tr>
    </w:tbl>
    <w:p>
      <w:pPr>
        <w:pStyle w:val="BlankClose"/>
      </w:pPr>
    </w:p>
    <w:p>
      <w:pPr>
        <w:pStyle w:val="Heading5"/>
      </w:pPr>
      <w:bookmarkStart w:id="456" w:name="_Toc154743082"/>
      <w:r>
        <w:rPr>
          <w:rStyle w:val="CharSectno"/>
        </w:rPr>
        <w:lastRenderedPageBreak/>
        <w:t>353</w:t>
      </w:r>
      <w:r>
        <w:t>.</w:t>
      </w:r>
      <w:r>
        <w:tab/>
      </w:r>
      <w:r>
        <w:rPr>
          <w:i/>
        </w:rPr>
        <w:t>State Records Act 2000</w:t>
      </w:r>
      <w:r>
        <w:t xml:space="preserve"> amended</w:t>
      </w:r>
      <w:bookmarkEnd w:id="456"/>
    </w:p>
    <w:p>
      <w:pPr>
        <w:pStyle w:val="Subsection"/>
      </w:pPr>
      <w:r>
        <w:tab/>
        <w:t>(1)</w:t>
      </w:r>
      <w:r>
        <w:tab/>
        <w:t xml:space="preserve">This section amends the </w:t>
      </w:r>
      <w:r>
        <w:rPr>
          <w:i/>
        </w:rPr>
        <w:t>State Records Act 2000</w:t>
      </w:r>
      <w:r>
        <w:t>.</w:t>
      </w:r>
    </w:p>
    <w:p>
      <w:pPr>
        <w:pStyle w:val="Subsection"/>
      </w:pPr>
      <w:r>
        <w:tab/>
        <w:t>(2)</w:t>
      </w:r>
      <w:r>
        <w:tab/>
        <w:t>Delete section 76(1)(a) and (b) and insert:</w:t>
      </w:r>
    </w:p>
    <w:p>
      <w:pPr>
        <w:pStyle w:val="BlankOpen"/>
      </w:pPr>
    </w:p>
    <w:p>
      <w:pPr>
        <w:pStyle w:val="zIndenta"/>
      </w:pPr>
      <w:r>
        <w:tab/>
        <w:t>(a)</w:t>
      </w:r>
      <w:r>
        <w:tab/>
        <w:t xml:space="preserve">Aboriginal cultural heritage, as defined in the </w:t>
      </w:r>
      <w:r>
        <w:rPr>
          <w:i/>
        </w:rPr>
        <w:t>Aboriginal Cultural Heritage Act 2021</w:t>
      </w:r>
      <w:r>
        <w:t xml:space="preserve"> section 12; or</w:t>
      </w:r>
    </w:p>
    <w:p>
      <w:pPr>
        <w:pStyle w:val="zIndenta"/>
      </w:pPr>
      <w:r>
        <w:tab/>
        <w:t>(b)</w:t>
      </w:r>
      <w:r>
        <w:tab/>
        <w:t>any other matter relating to Aboriginal Australians,</w:t>
      </w:r>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457" w:name="_Toc154743083"/>
      <w:r>
        <w:lastRenderedPageBreak/>
        <w:t>Notes</w:t>
      </w:r>
      <w:bookmarkEnd w:id="457"/>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458" w:name="_Toc154743084"/>
      <w:r>
        <w:t>Compilation table</w:t>
      </w:r>
      <w:bookmarkEnd w:id="458"/>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(other than s. 310 and 311) </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r>
              <w:br/>
            </w:r>
            <w:r>
              <w:rPr>
                <w:noProof/>
              </w:rPr>
              <w:t>s. 48 and 49, Pt. 2 Div. 3 Subdiv. 4, Pt. 3, s. 70 and 71, Pt. 4 Div. 2</w:t>
            </w:r>
            <w:r>
              <w:rPr>
                <w:noProof/>
              </w:rPr>
              <w:noBreakHyphen/>
              <w:t>4, s. 82</w:t>
            </w:r>
            <w:r>
              <w:rPr>
                <w:noProof/>
              </w:rPr>
              <w:noBreakHyphen/>
              <w:t xml:space="preserve">85, 86(1) and (5) and 87, Pt. 4 Div. 6, </w:t>
            </w:r>
            <w:r>
              <w:rPr>
                <w:noProof/>
              </w:rPr>
              <w:lastRenderedPageBreak/>
              <w:t>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p>
        </w:tc>
      </w:tr>
      <w:tr>
        <w:tc>
          <w:tcPr>
            <w:tcW w:w="2268" w:type="dxa"/>
            <w:tcBorders>
              <w:top w:val="nil"/>
              <w:bottom w:val="nil"/>
            </w:tcBorders>
          </w:tcPr>
          <w:p>
            <w:pPr>
              <w:pStyle w:val="nTable"/>
              <w:spacing w:after="40"/>
              <w:rPr>
                <w:i/>
                <w:noProof/>
              </w:rPr>
            </w:pPr>
            <w:r>
              <w:rPr>
                <w:i/>
                <w:noProof/>
              </w:rPr>
              <w:lastRenderedPageBreak/>
              <w:t>Aboriginal Cultural Heritage Amendment Act 2021</w:t>
            </w:r>
          </w:p>
        </w:tc>
        <w:tc>
          <w:tcPr>
            <w:tcW w:w="1134" w:type="dxa"/>
            <w:tcBorders>
              <w:top w:val="nil"/>
              <w:bottom w:val="nil"/>
            </w:tcBorders>
          </w:tcPr>
          <w:p>
            <w:pPr>
              <w:pStyle w:val="nTable"/>
              <w:spacing w:after="40"/>
            </w:pPr>
            <w:r>
              <w:t>28 of 2021</w:t>
            </w:r>
          </w:p>
        </w:tc>
        <w:tc>
          <w:tcPr>
            <w:tcW w:w="1134" w:type="dxa"/>
            <w:tcBorders>
              <w:top w:val="nil"/>
              <w:bottom w:val="nil"/>
            </w:tcBorders>
          </w:tcPr>
          <w:p>
            <w:pPr>
              <w:pStyle w:val="nTable"/>
              <w:spacing w:after="40"/>
            </w:pPr>
            <w:r>
              <w:t>22 Dec 2021</w:t>
            </w:r>
          </w:p>
        </w:tc>
        <w:tc>
          <w:tcPr>
            <w:tcW w:w="2552" w:type="dxa"/>
            <w:tcBorders>
              <w:top w:val="nil"/>
              <w:bottom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r>
        <w:tc>
          <w:tcPr>
            <w:tcW w:w="2268" w:type="dxa"/>
            <w:tcBorders>
              <w:top w:val="nil"/>
            </w:tcBorders>
          </w:tcPr>
          <w:p>
            <w:pPr>
              <w:pStyle w:val="nTable"/>
              <w:spacing w:after="40"/>
              <w:rPr>
                <w:i/>
                <w:noProof/>
              </w:rPr>
            </w:pPr>
            <w:r>
              <w:rPr>
                <w:i/>
                <w:noProof/>
              </w:rPr>
              <w:t>Directors’ Liability Reform Act 2023</w:t>
            </w:r>
            <w:r>
              <w:rPr>
                <w:noProof/>
              </w:rPr>
              <w:t xml:space="preserve"> Pt. 3 Div. 1</w:t>
            </w:r>
          </w:p>
        </w:tc>
        <w:tc>
          <w:tcPr>
            <w:tcW w:w="1134" w:type="dxa"/>
            <w:tcBorders>
              <w:top w:val="nil"/>
            </w:tcBorders>
          </w:tcPr>
          <w:p>
            <w:pPr>
              <w:pStyle w:val="nTable"/>
              <w:spacing w:after="40"/>
            </w:pPr>
            <w:r>
              <w:t>9 of 2023</w:t>
            </w:r>
          </w:p>
        </w:tc>
        <w:tc>
          <w:tcPr>
            <w:tcW w:w="1134" w:type="dxa"/>
            <w:tcBorders>
              <w:top w:val="nil"/>
            </w:tcBorders>
          </w:tcPr>
          <w:p>
            <w:pPr>
              <w:pStyle w:val="nTable"/>
              <w:spacing w:after="40"/>
            </w:pPr>
            <w:r>
              <w:t>4 Apr 2023</w:t>
            </w:r>
          </w:p>
        </w:tc>
        <w:tc>
          <w:tcPr>
            <w:tcW w:w="2552" w:type="dxa"/>
            <w:tcBorders>
              <w:top w:val="nil"/>
            </w:tcBorders>
            <w:shd w:val="clear" w:color="auto" w:fill="auto"/>
          </w:tcPr>
          <w:p>
            <w:pPr>
              <w:pStyle w:val="nTable"/>
              <w:spacing w:after="40"/>
            </w:pPr>
            <w:r>
              <w:rPr>
                <w:noProof/>
              </w:rPr>
              <w:t>1 Jul 2023 (see s. 2(b)(ii))</w:t>
            </w:r>
          </w:p>
        </w:tc>
      </w:tr>
    </w:tbl>
    <w:p>
      <w:pPr>
        <w:pStyle w:val="nHeading3"/>
      </w:pPr>
      <w:bookmarkStart w:id="459" w:name="_Toc154743085"/>
      <w:r>
        <w:t>Uncommenced provisions table</w:t>
      </w:r>
      <w:bookmarkEnd w:id="459"/>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w:t>
            </w:r>
            <w:r>
              <w:t>s. 310 and 311</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t>1 Jan 2024 (see s. 2(d))</w:t>
            </w:r>
          </w:p>
        </w:tc>
      </w:tr>
      <w:tr>
        <w:tc>
          <w:tcPr>
            <w:tcW w:w="2268" w:type="dxa"/>
            <w:tcBorders>
              <w:top w:val="nil"/>
              <w:bottom w:val="single" w:sz="4" w:space="0" w:color="auto"/>
            </w:tcBorders>
          </w:tcPr>
          <w:p>
            <w:pPr>
              <w:pStyle w:val="nTable"/>
              <w:spacing w:after="40"/>
              <w:rPr>
                <w:iCs/>
                <w:noProof/>
              </w:rPr>
            </w:pPr>
            <w:r>
              <w:rPr>
                <w:i/>
                <w:noProof/>
              </w:rPr>
              <w:t>Aboriginal Heritage Legislation Amendment and Repeal Act 2023</w:t>
            </w:r>
            <w:r>
              <w:rPr>
                <w:iCs/>
                <w:noProof/>
              </w:rPr>
              <w:t xml:space="preserve"> s. 3(1)</w:t>
            </w:r>
          </w:p>
        </w:tc>
        <w:tc>
          <w:tcPr>
            <w:tcW w:w="1134" w:type="dxa"/>
            <w:tcBorders>
              <w:top w:val="nil"/>
              <w:bottom w:val="single" w:sz="4" w:space="0" w:color="auto"/>
            </w:tcBorders>
          </w:tcPr>
          <w:p>
            <w:pPr>
              <w:pStyle w:val="nTable"/>
              <w:spacing w:after="40"/>
            </w:pPr>
            <w:r>
              <w:t>23 of 2023</w:t>
            </w:r>
          </w:p>
        </w:tc>
        <w:tc>
          <w:tcPr>
            <w:tcW w:w="1134" w:type="dxa"/>
            <w:tcBorders>
              <w:top w:val="nil"/>
              <w:bottom w:val="single" w:sz="4" w:space="0" w:color="auto"/>
            </w:tcBorders>
          </w:tcPr>
          <w:p>
            <w:pPr>
              <w:pStyle w:val="nTable"/>
              <w:spacing w:after="40"/>
              <w:rPr>
                <w:highlight w:val="yellow"/>
              </w:rPr>
            </w:pPr>
            <w:r>
              <w:t>24 Oct 2023</w:t>
            </w:r>
          </w:p>
        </w:tc>
        <w:tc>
          <w:tcPr>
            <w:tcW w:w="2552" w:type="dxa"/>
            <w:tcBorders>
              <w:top w:val="nil"/>
              <w:bottom w:val="single" w:sz="4" w:space="0" w:color="auto"/>
            </w:tcBorders>
          </w:tcPr>
          <w:p>
            <w:pPr>
              <w:pStyle w:val="nTable"/>
              <w:spacing w:after="40"/>
            </w:pPr>
            <w:r>
              <w:t>15 Nov 2023 (see s. 2(d) and SL 2023/161 cl. 2)</w:t>
            </w:r>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p>
      <w:pPr>
        <w:pStyle w:val="nHeading2"/>
        <w:rPr>
          <w:sz w:val="28"/>
        </w:rPr>
      </w:pPr>
      <w:bookmarkStart w:id="461" w:name="_Toc154743086"/>
      <w:r>
        <w:rPr>
          <w:sz w:val="28"/>
        </w:rPr>
        <w:lastRenderedPageBreak/>
        <w:t>Defined terms</w:t>
      </w:r>
      <w:bookmarkEnd w:id="46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100, 318</w:t>
      </w:r>
    </w:p>
    <w:p>
      <w:pPr>
        <w:pStyle w:val="DefinedTerms"/>
      </w:pPr>
      <w:r>
        <w:t>Aboriginal person</w:t>
      </w:r>
      <w:r>
        <w:tab/>
        <w:t>11</w:t>
      </w:r>
    </w:p>
    <w:p>
      <w:pPr>
        <w:pStyle w:val="DefinedTerms"/>
      </w:pPr>
      <w:r>
        <w:t>Aboriginal place</w:t>
      </w:r>
      <w:r>
        <w:tab/>
        <w:t>11, 12</w:t>
      </w:r>
    </w:p>
    <w:p>
      <w:pPr>
        <w:pStyle w:val="DefinedTerms"/>
      </w:pPr>
      <w:r>
        <w:t>Aboriginal site</w:t>
      </w:r>
      <w:r>
        <w:tab/>
        <w:t>314</w:t>
      </w:r>
    </w:p>
    <w:p>
      <w:pPr>
        <w:pStyle w:val="DefinedTerms"/>
      </w:pPr>
      <w:r>
        <w:t>Aboriginal tradition</w:t>
      </w:r>
      <w:r>
        <w:tab/>
        <w:t>11</w:t>
      </w:r>
    </w:p>
    <w:p>
      <w:pPr>
        <w:pStyle w:val="DefinedTerms"/>
      </w:pPr>
      <w:r>
        <w:t>account</w:t>
      </w:r>
      <w:r>
        <w:tab/>
        <w:t>281(1)</w:t>
      </w:r>
    </w:p>
    <w:p>
      <w:pPr>
        <w:pStyle w:val="DefinedTerms"/>
      </w:pPr>
      <w:r>
        <w:t>ACH Account</w:t>
      </w:r>
      <w:r>
        <w:tab/>
        <w:t>279(1)</w:t>
      </w:r>
    </w:p>
    <w:p>
      <w:pPr>
        <w:pStyle w:val="DefinedTerms"/>
      </w:pPr>
      <w:r>
        <w:t>ACH Compensation Fund</w:t>
      </w:r>
      <w:r>
        <w:tab/>
        <w:t>280(1)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100, 294</w:t>
      </w:r>
    </w:p>
    <w:p>
      <w:pPr>
        <w:pStyle w:val="DefinedTerms"/>
      </w:pPr>
      <w:r>
        <w:t>ACH management plan</w:t>
      </w:r>
      <w:r>
        <w:tab/>
        <w:t>11, 100, 137(1)</w:t>
      </w:r>
    </w:p>
    <w:p>
      <w:pPr>
        <w:pStyle w:val="DefinedTerms"/>
      </w:pPr>
      <w:r>
        <w:t>ACH permit</w:t>
      </w:r>
      <w:r>
        <w:tab/>
        <w:t>11, 100, 115(1)</w:t>
      </w:r>
    </w:p>
    <w:p>
      <w:pPr>
        <w:pStyle w:val="DefinedTerms"/>
      </w:pPr>
      <w:r>
        <w:t>ACH protection agreement</w:t>
      </w:r>
      <w:r>
        <w:tab/>
        <w:t>11, 206(1)</w:t>
      </w:r>
    </w:p>
    <w:p>
      <w:pPr>
        <w:pStyle w:val="DefinedTerms"/>
      </w:pPr>
      <w:r>
        <w:t>ACMC</w:t>
      </w:r>
      <w:r>
        <w:tab/>
        <w:t>313</w:t>
      </w:r>
    </w:p>
    <w:p>
      <w:pPr>
        <w:pStyle w:val="DefinedTerms"/>
      </w:pPr>
      <w:r>
        <w:t>affect</w:t>
      </w:r>
      <w:r>
        <w:tab/>
        <w:t>16(1)</w:t>
      </w:r>
    </w:p>
    <w:p>
      <w:pPr>
        <w:pStyle w:val="DefinedTerms"/>
      </w:pPr>
      <w:r>
        <w:t>affected person</w:t>
      </w:r>
      <w:r>
        <w:tab/>
        <w:t>276, 277(1)</w:t>
      </w:r>
    </w:p>
    <w:p>
      <w:pPr>
        <w:pStyle w:val="DefinedTerms"/>
      </w:pPr>
      <w:r>
        <w:t>agent</w:t>
      </w:r>
      <w:r>
        <w:tab/>
        <w:t>267(1), 267(2)</w:t>
      </w:r>
    </w:p>
    <w:p>
      <w:pPr>
        <w:pStyle w:val="DefinedTerms"/>
      </w:pPr>
      <w:r>
        <w:t>AH Act</w:t>
      </w:r>
      <w:r>
        <w:tab/>
        <w:t>313</w:t>
      </w:r>
    </w:p>
    <w:p>
      <w:pPr>
        <w:pStyle w:val="DefinedTerms"/>
      </w:pPr>
      <w:r>
        <w:t>AH Act approval</w:t>
      </w:r>
      <w:r>
        <w:tab/>
        <w:t>318</w:t>
      </w:r>
    </w:p>
    <w:p>
      <w:pPr>
        <w:pStyle w:val="DefinedTerms"/>
      </w:pPr>
      <w:r>
        <w:t>AH Act protected area order</w:t>
      </w:r>
      <w:r>
        <w:tab/>
        <w:t>314</w:t>
      </w:r>
    </w:p>
    <w:p>
      <w:pPr>
        <w:pStyle w:val="DefinedTerms"/>
      </w:pPr>
      <w:r>
        <w:t>AH Act section 18 consent</w:t>
      </w:r>
      <w:r>
        <w:tab/>
        <w:t>313</w:t>
      </w:r>
    </w:p>
    <w:p>
      <w:pPr>
        <w:pStyle w:val="DefinedTerms"/>
      </w:pPr>
      <w:r>
        <w:t>annual report</w:t>
      </w:r>
      <w:r>
        <w:tab/>
        <w:t>281(4)</w:t>
      </w:r>
    </w:p>
    <w:p>
      <w:pPr>
        <w:pStyle w:val="DefinedTerms"/>
      </w:pPr>
      <w:r>
        <w:t>application</w:t>
      </w:r>
      <w:r>
        <w:tab/>
        <w:t>175(1), 245(1)</w:t>
      </w:r>
    </w:p>
    <w:p>
      <w:pPr>
        <w:pStyle w:val="DefinedTerms"/>
      </w:pPr>
      <w:r>
        <w:t>application area</w:t>
      </w:r>
      <w:r>
        <w:tab/>
        <w:t>69</w:t>
      </w:r>
    </w:p>
    <w:p>
      <w:pPr>
        <w:pStyle w:val="DefinedTerms"/>
      </w:pPr>
      <w:r>
        <w:t>applied provision</w:t>
      </w:r>
      <w:r>
        <w:tab/>
        <w:t>235</w:t>
      </w:r>
    </w:p>
    <w:p>
      <w:pPr>
        <w:pStyle w:val="DefinedTerms"/>
      </w:pPr>
      <w:r>
        <w:t>applied provisions</w:t>
      </w:r>
      <w:r>
        <w:tab/>
        <w:t>239(4)</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authorised ACH management plan</w:t>
      </w:r>
      <w:r>
        <w:tab/>
        <w:t>318</w:t>
      </w:r>
    </w:p>
    <w:p>
      <w:pPr>
        <w:pStyle w:val="DefinedTerms"/>
      </w:pPr>
      <w:r>
        <w:t>authorised officer</w:t>
      </w:r>
      <w:r>
        <w:tab/>
        <w:t>303(1)</w:t>
      </w:r>
    </w:p>
    <w:p>
      <w:pPr>
        <w:pStyle w:val="DefinedTerms"/>
      </w:pPr>
      <w:r>
        <w:t>authorised person</w:t>
      </w:r>
      <w:r>
        <w:tab/>
        <w:t>272(1)</w:t>
      </w:r>
    </w:p>
    <w:p>
      <w:pPr>
        <w:pStyle w:val="DefinedTerms"/>
      </w:pPr>
      <w:r>
        <w:lastRenderedPageBreak/>
        <w:t>CATSI Act</w:t>
      </w:r>
      <w:r>
        <w:tab/>
        <w:t>19</w:t>
      </w:r>
    </w:p>
    <w:p>
      <w:pPr>
        <w:pStyle w:val="DefinedTerms"/>
      </w:pPr>
      <w:r>
        <w:t>CATSI Act corporation</w:t>
      </w:r>
      <w:r>
        <w:tab/>
        <w:t>11, 19</w:t>
      </w:r>
    </w:p>
    <w:p>
      <w:pPr>
        <w:pStyle w:val="DefinedTerms"/>
      </w:pPr>
      <w:r>
        <w:t>CEO</w:t>
      </w:r>
      <w:r>
        <w:tab/>
        <w:t>11</w:t>
      </w:r>
    </w:p>
    <w:p>
      <w:pPr>
        <w:pStyle w:val="DefinedTerms"/>
      </w:pPr>
      <w:r>
        <w:t>CI Act</w:t>
      </w:r>
      <w:r>
        <w:tab/>
        <w:t>221</w:t>
      </w:r>
    </w:p>
    <w:p>
      <w:pPr>
        <w:pStyle w:val="DefinedTerms"/>
      </w:pPr>
      <w:r>
        <w:t>committee</w:t>
      </w:r>
      <w:r>
        <w:tab/>
        <w:t>19</w:t>
      </w:r>
    </w:p>
    <w:p>
      <w:pPr>
        <w:pStyle w:val="DefinedTerms"/>
      </w:pPr>
      <w:r>
        <w:t>compensation sum</w:t>
      </w:r>
      <w:r>
        <w:tab/>
        <w:t>99(3)</w:t>
      </w:r>
    </w:p>
    <w:p>
      <w:pPr>
        <w:pStyle w:val="DefinedTerms"/>
      </w:pPr>
      <w:r>
        <w:t>consult</w:t>
      </w:r>
      <w:r>
        <w:tab/>
        <w:t>11, 100</w:t>
      </w:r>
    </w:p>
    <w:p>
      <w:pPr>
        <w:pStyle w:val="DefinedTerms"/>
      </w:pPr>
      <w:r>
        <w:t>consultation guidelines</w:t>
      </w:r>
      <w:r>
        <w:tab/>
        <w:t>11, 294</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custodian</w:t>
      </w:r>
      <w:r>
        <w:tab/>
        <w:t>53, 55(1), 63(1)</w:t>
      </w:r>
    </w:p>
    <w:p>
      <w:pPr>
        <w:pStyle w:val="DefinedTerms"/>
      </w:pPr>
      <w:r>
        <w:t>date specified</w:t>
      </w:r>
      <w:r>
        <w:tab/>
        <w:t>261(2)</w:t>
      </w:r>
    </w:p>
    <w:p>
      <w:pPr>
        <w:pStyle w:val="DefinedTerms"/>
      </w:pPr>
      <w:r>
        <w:t>deal with</w:t>
      </w:r>
      <w:r>
        <w:tab/>
        <w:t>241(1)</w:t>
      </w:r>
    </w:p>
    <w:p>
      <w:pPr>
        <w:pStyle w:val="DefinedTerms"/>
      </w:pPr>
      <w:r>
        <w:t>Department</w:t>
      </w:r>
      <w:r>
        <w:tab/>
        <w:t>11</w:t>
      </w:r>
    </w:p>
    <w:p>
      <w:pPr>
        <w:pStyle w:val="DefinedTerms"/>
      </w:pPr>
      <w:r>
        <w:t>document</w:t>
      </w:r>
      <w:r>
        <w:tab/>
        <w:t>28(1)</w:t>
      </w:r>
    </w:p>
    <w:p>
      <w:pPr>
        <w:pStyle w:val="DefinedTerms"/>
      </w:pPr>
      <w:r>
        <w:t>due diligence assessment</w:t>
      </w:r>
      <w:r>
        <w:tab/>
        <w:t>11, 102</w:t>
      </w:r>
    </w:p>
    <w:p>
      <w:pPr>
        <w:pStyle w:val="DefinedTerms"/>
      </w:pPr>
      <w:r>
        <w:t>dwelling</w:t>
      </w:r>
      <w:r>
        <w:tab/>
        <w:t>221</w:t>
      </w:r>
    </w:p>
    <w:p>
      <w:pPr>
        <w:pStyle w:val="DefinedTerms"/>
      </w:pPr>
      <w:r>
        <w:t>each knowledge holder</w:t>
      </w:r>
      <w:r>
        <w:tab/>
        <w:t>75(2), 77(2), 107(2), 175(5), 187(4)</w:t>
      </w:r>
    </w:p>
    <w:p>
      <w:pPr>
        <w:pStyle w:val="DefinedTerms"/>
      </w:pPr>
      <w:r>
        <w:t>electronic means</w:t>
      </w:r>
      <w:r>
        <w:tab/>
        <w:t>11</w:t>
      </w:r>
    </w:p>
    <w:p>
      <w:pPr>
        <w:pStyle w:val="DefinedTerms"/>
      </w:pPr>
      <w:r>
        <w:t>employer</w:t>
      </w:r>
      <w:r>
        <w:tab/>
        <w:t>268(1)</w:t>
      </w:r>
    </w:p>
    <w:p>
      <w:pPr>
        <w:pStyle w:val="DefinedTerms"/>
      </w:pPr>
      <w:r>
        <w:t>entry warrant</w:t>
      </w:r>
      <w:r>
        <w:tab/>
        <w:t>221</w:t>
      </w:r>
    </w:p>
    <w:p>
      <w:pPr>
        <w:pStyle w:val="DefinedTerms"/>
      </w:pPr>
      <w:r>
        <w:t>exempt activity</w:t>
      </w:r>
      <w:r>
        <w:tab/>
        <w:t>100</w:t>
      </w:r>
    </w:p>
    <w:p>
      <w:pPr>
        <w:pStyle w:val="DefinedTerms"/>
      </w:pPr>
      <w:r>
        <w:t>expiry day</w:t>
      </w:r>
      <w:r>
        <w:tab/>
        <w:t>325(1)</w:t>
      </w:r>
    </w:p>
    <w:p>
      <w:pPr>
        <w:pStyle w:val="DefinedTerms"/>
      </w:pPr>
      <w:r>
        <w:t>feasible alternative method</w:t>
      </w:r>
      <w:r>
        <w:tab/>
        <w:t>146(2)</w:t>
      </w:r>
    </w:p>
    <w:p>
      <w:pPr>
        <w:pStyle w:val="DefinedTerms"/>
      </w:pPr>
      <w:r>
        <w:t>fee</w:t>
      </w:r>
      <w:r>
        <w:tab/>
        <w:t>292(1)</w:t>
      </w:r>
    </w:p>
    <w:p>
      <w:pPr>
        <w:pStyle w:val="DefinedTerms"/>
      </w:pPr>
      <w:r>
        <w:t>financial matters</w:t>
      </w:r>
      <w:r>
        <w:tab/>
        <w:t>288(1)</w:t>
      </w:r>
    </w:p>
    <w:p>
      <w:pPr>
        <w:pStyle w:val="DefinedTerms"/>
      </w:pPr>
      <w:r>
        <w:t>FOI Act</w:t>
      </w:r>
      <w:r>
        <w:tab/>
        <w:t>18</w:t>
      </w:r>
    </w:p>
    <w:p>
      <w:pPr>
        <w:pStyle w:val="DefinedTerms"/>
      </w:pPr>
      <w:r>
        <w:t>forensic examination</w:t>
      </w:r>
      <w:r>
        <w:tab/>
        <w:t>243(1)</w:t>
      </w:r>
    </w:p>
    <w:p>
      <w:pPr>
        <w:pStyle w:val="DefinedTerms"/>
      </w:pPr>
      <w:r>
        <w:t>former proponent</w:t>
      </w:r>
      <w:r>
        <w:tab/>
        <w:t>171(4)</w:t>
      </w:r>
    </w:p>
    <w:p>
      <w:pPr>
        <w:pStyle w:val="DefinedTerms"/>
      </w:pPr>
      <w:r>
        <w:t>former protected area order</w:t>
      </w:r>
      <w:r>
        <w:tab/>
        <w:t>314</w:t>
      </w:r>
    </w:p>
    <w:p>
      <w:pPr>
        <w:pStyle w:val="DefinedTerms"/>
      </w:pPr>
      <w:r>
        <w:t>funding period</w:t>
      </w:r>
      <w:r>
        <w:tab/>
        <w:t>51(2)</w:t>
      </w:r>
    </w:p>
    <w:p>
      <w:pPr>
        <w:pStyle w:val="DefinedTerms"/>
      </w:pPr>
      <w:r>
        <w:t>funding sum</w:t>
      </w:r>
      <w:r>
        <w:tab/>
        <w:t>51(2), 52(2)</w:t>
      </w:r>
    </w:p>
    <w:p>
      <w:pPr>
        <w:pStyle w:val="DefinedTerms"/>
      </w:pPr>
      <w:r>
        <w:t>guidelines</w:t>
      </w:r>
      <w:r>
        <w:tab/>
        <w:t>11</w:t>
      </w:r>
    </w:p>
    <w:p>
      <w:pPr>
        <w:pStyle w:val="DefinedTerms"/>
      </w:pPr>
      <w:r>
        <w:t>harm</w:t>
      </w:r>
      <w:r>
        <w:tab/>
        <w:t>11, 90(1)</w:t>
      </w:r>
    </w:p>
    <w:p>
      <w:pPr>
        <w:pStyle w:val="DefinedTerms"/>
      </w:pPr>
      <w:r>
        <w:t>historical AH Act section 18 consent</w:t>
      </w:r>
      <w:r>
        <w:tab/>
        <w:t>313, 328(1)</w:t>
      </w:r>
    </w:p>
    <w:p>
      <w:pPr>
        <w:pStyle w:val="DefinedTerms"/>
      </w:pPr>
      <w:r>
        <w:t>historical protected area order</w:t>
      </w:r>
      <w:r>
        <w:tab/>
        <w:t>314, 315(1)</w:t>
      </w:r>
    </w:p>
    <w:p>
      <w:pPr>
        <w:pStyle w:val="DefinedTerms"/>
      </w:pPr>
      <w:r>
        <w:t>identity card</w:t>
      </w:r>
      <w:r>
        <w:tab/>
        <w:t>227(1)</w:t>
      </w:r>
    </w:p>
    <w:p>
      <w:pPr>
        <w:pStyle w:val="DefinedTerms"/>
      </w:pPr>
      <w:r>
        <w:t>ILUA</w:t>
      </w:r>
      <w:r>
        <w:tab/>
        <w:t>11</w:t>
      </w:r>
    </w:p>
    <w:p>
      <w:pPr>
        <w:pStyle w:val="DefinedTerms"/>
      </w:pPr>
      <w:r>
        <w:t>information</w:t>
      </w:r>
      <w:r>
        <w:tab/>
        <w:t>28(1), 146(2)</w:t>
      </w:r>
    </w:p>
    <w:p>
      <w:pPr>
        <w:pStyle w:val="DefinedTerms"/>
      </w:pPr>
      <w:r>
        <w:t>informed consent</w:t>
      </w:r>
      <w:r>
        <w:tab/>
        <w:t>100</w:t>
      </w:r>
    </w:p>
    <w:p>
      <w:pPr>
        <w:pStyle w:val="DefinedTerms"/>
      </w:pPr>
      <w:r>
        <w:t>inspection purposes</w:t>
      </w:r>
      <w:r>
        <w:tab/>
        <w:t>221</w:t>
      </w:r>
    </w:p>
    <w:p>
      <w:pPr>
        <w:pStyle w:val="DefinedTerms"/>
      </w:pPr>
      <w:r>
        <w:t>inspector</w:t>
      </w:r>
      <w:r>
        <w:tab/>
        <w:t>11</w:t>
      </w:r>
    </w:p>
    <w:p>
      <w:pPr>
        <w:pStyle w:val="DefinedTerms"/>
      </w:pPr>
      <w:r>
        <w:lastRenderedPageBreak/>
        <w:t>instrument</w:t>
      </w:r>
      <w:r>
        <w:tab/>
        <w:t>11</w:t>
      </w:r>
    </w:p>
    <w:p>
      <w:pPr>
        <w:pStyle w:val="DefinedTerms"/>
      </w:pPr>
      <w:r>
        <w:t>intangible Aboriginal cultural heritage</w:t>
      </w:r>
      <w:r>
        <w:tab/>
        <w:t>213(3)</w:t>
      </w:r>
    </w:p>
    <w:p>
      <w:pPr>
        <w:pStyle w:val="DefinedTerms"/>
      </w:pPr>
      <w:r>
        <w:t>interested Aboriginal party</w:t>
      </w:r>
      <w:r>
        <w:tab/>
        <w:t>100, 135(1)</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11, 294</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11, 294</w:t>
      </w:r>
    </w:p>
    <w:p>
      <w:pPr>
        <w:pStyle w:val="DefinedTerms"/>
      </w:pPr>
      <w:r>
        <w:t>local ACH service functions</w:t>
      </w:r>
      <w:r>
        <w:tab/>
        <w:t>11, 19</w:t>
      </w:r>
    </w:p>
    <w:p>
      <w:pPr>
        <w:pStyle w:val="DefinedTerms"/>
      </w:pPr>
      <w:r>
        <w:t>located</w:t>
      </w:r>
      <w:r>
        <w:tab/>
        <w:t>11, 13</w:t>
      </w:r>
    </w:p>
    <w:p>
      <w:pPr>
        <w:pStyle w:val="DefinedTerms"/>
      </w:pPr>
      <w:r>
        <w:t>Marandoo Act area</w:t>
      </w:r>
      <w:r>
        <w:tab/>
        <w:t>327</w:t>
      </w:r>
    </w:p>
    <w:p>
      <w:pPr>
        <w:pStyle w:val="DefinedTerms"/>
      </w:pPr>
      <w:r>
        <w:t>material</w:t>
      </w:r>
      <w:r>
        <w:tab/>
        <w:t>11, 91(2)</w:t>
      </w:r>
    </w:p>
    <w:p>
      <w:pPr>
        <w:pStyle w:val="DefinedTerms"/>
      </w:pPr>
      <w:r>
        <w:t>mediator</w:t>
      </w:r>
      <w:r>
        <w:tab/>
        <w:t>160(6)</w:t>
      </w:r>
    </w:p>
    <w:p>
      <w:pPr>
        <w:pStyle w:val="DefinedTerms"/>
      </w:pPr>
      <w:r>
        <w:t>member</w:t>
      </w:r>
      <w:r>
        <w:tab/>
        <w:t>19</w:t>
      </w:r>
    </w:p>
    <w:p>
      <w:pPr>
        <w:pStyle w:val="DefinedTerms"/>
      </w:pPr>
      <w:r>
        <w:t>mobile home</w:t>
      </w:r>
      <w:r>
        <w:tab/>
        <w:t>234(1)</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 178, 321(3)</w:t>
      </w:r>
    </w:p>
    <w:p>
      <w:pPr>
        <w:pStyle w:val="DefinedTerms"/>
      </w:pPr>
      <w:r>
        <w:t>no longer in force</w:t>
      </w:r>
      <w:r>
        <w:tab/>
        <w:t>318, 319, 320</w:t>
      </w:r>
    </w:p>
    <w:p>
      <w:pPr>
        <w:pStyle w:val="DefinedTerms"/>
      </w:pPr>
      <w:r>
        <w:t>notice area</w:t>
      </w:r>
      <w:r>
        <w:tab/>
        <w:t>175(3)</w:t>
      </w:r>
    </w:p>
    <w:p>
      <w:pPr>
        <w:pStyle w:val="DefinedTerms"/>
      </w:pPr>
      <w:r>
        <w:t>occupier</w:t>
      </w:r>
      <w:r>
        <w:tab/>
        <w:t>11</w:t>
      </w:r>
    </w:p>
    <w:p>
      <w:pPr>
        <w:pStyle w:val="DefinedTerms"/>
      </w:pPr>
      <w:r>
        <w:t>officer</w:t>
      </w:r>
      <w:r>
        <w:tab/>
        <w:t>303(1)</w:t>
      </w:r>
    </w:p>
    <w:p>
      <w:pPr>
        <w:pStyle w:val="DefinedTerms"/>
      </w:pPr>
      <w:r>
        <w:t>organisation</w:t>
      </w:r>
      <w:r>
        <w:tab/>
        <w:t>53</w:t>
      </w:r>
    </w:p>
    <w:p>
      <w:pPr>
        <w:pStyle w:val="DefinedTerms"/>
      </w:pPr>
      <w:r>
        <w:t>outstanding significance</w:t>
      </w:r>
      <w:r>
        <w:tab/>
        <w:t>11, 69</w:t>
      </w:r>
    </w:p>
    <w:p>
      <w:pPr>
        <w:pStyle w:val="DefinedTerms"/>
      </w:pPr>
      <w:r>
        <w:t>owner</w:t>
      </w:r>
      <w:r>
        <w:tab/>
        <w:t>318, 327</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photograph</w:t>
      </w:r>
      <w:r>
        <w:tab/>
        <w:t>221</w:t>
      </w:r>
    </w:p>
    <w:p>
      <w:pPr>
        <w:pStyle w:val="DefinedTerms"/>
      </w:pPr>
      <w:r>
        <w:t>Police Force</w:t>
      </w:r>
      <w:r>
        <w:tab/>
        <w:t>303(1)</w:t>
      </w:r>
    </w:p>
    <w:p>
      <w:pPr>
        <w:pStyle w:val="DefinedTerms"/>
      </w:pPr>
      <w:r>
        <w:t>preferred method</w:t>
      </w:r>
      <w:r>
        <w:tab/>
        <w:t>146(2)</w:t>
      </w:r>
    </w:p>
    <w:p>
      <w:pPr>
        <w:pStyle w:val="DefinedTerms"/>
      </w:pPr>
      <w:r>
        <w:t>prescribed</w:t>
      </w:r>
      <w:r>
        <w:tab/>
        <w:t>11</w:t>
      </w:r>
    </w:p>
    <w:p>
      <w:pPr>
        <w:pStyle w:val="DefinedTerms"/>
      </w:pPr>
      <w:r>
        <w:t>prescribed entity</w:t>
      </w:r>
      <w:r>
        <w:tab/>
        <w:t>303(1)</w:t>
      </w:r>
    </w:p>
    <w:p>
      <w:pPr>
        <w:pStyle w:val="DefinedTerms"/>
      </w:pPr>
      <w:r>
        <w:t>prescribed public authority</w:t>
      </w:r>
      <w:r>
        <w:tab/>
        <w:t>62</w:t>
      </w:r>
    </w:p>
    <w:p>
      <w:pPr>
        <w:pStyle w:val="DefinedTerms"/>
      </w:pPr>
      <w:r>
        <w:t>principal</w:t>
      </w:r>
      <w:r>
        <w:tab/>
        <w:t>267(1), 267(2)</w:t>
      </w:r>
    </w:p>
    <w:p>
      <w:pPr>
        <w:pStyle w:val="DefinedTerms"/>
      </w:pPr>
      <w:r>
        <w:t>prohibition order</w:t>
      </w:r>
      <w:r>
        <w:tab/>
        <w:t>11</w:t>
      </w:r>
    </w:p>
    <w:p>
      <w:pPr>
        <w:pStyle w:val="DefinedTerms"/>
      </w:pPr>
      <w:r>
        <w:t>proponent</w:t>
      </w:r>
      <w:r>
        <w:tab/>
        <w:t>11, 100</w:t>
      </w:r>
    </w:p>
    <w:p>
      <w:pPr>
        <w:pStyle w:val="DefinedTerms"/>
      </w:pPr>
      <w:r>
        <w:t>proposed activity</w:t>
      </w:r>
      <w:r>
        <w:tab/>
        <w:t>11, 100</w:t>
      </w:r>
    </w:p>
    <w:p>
      <w:pPr>
        <w:pStyle w:val="DefinedTerms"/>
      </w:pPr>
      <w:r>
        <w:t>proposed parties</w:t>
      </w:r>
      <w:r>
        <w:tab/>
        <w:t>160(1)</w:t>
      </w:r>
    </w:p>
    <w:p>
      <w:pPr>
        <w:pStyle w:val="DefinedTerms"/>
      </w:pPr>
      <w:r>
        <w:lastRenderedPageBreak/>
        <w:t>protected area</w:t>
      </w:r>
      <w:r>
        <w:tab/>
        <w:t>11</w:t>
      </w:r>
    </w:p>
    <w:p>
      <w:pPr>
        <w:pStyle w:val="DefinedTerms"/>
      </w:pPr>
      <w:r>
        <w:t>protected area order</w:t>
      </w:r>
      <w:r>
        <w:tab/>
        <w:t>11</w:t>
      </w:r>
    </w:p>
    <w:p>
      <w:pPr>
        <w:pStyle w:val="DefinedTerms"/>
      </w:pPr>
      <w:r>
        <w:t>protected area order guidelines</w:t>
      </w:r>
      <w:r>
        <w:tab/>
        <w:t>11, 294</w:t>
      </w:r>
    </w:p>
    <w:p>
      <w:pPr>
        <w:pStyle w:val="DefinedTerms"/>
      </w:pPr>
      <w:r>
        <w:t>protocol</w:t>
      </w:r>
      <w:r>
        <w:tab/>
        <w:t>303(1)</w:t>
      </w:r>
    </w:p>
    <w:p>
      <w:pPr>
        <w:pStyle w:val="DefinedTerms"/>
      </w:pPr>
      <w:r>
        <w:t>publication day</w:t>
      </w:r>
      <w:r>
        <w:tab/>
        <w:t>336(1)</w:t>
      </w:r>
    </w:p>
    <w:p>
      <w:pPr>
        <w:pStyle w:val="DefinedTerms"/>
      </w:pPr>
      <w:r>
        <w:t>public authority</w:t>
      </w:r>
      <w:r>
        <w:tab/>
        <w:t>11</w:t>
      </w:r>
    </w:p>
    <w:p>
      <w:pPr>
        <w:pStyle w:val="DefinedTerms"/>
      </w:pPr>
      <w:r>
        <w:t>public notice</w:t>
      </w:r>
      <w:r>
        <w:tab/>
        <w:t>11</w:t>
      </w:r>
    </w:p>
    <w:p>
      <w:pPr>
        <w:pStyle w:val="DefinedTerms"/>
      </w:pPr>
      <w:r>
        <w:t>purported section 18 consent</w:t>
      </w:r>
      <w:r>
        <w:tab/>
        <w:t>330(2)</w:t>
      </w:r>
    </w:p>
    <w:p>
      <w:pPr>
        <w:pStyle w:val="DefinedTerms"/>
      </w:pPr>
      <w:r>
        <w:t>reasonably suspects</w:t>
      </w:r>
      <w:r>
        <w:tab/>
        <w:t>221, 222</w:t>
      </w:r>
    </w:p>
    <w:p>
      <w:pPr>
        <w:pStyle w:val="DefinedTerms"/>
      </w:pPr>
      <w:r>
        <w:t>reduced area</w:t>
      </w:r>
      <w:r>
        <w:tab/>
        <w:t>327</w:t>
      </w:r>
    </w:p>
    <w:p>
      <w:pPr>
        <w:pStyle w:val="DefinedTerms"/>
      </w:pPr>
      <w:r>
        <w:t>regional corporation</w:t>
      </w:r>
      <w:r>
        <w:tab/>
        <w:t>11, 40(2)</w:t>
      </w:r>
    </w:p>
    <w:p>
      <w:pPr>
        <w:pStyle w:val="DefinedTerms"/>
      </w:pPr>
      <w:r>
        <w:t>registered native title body corporate</w:t>
      </w:r>
      <w:r>
        <w:tab/>
        <w:t>11</w:t>
      </w:r>
    </w:p>
    <w:p>
      <w:pPr>
        <w:pStyle w:val="DefinedTerms"/>
      </w:pPr>
      <w:r>
        <w:t>registered native title claimant</w:t>
      </w:r>
      <w:r>
        <w:tab/>
        <w:t>11</w:t>
      </w:r>
    </w:p>
    <w:p>
      <w:pPr>
        <w:pStyle w:val="DefinedTerms"/>
      </w:pPr>
      <w:r>
        <w:t>Registrar</w:t>
      </w:r>
      <w:r>
        <w:tab/>
        <w:t>87(1)</w:t>
      </w:r>
    </w:p>
    <w:p>
      <w:pPr>
        <w:pStyle w:val="DefinedTerms"/>
      </w:pPr>
      <w:r>
        <w:t>related agreement</w:t>
      </w:r>
      <w:r>
        <w:tab/>
        <w:t>11, 100</w:t>
      </w:r>
    </w:p>
    <w:p>
      <w:pPr>
        <w:pStyle w:val="DefinedTerms"/>
      </w:pPr>
      <w:r>
        <w:t>relevant information</w:t>
      </w:r>
      <w:r>
        <w:tab/>
        <w:t>303(1)</w:t>
      </w:r>
    </w:p>
    <w:p>
      <w:pPr>
        <w:pStyle w:val="DefinedTerms"/>
      </w:pPr>
      <w:r>
        <w:t>relevant record</w:t>
      </w:r>
      <w:r>
        <w:tab/>
        <w:t>237(1)</w:t>
      </w:r>
    </w:p>
    <w:p>
      <w:pPr>
        <w:pStyle w:val="DefinedTerms"/>
      </w:pPr>
      <w:r>
        <w:t>remediate</w:t>
      </w:r>
      <w:r>
        <w:tab/>
        <w:t>178</w:t>
      </w:r>
    </w:p>
    <w:p>
      <w:pPr>
        <w:pStyle w:val="DefinedTerms"/>
      </w:pPr>
      <w:r>
        <w:t>remediation order</w:t>
      </w:r>
      <w:r>
        <w:tab/>
        <w:t>11</w:t>
      </w:r>
    </w:p>
    <w:p>
      <w:pPr>
        <w:pStyle w:val="DefinedTerms"/>
      </w:pPr>
      <w:r>
        <w:t>remote communication</w:t>
      </w:r>
      <w:r>
        <w:tab/>
        <w:t>245(1)</w:t>
      </w:r>
    </w:p>
    <w:p>
      <w:pPr>
        <w:pStyle w:val="DefinedTerms"/>
      </w:pPr>
      <w:r>
        <w:t>repeal day</w:t>
      </w:r>
      <w:r>
        <w:tab/>
        <w:t>2, 11</w:t>
      </w:r>
    </w:p>
    <w:p>
      <w:pPr>
        <w:pStyle w:val="DefinedTerms"/>
      </w:pPr>
      <w:r>
        <w:t>reviewable decision</w:t>
      </w:r>
      <w:r>
        <w:tab/>
        <w:t>276, 277(1)</w:t>
      </w:r>
    </w:p>
    <w:p>
      <w:pPr>
        <w:pStyle w:val="DefinedTerms"/>
      </w:pPr>
      <w:r>
        <w:t>secret or sacred object</w:t>
      </w:r>
      <w:r>
        <w:tab/>
        <w:t>11</w:t>
      </w:r>
    </w:p>
    <w:p>
      <w:pPr>
        <w:pStyle w:val="DefinedTerms"/>
      </w:pPr>
      <w:r>
        <w:t>section 82(1) notification</w:t>
      </w:r>
      <w:r>
        <w:tab/>
        <w:t>87(2)</w:t>
      </w:r>
    </w:p>
    <w:p>
      <w:pPr>
        <w:pStyle w:val="DefinedTerms"/>
      </w:pPr>
      <w:r>
        <w:t>seized thing</w:t>
      </w:r>
      <w:r>
        <w:tab/>
        <w:t>221</w:t>
      </w:r>
    </w:p>
    <w:p>
      <w:pPr>
        <w:pStyle w:val="DefinedTerms"/>
      </w:pPr>
      <w:r>
        <w:t>serious</w:t>
      </w:r>
      <w:r>
        <w:tab/>
        <w:t>11, 91(1)</w:t>
      </w:r>
    </w:p>
    <w:p>
      <w:pPr>
        <w:pStyle w:val="DefinedTerms"/>
      </w:pPr>
      <w:r>
        <w:t>settlement ILUA</w:t>
      </w:r>
      <w:r>
        <w:tab/>
        <w:t>11, 40(2)</w:t>
      </w:r>
    </w:p>
    <w:p>
      <w:pPr>
        <w:pStyle w:val="DefinedTerms"/>
      </w:pPr>
      <w:r>
        <w:t>specified</w:t>
      </w:r>
      <w:r>
        <w:tab/>
        <w:t>11, 336(1)</w:t>
      </w:r>
    </w:p>
    <w:p>
      <w:pPr>
        <w:pStyle w:val="DefinedTerms"/>
      </w:pPr>
      <w:r>
        <w:t>specified land</w:t>
      </w:r>
      <w:r>
        <w:tab/>
        <w:t>327</w:t>
      </w:r>
    </w:p>
    <w:p>
      <w:pPr>
        <w:pStyle w:val="DefinedTerms"/>
      </w:pPr>
      <w:r>
        <w:t>specified purpose</w:t>
      </w:r>
      <w:r>
        <w:tab/>
        <w:t>327</w:t>
      </w:r>
    </w:p>
    <w:p>
      <w:pPr>
        <w:pStyle w:val="DefinedTerms"/>
      </w:pPr>
      <w:r>
        <w:t>State significance</w:t>
      </w:r>
      <w:r>
        <w:tab/>
        <w:t>11, 100</w:t>
      </w:r>
    </w:p>
    <w:p>
      <w:pPr>
        <w:pStyle w:val="DefinedTerms"/>
      </w:pPr>
      <w:r>
        <w:t>State significance guidelines</w:t>
      </w:r>
      <w:r>
        <w:tab/>
        <w:t>11, 294</w:t>
      </w:r>
    </w:p>
    <w:p>
      <w:pPr>
        <w:pStyle w:val="DefinedTerms"/>
      </w:pPr>
      <w:r>
        <w:t>stop activity order</w:t>
      </w:r>
      <w:r>
        <w:tab/>
        <w:t>11</w:t>
      </w:r>
    </w:p>
    <w:p>
      <w:pPr>
        <w:pStyle w:val="DefinedTerms"/>
      </w:pPr>
      <w:r>
        <w:t>thing relevant to an offence</w:t>
      </w:r>
      <w:r>
        <w:tab/>
        <w:t>221, 223(1)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matter</w:t>
      </w:r>
      <w:r>
        <w:tab/>
        <w:t>336(1)</w:t>
      </w:r>
    </w:p>
    <w:p>
      <w:pPr>
        <w:pStyle w:val="DefinedTerms"/>
      </w:pPr>
      <w:r>
        <w:t>transitional period</w:t>
      </w:r>
      <w:r>
        <w:tab/>
        <w:t>313</w:t>
      </w:r>
    </w:p>
    <w:p>
      <w:pPr>
        <w:pStyle w:val="DefinedTerms"/>
      </w:pPr>
      <w:r>
        <w:t>transitional regulations</w:t>
      </w:r>
      <w:r>
        <w:tab/>
        <w:t>313, 336(1)</w:t>
      </w:r>
    </w:p>
    <w:p>
      <w:pPr>
        <w:pStyle w:val="DefinedTerms"/>
      </w:pPr>
      <w:r>
        <w:t>transition day</w:t>
      </w:r>
      <w:r>
        <w:tab/>
        <w:t>2, 11</w:t>
      </w:r>
    </w:p>
    <w:p>
      <w:pPr>
        <w:pStyle w:val="DefinedTerms"/>
      </w:pPr>
      <w:r>
        <w:t>uncommitted amount</w:t>
      </w:r>
      <w:r>
        <w:tab/>
        <w:t>51(5)</w:t>
      </w:r>
    </w:p>
    <w:p>
      <w:pPr>
        <w:pStyle w:val="DefinedTerms"/>
      </w:pPr>
      <w:r>
        <w:lastRenderedPageBreak/>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544" w:gutter="0"/>
          <w:cols w:space="720"/>
          <w:noEndnote/>
          <w:docGrid w:linePitch="326"/>
        </w:sectPr>
      </w:pPr>
    </w:p>
    <w:p>
      <w:pPr>
        <w:keepNext/>
      </w:pPr>
      <w:r>
        <w:rPr>
          <w:noProof/>
        </w:rPr>
        <mc:AlternateContent>
          <mc:Choice Requires="wps">
            <w:drawing>
              <wp:anchor distT="0" distB="0" distL="114300" distR="114300" simplePos="0" relativeHeight="251668480"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A2AF018" id="_x0000_t202" coordsize="21600,21600" o:spt="202" path="m,l,21600r21600,l21600,xe">
                <v:stroke joinstyle="miter"/>
                <v:path gradientshapeok="t" o:connecttype="rect"/>
              </v:shapetype>
              <v:shape id="Authority" o:spid="_x0000_s1026" type="#_x0000_t202" style="position:absolute;margin-left:0;margin-top:591pt;width:10pt;height:51pt;z-index:251668480;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30CD854D" w14:textId="1BDBFFD9" w:rsidR="003B69AB" w:rsidRDefault="003B69AB">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577FA78C" w14:textId="77777777" w:rsidR="003B69AB" w:rsidRDefault="003B69AB">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574B9820" w14:textId="42E677C2" w:rsidR="003B69AB" w:rsidRDefault="003B69AB">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0A17DD8B" w14:textId="77777777" w:rsidR="003B69AB" w:rsidRDefault="003B69AB">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cclvi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cclvii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24 Oct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00-i0-02</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60" w:name="Compilation"/>
    <w:bookmarkEnd w:id="46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62" w:name="DefinedTerms"/>
    <w:bookmarkEnd w:id="462"/>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63" w:name="Coversheet"/>
    <w:bookmarkEnd w:id="46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9014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1221161724"/>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 w:name="WAFER_2023101909370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19093703_GUID" w:val="161664b1-c969-42dc-b3ef-d8ad9642712f"/>
    <w:docVar w:name="WAFER_202310271049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027104940_GUID" w:val="dcab6ce1-f5cf-4f81-a661-b96ffe0f56f1"/>
    <w:docVar w:name="WAFER_202312211617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1161724_GUID" w:val="9f006ebf-58b9-4ea4-8360-ceeda724374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0145"/>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80C8C-E341-430E-88F6-7A869B8A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63259</Words>
  <Characters>308073</Characters>
  <Application>Microsoft Office Word</Application>
  <DocSecurity>0</DocSecurity>
  <Lines>8802</Lines>
  <Paragraphs>5230</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366102</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2021 - 00-i0-02</dc:title>
  <dc:subject/>
  <dc:creator/>
  <cp:keywords/>
  <dc:description/>
  <cp:lastModifiedBy>Master Repository Process</cp:lastModifiedBy>
  <cp:revision>4</cp:revision>
  <cp:lastPrinted>2021-11-16T04:14:00Z</cp:lastPrinted>
  <dcterms:created xsi:type="dcterms:W3CDTF">2023-12-29T03:43:00Z</dcterms:created>
  <dcterms:modified xsi:type="dcterms:W3CDTF">2023-12-29T03:43:00Z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24 Oct 2023</vt:lpwstr>
  </property>
  <property fmtid="{D5CDD505-2E9C-101B-9397-08002B2CF9AE}" pid="5" name="Suffix">
    <vt:lpwstr>00-i0-02</vt:lpwstr>
  </property>
  <property fmtid="{D5CDD505-2E9C-101B-9397-08002B2CF9AE}" pid="6" name="Official">
    <vt:lpwstr/>
  </property>
  <property fmtid="{D5CDD505-2E9C-101B-9397-08002B2CF9AE}" pid="7" name="CommencementDate">
    <vt:lpwstr>20231024</vt:lpwstr>
  </property>
  <property fmtid="{D5CDD505-2E9C-101B-9397-08002B2CF9AE}" pid="8" name="CommencementYear">
    <vt:lpwstr>2023</vt:lpwstr>
  </property>
</Properties>
</file>