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Control of Vehicles (Off-road Areas)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Control of Vehicles (Off-road Areas)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_Toc154747735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_Toc154747736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_Toc154747737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_Toc154747738 \h </w:instrText>
      </w:r>
      <w:r>
        <w:fldChar w:fldCharType="separate"/>
      </w:r>
      <w:r>
        <w:t>4</w:t>
      </w:r>
      <w:r>
        <w:fldChar w:fldCharType="end"/>
      </w:r>
    </w:p>
    <w:p>
      <w:pPr>
        <w:pStyle w:val="TOC8"/>
        <w:rPr>
          <w:rFonts w:asciiTheme="minorHAnsi" w:eastAsiaTheme="minorEastAsia" w:hAnsiTheme="minorHAnsi" w:cstheme="minorBidi"/>
          <w:szCs w:val="22"/>
        </w:rPr>
      </w:pPr>
      <w:r>
        <w:t>4A.</w:t>
      </w:r>
      <w:r>
        <w:tab/>
        <w:t>Delegation by Director General</w:t>
      </w:r>
      <w:r>
        <w:tab/>
      </w:r>
      <w:r>
        <w:fldChar w:fldCharType="begin"/>
      </w:r>
      <w:r>
        <w:instrText xml:space="preserve"> PAGEREF _Toc154747739 \h </w:instrText>
      </w:r>
      <w:r>
        <w:fldChar w:fldCharType="separate"/>
      </w:r>
      <w:r>
        <w:t>4</w:t>
      </w:r>
      <w:r>
        <w:fldChar w:fldCharType="end"/>
      </w:r>
    </w:p>
    <w:p>
      <w:pPr>
        <w:pStyle w:val="TOC8"/>
        <w:rPr>
          <w:rFonts w:asciiTheme="minorHAnsi" w:eastAsiaTheme="minorEastAsia" w:hAnsiTheme="minorHAnsi" w:cstheme="minorBidi"/>
          <w:szCs w:val="22"/>
        </w:rPr>
      </w:pPr>
      <w:r>
        <w:t>4B.</w:t>
      </w:r>
      <w:r>
        <w:tab/>
        <w:t>Agreements for performance of Director General’s functions by others</w:t>
      </w:r>
      <w:r>
        <w:tab/>
      </w:r>
      <w:r>
        <w:fldChar w:fldCharType="begin"/>
      </w:r>
      <w:r>
        <w:instrText xml:space="preserve"> PAGEREF _Toc154747740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Local government’s functions</w:t>
      </w:r>
      <w:r>
        <w:tab/>
      </w:r>
      <w:r>
        <w:fldChar w:fldCharType="begin"/>
      </w:r>
      <w:r>
        <w:instrText xml:space="preserve"> PAGEREF _Toc154747741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 and using off</w:t>
      </w:r>
      <w:r>
        <w:rPr>
          <w:snapToGrid w:val="0"/>
        </w:rPr>
        <w:noBreakHyphen/>
        <w:t>road vehicles, offences</w:t>
      </w:r>
      <w:r>
        <w:tab/>
      </w:r>
      <w:r>
        <w:fldChar w:fldCharType="begin"/>
      </w:r>
      <w:r>
        <w:instrText xml:space="preserve"> PAGEREF _Toc154747742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Some vehicles to be registered under this Act</w:t>
      </w:r>
      <w:r>
        <w:tab/>
      </w:r>
      <w:r>
        <w:fldChar w:fldCharType="begin"/>
      </w:r>
      <w:r>
        <w:instrText xml:space="preserve"> PAGEREF _Toc154747743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6(1) and (2), 9A, 9B and 9C</w:t>
      </w:r>
      <w:r>
        <w:tab/>
      </w:r>
      <w:r>
        <w:fldChar w:fldCharType="begin"/>
      </w:r>
      <w:r>
        <w:instrText xml:space="preserve"> PAGEREF _Toc154747744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vehicles not to be driven etc.</w:t>
      </w:r>
      <w:r>
        <w:tab/>
      </w:r>
      <w:r>
        <w:fldChar w:fldCharType="begin"/>
      </w:r>
      <w:r>
        <w:instrText xml:space="preserve"> PAGEREF _Toc154747745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Seat belt requirements for vehicles</w:t>
      </w:r>
      <w:r>
        <w:tab/>
      </w:r>
      <w:r>
        <w:fldChar w:fldCharType="begin"/>
      </w:r>
      <w:r>
        <w:instrText xml:space="preserve"> PAGEREF _Toc154747746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Seat belt requirements for people in vehicles</w:t>
      </w:r>
      <w:r>
        <w:tab/>
      </w:r>
      <w:r>
        <w:fldChar w:fldCharType="begin"/>
      </w:r>
      <w:r>
        <w:instrText xml:space="preserve"> PAGEREF _Toc154747747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Motor cycle helmet requirements</w:t>
      </w:r>
      <w:r>
        <w:tab/>
      </w:r>
      <w:r>
        <w:fldChar w:fldCharType="begin"/>
      </w:r>
      <w:r>
        <w:instrText xml:space="preserve"> PAGEREF _Toc154747748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for drivers</w:t>
      </w:r>
      <w:r>
        <w:tab/>
      </w:r>
      <w:r>
        <w:fldChar w:fldCharType="begin"/>
      </w:r>
      <w:r>
        <w:instrText xml:space="preserve"> PAGEREF _Toc154747749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Permitted areas, declaring etc.</w:t>
      </w:r>
      <w:r>
        <w:tab/>
      </w:r>
      <w:r>
        <w:fldChar w:fldCharType="begin"/>
      </w:r>
      <w:r>
        <w:instrText xml:space="preserve"> PAGEREF _Toc154747750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Permitted areas, declaring before 6 Jan 1980</w:t>
      </w:r>
      <w:r>
        <w:tab/>
      </w:r>
      <w:r>
        <w:fldChar w:fldCharType="begin"/>
      </w:r>
      <w:r>
        <w:instrText xml:space="preserve"> PAGEREF _Toc154747751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Private land may be declared to be a permitted area</w:t>
      </w:r>
      <w:r>
        <w:tab/>
      </w:r>
      <w:r>
        <w:fldChar w:fldCharType="begin"/>
      </w:r>
      <w:r>
        <w:instrText xml:space="preserve"> PAGEREF _Toc154747752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Permitted area, temporary closure of</w:t>
      </w:r>
      <w:r>
        <w:tab/>
      </w:r>
      <w:r>
        <w:fldChar w:fldCharType="begin"/>
      </w:r>
      <w:r>
        <w:instrText xml:space="preserve"> PAGEREF _Toc154747753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Prohibited areas, establishing etc.</w:t>
      </w:r>
      <w:r>
        <w:tab/>
      </w:r>
      <w:r>
        <w:fldChar w:fldCharType="begin"/>
      </w:r>
      <w:r>
        <w:instrText xml:space="preserve"> PAGEREF _Toc154747754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Advisory Committee, establishment and functions of</w:t>
      </w:r>
      <w:r>
        <w:tab/>
      </w:r>
      <w:r>
        <w:fldChar w:fldCharType="begin"/>
      </w:r>
      <w:r>
        <w:instrText xml:space="preserve"> PAGEREF _Toc154747755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Committee’s functions as to permitted areas, prohibited areas, and use of vehicles</w:t>
      </w:r>
      <w:r>
        <w:tab/>
      </w:r>
      <w:r>
        <w:fldChar w:fldCharType="begin"/>
      </w:r>
      <w:r>
        <w:instrText xml:space="preserve"> PAGEREF _Toc154747756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Permitted and prohibited areas, identifying</w:t>
      </w:r>
      <w:r>
        <w:tab/>
      </w:r>
      <w:r>
        <w:fldChar w:fldCharType="begin"/>
      </w:r>
      <w:r>
        <w:instrText xml:space="preserve"> PAGEREF _Toc154747757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Permitted areas and prohibited areas, application of to vehicles and effect of</w:t>
      </w:r>
      <w:r>
        <w:tab/>
      </w:r>
      <w:r>
        <w:fldChar w:fldCharType="begin"/>
      </w:r>
      <w:r>
        <w:instrText xml:space="preserve"> PAGEREF _Toc154747758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Advisory Committee, members and procedure of etc.</w:t>
      </w:r>
      <w:r>
        <w:tab/>
      </w:r>
      <w:r>
        <w:fldChar w:fldCharType="begin"/>
      </w:r>
      <w:r>
        <w:instrText xml:space="preserve"> PAGEREF _Toc154747759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Nominations of candidates for Advisory Committee, Minister may request</w:t>
      </w:r>
      <w:r>
        <w:tab/>
      </w:r>
      <w:r>
        <w:fldChar w:fldCharType="begin"/>
      </w:r>
      <w:r>
        <w:instrText xml:space="preserve"> PAGEREF _Toc154747760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Deputies of members, appointing etc.</w:t>
      </w:r>
      <w:r>
        <w:tab/>
      </w:r>
      <w:r>
        <w:fldChar w:fldCharType="begin"/>
      </w:r>
      <w:r>
        <w:instrText xml:space="preserve"> PAGEREF _Toc154747761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snapToGrid w:val="0"/>
        </w:rPr>
        <w:t>Public Sector Management Act 1994</w:t>
      </w:r>
      <w:r>
        <w:rPr>
          <w:snapToGrid w:val="0"/>
        </w:rPr>
        <w:t>, application of to members</w:t>
      </w:r>
      <w:r>
        <w:tab/>
      </w:r>
      <w:r>
        <w:fldChar w:fldCharType="begin"/>
      </w:r>
      <w:r>
        <w:instrText xml:space="preserve"> PAGEREF _Toc154747762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Advisory Committee, departments etc. may assist</w:t>
      </w:r>
      <w:r>
        <w:tab/>
      </w:r>
      <w:r>
        <w:fldChar w:fldCharType="begin"/>
      </w:r>
      <w:r>
        <w:instrText xml:space="preserve"> PAGEREF _Toc154747763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Sub</w:t>
      </w:r>
      <w:r>
        <w:rPr>
          <w:snapToGrid w:val="0"/>
        </w:rPr>
        <w:noBreakHyphen/>
        <w:t>committees, appointing</w:t>
      </w:r>
      <w:r>
        <w:tab/>
      </w:r>
      <w:r>
        <w:fldChar w:fldCharType="begin"/>
      </w:r>
      <w:r>
        <w:instrText xml:space="preserve"> PAGEREF _Toc154747764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 of vehicles, generally</w:t>
      </w:r>
      <w:r>
        <w:tab/>
      </w:r>
      <w:r>
        <w:fldChar w:fldCharType="begin"/>
      </w:r>
      <w:r>
        <w:instrText xml:space="preserve"> PAGEREF _Toc154747765 \h </w:instrText>
      </w:r>
      <w:r>
        <w:fldChar w:fldCharType="separate"/>
      </w:r>
      <w:r>
        <w:t>28</w:t>
      </w:r>
      <w:r>
        <w:fldChar w:fldCharType="end"/>
      </w:r>
    </w:p>
    <w:p>
      <w:pPr>
        <w:pStyle w:val="TOC8"/>
        <w:rPr>
          <w:rFonts w:asciiTheme="minorHAnsi" w:eastAsiaTheme="minorEastAsia" w:hAnsiTheme="minorHAnsi" w:cstheme="minorBidi"/>
          <w:szCs w:val="22"/>
        </w:rPr>
      </w:pPr>
      <w:r>
        <w:t>28A.</w:t>
      </w:r>
      <w:r>
        <w:tab/>
        <w:t>Applying for registration etc. of vehicle</w:t>
      </w:r>
      <w:r>
        <w:tab/>
      </w:r>
      <w:r>
        <w:fldChar w:fldCharType="begin"/>
      </w:r>
      <w:r>
        <w:instrText xml:space="preserve"> PAGEREF _Toc154747766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procedure</w:t>
      </w:r>
      <w:r>
        <w:tab/>
      </w:r>
      <w:r>
        <w:fldChar w:fldCharType="begin"/>
      </w:r>
      <w:r>
        <w:instrText xml:space="preserve"> PAGEREF _Toc154747767 \h </w:instrText>
      </w:r>
      <w:r>
        <w:fldChar w:fldCharType="separate"/>
      </w:r>
      <w:r>
        <w:t>30</w:t>
      </w:r>
      <w:r>
        <w:fldChar w:fldCharType="end"/>
      </w:r>
    </w:p>
    <w:p>
      <w:pPr>
        <w:pStyle w:val="TOC8"/>
        <w:rPr>
          <w:rFonts w:asciiTheme="minorHAnsi" w:eastAsiaTheme="minorEastAsia" w:hAnsiTheme="minorHAnsi" w:cstheme="minorBidi"/>
          <w:szCs w:val="22"/>
        </w:rPr>
      </w:pPr>
      <w:r>
        <w:t>29A.</w:t>
      </w:r>
      <w:r>
        <w:tab/>
        <w:t>Transfer of vehicle registration</w:t>
      </w:r>
      <w:r>
        <w:tab/>
      </w:r>
      <w:r>
        <w:fldChar w:fldCharType="begin"/>
      </w:r>
      <w:r>
        <w:instrText xml:space="preserve"> PAGEREF _Toc154747768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Fees for registration, reductions in, refunds of etc.</w:t>
      </w:r>
      <w:r>
        <w:tab/>
      </w:r>
      <w:r>
        <w:fldChar w:fldCharType="begin"/>
      </w:r>
      <w:r>
        <w:instrText xml:space="preserve"> PAGEREF _Toc154747769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obtained by dishonoured cheque is void</w:t>
      </w:r>
      <w:r>
        <w:tab/>
      </w:r>
      <w:r>
        <w:fldChar w:fldCharType="begin"/>
      </w:r>
      <w:r>
        <w:instrText xml:space="preserve"> PAGEREF _Toc154747770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Refund of registration fees</w:t>
      </w:r>
      <w:r>
        <w:tab/>
      </w:r>
      <w:r>
        <w:fldChar w:fldCharType="begin"/>
      </w:r>
      <w:r>
        <w:instrText xml:space="preserve"> PAGEREF _Toc154747771 \h </w:instrText>
      </w:r>
      <w:r>
        <w:fldChar w:fldCharType="separate"/>
      </w:r>
      <w:r>
        <w:t>35</w:t>
      </w:r>
      <w:r>
        <w:fldChar w:fldCharType="end"/>
      </w:r>
    </w:p>
    <w:p>
      <w:pPr>
        <w:pStyle w:val="TOC8"/>
        <w:rPr>
          <w:rFonts w:asciiTheme="minorHAnsi" w:eastAsiaTheme="minorEastAsia" w:hAnsiTheme="minorHAnsi" w:cstheme="minorBidi"/>
          <w:szCs w:val="22"/>
        </w:rPr>
      </w:pPr>
      <w:r>
        <w:t>32A.</w:t>
      </w:r>
      <w:r>
        <w:tab/>
        <w:t>Nominated owner of vehicle, cancelling and changing</w:t>
      </w:r>
      <w:r>
        <w:tab/>
      </w:r>
      <w:r>
        <w:fldChar w:fldCharType="begin"/>
      </w:r>
      <w:r>
        <w:instrText xml:space="preserve"> PAGEREF _Toc154747772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by SAT of decision on registration</w:t>
      </w:r>
      <w:r>
        <w:tab/>
      </w:r>
      <w:r>
        <w:fldChar w:fldCharType="begin"/>
      </w:r>
      <w:r>
        <w:instrText xml:space="preserve"> PAGEREF _Toc154747773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Number plate to be displayed</w:t>
      </w:r>
      <w:r>
        <w:tab/>
      </w:r>
      <w:r>
        <w:fldChar w:fldCharType="begin"/>
      </w:r>
      <w:r>
        <w:instrText xml:space="preserve"> PAGEREF _Toc154747774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Other offences concerning number plates</w:t>
      </w:r>
      <w:r>
        <w:tab/>
      </w:r>
      <w:r>
        <w:fldChar w:fldCharType="begin"/>
      </w:r>
      <w:r>
        <w:instrText xml:space="preserve"> PAGEREF _Toc154747775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Road law provisions</w:t>
      </w:r>
      <w:r>
        <w:tab/>
      </w:r>
      <w:r>
        <w:fldChar w:fldCharType="begin"/>
      </w:r>
      <w:r>
        <w:instrText xml:space="preserve"> PAGEREF _Toc154747776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Infringement notices</w:t>
      </w:r>
      <w:r>
        <w:tab/>
      </w:r>
      <w:r>
        <w:fldChar w:fldCharType="begin"/>
      </w:r>
      <w:r>
        <w:instrText xml:space="preserve"> PAGEREF _Toc154747777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Authorised persons</w:t>
      </w:r>
      <w:r>
        <w:tab/>
      </w:r>
      <w:r>
        <w:fldChar w:fldCharType="begin"/>
      </w:r>
      <w:r>
        <w:instrText xml:space="preserve"> PAGEREF _Toc154747778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prosecutions</w:t>
      </w:r>
      <w:r>
        <w:tab/>
      </w:r>
      <w:r>
        <w:fldChar w:fldCharType="begin"/>
      </w:r>
      <w:r>
        <w:instrText xml:space="preserve"> PAGEREF _Toc154747779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Prosecutions, who may commence</w:t>
      </w:r>
      <w:r>
        <w:tab/>
      </w:r>
      <w:r>
        <w:fldChar w:fldCharType="begin"/>
      </w:r>
      <w:r>
        <w:instrText xml:space="preserve"> PAGEREF _Toc154747780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penalty</w:t>
      </w:r>
      <w:r>
        <w:tab/>
      </w:r>
      <w:r>
        <w:fldChar w:fldCharType="begin"/>
      </w:r>
      <w:r>
        <w:instrText xml:space="preserve"> PAGEREF _Toc154747781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Detention of vehicles, court may order</w:t>
      </w:r>
      <w:r>
        <w:tab/>
      </w:r>
      <w:r>
        <w:fldChar w:fldCharType="begin"/>
      </w:r>
      <w:r>
        <w:instrText xml:space="preserve"> PAGEREF _Toc154747782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Expenses of this Act, appropriation of penalties etc.</w:t>
      </w:r>
      <w:r>
        <w:tab/>
      </w:r>
      <w:r>
        <w:fldChar w:fldCharType="begin"/>
      </w:r>
      <w:r>
        <w:instrText xml:space="preserve"> PAGEREF _Toc154747783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Regulations that operate as local laws, Governor may make</w:t>
      </w:r>
      <w:r>
        <w:tab/>
      </w:r>
      <w:r>
        <w:fldChar w:fldCharType="begin"/>
      </w:r>
      <w:r>
        <w:instrText xml:space="preserve"> PAGEREF _Toc154747784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laws, local government may make</w:t>
      </w:r>
      <w:r>
        <w:tab/>
      </w:r>
      <w:r>
        <w:fldChar w:fldCharType="begin"/>
      </w:r>
      <w:r>
        <w:instrText xml:space="preserve"> PAGEREF _Toc154747785 \h </w:instrText>
      </w:r>
      <w:r>
        <w:fldChar w:fldCharType="separate"/>
      </w:r>
      <w:r>
        <w:t>51</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Model local laws, Governor may make</w:t>
      </w:r>
      <w:r>
        <w:tab/>
      </w:r>
      <w:r>
        <w:fldChar w:fldCharType="begin"/>
      </w:r>
      <w:r>
        <w:instrText xml:space="preserve"> PAGEREF _Toc154747786 \h </w:instrText>
      </w:r>
      <w:r>
        <w:fldChar w:fldCharType="separate"/>
      </w:r>
      <w:r>
        <w:t>51</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Local laws, Governor may amend or repeal</w:t>
      </w:r>
      <w:r>
        <w:tab/>
      </w:r>
      <w:r>
        <w:fldChar w:fldCharType="begin"/>
      </w:r>
      <w:r>
        <w:instrText xml:space="preserve"> PAGEREF _Toc154747787 \h </w:instrText>
      </w:r>
      <w:r>
        <w:fldChar w:fldCharType="separate"/>
      </w:r>
      <w:r>
        <w:t>51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and local laws, general</w:t>
      </w:r>
      <w:r>
        <w:tab/>
      </w:r>
      <w:r>
        <w:fldChar w:fldCharType="begin"/>
      </w:r>
      <w:r>
        <w:instrText xml:space="preserve"> PAGEREF _Toc154747788 \h </w:instrText>
      </w:r>
      <w:r>
        <w:fldChar w:fldCharType="separate"/>
      </w:r>
      <w:r>
        <w:t>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Local laws and local planning schemes, Governor may revoke or amend</w:t>
      </w:r>
      <w:r>
        <w:tab/>
      </w:r>
      <w:r>
        <w:fldChar w:fldCharType="begin"/>
      </w:r>
      <w:r>
        <w:instrText xml:space="preserve"> PAGEREF _Toc154747789 \h </w:instrText>
      </w:r>
      <w:r>
        <w:fldChar w:fldCharType="separate"/>
      </w:r>
      <w:r>
        <w:t>53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_Toc154747790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49.</w:t>
      </w:r>
      <w:r>
        <w:tab/>
        <w:t xml:space="preserve">Transitional provision for </w:t>
      </w:r>
      <w:r>
        <w:rPr>
          <w:i/>
        </w:rPr>
        <w:t>Local Government Legislation Amendment Act 2019</w:t>
      </w:r>
      <w:r>
        <w:tab/>
      </w:r>
      <w:r>
        <w:fldChar w:fldCharType="begin"/>
      </w:r>
      <w:r>
        <w:instrText xml:space="preserve"> PAGEREF _Toc154747791 \h </w:instrText>
      </w:r>
      <w:r>
        <w:fldChar w:fldCharType="separate"/>
      </w:r>
      <w:r>
        <w:t>54</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_Toc154747793 \h </w:instrText>
      </w:r>
      <w:r>
        <w:fldChar w:fldCharType="separate"/>
      </w:r>
      <w:r>
        <w:t>55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_Toc154747794 \h </w:instrText>
      </w:r>
      <w:r>
        <w:fldChar w:fldCharType="separate"/>
      </w:r>
      <w:r>
        <w:t>58</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_Toc154747795 \h </w:instrText>
      </w:r>
      <w:r>
        <w:fldChar w:fldCharType="separate"/>
      </w:r>
      <w:r>
        <w:t>59</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3" w:name="_Toc154747735"/>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15474773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5" w:name="_Toc154747737"/>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w:t>
      </w:r>
      <w:r>
        <w:lastRenderedPageBreak/>
        <w:t>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6" w:name="_Toc154747738"/>
      <w:r>
        <w:rPr>
          <w:rStyle w:val="CharSectno"/>
        </w:rPr>
        <w:t>4</w:t>
      </w:r>
      <w:r>
        <w:rPr>
          <w:snapToGrid w:val="0"/>
        </w:rPr>
        <w:t>.</w:t>
      </w:r>
      <w:r>
        <w:rPr>
          <w:snapToGrid w:val="0"/>
        </w:rPr>
        <w:tab/>
        <w:t>Application of this Act</w:t>
      </w:r>
      <w:bookmarkEnd w:id="6"/>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7" w:name="_Toc154747739"/>
      <w:r>
        <w:rPr>
          <w:rStyle w:val="CharSectno"/>
        </w:rPr>
        <w:t>4A</w:t>
      </w:r>
      <w:r>
        <w:t>.</w:t>
      </w:r>
      <w:r>
        <w:tab/>
        <w:t>Delegation by Director General</w:t>
      </w:r>
      <w:bookmarkEnd w:id="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lastRenderedPageBreak/>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8" w:name="_Toc154747740"/>
      <w:r>
        <w:rPr>
          <w:rStyle w:val="CharSectno"/>
        </w:rPr>
        <w:t>4B</w:t>
      </w:r>
      <w:r>
        <w:t>.</w:t>
      </w:r>
      <w:r>
        <w:tab/>
        <w:t>Agreements for performance of Director General’s functions by others</w:t>
      </w:r>
      <w:bookmarkEnd w:id="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lastRenderedPageBreak/>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9" w:name="_Toc154747741"/>
      <w:r>
        <w:rPr>
          <w:rStyle w:val="CharSectno"/>
        </w:rPr>
        <w:t>5</w:t>
      </w:r>
      <w:r>
        <w:rPr>
          <w:snapToGrid w:val="0"/>
        </w:rPr>
        <w:t>.</w:t>
      </w:r>
      <w:r>
        <w:rPr>
          <w:snapToGrid w:val="0"/>
        </w:rPr>
        <w:tab/>
        <w:t>Local government’s functions</w:t>
      </w:r>
      <w:bookmarkEnd w:id="9"/>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lastRenderedPageBreak/>
        <w:tab/>
        <w:t>[Section 5 amended: No. 106 of 1981 s. 32 and 34; No. 14 of 1996 s. 4; No. 76 of 1996 s. 27; No. 7 of 2002 s. 6; No. 16 of 2019 s. 101.]</w:t>
      </w:r>
    </w:p>
    <w:p>
      <w:pPr>
        <w:pStyle w:val="Heading5"/>
        <w:rPr>
          <w:snapToGrid w:val="0"/>
        </w:rPr>
      </w:pPr>
      <w:bookmarkStart w:id="10" w:name="_Toc154747742"/>
      <w:r>
        <w:rPr>
          <w:rStyle w:val="CharSectno"/>
        </w:rPr>
        <w:t>6</w:t>
      </w:r>
      <w:r>
        <w:rPr>
          <w:snapToGrid w:val="0"/>
        </w:rPr>
        <w:t>.</w:t>
      </w:r>
      <w:r>
        <w:rPr>
          <w:snapToGrid w:val="0"/>
        </w:rPr>
        <w:tab/>
        <w:t>Driving and using off</w:t>
      </w:r>
      <w:r>
        <w:rPr>
          <w:snapToGrid w:val="0"/>
        </w:rPr>
        <w:noBreakHyphen/>
        <w:t>road vehicles, offences</w:t>
      </w:r>
      <w:bookmarkEnd w:id="10"/>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lastRenderedPageBreak/>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1" w:name="_Toc154747743"/>
      <w:r>
        <w:rPr>
          <w:rStyle w:val="CharSectno"/>
        </w:rPr>
        <w:t>7</w:t>
      </w:r>
      <w:r>
        <w:rPr>
          <w:snapToGrid w:val="0"/>
        </w:rPr>
        <w:t>.</w:t>
      </w:r>
      <w:r>
        <w:rPr>
          <w:snapToGrid w:val="0"/>
        </w:rPr>
        <w:tab/>
        <w:t>Some vehicles to be registered under this Act</w:t>
      </w:r>
      <w:bookmarkEnd w:id="1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12" w:name="_Toc154747744"/>
      <w:r>
        <w:rPr>
          <w:rStyle w:val="CharSectno"/>
        </w:rPr>
        <w:lastRenderedPageBreak/>
        <w:t>8</w:t>
      </w:r>
      <w:r>
        <w:rPr>
          <w:snapToGrid w:val="0"/>
        </w:rPr>
        <w:t>.</w:t>
      </w:r>
      <w:r>
        <w:rPr>
          <w:snapToGrid w:val="0"/>
        </w:rPr>
        <w:tab/>
        <w:t>Exceptions to s. 6(1) and (2), 9A, 9B and 9C</w:t>
      </w:r>
      <w:bookmarkEnd w:id="12"/>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keepNext/>
        <w:keepLines/>
        <w:rPr>
          <w:snapToGrid w:val="0"/>
        </w:rPr>
      </w:pPr>
      <w:r>
        <w:rPr>
          <w:snapToGrid w:val="0"/>
        </w:rPr>
        <w:lastRenderedPageBreak/>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13" w:name="_Toc154747745"/>
      <w:r>
        <w:rPr>
          <w:rStyle w:val="CharSectno"/>
        </w:rPr>
        <w:t>9</w:t>
      </w:r>
      <w:r>
        <w:rPr>
          <w:snapToGrid w:val="0"/>
        </w:rPr>
        <w:t>.</w:t>
      </w:r>
      <w:r>
        <w:rPr>
          <w:snapToGrid w:val="0"/>
        </w:rPr>
        <w:tab/>
        <w:t>Dangerous vehicles not to be driven etc.</w:t>
      </w:r>
      <w:bookmarkEnd w:id="13"/>
    </w:p>
    <w:p>
      <w:pPr>
        <w:pStyle w:val="Subsection"/>
        <w:rPr>
          <w:snapToGrid w:val="0"/>
        </w:rPr>
      </w:pPr>
      <w:r>
        <w:rPr>
          <w:snapToGrid w:val="0"/>
        </w:rPr>
        <w:tab/>
      </w:r>
      <w:r>
        <w:rPr>
          <w:snapToGrid w:val="0"/>
        </w:rPr>
        <w:tab/>
        <w:t xml:space="preserve">A person shall not drive or use on any land to which this Act applies any vehicle so constructed or in such a condition as to be </w:t>
      </w:r>
      <w:r>
        <w:rPr>
          <w:snapToGrid w:val="0"/>
        </w:rPr>
        <w:lastRenderedPageBreak/>
        <w:t>likely to occasion danger to any person or damage to any property.</w:t>
      </w:r>
    </w:p>
    <w:p>
      <w:pPr>
        <w:pStyle w:val="Penstart"/>
        <w:rPr>
          <w:snapToGrid w:val="0"/>
        </w:rPr>
      </w:pPr>
      <w:r>
        <w:rPr>
          <w:snapToGrid w:val="0"/>
        </w:rPr>
        <w:tab/>
        <w:t>Penalty: $500.</w:t>
      </w:r>
    </w:p>
    <w:p>
      <w:pPr>
        <w:pStyle w:val="Heading5"/>
        <w:rPr>
          <w:snapToGrid w:val="0"/>
        </w:rPr>
      </w:pPr>
      <w:bookmarkStart w:id="14" w:name="_Toc154747746"/>
      <w:r>
        <w:rPr>
          <w:rStyle w:val="CharSectno"/>
        </w:rPr>
        <w:t>9A</w:t>
      </w:r>
      <w:r>
        <w:rPr>
          <w:snapToGrid w:val="0"/>
        </w:rPr>
        <w:t>.</w:t>
      </w:r>
      <w:r>
        <w:rPr>
          <w:snapToGrid w:val="0"/>
        </w:rPr>
        <w:tab/>
        <w:t>Seat belt requirements for vehicles</w:t>
      </w:r>
      <w:bookmarkEnd w:id="14"/>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15" w:name="_Toc154747747"/>
      <w:r>
        <w:rPr>
          <w:rStyle w:val="CharSectno"/>
        </w:rPr>
        <w:t>9B</w:t>
      </w:r>
      <w:r>
        <w:rPr>
          <w:snapToGrid w:val="0"/>
        </w:rPr>
        <w:t>.</w:t>
      </w:r>
      <w:r>
        <w:rPr>
          <w:snapToGrid w:val="0"/>
        </w:rPr>
        <w:tab/>
        <w:t>Seat belt requirements for people in vehicles</w:t>
      </w:r>
      <w:bookmarkEnd w:id="15"/>
    </w:p>
    <w:p>
      <w:pPr>
        <w:pStyle w:val="Subsection"/>
        <w:spacing w:before="120"/>
        <w:rPr>
          <w:snapToGrid w:val="0"/>
        </w:rPr>
      </w:pPr>
      <w:r>
        <w:rPr>
          <w:snapToGrid w:val="0"/>
        </w:rPr>
        <w:tab/>
        <w:t>(1)</w:t>
      </w:r>
      <w:r>
        <w:rPr>
          <w:snapToGrid w:val="0"/>
        </w:rPr>
        <w:tab/>
        <w:t xml:space="preserve">A person shall not, while occupying a seat position in a motor vehicle to which this section applies and to which a seat belt has been fitted for that seat position, drive or travel as a passenger in an area to which this section applies unless he is wearing that </w:t>
      </w:r>
      <w:r>
        <w:rPr>
          <w:snapToGrid w:val="0"/>
        </w:rPr>
        <w:lastRenderedPageBreak/>
        <w:t>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lastRenderedPageBreak/>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16" w:name="_Toc154747748"/>
      <w:r>
        <w:rPr>
          <w:rStyle w:val="CharSectno"/>
        </w:rPr>
        <w:t>9C</w:t>
      </w:r>
      <w:r>
        <w:rPr>
          <w:snapToGrid w:val="0"/>
        </w:rPr>
        <w:t>.</w:t>
      </w:r>
      <w:r>
        <w:rPr>
          <w:snapToGrid w:val="0"/>
        </w:rPr>
        <w:tab/>
        <w:t>Motor cycle helmet requirements</w:t>
      </w:r>
      <w:bookmarkEnd w:id="1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17" w:name="_Toc154747749"/>
      <w:r>
        <w:rPr>
          <w:rStyle w:val="CharSectno"/>
        </w:rPr>
        <w:lastRenderedPageBreak/>
        <w:t>10</w:t>
      </w:r>
      <w:r>
        <w:rPr>
          <w:snapToGrid w:val="0"/>
        </w:rPr>
        <w:t>.</w:t>
      </w:r>
      <w:r>
        <w:rPr>
          <w:snapToGrid w:val="0"/>
        </w:rPr>
        <w:tab/>
        <w:t>Minimum age for drivers</w:t>
      </w:r>
      <w:bookmarkEnd w:id="17"/>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18" w:name="_Toc154747750"/>
      <w:r>
        <w:rPr>
          <w:rStyle w:val="CharSectno"/>
        </w:rPr>
        <w:t>12</w:t>
      </w:r>
      <w:r>
        <w:rPr>
          <w:snapToGrid w:val="0"/>
        </w:rPr>
        <w:t>.</w:t>
      </w:r>
      <w:r>
        <w:rPr>
          <w:snapToGrid w:val="0"/>
        </w:rPr>
        <w:tab/>
        <w:t>Permitted areas, declaring etc.</w:t>
      </w:r>
      <w:bookmarkEnd w:id="18"/>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19" w:name="_Toc154747751"/>
      <w:r>
        <w:rPr>
          <w:rStyle w:val="CharSectno"/>
        </w:rPr>
        <w:t>13</w:t>
      </w:r>
      <w:r>
        <w:rPr>
          <w:snapToGrid w:val="0"/>
        </w:rPr>
        <w:t>.</w:t>
      </w:r>
      <w:r>
        <w:rPr>
          <w:snapToGrid w:val="0"/>
        </w:rPr>
        <w:tab/>
        <w:t>Permitted areas, declaring before 6 Jan 1980</w:t>
      </w:r>
      <w:bookmarkEnd w:id="19"/>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lastRenderedPageBreak/>
        <w:tab/>
        <w:t>[Section 13 amended: No. 14 of 1996 s. 4.]</w:t>
      </w:r>
    </w:p>
    <w:p>
      <w:pPr>
        <w:pStyle w:val="Heading5"/>
        <w:spacing w:before="240"/>
        <w:rPr>
          <w:snapToGrid w:val="0"/>
        </w:rPr>
      </w:pPr>
      <w:bookmarkStart w:id="20" w:name="_Toc154747752"/>
      <w:r>
        <w:rPr>
          <w:rStyle w:val="CharSectno"/>
        </w:rPr>
        <w:t>14</w:t>
      </w:r>
      <w:r>
        <w:rPr>
          <w:snapToGrid w:val="0"/>
        </w:rPr>
        <w:t>.</w:t>
      </w:r>
      <w:r>
        <w:rPr>
          <w:snapToGrid w:val="0"/>
        </w:rPr>
        <w:tab/>
        <w:t>Private land may be declared to be a permitted area</w:t>
      </w:r>
      <w:bookmarkEnd w:id="20"/>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21" w:name="_Toc154747753"/>
      <w:r>
        <w:rPr>
          <w:rStyle w:val="CharSectno"/>
        </w:rPr>
        <w:t>15</w:t>
      </w:r>
      <w:r>
        <w:rPr>
          <w:snapToGrid w:val="0"/>
        </w:rPr>
        <w:t>.</w:t>
      </w:r>
      <w:r>
        <w:rPr>
          <w:snapToGrid w:val="0"/>
        </w:rPr>
        <w:tab/>
        <w:t>Permitted area, temporary closure of</w:t>
      </w:r>
      <w:bookmarkEnd w:id="2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22" w:name="_Toc154747754"/>
      <w:r>
        <w:rPr>
          <w:rStyle w:val="CharSectno"/>
        </w:rPr>
        <w:t>16</w:t>
      </w:r>
      <w:r>
        <w:rPr>
          <w:snapToGrid w:val="0"/>
        </w:rPr>
        <w:t>.</w:t>
      </w:r>
      <w:r>
        <w:rPr>
          <w:snapToGrid w:val="0"/>
        </w:rPr>
        <w:tab/>
        <w:t>Prohibited areas, establishing etc.</w:t>
      </w:r>
      <w:bookmarkEnd w:id="2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lastRenderedPageBreak/>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lastRenderedPageBreak/>
        <w:tab/>
        <w:t>(c)</w:t>
      </w:r>
      <w:r>
        <w:rPr>
          <w:snapToGrid w:val="0"/>
        </w:rPr>
        <w:tab/>
        <w:t>the proximity of any land used for residential purposes, or for purposes likely to be incompatible with the use of vehicles in the vicinity; or</w:t>
      </w:r>
    </w:p>
    <w:p>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pPr>
        <w:pStyle w:val="Footnotesection"/>
      </w:pPr>
      <w:r>
        <w:tab/>
        <w:t>[Section 16 amended: No. 12 of 1985 s. 6; No. 38 of 2005 s. 15; No. 28 of 2010 s. 29; No. 45 of 2020 s. 97.]</w:t>
      </w:r>
    </w:p>
    <w:p>
      <w:pPr>
        <w:pStyle w:val="Heading5"/>
        <w:rPr>
          <w:snapToGrid w:val="0"/>
        </w:rPr>
      </w:pPr>
      <w:bookmarkStart w:id="23" w:name="_Toc154747755"/>
      <w:r>
        <w:rPr>
          <w:rStyle w:val="CharSectno"/>
        </w:rPr>
        <w:t>17</w:t>
      </w:r>
      <w:r>
        <w:rPr>
          <w:snapToGrid w:val="0"/>
        </w:rPr>
        <w:t>.</w:t>
      </w:r>
      <w:r>
        <w:rPr>
          <w:snapToGrid w:val="0"/>
        </w:rPr>
        <w:tab/>
        <w:t>Advisory Committee, establishment and functions of</w:t>
      </w:r>
      <w:bookmarkEnd w:id="23"/>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lastRenderedPageBreak/>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24" w:name="_Toc154747756"/>
      <w:r>
        <w:rPr>
          <w:rStyle w:val="CharSectno"/>
        </w:rPr>
        <w:t>18</w:t>
      </w:r>
      <w:r>
        <w:rPr>
          <w:snapToGrid w:val="0"/>
        </w:rPr>
        <w:t>.</w:t>
      </w:r>
      <w:r>
        <w:rPr>
          <w:snapToGrid w:val="0"/>
        </w:rPr>
        <w:tab/>
        <w:t>Committee’s functions as to permitted areas, prohibited areas, and use of vehicles</w:t>
      </w:r>
      <w:bookmarkEnd w:id="24"/>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lastRenderedPageBreak/>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lastRenderedPageBreak/>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25" w:name="_Toc154747757"/>
      <w:r>
        <w:rPr>
          <w:rStyle w:val="CharSectno"/>
        </w:rPr>
        <w:t>19</w:t>
      </w:r>
      <w:r>
        <w:rPr>
          <w:snapToGrid w:val="0"/>
        </w:rPr>
        <w:t>.</w:t>
      </w:r>
      <w:r>
        <w:rPr>
          <w:snapToGrid w:val="0"/>
        </w:rPr>
        <w:tab/>
        <w:t>Permitted and prohibited areas, identifying</w:t>
      </w:r>
      <w:bookmarkEnd w:id="25"/>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lastRenderedPageBreak/>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26" w:name="_Toc154747758"/>
      <w:r>
        <w:rPr>
          <w:rStyle w:val="CharSectno"/>
        </w:rPr>
        <w:t>20</w:t>
      </w:r>
      <w:r>
        <w:rPr>
          <w:snapToGrid w:val="0"/>
        </w:rPr>
        <w:t>.</w:t>
      </w:r>
      <w:r>
        <w:rPr>
          <w:snapToGrid w:val="0"/>
        </w:rPr>
        <w:tab/>
        <w:t>Permitted areas and prohibited areas, application of to vehicles and effect of</w:t>
      </w:r>
      <w:bookmarkEnd w:id="26"/>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lastRenderedPageBreak/>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 xml:space="preserve">Regulations and local laws made under this Act may make provision for the control of vehicles in a permitted area and for the safety and obligations of persons who use vehicles in the </w:t>
      </w:r>
      <w:r>
        <w:rPr>
          <w:snapToGrid w:val="0"/>
        </w:rPr>
        <w:lastRenderedPageBreak/>
        <w:t>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27" w:name="_Toc154747759"/>
      <w:r>
        <w:rPr>
          <w:rStyle w:val="CharSectno"/>
        </w:rPr>
        <w:t>21</w:t>
      </w:r>
      <w:r>
        <w:rPr>
          <w:snapToGrid w:val="0"/>
        </w:rPr>
        <w:t>.</w:t>
      </w:r>
      <w:r>
        <w:rPr>
          <w:snapToGrid w:val="0"/>
        </w:rPr>
        <w:tab/>
        <w:t>Advisory Committee, members and procedure of etc.</w:t>
      </w:r>
      <w:bookmarkEnd w:id="27"/>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lastRenderedPageBreak/>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xml:space="preserve">, applies, may be paid such remuneration or allowances as the Minister from time to time determines, and any member </w:t>
      </w:r>
      <w:r>
        <w:rPr>
          <w:snapToGrid w:val="0"/>
        </w:rPr>
        <w:lastRenderedPageBreak/>
        <w:t>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lastRenderedPageBreak/>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28" w:name="_Toc154747760"/>
      <w:r>
        <w:rPr>
          <w:rStyle w:val="CharSectno"/>
        </w:rPr>
        <w:t>23</w:t>
      </w:r>
      <w:r>
        <w:rPr>
          <w:snapToGrid w:val="0"/>
        </w:rPr>
        <w:t>.</w:t>
      </w:r>
      <w:r>
        <w:rPr>
          <w:snapToGrid w:val="0"/>
        </w:rPr>
        <w:tab/>
        <w:t>Nominations of candidates for Advisory Committee, Minister may request</w:t>
      </w:r>
      <w:bookmarkEnd w:id="28"/>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9" w:name="_Toc154747761"/>
      <w:r>
        <w:rPr>
          <w:rStyle w:val="CharSectno"/>
        </w:rPr>
        <w:t>24</w:t>
      </w:r>
      <w:r>
        <w:rPr>
          <w:snapToGrid w:val="0"/>
        </w:rPr>
        <w:t>.</w:t>
      </w:r>
      <w:r>
        <w:rPr>
          <w:snapToGrid w:val="0"/>
        </w:rPr>
        <w:tab/>
        <w:t>Deputies of members, appointing etc.</w:t>
      </w:r>
      <w:bookmarkEnd w:id="29"/>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 xml:space="preserve">If at any time the office of a member becomes vacant, the person who is at that time the deputy of that member is, until the office of that member is filled by the appointment of another </w:t>
      </w:r>
      <w:r>
        <w:rPr>
          <w:snapToGrid w:val="0"/>
        </w:rPr>
        <w:lastRenderedPageBreak/>
        <w:t>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30" w:name="_Toc154747762"/>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30"/>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31" w:name="_Toc154747763"/>
      <w:r>
        <w:rPr>
          <w:rStyle w:val="CharSectno"/>
        </w:rPr>
        <w:t>26</w:t>
      </w:r>
      <w:r>
        <w:rPr>
          <w:snapToGrid w:val="0"/>
        </w:rPr>
        <w:t>.</w:t>
      </w:r>
      <w:r>
        <w:rPr>
          <w:snapToGrid w:val="0"/>
        </w:rPr>
        <w:tab/>
        <w:t>Advisory Committee, departments etc. may assist</w:t>
      </w:r>
      <w:bookmarkEnd w:id="31"/>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lastRenderedPageBreak/>
        <w:tab/>
        <w:t>[Section 26 amended: No. 14 of 1996 s. 4.]</w:t>
      </w:r>
    </w:p>
    <w:p>
      <w:pPr>
        <w:pStyle w:val="Heading5"/>
        <w:rPr>
          <w:snapToGrid w:val="0"/>
        </w:rPr>
      </w:pPr>
      <w:bookmarkStart w:id="32" w:name="_Toc154747764"/>
      <w:r>
        <w:rPr>
          <w:rStyle w:val="CharSectno"/>
        </w:rPr>
        <w:t>27</w:t>
      </w:r>
      <w:r>
        <w:rPr>
          <w:snapToGrid w:val="0"/>
        </w:rPr>
        <w:t>.</w:t>
      </w:r>
      <w:r>
        <w:rPr>
          <w:snapToGrid w:val="0"/>
        </w:rPr>
        <w:tab/>
        <w:t>Sub</w:t>
      </w:r>
      <w:r>
        <w:rPr>
          <w:snapToGrid w:val="0"/>
        </w:rPr>
        <w:noBreakHyphen/>
        <w:t>committees, appointing</w:t>
      </w:r>
      <w:bookmarkEnd w:id="32"/>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33" w:name="_Toc154747765"/>
      <w:r>
        <w:rPr>
          <w:rStyle w:val="CharSectno"/>
        </w:rPr>
        <w:t>28</w:t>
      </w:r>
      <w:r>
        <w:rPr>
          <w:snapToGrid w:val="0"/>
        </w:rPr>
        <w:t>.</w:t>
      </w:r>
      <w:r>
        <w:rPr>
          <w:snapToGrid w:val="0"/>
        </w:rPr>
        <w:tab/>
        <w:t>Registration of vehicles, generally</w:t>
      </w:r>
      <w:bookmarkEnd w:id="33"/>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 xml:space="preserve">Where it appears to the Director General that any vehicle registered under this Act is so constructed or in such condition that it is likely to occasion danger to any person or damage to property, the registration of that vehicle may be suspended by a </w:t>
      </w:r>
      <w:r>
        <w:rPr>
          <w:snapToGrid w:val="0"/>
        </w:rPr>
        <w:lastRenderedPageBreak/>
        <w:t>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34" w:name="_Toc154747766"/>
      <w:r>
        <w:rPr>
          <w:rStyle w:val="CharSectno"/>
        </w:rPr>
        <w:t>28A</w:t>
      </w:r>
      <w:r>
        <w:t>.</w:t>
      </w:r>
      <w:r>
        <w:tab/>
        <w:t>Applying for registration etc. of vehicle</w:t>
      </w:r>
      <w:bookmarkEnd w:id="34"/>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lastRenderedPageBreak/>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35" w:name="_Toc154747767"/>
      <w:r>
        <w:rPr>
          <w:rStyle w:val="CharSectno"/>
        </w:rPr>
        <w:t>29</w:t>
      </w:r>
      <w:r>
        <w:rPr>
          <w:snapToGrid w:val="0"/>
        </w:rPr>
        <w:t>.</w:t>
      </w:r>
      <w:r>
        <w:rPr>
          <w:snapToGrid w:val="0"/>
        </w:rPr>
        <w:tab/>
        <w:t>Registration procedure</w:t>
      </w:r>
      <w:bookmarkEnd w:id="35"/>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lastRenderedPageBreak/>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36" w:name="_Toc154747768"/>
      <w:r>
        <w:rPr>
          <w:rStyle w:val="CharSectno"/>
        </w:rPr>
        <w:t>29A</w:t>
      </w:r>
      <w:r>
        <w:t>.</w:t>
      </w:r>
      <w:r>
        <w:tab/>
        <w:t>Transfer of vehicle registration</w:t>
      </w:r>
      <w:bookmarkEnd w:id="36"/>
    </w:p>
    <w:p>
      <w:pPr>
        <w:pStyle w:val="Subsection"/>
      </w:pPr>
      <w:r>
        <w:tab/>
        <w:t>(1)</w:t>
      </w:r>
      <w:r>
        <w:tab/>
        <w:t>Where a person to whom a certificate of registration of a vehicle has been granted ceases to be the owner of the vehicle, the person shall —</w:t>
      </w:r>
    </w:p>
    <w:p>
      <w:pPr>
        <w:pStyle w:val="Indenta"/>
      </w:pPr>
      <w:r>
        <w:lastRenderedPageBreak/>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lastRenderedPageBreak/>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37" w:name="_Toc154747769"/>
      <w:r>
        <w:rPr>
          <w:rStyle w:val="CharSectno"/>
        </w:rPr>
        <w:t>30</w:t>
      </w:r>
      <w:r>
        <w:rPr>
          <w:snapToGrid w:val="0"/>
        </w:rPr>
        <w:t>.</w:t>
      </w:r>
      <w:r>
        <w:rPr>
          <w:snapToGrid w:val="0"/>
        </w:rPr>
        <w:tab/>
        <w:t>Fees for registration, reductions in, refunds of etc.</w:t>
      </w:r>
      <w:bookmarkEnd w:id="37"/>
    </w:p>
    <w:p>
      <w:pPr>
        <w:pStyle w:val="Subsection"/>
        <w:rPr>
          <w:snapToGrid w:val="0"/>
        </w:rPr>
      </w:pPr>
      <w:r>
        <w:rPr>
          <w:snapToGrid w:val="0"/>
        </w:rPr>
        <w:tab/>
        <w:t>(1)</w:t>
      </w:r>
      <w:r>
        <w:rPr>
          <w:snapToGrid w:val="0"/>
        </w:rPr>
        <w:tab/>
        <w:t xml:space="preserve">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w:t>
      </w:r>
      <w:r>
        <w:rPr>
          <w:snapToGrid w:val="0"/>
        </w:rPr>
        <w:lastRenderedPageBreak/>
        <w:t>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38" w:name="_Toc154747770"/>
      <w:r>
        <w:rPr>
          <w:rStyle w:val="CharSectno"/>
        </w:rPr>
        <w:t>31</w:t>
      </w:r>
      <w:r>
        <w:rPr>
          <w:snapToGrid w:val="0"/>
        </w:rPr>
        <w:t>.</w:t>
      </w:r>
      <w:r>
        <w:rPr>
          <w:snapToGrid w:val="0"/>
        </w:rPr>
        <w:tab/>
        <w:t>Registration obtained by dishonoured cheque is void</w:t>
      </w:r>
      <w:bookmarkEnd w:id="38"/>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lastRenderedPageBreak/>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39" w:name="_Toc154747771"/>
      <w:r>
        <w:rPr>
          <w:rStyle w:val="CharSectno"/>
        </w:rPr>
        <w:t>32</w:t>
      </w:r>
      <w:r>
        <w:rPr>
          <w:snapToGrid w:val="0"/>
        </w:rPr>
        <w:t>.</w:t>
      </w:r>
      <w:r>
        <w:rPr>
          <w:snapToGrid w:val="0"/>
        </w:rPr>
        <w:tab/>
        <w:t>Refund of registration fees</w:t>
      </w:r>
      <w:bookmarkEnd w:id="39"/>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40" w:name="_Toc154747772"/>
      <w:r>
        <w:rPr>
          <w:rStyle w:val="CharSectno"/>
        </w:rPr>
        <w:t>32A</w:t>
      </w:r>
      <w:r>
        <w:t>.</w:t>
      </w:r>
      <w:r>
        <w:tab/>
        <w:t>Nominated owner of vehicle, cancelling and changing</w:t>
      </w:r>
      <w:bookmarkEnd w:id="40"/>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lastRenderedPageBreak/>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41" w:name="_Toc154747773"/>
      <w:r>
        <w:rPr>
          <w:rStyle w:val="CharSectno"/>
        </w:rPr>
        <w:t>33</w:t>
      </w:r>
      <w:r>
        <w:rPr>
          <w:snapToGrid w:val="0"/>
        </w:rPr>
        <w:t>.</w:t>
      </w:r>
      <w:r>
        <w:rPr>
          <w:snapToGrid w:val="0"/>
        </w:rPr>
        <w:tab/>
        <w:t>Review by SAT of decision on registration</w:t>
      </w:r>
      <w:bookmarkEnd w:id="41"/>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42" w:name="_Toc154747774"/>
      <w:r>
        <w:rPr>
          <w:rStyle w:val="CharSectno"/>
        </w:rPr>
        <w:t>34</w:t>
      </w:r>
      <w:r>
        <w:rPr>
          <w:snapToGrid w:val="0"/>
        </w:rPr>
        <w:t>.</w:t>
      </w:r>
      <w:r>
        <w:rPr>
          <w:snapToGrid w:val="0"/>
        </w:rPr>
        <w:tab/>
        <w:t>Number plate to be displayed</w:t>
      </w:r>
      <w:bookmarkEnd w:id="42"/>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43" w:name="_Toc154747775"/>
      <w:r>
        <w:rPr>
          <w:rStyle w:val="CharSectno"/>
        </w:rPr>
        <w:lastRenderedPageBreak/>
        <w:t>35</w:t>
      </w:r>
      <w:r>
        <w:rPr>
          <w:snapToGrid w:val="0"/>
        </w:rPr>
        <w:t>.</w:t>
      </w:r>
      <w:r>
        <w:rPr>
          <w:snapToGrid w:val="0"/>
        </w:rPr>
        <w:tab/>
        <w:t>Other offences concerning number plates</w:t>
      </w:r>
      <w:bookmarkEnd w:id="4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44" w:name="_Toc154747776"/>
      <w:r>
        <w:rPr>
          <w:rStyle w:val="CharSectno"/>
        </w:rPr>
        <w:t>36</w:t>
      </w:r>
      <w:r>
        <w:rPr>
          <w:snapToGrid w:val="0"/>
        </w:rPr>
        <w:t>.</w:t>
      </w:r>
      <w:r>
        <w:rPr>
          <w:snapToGrid w:val="0"/>
        </w:rPr>
        <w:tab/>
        <w:t>Road law provisions</w:t>
      </w:r>
      <w:bookmarkEnd w:id="44"/>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lastRenderedPageBreak/>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45" w:name="_Toc154747777"/>
      <w:r>
        <w:rPr>
          <w:rStyle w:val="CharSectno"/>
        </w:rPr>
        <w:t>37</w:t>
      </w:r>
      <w:r>
        <w:rPr>
          <w:snapToGrid w:val="0"/>
        </w:rPr>
        <w:t>.</w:t>
      </w:r>
      <w:r>
        <w:rPr>
          <w:snapToGrid w:val="0"/>
        </w:rPr>
        <w:tab/>
        <w:t>Infringement notices</w:t>
      </w:r>
      <w:bookmarkEnd w:id="45"/>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lastRenderedPageBreak/>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lastRenderedPageBreak/>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 No. 16 of 2019 s. 104.]</w:t>
      </w:r>
    </w:p>
    <w:p>
      <w:pPr>
        <w:pStyle w:val="Heading5"/>
        <w:rPr>
          <w:snapToGrid w:val="0"/>
        </w:rPr>
      </w:pPr>
      <w:bookmarkStart w:id="46" w:name="_Toc154747778"/>
      <w:r>
        <w:rPr>
          <w:rStyle w:val="CharSectno"/>
        </w:rPr>
        <w:t>38</w:t>
      </w:r>
      <w:r>
        <w:rPr>
          <w:snapToGrid w:val="0"/>
        </w:rPr>
        <w:t>.</w:t>
      </w:r>
      <w:r>
        <w:rPr>
          <w:snapToGrid w:val="0"/>
        </w:rPr>
        <w:tab/>
        <w:t>Authorised persons</w:t>
      </w:r>
      <w:bookmarkEnd w:id="46"/>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lastRenderedPageBreak/>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pPr>
      <w:r>
        <w:tab/>
        <w:t>(e)</w:t>
      </w:r>
      <w:r>
        <w:tab/>
        <w:t xml:space="preserve">an inspector or Aboriginal inspector, under the </w:t>
      </w:r>
      <w:r>
        <w:rPr>
          <w:i/>
        </w:rPr>
        <w:t>Aboriginal Cultural Heritage Act 2021</w:t>
      </w:r>
      <w: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keepNext/>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lastRenderedPageBreak/>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authorised person</w:t>
      </w:r>
      <w:r>
        <w:rPr>
          <w:snapToGrid w:val="0"/>
        </w:rPr>
        <w:t xml:space="preserve"> in the prescribed form, evidencing the area of jurisdiction entrusted to him under this Act, which he shall,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keepNext/>
        <w:rPr>
          <w:snapToGrid w:val="0"/>
        </w:rPr>
      </w:pPr>
      <w:r>
        <w:rPr>
          <w:snapToGrid w:val="0"/>
        </w:rPr>
        <w:tab/>
        <w:t>(6)</w:t>
      </w:r>
      <w:r>
        <w:rPr>
          <w:snapToGrid w:val="0"/>
        </w:rPr>
        <w:tab/>
        <w:t xml:space="preserve">A person shall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w:t>
      </w:r>
      <w:r>
        <w:rPr>
          <w:snapToGrid w:val="0"/>
        </w:rPr>
        <w:lastRenderedPageBreak/>
        <w:t xml:space="preserve">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shall be treated as having wilfully obstructed </w:t>
      </w:r>
      <w:r>
        <w:t>the authorised person</w:t>
      </w:r>
      <w:r>
        <w:rPr>
          <w:snapToGrid w:val="0"/>
        </w:rPr>
        <w:t xml:space="preserve"> or inspector for the purposes of subsection (6).</w:t>
      </w:r>
    </w:p>
    <w:p>
      <w:pPr>
        <w:pStyle w:val="Subsection"/>
        <w:keepNext/>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lastRenderedPageBreak/>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keepNext/>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keepNext/>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keepNext/>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keepNext/>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keepNext/>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 xml:space="preserve">if the vehicle is in his opinion so constructed or in such condition that it is likely to occasion danger to any person or damage to any property, and may cause the vehicle to be </w:t>
      </w:r>
      <w:r>
        <w:rPr>
          <w:snapToGrid w:val="0"/>
        </w:rPr>
        <w:lastRenderedPageBreak/>
        <w:t>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keepNext/>
      </w:pPr>
      <w:r>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keepNext/>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keepNext/>
      </w:pPr>
      <w:r>
        <w:tab/>
        <w:t>(17)</w:t>
      </w:r>
      <w:r>
        <w:tab/>
        <w:t>A vehicle detained —</w:t>
      </w:r>
    </w:p>
    <w:p>
      <w:pPr>
        <w:pStyle w:val="Indenta"/>
      </w:pPr>
      <w:r>
        <w:tab/>
        <w:t>(a)</w:t>
      </w:r>
      <w:r>
        <w:tab/>
        <w:t>under subsection (11) or (12) by a member of the Police Force; or</w:t>
      </w:r>
    </w:p>
    <w:p>
      <w:pPr>
        <w:pStyle w:val="Indenta"/>
        <w:keepNext/>
      </w:pPr>
      <w:r>
        <w:lastRenderedPageBreak/>
        <w:tab/>
        <w:t>(b)</w:t>
      </w:r>
      <w:r>
        <w:tab/>
        <w:t>under subsection (11) by an authorised person appointed under subsection (2),</w:t>
      </w:r>
    </w:p>
    <w:p>
      <w:pPr>
        <w:pStyle w:val="Subsection"/>
      </w:pPr>
      <w:r>
        <w:tab/>
      </w:r>
      <w:r>
        <w:tab/>
        <w:t>is to be taken to be detained in the name of the Director General.</w:t>
      </w:r>
    </w:p>
    <w:p>
      <w:pPr>
        <w:pStyle w:val="Subsection"/>
        <w:keepNext/>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 No. 27 of 2021 s. 345(2).]</w:t>
      </w:r>
    </w:p>
    <w:p>
      <w:pPr>
        <w:pStyle w:val="Heading5"/>
        <w:rPr>
          <w:snapToGrid w:val="0"/>
        </w:rPr>
      </w:pPr>
      <w:bookmarkStart w:id="47" w:name="_Toc154747779"/>
      <w:r>
        <w:rPr>
          <w:rStyle w:val="CharSectno"/>
        </w:rPr>
        <w:t>39</w:t>
      </w:r>
      <w:r>
        <w:rPr>
          <w:snapToGrid w:val="0"/>
        </w:rPr>
        <w:t>.</w:t>
      </w:r>
      <w:r>
        <w:rPr>
          <w:snapToGrid w:val="0"/>
        </w:rPr>
        <w:tab/>
        <w:t>Evidentiary provisions for prosecutions</w:t>
      </w:r>
      <w:bookmarkEnd w:id="47"/>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keepNext/>
        <w:rPr>
          <w:snapToGrid w:val="0"/>
        </w:rPr>
      </w:pPr>
      <w:r>
        <w:rPr>
          <w:snapToGrid w:val="0"/>
        </w:rPr>
        <w:tab/>
        <w:t>(ii)</w:t>
      </w:r>
      <w:r>
        <w:rPr>
          <w:snapToGrid w:val="0"/>
        </w:rPr>
        <w:tab/>
        <w:t xml:space="preserve">any vehicle was being used in circumstances where the provisions of this Act do not apply, or pursuant to and in accordance with any </w:t>
      </w:r>
      <w:r>
        <w:rPr>
          <w:snapToGrid w:val="0"/>
        </w:rPr>
        <w:lastRenderedPageBreak/>
        <w:t>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Next/>
        <w:keepLines/>
        <w:rPr>
          <w:snapToGrid w:val="0"/>
        </w:rPr>
      </w:pPr>
      <w:r>
        <w:rPr>
          <w:snapToGrid w:val="0"/>
        </w:rPr>
        <w:lastRenderedPageBreak/>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48" w:name="_Toc154747780"/>
      <w:r>
        <w:rPr>
          <w:rStyle w:val="CharSectno"/>
        </w:rPr>
        <w:t>40</w:t>
      </w:r>
      <w:r>
        <w:rPr>
          <w:snapToGrid w:val="0"/>
        </w:rPr>
        <w:t>.</w:t>
      </w:r>
      <w:r>
        <w:rPr>
          <w:snapToGrid w:val="0"/>
        </w:rPr>
        <w:tab/>
        <w:t>Prosecutions, who may commence</w:t>
      </w:r>
      <w:bookmarkEnd w:id="48"/>
    </w:p>
    <w:p>
      <w:pPr>
        <w:pStyle w:val="Subsection"/>
        <w:keepNext/>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snapToGrid w:val="0"/>
        </w:rPr>
      </w:pPr>
      <w:bookmarkStart w:id="49" w:name="_Toc154747781"/>
      <w:r>
        <w:rPr>
          <w:rStyle w:val="CharSectno"/>
        </w:rPr>
        <w:t>41</w:t>
      </w:r>
      <w:r>
        <w:rPr>
          <w:snapToGrid w:val="0"/>
        </w:rPr>
        <w:t>.</w:t>
      </w:r>
      <w:r>
        <w:rPr>
          <w:snapToGrid w:val="0"/>
        </w:rPr>
        <w:tab/>
        <w:t>General penalty</w:t>
      </w:r>
      <w:bookmarkEnd w:id="49"/>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50" w:name="_Toc154747782"/>
      <w:r>
        <w:rPr>
          <w:rStyle w:val="CharSectno"/>
        </w:rPr>
        <w:t>42</w:t>
      </w:r>
      <w:r>
        <w:rPr>
          <w:snapToGrid w:val="0"/>
        </w:rPr>
        <w:t>.</w:t>
      </w:r>
      <w:r>
        <w:rPr>
          <w:snapToGrid w:val="0"/>
        </w:rPr>
        <w:tab/>
        <w:t>Detention of vehicles, court may order</w:t>
      </w:r>
      <w:bookmarkEnd w:id="50"/>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keepNext/>
        <w:rPr>
          <w:snapToGrid w:val="0"/>
        </w:rPr>
      </w:pPr>
      <w:r>
        <w:rPr>
          <w:snapToGrid w:val="0"/>
        </w:rPr>
        <w:tab/>
        <w:t>(b)</w:t>
      </w:r>
      <w:r>
        <w:rPr>
          <w:snapToGrid w:val="0"/>
        </w:rPr>
        <w:tab/>
        <w:t xml:space="preserve">until the Director General is satisfied that arrangements have been made that will ensure that the construction or </w:t>
      </w:r>
      <w:r>
        <w:rPr>
          <w:snapToGrid w:val="0"/>
        </w:rPr>
        <w:lastRenderedPageBreak/>
        <w:t>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51" w:name="_Toc154747783"/>
      <w:r>
        <w:rPr>
          <w:rStyle w:val="CharSectno"/>
        </w:rPr>
        <w:t>43</w:t>
      </w:r>
      <w:r>
        <w:rPr>
          <w:snapToGrid w:val="0"/>
        </w:rPr>
        <w:t>.</w:t>
      </w:r>
      <w:r>
        <w:rPr>
          <w:snapToGrid w:val="0"/>
        </w:rPr>
        <w:tab/>
        <w:t>Expenses of this Act, appropriation of penalties etc.</w:t>
      </w:r>
      <w:bookmarkEnd w:id="51"/>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 xml:space="preserve">The expenses of the Director General in connection with the administration of this Act shall be paid in so far as is practicable out of moneys derived from the administration of the scheme of </w:t>
      </w:r>
      <w:r>
        <w:rPr>
          <w:snapToGrid w:val="0"/>
        </w:rPr>
        <w:lastRenderedPageBreak/>
        <w:t>registration effected by this Act, and in so far as such moneys shall not be sufficient for that purpose out of moneys from time to time appropriated by Parliament for that purpose.</w:t>
      </w:r>
    </w:p>
    <w:p>
      <w:pPr>
        <w:pStyle w:val="Subsection"/>
        <w:keepNext/>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52" w:name="_Toc154747784"/>
      <w:r>
        <w:rPr>
          <w:rStyle w:val="CharSectno"/>
        </w:rPr>
        <w:t>44</w:t>
      </w:r>
      <w:r>
        <w:rPr>
          <w:snapToGrid w:val="0"/>
        </w:rPr>
        <w:t>.</w:t>
      </w:r>
      <w:r>
        <w:rPr>
          <w:snapToGrid w:val="0"/>
        </w:rPr>
        <w:tab/>
        <w:t>Regulations that operate as local laws, Governor may make</w:t>
      </w:r>
      <w:bookmarkEnd w:id="52"/>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53" w:name="_Toc154747785"/>
      <w:r>
        <w:rPr>
          <w:rStyle w:val="CharSectno"/>
        </w:rPr>
        <w:lastRenderedPageBreak/>
        <w:t>45</w:t>
      </w:r>
      <w:r>
        <w:rPr>
          <w:snapToGrid w:val="0"/>
        </w:rPr>
        <w:t>.</w:t>
      </w:r>
      <w:r>
        <w:rPr>
          <w:snapToGrid w:val="0"/>
        </w:rPr>
        <w:tab/>
        <w:t>Local laws, local government may make</w:t>
      </w:r>
      <w:bookmarkEnd w:id="53"/>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54" w:name="_Toc154747786"/>
      <w:r>
        <w:rPr>
          <w:rStyle w:val="CharSectno"/>
        </w:rPr>
        <w:t>45A</w:t>
      </w:r>
      <w:r>
        <w:rPr>
          <w:snapToGrid w:val="0"/>
        </w:rPr>
        <w:t>.</w:t>
      </w:r>
      <w:r>
        <w:rPr>
          <w:snapToGrid w:val="0"/>
        </w:rPr>
        <w:tab/>
        <w:t>Model local laws, Governor may make</w:t>
      </w:r>
      <w:bookmarkEnd w:id="54"/>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55" w:name="_Toc154747787"/>
      <w:r>
        <w:rPr>
          <w:rStyle w:val="CharSectno"/>
        </w:rPr>
        <w:t>45B</w:t>
      </w:r>
      <w:r>
        <w:rPr>
          <w:snapToGrid w:val="0"/>
        </w:rPr>
        <w:t>.</w:t>
      </w:r>
      <w:r>
        <w:rPr>
          <w:snapToGrid w:val="0"/>
        </w:rPr>
        <w:tab/>
        <w:t>Local laws, Governor may amend or repeal</w:t>
      </w:r>
      <w:bookmarkEnd w:id="55"/>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lastRenderedPageBreak/>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56" w:name="_Toc154747788"/>
      <w:r>
        <w:rPr>
          <w:rStyle w:val="CharSectno"/>
        </w:rPr>
        <w:t>46</w:t>
      </w:r>
      <w:r>
        <w:rPr>
          <w:snapToGrid w:val="0"/>
        </w:rPr>
        <w:t>.</w:t>
      </w:r>
      <w:r>
        <w:rPr>
          <w:snapToGrid w:val="0"/>
        </w:rPr>
        <w:tab/>
        <w:t>Regulations and local laws, general</w:t>
      </w:r>
      <w:bookmarkEnd w:id="56"/>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lastRenderedPageBreak/>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57" w:name="_Toc154747789"/>
      <w:r>
        <w:rPr>
          <w:rStyle w:val="CharSectno"/>
        </w:rPr>
        <w:t>47</w:t>
      </w:r>
      <w:r>
        <w:rPr>
          <w:snapToGrid w:val="0"/>
        </w:rPr>
        <w:t>.</w:t>
      </w:r>
      <w:r>
        <w:rPr>
          <w:snapToGrid w:val="0"/>
        </w:rPr>
        <w:tab/>
        <w:t>Local laws and local planning schemes, Governor may revoke or amend</w:t>
      </w:r>
      <w:bookmarkEnd w:id="57"/>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keepNext/>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 No. 45 of 2020 s. 98.]</w:t>
      </w:r>
    </w:p>
    <w:p>
      <w:pPr>
        <w:pStyle w:val="Heading5"/>
        <w:rPr>
          <w:snapToGrid w:val="0"/>
        </w:rPr>
      </w:pPr>
      <w:bookmarkStart w:id="58" w:name="_Toc154747790"/>
      <w:r>
        <w:rPr>
          <w:rStyle w:val="CharSectno"/>
        </w:rPr>
        <w:lastRenderedPageBreak/>
        <w:t>48</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pStyle w:val="Heading5"/>
      </w:pPr>
      <w:bookmarkStart w:id="59" w:name="_Toc154747791"/>
      <w:r>
        <w:rPr>
          <w:rStyle w:val="CharSectno"/>
        </w:rPr>
        <w:t>49</w:t>
      </w:r>
      <w:r>
        <w:t>.</w:t>
      </w:r>
      <w:r>
        <w:tab/>
        <w:t xml:space="preserve">Transitional provision for </w:t>
      </w:r>
      <w:r>
        <w:rPr>
          <w:i/>
        </w:rPr>
        <w:t>Local Government Legislation Amendment Act 2019</w:t>
      </w:r>
      <w:bookmarkEnd w:id="59"/>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Footnotesection"/>
        <w:keepNext/>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60" w:name="_Toc154747792"/>
      <w:r>
        <w:lastRenderedPageBreak/>
        <w:t>Notes</w:t>
      </w:r>
      <w:bookmarkEnd w:id="60"/>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 w:name="_Toc154747793"/>
      <w:r>
        <w:t>Compilation table</w:t>
      </w:r>
      <w:bookmarkEnd w:id="61"/>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trPr>
          <w:tblHeader/>
        </w:trPr>
        <w:tc>
          <w:tcPr>
            <w:tcW w:w="232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496"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496"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496"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496"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496"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496"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496"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496"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496"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lastRenderedPageBreak/>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496"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496"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496"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496"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496"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496"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496"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496"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496"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324"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496"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496"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pPr>
            <w:r>
              <w:rPr>
                <w:i/>
              </w:rPr>
              <w:lastRenderedPageBreak/>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496"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496"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496"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496"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496"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496"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496"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496"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496"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ind w:right="113"/>
              <w:rPr>
                <w:iCs/>
              </w:rPr>
            </w:pPr>
            <w:r>
              <w:rPr>
                <w:i/>
              </w:rPr>
              <w:lastRenderedPageBreak/>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49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496"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496"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496"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rPr>
          <w:cantSplit/>
        </w:trPr>
        <w:tc>
          <w:tcPr>
            <w:tcW w:w="2324" w:type="dxa"/>
            <w:tcBorders>
              <w:top w:val="nil"/>
              <w:bottom w:val="nil"/>
            </w:tcBorders>
          </w:tcPr>
          <w:p>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496" w:type="dxa"/>
            <w:tcBorders>
              <w:top w:val="nil"/>
              <w:bottom w:val="nil"/>
            </w:tcBorders>
            <w:shd w:val="clear" w:color="auto" w:fill="auto"/>
          </w:tcPr>
          <w:p>
            <w:pPr>
              <w:pStyle w:val="nTable"/>
              <w:spacing w:after="40"/>
            </w:pPr>
            <w:r>
              <w:t>7 Nov 2020 (see s. 2(b) and SL 2020/212 cl. 2)</w:t>
            </w:r>
          </w:p>
        </w:tc>
      </w:tr>
      <w:tr>
        <w:trPr>
          <w:cantSplit/>
        </w:trPr>
        <w:tc>
          <w:tcPr>
            <w:tcW w:w="2324" w:type="dxa"/>
            <w:tcBorders>
              <w:top w:val="nil"/>
              <w:bottom w:val="nil"/>
            </w:tcBorders>
          </w:tcPr>
          <w:p>
            <w:pPr>
              <w:pStyle w:val="nTable"/>
              <w:spacing w:after="40"/>
              <w:rPr>
                <w:i/>
                <w:snapToGrid w:val="0"/>
              </w:rPr>
            </w:pPr>
            <w:r>
              <w:rPr>
                <w:i/>
                <w:snapToGrid w:val="0"/>
              </w:rPr>
              <w:t>Swan Valley Planning Act 2020</w:t>
            </w:r>
            <w:r>
              <w:rPr>
                <w:snapToGrid w:val="0"/>
              </w:rPr>
              <w:t xml:space="preserve"> Pt. 10 Div. 1</w:t>
            </w:r>
          </w:p>
        </w:tc>
        <w:tc>
          <w:tcPr>
            <w:tcW w:w="1134" w:type="dxa"/>
            <w:tcBorders>
              <w:top w:val="nil"/>
              <w:bottom w:val="nil"/>
            </w:tcBorders>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496" w:type="dxa"/>
            <w:tcBorders>
              <w:top w:val="nil"/>
              <w:bottom w:val="nil"/>
            </w:tcBorders>
            <w:shd w:val="clear" w:color="auto" w:fill="auto"/>
          </w:tcPr>
          <w:p>
            <w:pPr>
              <w:pStyle w:val="nTable"/>
              <w:spacing w:after="40"/>
            </w:pPr>
            <w:r>
              <w:rPr>
                <w:snapToGrid w:val="0"/>
              </w:rPr>
              <w:t>1 Aug 2021 (see s. 2(1)(e) and SL 2021/124 cl. 2)</w:t>
            </w:r>
          </w:p>
        </w:tc>
      </w:tr>
      <w:tr>
        <w:tblPrEx>
          <w:tblBorders>
            <w:top w:val="none" w:sz="0" w:space="0" w:color="auto"/>
            <w:bottom w:val="none" w:sz="0" w:space="0" w:color="auto"/>
            <w:insideH w:val="none" w:sz="0" w:space="0" w:color="auto"/>
          </w:tblBorders>
        </w:tblPrEx>
        <w:trPr>
          <w:cantSplit/>
        </w:trPr>
        <w:tc>
          <w:tcPr>
            <w:tcW w:w="2324" w:type="dxa"/>
            <w:tcBorders>
              <w:bottom w:val="single" w:sz="4" w:space="0" w:color="auto"/>
            </w:tcBorders>
          </w:tcPr>
          <w:p>
            <w:pPr>
              <w:pStyle w:val="nTable"/>
              <w:spacing w:after="40"/>
              <w:rPr>
                <w:i/>
                <w:snapToGrid w:val="0"/>
              </w:rPr>
            </w:pPr>
            <w:r>
              <w:rPr>
                <w:i/>
              </w:rPr>
              <w:t>Aboriginal Cultural Heritage Act 2021</w:t>
            </w:r>
            <w:r>
              <w:t xml:space="preserve"> s. 345</w:t>
            </w:r>
          </w:p>
        </w:tc>
        <w:tc>
          <w:tcPr>
            <w:tcW w:w="1134" w:type="dxa"/>
            <w:tcBorders>
              <w:bottom w:val="single" w:sz="4" w:space="0" w:color="auto"/>
            </w:tcBorders>
          </w:tcPr>
          <w:p>
            <w:pPr>
              <w:pStyle w:val="nTable"/>
              <w:spacing w:after="40"/>
            </w:pPr>
            <w:r>
              <w:t>27 of 2021</w:t>
            </w:r>
          </w:p>
        </w:tc>
        <w:tc>
          <w:tcPr>
            <w:tcW w:w="1134" w:type="dxa"/>
            <w:tcBorders>
              <w:bottom w:val="single" w:sz="4" w:space="0" w:color="auto"/>
            </w:tcBorders>
            <w:shd w:val="clear" w:color="auto" w:fill="auto"/>
          </w:tcPr>
          <w:p>
            <w:pPr>
              <w:pStyle w:val="nTable"/>
              <w:spacing w:after="40"/>
            </w:pPr>
            <w:r>
              <w:t>22 Dec 2021</w:t>
            </w:r>
          </w:p>
        </w:tc>
        <w:tc>
          <w:tcPr>
            <w:tcW w:w="2496" w:type="dxa"/>
            <w:tcBorders>
              <w:bottom w:val="single" w:sz="4" w:space="0" w:color="auto"/>
            </w:tcBorders>
            <w:shd w:val="clear" w:color="auto" w:fill="auto"/>
          </w:tcPr>
          <w:p>
            <w:pPr>
              <w:pStyle w:val="nTable"/>
              <w:spacing w:after="40"/>
              <w:rPr>
                <w:snapToGrid w:val="0"/>
              </w:rPr>
            </w:pPr>
            <w:r>
              <w:t>1 Jul 2023 (see s. 2(e) and SL 2023/40 cl. 2(b))</w:t>
            </w:r>
          </w:p>
        </w:tc>
      </w:tr>
    </w:tbl>
    <w:p>
      <w:pPr>
        <w:pStyle w:val="nHeading3"/>
      </w:pPr>
      <w:bookmarkStart w:id="62" w:name="_Toc154747794"/>
      <w:r>
        <w:t>Uncommenced provisions table</w:t>
      </w:r>
      <w:bookmarkEnd w:id="62"/>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24"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nil"/>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nil"/>
            </w:tcBorders>
          </w:tcPr>
          <w:p>
            <w:pPr>
              <w:pStyle w:val="nTable"/>
              <w:spacing w:after="40"/>
              <w:rPr>
                <w:snapToGrid w:val="0"/>
              </w:rPr>
            </w:pPr>
            <w:r>
              <w:t>53 of 2016</w:t>
            </w:r>
          </w:p>
        </w:tc>
        <w:tc>
          <w:tcPr>
            <w:tcW w:w="1134" w:type="dxa"/>
            <w:tcBorders>
              <w:top w:val="nil"/>
              <w:bottom w:val="nil"/>
            </w:tcBorders>
          </w:tcPr>
          <w:p>
            <w:pPr>
              <w:pStyle w:val="nTable"/>
              <w:spacing w:after="40"/>
            </w:pPr>
            <w:r>
              <w:t>29 Nov 2016</w:t>
            </w:r>
          </w:p>
        </w:tc>
        <w:tc>
          <w:tcPr>
            <w:tcW w:w="2524" w:type="dxa"/>
            <w:tcBorders>
              <w:top w:val="nil"/>
              <w:bottom w:val="nil"/>
            </w:tcBorders>
          </w:tcPr>
          <w:p>
            <w:pPr>
              <w:pStyle w:val="nTable"/>
              <w:spacing w:after="40"/>
            </w:pPr>
            <w:r>
              <w:rPr>
                <w:snapToGrid w:val="0"/>
              </w:rPr>
              <w:t>To be proclaimed (see s. 2(b))</w:t>
            </w:r>
          </w:p>
        </w:tc>
      </w:tr>
      <w:tr>
        <w:trPr>
          <w:cantSplit/>
        </w:trPr>
        <w:tc>
          <w:tcPr>
            <w:tcW w:w="2268" w:type="dxa"/>
            <w:tcBorders>
              <w:top w:val="nil"/>
              <w:bottom w:val="single" w:sz="4" w:space="0" w:color="auto"/>
            </w:tcBorders>
          </w:tcPr>
          <w:p>
            <w:pPr>
              <w:pStyle w:val="nTable"/>
              <w:spacing w:after="40"/>
              <w:ind w:right="113"/>
              <w:rPr>
                <w:iCs/>
                <w:snapToGrid w:val="0"/>
              </w:rPr>
            </w:pPr>
            <w:r>
              <w:rPr>
                <w:i/>
                <w:snapToGrid w:val="0"/>
              </w:rPr>
              <w:lastRenderedPageBreak/>
              <w:t>Aboriginal Heritage Legislation Amendment and Repeal Act 2023</w:t>
            </w:r>
            <w:r>
              <w:rPr>
                <w:iCs/>
                <w:snapToGrid w:val="0"/>
              </w:rPr>
              <w:t xml:space="preserve"> s. 26</w:t>
            </w:r>
          </w:p>
        </w:tc>
        <w:tc>
          <w:tcPr>
            <w:tcW w:w="1134" w:type="dxa"/>
            <w:tcBorders>
              <w:top w:val="nil"/>
              <w:bottom w:val="single" w:sz="4" w:space="0" w:color="auto"/>
            </w:tcBorders>
          </w:tcPr>
          <w:p>
            <w:pPr>
              <w:pStyle w:val="nTable"/>
              <w:spacing w:after="40"/>
            </w:pPr>
            <w:r>
              <w:t>23 of 2023</w:t>
            </w:r>
          </w:p>
        </w:tc>
        <w:tc>
          <w:tcPr>
            <w:tcW w:w="1134" w:type="dxa"/>
            <w:tcBorders>
              <w:top w:val="nil"/>
              <w:bottom w:val="single" w:sz="4" w:space="0" w:color="auto"/>
            </w:tcBorders>
          </w:tcPr>
          <w:p>
            <w:pPr>
              <w:pStyle w:val="nTable"/>
              <w:spacing w:after="40"/>
              <w:rPr>
                <w:highlight w:val="yellow"/>
              </w:rPr>
            </w:pPr>
            <w:r>
              <w:t>24 Oct 2023</w:t>
            </w:r>
          </w:p>
        </w:tc>
        <w:tc>
          <w:tcPr>
            <w:tcW w:w="2524" w:type="dxa"/>
            <w:tcBorders>
              <w:top w:val="nil"/>
              <w:bottom w:val="single" w:sz="4" w:space="0" w:color="auto"/>
            </w:tcBorders>
          </w:tcPr>
          <w:p>
            <w:pPr>
              <w:pStyle w:val="nTable"/>
              <w:spacing w:after="40"/>
              <w:rPr>
                <w:snapToGrid w:val="0"/>
              </w:rPr>
            </w:pPr>
            <w:r>
              <w:rPr>
                <w:snapToGrid w:val="0"/>
              </w:rPr>
              <w:t>15 Nov 2023 (see s. 2(d) and SL 2023/161 cl. 2)</w:t>
            </w:r>
          </w:p>
        </w:tc>
      </w:tr>
    </w:tbl>
    <w:p>
      <w:pPr>
        <w:pStyle w:val="nHeading3"/>
      </w:pPr>
      <w:bookmarkStart w:id="63" w:name="_Toc154747795"/>
      <w:r>
        <w:t>Other notes</w:t>
      </w:r>
      <w:bookmarkEnd w:id="63"/>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65" w:name="_Toc154747796"/>
      <w:r>
        <w:rPr>
          <w:sz w:val="28"/>
        </w:rPr>
        <w:lastRenderedPageBreak/>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37(5a)</w:t>
      </w:r>
    </w:p>
    <w:p>
      <w:pPr>
        <w:pStyle w:val="DefinedTerms"/>
      </w:pPr>
      <w:r>
        <w:t>authorised person</w:t>
      </w:r>
      <w:r>
        <w:tab/>
        <w:t>3(1)</w:t>
      </w:r>
    </w:p>
    <w:p>
      <w:pPr>
        <w:pStyle w:val="DefinedTerms"/>
      </w:pPr>
      <w:r>
        <w:t>certificate</w:t>
      </w:r>
      <w:r>
        <w:tab/>
        <w:t>3(1)</w:t>
      </w:r>
    </w:p>
    <w:p>
      <w:pPr>
        <w:pStyle w:val="DefinedTerms"/>
      </w:pPr>
      <w:r>
        <w:t>certificate of registration</w:t>
      </w:r>
      <w:r>
        <w:tab/>
        <w:t>3(1)</w:t>
      </w:r>
    </w:p>
    <w:p>
      <w:pPr>
        <w:pStyle w:val="DefinedTerms"/>
      </w:pPr>
      <w:r>
        <w:t>Committee</w:t>
      </w:r>
      <w:r>
        <w:tab/>
        <w:t>3(1)</w:t>
      </w:r>
    </w:p>
    <w:p>
      <w:pPr>
        <w:pStyle w:val="DefinedTerms"/>
      </w:pPr>
      <w:r>
        <w:t>Department</w:t>
      </w:r>
      <w:r>
        <w:tab/>
        <w:t>3(1)</w:t>
      </w:r>
    </w:p>
    <w:p>
      <w:pPr>
        <w:pStyle w:val="DefinedTerms"/>
      </w:pPr>
      <w:r>
        <w:t>Director General</w:t>
      </w:r>
      <w:r>
        <w:tab/>
        <w:t>3(1)</w:t>
      </w:r>
    </w:p>
    <w:p>
      <w:pPr>
        <w:pStyle w:val="DefinedTerms"/>
      </w:pPr>
      <w:r>
        <w:t>district</w:t>
      </w:r>
      <w:r>
        <w:tab/>
        <w:t>3(1)</w:t>
      </w:r>
    </w:p>
    <w:p>
      <w:pPr>
        <w:pStyle w:val="DefinedTerms"/>
      </w:pPr>
      <w:r>
        <w:t>drive</w:t>
      </w:r>
      <w:r>
        <w:tab/>
        <w:t>3(1)</w:t>
      </w:r>
    </w:p>
    <w:p>
      <w:pPr>
        <w:pStyle w:val="DefinedTerms"/>
      </w:pPr>
      <w:r>
        <w:t>driver</w:t>
      </w:r>
      <w:r>
        <w:tab/>
        <w:t>3(1)</w:t>
      </w:r>
    </w:p>
    <w:p>
      <w:pPr>
        <w:pStyle w:val="DefinedTerms"/>
      </w:pPr>
      <w:r>
        <w:t>infringement notice</w:t>
      </w:r>
      <w:r>
        <w:tab/>
        <w:t>3(1)</w:t>
      </w:r>
    </w:p>
    <w:p>
      <w:pPr>
        <w:pStyle w:val="DefinedTerms"/>
      </w:pPr>
      <w:r>
        <w:t>motor car</w:t>
      </w:r>
      <w:r>
        <w:tab/>
        <w:t>3(1)</w:t>
      </w:r>
    </w:p>
    <w:p>
      <w:pPr>
        <w:pStyle w:val="DefinedTerms"/>
      </w:pPr>
      <w:r>
        <w:t>motor cycle</w:t>
      </w:r>
      <w:r>
        <w:tab/>
        <w:t>3(1)</w:t>
      </w:r>
    </w:p>
    <w:p>
      <w:pPr>
        <w:pStyle w:val="DefinedTerms"/>
      </w:pPr>
      <w:r>
        <w:t>new owner</w:t>
      </w:r>
      <w:r>
        <w:tab/>
        <w:t>29A(4)</w:t>
      </w:r>
    </w:p>
    <w:p>
      <w:pPr>
        <w:pStyle w:val="DefinedTerms"/>
      </w:pPr>
      <w:r>
        <w:t>off</w:t>
      </w:r>
      <w:r>
        <w:noBreakHyphen/>
        <w:t>road vehicle</w:t>
      </w:r>
      <w:r>
        <w:tab/>
        <w:t>3(1)</w:t>
      </w:r>
    </w:p>
    <w:p>
      <w:pPr>
        <w:pStyle w:val="DefinedTerms"/>
      </w:pPr>
      <w:r>
        <w:t>owner</w:t>
      </w:r>
      <w:r>
        <w:tab/>
        <w:t>3(1)</w:t>
      </w:r>
    </w:p>
    <w:p>
      <w:pPr>
        <w:pStyle w:val="DefinedTerms"/>
      </w:pPr>
      <w:r>
        <w:t>permitted area</w:t>
      </w:r>
      <w:r>
        <w:tab/>
        <w:t>3(1)</w:t>
      </w:r>
    </w:p>
    <w:p>
      <w:pPr>
        <w:pStyle w:val="DefinedTerms"/>
      </w:pPr>
      <w:r>
        <w:t>private land</w:t>
      </w:r>
      <w:r>
        <w:tab/>
        <w:t>3(1)</w:t>
      </w:r>
    </w:p>
    <w:p>
      <w:pPr>
        <w:pStyle w:val="DefinedTerms"/>
      </w:pPr>
      <w:r>
        <w:t>prohibited area</w:t>
      </w:r>
      <w:r>
        <w:tab/>
        <w:t>3(1)</w:t>
      </w:r>
    </w:p>
    <w:p>
      <w:pPr>
        <w:pStyle w:val="DefinedTerms"/>
      </w:pPr>
      <w:r>
        <w:t>public authority</w:t>
      </w:r>
      <w:r>
        <w:tab/>
        <w:t>3(1)</w:t>
      </w:r>
    </w:p>
    <w:p>
      <w:pPr>
        <w:pStyle w:val="DefinedTerms"/>
      </w:pPr>
      <w:r>
        <w:t>responsible person</w:t>
      </w:r>
      <w:r>
        <w:tab/>
        <w:t>3(1)</w:t>
      </w:r>
    </w:p>
    <w:p>
      <w:pPr>
        <w:pStyle w:val="DefinedTerms"/>
      </w:pPr>
      <w:r>
        <w:t>road</w:t>
      </w:r>
      <w:r>
        <w:tab/>
        <w:t>3(1)</w:t>
      </w:r>
    </w:p>
    <w:p>
      <w:pPr>
        <w:pStyle w:val="DefinedTerms"/>
      </w:pPr>
      <w:r>
        <w:t>seat belt</w:t>
      </w:r>
      <w:r>
        <w:tab/>
        <w:t>3(1)</w:t>
      </w:r>
    </w:p>
    <w:p>
      <w:pPr>
        <w:pStyle w:val="DefinedTerms"/>
      </w:pPr>
      <w:r>
        <w:t>seat position</w:t>
      </w:r>
      <w:r>
        <w:tab/>
        <w:t>3(1)</w:t>
      </w:r>
    </w:p>
    <w:p>
      <w:pPr>
        <w:pStyle w:val="DefinedTerms"/>
      </w:pPr>
      <w:r>
        <w:t>vehicle</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F10557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125F12B" w14:textId="49E7A162" w:rsidR="00227D0F" w:rsidRDefault="00227D0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7A1AC8E" w14:textId="77777777" w:rsidR="00227D0F" w:rsidRDefault="00227D0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658454" w14:textId="60E63C82" w:rsidR="00227D0F" w:rsidRDefault="00227D0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1924718" w14:textId="77777777" w:rsidR="00227D0F" w:rsidRDefault="00227D0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05-j0-02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05-j0-02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05-j0-02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05-j0-02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05-j0-02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05-j0-02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7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2601"/>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 w:name="WAFER_2023062710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46_GUID" w:val="67e867a9-190d-4c41-a271-85264aeebd9f"/>
    <w:docVar w:name="WAFER_20231019104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4313_GUID" w:val="2916a246-e2b6-4ae3-8fdb-6e70678032b5"/>
    <w:docVar w:name="WAFER_20231027133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3311_GUID" w:val="d2509358-79ac-47d2-aa70-8846fed9f2ac"/>
    <w:docVar w:name="WAFER_20231222092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601_GUID" w:val="78019c94-907f-4cd1-923f-b6d8a331ac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1"/>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17824</Words>
  <Characters>81639</Characters>
  <Application>Microsoft Office Word</Application>
  <DocSecurity>0</DocSecurity>
  <Lines>2206</Lines>
  <Paragraphs>1036</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1978 - 05-j0-02</dc:title>
  <dc:subject/>
  <dc:creator/>
  <cp:keywords/>
  <dc:description/>
  <cp:lastModifiedBy>Master Repository Process</cp:lastModifiedBy>
  <cp:revision>4</cp:revision>
  <cp:lastPrinted>2012-09-13T06:31:00Z</cp:lastPrinted>
  <dcterms:created xsi:type="dcterms:W3CDTF">2023-12-29T05:08:00Z</dcterms:created>
  <dcterms:modified xsi:type="dcterms:W3CDTF">2023-12-29T05:08:00Z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AsAtDate">
    <vt:lpwstr>24 Oct 2023</vt:lpwstr>
  </property>
  <property fmtid="{D5CDD505-2E9C-101B-9397-08002B2CF9AE}" pid="8" name="Suffix">
    <vt:lpwstr>05-j0-02</vt:lpwstr>
  </property>
  <property fmtid="{D5CDD505-2E9C-101B-9397-08002B2CF9AE}" pid="9" name="Official">
    <vt:lpwstr/>
  </property>
  <property fmtid="{D5CDD505-2E9C-101B-9397-08002B2CF9AE}" pid="10" name="CommencementDate">
    <vt:lpwstr>20231024</vt:lpwstr>
  </property>
  <property fmtid="{D5CDD505-2E9C-101B-9397-08002B2CF9AE}" pid="11" name="CommencementYear">
    <vt:lpwstr>2023</vt:lpwstr>
  </property>
</Properties>
</file>