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Environmental Protection Act 1986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Act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_Toc199511772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_Toc199511773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_Toc199511774 \h </w:instrText>
      </w:r>
      <w:r>
        <w:fldChar w:fldCharType="separate"/>
      </w:r>
      <w:r>
        <w:t>2</w:t>
      </w:r>
      <w:r>
        <w:fldChar w:fldCharType="end"/>
      </w:r>
    </w:p>
    <w:p>
      <w:pPr>
        <w:pStyle w:val="TOC8"/>
        <w:rPr>
          <w:rFonts w:asciiTheme="minorHAnsi" w:eastAsiaTheme="minorEastAsia" w:hAnsiTheme="minorHAnsi" w:cstheme="minorBidi"/>
          <w:szCs w:val="22"/>
        </w:rPr>
      </w:pPr>
      <w:r>
        <w:t>3A.</w:t>
      </w:r>
      <w:r>
        <w:tab/>
        <w:t>Terms used relating to pollution and environmental harm</w:t>
      </w:r>
      <w:r>
        <w:tab/>
      </w:r>
      <w:r>
        <w:fldChar w:fldCharType="begin"/>
      </w:r>
      <w:r>
        <w:instrText xml:space="preserve"> PAGEREF _Toc199511775 \h </w:instrText>
      </w:r>
      <w:r>
        <w:fldChar w:fldCharType="separate"/>
      </w:r>
      <w:r>
        <w:t>20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Crown bound</w:t>
      </w:r>
      <w:r>
        <w:tab/>
      </w:r>
      <w:r>
        <w:fldChar w:fldCharType="begin"/>
      </w:r>
      <w:r>
        <w:instrText xml:space="preserve"> PAGEREF _Toc199511776 \h </w:instrText>
      </w:r>
      <w:r>
        <w:fldChar w:fldCharType="separate"/>
      </w:r>
      <w:r>
        <w:t>21</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Object and principles of Act</w:t>
      </w:r>
      <w:r>
        <w:tab/>
      </w:r>
      <w:r>
        <w:fldChar w:fldCharType="begin"/>
      </w:r>
      <w:r>
        <w:instrText xml:space="preserve"> PAGEREF _Toc199511777 \h </w:instrText>
      </w:r>
      <w:r>
        <w:fldChar w:fldCharType="separate"/>
      </w:r>
      <w:r>
        <w:t>22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Inconsistent laws</w:t>
      </w:r>
      <w:r>
        <w:tab/>
      </w:r>
      <w:r>
        <w:fldChar w:fldCharType="begin"/>
      </w:r>
      <w:r>
        <w:instrText xml:space="preserve"> PAGEREF _Toc199511778 \h </w:instrText>
      </w:r>
      <w:r>
        <w:fldChar w:fldCharType="separate"/>
      </w:r>
      <w:r>
        <w:t>23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Power of Minister or Authority to exempt</w:t>
      </w:r>
      <w:r>
        <w:tab/>
      </w:r>
      <w:r>
        <w:fldChar w:fldCharType="begin"/>
      </w:r>
      <w:r>
        <w:instrText xml:space="preserve"> PAGEREF _Toc199511779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II — Environmental Protection Authority</w:t>
      </w:r>
    </w:p>
    <w:p>
      <w:pPr>
        <w:pStyle w:val="TOC4"/>
        <w:tabs>
          <w:tab w:val="right" w:leader="dot" w:pos="7077"/>
        </w:tabs>
        <w:rPr>
          <w:rFonts w:asciiTheme="minorHAnsi" w:eastAsiaTheme="minorEastAsia" w:hAnsiTheme="minorHAnsi" w:cstheme="minorBidi"/>
          <w:b w:val="0"/>
          <w:szCs w:val="22"/>
        </w:rPr>
      </w:pPr>
      <w:r>
        <w:rPr>
          <w:spacing w:val="-4"/>
        </w:rPr>
        <w:t>Division 1</w:t>
      </w:r>
      <w:r>
        <w:rPr>
          <w:snapToGrid w:val="0"/>
          <w:spacing w:val="-4"/>
        </w:rPr>
        <w:t> — </w:t>
      </w:r>
      <w:r>
        <w:rPr>
          <w:spacing w:val="-4"/>
        </w:rPr>
        <w:t>Composition, procedure, etc. of Environmental Protection Authority</w:t>
      </w:r>
    </w:p>
    <w:p>
      <w:pPr>
        <w:pStyle w:val="TOC8"/>
        <w:rPr>
          <w:rFonts w:asciiTheme="minorHAnsi" w:eastAsiaTheme="minorEastAsia" w:hAnsiTheme="minorHAnsi" w:cstheme="minorBidi"/>
          <w:szCs w:val="22"/>
        </w:rPr>
      </w:pPr>
      <w:r>
        <w:t>7</w:t>
      </w:r>
      <w:r>
        <w:rPr>
          <w:snapToGrid w:val="0"/>
        </w:rPr>
        <w:t>.</w:t>
      </w:r>
      <w:r>
        <w:rPr>
          <w:snapToGrid w:val="0"/>
        </w:rPr>
        <w:tab/>
        <w:t>Continuation and composition of Environmental Protection Authority</w:t>
      </w:r>
      <w:r>
        <w:tab/>
      </w:r>
      <w:r>
        <w:fldChar w:fldCharType="begin"/>
      </w:r>
      <w:r>
        <w:instrText xml:space="preserve"> PAGEREF _Toc199511782 \h </w:instrText>
      </w:r>
      <w:r>
        <w:fldChar w:fldCharType="separate"/>
      </w:r>
      <w:r>
        <w:t>26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Independence of Authority and Chair</w:t>
      </w:r>
      <w:r>
        <w:tab/>
      </w:r>
      <w:r>
        <w:fldChar w:fldCharType="begin"/>
      </w:r>
      <w:r>
        <w:instrText xml:space="preserve"> PAGEREF _Toc199511783 \h </w:instrText>
      </w:r>
      <w:r>
        <w:fldChar w:fldCharType="separate"/>
      </w:r>
      <w:r>
        <w:t>28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Remuneration and allowances of Authority members</w:t>
      </w:r>
      <w:r>
        <w:tab/>
      </w:r>
      <w:r>
        <w:fldChar w:fldCharType="begin"/>
      </w:r>
      <w:r>
        <w:instrText xml:space="preserve"> PAGEREF _Toc199511784 \h </w:instrText>
      </w:r>
      <w:r>
        <w:fldChar w:fldCharType="separate"/>
      </w:r>
      <w:r>
        <w:t>28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Business of Authority</w:t>
      </w:r>
      <w:r>
        <w:tab/>
      </w:r>
      <w:r>
        <w:fldChar w:fldCharType="begin"/>
      </w:r>
      <w:r>
        <w:instrText xml:space="preserve"> PAGEREF _Toc199511785 \h </w:instrText>
      </w:r>
      <w:r>
        <w:fldChar w:fldCharType="separate"/>
      </w:r>
      <w:r>
        <w:t>28</w:t>
      </w:r>
      <w:r>
        <w:fldChar w:fldCharType="end"/>
      </w:r>
    </w:p>
    <w:p>
      <w:pPr>
        <w:pStyle w:val="TOC8"/>
        <w:rPr>
          <w:rFonts w:asciiTheme="minorHAnsi" w:eastAsiaTheme="minorEastAsia" w:hAnsiTheme="minorHAnsi" w:cstheme="minorBidi"/>
          <w:szCs w:val="22"/>
        </w:rPr>
      </w:pPr>
      <w:r>
        <w:t>11.</w:t>
      </w:r>
      <w:r>
        <w:tab/>
        <w:t>Meetings of Authority</w:t>
      </w:r>
      <w:r>
        <w:tab/>
      </w:r>
      <w:r>
        <w:fldChar w:fldCharType="begin"/>
      </w:r>
      <w:r>
        <w:instrText xml:space="preserve"> PAGEREF _Toc199511786 \h </w:instrText>
      </w:r>
      <w:r>
        <w:fldChar w:fldCharType="separate"/>
      </w:r>
      <w:r>
        <w:t>28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Disclosure of interests by Authority members</w:t>
      </w:r>
      <w:r>
        <w:tab/>
      </w:r>
      <w:r>
        <w:fldChar w:fldCharType="begin"/>
      </w:r>
      <w:r>
        <w:instrText xml:space="preserve"> PAGEREF _Toc199511787 \h </w:instrText>
      </w:r>
      <w:r>
        <w:fldChar w:fldCharType="separate"/>
      </w:r>
      <w:r>
        <w:t>30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Decisions of persons presiding at meetings of Authority</w:t>
      </w:r>
      <w:r>
        <w:tab/>
      </w:r>
      <w:r>
        <w:fldChar w:fldCharType="begin"/>
      </w:r>
      <w:r>
        <w:instrText xml:space="preserve"> PAGEREF _Toc199511788 \h </w:instrText>
      </w:r>
      <w:r>
        <w:fldChar w:fldCharType="separate"/>
      </w:r>
      <w:r>
        <w:t>31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Minutes to be kept of meetings of Authority</w:t>
      </w:r>
      <w:r>
        <w:tab/>
      </w:r>
      <w:r>
        <w:fldChar w:fldCharType="begin"/>
      </w:r>
      <w:r>
        <w:instrText xml:space="preserve"> PAGEREF _Toc199511789 \h </w:instrText>
      </w:r>
      <w:r>
        <w:fldChar w:fldCharType="separate"/>
      </w:r>
      <w:r>
        <w:t>31</w:t>
      </w:r>
      <w:r>
        <w:fldChar w:fldCharType="end"/>
      </w:r>
    </w:p>
    <w:p>
      <w:pPr>
        <w:pStyle w:val="TOC8"/>
        <w:rPr>
          <w:rFonts w:asciiTheme="minorHAnsi" w:eastAsiaTheme="minorEastAsia" w:hAnsiTheme="minorHAnsi" w:cstheme="minorBidi"/>
          <w:szCs w:val="22"/>
        </w:rPr>
      </w:pPr>
      <w:r>
        <w:t>14A.</w:t>
      </w:r>
      <w:r>
        <w:tab/>
        <w:t>Decision without meeting</w:t>
      </w:r>
      <w:r>
        <w:tab/>
      </w:r>
      <w:r>
        <w:fldChar w:fldCharType="begin"/>
      </w:r>
      <w:r>
        <w:instrText xml:space="preserve"> PAGEREF _Toc199511790 \h </w:instrText>
      </w:r>
      <w:r>
        <w:fldChar w:fldCharType="separate"/>
      </w:r>
      <w:r>
        <w:t>31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Objectives of Authority</w:t>
      </w:r>
      <w:r>
        <w:tab/>
      </w:r>
      <w:r>
        <w:fldChar w:fldCharType="begin"/>
      </w:r>
      <w:r>
        <w:instrText xml:space="preserve"> PAGEREF _Toc199511791 \h </w:instrText>
      </w:r>
      <w:r>
        <w:fldChar w:fldCharType="separate"/>
      </w:r>
      <w:r>
        <w:t>32</w:t>
      </w:r>
      <w:r>
        <w:fldChar w:fldCharType="end"/>
      </w:r>
    </w:p>
    <w:p>
      <w:pPr>
        <w:pStyle w:val="TOC8"/>
        <w:rPr>
          <w:rFonts w:asciiTheme="minorHAnsi" w:eastAsiaTheme="minorEastAsia" w:hAnsiTheme="minorHAnsi" w:cstheme="minorBidi"/>
          <w:szCs w:val="22"/>
        </w:rPr>
      </w:pPr>
      <w:r>
        <w:lastRenderedPageBreak/>
        <w:t>16</w:t>
      </w:r>
      <w:r>
        <w:rPr>
          <w:snapToGrid w:val="0"/>
        </w:rPr>
        <w:t>.</w:t>
      </w:r>
      <w:r>
        <w:rPr>
          <w:snapToGrid w:val="0"/>
        </w:rPr>
        <w:tab/>
        <w:t>Functions of Authority</w:t>
      </w:r>
      <w:r>
        <w:tab/>
      </w:r>
      <w:r>
        <w:fldChar w:fldCharType="begin"/>
      </w:r>
      <w:r>
        <w:instrText xml:space="preserve"> PAGEREF _Toc199511792 \h </w:instrText>
      </w:r>
      <w:r>
        <w:fldChar w:fldCharType="separate"/>
      </w:r>
      <w:r>
        <w:t>32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Powers of Authority</w:t>
      </w:r>
      <w:r>
        <w:tab/>
      </w:r>
      <w:r>
        <w:fldChar w:fldCharType="begin"/>
      </w:r>
      <w:r>
        <w:instrText xml:space="preserve"> PAGEREF _Toc199511793 \h </w:instrText>
      </w:r>
      <w:r>
        <w:fldChar w:fldCharType="separate"/>
      </w:r>
      <w:r>
        <w:t>34</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Provision of services, information etc. to Authority</w:t>
      </w:r>
      <w:r>
        <w:tab/>
      </w:r>
      <w:r>
        <w:fldChar w:fldCharType="begin"/>
      </w:r>
      <w:r>
        <w:instrText xml:space="preserve"> PAGEREF _Toc199511794 \h </w:instrText>
      </w:r>
      <w:r>
        <w:fldChar w:fldCharType="separate"/>
      </w:r>
      <w:r>
        <w:t>35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Delegation by Minister</w:t>
      </w:r>
      <w:r>
        <w:tab/>
      </w:r>
      <w:r>
        <w:fldChar w:fldCharType="begin"/>
      </w:r>
      <w:r>
        <w:instrText xml:space="preserve"> PAGEREF _Toc199511795 \h </w:instrText>
      </w:r>
      <w:r>
        <w:fldChar w:fldCharType="separate"/>
      </w:r>
      <w:r>
        <w:t>36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Delegation by Authority</w:t>
      </w:r>
      <w:r>
        <w:tab/>
      </w:r>
      <w:r>
        <w:fldChar w:fldCharType="begin"/>
      </w:r>
      <w:r>
        <w:instrText xml:space="preserve"> PAGEREF _Toc199511796 \h </w:instrText>
      </w:r>
      <w:r>
        <w:fldChar w:fldCharType="separate"/>
      </w:r>
      <w:r>
        <w:t>36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Delegation by CEO</w:t>
      </w:r>
      <w:r>
        <w:tab/>
      </w:r>
      <w:r>
        <w:fldChar w:fldCharType="begin"/>
      </w:r>
      <w:r>
        <w:instrText xml:space="preserve"> PAGEREF _Toc199511797 \h </w:instrText>
      </w:r>
      <w:r>
        <w:fldChar w:fldCharType="separate"/>
      </w:r>
      <w:r>
        <w:t>37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Authority to make annual report</w:t>
      </w:r>
      <w:r>
        <w:tab/>
      </w:r>
      <w:r>
        <w:fldChar w:fldCharType="begin"/>
      </w:r>
      <w:r>
        <w:instrText xml:space="preserve"> PAGEREF _Toc199511798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Staff of Department, etc.</w:t>
      </w:r>
    </w:p>
    <w:p>
      <w:pPr>
        <w:pStyle w:val="TOC8"/>
        <w:rPr>
          <w:rFonts w:asciiTheme="minorHAnsi" w:eastAsiaTheme="minorEastAsia" w:hAnsiTheme="minorHAnsi" w:cstheme="minorBidi"/>
          <w:szCs w:val="22"/>
        </w:rPr>
      </w:pPr>
      <w:r>
        <w:t>22</w:t>
      </w:r>
      <w:r>
        <w:rPr>
          <w:snapToGrid w:val="0"/>
        </w:rPr>
        <w:t>.</w:t>
      </w:r>
      <w:r>
        <w:rPr>
          <w:snapToGrid w:val="0"/>
        </w:rPr>
        <w:tab/>
        <w:t>Appointment and engagement of staff generally</w:t>
      </w:r>
      <w:r>
        <w:tab/>
      </w:r>
      <w:r>
        <w:fldChar w:fldCharType="begin"/>
      </w:r>
      <w:r>
        <w:instrText xml:space="preserve"> PAGEREF _Toc199511800 \h </w:instrText>
      </w:r>
      <w:r>
        <w:fldChar w:fldCharType="separate"/>
      </w:r>
      <w:r>
        <w:t>38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Use of staff and facilities of other departments etc.</w:t>
      </w:r>
      <w:r>
        <w:tab/>
      </w:r>
      <w:r>
        <w:fldChar w:fldCharType="begin"/>
      </w:r>
      <w:r>
        <w:instrText xml:space="preserve"> PAGEREF _Toc199511801 \h </w:instrText>
      </w:r>
      <w:r>
        <w:fldChar w:fldCharType="separate"/>
      </w:r>
      <w:r>
        <w:t>38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Advisory groups, committees, councils and panels</w:t>
      </w:r>
      <w:r>
        <w:tab/>
      </w:r>
      <w:r>
        <w:fldChar w:fldCharType="begin"/>
      </w:r>
      <w:r>
        <w:instrText xml:space="preserve"> PAGEREF _Toc199511802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III — Environmental protection policies</w:t>
      </w:r>
    </w:p>
    <w:p>
      <w:pPr>
        <w:pStyle w:val="TOC8"/>
        <w:rPr>
          <w:rFonts w:asciiTheme="minorHAnsi" w:eastAsiaTheme="minorEastAsia" w:hAnsiTheme="minorHAnsi" w:cstheme="minorBidi"/>
          <w:szCs w:val="22"/>
        </w:rPr>
      </w:pPr>
      <w:r>
        <w:t>26</w:t>
      </w:r>
      <w:r>
        <w:rPr>
          <w:snapToGrid w:val="0"/>
        </w:rPr>
        <w:t>.</w:t>
      </w:r>
      <w:r>
        <w:rPr>
          <w:snapToGrid w:val="0"/>
        </w:rPr>
        <w:tab/>
        <w:t>Draft policy, preparation and publicising of</w:t>
      </w:r>
      <w:r>
        <w:tab/>
      </w:r>
      <w:r>
        <w:fldChar w:fldCharType="begin"/>
      </w:r>
      <w:r>
        <w:instrText xml:space="preserve"> PAGEREF _Toc199511804 \h </w:instrText>
      </w:r>
      <w:r>
        <w:fldChar w:fldCharType="separate"/>
      </w:r>
      <w:r>
        <w:t>41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Persons may make representations to Authority on draft policy</w:t>
      </w:r>
      <w:r>
        <w:tab/>
      </w:r>
      <w:r>
        <w:fldChar w:fldCharType="begin"/>
      </w:r>
      <w:r>
        <w:instrText xml:space="preserve"> PAGEREF _Toc199511805 \h </w:instrText>
      </w:r>
      <w:r>
        <w:fldChar w:fldCharType="separate"/>
      </w:r>
      <w:r>
        <w:t>42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Consideration, revision and submission to Minister of draft policy by Authority</w:t>
      </w:r>
      <w:r>
        <w:tab/>
      </w:r>
      <w:r>
        <w:fldChar w:fldCharType="begin"/>
      </w:r>
      <w:r>
        <w:instrText xml:space="preserve"> PAGEREF _Toc199511806 \h </w:instrText>
      </w:r>
      <w:r>
        <w:fldChar w:fldCharType="separate"/>
      </w:r>
      <w:r>
        <w:t>42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Public inquiry into draft policy</w:t>
      </w:r>
      <w:r>
        <w:tab/>
      </w:r>
      <w:r>
        <w:fldChar w:fldCharType="begin"/>
      </w:r>
      <w:r>
        <w:instrText xml:space="preserve"> PAGEREF _Toc199511807 \h </w:instrText>
      </w:r>
      <w:r>
        <w:fldChar w:fldCharType="separate"/>
      </w:r>
      <w:r>
        <w:t>43</w:t>
      </w:r>
      <w:r>
        <w:fldChar w:fldCharType="end"/>
      </w:r>
    </w:p>
    <w:p>
      <w:pPr>
        <w:pStyle w:val="TOC8"/>
        <w:rPr>
          <w:rFonts w:asciiTheme="minorHAnsi" w:eastAsiaTheme="minorEastAsia" w:hAnsiTheme="minorHAnsi" w:cstheme="minorBidi"/>
          <w:szCs w:val="22"/>
        </w:rPr>
      </w:pPr>
      <w:r>
        <w:t>30.</w:t>
      </w:r>
      <w:r>
        <w:tab/>
        <w:t>Minister to consult on draft policy</w:t>
      </w:r>
      <w:r>
        <w:tab/>
      </w:r>
      <w:r>
        <w:fldChar w:fldCharType="begin"/>
      </w:r>
      <w:r>
        <w:instrText xml:space="preserve"> PAGEREF _Toc199511808 \h </w:instrText>
      </w:r>
      <w:r>
        <w:fldChar w:fldCharType="separate"/>
      </w:r>
      <w:r>
        <w:t>44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Minister to remit draft policy, or approve it (with or without amendments) or refuse to approve it</w:t>
      </w:r>
      <w:r>
        <w:tab/>
      </w:r>
      <w:r>
        <w:fldChar w:fldCharType="begin"/>
      </w:r>
      <w:r>
        <w:instrText xml:space="preserve"> PAGEREF _Toc199511809 \h </w:instrText>
      </w:r>
      <w:r>
        <w:fldChar w:fldCharType="separate"/>
      </w:r>
      <w:r>
        <w:t>45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Reconsidering and resubmitting remitted draft policy</w:t>
      </w:r>
      <w:r>
        <w:tab/>
      </w:r>
      <w:r>
        <w:fldChar w:fldCharType="begin"/>
      </w:r>
      <w:r>
        <w:instrText xml:space="preserve"> PAGEREF _Toc199511810 \h </w:instrText>
      </w:r>
      <w:r>
        <w:fldChar w:fldCharType="separate"/>
      </w:r>
      <w:r>
        <w:t>46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Approved policies, status and revocation of</w:t>
      </w:r>
      <w:r>
        <w:tab/>
      </w:r>
      <w:r>
        <w:fldChar w:fldCharType="begin"/>
      </w:r>
      <w:r>
        <w:instrText xml:space="preserve"> PAGEREF _Toc199511811 \h </w:instrText>
      </w:r>
      <w:r>
        <w:fldChar w:fldCharType="separate"/>
      </w:r>
      <w:r>
        <w:t>47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Orders made under s. 31(d), Parliamentary oversight of</w:t>
      </w:r>
      <w:r>
        <w:tab/>
      </w:r>
      <w:r>
        <w:fldChar w:fldCharType="begin"/>
      </w:r>
      <w:r>
        <w:instrText xml:space="preserve"> PAGEREF _Toc199511812 \h </w:instrText>
      </w:r>
      <w:r>
        <w:fldChar w:fldCharType="separate"/>
      </w:r>
      <w:r>
        <w:t>48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Content of approved policies</w:t>
      </w:r>
      <w:r>
        <w:tab/>
      </w:r>
      <w:r>
        <w:fldChar w:fldCharType="begin"/>
      </w:r>
      <w:r>
        <w:instrText xml:space="preserve"> PAGEREF _Toc199511813 \h </w:instrText>
      </w:r>
      <w:r>
        <w:fldChar w:fldCharType="separate"/>
      </w:r>
      <w:r>
        <w:t>48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Review of approved policies</w:t>
      </w:r>
      <w:r>
        <w:tab/>
      </w:r>
      <w:r>
        <w:fldChar w:fldCharType="begin"/>
      </w:r>
      <w:r>
        <w:instrText xml:space="preserve"> PAGEREF _Toc199511814 \h </w:instrText>
      </w:r>
      <w:r>
        <w:fldChar w:fldCharType="separate"/>
      </w:r>
      <w:r>
        <w:t>51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r>
      <w:r>
        <w:rPr>
          <w:snapToGrid w:val="0"/>
          <w:spacing w:val="-2"/>
        </w:rPr>
        <w:t>Minor changes to approved policies</w:t>
      </w:r>
      <w:r>
        <w:tab/>
      </w:r>
      <w:r>
        <w:fldChar w:fldCharType="begin"/>
      </w:r>
      <w:r>
        <w:instrText xml:space="preserve"> PAGEREF _Toc199511815 \h </w:instrText>
      </w:r>
      <w:r>
        <w:fldChar w:fldCharType="separate"/>
      </w:r>
      <w:r>
        <w:t>52</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NEPM may be declared to be approved policy</w:t>
      </w:r>
      <w:r>
        <w:tab/>
      </w:r>
      <w:r>
        <w:fldChar w:fldCharType="begin"/>
      </w:r>
      <w:r>
        <w:instrText xml:space="preserve"> PAGEREF _Toc199511816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IV — Environmental impact assessment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Referral and assessment of proposals</w:t>
      </w:r>
    </w:p>
    <w:p>
      <w:pPr>
        <w:pStyle w:val="TOC8"/>
        <w:rPr>
          <w:rFonts w:asciiTheme="minorHAnsi" w:eastAsiaTheme="minorEastAsia" w:hAnsiTheme="minorHAnsi" w:cstheme="minorBidi"/>
          <w:szCs w:val="22"/>
        </w:rPr>
      </w:pPr>
      <w:r>
        <w:t>37B.</w:t>
      </w:r>
      <w:r>
        <w:tab/>
        <w:t>Terms used</w:t>
      </w:r>
      <w:r>
        <w:tab/>
      </w:r>
      <w:r>
        <w:fldChar w:fldCharType="begin"/>
      </w:r>
      <w:r>
        <w:instrText xml:space="preserve"> PAGEREF _Toc199511819 \h </w:instrText>
      </w:r>
      <w:r>
        <w:fldChar w:fldCharType="separate"/>
      </w:r>
      <w:r>
        <w:t>54</w:t>
      </w:r>
      <w:r>
        <w:fldChar w:fldCharType="end"/>
      </w:r>
    </w:p>
    <w:p>
      <w:pPr>
        <w:pStyle w:val="TOC8"/>
        <w:rPr>
          <w:rFonts w:asciiTheme="minorHAnsi" w:eastAsiaTheme="minorEastAsia" w:hAnsiTheme="minorHAnsi" w:cstheme="minorBidi"/>
          <w:szCs w:val="22"/>
        </w:rPr>
      </w:pPr>
      <w:r>
        <w:t>38.</w:t>
      </w:r>
      <w:r>
        <w:tab/>
        <w:t>Referral of proposals</w:t>
      </w:r>
      <w:r>
        <w:tab/>
      </w:r>
      <w:r>
        <w:fldChar w:fldCharType="begin"/>
      </w:r>
      <w:r>
        <w:instrText xml:space="preserve"> PAGEREF _Toc199511820 \h </w:instrText>
      </w:r>
      <w:r>
        <w:fldChar w:fldCharType="separate"/>
      </w:r>
      <w:r>
        <w:t>54</w:t>
      </w:r>
      <w:r>
        <w:fldChar w:fldCharType="end"/>
      </w:r>
    </w:p>
    <w:p>
      <w:pPr>
        <w:pStyle w:val="TOC8"/>
        <w:rPr>
          <w:rFonts w:asciiTheme="minorHAnsi" w:eastAsiaTheme="minorEastAsia" w:hAnsiTheme="minorHAnsi" w:cstheme="minorBidi"/>
          <w:szCs w:val="22"/>
        </w:rPr>
      </w:pPr>
      <w:r>
        <w:lastRenderedPageBreak/>
        <w:t>38A.</w:t>
      </w:r>
      <w:r>
        <w:tab/>
        <w:t>Calling in a proposal</w:t>
      </w:r>
      <w:r>
        <w:tab/>
      </w:r>
      <w:r>
        <w:fldChar w:fldCharType="begin"/>
      </w:r>
      <w:r>
        <w:instrText xml:space="preserve"> PAGEREF _Toc199511821 \h </w:instrText>
      </w:r>
      <w:r>
        <w:fldChar w:fldCharType="separate"/>
      </w:r>
      <w:r>
        <w:t>55</w:t>
      </w:r>
      <w:r>
        <w:fldChar w:fldCharType="end"/>
      </w:r>
    </w:p>
    <w:p>
      <w:pPr>
        <w:pStyle w:val="TOC8"/>
        <w:rPr>
          <w:rFonts w:asciiTheme="minorHAnsi" w:eastAsiaTheme="minorEastAsia" w:hAnsiTheme="minorHAnsi" w:cstheme="minorBidi"/>
          <w:szCs w:val="22"/>
        </w:rPr>
      </w:pPr>
      <w:r>
        <w:t>38B.</w:t>
      </w:r>
      <w:r>
        <w:tab/>
        <w:t>Requirements as to referrals</w:t>
      </w:r>
      <w:r>
        <w:tab/>
      </w:r>
      <w:r>
        <w:fldChar w:fldCharType="begin"/>
      </w:r>
      <w:r>
        <w:instrText xml:space="preserve"> PAGEREF _Toc199511822 \h </w:instrText>
      </w:r>
      <w:r>
        <w:fldChar w:fldCharType="separate"/>
      </w:r>
      <w:r>
        <w:t>56</w:t>
      </w:r>
      <w:r>
        <w:fldChar w:fldCharType="end"/>
      </w:r>
    </w:p>
    <w:p>
      <w:pPr>
        <w:pStyle w:val="TOC8"/>
        <w:rPr>
          <w:rFonts w:asciiTheme="minorHAnsi" w:eastAsiaTheme="minorEastAsia" w:hAnsiTheme="minorHAnsi" w:cstheme="minorBidi"/>
          <w:szCs w:val="22"/>
        </w:rPr>
      </w:pPr>
      <w:r>
        <w:t>38C.</w:t>
      </w:r>
      <w:r>
        <w:tab/>
        <w:t>Proponent may amend a referred proposal</w:t>
      </w:r>
      <w:r>
        <w:tab/>
      </w:r>
      <w:r>
        <w:fldChar w:fldCharType="begin"/>
      </w:r>
      <w:r>
        <w:instrText xml:space="preserve"> PAGEREF _Toc199511823 \h </w:instrText>
      </w:r>
      <w:r>
        <w:fldChar w:fldCharType="separate"/>
      </w:r>
      <w:r>
        <w:t>56</w:t>
      </w:r>
      <w:r>
        <w:fldChar w:fldCharType="end"/>
      </w:r>
    </w:p>
    <w:p>
      <w:pPr>
        <w:pStyle w:val="TOC8"/>
        <w:rPr>
          <w:rFonts w:asciiTheme="minorHAnsi" w:eastAsiaTheme="minorEastAsia" w:hAnsiTheme="minorHAnsi" w:cstheme="minorBidi"/>
          <w:szCs w:val="22"/>
        </w:rPr>
      </w:pPr>
      <w:r>
        <w:t>38D.</w:t>
      </w:r>
      <w:r>
        <w:tab/>
        <w:t>Proponent may give notice that a referred proposal will not proceed</w:t>
      </w:r>
      <w:r>
        <w:tab/>
      </w:r>
      <w:r>
        <w:fldChar w:fldCharType="begin"/>
      </w:r>
      <w:r>
        <w:instrText xml:space="preserve"> PAGEREF _Toc199511824 \h </w:instrText>
      </w:r>
      <w:r>
        <w:fldChar w:fldCharType="separate"/>
      </w:r>
      <w:r>
        <w:t>57</w:t>
      </w:r>
      <w:r>
        <w:fldChar w:fldCharType="end"/>
      </w:r>
    </w:p>
    <w:p>
      <w:pPr>
        <w:pStyle w:val="TOC8"/>
        <w:rPr>
          <w:rFonts w:asciiTheme="minorHAnsi" w:eastAsiaTheme="minorEastAsia" w:hAnsiTheme="minorHAnsi" w:cstheme="minorBidi"/>
          <w:szCs w:val="22"/>
        </w:rPr>
      </w:pPr>
      <w:r>
        <w:t>38E.</w:t>
      </w:r>
      <w:r>
        <w:tab/>
        <w:t>Proposals derived from assessed strategic proposals</w:t>
      </w:r>
      <w:r>
        <w:tab/>
      </w:r>
      <w:r>
        <w:fldChar w:fldCharType="begin"/>
      </w:r>
      <w:r>
        <w:instrText xml:space="preserve"> PAGEREF _Toc199511825 \h </w:instrText>
      </w:r>
      <w:r>
        <w:fldChar w:fldCharType="separate"/>
      </w:r>
      <w:r>
        <w:t>57</w:t>
      </w:r>
      <w:r>
        <w:fldChar w:fldCharType="end"/>
      </w:r>
    </w:p>
    <w:p>
      <w:pPr>
        <w:pStyle w:val="TOC8"/>
        <w:rPr>
          <w:rFonts w:asciiTheme="minorHAnsi" w:eastAsiaTheme="minorEastAsia" w:hAnsiTheme="minorHAnsi" w:cstheme="minorBidi"/>
          <w:szCs w:val="22"/>
        </w:rPr>
      </w:pPr>
      <w:r>
        <w:t>38F.</w:t>
      </w:r>
      <w:r>
        <w:tab/>
        <w:t>Request for further information</w:t>
      </w:r>
      <w:r>
        <w:tab/>
      </w:r>
      <w:r>
        <w:fldChar w:fldCharType="begin"/>
      </w:r>
      <w:r>
        <w:instrText xml:space="preserve"> PAGEREF _Toc199511826 \h </w:instrText>
      </w:r>
      <w:r>
        <w:fldChar w:fldCharType="separate"/>
      </w:r>
      <w:r>
        <w:t>59</w:t>
      </w:r>
      <w:r>
        <w:fldChar w:fldCharType="end"/>
      </w:r>
    </w:p>
    <w:p>
      <w:pPr>
        <w:pStyle w:val="TOC8"/>
        <w:rPr>
          <w:rFonts w:asciiTheme="minorHAnsi" w:eastAsiaTheme="minorEastAsia" w:hAnsiTheme="minorHAnsi" w:cstheme="minorBidi"/>
          <w:szCs w:val="22"/>
        </w:rPr>
      </w:pPr>
      <w:r>
        <w:t>38G.</w:t>
      </w:r>
      <w:r>
        <w:tab/>
        <w:t>Authority must decide whether to assess a referred proposal</w:t>
      </w:r>
      <w:r>
        <w:tab/>
      </w:r>
      <w:r>
        <w:fldChar w:fldCharType="begin"/>
      </w:r>
      <w:r>
        <w:instrText xml:space="preserve"> PAGEREF _Toc199511827 \h </w:instrText>
      </w:r>
      <w:r>
        <w:fldChar w:fldCharType="separate"/>
      </w:r>
      <w:r>
        <w:t>60</w:t>
      </w:r>
      <w:r>
        <w:fldChar w:fldCharType="end"/>
      </w:r>
    </w:p>
    <w:p>
      <w:pPr>
        <w:pStyle w:val="TOC8"/>
        <w:rPr>
          <w:rFonts w:asciiTheme="minorHAnsi" w:eastAsiaTheme="minorEastAsia" w:hAnsiTheme="minorHAnsi" w:cstheme="minorBidi"/>
          <w:szCs w:val="22"/>
        </w:rPr>
      </w:pPr>
      <w:r>
        <w:t>38H.</w:t>
      </w:r>
      <w:r>
        <w:tab/>
        <w:t>Nomination of person responsible for proposal</w:t>
      </w:r>
      <w:r>
        <w:tab/>
      </w:r>
      <w:r>
        <w:fldChar w:fldCharType="begin"/>
      </w:r>
      <w:r>
        <w:instrText xml:space="preserve"> PAGEREF _Toc199511828 \h </w:instrText>
      </w:r>
      <w:r>
        <w:fldChar w:fldCharType="separate"/>
      </w:r>
      <w:r>
        <w:t>61</w:t>
      </w:r>
      <w:r>
        <w:fldChar w:fldCharType="end"/>
      </w:r>
    </w:p>
    <w:p>
      <w:pPr>
        <w:pStyle w:val="TOC8"/>
        <w:rPr>
          <w:rFonts w:asciiTheme="minorHAnsi" w:eastAsiaTheme="minorEastAsia" w:hAnsiTheme="minorHAnsi" w:cstheme="minorBidi"/>
          <w:szCs w:val="22"/>
        </w:rPr>
      </w:pPr>
      <w:r>
        <w:t>38I.</w:t>
      </w:r>
      <w:r>
        <w:tab/>
        <w:t>Change of person responsible for proposal</w:t>
      </w:r>
      <w:r>
        <w:tab/>
      </w:r>
      <w:r>
        <w:fldChar w:fldCharType="begin"/>
      </w:r>
      <w:r>
        <w:instrText xml:space="preserve"> PAGEREF _Toc199511829 \h </w:instrText>
      </w:r>
      <w:r>
        <w:fldChar w:fldCharType="separate"/>
      </w:r>
      <w:r>
        <w:t>62</w:t>
      </w:r>
      <w:r>
        <w:fldChar w:fldCharType="end"/>
      </w:r>
    </w:p>
    <w:p>
      <w:pPr>
        <w:pStyle w:val="TOC8"/>
        <w:rPr>
          <w:rFonts w:asciiTheme="minorHAnsi" w:eastAsiaTheme="minorEastAsia" w:hAnsiTheme="minorHAnsi" w:cstheme="minorBidi"/>
          <w:szCs w:val="22"/>
        </w:rPr>
      </w:pPr>
      <w:r>
        <w:t>39.</w:t>
      </w:r>
      <w:r>
        <w:tab/>
        <w:t>Authority to keep records of referred proposals</w:t>
      </w:r>
      <w:r>
        <w:tab/>
      </w:r>
      <w:r>
        <w:fldChar w:fldCharType="begin"/>
      </w:r>
      <w:r>
        <w:instrText xml:space="preserve"> PAGEREF _Toc199511830 \h </w:instrText>
      </w:r>
      <w:r>
        <w:fldChar w:fldCharType="separate"/>
      </w:r>
      <w:r>
        <w:t>63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Assessing referred proposals</w:t>
      </w:r>
      <w:r>
        <w:tab/>
      </w:r>
      <w:r>
        <w:fldChar w:fldCharType="begin"/>
      </w:r>
      <w:r>
        <w:instrText xml:space="preserve"> PAGEREF _Toc199511831 \h </w:instrText>
      </w:r>
      <w:r>
        <w:fldChar w:fldCharType="separate"/>
      </w:r>
      <w:r>
        <w:t>63</w:t>
      </w:r>
      <w:r>
        <w:fldChar w:fldCharType="end"/>
      </w:r>
    </w:p>
    <w:p>
      <w:pPr>
        <w:pStyle w:val="TOC8"/>
        <w:rPr>
          <w:rFonts w:asciiTheme="minorHAnsi" w:eastAsiaTheme="minorEastAsia" w:hAnsiTheme="minorHAnsi" w:cstheme="minorBidi"/>
          <w:szCs w:val="22"/>
        </w:rPr>
      </w:pPr>
      <w:r>
        <w:t>40AA.</w:t>
      </w:r>
      <w:r>
        <w:tab/>
        <w:t>Assessment of significant amendments</w:t>
      </w:r>
      <w:r>
        <w:tab/>
      </w:r>
      <w:r>
        <w:fldChar w:fldCharType="begin"/>
      </w:r>
      <w:r>
        <w:instrText xml:space="preserve"> PAGEREF _Toc199511832 \h </w:instrText>
      </w:r>
      <w:r>
        <w:fldChar w:fldCharType="separate"/>
      </w:r>
      <w:r>
        <w:t>66</w:t>
      </w:r>
      <w:r>
        <w:fldChar w:fldCharType="end"/>
      </w:r>
    </w:p>
    <w:p>
      <w:pPr>
        <w:pStyle w:val="TOC8"/>
        <w:rPr>
          <w:rFonts w:asciiTheme="minorHAnsi" w:eastAsiaTheme="minorEastAsia" w:hAnsiTheme="minorHAnsi" w:cstheme="minorBidi"/>
          <w:szCs w:val="22"/>
        </w:rPr>
      </w:pPr>
      <w:r>
        <w:t>40A.</w:t>
      </w:r>
      <w:r>
        <w:tab/>
        <w:t>Termination of assessment</w:t>
      </w:r>
      <w:r>
        <w:tab/>
      </w:r>
      <w:r>
        <w:fldChar w:fldCharType="begin"/>
      </w:r>
      <w:r>
        <w:instrText xml:space="preserve"> PAGEREF _Toc199511833 \h </w:instrText>
      </w:r>
      <w:r>
        <w:fldChar w:fldCharType="separate"/>
      </w:r>
      <w:r>
        <w:t>67</w:t>
      </w:r>
      <w:r>
        <w:fldChar w:fldCharType="end"/>
      </w:r>
    </w:p>
    <w:p>
      <w:pPr>
        <w:pStyle w:val="TOC8"/>
        <w:rPr>
          <w:rFonts w:asciiTheme="minorHAnsi" w:eastAsiaTheme="minorEastAsia" w:hAnsiTheme="minorHAnsi" w:cstheme="minorBidi"/>
          <w:szCs w:val="22"/>
        </w:rPr>
      </w:pPr>
      <w:r>
        <w:t>40B.</w:t>
      </w:r>
      <w:r>
        <w:tab/>
        <w:t>Application of assessment provisions to strategic proposals and strategic assessments</w:t>
      </w:r>
      <w:r>
        <w:tab/>
      </w:r>
      <w:r>
        <w:fldChar w:fldCharType="begin"/>
      </w:r>
      <w:r>
        <w:instrText xml:space="preserve"> PAGEREF _Toc199511834 \h </w:instrText>
      </w:r>
      <w:r>
        <w:fldChar w:fldCharType="separate"/>
      </w:r>
      <w:r>
        <w:t>68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Decision</w:t>
      </w:r>
      <w:r>
        <w:rPr>
          <w:snapToGrid w:val="0"/>
        </w:rPr>
        <w:noBreakHyphen/>
        <w:t>making authority not to approve proposal until certain events occur</w:t>
      </w:r>
      <w:r>
        <w:tab/>
      </w:r>
      <w:r>
        <w:fldChar w:fldCharType="begin"/>
      </w:r>
      <w:r>
        <w:instrText xml:space="preserve"> PAGEREF _Toc199511835 \h </w:instrText>
      </w:r>
      <w:r>
        <w:fldChar w:fldCharType="separate"/>
      </w:r>
      <w:r>
        <w:t>68</w:t>
      </w:r>
      <w:r>
        <w:fldChar w:fldCharType="end"/>
      </w:r>
    </w:p>
    <w:p>
      <w:pPr>
        <w:pStyle w:val="TOC8"/>
        <w:rPr>
          <w:rFonts w:asciiTheme="minorHAnsi" w:eastAsiaTheme="minorEastAsia" w:hAnsiTheme="minorHAnsi" w:cstheme="minorBidi"/>
          <w:szCs w:val="22"/>
        </w:rPr>
      </w:pPr>
      <w:r>
        <w:t>41A.</w:t>
      </w:r>
      <w:r>
        <w:tab/>
        <w:t>Proposal not to be implemented before action under s. 45 taken</w:t>
      </w:r>
      <w:r>
        <w:tab/>
      </w:r>
      <w:r>
        <w:fldChar w:fldCharType="begin"/>
      </w:r>
      <w:r>
        <w:instrText xml:space="preserve"> PAGEREF _Toc199511836 \h </w:instrText>
      </w:r>
      <w:r>
        <w:fldChar w:fldCharType="separate"/>
      </w:r>
      <w:r>
        <w:t>69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Conduct of public inquiries under s. 40(2)(c)</w:t>
      </w:r>
      <w:r>
        <w:tab/>
      </w:r>
      <w:r>
        <w:fldChar w:fldCharType="begin"/>
      </w:r>
      <w:r>
        <w:instrText xml:space="preserve"> PAGEREF _Toc199511837 \h </w:instrText>
      </w:r>
      <w:r>
        <w:fldChar w:fldCharType="separate"/>
      </w:r>
      <w:r>
        <w:t>70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Minister may direct Authority as to assessing proposal</w:t>
      </w:r>
      <w:r>
        <w:tab/>
      </w:r>
      <w:r>
        <w:fldChar w:fldCharType="begin"/>
      </w:r>
      <w:r>
        <w:instrText xml:space="preserve"> PAGEREF _Toc199511838 \h </w:instrText>
      </w:r>
      <w:r>
        <w:fldChar w:fldCharType="separate"/>
      </w:r>
      <w:r>
        <w:t>70</w:t>
      </w:r>
      <w:r>
        <w:fldChar w:fldCharType="end"/>
      </w:r>
    </w:p>
    <w:p>
      <w:pPr>
        <w:pStyle w:val="TOC8"/>
        <w:rPr>
          <w:rFonts w:asciiTheme="minorHAnsi" w:eastAsiaTheme="minorEastAsia" w:hAnsiTheme="minorHAnsi" w:cstheme="minorBidi"/>
          <w:szCs w:val="22"/>
        </w:rPr>
      </w:pPr>
      <w:r>
        <w:t>43A.</w:t>
      </w:r>
      <w:r>
        <w:tab/>
        <w:t>Amendments to proposals during assessment</w:t>
      </w:r>
      <w:r>
        <w:tab/>
      </w:r>
      <w:r>
        <w:fldChar w:fldCharType="begin"/>
      </w:r>
      <w:r>
        <w:instrText xml:space="preserve"> PAGEREF _Toc199511839 \h </w:instrText>
      </w:r>
      <w:r>
        <w:fldChar w:fldCharType="separate"/>
      </w:r>
      <w:r>
        <w:t>71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Report by Authority on assessment of proposal</w:t>
      </w:r>
      <w:r>
        <w:tab/>
      </w:r>
      <w:r>
        <w:fldChar w:fldCharType="begin"/>
      </w:r>
      <w:r>
        <w:instrText xml:space="preserve"> PAGEREF _Toc199511840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Implementation of proposals</w:t>
      </w:r>
    </w:p>
    <w:p>
      <w:pPr>
        <w:pStyle w:val="TOC8"/>
        <w:rPr>
          <w:rFonts w:asciiTheme="minorHAnsi" w:eastAsiaTheme="minorEastAsia" w:hAnsiTheme="minorHAnsi" w:cstheme="minorBidi"/>
          <w:szCs w:val="22"/>
        </w:rPr>
      </w:pPr>
      <w:r>
        <w:t>44A.</w:t>
      </w:r>
      <w:r>
        <w:tab/>
        <w:t>Terms used</w:t>
      </w:r>
      <w:r>
        <w:tab/>
      </w:r>
      <w:r>
        <w:fldChar w:fldCharType="begin"/>
      </w:r>
      <w:r>
        <w:instrText xml:space="preserve"> PAGEREF _Toc199511842 \h </w:instrText>
      </w:r>
      <w:r>
        <w:fldChar w:fldCharType="separate"/>
      </w:r>
      <w:r>
        <w:t>74</w:t>
      </w:r>
      <w:r>
        <w:fldChar w:fldCharType="end"/>
      </w:r>
    </w:p>
    <w:p>
      <w:pPr>
        <w:pStyle w:val="TOC8"/>
        <w:rPr>
          <w:rFonts w:asciiTheme="minorHAnsi" w:eastAsiaTheme="minorEastAsia" w:hAnsiTheme="minorHAnsi" w:cstheme="minorBidi"/>
          <w:szCs w:val="22"/>
        </w:rPr>
      </w:pPr>
      <w:r>
        <w:t>45.</w:t>
      </w:r>
      <w:r>
        <w:tab/>
        <w:t>Procedure for deciding if assessed proposal may be implemented</w:t>
      </w:r>
      <w:r>
        <w:tab/>
      </w:r>
      <w:r>
        <w:fldChar w:fldCharType="begin"/>
      </w:r>
      <w:r>
        <w:instrText xml:space="preserve"> PAGEREF _Toc199511843 \h </w:instrText>
      </w:r>
      <w:r>
        <w:fldChar w:fldCharType="separate"/>
      </w:r>
      <w:r>
        <w:t>75</w:t>
      </w:r>
      <w:r>
        <w:fldChar w:fldCharType="end"/>
      </w:r>
    </w:p>
    <w:p>
      <w:pPr>
        <w:pStyle w:val="TOC8"/>
        <w:rPr>
          <w:rFonts w:asciiTheme="minorHAnsi" w:eastAsiaTheme="minorEastAsia" w:hAnsiTheme="minorHAnsi" w:cstheme="minorBidi"/>
          <w:szCs w:val="22"/>
        </w:rPr>
      </w:pPr>
      <w:r>
        <w:t>45A.</w:t>
      </w:r>
      <w:r>
        <w:tab/>
        <w:t>Implementation conditions</w:t>
      </w:r>
      <w:r>
        <w:tab/>
      </w:r>
      <w:r>
        <w:fldChar w:fldCharType="begin"/>
      </w:r>
      <w:r>
        <w:instrText xml:space="preserve"> PAGEREF _Toc199511844 \h </w:instrText>
      </w:r>
      <w:r>
        <w:fldChar w:fldCharType="separate"/>
      </w:r>
      <w:r>
        <w:t>78</w:t>
      </w:r>
      <w:r>
        <w:fldChar w:fldCharType="end"/>
      </w:r>
    </w:p>
    <w:p>
      <w:pPr>
        <w:pStyle w:val="TOC8"/>
        <w:rPr>
          <w:rFonts w:asciiTheme="minorHAnsi" w:eastAsiaTheme="minorEastAsia" w:hAnsiTheme="minorHAnsi" w:cstheme="minorBidi"/>
          <w:szCs w:val="22"/>
        </w:rPr>
      </w:pPr>
      <w:r>
        <w:t>45B.</w:t>
      </w:r>
      <w:r>
        <w:tab/>
        <w:t>Implementation of derived proposal</w:t>
      </w:r>
      <w:r>
        <w:tab/>
      </w:r>
      <w:r>
        <w:fldChar w:fldCharType="begin"/>
      </w:r>
      <w:r>
        <w:instrText xml:space="preserve"> PAGEREF _Toc199511845 \h </w:instrText>
      </w:r>
      <w:r>
        <w:fldChar w:fldCharType="separate"/>
      </w:r>
      <w:r>
        <w:t>79</w:t>
      </w:r>
      <w:r>
        <w:fldChar w:fldCharType="end"/>
      </w:r>
    </w:p>
    <w:p>
      <w:pPr>
        <w:pStyle w:val="TOC8"/>
        <w:rPr>
          <w:rFonts w:asciiTheme="minorHAnsi" w:eastAsiaTheme="minorEastAsia" w:hAnsiTheme="minorHAnsi" w:cstheme="minorBidi"/>
          <w:szCs w:val="22"/>
        </w:rPr>
      </w:pPr>
      <w:r>
        <w:t>45C.</w:t>
      </w:r>
      <w:r>
        <w:tab/>
        <w:t>Amending approved proposals or implementation conditions without inquiry or assessment</w:t>
      </w:r>
      <w:r>
        <w:tab/>
      </w:r>
      <w:r>
        <w:fldChar w:fldCharType="begin"/>
      </w:r>
      <w:r>
        <w:instrText xml:space="preserve"> PAGEREF _Toc199511846 \h </w:instrText>
      </w:r>
      <w:r>
        <w:fldChar w:fldCharType="separate"/>
      </w:r>
      <w:r>
        <w:t>80</w:t>
      </w:r>
      <w:r>
        <w:fldChar w:fldCharType="end"/>
      </w:r>
    </w:p>
    <w:p>
      <w:pPr>
        <w:pStyle w:val="TOC8"/>
        <w:rPr>
          <w:rFonts w:asciiTheme="minorHAnsi" w:eastAsiaTheme="minorEastAsia" w:hAnsiTheme="minorHAnsi" w:cstheme="minorBidi"/>
          <w:szCs w:val="22"/>
        </w:rPr>
      </w:pPr>
      <w:r>
        <w:t>45D.</w:t>
      </w:r>
      <w:r>
        <w:tab/>
        <w:t>Division or consolidation of proposals and issue of separate or combined Ministerial statements</w:t>
      </w:r>
      <w:r>
        <w:tab/>
      </w:r>
      <w:r>
        <w:fldChar w:fldCharType="begin"/>
      </w:r>
      <w:r>
        <w:instrText xml:space="preserve"> PAGEREF _Toc199511847 \h </w:instrText>
      </w:r>
      <w:r>
        <w:fldChar w:fldCharType="separate"/>
      </w:r>
      <w:r>
        <w:t>83</w:t>
      </w:r>
      <w:r>
        <w:fldChar w:fldCharType="end"/>
      </w:r>
    </w:p>
    <w:p>
      <w:pPr>
        <w:pStyle w:val="TOC8"/>
        <w:rPr>
          <w:rFonts w:asciiTheme="minorHAnsi" w:eastAsiaTheme="minorEastAsia" w:hAnsiTheme="minorHAnsi" w:cstheme="minorBidi"/>
          <w:szCs w:val="22"/>
        </w:rPr>
      </w:pPr>
      <w:r>
        <w:t>46.</w:t>
      </w:r>
      <w:r>
        <w:tab/>
        <w:t>Amending implementation conditions after inquiry</w:t>
      </w:r>
      <w:r>
        <w:tab/>
      </w:r>
      <w:r>
        <w:fldChar w:fldCharType="begin"/>
      </w:r>
      <w:r>
        <w:instrText xml:space="preserve"> PAGEREF _Toc199511848 \h </w:instrText>
      </w:r>
      <w:r>
        <w:fldChar w:fldCharType="separate"/>
      </w:r>
      <w:r>
        <w:t>83</w:t>
      </w:r>
      <w:r>
        <w:fldChar w:fldCharType="end"/>
      </w:r>
    </w:p>
    <w:p>
      <w:pPr>
        <w:pStyle w:val="TOC8"/>
        <w:rPr>
          <w:rFonts w:asciiTheme="minorHAnsi" w:eastAsiaTheme="minorEastAsia" w:hAnsiTheme="minorHAnsi" w:cstheme="minorBidi"/>
          <w:szCs w:val="22"/>
        </w:rPr>
      </w:pPr>
      <w:r>
        <w:t>46A.</w:t>
      </w:r>
      <w:r>
        <w:tab/>
        <w:t>Interim conditions and procedures</w:t>
      </w:r>
      <w:r>
        <w:tab/>
      </w:r>
      <w:r>
        <w:fldChar w:fldCharType="begin"/>
      </w:r>
      <w:r>
        <w:instrText xml:space="preserve"> PAGEREF _Toc199511849 \h </w:instrText>
      </w:r>
      <w:r>
        <w:fldChar w:fldCharType="separate"/>
      </w:r>
      <w:r>
        <w:t>85</w:t>
      </w:r>
      <w:r>
        <w:fldChar w:fldCharType="end"/>
      </w:r>
    </w:p>
    <w:p>
      <w:pPr>
        <w:pStyle w:val="TOC8"/>
        <w:rPr>
          <w:rFonts w:asciiTheme="minorHAnsi" w:eastAsiaTheme="minorEastAsia" w:hAnsiTheme="minorHAnsi" w:cstheme="minorBidi"/>
          <w:szCs w:val="22"/>
        </w:rPr>
      </w:pPr>
      <w:r>
        <w:lastRenderedPageBreak/>
        <w:t>47.</w:t>
      </w:r>
      <w:r>
        <w:tab/>
        <w:t>Duties of proponents after service of Ministerial statement</w:t>
      </w:r>
      <w:r>
        <w:tab/>
      </w:r>
      <w:r>
        <w:fldChar w:fldCharType="begin"/>
      </w:r>
      <w:r>
        <w:instrText xml:space="preserve"> PAGEREF _Toc199511850 \h </w:instrText>
      </w:r>
      <w:r>
        <w:fldChar w:fldCharType="separate"/>
      </w:r>
      <w:r>
        <w:t>86</w:t>
      </w:r>
      <w:r>
        <w:fldChar w:fldCharType="end"/>
      </w:r>
    </w:p>
    <w:p>
      <w:pPr>
        <w:pStyle w:val="TOC8"/>
        <w:rPr>
          <w:rFonts w:asciiTheme="minorHAnsi" w:eastAsiaTheme="minorEastAsia" w:hAnsiTheme="minorHAnsi" w:cstheme="minorBidi"/>
          <w:szCs w:val="22"/>
        </w:rPr>
      </w:pPr>
      <w:r>
        <w:t>47A.</w:t>
      </w:r>
      <w:r>
        <w:tab/>
        <w:t>Duration and withdrawal of Ministerial statement</w:t>
      </w:r>
      <w:r>
        <w:tab/>
      </w:r>
      <w:r>
        <w:fldChar w:fldCharType="begin"/>
      </w:r>
      <w:r>
        <w:instrText xml:space="preserve"> PAGEREF _Toc199511851 \h </w:instrText>
      </w:r>
      <w:r>
        <w:fldChar w:fldCharType="separate"/>
      </w:r>
      <w:r>
        <w:t>87</w:t>
      </w:r>
      <w:r>
        <w:fldChar w:fldCharType="end"/>
      </w:r>
    </w:p>
    <w:p>
      <w:pPr>
        <w:pStyle w:val="TOC8"/>
        <w:rPr>
          <w:rFonts w:asciiTheme="minorHAnsi" w:eastAsiaTheme="minorEastAsia" w:hAnsiTheme="minorHAnsi" w:cstheme="minorBidi"/>
          <w:szCs w:val="22"/>
        </w:rPr>
      </w:pPr>
      <w:r>
        <w:t>48.</w:t>
      </w:r>
      <w:r>
        <w:tab/>
        <w:t>Control of implementation of proposals</w:t>
      </w:r>
      <w:r>
        <w:tab/>
      </w:r>
      <w:r>
        <w:fldChar w:fldCharType="begin"/>
      </w:r>
      <w:r>
        <w:instrText xml:space="preserve"> PAGEREF _Toc199511852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2A — Payments relating to proposals</w:t>
      </w:r>
    </w:p>
    <w:p>
      <w:pPr>
        <w:pStyle w:val="TOC8"/>
        <w:rPr>
          <w:rFonts w:asciiTheme="minorHAnsi" w:eastAsiaTheme="minorEastAsia" w:hAnsiTheme="minorHAnsi" w:cstheme="minorBidi"/>
          <w:szCs w:val="22"/>
        </w:rPr>
      </w:pPr>
      <w:r>
        <w:t>48AA.</w:t>
      </w:r>
      <w:r>
        <w:tab/>
        <w:t>Fees and charges for referral and assessment of proposals</w:t>
      </w:r>
      <w:r>
        <w:tab/>
      </w:r>
      <w:r>
        <w:fldChar w:fldCharType="begin"/>
      </w:r>
      <w:r>
        <w:instrText xml:space="preserve"> PAGEREF _Toc199511854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Assessment of schemes</w:t>
      </w:r>
    </w:p>
    <w:p>
      <w:pPr>
        <w:pStyle w:val="TOC8"/>
        <w:rPr>
          <w:rFonts w:asciiTheme="minorHAnsi" w:eastAsiaTheme="minorEastAsia" w:hAnsiTheme="minorHAnsi" w:cstheme="minorBidi"/>
          <w:szCs w:val="22"/>
        </w:rPr>
      </w:pPr>
      <w:r>
        <w:t>48AAA.</w:t>
      </w:r>
      <w:r>
        <w:tab/>
        <w:t>Certain schemes not required to be assessed</w:t>
      </w:r>
      <w:r>
        <w:tab/>
      </w:r>
      <w:r>
        <w:fldChar w:fldCharType="begin"/>
      </w:r>
      <w:r>
        <w:instrText xml:space="preserve"> PAGEREF _Toc199511856 \h </w:instrText>
      </w:r>
      <w:r>
        <w:fldChar w:fldCharType="separate"/>
      </w:r>
      <w:r>
        <w:t>92</w:t>
      </w:r>
      <w:r>
        <w:fldChar w:fldCharType="end"/>
      </w:r>
    </w:p>
    <w:p>
      <w:pPr>
        <w:pStyle w:val="TOC8"/>
        <w:rPr>
          <w:rFonts w:asciiTheme="minorHAnsi" w:eastAsiaTheme="minorEastAsia" w:hAnsiTheme="minorHAnsi" w:cstheme="minorBidi"/>
          <w:szCs w:val="22"/>
        </w:rPr>
      </w:pPr>
      <w:r>
        <w:t>48A</w:t>
      </w:r>
      <w:r>
        <w:rPr>
          <w:snapToGrid w:val="0"/>
        </w:rPr>
        <w:t>.</w:t>
      </w:r>
      <w:r>
        <w:rPr>
          <w:snapToGrid w:val="0"/>
        </w:rPr>
        <w:tab/>
        <w:t>Authority to decide whether or not schemes to be assessed</w:t>
      </w:r>
      <w:r>
        <w:tab/>
      </w:r>
      <w:r>
        <w:fldChar w:fldCharType="begin"/>
      </w:r>
      <w:r>
        <w:instrText xml:space="preserve"> PAGEREF _Toc199511857 \h </w:instrText>
      </w:r>
      <w:r>
        <w:fldChar w:fldCharType="separate"/>
      </w:r>
      <w:r>
        <w:t>92</w:t>
      </w:r>
      <w:r>
        <w:fldChar w:fldCharType="end"/>
      </w:r>
    </w:p>
    <w:p>
      <w:pPr>
        <w:pStyle w:val="TOC8"/>
        <w:rPr>
          <w:rFonts w:asciiTheme="minorHAnsi" w:eastAsiaTheme="minorEastAsia" w:hAnsiTheme="minorHAnsi" w:cstheme="minorBidi"/>
          <w:szCs w:val="22"/>
        </w:rPr>
      </w:pPr>
      <w:r>
        <w:t>48B</w:t>
      </w:r>
      <w:r>
        <w:rPr>
          <w:snapToGrid w:val="0"/>
        </w:rPr>
        <w:t>.</w:t>
      </w:r>
      <w:r>
        <w:rPr>
          <w:snapToGrid w:val="0"/>
        </w:rPr>
        <w:tab/>
        <w:t>Authority to keep public records of schemes referred to it</w:t>
      </w:r>
      <w:r>
        <w:tab/>
      </w:r>
      <w:r>
        <w:fldChar w:fldCharType="begin"/>
      </w:r>
      <w:r>
        <w:instrText xml:space="preserve"> PAGEREF _Toc199511858 \h </w:instrText>
      </w:r>
      <w:r>
        <w:fldChar w:fldCharType="separate"/>
      </w:r>
      <w:r>
        <w:t>93</w:t>
      </w:r>
      <w:r>
        <w:fldChar w:fldCharType="end"/>
      </w:r>
    </w:p>
    <w:p>
      <w:pPr>
        <w:pStyle w:val="TOC8"/>
        <w:rPr>
          <w:rFonts w:asciiTheme="minorHAnsi" w:eastAsiaTheme="minorEastAsia" w:hAnsiTheme="minorHAnsi" w:cstheme="minorBidi"/>
          <w:szCs w:val="22"/>
        </w:rPr>
      </w:pPr>
      <w:r>
        <w:t>48C</w:t>
      </w:r>
      <w:r>
        <w:rPr>
          <w:snapToGrid w:val="0"/>
        </w:rPr>
        <w:t>.</w:t>
      </w:r>
      <w:r>
        <w:rPr>
          <w:snapToGrid w:val="0"/>
        </w:rPr>
        <w:tab/>
        <w:t>Authority’s powers for assessing referred schemes</w:t>
      </w:r>
      <w:r>
        <w:tab/>
      </w:r>
      <w:r>
        <w:fldChar w:fldCharType="begin"/>
      </w:r>
      <w:r>
        <w:instrText xml:space="preserve"> PAGEREF _Toc199511859 \h </w:instrText>
      </w:r>
      <w:r>
        <w:fldChar w:fldCharType="separate"/>
      </w:r>
      <w:r>
        <w:t>94</w:t>
      </w:r>
      <w:r>
        <w:fldChar w:fldCharType="end"/>
      </w:r>
    </w:p>
    <w:p>
      <w:pPr>
        <w:pStyle w:val="TOC8"/>
        <w:rPr>
          <w:rFonts w:asciiTheme="minorHAnsi" w:eastAsiaTheme="minorEastAsia" w:hAnsiTheme="minorHAnsi" w:cstheme="minorBidi"/>
          <w:szCs w:val="22"/>
        </w:rPr>
      </w:pPr>
      <w:r>
        <w:t>48D</w:t>
      </w:r>
      <w:r>
        <w:rPr>
          <w:snapToGrid w:val="0"/>
        </w:rPr>
        <w:t>.</w:t>
      </w:r>
      <w:r>
        <w:rPr>
          <w:snapToGrid w:val="0"/>
        </w:rPr>
        <w:tab/>
        <w:t>Authority to report to Minister on schemes</w:t>
      </w:r>
      <w:r>
        <w:tab/>
      </w:r>
      <w:r>
        <w:fldChar w:fldCharType="begin"/>
      </w:r>
      <w:r>
        <w:instrText xml:space="preserve"> PAGEREF _Toc199511860 \h </w:instrText>
      </w:r>
      <w:r>
        <w:fldChar w:fldCharType="separate"/>
      </w:r>
      <w:r>
        <w:t>97</w:t>
      </w:r>
      <w:r>
        <w:fldChar w:fldCharType="end"/>
      </w:r>
    </w:p>
    <w:p>
      <w:pPr>
        <w:pStyle w:val="TOC8"/>
        <w:rPr>
          <w:rFonts w:asciiTheme="minorHAnsi" w:eastAsiaTheme="minorEastAsia" w:hAnsiTheme="minorHAnsi" w:cstheme="minorBidi"/>
          <w:szCs w:val="22"/>
        </w:rPr>
      </w:pPr>
      <w:r>
        <w:t>48E</w:t>
      </w:r>
      <w:r>
        <w:rPr>
          <w:snapToGrid w:val="0"/>
        </w:rPr>
        <w:t>.</w:t>
      </w:r>
      <w:r>
        <w:rPr>
          <w:snapToGrid w:val="0"/>
        </w:rPr>
        <w:tab/>
        <w:t>Minister may direct Authority to assess etc. referred schemes</w:t>
      </w:r>
      <w:r>
        <w:tab/>
      </w:r>
      <w:r>
        <w:fldChar w:fldCharType="begin"/>
      </w:r>
      <w:r>
        <w:instrText xml:space="preserve"> PAGEREF _Toc199511861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Implementation of schemes</w:t>
      </w:r>
    </w:p>
    <w:p>
      <w:pPr>
        <w:pStyle w:val="TOC8"/>
        <w:rPr>
          <w:rFonts w:asciiTheme="minorHAnsi" w:eastAsiaTheme="minorEastAsia" w:hAnsiTheme="minorHAnsi" w:cstheme="minorBidi"/>
          <w:szCs w:val="22"/>
        </w:rPr>
      </w:pPr>
      <w:r>
        <w:t>48EA</w:t>
      </w:r>
      <w:r>
        <w:rPr>
          <w:snapToGrid w:val="0"/>
        </w:rPr>
        <w:t>.</w:t>
      </w:r>
      <w:r>
        <w:rPr>
          <w:snapToGrid w:val="0"/>
        </w:rPr>
        <w:tab/>
        <w:t xml:space="preserve">Terms </w:t>
      </w:r>
      <w:r>
        <w:t>used</w:t>
      </w:r>
      <w:r>
        <w:tab/>
      </w:r>
      <w:r>
        <w:fldChar w:fldCharType="begin"/>
      </w:r>
      <w:r>
        <w:instrText xml:space="preserve"> PAGEREF _Toc199511863 \h </w:instrText>
      </w:r>
      <w:r>
        <w:fldChar w:fldCharType="separate"/>
      </w:r>
      <w:r>
        <w:t>99</w:t>
      </w:r>
      <w:r>
        <w:fldChar w:fldCharType="end"/>
      </w:r>
    </w:p>
    <w:p>
      <w:pPr>
        <w:pStyle w:val="TOC8"/>
        <w:rPr>
          <w:rFonts w:asciiTheme="minorHAnsi" w:eastAsiaTheme="minorEastAsia" w:hAnsiTheme="minorHAnsi" w:cstheme="minorBidi"/>
          <w:szCs w:val="22"/>
        </w:rPr>
      </w:pPr>
      <w:r>
        <w:t>48F</w:t>
      </w:r>
      <w:r>
        <w:rPr>
          <w:snapToGrid w:val="0"/>
        </w:rPr>
        <w:t>.</w:t>
      </w:r>
      <w:r>
        <w:rPr>
          <w:snapToGrid w:val="0"/>
        </w:rPr>
        <w:tab/>
        <w:t xml:space="preserve">Procedure for agreeing or deciding on conditions to which </w:t>
      </w:r>
      <w:r>
        <w:t>schemes</w:t>
      </w:r>
      <w:r>
        <w:rPr>
          <w:snapToGrid w:val="0"/>
        </w:rPr>
        <w:t xml:space="preserve"> are to be subject</w:t>
      </w:r>
      <w:r>
        <w:tab/>
      </w:r>
      <w:r>
        <w:fldChar w:fldCharType="begin"/>
      </w:r>
      <w:r>
        <w:instrText xml:space="preserve"> PAGEREF _Toc199511864 \h </w:instrText>
      </w:r>
      <w:r>
        <w:fldChar w:fldCharType="separate"/>
      </w:r>
      <w:r>
        <w:t>100</w:t>
      </w:r>
      <w:r>
        <w:fldChar w:fldCharType="end"/>
      </w:r>
    </w:p>
    <w:p>
      <w:pPr>
        <w:pStyle w:val="TOC8"/>
        <w:rPr>
          <w:rFonts w:asciiTheme="minorHAnsi" w:eastAsiaTheme="minorEastAsia" w:hAnsiTheme="minorHAnsi" w:cstheme="minorBidi"/>
          <w:szCs w:val="22"/>
        </w:rPr>
      </w:pPr>
      <w:r>
        <w:t>48G</w:t>
      </w:r>
      <w:r>
        <w:rPr>
          <w:snapToGrid w:val="0"/>
        </w:rPr>
        <w:t>.</w:t>
      </w:r>
      <w:r>
        <w:rPr>
          <w:snapToGrid w:val="0"/>
        </w:rPr>
        <w:tab/>
      </w:r>
      <w:r>
        <w:t>Review</w:t>
      </w:r>
      <w:r>
        <w:rPr>
          <w:snapToGrid w:val="0"/>
        </w:rPr>
        <w:t xml:space="preserve"> of conditions in statements published under section 48F</w:t>
      </w:r>
      <w:r>
        <w:tab/>
      </w:r>
      <w:r>
        <w:fldChar w:fldCharType="begin"/>
      </w:r>
      <w:r>
        <w:instrText xml:space="preserve"> PAGEREF _Toc199511865 \h </w:instrText>
      </w:r>
      <w:r>
        <w:fldChar w:fldCharType="separate"/>
      </w:r>
      <w:r>
        <w:t>101</w:t>
      </w:r>
      <w:r>
        <w:fldChar w:fldCharType="end"/>
      </w:r>
    </w:p>
    <w:p>
      <w:pPr>
        <w:pStyle w:val="TOC8"/>
        <w:rPr>
          <w:rFonts w:asciiTheme="minorHAnsi" w:eastAsiaTheme="minorEastAsia" w:hAnsiTheme="minorHAnsi" w:cstheme="minorBidi"/>
          <w:szCs w:val="22"/>
        </w:rPr>
      </w:pPr>
      <w:r>
        <w:t>48H</w:t>
      </w:r>
      <w:r>
        <w:rPr>
          <w:snapToGrid w:val="0"/>
        </w:rPr>
        <w:t>.</w:t>
      </w:r>
      <w:r>
        <w:rPr>
          <w:snapToGrid w:val="0"/>
        </w:rPr>
        <w:tab/>
        <w:t>Control of implementation of assessed schemes</w:t>
      </w:r>
      <w:r>
        <w:tab/>
      </w:r>
      <w:r>
        <w:fldChar w:fldCharType="begin"/>
      </w:r>
      <w:r>
        <w:instrText xml:space="preserve"> PAGEREF _Toc199511866 \h </w:instrText>
      </w:r>
      <w:r>
        <w:fldChar w:fldCharType="separate"/>
      </w:r>
      <w:r>
        <w:t>102</w:t>
      </w:r>
      <w:r>
        <w:fldChar w:fldCharType="end"/>
      </w:r>
    </w:p>
    <w:p>
      <w:pPr>
        <w:pStyle w:val="TOC8"/>
        <w:rPr>
          <w:rFonts w:asciiTheme="minorHAnsi" w:eastAsiaTheme="minorEastAsia" w:hAnsiTheme="minorHAnsi" w:cstheme="minorBidi"/>
          <w:szCs w:val="22"/>
        </w:rPr>
      </w:pPr>
      <w:r>
        <w:t>48I</w:t>
      </w:r>
      <w:r>
        <w:rPr>
          <w:snapToGrid w:val="0"/>
        </w:rPr>
        <w:t>.</w:t>
      </w:r>
      <w:r>
        <w:rPr>
          <w:snapToGrid w:val="0"/>
        </w:rPr>
        <w:tab/>
        <w:t>Which proposals under assessed schemes to be referred to Authority</w:t>
      </w:r>
      <w:r>
        <w:tab/>
      </w:r>
      <w:r>
        <w:fldChar w:fldCharType="begin"/>
      </w:r>
      <w:r>
        <w:instrText xml:space="preserve"> PAGEREF _Toc199511867 \h </w:instrText>
      </w:r>
      <w:r>
        <w:fldChar w:fldCharType="separate"/>
      </w:r>
      <w:r>
        <w:t>103</w:t>
      </w:r>
      <w:r>
        <w:fldChar w:fldCharType="end"/>
      </w:r>
    </w:p>
    <w:p>
      <w:pPr>
        <w:pStyle w:val="TOC8"/>
        <w:rPr>
          <w:rFonts w:asciiTheme="minorHAnsi" w:eastAsiaTheme="minorEastAsia" w:hAnsiTheme="minorHAnsi" w:cstheme="minorBidi"/>
          <w:szCs w:val="22"/>
        </w:rPr>
      </w:pPr>
      <w:r>
        <w:t>48J</w:t>
      </w:r>
      <w:r>
        <w:rPr>
          <w:snapToGrid w:val="0"/>
        </w:rPr>
        <w:t>.</w:t>
      </w:r>
      <w:r>
        <w:rPr>
          <w:snapToGrid w:val="0"/>
        </w:rPr>
        <w:tab/>
        <w:t>Disputes between Minister and responsible Ministers, Governor to decide</w:t>
      </w:r>
      <w:r>
        <w:tab/>
      </w:r>
      <w:r>
        <w:fldChar w:fldCharType="begin"/>
      </w:r>
      <w:r>
        <w:instrText xml:space="preserve"> PAGEREF _Toc199511868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V — Environmental regulation</w:t>
      </w:r>
    </w:p>
    <w:p>
      <w:pPr>
        <w:pStyle w:val="TOC4"/>
        <w:tabs>
          <w:tab w:val="right" w:leader="dot" w:pos="7077"/>
        </w:tabs>
        <w:rPr>
          <w:rFonts w:asciiTheme="minorHAnsi" w:eastAsiaTheme="minorEastAsia" w:hAnsiTheme="minorHAnsi" w:cstheme="minorBidi"/>
          <w:b w:val="0"/>
          <w:szCs w:val="22"/>
        </w:rPr>
      </w:pPr>
      <w:r>
        <w:t>Division 1 — Pollution and environmental harm offences</w:t>
      </w:r>
    </w:p>
    <w:p>
      <w:pPr>
        <w:pStyle w:val="TOC8"/>
        <w:rPr>
          <w:rFonts w:asciiTheme="minorHAnsi" w:eastAsiaTheme="minorEastAsia" w:hAnsiTheme="minorHAnsi" w:cstheme="minorBidi"/>
          <w:szCs w:val="22"/>
        </w:rPr>
      </w:pPr>
      <w:r>
        <w:t>49.</w:t>
      </w:r>
      <w:r>
        <w:tab/>
        <w:t>Causing pollution and unreasonable emissions</w:t>
      </w:r>
      <w:r>
        <w:tab/>
      </w:r>
      <w:r>
        <w:fldChar w:fldCharType="begin"/>
      </w:r>
      <w:r>
        <w:instrText xml:space="preserve"> PAGEREF _Toc199511871 \h </w:instrText>
      </w:r>
      <w:r>
        <w:fldChar w:fldCharType="separate"/>
      </w:r>
      <w:r>
        <w:t>105</w:t>
      </w:r>
      <w:r>
        <w:fldChar w:fldCharType="end"/>
      </w:r>
    </w:p>
    <w:p>
      <w:pPr>
        <w:pStyle w:val="TOC8"/>
        <w:rPr>
          <w:rFonts w:asciiTheme="minorHAnsi" w:eastAsiaTheme="minorEastAsia" w:hAnsiTheme="minorHAnsi" w:cstheme="minorBidi"/>
          <w:szCs w:val="22"/>
        </w:rPr>
      </w:pPr>
      <w:r>
        <w:t>49A.</w:t>
      </w:r>
      <w:r>
        <w:tab/>
        <w:t>Dumping waste</w:t>
      </w:r>
      <w:r>
        <w:tab/>
      </w:r>
      <w:r>
        <w:fldChar w:fldCharType="begin"/>
      </w:r>
      <w:r>
        <w:instrText xml:space="preserve"> PAGEREF _Toc199511872 \h </w:instrText>
      </w:r>
      <w:r>
        <w:fldChar w:fldCharType="separate"/>
      </w:r>
      <w:r>
        <w:t>106</w:t>
      </w:r>
      <w:r>
        <w:fldChar w:fldCharType="end"/>
      </w:r>
    </w:p>
    <w:p>
      <w:pPr>
        <w:pStyle w:val="TOC8"/>
        <w:rPr>
          <w:rFonts w:asciiTheme="minorHAnsi" w:eastAsiaTheme="minorEastAsia" w:hAnsiTheme="minorHAnsi" w:cstheme="minorBidi"/>
          <w:szCs w:val="22"/>
        </w:rPr>
      </w:pPr>
      <w:r>
        <w:t>50.</w:t>
      </w:r>
      <w:r>
        <w:tab/>
        <w:t>Discharging waste in circumstances likely to cause pollution</w:t>
      </w:r>
      <w:r>
        <w:tab/>
      </w:r>
      <w:r>
        <w:fldChar w:fldCharType="begin"/>
      </w:r>
      <w:r>
        <w:instrText xml:space="preserve"> PAGEREF _Toc199511873 \h </w:instrText>
      </w:r>
      <w:r>
        <w:fldChar w:fldCharType="separate"/>
      </w:r>
      <w:r>
        <w:t>106</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Causing serious environmental harm</w:t>
      </w:r>
      <w:r>
        <w:tab/>
      </w:r>
      <w:r>
        <w:fldChar w:fldCharType="begin"/>
      </w:r>
      <w:r>
        <w:instrText xml:space="preserve"> PAGEREF _Toc199511874 \h </w:instrText>
      </w:r>
      <w:r>
        <w:fldChar w:fldCharType="separate"/>
      </w:r>
      <w:r>
        <w:t>107</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Causing material environmental harm</w:t>
      </w:r>
      <w:r>
        <w:tab/>
      </w:r>
      <w:r>
        <w:fldChar w:fldCharType="begin"/>
      </w:r>
      <w:r>
        <w:instrText xml:space="preserve"> PAGEREF _Toc199511875 \h </w:instrText>
      </w:r>
      <w:r>
        <w:fldChar w:fldCharType="separate"/>
      </w:r>
      <w:r>
        <w:t>108</w:t>
      </w:r>
      <w:r>
        <w:fldChar w:fldCharType="end"/>
      </w:r>
    </w:p>
    <w:p>
      <w:pPr>
        <w:pStyle w:val="TOC8"/>
        <w:rPr>
          <w:rFonts w:asciiTheme="minorHAnsi" w:eastAsiaTheme="minorEastAsia" w:hAnsiTheme="minorHAnsi" w:cstheme="minorBidi"/>
          <w:szCs w:val="22"/>
        </w:rPr>
      </w:pPr>
      <w:r>
        <w:lastRenderedPageBreak/>
        <w:t>50C</w:t>
      </w:r>
      <w:r>
        <w:rPr>
          <w:snapToGrid w:val="0"/>
        </w:rPr>
        <w:t>.</w:t>
      </w:r>
      <w:r>
        <w:rPr>
          <w:snapToGrid w:val="0"/>
        </w:rPr>
        <w:tab/>
      </w:r>
      <w:r>
        <w:t>Court may find accused guilty of alternative offences if charged with causing serious environmental harm</w:t>
      </w:r>
      <w:r>
        <w:tab/>
      </w:r>
      <w:r>
        <w:fldChar w:fldCharType="begin"/>
      </w:r>
      <w:r>
        <w:instrText xml:space="preserve"> PAGEREF _Toc199511876 \h </w:instrText>
      </w:r>
      <w:r>
        <w:fldChar w:fldCharType="separate"/>
      </w:r>
      <w:r>
        <w:t>108</w:t>
      </w:r>
      <w:r>
        <w:fldChar w:fldCharType="end"/>
      </w:r>
    </w:p>
    <w:p>
      <w:pPr>
        <w:pStyle w:val="TOC8"/>
        <w:rPr>
          <w:rFonts w:asciiTheme="minorHAnsi" w:eastAsiaTheme="minorEastAsia" w:hAnsiTheme="minorHAnsi" w:cstheme="minorBidi"/>
          <w:szCs w:val="22"/>
        </w:rPr>
      </w:pPr>
      <w:r>
        <w:t>50D.</w:t>
      </w:r>
      <w:r>
        <w:tab/>
        <w:t>Regulations may require authorisation for conduct that might cause pollution or environmental harm</w:t>
      </w:r>
      <w:r>
        <w:tab/>
      </w:r>
      <w:r>
        <w:fldChar w:fldCharType="begin"/>
      </w:r>
      <w:r>
        <w:instrText xml:space="preserve"> PAGEREF _Toc199511877 \h </w:instrText>
      </w:r>
      <w:r>
        <w:fldChar w:fldCharType="separate"/>
      </w:r>
      <w:r>
        <w:t>109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Occupiers of premises, duties as to emissions</w:t>
      </w:r>
      <w:r>
        <w:tab/>
      </w:r>
      <w:r>
        <w:fldChar w:fldCharType="begin"/>
      </w:r>
      <w:r>
        <w:instrText xml:space="preserve"> PAGEREF _Toc199511878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2 — Clearing of native vegetation</w:t>
      </w:r>
    </w:p>
    <w:p>
      <w:pPr>
        <w:pStyle w:val="TOC8"/>
        <w:rPr>
          <w:rFonts w:asciiTheme="minorHAnsi" w:eastAsiaTheme="minorEastAsia" w:hAnsiTheme="minorHAnsi" w:cstheme="minorBidi"/>
          <w:szCs w:val="22"/>
        </w:rPr>
      </w:pPr>
      <w:r>
        <w:t>51A.</w:t>
      </w:r>
      <w:r>
        <w:tab/>
        <w:t>Terms used</w:t>
      </w:r>
      <w:r>
        <w:tab/>
      </w:r>
      <w:r>
        <w:fldChar w:fldCharType="begin"/>
      </w:r>
      <w:r>
        <w:instrText xml:space="preserve"> PAGEREF _Toc199511880 \h </w:instrText>
      </w:r>
      <w:r>
        <w:fldChar w:fldCharType="separate"/>
      </w:r>
      <w:r>
        <w:t>110</w:t>
      </w:r>
      <w:r>
        <w:fldChar w:fldCharType="end"/>
      </w:r>
    </w:p>
    <w:p>
      <w:pPr>
        <w:pStyle w:val="TOC8"/>
        <w:rPr>
          <w:rFonts w:asciiTheme="minorHAnsi" w:eastAsiaTheme="minorEastAsia" w:hAnsiTheme="minorHAnsi" w:cstheme="minorBidi"/>
          <w:szCs w:val="22"/>
        </w:rPr>
      </w:pPr>
      <w:r>
        <w:t>51B.</w:t>
      </w:r>
      <w:r>
        <w:tab/>
        <w:t>Declaration of environmentally sensitive areas by regulation</w:t>
      </w:r>
      <w:r>
        <w:tab/>
      </w:r>
      <w:r>
        <w:fldChar w:fldCharType="begin"/>
      </w:r>
      <w:r>
        <w:instrText xml:space="preserve"> PAGEREF _Toc199511881 \h </w:instrText>
      </w:r>
      <w:r>
        <w:fldChar w:fldCharType="separate"/>
      </w:r>
      <w:r>
        <w:t>112</w:t>
      </w:r>
      <w:r>
        <w:fldChar w:fldCharType="end"/>
      </w:r>
    </w:p>
    <w:p>
      <w:pPr>
        <w:pStyle w:val="TOC8"/>
        <w:rPr>
          <w:rFonts w:asciiTheme="minorHAnsi" w:eastAsiaTheme="minorEastAsia" w:hAnsiTheme="minorHAnsi" w:cstheme="minorBidi"/>
          <w:szCs w:val="22"/>
        </w:rPr>
      </w:pPr>
      <w:r>
        <w:t>51C.</w:t>
      </w:r>
      <w:r>
        <w:tab/>
        <w:t>Unauthorised clearing of native vegetation</w:t>
      </w:r>
      <w:r>
        <w:tab/>
      </w:r>
      <w:r>
        <w:fldChar w:fldCharType="begin"/>
      </w:r>
      <w:r>
        <w:instrText xml:space="preserve"> PAGEREF _Toc199511882 \h </w:instrText>
      </w:r>
      <w:r>
        <w:fldChar w:fldCharType="separate"/>
      </w:r>
      <w:r>
        <w:t>113</w:t>
      </w:r>
      <w:r>
        <w:fldChar w:fldCharType="end"/>
      </w:r>
    </w:p>
    <w:p>
      <w:pPr>
        <w:pStyle w:val="TOC8"/>
        <w:rPr>
          <w:rFonts w:asciiTheme="minorHAnsi" w:eastAsiaTheme="minorEastAsia" w:hAnsiTheme="minorHAnsi" w:cstheme="minorBidi"/>
          <w:szCs w:val="22"/>
        </w:rPr>
      </w:pPr>
      <w:r>
        <w:t>51D.</w:t>
      </w:r>
      <w:r>
        <w:tab/>
        <w:t>Section 51C(a) does not apply to certain land</w:t>
      </w:r>
      <w:r>
        <w:tab/>
      </w:r>
      <w:r>
        <w:fldChar w:fldCharType="begin"/>
      </w:r>
      <w:r>
        <w:instrText xml:space="preserve"> PAGEREF _Toc199511883 \h </w:instrText>
      </w:r>
      <w:r>
        <w:fldChar w:fldCharType="separate"/>
      </w:r>
      <w:r>
        <w:t>113</w:t>
      </w:r>
      <w:r>
        <w:fldChar w:fldCharType="end"/>
      </w:r>
    </w:p>
    <w:p>
      <w:pPr>
        <w:pStyle w:val="TOC8"/>
        <w:rPr>
          <w:rFonts w:asciiTheme="minorHAnsi" w:eastAsiaTheme="minorEastAsia" w:hAnsiTheme="minorHAnsi" w:cstheme="minorBidi"/>
          <w:szCs w:val="22"/>
        </w:rPr>
      </w:pPr>
      <w:r>
        <w:t>51DA.</w:t>
      </w:r>
      <w:r>
        <w:tab/>
        <w:t>Referral of proposed clearing to CEO for decision on whether a clearing permit should be obtained</w:t>
      </w:r>
      <w:r>
        <w:tab/>
      </w:r>
      <w:r>
        <w:fldChar w:fldCharType="begin"/>
      </w:r>
      <w:r>
        <w:instrText xml:space="preserve"> PAGEREF _Toc199511884 \h </w:instrText>
      </w:r>
      <w:r>
        <w:fldChar w:fldCharType="separate"/>
      </w:r>
      <w:r>
        <w:t>114</w:t>
      </w:r>
      <w:r>
        <w:fldChar w:fldCharType="end"/>
      </w:r>
    </w:p>
    <w:p>
      <w:pPr>
        <w:pStyle w:val="TOC8"/>
        <w:rPr>
          <w:rFonts w:asciiTheme="minorHAnsi" w:eastAsiaTheme="minorEastAsia" w:hAnsiTheme="minorHAnsi" w:cstheme="minorBidi"/>
          <w:szCs w:val="22"/>
        </w:rPr>
      </w:pPr>
      <w:r>
        <w:t>51E.</w:t>
      </w:r>
      <w:r>
        <w:tab/>
        <w:t>How applications for clearing permits are made and dealt with</w:t>
      </w:r>
      <w:r>
        <w:tab/>
      </w:r>
      <w:r>
        <w:fldChar w:fldCharType="begin"/>
      </w:r>
      <w:r>
        <w:instrText xml:space="preserve"> PAGEREF _Toc199511885 \h </w:instrText>
      </w:r>
      <w:r>
        <w:fldChar w:fldCharType="separate"/>
      </w:r>
      <w:r>
        <w:t>116</w:t>
      </w:r>
      <w:r>
        <w:fldChar w:fldCharType="end"/>
      </w:r>
    </w:p>
    <w:p>
      <w:pPr>
        <w:pStyle w:val="TOC8"/>
        <w:rPr>
          <w:rFonts w:asciiTheme="minorHAnsi" w:eastAsiaTheme="minorEastAsia" w:hAnsiTheme="minorHAnsi" w:cstheme="minorBidi"/>
          <w:szCs w:val="22"/>
        </w:rPr>
      </w:pPr>
      <w:r>
        <w:t>51F.</w:t>
      </w:r>
      <w:r>
        <w:tab/>
        <w:t>Effect of referred proposal on decisions about clearing</w:t>
      </w:r>
      <w:r>
        <w:tab/>
      </w:r>
      <w:r>
        <w:fldChar w:fldCharType="begin"/>
      </w:r>
      <w:r>
        <w:instrText xml:space="preserve"> PAGEREF _Toc199511886 \h </w:instrText>
      </w:r>
      <w:r>
        <w:fldChar w:fldCharType="separate"/>
      </w:r>
      <w:r>
        <w:t>119</w:t>
      </w:r>
      <w:r>
        <w:fldChar w:fldCharType="end"/>
      </w:r>
    </w:p>
    <w:p>
      <w:pPr>
        <w:pStyle w:val="TOC8"/>
        <w:rPr>
          <w:rFonts w:asciiTheme="minorHAnsi" w:eastAsiaTheme="minorEastAsia" w:hAnsiTheme="minorHAnsi" w:cstheme="minorBidi"/>
          <w:szCs w:val="22"/>
        </w:rPr>
      </w:pPr>
      <w:r>
        <w:t>51G.</w:t>
      </w:r>
      <w:r>
        <w:tab/>
        <w:t>Duration of clearing permits</w:t>
      </w:r>
      <w:r>
        <w:tab/>
      </w:r>
      <w:r>
        <w:fldChar w:fldCharType="begin"/>
      </w:r>
      <w:r>
        <w:instrText xml:space="preserve"> PAGEREF _Toc199511887 \h </w:instrText>
      </w:r>
      <w:r>
        <w:fldChar w:fldCharType="separate"/>
      </w:r>
      <w:r>
        <w:t>120</w:t>
      </w:r>
      <w:r>
        <w:fldChar w:fldCharType="end"/>
      </w:r>
    </w:p>
    <w:p>
      <w:pPr>
        <w:pStyle w:val="TOC8"/>
        <w:rPr>
          <w:rFonts w:asciiTheme="minorHAnsi" w:eastAsiaTheme="minorEastAsia" w:hAnsiTheme="minorHAnsi" w:cstheme="minorBidi"/>
          <w:szCs w:val="22"/>
        </w:rPr>
      </w:pPr>
      <w:r>
        <w:t>51H.</w:t>
      </w:r>
      <w:r>
        <w:tab/>
        <w:t>Clearing</w:t>
      </w:r>
      <w:r>
        <w:rPr>
          <w:snapToGrid w:val="0"/>
        </w:rPr>
        <w:t xml:space="preserve"> permit conditions</w:t>
      </w:r>
      <w:r>
        <w:tab/>
      </w:r>
      <w:r>
        <w:fldChar w:fldCharType="begin"/>
      </w:r>
      <w:r>
        <w:instrText xml:space="preserve"> PAGEREF _Toc199511888 \h </w:instrText>
      </w:r>
      <w:r>
        <w:fldChar w:fldCharType="separate"/>
      </w:r>
      <w:r>
        <w:t>121</w:t>
      </w:r>
      <w:r>
        <w:fldChar w:fldCharType="end"/>
      </w:r>
    </w:p>
    <w:p>
      <w:pPr>
        <w:pStyle w:val="TOC8"/>
        <w:rPr>
          <w:rFonts w:asciiTheme="minorHAnsi" w:eastAsiaTheme="minorEastAsia" w:hAnsiTheme="minorHAnsi" w:cstheme="minorBidi"/>
          <w:szCs w:val="22"/>
        </w:rPr>
      </w:pPr>
      <w:r>
        <w:t>51I.</w:t>
      </w:r>
      <w:r>
        <w:tab/>
        <w:t>Some kinds of conditions</w:t>
      </w:r>
      <w:r>
        <w:tab/>
      </w:r>
      <w:r>
        <w:fldChar w:fldCharType="begin"/>
      </w:r>
      <w:r>
        <w:instrText xml:space="preserve"> PAGEREF _Toc199511889 \h </w:instrText>
      </w:r>
      <w:r>
        <w:fldChar w:fldCharType="separate"/>
      </w:r>
      <w:r>
        <w:t>121</w:t>
      </w:r>
      <w:r>
        <w:fldChar w:fldCharType="end"/>
      </w:r>
    </w:p>
    <w:p>
      <w:pPr>
        <w:pStyle w:val="TOC8"/>
        <w:rPr>
          <w:rFonts w:asciiTheme="minorHAnsi" w:eastAsiaTheme="minorEastAsia" w:hAnsiTheme="minorHAnsi" w:cstheme="minorBidi"/>
          <w:szCs w:val="22"/>
        </w:rPr>
      </w:pPr>
      <w:r>
        <w:t>51J.</w:t>
      </w:r>
      <w:r>
        <w:tab/>
        <w:t>Contravening clearing</w:t>
      </w:r>
      <w:r>
        <w:rPr>
          <w:snapToGrid w:val="0"/>
        </w:rPr>
        <w:t xml:space="preserve"> permit conditions</w:t>
      </w:r>
      <w:r>
        <w:tab/>
      </w:r>
      <w:r>
        <w:fldChar w:fldCharType="begin"/>
      </w:r>
      <w:r>
        <w:instrText xml:space="preserve"> PAGEREF _Toc199511890 \h </w:instrText>
      </w:r>
      <w:r>
        <w:fldChar w:fldCharType="separate"/>
      </w:r>
      <w:r>
        <w:t>123</w:t>
      </w:r>
      <w:r>
        <w:fldChar w:fldCharType="end"/>
      </w:r>
    </w:p>
    <w:p>
      <w:pPr>
        <w:pStyle w:val="TOC8"/>
        <w:rPr>
          <w:rFonts w:asciiTheme="minorHAnsi" w:eastAsiaTheme="minorEastAsia" w:hAnsiTheme="minorHAnsi" w:cstheme="minorBidi"/>
          <w:szCs w:val="22"/>
        </w:rPr>
      </w:pPr>
      <w:r>
        <w:t>51K.</w:t>
      </w:r>
      <w:r>
        <w:tab/>
        <w:t xml:space="preserve">Amending </w:t>
      </w:r>
      <w:r>
        <w:rPr>
          <w:snapToGrid w:val="0"/>
        </w:rPr>
        <w:t>clearing permit</w:t>
      </w:r>
      <w:r>
        <w:tab/>
      </w:r>
      <w:r>
        <w:fldChar w:fldCharType="begin"/>
      </w:r>
      <w:r>
        <w:instrText xml:space="preserve"> PAGEREF _Toc199511891 \h </w:instrText>
      </w:r>
      <w:r>
        <w:fldChar w:fldCharType="separate"/>
      </w:r>
      <w:r>
        <w:t>124</w:t>
      </w:r>
      <w:r>
        <w:fldChar w:fldCharType="end"/>
      </w:r>
    </w:p>
    <w:p>
      <w:pPr>
        <w:pStyle w:val="TOC8"/>
        <w:rPr>
          <w:rFonts w:asciiTheme="minorHAnsi" w:eastAsiaTheme="minorEastAsia" w:hAnsiTheme="minorHAnsi" w:cstheme="minorBidi"/>
          <w:szCs w:val="22"/>
        </w:rPr>
      </w:pPr>
      <w:r>
        <w:t>51KA.</w:t>
      </w:r>
      <w:r>
        <w:tab/>
        <w:t>Application to amend clearing permit</w:t>
      </w:r>
      <w:r>
        <w:tab/>
      </w:r>
      <w:r>
        <w:fldChar w:fldCharType="begin"/>
      </w:r>
      <w:r>
        <w:instrText xml:space="preserve"> PAGEREF _Toc199511892 \h </w:instrText>
      </w:r>
      <w:r>
        <w:fldChar w:fldCharType="separate"/>
      </w:r>
      <w:r>
        <w:t>125</w:t>
      </w:r>
      <w:r>
        <w:fldChar w:fldCharType="end"/>
      </w:r>
    </w:p>
    <w:p>
      <w:pPr>
        <w:pStyle w:val="TOC8"/>
        <w:rPr>
          <w:rFonts w:asciiTheme="minorHAnsi" w:eastAsiaTheme="minorEastAsia" w:hAnsiTheme="minorHAnsi" w:cstheme="minorBidi"/>
          <w:szCs w:val="22"/>
        </w:rPr>
      </w:pPr>
      <w:r>
        <w:t>51KB.</w:t>
      </w:r>
      <w:r>
        <w:tab/>
        <w:t>Effect of referred proposal on application to amend clearing permit</w:t>
      </w:r>
      <w:r>
        <w:tab/>
      </w:r>
      <w:r>
        <w:fldChar w:fldCharType="begin"/>
      </w:r>
      <w:r>
        <w:instrText xml:space="preserve"> PAGEREF _Toc199511893 \h </w:instrText>
      </w:r>
      <w:r>
        <w:fldChar w:fldCharType="separate"/>
      </w:r>
      <w:r>
        <w:t>126</w:t>
      </w:r>
      <w:r>
        <w:fldChar w:fldCharType="end"/>
      </w:r>
    </w:p>
    <w:p>
      <w:pPr>
        <w:pStyle w:val="TOC8"/>
        <w:rPr>
          <w:rFonts w:asciiTheme="minorHAnsi" w:eastAsiaTheme="minorEastAsia" w:hAnsiTheme="minorHAnsi" w:cstheme="minorBidi"/>
          <w:szCs w:val="22"/>
        </w:rPr>
      </w:pPr>
      <w:r>
        <w:t>51L.</w:t>
      </w:r>
      <w:r>
        <w:tab/>
        <w:t>Revoking or suspending clearing</w:t>
      </w:r>
      <w:r>
        <w:rPr>
          <w:snapToGrid w:val="0"/>
        </w:rPr>
        <w:t xml:space="preserve"> permit</w:t>
      </w:r>
      <w:r>
        <w:tab/>
      </w:r>
      <w:r>
        <w:fldChar w:fldCharType="begin"/>
      </w:r>
      <w:r>
        <w:instrText xml:space="preserve"> PAGEREF _Toc199511894 \h </w:instrText>
      </w:r>
      <w:r>
        <w:fldChar w:fldCharType="separate"/>
      </w:r>
      <w:r>
        <w:t>127</w:t>
      </w:r>
      <w:r>
        <w:fldChar w:fldCharType="end"/>
      </w:r>
    </w:p>
    <w:p>
      <w:pPr>
        <w:pStyle w:val="TOC8"/>
        <w:rPr>
          <w:rFonts w:asciiTheme="minorHAnsi" w:eastAsiaTheme="minorEastAsia" w:hAnsiTheme="minorHAnsi" w:cstheme="minorBidi"/>
          <w:szCs w:val="22"/>
        </w:rPr>
      </w:pPr>
      <w:r>
        <w:t>51M.</w:t>
      </w:r>
      <w:r>
        <w:tab/>
        <w:t>Procedure for CEO when amending, revoking or suspending clearing permit</w:t>
      </w:r>
      <w:r>
        <w:tab/>
      </w:r>
      <w:r>
        <w:fldChar w:fldCharType="begin"/>
      </w:r>
      <w:r>
        <w:instrText xml:space="preserve"> PAGEREF _Toc199511895 \h </w:instrText>
      </w:r>
      <w:r>
        <w:fldChar w:fldCharType="separate"/>
      </w:r>
      <w:r>
        <w:t>127</w:t>
      </w:r>
      <w:r>
        <w:fldChar w:fldCharType="end"/>
      </w:r>
    </w:p>
    <w:p>
      <w:pPr>
        <w:pStyle w:val="TOC8"/>
        <w:rPr>
          <w:rFonts w:asciiTheme="minorHAnsi" w:eastAsiaTheme="minorEastAsia" w:hAnsiTheme="minorHAnsi" w:cstheme="minorBidi"/>
          <w:szCs w:val="22"/>
        </w:rPr>
      </w:pPr>
      <w:r>
        <w:t>51MA.</w:t>
      </w:r>
      <w:r>
        <w:tab/>
        <w:t>Surrendering clearing permit</w:t>
      </w:r>
      <w:r>
        <w:tab/>
      </w:r>
      <w:r>
        <w:fldChar w:fldCharType="begin"/>
      </w:r>
      <w:r>
        <w:instrText xml:space="preserve"> PAGEREF _Toc199511896 \h </w:instrText>
      </w:r>
      <w:r>
        <w:fldChar w:fldCharType="separate"/>
      </w:r>
      <w:r>
        <w:t>129</w:t>
      </w:r>
      <w:r>
        <w:fldChar w:fldCharType="end"/>
      </w:r>
    </w:p>
    <w:p>
      <w:pPr>
        <w:pStyle w:val="TOC8"/>
        <w:rPr>
          <w:rFonts w:asciiTheme="minorHAnsi" w:eastAsiaTheme="minorEastAsia" w:hAnsiTheme="minorHAnsi" w:cstheme="minorBidi"/>
          <w:szCs w:val="22"/>
        </w:rPr>
      </w:pPr>
      <w:r>
        <w:t>51N.</w:t>
      </w:r>
      <w:r>
        <w:tab/>
        <w:t>Continuation of area permit on change of ownership</w:t>
      </w:r>
      <w:r>
        <w:tab/>
      </w:r>
      <w:r>
        <w:fldChar w:fldCharType="begin"/>
      </w:r>
      <w:r>
        <w:instrText xml:space="preserve"> PAGEREF _Toc199511897 \h </w:instrText>
      </w:r>
      <w:r>
        <w:fldChar w:fldCharType="separate"/>
      </w:r>
      <w:r>
        <w:t>130</w:t>
      </w:r>
      <w:r>
        <w:fldChar w:fldCharType="end"/>
      </w:r>
    </w:p>
    <w:p>
      <w:pPr>
        <w:pStyle w:val="TOC8"/>
        <w:rPr>
          <w:rFonts w:asciiTheme="minorHAnsi" w:eastAsiaTheme="minorEastAsia" w:hAnsiTheme="minorHAnsi" w:cstheme="minorBidi"/>
          <w:szCs w:val="22"/>
        </w:rPr>
      </w:pPr>
      <w:r>
        <w:t>51O.</w:t>
      </w:r>
      <w:r>
        <w:tab/>
        <w:t>P</w:t>
      </w:r>
      <w:r>
        <w:rPr>
          <w:snapToGrid w:val="0"/>
        </w:rPr>
        <w:t>rinciples and instruments to be considered when making decisions as to clearing permits</w:t>
      </w:r>
      <w:r>
        <w:tab/>
      </w:r>
      <w:r>
        <w:fldChar w:fldCharType="begin"/>
      </w:r>
      <w:r>
        <w:instrText xml:space="preserve"> PAGEREF _Toc199511898 \h </w:instrText>
      </w:r>
      <w:r>
        <w:fldChar w:fldCharType="separate"/>
      </w:r>
      <w:r>
        <w:t>131</w:t>
      </w:r>
      <w:r>
        <w:fldChar w:fldCharType="end"/>
      </w:r>
    </w:p>
    <w:p>
      <w:pPr>
        <w:pStyle w:val="TOC8"/>
        <w:rPr>
          <w:rFonts w:asciiTheme="minorHAnsi" w:eastAsiaTheme="minorEastAsia" w:hAnsiTheme="minorHAnsi" w:cstheme="minorBidi"/>
          <w:szCs w:val="22"/>
        </w:rPr>
      </w:pPr>
      <w:r>
        <w:t>51P</w:t>
      </w:r>
      <w:r>
        <w:rPr>
          <w:snapToGrid w:val="0"/>
        </w:rPr>
        <w:t>.</w:t>
      </w:r>
      <w:r>
        <w:rPr>
          <w:snapToGrid w:val="0"/>
        </w:rPr>
        <w:tab/>
        <w:t>Relationship between clearing permits and approved policies</w:t>
      </w:r>
      <w:r>
        <w:tab/>
      </w:r>
      <w:r>
        <w:fldChar w:fldCharType="begin"/>
      </w:r>
      <w:r>
        <w:instrText xml:space="preserve"> PAGEREF _Toc199511899 \h </w:instrText>
      </w:r>
      <w:r>
        <w:fldChar w:fldCharType="separate"/>
      </w:r>
      <w:r>
        <w:t>132</w:t>
      </w:r>
      <w:r>
        <w:fldChar w:fldCharType="end"/>
      </w:r>
    </w:p>
    <w:p>
      <w:pPr>
        <w:pStyle w:val="TOC8"/>
        <w:rPr>
          <w:rFonts w:asciiTheme="minorHAnsi" w:eastAsiaTheme="minorEastAsia" w:hAnsiTheme="minorHAnsi" w:cstheme="minorBidi"/>
          <w:szCs w:val="22"/>
        </w:rPr>
      </w:pPr>
      <w:r>
        <w:t>51Q.</w:t>
      </w:r>
      <w:r>
        <w:tab/>
        <w:t>CEO to keep a record of clearing</w:t>
      </w:r>
      <w:r>
        <w:rPr>
          <w:snapToGrid w:val="0"/>
        </w:rPr>
        <w:t xml:space="preserve"> permits and related matters</w:t>
      </w:r>
      <w:r>
        <w:tab/>
      </w:r>
      <w:r>
        <w:fldChar w:fldCharType="begin"/>
      </w:r>
      <w:r>
        <w:instrText xml:space="preserve"> PAGEREF _Toc199511900 \h </w:instrText>
      </w:r>
      <w:r>
        <w:fldChar w:fldCharType="separate"/>
      </w:r>
      <w:r>
        <w:t>133</w:t>
      </w:r>
      <w:r>
        <w:fldChar w:fldCharType="end"/>
      </w:r>
    </w:p>
    <w:p>
      <w:pPr>
        <w:pStyle w:val="TOC8"/>
        <w:rPr>
          <w:rFonts w:asciiTheme="minorHAnsi" w:eastAsiaTheme="minorEastAsia" w:hAnsiTheme="minorHAnsi" w:cstheme="minorBidi"/>
          <w:szCs w:val="22"/>
        </w:rPr>
      </w:pPr>
      <w:r>
        <w:t>51R.</w:t>
      </w:r>
      <w:r>
        <w:tab/>
        <w:t>Evidentiary matters</w:t>
      </w:r>
      <w:r>
        <w:tab/>
      </w:r>
      <w:r>
        <w:fldChar w:fldCharType="begin"/>
      </w:r>
      <w:r>
        <w:instrText xml:space="preserve"> PAGEREF _Toc199511901 \h </w:instrText>
      </w:r>
      <w:r>
        <w:fldChar w:fldCharType="separate"/>
      </w:r>
      <w:r>
        <w:t>133</w:t>
      </w:r>
      <w:r>
        <w:fldChar w:fldCharType="end"/>
      </w:r>
    </w:p>
    <w:p>
      <w:pPr>
        <w:pStyle w:val="TOC8"/>
        <w:rPr>
          <w:rFonts w:asciiTheme="minorHAnsi" w:eastAsiaTheme="minorEastAsia" w:hAnsiTheme="minorHAnsi" w:cstheme="minorBidi"/>
          <w:szCs w:val="22"/>
        </w:rPr>
      </w:pPr>
      <w:r>
        <w:t>51S</w:t>
      </w:r>
      <w:r>
        <w:rPr>
          <w:snapToGrid w:val="0"/>
        </w:rPr>
        <w:t>.</w:t>
      </w:r>
      <w:r>
        <w:rPr>
          <w:snapToGrid w:val="0"/>
        </w:rPr>
        <w:tab/>
      </w:r>
      <w:r>
        <w:t>Clearing injunctions</w:t>
      </w:r>
      <w:r>
        <w:tab/>
      </w:r>
      <w:r>
        <w:fldChar w:fldCharType="begin"/>
      </w:r>
      <w:r>
        <w:instrText xml:space="preserve"> PAGEREF _Toc199511902 \h </w:instrText>
      </w:r>
      <w:r>
        <w:fldChar w:fldCharType="separate"/>
      </w:r>
      <w:r>
        <w:t>134</w:t>
      </w:r>
      <w:r>
        <w:fldChar w:fldCharType="end"/>
      </w:r>
    </w:p>
    <w:p>
      <w:pPr>
        <w:pStyle w:val="TOC8"/>
        <w:rPr>
          <w:rFonts w:asciiTheme="minorHAnsi" w:eastAsiaTheme="minorEastAsia" w:hAnsiTheme="minorHAnsi" w:cstheme="minorBidi"/>
          <w:szCs w:val="22"/>
        </w:rPr>
      </w:pPr>
      <w:r>
        <w:lastRenderedPageBreak/>
        <w:t>51T.</w:t>
      </w:r>
      <w:r>
        <w:tab/>
        <w:t>Other laws as to clearing vegetation not affected by this Division</w:t>
      </w:r>
      <w:r>
        <w:tab/>
      </w:r>
      <w:r>
        <w:fldChar w:fldCharType="begin"/>
      </w:r>
      <w:r>
        <w:instrText xml:space="preserve"> PAGEREF _Toc199511903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3 — Prescribed premises, works approvals and licences</w:t>
      </w:r>
    </w:p>
    <w:p>
      <w:pPr>
        <w:pStyle w:val="TOC8"/>
        <w:rPr>
          <w:rFonts w:asciiTheme="minorHAnsi" w:eastAsiaTheme="minorEastAsia" w:hAnsiTheme="minorHAnsi" w:cstheme="minorBidi"/>
          <w:szCs w:val="22"/>
        </w:rPr>
      </w:pPr>
      <w:r>
        <w:t>52</w:t>
      </w:r>
      <w:r>
        <w:rPr>
          <w:snapToGrid w:val="0"/>
        </w:rPr>
        <w:t>.</w:t>
      </w:r>
      <w:r>
        <w:rPr>
          <w:snapToGrid w:val="0"/>
        </w:rPr>
        <w:tab/>
        <w:t>Changing premises to become prescribed premises requires approval</w:t>
      </w:r>
      <w:r>
        <w:tab/>
      </w:r>
      <w:r>
        <w:fldChar w:fldCharType="begin"/>
      </w:r>
      <w:r>
        <w:instrText xml:space="preserve"> PAGEREF _Toc199511905 \h </w:instrText>
      </w:r>
      <w:r>
        <w:fldChar w:fldCharType="separate"/>
      </w:r>
      <w:r>
        <w:t>136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Prescribed premises, restrictions as to changes to etc.</w:t>
      </w:r>
      <w:r>
        <w:tab/>
      </w:r>
      <w:r>
        <w:fldChar w:fldCharType="begin"/>
      </w:r>
      <w:r>
        <w:instrText xml:space="preserve"> PAGEREF _Toc199511906 \h </w:instrText>
      </w:r>
      <w:r>
        <w:fldChar w:fldCharType="separate"/>
      </w:r>
      <w:r>
        <w:t>136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Works approvals, applying for, granting, refusing etc.</w:t>
      </w:r>
      <w:r>
        <w:tab/>
      </w:r>
      <w:r>
        <w:fldChar w:fldCharType="begin"/>
      </w:r>
      <w:r>
        <w:instrText xml:space="preserve"> PAGEREF _Toc199511907 \h </w:instrText>
      </w:r>
      <w:r>
        <w:fldChar w:fldCharType="separate"/>
      </w:r>
      <w:r>
        <w:t>139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Contravening conditions of works approvals</w:t>
      </w:r>
      <w:r>
        <w:tab/>
      </w:r>
      <w:r>
        <w:fldChar w:fldCharType="begin"/>
      </w:r>
      <w:r>
        <w:instrText xml:space="preserve"> PAGEREF _Toc199511908 \h </w:instrText>
      </w:r>
      <w:r>
        <w:fldChar w:fldCharType="separate"/>
      </w:r>
      <w:r>
        <w:t>140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Occupiers of prescribed premises to be licensed for emissions etc.</w:t>
      </w:r>
      <w:r>
        <w:tab/>
      </w:r>
      <w:r>
        <w:fldChar w:fldCharType="begin"/>
      </w:r>
      <w:r>
        <w:instrText xml:space="preserve"> PAGEREF _Toc199511909 \h </w:instrText>
      </w:r>
      <w:r>
        <w:fldChar w:fldCharType="separate"/>
      </w:r>
      <w:r>
        <w:t>141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Licences, applying for, granting, refusing etc.</w:t>
      </w:r>
      <w:r>
        <w:tab/>
      </w:r>
      <w:r>
        <w:fldChar w:fldCharType="begin"/>
      </w:r>
      <w:r>
        <w:instrText xml:space="preserve"> PAGEREF _Toc199511910 \h </w:instrText>
      </w:r>
      <w:r>
        <w:fldChar w:fldCharType="separate"/>
      </w:r>
      <w:r>
        <w:t>142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Contravening licence conditions</w:t>
      </w:r>
      <w:r>
        <w:tab/>
      </w:r>
      <w:r>
        <w:fldChar w:fldCharType="begin"/>
      </w:r>
      <w:r>
        <w:instrText xml:space="preserve"> PAGEREF _Toc199511911 \h </w:instrText>
      </w:r>
      <w:r>
        <w:fldChar w:fldCharType="separate"/>
      </w:r>
      <w:r>
        <w:t>145</w:t>
      </w:r>
      <w:r>
        <w:fldChar w:fldCharType="end"/>
      </w:r>
    </w:p>
    <w:p>
      <w:pPr>
        <w:pStyle w:val="TOC8"/>
        <w:rPr>
          <w:rFonts w:asciiTheme="minorHAnsi" w:eastAsiaTheme="minorEastAsia" w:hAnsiTheme="minorHAnsi" w:cstheme="minorBidi"/>
          <w:szCs w:val="22"/>
        </w:rPr>
      </w:pPr>
      <w:r>
        <w:t>59.</w:t>
      </w:r>
      <w:r>
        <w:tab/>
        <w:t>Amending works approval or licence</w:t>
      </w:r>
      <w:r>
        <w:tab/>
      </w:r>
      <w:r>
        <w:fldChar w:fldCharType="begin"/>
      </w:r>
      <w:r>
        <w:instrText xml:space="preserve"> PAGEREF _Toc199511912 \h </w:instrText>
      </w:r>
      <w:r>
        <w:fldChar w:fldCharType="separate"/>
      </w:r>
      <w:r>
        <w:t>146</w:t>
      </w:r>
      <w:r>
        <w:fldChar w:fldCharType="end"/>
      </w:r>
    </w:p>
    <w:p>
      <w:pPr>
        <w:pStyle w:val="TOC8"/>
        <w:rPr>
          <w:rFonts w:asciiTheme="minorHAnsi" w:eastAsiaTheme="minorEastAsia" w:hAnsiTheme="minorHAnsi" w:cstheme="minorBidi"/>
          <w:szCs w:val="22"/>
        </w:rPr>
      </w:pPr>
      <w:r>
        <w:t>59A.</w:t>
      </w:r>
      <w:r>
        <w:tab/>
        <w:t>Revoking or suspending works approval or licence</w:t>
      </w:r>
      <w:r>
        <w:tab/>
      </w:r>
      <w:r>
        <w:fldChar w:fldCharType="begin"/>
      </w:r>
      <w:r>
        <w:instrText xml:space="preserve"> PAGEREF _Toc199511913 \h </w:instrText>
      </w:r>
      <w:r>
        <w:fldChar w:fldCharType="separate"/>
      </w:r>
      <w:r>
        <w:t>147</w:t>
      </w:r>
      <w:r>
        <w:fldChar w:fldCharType="end"/>
      </w:r>
    </w:p>
    <w:p>
      <w:pPr>
        <w:pStyle w:val="TOC8"/>
        <w:rPr>
          <w:rFonts w:asciiTheme="minorHAnsi" w:eastAsiaTheme="minorEastAsia" w:hAnsiTheme="minorHAnsi" w:cstheme="minorBidi"/>
          <w:szCs w:val="22"/>
        </w:rPr>
      </w:pPr>
      <w:r>
        <w:t>59B.</w:t>
      </w:r>
      <w:r>
        <w:tab/>
        <w:t>Procedure for amending, revoking or suspending works approval or licence</w:t>
      </w:r>
      <w:r>
        <w:tab/>
      </w:r>
      <w:r>
        <w:fldChar w:fldCharType="begin"/>
      </w:r>
      <w:r>
        <w:instrText xml:space="preserve"> PAGEREF _Toc199511914 \h </w:instrText>
      </w:r>
      <w:r>
        <w:fldChar w:fldCharType="separate"/>
      </w:r>
      <w:r>
        <w:t>148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Relationship between works approvals or licences and approved policies</w:t>
      </w:r>
      <w:r>
        <w:tab/>
      </w:r>
      <w:r>
        <w:fldChar w:fldCharType="begin"/>
      </w:r>
      <w:r>
        <w:instrText xml:space="preserve"> PAGEREF _Toc199511915 \h </w:instrText>
      </w:r>
      <w:r>
        <w:fldChar w:fldCharType="separate"/>
      </w:r>
      <w:r>
        <w:t>150</w:t>
      </w:r>
      <w:r>
        <w:fldChar w:fldCharType="end"/>
      </w:r>
    </w:p>
    <w:p>
      <w:pPr>
        <w:pStyle w:val="TOC8"/>
        <w:rPr>
          <w:rFonts w:asciiTheme="minorHAnsi" w:eastAsiaTheme="minorEastAsia" w:hAnsiTheme="minorHAnsi" w:cstheme="minorBidi"/>
          <w:szCs w:val="22"/>
        </w:rPr>
      </w:pPr>
      <w:r>
        <w:t>61.</w:t>
      </w:r>
      <w:r>
        <w:tab/>
      </w:r>
      <w:r>
        <w:rPr>
          <w:snapToGrid w:val="0"/>
        </w:rPr>
        <w:t>Duty of persons becoming occupiers of prescribed premises</w:t>
      </w:r>
      <w:r>
        <w:tab/>
      </w:r>
      <w:r>
        <w:fldChar w:fldCharType="begin"/>
      </w:r>
      <w:r>
        <w:instrText xml:space="preserve"> PAGEREF _Toc199511916 \h </w:instrText>
      </w:r>
      <w:r>
        <w:fldChar w:fldCharType="separate"/>
      </w:r>
      <w:r>
        <w:t>151</w:t>
      </w:r>
      <w:r>
        <w:fldChar w:fldCharType="end"/>
      </w:r>
    </w:p>
    <w:p>
      <w:pPr>
        <w:pStyle w:val="TOC8"/>
        <w:rPr>
          <w:rFonts w:asciiTheme="minorHAnsi" w:eastAsiaTheme="minorEastAsia" w:hAnsiTheme="minorHAnsi" w:cstheme="minorBidi"/>
          <w:szCs w:val="22"/>
        </w:rPr>
      </w:pPr>
      <w:r>
        <w:t>62.</w:t>
      </w:r>
      <w:r>
        <w:tab/>
        <w:t>Works approval and licence conditions</w:t>
      </w:r>
      <w:r>
        <w:tab/>
      </w:r>
      <w:r>
        <w:fldChar w:fldCharType="begin"/>
      </w:r>
      <w:r>
        <w:instrText xml:space="preserve"> PAGEREF _Toc199511917 \h </w:instrText>
      </w:r>
      <w:r>
        <w:fldChar w:fldCharType="separate"/>
      </w:r>
      <w:r>
        <w:t>152</w:t>
      </w:r>
      <w:r>
        <w:fldChar w:fldCharType="end"/>
      </w:r>
    </w:p>
    <w:p>
      <w:pPr>
        <w:pStyle w:val="TOC8"/>
        <w:rPr>
          <w:rFonts w:asciiTheme="minorHAnsi" w:eastAsiaTheme="minorEastAsia" w:hAnsiTheme="minorHAnsi" w:cstheme="minorBidi"/>
          <w:szCs w:val="22"/>
        </w:rPr>
      </w:pPr>
      <w:r>
        <w:t>62A.</w:t>
      </w:r>
      <w:r>
        <w:tab/>
        <w:t>Some kinds of conditions</w:t>
      </w:r>
      <w:r>
        <w:tab/>
      </w:r>
      <w:r>
        <w:fldChar w:fldCharType="begin"/>
      </w:r>
      <w:r>
        <w:instrText xml:space="preserve"> PAGEREF _Toc199511918 \h </w:instrText>
      </w:r>
      <w:r>
        <w:fldChar w:fldCharType="separate"/>
      </w:r>
      <w:r>
        <w:t>152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Duration of works approvals and licences</w:t>
      </w:r>
      <w:r>
        <w:tab/>
      </w:r>
      <w:r>
        <w:fldChar w:fldCharType="begin"/>
      </w:r>
      <w:r>
        <w:instrText xml:space="preserve"> PAGEREF _Toc199511919 \h </w:instrText>
      </w:r>
      <w:r>
        <w:fldChar w:fldCharType="separate"/>
      </w:r>
      <w:r>
        <w:t>155</w:t>
      </w:r>
      <w:r>
        <w:fldChar w:fldCharType="end"/>
      </w:r>
    </w:p>
    <w:p>
      <w:pPr>
        <w:pStyle w:val="TOC8"/>
        <w:rPr>
          <w:rFonts w:asciiTheme="minorHAnsi" w:eastAsiaTheme="minorEastAsia" w:hAnsiTheme="minorHAnsi" w:cstheme="minorBidi"/>
          <w:szCs w:val="22"/>
        </w:rPr>
      </w:pPr>
      <w:r>
        <w:t>63A.</w:t>
      </w:r>
      <w:r>
        <w:tab/>
        <w:t>CEO to keep and publish record of works approvals and licences</w:t>
      </w:r>
      <w:r>
        <w:tab/>
      </w:r>
      <w:r>
        <w:fldChar w:fldCharType="begin"/>
      </w:r>
      <w:r>
        <w:instrText xml:space="preserve"> PAGEREF _Toc199511920 \h </w:instrText>
      </w:r>
      <w:r>
        <w:fldChar w:fldCharType="separate"/>
      </w:r>
      <w:r>
        <w:t>155</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Transfer of works approvals and licences</w:t>
      </w:r>
      <w:r>
        <w:tab/>
      </w:r>
      <w:r>
        <w:fldChar w:fldCharType="begin"/>
      </w:r>
      <w:r>
        <w:instrText xml:space="preserve"> PAGEREF _Toc199511921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4 — Notices, orders and directions</w:t>
      </w:r>
    </w:p>
    <w:p>
      <w:pPr>
        <w:pStyle w:val="TOC8"/>
        <w:rPr>
          <w:rFonts w:asciiTheme="minorHAnsi" w:eastAsiaTheme="minorEastAsia" w:hAnsiTheme="minorHAnsi" w:cstheme="minorBidi"/>
          <w:szCs w:val="22"/>
        </w:rPr>
      </w:pPr>
      <w:r>
        <w:t>64A.</w:t>
      </w:r>
      <w:r>
        <w:tab/>
        <w:t>CEO to keep records of notices</w:t>
      </w:r>
      <w:r>
        <w:tab/>
      </w:r>
      <w:r>
        <w:fldChar w:fldCharType="begin"/>
      </w:r>
      <w:r>
        <w:instrText xml:space="preserve"> PAGEREF _Toc199511923 \h </w:instrText>
      </w:r>
      <w:r>
        <w:fldChar w:fldCharType="separate"/>
      </w:r>
      <w:r>
        <w:t>156</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Environmental protection notices, issue and effect of</w:t>
      </w:r>
      <w:r>
        <w:tab/>
      </w:r>
      <w:r>
        <w:fldChar w:fldCharType="begin"/>
      </w:r>
      <w:r>
        <w:instrText xml:space="preserve"> PAGEREF _Toc199511924 \h </w:instrText>
      </w:r>
      <w:r>
        <w:fldChar w:fldCharType="separate"/>
      </w:r>
      <w:r>
        <w:t>156</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Environmental protection notices, registration of etc. on land titles</w:t>
      </w:r>
      <w:r>
        <w:tab/>
      </w:r>
      <w:r>
        <w:fldChar w:fldCharType="begin"/>
      </w:r>
      <w:r>
        <w:instrText xml:space="preserve"> PAGEREF _Toc199511925 \h </w:instrText>
      </w:r>
      <w:r>
        <w:fldChar w:fldCharType="separate"/>
      </w:r>
      <w:r>
        <w:t>160</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Duties of person ceasing to be owner etc. of land subject to notice registered under s. 66</w:t>
      </w:r>
      <w:r>
        <w:tab/>
      </w:r>
      <w:r>
        <w:fldChar w:fldCharType="begin"/>
      </w:r>
      <w:r>
        <w:instrText xml:space="preserve"> PAGEREF _Toc199511926 \h </w:instrText>
      </w:r>
      <w:r>
        <w:fldChar w:fldCharType="separate"/>
      </w:r>
      <w:r>
        <w:t>161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Restriction on subdividing etc. land subject to notice registered under s. 66</w:t>
      </w:r>
      <w:r>
        <w:tab/>
      </w:r>
      <w:r>
        <w:fldChar w:fldCharType="begin"/>
      </w:r>
      <w:r>
        <w:instrText xml:space="preserve"> PAGEREF _Toc199511927 \h </w:instrText>
      </w:r>
      <w:r>
        <w:fldChar w:fldCharType="separate"/>
      </w:r>
      <w:r>
        <w:t>162</w:t>
      </w:r>
      <w:r>
        <w:fldChar w:fldCharType="end"/>
      </w:r>
    </w:p>
    <w:p>
      <w:pPr>
        <w:pStyle w:val="TOC8"/>
        <w:rPr>
          <w:rFonts w:asciiTheme="minorHAnsi" w:eastAsiaTheme="minorEastAsia" w:hAnsiTheme="minorHAnsi" w:cstheme="minorBidi"/>
          <w:szCs w:val="22"/>
        </w:rPr>
      </w:pPr>
      <w:r>
        <w:lastRenderedPageBreak/>
        <w:t>68A.</w:t>
      </w:r>
      <w:r>
        <w:tab/>
        <w:t>Closure notices, issue and effect of</w:t>
      </w:r>
      <w:r>
        <w:tab/>
      </w:r>
      <w:r>
        <w:fldChar w:fldCharType="begin"/>
      </w:r>
      <w:r>
        <w:instrText xml:space="preserve"> PAGEREF _Toc199511928 \h </w:instrText>
      </w:r>
      <w:r>
        <w:fldChar w:fldCharType="separate"/>
      </w:r>
      <w:r>
        <w:t>162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Stop orders, issue and effect of</w:t>
      </w:r>
      <w:r>
        <w:tab/>
      </w:r>
      <w:r>
        <w:fldChar w:fldCharType="begin"/>
      </w:r>
      <w:r>
        <w:instrText xml:space="preserve"> PAGEREF _Toc199511929 \h </w:instrText>
      </w:r>
      <w:r>
        <w:fldChar w:fldCharType="separate"/>
      </w:r>
      <w:r>
        <w:t>164</w:t>
      </w:r>
      <w:r>
        <w:fldChar w:fldCharType="end"/>
      </w:r>
    </w:p>
    <w:p>
      <w:pPr>
        <w:pStyle w:val="TOC8"/>
        <w:rPr>
          <w:rFonts w:asciiTheme="minorHAnsi" w:eastAsiaTheme="minorEastAsia" w:hAnsiTheme="minorHAnsi" w:cstheme="minorBidi"/>
          <w:szCs w:val="22"/>
        </w:rPr>
      </w:pPr>
      <w:r>
        <w:t>70.</w:t>
      </w:r>
      <w:r>
        <w:tab/>
        <w:t>Vegetation conservation notices, issue and effect of</w:t>
      </w:r>
      <w:r>
        <w:tab/>
      </w:r>
      <w:r>
        <w:fldChar w:fldCharType="begin"/>
      </w:r>
      <w:r>
        <w:instrText xml:space="preserve"> PAGEREF _Toc199511930 \h </w:instrText>
      </w:r>
      <w:r>
        <w:fldChar w:fldCharType="separate"/>
      </w:r>
      <w:r>
        <w:t>166</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Environmental protection directions, issue and effect of</w:t>
      </w:r>
      <w:r>
        <w:tab/>
      </w:r>
      <w:r>
        <w:fldChar w:fldCharType="begin"/>
      </w:r>
      <w:r>
        <w:instrText xml:space="preserve"> PAGEREF _Toc199511931 \h </w:instrText>
      </w:r>
      <w:r>
        <w:fldChar w:fldCharType="separate"/>
      </w:r>
      <w:r>
        <w:t>169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Duty to notify CEO of discharges of waste</w:t>
      </w:r>
      <w:r>
        <w:tab/>
      </w:r>
      <w:r>
        <w:fldChar w:fldCharType="begin"/>
      </w:r>
      <w:r>
        <w:instrText xml:space="preserve"> PAGEREF _Toc199511932 \h </w:instrText>
      </w:r>
      <w:r>
        <w:fldChar w:fldCharType="separate"/>
      </w:r>
      <w:r>
        <w:t>170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Powers to deal with etc. discharges of waste, pollution and environmental harm</w:t>
      </w:r>
      <w:r>
        <w:tab/>
      </w:r>
      <w:r>
        <w:fldChar w:fldCharType="begin"/>
      </w:r>
      <w:r>
        <w:instrText xml:space="preserve"> PAGEREF _Toc199511933 \h </w:instrText>
      </w:r>
      <w:r>
        <w:fldChar w:fldCharType="separate"/>
      </w:r>
      <w:r>
        <w:t>171</w:t>
      </w:r>
      <w:r>
        <w:fldChar w:fldCharType="end"/>
      </w:r>
    </w:p>
    <w:p>
      <w:pPr>
        <w:pStyle w:val="TOC8"/>
        <w:rPr>
          <w:rFonts w:asciiTheme="minorHAnsi" w:eastAsiaTheme="minorEastAsia" w:hAnsiTheme="minorHAnsi" w:cstheme="minorBidi"/>
          <w:szCs w:val="22"/>
        </w:rPr>
      </w:pPr>
      <w:r>
        <w:t>73A.</w:t>
      </w:r>
      <w:r>
        <w:tab/>
        <w:t>Prevention notices, issue and effect of</w:t>
      </w:r>
      <w:r>
        <w:tab/>
      </w:r>
      <w:r>
        <w:fldChar w:fldCharType="begin"/>
      </w:r>
      <w:r>
        <w:instrText xml:space="preserve"> PAGEREF _Toc199511934 \h </w:instrText>
      </w:r>
      <w:r>
        <w:fldChar w:fldCharType="separate"/>
      </w:r>
      <w:r>
        <w:t>173</w:t>
      </w:r>
      <w:r>
        <w:fldChar w:fldCharType="end"/>
      </w:r>
    </w:p>
    <w:p>
      <w:pPr>
        <w:pStyle w:val="TOC8"/>
        <w:rPr>
          <w:rFonts w:asciiTheme="minorHAnsi" w:eastAsiaTheme="minorEastAsia" w:hAnsiTheme="minorHAnsi" w:cstheme="minorBidi"/>
          <w:szCs w:val="22"/>
        </w:rPr>
      </w:pPr>
      <w:r>
        <w:t>73B.</w:t>
      </w:r>
      <w:r>
        <w:tab/>
        <w:t>Breach of notice issued under s. 65, 70 or 73A, damages for</w:t>
      </w:r>
      <w:r>
        <w:tab/>
      </w:r>
      <w:r>
        <w:fldChar w:fldCharType="begin"/>
      </w:r>
      <w:r>
        <w:instrText xml:space="preserve"> PAGEREF _Toc199511935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74</w:t>
      </w:r>
      <w:r>
        <w:rPr>
          <w:snapToGrid w:val="0"/>
        </w:rPr>
        <w:t>.</w:t>
      </w:r>
      <w:r>
        <w:rPr>
          <w:snapToGrid w:val="0"/>
        </w:rPr>
        <w:tab/>
        <w:t>Defences to certain offences</w:t>
      </w:r>
      <w:r>
        <w:tab/>
      </w:r>
      <w:r>
        <w:fldChar w:fldCharType="begin"/>
      </w:r>
      <w:r>
        <w:instrText xml:space="preserve"> PAGEREF _Toc199511937 \h </w:instrText>
      </w:r>
      <w:r>
        <w:fldChar w:fldCharType="separate"/>
      </w:r>
      <w:r>
        <w:t>176</w:t>
      </w:r>
      <w:r>
        <w:fldChar w:fldCharType="end"/>
      </w:r>
    </w:p>
    <w:p>
      <w:pPr>
        <w:pStyle w:val="TOC8"/>
        <w:rPr>
          <w:rFonts w:asciiTheme="minorHAnsi" w:eastAsiaTheme="minorEastAsia" w:hAnsiTheme="minorHAnsi" w:cstheme="minorBidi"/>
          <w:szCs w:val="22"/>
        </w:rPr>
      </w:pPr>
      <w:r>
        <w:t>74A.</w:t>
      </w:r>
      <w:r>
        <w:tab/>
        <w:t>Defences to offences of causing pollution etc.: authority of this Act</w:t>
      </w:r>
      <w:r>
        <w:tab/>
      </w:r>
      <w:r>
        <w:fldChar w:fldCharType="begin"/>
      </w:r>
      <w:r>
        <w:instrText xml:space="preserve"> PAGEREF _Toc199511938 \h </w:instrText>
      </w:r>
      <w:r>
        <w:fldChar w:fldCharType="separate"/>
      </w:r>
      <w:r>
        <w:t>178</w:t>
      </w:r>
      <w:r>
        <w:fldChar w:fldCharType="end"/>
      </w:r>
    </w:p>
    <w:p>
      <w:pPr>
        <w:pStyle w:val="TOC8"/>
        <w:rPr>
          <w:rFonts w:asciiTheme="minorHAnsi" w:eastAsiaTheme="minorEastAsia" w:hAnsiTheme="minorHAnsi" w:cstheme="minorBidi"/>
          <w:szCs w:val="22"/>
        </w:rPr>
      </w:pPr>
      <w:r>
        <w:t>74B.</w:t>
      </w:r>
      <w:r>
        <w:tab/>
        <w:t>Other defences to environmental harm offences</w:t>
      </w:r>
      <w:r>
        <w:tab/>
      </w:r>
      <w:r>
        <w:fldChar w:fldCharType="begin"/>
      </w:r>
      <w:r>
        <w:instrText xml:space="preserve"> PAGEREF _Toc199511939 \h </w:instrText>
      </w:r>
      <w:r>
        <w:fldChar w:fldCharType="separate"/>
      </w:r>
      <w:r>
        <w:t>179</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Discharges or emissions in emergencies</w:t>
      </w:r>
      <w:r>
        <w:tab/>
      </w:r>
      <w:r>
        <w:fldChar w:fldCharType="begin"/>
      </w:r>
      <w:r>
        <w:instrText xml:space="preserve"> PAGEREF _Toc199511940 \h </w:instrText>
      </w:r>
      <w:r>
        <w:fldChar w:fldCharType="separate"/>
      </w:r>
      <w:r>
        <w:t>180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Miscellaneous offences</w:t>
      </w:r>
      <w:r>
        <w:tab/>
      </w:r>
      <w:r>
        <w:fldChar w:fldCharType="begin"/>
      </w:r>
      <w:r>
        <w:instrText xml:space="preserve"> PAGEREF _Toc199511941 \h </w:instrText>
      </w:r>
      <w:r>
        <w:fldChar w:fldCharType="separate"/>
      </w:r>
      <w:r>
        <w:t>181</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Vehicles and vessels, duties of owners etc. of</w:t>
      </w:r>
      <w:r>
        <w:tab/>
      </w:r>
      <w:r>
        <w:fldChar w:fldCharType="begin"/>
      </w:r>
      <w:r>
        <w:instrText xml:space="preserve"> PAGEREF _Toc199511942 \h </w:instrText>
      </w:r>
      <w:r>
        <w:fldChar w:fldCharType="separate"/>
      </w:r>
      <w:r>
        <w:t>181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Interfering with anti</w:t>
      </w:r>
      <w:r>
        <w:rPr>
          <w:snapToGrid w:val="0"/>
        </w:rPr>
        <w:noBreakHyphen/>
        <w:t>pollution devices on vehicles or vessels</w:t>
      </w:r>
      <w:r>
        <w:tab/>
      </w:r>
      <w:r>
        <w:fldChar w:fldCharType="begin"/>
      </w:r>
      <w:r>
        <w:instrText xml:space="preserve"> PAGEREF _Toc199511943 \h </w:instrText>
      </w:r>
      <w:r>
        <w:fldChar w:fldCharType="separate"/>
      </w:r>
      <w:r>
        <w:t>182</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Unreasonable noise emissions from premises</w:t>
      </w:r>
      <w:r>
        <w:tab/>
      </w:r>
      <w:r>
        <w:fldChar w:fldCharType="begin"/>
      </w:r>
      <w:r>
        <w:instrText xml:space="preserve"> PAGEREF _Toc199511944 \h </w:instrText>
      </w:r>
      <w:r>
        <w:fldChar w:fldCharType="separate"/>
      </w:r>
      <w:r>
        <w:t>183</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Installing equipment emitting unreasonable noise</w:t>
      </w:r>
      <w:r>
        <w:tab/>
      </w:r>
      <w:r>
        <w:fldChar w:fldCharType="begin"/>
      </w:r>
      <w:r>
        <w:instrText xml:space="preserve"> PAGEREF _Toc199511945 \h </w:instrText>
      </w:r>
      <w:r>
        <w:fldChar w:fldCharType="separate"/>
      </w:r>
      <w:r>
        <w:t>184</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Noise abatement, powers for</w:t>
      </w:r>
      <w:r>
        <w:tab/>
      </w:r>
      <w:r>
        <w:fldChar w:fldCharType="begin"/>
      </w:r>
      <w:r>
        <w:instrText xml:space="preserve"> PAGEREF _Toc199511946 \h </w:instrText>
      </w:r>
      <w:r>
        <w:fldChar w:fldCharType="separate"/>
      </w:r>
      <w:r>
        <w:t>184</w:t>
      </w:r>
      <w:r>
        <w:fldChar w:fldCharType="end"/>
      </w:r>
    </w:p>
    <w:p>
      <w:pPr>
        <w:pStyle w:val="TOC8"/>
        <w:rPr>
          <w:rFonts w:asciiTheme="minorHAnsi" w:eastAsiaTheme="minorEastAsia" w:hAnsiTheme="minorHAnsi" w:cstheme="minorBidi"/>
          <w:szCs w:val="22"/>
        </w:rPr>
      </w:pPr>
      <w:r>
        <w:t>81A</w:t>
      </w:r>
      <w:r>
        <w:rPr>
          <w:snapToGrid w:val="0"/>
        </w:rPr>
        <w:t>.</w:t>
      </w:r>
      <w:r>
        <w:rPr>
          <w:snapToGrid w:val="0"/>
        </w:rPr>
        <w:tab/>
        <w:t>Seizing noisy equipment</w:t>
      </w:r>
      <w:r>
        <w:tab/>
      </w:r>
      <w:r>
        <w:fldChar w:fldCharType="begin"/>
      </w:r>
      <w:r>
        <w:instrText xml:space="preserve"> PAGEREF _Toc199511947 \h </w:instrText>
      </w:r>
      <w:r>
        <w:fldChar w:fldCharType="separate"/>
      </w:r>
      <w:r>
        <w:t>185</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Ancillary powers for s. 81 and 81A</w:t>
      </w:r>
      <w:r>
        <w:tab/>
      </w:r>
      <w:r>
        <w:fldChar w:fldCharType="begin"/>
      </w:r>
      <w:r>
        <w:instrText xml:space="preserve"> PAGEREF _Toc199511948 \h </w:instrText>
      </w:r>
      <w:r>
        <w:fldChar w:fldCharType="separate"/>
      </w:r>
      <w:r>
        <w:t>187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Duty to give assistance and information to officials</w:t>
      </w:r>
      <w:r>
        <w:tab/>
      </w:r>
      <w:r>
        <w:fldChar w:fldCharType="begin"/>
      </w:r>
      <w:r>
        <w:instrText xml:space="preserve"> PAGEREF _Toc199511949 \h </w:instrText>
      </w:r>
      <w:r>
        <w:fldChar w:fldCharType="separate"/>
      </w:r>
      <w:r>
        <w:t>188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Excessive noise emissions from vehicles or vessels</w:t>
      </w:r>
      <w:r>
        <w:tab/>
      </w:r>
      <w:r>
        <w:fldChar w:fldCharType="begin"/>
      </w:r>
      <w:r>
        <w:instrText xml:space="preserve"> PAGEREF _Toc199511950 \h </w:instrText>
      </w:r>
      <w:r>
        <w:fldChar w:fldCharType="separate"/>
      </w:r>
      <w:r>
        <w:t>188</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Excessive noise emissions from equipment</w:t>
      </w:r>
      <w:r>
        <w:tab/>
      </w:r>
      <w:r>
        <w:fldChar w:fldCharType="begin"/>
      </w:r>
      <w:r>
        <w:instrText xml:space="preserve"> PAGEREF _Toc199511951 \h </w:instrText>
      </w:r>
      <w:r>
        <w:fldChar w:fldCharType="separate"/>
      </w:r>
      <w:r>
        <w:t>189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Manufacture, sale etc. of products emitting excessive noise</w:t>
      </w:r>
      <w:r>
        <w:tab/>
      </w:r>
      <w:r>
        <w:fldChar w:fldCharType="begin"/>
      </w:r>
      <w:r>
        <w:instrText xml:space="preserve"> PAGEREF _Toc199511952 \h </w:instrText>
      </w:r>
      <w:r>
        <w:fldChar w:fldCharType="separate"/>
      </w:r>
      <w:r>
        <w:t>189</w:t>
      </w:r>
      <w:r>
        <w:fldChar w:fldCharType="end"/>
      </w:r>
    </w:p>
    <w:p>
      <w:pPr>
        <w:pStyle w:val="TOC2"/>
        <w:tabs>
          <w:tab w:val="right" w:leader="dot" w:pos="7077"/>
        </w:tabs>
        <w:rPr>
          <w:rFonts w:asciiTheme="minorHAnsi" w:eastAsiaTheme="minorEastAsia" w:hAnsiTheme="minorHAnsi" w:cstheme="minorBidi"/>
          <w:b w:val="0"/>
          <w:sz w:val="22"/>
          <w:szCs w:val="22"/>
        </w:rPr>
      </w:pPr>
      <w:r>
        <w:t>Part VA — Financial assurances</w:t>
      </w:r>
    </w:p>
    <w:p>
      <w:pPr>
        <w:pStyle w:val="TOC8"/>
        <w:rPr>
          <w:rFonts w:asciiTheme="minorHAnsi" w:eastAsiaTheme="minorEastAsia" w:hAnsiTheme="minorHAnsi" w:cstheme="minorBidi"/>
          <w:szCs w:val="22"/>
        </w:rPr>
      </w:pPr>
      <w:r>
        <w:t>86A.</w:t>
      </w:r>
      <w:r>
        <w:tab/>
        <w:t>Terms used</w:t>
      </w:r>
      <w:r>
        <w:tab/>
      </w:r>
      <w:r>
        <w:fldChar w:fldCharType="begin"/>
      </w:r>
      <w:r>
        <w:instrText xml:space="preserve"> PAGEREF _Toc199511954 \h </w:instrText>
      </w:r>
      <w:r>
        <w:fldChar w:fldCharType="separate"/>
      </w:r>
      <w:r>
        <w:t>191</w:t>
      </w:r>
      <w:r>
        <w:fldChar w:fldCharType="end"/>
      </w:r>
    </w:p>
    <w:p>
      <w:pPr>
        <w:pStyle w:val="TOC8"/>
        <w:rPr>
          <w:rFonts w:asciiTheme="minorHAnsi" w:eastAsiaTheme="minorEastAsia" w:hAnsiTheme="minorHAnsi" w:cstheme="minorBidi"/>
          <w:szCs w:val="22"/>
        </w:rPr>
      </w:pPr>
      <w:r>
        <w:t>86B.</w:t>
      </w:r>
      <w:r>
        <w:tab/>
        <w:t>Financial assurance requirements, imposition and effect of</w:t>
      </w:r>
      <w:r>
        <w:tab/>
      </w:r>
      <w:r>
        <w:fldChar w:fldCharType="begin"/>
      </w:r>
      <w:r>
        <w:instrText xml:space="preserve"> PAGEREF _Toc199511955 \h </w:instrText>
      </w:r>
      <w:r>
        <w:fldChar w:fldCharType="separate"/>
      </w:r>
      <w:r>
        <w:t>192</w:t>
      </w:r>
      <w:r>
        <w:fldChar w:fldCharType="end"/>
      </w:r>
    </w:p>
    <w:p>
      <w:pPr>
        <w:pStyle w:val="TOC8"/>
        <w:rPr>
          <w:rFonts w:asciiTheme="minorHAnsi" w:eastAsiaTheme="minorEastAsia" w:hAnsiTheme="minorHAnsi" w:cstheme="minorBidi"/>
          <w:szCs w:val="22"/>
        </w:rPr>
      </w:pPr>
      <w:r>
        <w:t>86C.</w:t>
      </w:r>
      <w:r>
        <w:tab/>
        <w:t>Minister’s consent needed to impose etc. financial assurance requirement</w:t>
      </w:r>
      <w:r>
        <w:tab/>
      </w:r>
      <w:r>
        <w:fldChar w:fldCharType="begin"/>
      </w:r>
      <w:r>
        <w:instrText xml:space="preserve"> PAGEREF _Toc199511956 \h </w:instrText>
      </w:r>
      <w:r>
        <w:fldChar w:fldCharType="separate"/>
      </w:r>
      <w:r>
        <w:t>193</w:t>
      </w:r>
      <w:r>
        <w:fldChar w:fldCharType="end"/>
      </w:r>
    </w:p>
    <w:p>
      <w:pPr>
        <w:pStyle w:val="TOC8"/>
        <w:rPr>
          <w:rFonts w:asciiTheme="minorHAnsi" w:eastAsiaTheme="minorEastAsia" w:hAnsiTheme="minorHAnsi" w:cstheme="minorBidi"/>
          <w:szCs w:val="22"/>
        </w:rPr>
      </w:pPr>
      <w:r>
        <w:t>86D.</w:t>
      </w:r>
      <w:r>
        <w:tab/>
        <w:t>Amount of financial assurance</w:t>
      </w:r>
      <w:r>
        <w:tab/>
      </w:r>
      <w:r>
        <w:fldChar w:fldCharType="begin"/>
      </w:r>
      <w:r>
        <w:instrText xml:space="preserve"> PAGEREF _Toc199511957 \h </w:instrText>
      </w:r>
      <w:r>
        <w:fldChar w:fldCharType="separate"/>
      </w:r>
      <w:r>
        <w:t>194</w:t>
      </w:r>
      <w:r>
        <w:fldChar w:fldCharType="end"/>
      </w:r>
    </w:p>
    <w:p>
      <w:pPr>
        <w:pStyle w:val="TOC8"/>
        <w:rPr>
          <w:rFonts w:asciiTheme="minorHAnsi" w:eastAsiaTheme="minorEastAsia" w:hAnsiTheme="minorHAnsi" w:cstheme="minorBidi"/>
          <w:szCs w:val="22"/>
        </w:rPr>
      </w:pPr>
      <w:r>
        <w:lastRenderedPageBreak/>
        <w:t>86E.</w:t>
      </w:r>
      <w:r>
        <w:tab/>
        <w:t>Claim on or realising of financial assurance</w:t>
      </w:r>
      <w:r>
        <w:tab/>
      </w:r>
      <w:r>
        <w:fldChar w:fldCharType="begin"/>
      </w:r>
      <w:r>
        <w:instrText xml:space="preserve"> PAGEREF _Toc199511958 \h </w:instrText>
      </w:r>
      <w:r>
        <w:fldChar w:fldCharType="separate"/>
      </w:r>
      <w:r>
        <w:t>195</w:t>
      </w:r>
      <w:r>
        <w:fldChar w:fldCharType="end"/>
      </w:r>
    </w:p>
    <w:p>
      <w:pPr>
        <w:pStyle w:val="TOC8"/>
        <w:rPr>
          <w:rFonts w:asciiTheme="minorHAnsi" w:eastAsiaTheme="minorEastAsia" w:hAnsiTheme="minorHAnsi" w:cstheme="minorBidi"/>
          <w:szCs w:val="22"/>
        </w:rPr>
      </w:pPr>
      <w:r>
        <w:t>86F.</w:t>
      </w:r>
      <w:r>
        <w:tab/>
        <w:t>Lapsing of financial assurance requirement</w:t>
      </w:r>
      <w:r>
        <w:tab/>
      </w:r>
      <w:r>
        <w:fldChar w:fldCharType="begin"/>
      </w:r>
      <w:r>
        <w:instrText xml:space="preserve"> PAGEREF _Toc199511959 \h </w:instrText>
      </w:r>
      <w:r>
        <w:fldChar w:fldCharType="separate"/>
      </w:r>
      <w:r>
        <w:t>196</w:t>
      </w:r>
      <w:r>
        <w:fldChar w:fldCharType="end"/>
      </w:r>
    </w:p>
    <w:p>
      <w:pPr>
        <w:pStyle w:val="TOC8"/>
        <w:rPr>
          <w:rFonts w:asciiTheme="minorHAnsi" w:eastAsiaTheme="minorEastAsia" w:hAnsiTheme="minorHAnsi" w:cstheme="minorBidi"/>
          <w:szCs w:val="22"/>
        </w:rPr>
      </w:pPr>
      <w:r>
        <w:t>86G.</w:t>
      </w:r>
      <w:r>
        <w:tab/>
        <w:t>Use of financial assurance not to affect other action</w:t>
      </w:r>
      <w:r>
        <w:tab/>
      </w:r>
      <w:r>
        <w:fldChar w:fldCharType="begin"/>
      </w:r>
      <w:r>
        <w:instrText xml:space="preserve"> PAGEREF _Toc199511960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sz w:val="22"/>
          <w:szCs w:val="22"/>
        </w:rPr>
      </w:pPr>
      <w:r>
        <w:t>Part VI — Enforcement</w:t>
      </w:r>
    </w:p>
    <w:p>
      <w:pPr>
        <w:pStyle w:val="TOC8"/>
        <w:rPr>
          <w:rFonts w:asciiTheme="minorHAnsi" w:eastAsiaTheme="minorEastAsia" w:hAnsiTheme="minorHAnsi" w:cstheme="minorBidi"/>
          <w:szCs w:val="22"/>
        </w:rPr>
      </w:pPr>
      <w:r>
        <w:t>87</w:t>
      </w:r>
      <w:r>
        <w:rPr>
          <w:snapToGrid w:val="0"/>
        </w:rPr>
        <w:t>.</w:t>
      </w:r>
      <w:r>
        <w:rPr>
          <w:snapToGrid w:val="0"/>
        </w:rPr>
        <w:tab/>
        <w:t>Authorised persons, appointment of</w:t>
      </w:r>
      <w:r>
        <w:tab/>
      </w:r>
      <w:r>
        <w:fldChar w:fldCharType="begin"/>
      </w:r>
      <w:r>
        <w:instrText xml:space="preserve"> PAGEREF _Toc199511962 \h </w:instrText>
      </w:r>
      <w:r>
        <w:fldChar w:fldCharType="separate"/>
      </w:r>
      <w:r>
        <w:t>198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Inspectors, appointment and purposes of</w:t>
      </w:r>
      <w:r>
        <w:tab/>
      </w:r>
      <w:r>
        <w:fldChar w:fldCharType="begin"/>
      </w:r>
      <w:r>
        <w:instrText xml:space="preserve"> PAGEREF _Toc199511963 \h </w:instrText>
      </w:r>
      <w:r>
        <w:fldChar w:fldCharType="separate"/>
      </w:r>
      <w:r>
        <w:t>199</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Entry powers of inspectors</w:t>
      </w:r>
      <w:r>
        <w:tab/>
      </w:r>
      <w:r>
        <w:fldChar w:fldCharType="begin"/>
      </w:r>
      <w:r>
        <w:instrText xml:space="preserve"> PAGEREF _Toc199511964 \h </w:instrText>
      </w:r>
      <w:r>
        <w:fldChar w:fldCharType="separate"/>
      </w:r>
      <w:r>
        <w:t>201</w:t>
      </w:r>
      <w:r>
        <w:fldChar w:fldCharType="end"/>
      </w:r>
    </w:p>
    <w:p>
      <w:pPr>
        <w:pStyle w:val="TOC8"/>
        <w:rPr>
          <w:rFonts w:asciiTheme="minorHAnsi" w:eastAsiaTheme="minorEastAsia" w:hAnsiTheme="minorHAnsi" w:cstheme="minorBidi"/>
          <w:szCs w:val="22"/>
        </w:rPr>
      </w:pPr>
      <w:r>
        <w:t>89A.</w:t>
      </w:r>
      <w:r>
        <w:tab/>
        <w:t>Use of assistance and force</w:t>
      </w:r>
      <w:r>
        <w:tab/>
      </w:r>
      <w:r>
        <w:fldChar w:fldCharType="begin"/>
      </w:r>
      <w:r>
        <w:instrText xml:space="preserve"> PAGEREF _Toc199511965 \h </w:instrText>
      </w:r>
      <w:r>
        <w:fldChar w:fldCharType="separate"/>
      </w:r>
      <w:r>
        <w:t>203</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r>
      <w:r>
        <w:t>Powers</w:t>
      </w:r>
      <w:r>
        <w:rPr>
          <w:snapToGrid w:val="0"/>
        </w:rPr>
        <w:t xml:space="preserve"> of inspectors to obtain information</w:t>
      </w:r>
      <w:r>
        <w:tab/>
      </w:r>
      <w:r>
        <w:fldChar w:fldCharType="begin"/>
      </w:r>
      <w:r>
        <w:instrText xml:space="preserve"> PAGEREF _Toc199511966 \h </w:instrText>
      </w:r>
      <w:r>
        <w:fldChar w:fldCharType="separate"/>
      </w:r>
      <w:r>
        <w:t>204</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Entry powers of inspectors for s. 86</w:t>
      </w:r>
      <w:r>
        <w:tab/>
      </w:r>
      <w:r>
        <w:fldChar w:fldCharType="begin"/>
      </w:r>
      <w:r>
        <w:instrText xml:space="preserve"> PAGEREF _Toc199511967 \h </w:instrText>
      </w:r>
      <w:r>
        <w:fldChar w:fldCharType="separate"/>
      </w:r>
      <w:r>
        <w:t>206</w:t>
      </w:r>
      <w:r>
        <w:fldChar w:fldCharType="end"/>
      </w:r>
    </w:p>
    <w:p>
      <w:pPr>
        <w:pStyle w:val="TOC8"/>
        <w:rPr>
          <w:rFonts w:asciiTheme="minorHAnsi" w:eastAsiaTheme="minorEastAsia" w:hAnsiTheme="minorHAnsi" w:cstheme="minorBidi"/>
          <w:szCs w:val="22"/>
        </w:rPr>
      </w:pPr>
      <w:r>
        <w:t>91A.</w:t>
      </w:r>
      <w:r>
        <w:tab/>
        <w:t>Stopping etc. vehicles and vessels, powers of inspectors and authorised persons as to</w:t>
      </w:r>
      <w:r>
        <w:tab/>
      </w:r>
      <w:r>
        <w:fldChar w:fldCharType="begin"/>
      </w:r>
      <w:r>
        <w:instrText xml:space="preserve"> PAGEREF _Toc199511968 \h </w:instrText>
      </w:r>
      <w:r>
        <w:fldChar w:fldCharType="separate"/>
      </w:r>
      <w:r>
        <w:t>207</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Inspectors may require details of certain occupiers and others</w:t>
      </w:r>
      <w:r>
        <w:tab/>
      </w:r>
      <w:r>
        <w:fldChar w:fldCharType="begin"/>
      </w:r>
      <w:r>
        <w:instrText xml:space="preserve"> PAGEREF _Toc199511969 \h </w:instrText>
      </w:r>
      <w:r>
        <w:fldChar w:fldCharType="separate"/>
      </w:r>
      <w:r>
        <w:t>208</w:t>
      </w:r>
      <w:r>
        <w:fldChar w:fldCharType="end"/>
      </w:r>
    </w:p>
    <w:p>
      <w:pPr>
        <w:pStyle w:val="TOC8"/>
        <w:rPr>
          <w:rFonts w:asciiTheme="minorHAnsi" w:eastAsiaTheme="minorEastAsia" w:hAnsiTheme="minorHAnsi" w:cstheme="minorBidi"/>
          <w:szCs w:val="22"/>
        </w:rPr>
      </w:pPr>
      <w:r>
        <w:t>92A.</w:t>
      </w:r>
      <w:r>
        <w:tab/>
        <w:t>Seizing evidence etc.</w:t>
      </w:r>
      <w:r>
        <w:tab/>
      </w:r>
      <w:r>
        <w:fldChar w:fldCharType="begin"/>
      </w:r>
      <w:r>
        <w:instrText xml:space="preserve"> PAGEREF _Toc199511970 \h </w:instrText>
      </w:r>
      <w:r>
        <w:fldChar w:fldCharType="separate"/>
      </w:r>
      <w:r>
        <w:t>209</w:t>
      </w:r>
      <w:r>
        <w:fldChar w:fldCharType="end"/>
      </w:r>
    </w:p>
    <w:p>
      <w:pPr>
        <w:pStyle w:val="TOC8"/>
        <w:rPr>
          <w:rFonts w:asciiTheme="minorHAnsi" w:eastAsiaTheme="minorEastAsia" w:hAnsiTheme="minorHAnsi" w:cstheme="minorBidi"/>
          <w:szCs w:val="22"/>
        </w:rPr>
      </w:pPr>
      <w:r>
        <w:t>92B.</w:t>
      </w:r>
      <w:r>
        <w:tab/>
        <w:t>Dealing with seized things</w:t>
      </w:r>
      <w:r>
        <w:tab/>
      </w:r>
      <w:r>
        <w:fldChar w:fldCharType="begin"/>
      </w:r>
      <w:r>
        <w:instrText xml:space="preserve"> PAGEREF _Toc199511971 \h </w:instrText>
      </w:r>
      <w:r>
        <w:fldChar w:fldCharType="separate"/>
      </w:r>
      <w:r>
        <w:t>209</w:t>
      </w:r>
      <w:r>
        <w:fldChar w:fldCharType="end"/>
      </w:r>
    </w:p>
    <w:p>
      <w:pPr>
        <w:pStyle w:val="TOC8"/>
        <w:rPr>
          <w:rFonts w:asciiTheme="minorHAnsi" w:eastAsiaTheme="minorEastAsia" w:hAnsiTheme="minorHAnsi" w:cstheme="minorBidi"/>
          <w:szCs w:val="22"/>
        </w:rPr>
      </w:pPr>
      <w:r>
        <w:t>92C.</w:t>
      </w:r>
      <w:r>
        <w:tab/>
        <w:t>Returning seized things</w:t>
      </w:r>
      <w:r>
        <w:tab/>
      </w:r>
      <w:r>
        <w:fldChar w:fldCharType="begin"/>
      </w:r>
      <w:r>
        <w:instrText xml:space="preserve"> PAGEREF _Toc199511972 \h </w:instrText>
      </w:r>
      <w:r>
        <w:fldChar w:fldCharType="separate"/>
      </w:r>
      <w:r>
        <w:t>210</w:t>
      </w:r>
      <w:r>
        <w:fldChar w:fldCharType="end"/>
      </w:r>
    </w:p>
    <w:p>
      <w:pPr>
        <w:pStyle w:val="TOC8"/>
        <w:rPr>
          <w:rFonts w:asciiTheme="minorHAnsi" w:eastAsiaTheme="minorEastAsia" w:hAnsiTheme="minorHAnsi" w:cstheme="minorBidi"/>
          <w:szCs w:val="22"/>
        </w:rPr>
      </w:pPr>
      <w:r>
        <w:t>92D.</w:t>
      </w:r>
      <w:r>
        <w:tab/>
        <w:t>Forfeiture of abandoned property</w:t>
      </w:r>
      <w:r>
        <w:tab/>
      </w:r>
      <w:r>
        <w:fldChar w:fldCharType="begin"/>
      </w:r>
      <w:r>
        <w:instrText xml:space="preserve"> PAGEREF _Toc199511973 \h </w:instrText>
      </w:r>
      <w:r>
        <w:fldChar w:fldCharType="separate"/>
      </w:r>
      <w:r>
        <w:t>211</w:t>
      </w:r>
      <w:r>
        <w:fldChar w:fldCharType="end"/>
      </w:r>
    </w:p>
    <w:p>
      <w:pPr>
        <w:pStyle w:val="TOC8"/>
        <w:rPr>
          <w:rFonts w:asciiTheme="minorHAnsi" w:eastAsiaTheme="minorEastAsia" w:hAnsiTheme="minorHAnsi" w:cstheme="minorBidi"/>
          <w:szCs w:val="22"/>
        </w:rPr>
      </w:pPr>
      <w:r>
        <w:t>92E.</w:t>
      </w:r>
      <w:r>
        <w:tab/>
        <w:t>Person not to interfere with seized things</w:t>
      </w:r>
      <w:r>
        <w:tab/>
      </w:r>
      <w:r>
        <w:fldChar w:fldCharType="begin"/>
      </w:r>
      <w:r>
        <w:instrText xml:space="preserve"> PAGEREF _Toc199511974 \h </w:instrText>
      </w:r>
      <w:r>
        <w:fldChar w:fldCharType="separate"/>
      </w:r>
      <w:r>
        <w:t>212</w:t>
      </w:r>
      <w:r>
        <w:fldChar w:fldCharType="end"/>
      </w:r>
    </w:p>
    <w:p>
      <w:pPr>
        <w:pStyle w:val="TOC8"/>
        <w:rPr>
          <w:rFonts w:asciiTheme="minorHAnsi" w:eastAsiaTheme="minorEastAsia" w:hAnsiTheme="minorHAnsi" w:cstheme="minorBidi"/>
          <w:szCs w:val="22"/>
        </w:rPr>
      </w:pPr>
      <w:r>
        <w:t>92G.</w:t>
      </w:r>
      <w:r>
        <w:tab/>
        <w:t>Inspector to try to minimise damage</w:t>
      </w:r>
      <w:r>
        <w:tab/>
      </w:r>
      <w:r>
        <w:fldChar w:fldCharType="begin"/>
      </w:r>
      <w:r>
        <w:instrText xml:space="preserve"> PAGEREF _Toc199511975 \h </w:instrText>
      </w:r>
      <w:r>
        <w:fldChar w:fldCharType="separate"/>
      </w:r>
      <w:r>
        <w:t>212</w:t>
      </w:r>
      <w:r>
        <w:fldChar w:fldCharType="end"/>
      </w:r>
    </w:p>
    <w:p>
      <w:pPr>
        <w:pStyle w:val="TOC8"/>
        <w:rPr>
          <w:rFonts w:asciiTheme="minorHAnsi" w:eastAsiaTheme="minorEastAsia" w:hAnsiTheme="minorHAnsi" w:cstheme="minorBidi"/>
          <w:szCs w:val="22"/>
        </w:rPr>
      </w:pPr>
      <w:r>
        <w:t>92H.</w:t>
      </w:r>
      <w:r>
        <w:tab/>
        <w:t>Compensation for loss etc. due to enforcement action</w:t>
      </w:r>
      <w:r>
        <w:tab/>
      </w:r>
      <w:r>
        <w:fldChar w:fldCharType="begin"/>
      </w:r>
      <w:r>
        <w:instrText xml:space="preserve"> PAGEREF _Toc199511976 \h </w:instrText>
      </w:r>
      <w:r>
        <w:fldChar w:fldCharType="separate"/>
      </w:r>
      <w:r>
        <w:t>212</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Obstructing etc. inspectors or authorised persons</w:t>
      </w:r>
      <w:r>
        <w:tab/>
      </w:r>
      <w:r>
        <w:fldChar w:fldCharType="begin"/>
      </w:r>
      <w:r>
        <w:instrText xml:space="preserve"> PAGEREF _Toc199511977 \h </w:instrText>
      </w:r>
      <w:r>
        <w:fldChar w:fldCharType="separate"/>
      </w:r>
      <w:r>
        <w:t>213</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Analysts, appointment of</w:t>
      </w:r>
      <w:r>
        <w:tab/>
      </w:r>
      <w:r>
        <w:fldChar w:fldCharType="begin"/>
      </w:r>
      <w:r>
        <w:instrText xml:space="preserve"> PAGEREF _Toc199511978 \h </w:instrText>
      </w:r>
      <w:r>
        <w:fldChar w:fldCharType="separate"/>
      </w:r>
      <w:r>
        <w:t>213</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CEO may require information about industrial processes etc.</w:t>
      </w:r>
      <w:r>
        <w:tab/>
      </w:r>
      <w:r>
        <w:fldChar w:fldCharType="begin"/>
      </w:r>
      <w:r>
        <w:instrText xml:space="preserve"> PAGEREF _Toc199511979 \h </w:instrText>
      </w:r>
      <w:r>
        <w:fldChar w:fldCharType="separate"/>
      </w:r>
      <w:r>
        <w:t>214</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CEO may require information about vehicles or vessels</w:t>
      </w:r>
      <w:r>
        <w:tab/>
      </w:r>
      <w:r>
        <w:fldChar w:fldCharType="begin"/>
      </w:r>
      <w:r>
        <w:instrText xml:space="preserve"> PAGEREF _Toc199511980 \h </w:instrText>
      </w:r>
      <w:r>
        <w:fldChar w:fldCharType="separate"/>
      </w:r>
      <w:r>
        <w:t>215</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r>
      <w:r>
        <w:t>CEO</w:t>
      </w:r>
      <w:r>
        <w:rPr>
          <w:snapToGrid w:val="0"/>
        </w:rPr>
        <w:t xml:space="preserve"> may require vehicles, vessels and equipment to be made available for testing</w:t>
      </w:r>
      <w:r>
        <w:tab/>
      </w:r>
      <w:r>
        <w:fldChar w:fldCharType="begin"/>
      </w:r>
      <w:r>
        <w:instrText xml:space="preserve"> PAGEREF _Toc199511981 \h </w:instrText>
      </w:r>
      <w:r>
        <w:fldChar w:fldCharType="separate"/>
      </w:r>
      <w:r>
        <w:t>216</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Police officers’ powers for inspecting etc. vehicles and vessels</w:t>
      </w:r>
      <w:r>
        <w:tab/>
      </w:r>
      <w:r>
        <w:fldChar w:fldCharType="begin"/>
      </w:r>
      <w:r>
        <w:instrText xml:space="preserve"> PAGEREF _Toc199511982 \h </w:instrText>
      </w:r>
      <w:r>
        <w:fldChar w:fldCharType="separate"/>
      </w:r>
      <w:r>
        <w:t>216</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Police officers may stop audible alarms</w:t>
      </w:r>
      <w:r>
        <w:tab/>
      </w:r>
      <w:r>
        <w:fldChar w:fldCharType="begin"/>
      </w:r>
      <w:r>
        <w:instrText xml:space="preserve"> PAGEREF _Toc199511983 \h </w:instrText>
      </w:r>
      <w:r>
        <w:fldChar w:fldCharType="separate"/>
      </w:r>
      <w:r>
        <w:t>216</w:t>
      </w:r>
      <w:r>
        <w:fldChar w:fldCharType="end"/>
      </w:r>
    </w:p>
    <w:p>
      <w:pPr>
        <w:pStyle w:val="TOC2"/>
        <w:tabs>
          <w:tab w:val="right" w:leader="dot" w:pos="7077"/>
        </w:tabs>
        <w:rPr>
          <w:rFonts w:asciiTheme="minorHAnsi" w:eastAsiaTheme="minorEastAsia" w:hAnsiTheme="minorHAnsi" w:cstheme="minorBidi"/>
          <w:b w:val="0"/>
          <w:sz w:val="22"/>
          <w:szCs w:val="22"/>
        </w:rPr>
      </w:pPr>
      <w:r>
        <w:t>Part VIA — Legal proceedings and penalties</w:t>
      </w:r>
    </w:p>
    <w:p>
      <w:pPr>
        <w:pStyle w:val="TOC4"/>
        <w:tabs>
          <w:tab w:val="right" w:leader="dot" w:pos="7077"/>
        </w:tabs>
        <w:rPr>
          <w:rFonts w:asciiTheme="minorHAnsi" w:eastAsiaTheme="minorEastAsia" w:hAnsiTheme="minorHAnsi" w:cstheme="minorBidi"/>
          <w:b w:val="0"/>
          <w:szCs w:val="22"/>
        </w:rPr>
      </w:pPr>
      <w:r>
        <w:t>Division 1 — Prescribed offences and modified penalties</w:t>
      </w:r>
    </w:p>
    <w:p>
      <w:pPr>
        <w:pStyle w:val="TOC8"/>
        <w:rPr>
          <w:rFonts w:asciiTheme="minorHAnsi" w:eastAsiaTheme="minorEastAsia" w:hAnsiTheme="minorHAnsi" w:cstheme="minorBidi"/>
          <w:szCs w:val="22"/>
        </w:rPr>
      </w:pPr>
      <w:r>
        <w:t>99AA.</w:t>
      </w:r>
      <w:r>
        <w:tab/>
        <w:t>Term used: prescribed offence</w:t>
      </w:r>
      <w:r>
        <w:tab/>
      </w:r>
      <w:r>
        <w:fldChar w:fldCharType="begin"/>
      </w:r>
      <w:r>
        <w:instrText xml:space="preserve"> PAGEREF _Toc199511986 \h </w:instrText>
      </w:r>
      <w:r>
        <w:fldChar w:fldCharType="separate"/>
      </w:r>
      <w:r>
        <w:t>218</w:t>
      </w:r>
      <w:r>
        <w:fldChar w:fldCharType="end"/>
      </w:r>
    </w:p>
    <w:p>
      <w:pPr>
        <w:pStyle w:val="TOC8"/>
        <w:rPr>
          <w:rFonts w:asciiTheme="minorHAnsi" w:eastAsiaTheme="minorEastAsia" w:hAnsiTheme="minorHAnsi" w:cstheme="minorBidi"/>
          <w:szCs w:val="22"/>
        </w:rPr>
      </w:pPr>
      <w:r>
        <w:lastRenderedPageBreak/>
        <w:t>99A.</w:t>
      </w:r>
      <w:r>
        <w:tab/>
        <w:t>Modified penalty notice, issue of</w:t>
      </w:r>
      <w:r>
        <w:tab/>
      </w:r>
      <w:r>
        <w:fldChar w:fldCharType="begin"/>
      </w:r>
      <w:r>
        <w:instrText xml:space="preserve"> PAGEREF _Toc199511987 \h </w:instrText>
      </w:r>
      <w:r>
        <w:fldChar w:fldCharType="separate"/>
      </w:r>
      <w:r>
        <w:t>218</w:t>
      </w:r>
      <w:r>
        <w:fldChar w:fldCharType="end"/>
      </w:r>
    </w:p>
    <w:p>
      <w:pPr>
        <w:pStyle w:val="TOC8"/>
        <w:rPr>
          <w:rFonts w:asciiTheme="minorHAnsi" w:eastAsiaTheme="minorEastAsia" w:hAnsiTheme="minorHAnsi" w:cstheme="minorBidi"/>
          <w:szCs w:val="22"/>
        </w:rPr>
      </w:pPr>
      <w:r>
        <w:t>99B.</w:t>
      </w:r>
      <w:r>
        <w:tab/>
        <w:t>Content of modified penalty notice</w:t>
      </w:r>
      <w:r>
        <w:tab/>
      </w:r>
      <w:r>
        <w:fldChar w:fldCharType="begin"/>
      </w:r>
      <w:r>
        <w:instrText xml:space="preserve"> PAGEREF _Toc199511988 \h </w:instrText>
      </w:r>
      <w:r>
        <w:fldChar w:fldCharType="separate"/>
      </w:r>
      <w:r>
        <w:t>220</w:t>
      </w:r>
      <w:r>
        <w:fldChar w:fldCharType="end"/>
      </w:r>
    </w:p>
    <w:p>
      <w:pPr>
        <w:pStyle w:val="TOC8"/>
        <w:rPr>
          <w:rFonts w:asciiTheme="minorHAnsi" w:eastAsiaTheme="minorEastAsia" w:hAnsiTheme="minorHAnsi" w:cstheme="minorBidi"/>
          <w:szCs w:val="22"/>
        </w:rPr>
      </w:pPr>
      <w:r>
        <w:t>99C.</w:t>
      </w:r>
      <w:r>
        <w:tab/>
        <w:t>Extending time to pay modified penalty</w:t>
      </w:r>
      <w:r>
        <w:tab/>
      </w:r>
      <w:r>
        <w:fldChar w:fldCharType="begin"/>
      </w:r>
      <w:r>
        <w:instrText xml:space="preserve"> PAGEREF _Toc199511989 \h </w:instrText>
      </w:r>
      <w:r>
        <w:fldChar w:fldCharType="separate"/>
      </w:r>
      <w:r>
        <w:t>221</w:t>
      </w:r>
      <w:r>
        <w:fldChar w:fldCharType="end"/>
      </w:r>
    </w:p>
    <w:p>
      <w:pPr>
        <w:pStyle w:val="TOC8"/>
        <w:rPr>
          <w:rFonts w:asciiTheme="minorHAnsi" w:eastAsiaTheme="minorEastAsia" w:hAnsiTheme="minorHAnsi" w:cstheme="minorBidi"/>
          <w:szCs w:val="22"/>
        </w:rPr>
      </w:pPr>
      <w:r>
        <w:t>99D.</w:t>
      </w:r>
      <w:r>
        <w:tab/>
        <w:t>Withdrawing modified penalty notice</w:t>
      </w:r>
      <w:r>
        <w:tab/>
      </w:r>
      <w:r>
        <w:fldChar w:fldCharType="begin"/>
      </w:r>
      <w:r>
        <w:instrText xml:space="preserve"> PAGEREF _Toc199511990 \h </w:instrText>
      </w:r>
      <w:r>
        <w:fldChar w:fldCharType="separate"/>
      </w:r>
      <w:r>
        <w:t>221</w:t>
      </w:r>
      <w:r>
        <w:fldChar w:fldCharType="end"/>
      </w:r>
    </w:p>
    <w:p>
      <w:pPr>
        <w:pStyle w:val="TOC8"/>
        <w:rPr>
          <w:rFonts w:asciiTheme="minorHAnsi" w:eastAsiaTheme="minorEastAsia" w:hAnsiTheme="minorHAnsi" w:cstheme="minorBidi"/>
          <w:szCs w:val="22"/>
        </w:rPr>
      </w:pPr>
      <w:r>
        <w:t>99E.</w:t>
      </w:r>
      <w:r>
        <w:tab/>
        <w:t>Consequence of paying modified penalty</w:t>
      </w:r>
      <w:r>
        <w:tab/>
      </w:r>
      <w:r>
        <w:fldChar w:fldCharType="begin"/>
      </w:r>
      <w:r>
        <w:instrText xml:space="preserve"> PAGEREF _Toc199511991 \h </w:instrText>
      </w:r>
      <w:r>
        <w:fldChar w:fldCharType="separate"/>
      </w:r>
      <w:r>
        <w:t>222</w:t>
      </w:r>
      <w:r>
        <w:fldChar w:fldCharType="end"/>
      </w:r>
    </w:p>
    <w:p>
      <w:pPr>
        <w:pStyle w:val="TOC8"/>
        <w:rPr>
          <w:rFonts w:asciiTheme="minorHAnsi" w:eastAsiaTheme="minorEastAsia" w:hAnsiTheme="minorHAnsi" w:cstheme="minorBidi"/>
          <w:szCs w:val="22"/>
        </w:rPr>
      </w:pPr>
      <w:r>
        <w:t>99F.</w:t>
      </w:r>
      <w:r>
        <w:tab/>
        <w:t>Register of modified penalty notices etc.</w:t>
      </w:r>
      <w:r>
        <w:tab/>
      </w:r>
      <w:r>
        <w:fldChar w:fldCharType="begin"/>
      </w:r>
      <w:r>
        <w:instrText xml:space="preserve"> PAGEREF _Toc199511992 \h </w:instrText>
      </w:r>
      <w:r>
        <w:fldChar w:fldCharType="separate"/>
      </w:r>
      <w:r>
        <w:t>222</w:t>
      </w:r>
      <w:r>
        <w:fldChar w:fldCharType="end"/>
      </w:r>
    </w:p>
    <w:p>
      <w:pPr>
        <w:pStyle w:val="TOC8"/>
        <w:rPr>
          <w:rFonts w:asciiTheme="minorHAnsi" w:eastAsiaTheme="minorEastAsia" w:hAnsiTheme="minorHAnsi" w:cstheme="minorBidi"/>
          <w:szCs w:val="22"/>
        </w:rPr>
      </w:pPr>
      <w:r>
        <w:t>99G.</w:t>
      </w:r>
      <w:r>
        <w:tab/>
        <w:t>Application of penalties collected</w:t>
      </w:r>
      <w:r>
        <w:tab/>
      </w:r>
      <w:r>
        <w:fldChar w:fldCharType="begin"/>
      </w:r>
      <w:r>
        <w:instrText xml:space="preserve"> PAGEREF _Toc199511993 \h </w:instrText>
      </w:r>
      <w:r>
        <w:fldChar w:fldCharType="separate"/>
      </w:r>
      <w:r>
        <w:t>223</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 offences</w:t>
      </w:r>
    </w:p>
    <w:p>
      <w:pPr>
        <w:pStyle w:val="TOC8"/>
        <w:rPr>
          <w:rFonts w:asciiTheme="minorHAnsi" w:eastAsiaTheme="minorEastAsia" w:hAnsiTheme="minorHAnsi" w:cstheme="minorBidi"/>
          <w:szCs w:val="22"/>
        </w:rPr>
      </w:pPr>
      <w:r>
        <w:t>99H.</w:t>
      </w:r>
      <w:r>
        <w:tab/>
        <w:t>Terms used</w:t>
      </w:r>
      <w:r>
        <w:tab/>
      </w:r>
      <w:r>
        <w:fldChar w:fldCharType="begin"/>
      </w:r>
      <w:r>
        <w:instrText xml:space="preserve"> PAGEREF _Toc199511995 \h </w:instrText>
      </w:r>
      <w:r>
        <w:fldChar w:fldCharType="separate"/>
      </w:r>
      <w:r>
        <w:t>223</w:t>
      </w:r>
      <w:r>
        <w:fldChar w:fldCharType="end"/>
      </w:r>
    </w:p>
    <w:p>
      <w:pPr>
        <w:pStyle w:val="TOC8"/>
        <w:rPr>
          <w:rFonts w:asciiTheme="minorHAnsi" w:eastAsiaTheme="minorEastAsia" w:hAnsiTheme="minorHAnsi" w:cstheme="minorBidi"/>
          <w:szCs w:val="22"/>
        </w:rPr>
      </w:pPr>
      <w:r>
        <w:t>99I.</w:t>
      </w:r>
      <w:r>
        <w:tab/>
        <w:t>Designated persons for s. 99K, 99M or 99N, appointment of</w:t>
      </w:r>
      <w:r>
        <w:tab/>
      </w:r>
      <w:r>
        <w:fldChar w:fldCharType="begin"/>
      </w:r>
      <w:r>
        <w:instrText xml:space="preserve"> PAGEREF _Toc199511996 \h </w:instrText>
      </w:r>
      <w:r>
        <w:fldChar w:fldCharType="separate"/>
      </w:r>
      <w:r>
        <w:t>223</w:t>
      </w:r>
      <w:r>
        <w:fldChar w:fldCharType="end"/>
      </w:r>
    </w:p>
    <w:p>
      <w:pPr>
        <w:pStyle w:val="TOC8"/>
        <w:rPr>
          <w:rFonts w:asciiTheme="minorHAnsi" w:eastAsiaTheme="minorEastAsia" w:hAnsiTheme="minorHAnsi" w:cstheme="minorBidi"/>
          <w:szCs w:val="22"/>
        </w:rPr>
      </w:pPr>
      <w:r>
        <w:t>99J.</w:t>
      </w:r>
      <w:r>
        <w:tab/>
        <w:t>Infringement notice, issue of</w:t>
      </w:r>
      <w:r>
        <w:tab/>
      </w:r>
      <w:r>
        <w:fldChar w:fldCharType="begin"/>
      </w:r>
      <w:r>
        <w:instrText xml:space="preserve"> PAGEREF _Toc199511997 \h </w:instrText>
      </w:r>
      <w:r>
        <w:fldChar w:fldCharType="separate"/>
      </w:r>
      <w:r>
        <w:t>224</w:t>
      </w:r>
      <w:r>
        <w:fldChar w:fldCharType="end"/>
      </w:r>
    </w:p>
    <w:p>
      <w:pPr>
        <w:pStyle w:val="TOC8"/>
        <w:rPr>
          <w:rFonts w:asciiTheme="minorHAnsi" w:eastAsiaTheme="minorEastAsia" w:hAnsiTheme="minorHAnsi" w:cstheme="minorBidi"/>
          <w:szCs w:val="22"/>
        </w:rPr>
      </w:pPr>
      <w:r>
        <w:t>99K.</w:t>
      </w:r>
      <w:r>
        <w:tab/>
        <w:t>Content of infringement notice</w:t>
      </w:r>
      <w:r>
        <w:tab/>
      </w:r>
      <w:r>
        <w:fldChar w:fldCharType="begin"/>
      </w:r>
      <w:r>
        <w:instrText xml:space="preserve"> PAGEREF _Toc199511998 \h </w:instrText>
      </w:r>
      <w:r>
        <w:fldChar w:fldCharType="separate"/>
      </w:r>
      <w:r>
        <w:t>224</w:t>
      </w:r>
      <w:r>
        <w:fldChar w:fldCharType="end"/>
      </w:r>
    </w:p>
    <w:p>
      <w:pPr>
        <w:pStyle w:val="TOC8"/>
        <w:rPr>
          <w:rFonts w:asciiTheme="minorHAnsi" w:eastAsiaTheme="minorEastAsia" w:hAnsiTheme="minorHAnsi" w:cstheme="minorBidi"/>
          <w:szCs w:val="22"/>
        </w:rPr>
      </w:pPr>
      <w:r>
        <w:t>99L.</w:t>
      </w:r>
      <w:r>
        <w:tab/>
        <w:t>Some prior convictions and payments of modified penalties to be disregarded for s. 99K(3)</w:t>
      </w:r>
      <w:r>
        <w:tab/>
      </w:r>
      <w:r>
        <w:fldChar w:fldCharType="begin"/>
      </w:r>
      <w:r>
        <w:instrText xml:space="preserve"> PAGEREF _Toc199511999 \h </w:instrText>
      </w:r>
      <w:r>
        <w:fldChar w:fldCharType="separate"/>
      </w:r>
      <w:r>
        <w:t>225</w:t>
      </w:r>
      <w:r>
        <w:fldChar w:fldCharType="end"/>
      </w:r>
    </w:p>
    <w:p>
      <w:pPr>
        <w:pStyle w:val="TOC8"/>
        <w:rPr>
          <w:rFonts w:asciiTheme="minorHAnsi" w:eastAsiaTheme="minorEastAsia" w:hAnsiTheme="minorHAnsi" w:cstheme="minorBidi"/>
          <w:szCs w:val="22"/>
        </w:rPr>
      </w:pPr>
      <w:r>
        <w:t>99M.</w:t>
      </w:r>
      <w:r>
        <w:tab/>
        <w:t>Extending time to pay modified penalty</w:t>
      </w:r>
      <w:r>
        <w:tab/>
      </w:r>
      <w:r>
        <w:fldChar w:fldCharType="begin"/>
      </w:r>
      <w:r>
        <w:instrText xml:space="preserve"> PAGEREF _Toc199512000 \h </w:instrText>
      </w:r>
      <w:r>
        <w:fldChar w:fldCharType="separate"/>
      </w:r>
      <w:r>
        <w:t>226</w:t>
      </w:r>
      <w:r>
        <w:fldChar w:fldCharType="end"/>
      </w:r>
    </w:p>
    <w:p>
      <w:pPr>
        <w:pStyle w:val="TOC8"/>
        <w:rPr>
          <w:rFonts w:asciiTheme="minorHAnsi" w:eastAsiaTheme="minorEastAsia" w:hAnsiTheme="minorHAnsi" w:cstheme="minorBidi"/>
          <w:szCs w:val="22"/>
        </w:rPr>
      </w:pPr>
      <w:r>
        <w:t>99N.</w:t>
      </w:r>
      <w:r>
        <w:tab/>
        <w:t>Withdrawing infringement notice</w:t>
      </w:r>
      <w:r>
        <w:tab/>
      </w:r>
      <w:r>
        <w:fldChar w:fldCharType="begin"/>
      </w:r>
      <w:r>
        <w:instrText xml:space="preserve"> PAGEREF _Toc199512001 \h </w:instrText>
      </w:r>
      <w:r>
        <w:fldChar w:fldCharType="separate"/>
      </w:r>
      <w:r>
        <w:t>226</w:t>
      </w:r>
      <w:r>
        <w:fldChar w:fldCharType="end"/>
      </w:r>
    </w:p>
    <w:p>
      <w:pPr>
        <w:pStyle w:val="TOC8"/>
        <w:rPr>
          <w:rFonts w:asciiTheme="minorHAnsi" w:eastAsiaTheme="minorEastAsia" w:hAnsiTheme="minorHAnsi" w:cstheme="minorBidi"/>
          <w:szCs w:val="22"/>
        </w:rPr>
      </w:pPr>
      <w:r>
        <w:t>99O.</w:t>
      </w:r>
      <w:r>
        <w:tab/>
        <w:t>Consequence of paying modified penalty</w:t>
      </w:r>
      <w:r>
        <w:tab/>
      </w:r>
      <w:r>
        <w:fldChar w:fldCharType="begin"/>
      </w:r>
      <w:r>
        <w:instrText xml:space="preserve"> PAGEREF _Toc199512002 \h </w:instrText>
      </w:r>
      <w:r>
        <w:fldChar w:fldCharType="separate"/>
      </w:r>
      <w:r>
        <w:t>226</w:t>
      </w:r>
      <w:r>
        <w:fldChar w:fldCharType="end"/>
      </w:r>
    </w:p>
    <w:p>
      <w:pPr>
        <w:pStyle w:val="TOC8"/>
        <w:rPr>
          <w:rFonts w:asciiTheme="minorHAnsi" w:eastAsiaTheme="minorEastAsia" w:hAnsiTheme="minorHAnsi" w:cstheme="minorBidi"/>
          <w:szCs w:val="22"/>
        </w:rPr>
      </w:pPr>
      <w:r>
        <w:t>99P.</w:t>
      </w:r>
      <w:r>
        <w:tab/>
        <w:t>Application of penalties collected</w:t>
      </w:r>
      <w:r>
        <w:tab/>
      </w:r>
      <w:r>
        <w:fldChar w:fldCharType="begin"/>
      </w:r>
      <w:r>
        <w:instrText xml:space="preserve"> PAGEREF _Toc199512003 \h </w:instrText>
      </w:r>
      <w:r>
        <w:fldChar w:fldCharType="separate"/>
      </w:r>
      <w:r>
        <w:t>227</w:t>
      </w:r>
      <w:r>
        <w:fldChar w:fldCharType="end"/>
      </w:r>
    </w:p>
    <w:p>
      <w:pPr>
        <w:pStyle w:val="TOC4"/>
        <w:tabs>
          <w:tab w:val="right" w:leader="dot" w:pos="7077"/>
        </w:tabs>
        <w:rPr>
          <w:rFonts w:asciiTheme="minorHAnsi" w:eastAsiaTheme="minorEastAsia" w:hAnsiTheme="minorHAnsi" w:cstheme="minorBidi"/>
          <w:b w:val="0"/>
          <w:szCs w:val="22"/>
        </w:rPr>
      </w:pPr>
      <w:r>
        <w:t>Division 3 — Penalties</w:t>
      </w:r>
    </w:p>
    <w:p>
      <w:pPr>
        <w:pStyle w:val="TOC8"/>
        <w:rPr>
          <w:rFonts w:asciiTheme="minorHAnsi" w:eastAsiaTheme="minorEastAsia" w:hAnsiTheme="minorHAnsi" w:cstheme="minorBidi"/>
          <w:szCs w:val="22"/>
        </w:rPr>
      </w:pPr>
      <w:r>
        <w:t>99Q.</w:t>
      </w:r>
      <w:r>
        <w:tab/>
        <w:t>Penalties</w:t>
      </w:r>
      <w:r>
        <w:tab/>
      </w:r>
      <w:r>
        <w:fldChar w:fldCharType="begin"/>
      </w:r>
      <w:r>
        <w:instrText xml:space="preserve"> PAGEREF _Toc199512005 \h </w:instrText>
      </w:r>
      <w:r>
        <w:fldChar w:fldCharType="separate"/>
      </w:r>
      <w:r>
        <w:t>227</w:t>
      </w:r>
      <w:r>
        <w:fldChar w:fldCharType="end"/>
      </w:r>
    </w:p>
    <w:p>
      <w:pPr>
        <w:pStyle w:val="TOC8"/>
        <w:rPr>
          <w:rFonts w:asciiTheme="minorHAnsi" w:eastAsiaTheme="minorEastAsia" w:hAnsiTheme="minorHAnsi" w:cstheme="minorBidi"/>
          <w:szCs w:val="22"/>
        </w:rPr>
      </w:pPr>
      <w:r>
        <w:t>99R.</w:t>
      </w:r>
      <w:r>
        <w:tab/>
        <w:t>Daily penalty</w:t>
      </w:r>
      <w:r>
        <w:tab/>
      </w:r>
      <w:r>
        <w:fldChar w:fldCharType="begin"/>
      </w:r>
      <w:r>
        <w:instrText xml:space="preserve"> PAGEREF _Toc199512006 \h </w:instrText>
      </w:r>
      <w:r>
        <w:fldChar w:fldCharType="separate"/>
      </w:r>
      <w:r>
        <w:t>228</w:t>
      </w:r>
      <w:r>
        <w:fldChar w:fldCharType="end"/>
      </w:r>
    </w:p>
    <w:p>
      <w:pPr>
        <w:pStyle w:val="TOC8"/>
        <w:rPr>
          <w:rFonts w:asciiTheme="minorHAnsi" w:eastAsiaTheme="minorEastAsia" w:hAnsiTheme="minorHAnsi" w:cstheme="minorBidi"/>
          <w:szCs w:val="22"/>
        </w:rPr>
      </w:pPr>
      <w:r>
        <w:t>99S.</w:t>
      </w:r>
      <w:r>
        <w:tab/>
        <w:t>Attempt and accessory after the fact</w:t>
      </w:r>
      <w:r>
        <w:tab/>
      </w:r>
      <w:r>
        <w:fldChar w:fldCharType="begin"/>
      </w:r>
      <w:r>
        <w:instrText xml:space="preserve"> PAGEREF _Toc199512007 \h </w:instrText>
      </w:r>
      <w:r>
        <w:fldChar w:fldCharType="separate"/>
      </w:r>
      <w:r>
        <w:t>229</w:t>
      </w:r>
      <w:r>
        <w:fldChar w:fldCharType="end"/>
      </w:r>
    </w:p>
    <w:p>
      <w:pPr>
        <w:pStyle w:val="TOC4"/>
        <w:tabs>
          <w:tab w:val="right" w:leader="dot" w:pos="7077"/>
        </w:tabs>
        <w:rPr>
          <w:rFonts w:asciiTheme="minorHAnsi" w:eastAsiaTheme="minorEastAsia" w:hAnsiTheme="minorHAnsi" w:cstheme="minorBidi"/>
          <w:b w:val="0"/>
          <w:szCs w:val="22"/>
        </w:rPr>
      </w:pPr>
      <w:r>
        <w:t>Division 4 — Additional powers available to the court</w:t>
      </w:r>
    </w:p>
    <w:p>
      <w:pPr>
        <w:pStyle w:val="TOC8"/>
        <w:rPr>
          <w:rFonts w:asciiTheme="minorHAnsi" w:eastAsiaTheme="minorEastAsia" w:hAnsiTheme="minorHAnsi" w:cstheme="minorBidi"/>
          <w:szCs w:val="22"/>
        </w:rPr>
      </w:pPr>
      <w:r>
        <w:t>99T.</w:t>
      </w:r>
      <w:r>
        <w:tab/>
        <w:t>Term used: convicted</w:t>
      </w:r>
      <w:r>
        <w:tab/>
      </w:r>
      <w:r>
        <w:fldChar w:fldCharType="begin"/>
      </w:r>
      <w:r>
        <w:instrText xml:space="preserve"> PAGEREF _Toc199512009 \h </w:instrText>
      </w:r>
      <w:r>
        <w:fldChar w:fldCharType="separate"/>
      </w:r>
      <w:r>
        <w:t>229</w:t>
      </w:r>
      <w:r>
        <w:fldChar w:fldCharType="end"/>
      </w:r>
    </w:p>
    <w:p>
      <w:pPr>
        <w:pStyle w:val="TOC8"/>
        <w:rPr>
          <w:rFonts w:asciiTheme="minorHAnsi" w:eastAsiaTheme="minorEastAsia" w:hAnsiTheme="minorHAnsi" w:cstheme="minorBidi"/>
          <w:szCs w:val="22"/>
        </w:rPr>
      </w:pPr>
      <w:r>
        <w:t>99U.</w:t>
      </w:r>
      <w:r>
        <w:tab/>
        <w:t>Orders generally</w:t>
      </w:r>
      <w:r>
        <w:tab/>
      </w:r>
      <w:r>
        <w:fldChar w:fldCharType="begin"/>
      </w:r>
      <w:r>
        <w:instrText xml:space="preserve"> PAGEREF _Toc199512010 \h </w:instrText>
      </w:r>
      <w:r>
        <w:fldChar w:fldCharType="separate"/>
      </w:r>
      <w:r>
        <w:t>230</w:t>
      </w:r>
      <w:r>
        <w:fldChar w:fldCharType="end"/>
      </w:r>
    </w:p>
    <w:p>
      <w:pPr>
        <w:pStyle w:val="TOC8"/>
        <w:rPr>
          <w:rFonts w:asciiTheme="minorHAnsi" w:eastAsiaTheme="minorEastAsia" w:hAnsiTheme="minorHAnsi" w:cstheme="minorBidi"/>
          <w:szCs w:val="22"/>
        </w:rPr>
      </w:pPr>
      <w:r>
        <w:t>99V.</w:t>
      </w:r>
      <w:r>
        <w:tab/>
        <w:t>Orders for forfeiture</w:t>
      </w:r>
      <w:r>
        <w:tab/>
      </w:r>
      <w:r>
        <w:fldChar w:fldCharType="begin"/>
      </w:r>
      <w:r>
        <w:instrText xml:space="preserve"> PAGEREF _Toc199512011 \h </w:instrText>
      </w:r>
      <w:r>
        <w:fldChar w:fldCharType="separate"/>
      </w:r>
      <w:r>
        <w:t>230</w:t>
      </w:r>
      <w:r>
        <w:fldChar w:fldCharType="end"/>
      </w:r>
    </w:p>
    <w:p>
      <w:pPr>
        <w:pStyle w:val="TOC8"/>
        <w:rPr>
          <w:rFonts w:asciiTheme="minorHAnsi" w:eastAsiaTheme="minorEastAsia" w:hAnsiTheme="minorHAnsi" w:cstheme="minorBidi"/>
          <w:szCs w:val="22"/>
        </w:rPr>
      </w:pPr>
      <w:r>
        <w:t>99W.</w:t>
      </w:r>
      <w:r>
        <w:tab/>
        <w:t>Disposal of forfeited things</w:t>
      </w:r>
      <w:r>
        <w:tab/>
      </w:r>
      <w:r>
        <w:fldChar w:fldCharType="begin"/>
      </w:r>
      <w:r>
        <w:instrText xml:space="preserve"> PAGEREF _Toc199512012 \h </w:instrText>
      </w:r>
      <w:r>
        <w:fldChar w:fldCharType="separate"/>
      </w:r>
      <w:r>
        <w:t>230</w:t>
      </w:r>
      <w:r>
        <w:fldChar w:fldCharType="end"/>
      </w:r>
    </w:p>
    <w:p>
      <w:pPr>
        <w:pStyle w:val="TOC8"/>
        <w:rPr>
          <w:rFonts w:asciiTheme="minorHAnsi" w:eastAsiaTheme="minorEastAsia" w:hAnsiTheme="minorHAnsi" w:cstheme="minorBidi"/>
          <w:szCs w:val="22"/>
        </w:rPr>
      </w:pPr>
      <w:r>
        <w:t>99X.</w:t>
      </w:r>
      <w:r>
        <w:tab/>
        <w:t>Orders for prevention, restoration etc.</w:t>
      </w:r>
      <w:r>
        <w:tab/>
      </w:r>
      <w:r>
        <w:fldChar w:fldCharType="begin"/>
      </w:r>
      <w:r>
        <w:instrText xml:space="preserve"> PAGEREF _Toc199512013 \h </w:instrText>
      </w:r>
      <w:r>
        <w:fldChar w:fldCharType="separate"/>
      </w:r>
      <w:r>
        <w:t>231</w:t>
      </w:r>
      <w:r>
        <w:fldChar w:fldCharType="end"/>
      </w:r>
    </w:p>
    <w:p>
      <w:pPr>
        <w:pStyle w:val="TOC8"/>
        <w:rPr>
          <w:rFonts w:asciiTheme="minorHAnsi" w:eastAsiaTheme="minorEastAsia" w:hAnsiTheme="minorHAnsi" w:cstheme="minorBidi"/>
          <w:szCs w:val="22"/>
        </w:rPr>
      </w:pPr>
      <w:r>
        <w:t>99Y.</w:t>
      </w:r>
      <w:r>
        <w:tab/>
        <w:t>Orders for costs, expenses and compensation</w:t>
      </w:r>
      <w:r>
        <w:tab/>
      </w:r>
      <w:r>
        <w:fldChar w:fldCharType="begin"/>
      </w:r>
      <w:r>
        <w:instrText xml:space="preserve"> PAGEREF _Toc199512014 \h </w:instrText>
      </w:r>
      <w:r>
        <w:fldChar w:fldCharType="separate"/>
      </w:r>
      <w:r>
        <w:t>232</w:t>
      </w:r>
      <w:r>
        <w:fldChar w:fldCharType="end"/>
      </w:r>
    </w:p>
    <w:p>
      <w:pPr>
        <w:pStyle w:val="TOC8"/>
        <w:rPr>
          <w:rFonts w:asciiTheme="minorHAnsi" w:eastAsiaTheme="minorEastAsia" w:hAnsiTheme="minorHAnsi" w:cstheme="minorBidi"/>
          <w:szCs w:val="22"/>
        </w:rPr>
      </w:pPr>
      <w:r>
        <w:t>99Z.</w:t>
      </w:r>
      <w:r>
        <w:tab/>
        <w:t>Orders regarding monetary benefits</w:t>
      </w:r>
      <w:r>
        <w:tab/>
      </w:r>
      <w:r>
        <w:fldChar w:fldCharType="begin"/>
      </w:r>
      <w:r>
        <w:instrText xml:space="preserve"> PAGEREF _Toc199512015 \h </w:instrText>
      </w:r>
      <w:r>
        <w:fldChar w:fldCharType="separate"/>
      </w:r>
      <w:r>
        <w:t>233</w:t>
      </w:r>
      <w:r>
        <w:fldChar w:fldCharType="end"/>
      </w:r>
    </w:p>
    <w:p>
      <w:pPr>
        <w:pStyle w:val="TOC8"/>
        <w:rPr>
          <w:rFonts w:asciiTheme="minorHAnsi" w:eastAsiaTheme="minorEastAsia" w:hAnsiTheme="minorHAnsi" w:cstheme="minorBidi"/>
          <w:szCs w:val="22"/>
        </w:rPr>
      </w:pPr>
      <w:r>
        <w:t>99ZA.</w:t>
      </w:r>
      <w:r>
        <w:tab/>
        <w:t>Orders requiring public notice to be given etc.</w:t>
      </w:r>
      <w:r>
        <w:tab/>
      </w:r>
      <w:r>
        <w:fldChar w:fldCharType="begin"/>
      </w:r>
      <w:r>
        <w:instrText xml:space="preserve"> PAGEREF _Toc199512016 \h </w:instrText>
      </w:r>
      <w:r>
        <w:fldChar w:fldCharType="separate"/>
      </w:r>
      <w:r>
        <w:t>234</w:t>
      </w:r>
      <w:r>
        <w:fldChar w:fldCharType="end"/>
      </w:r>
    </w:p>
    <w:p>
      <w:pPr>
        <w:pStyle w:val="TOC8"/>
        <w:rPr>
          <w:rFonts w:asciiTheme="minorHAnsi" w:eastAsiaTheme="minorEastAsia" w:hAnsiTheme="minorHAnsi" w:cstheme="minorBidi"/>
          <w:szCs w:val="22"/>
        </w:rPr>
      </w:pPr>
      <w:r>
        <w:t>99ZB.</w:t>
      </w:r>
      <w:r>
        <w:tab/>
        <w:t>Enforcing orders to pay moneys</w:t>
      </w:r>
      <w:r>
        <w:tab/>
      </w:r>
      <w:r>
        <w:fldChar w:fldCharType="begin"/>
      </w:r>
      <w:r>
        <w:instrText xml:space="preserve"> PAGEREF _Toc199512017 \h </w:instrText>
      </w:r>
      <w:r>
        <w:fldChar w:fldCharType="separate"/>
      </w:r>
      <w:r>
        <w:t>235</w:t>
      </w:r>
      <w:r>
        <w:fldChar w:fldCharType="end"/>
      </w:r>
    </w:p>
    <w:p>
      <w:pPr>
        <w:pStyle w:val="TOC2"/>
        <w:tabs>
          <w:tab w:val="right" w:leader="dot" w:pos="7077"/>
        </w:tabs>
        <w:rPr>
          <w:rFonts w:asciiTheme="minorHAnsi" w:eastAsiaTheme="minorEastAsia" w:hAnsiTheme="minorHAnsi" w:cstheme="minorBidi"/>
          <w:b w:val="0"/>
          <w:sz w:val="22"/>
          <w:szCs w:val="22"/>
        </w:rPr>
      </w:pPr>
      <w:r>
        <w:t>Part VII — Appeals</w:t>
      </w:r>
    </w:p>
    <w:p>
      <w:pPr>
        <w:pStyle w:val="TOC8"/>
        <w:rPr>
          <w:rFonts w:asciiTheme="minorHAnsi" w:eastAsiaTheme="minorEastAsia" w:hAnsiTheme="minorHAnsi" w:cstheme="minorBidi"/>
          <w:szCs w:val="22"/>
        </w:rPr>
      </w:pPr>
      <w:r>
        <w:t>100</w:t>
      </w:r>
      <w:r>
        <w:rPr>
          <w:snapToGrid w:val="0"/>
        </w:rPr>
        <w:t>.</w:t>
      </w:r>
      <w:r>
        <w:rPr>
          <w:snapToGrid w:val="0"/>
        </w:rPr>
        <w:tab/>
        <w:t>Appeals against Authority’s decisions etc. as to proposals and schemes</w:t>
      </w:r>
      <w:r>
        <w:tab/>
      </w:r>
      <w:r>
        <w:fldChar w:fldCharType="begin"/>
      </w:r>
      <w:r>
        <w:instrText xml:space="preserve"> PAGEREF _Toc199512019 \h </w:instrText>
      </w:r>
      <w:r>
        <w:fldChar w:fldCharType="separate"/>
      </w:r>
      <w:r>
        <w:t>236</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Minister’s powers on appeals under s. 100</w:t>
      </w:r>
      <w:r>
        <w:tab/>
      </w:r>
      <w:r>
        <w:fldChar w:fldCharType="begin"/>
      </w:r>
      <w:r>
        <w:instrText xml:space="preserve"> PAGEREF _Toc199512020 \h </w:instrText>
      </w:r>
      <w:r>
        <w:fldChar w:fldCharType="separate"/>
      </w:r>
      <w:r>
        <w:t>237</w:t>
      </w:r>
      <w:r>
        <w:fldChar w:fldCharType="end"/>
      </w:r>
    </w:p>
    <w:p>
      <w:pPr>
        <w:pStyle w:val="TOC8"/>
        <w:rPr>
          <w:rFonts w:asciiTheme="minorHAnsi" w:eastAsiaTheme="minorEastAsia" w:hAnsiTheme="minorHAnsi" w:cstheme="minorBidi"/>
          <w:szCs w:val="22"/>
        </w:rPr>
      </w:pPr>
      <w:r>
        <w:lastRenderedPageBreak/>
        <w:t>101A.</w:t>
      </w:r>
      <w:r>
        <w:tab/>
        <w:t>Appeals against decisions as to clearing permits</w:t>
      </w:r>
      <w:r>
        <w:tab/>
      </w:r>
      <w:r>
        <w:fldChar w:fldCharType="begin"/>
      </w:r>
      <w:r>
        <w:instrText xml:space="preserve"> PAGEREF _Toc199512021 \h </w:instrText>
      </w:r>
      <w:r>
        <w:fldChar w:fldCharType="separate"/>
      </w:r>
      <w:r>
        <w:t>240</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Appeals against decisions as to works approvals and licences</w:t>
      </w:r>
      <w:r>
        <w:tab/>
      </w:r>
      <w:r>
        <w:fldChar w:fldCharType="begin"/>
      </w:r>
      <w:r>
        <w:instrText xml:space="preserve"> PAGEREF _Toc199512022 \h </w:instrText>
      </w:r>
      <w:r>
        <w:fldChar w:fldCharType="separate"/>
      </w:r>
      <w:r>
        <w:t>242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Appeals against decisions as to notices issued under s. 65, 68A, 70 or 73A</w:t>
      </w:r>
      <w:r>
        <w:tab/>
      </w:r>
      <w:r>
        <w:fldChar w:fldCharType="begin"/>
      </w:r>
      <w:r>
        <w:instrText xml:space="preserve"> PAGEREF _Toc199512023 \h </w:instrText>
      </w:r>
      <w:r>
        <w:fldChar w:fldCharType="separate"/>
      </w:r>
      <w:r>
        <w:t>243</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Appeals against CEO’s requirements under s. 96 or 97</w:t>
      </w:r>
      <w:r>
        <w:tab/>
      </w:r>
      <w:r>
        <w:fldChar w:fldCharType="begin"/>
      </w:r>
      <w:r>
        <w:instrText xml:space="preserve"> PAGEREF _Toc199512024 \h </w:instrText>
      </w:r>
      <w:r>
        <w:fldChar w:fldCharType="separate"/>
      </w:r>
      <w:r>
        <w:t>244</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Matters that cannot be appealed</w:t>
      </w:r>
      <w:r>
        <w:tab/>
      </w:r>
      <w:r>
        <w:fldChar w:fldCharType="begin"/>
      </w:r>
      <w:r>
        <w:instrText xml:space="preserve"> PAGEREF _Toc199512025 \h </w:instrText>
      </w:r>
      <w:r>
        <w:fldChar w:fldCharType="separate"/>
      </w:r>
      <w:r>
        <w:t>244</w:t>
      </w:r>
      <w:r>
        <w:fldChar w:fldCharType="end"/>
      </w:r>
    </w:p>
    <w:p>
      <w:pPr>
        <w:pStyle w:val="TOC8"/>
        <w:rPr>
          <w:rFonts w:asciiTheme="minorHAnsi" w:eastAsiaTheme="minorEastAsia" w:hAnsiTheme="minorHAnsi" w:cstheme="minorBidi"/>
          <w:szCs w:val="22"/>
        </w:rPr>
      </w:pPr>
      <w:r>
        <w:t>106.</w:t>
      </w:r>
      <w:r>
        <w:tab/>
        <w:t>Preliminary procedure on appeals</w:t>
      </w:r>
      <w:r>
        <w:tab/>
      </w:r>
      <w:r>
        <w:fldChar w:fldCharType="begin"/>
      </w:r>
      <w:r>
        <w:instrText xml:space="preserve"> PAGEREF _Toc199512026 \h </w:instrText>
      </w:r>
      <w:r>
        <w:fldChar w:fldCharType="separate"/>
      </w:r>
      <w:r>
        <w:t>245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r>
      <w:r>
        <w:t>Minister’s powers on appeal</w:t>
      </w:r>
      <w:r>
        <w:tab/>
      </w:r>
      <w:r>
        <w:fldChar w:fldCharType="begin"/>
      </w:r>
      <w:r>
        <w:instrText xml:space="preserve"> PAGEREF _Toc199512027 \h </w:instrText>
      </w:r>
      <w:r>
        <w:fldChar w:fldCharType="separate"/>
      </w:r>
      <w:r>
        <w:t>246</w:t>
      </w:r>
      <w:r>
        <w:fldChar w:fldCharType="end"/>
      </w:r>
    </w:p>
    <w:p>
      <w:pPr>
        <w:pStyle w:val="TOC8"/>
        <w:rPr>
          <w:rFonts w:asciiTheme="minorHAnsi" w:eastAsiaTheme="minorEastAsia" w:hAnsiTheme="minorHAnsi" w:cstheme="minorBidi"/>
          <w:szCs w:val="22"/>
        </w:rPr>
      </w:pPr>
      <w:r>
        <w:t>107A.</w:t>
      </w:r>
      <w:r>
        <w:tab/>
        <w:t>Appeals Convenor, appointment of</w:t>
      </w:r>
      <w:r>
        <w:tab/>
      </w:r>
      <w:r>
        <w:fldChar w:fldCharType="begin"/>
      </w:r>
      <w:r>
        <w:instrText xml:space="preserve"> PAGEREF _Toc199512028 \h </w:instrText>
      </w:r>
      <w:r>
        <w:fldChar w:fldCharType="separate"/>
      </w:r>
      <w:r>
        <w:t>246</w:t>
      </w:r>
      <w:r>
        <w:fldChar w:fldCharType="end"/>
      </w:r>
    </w:p>
    <w:p>
      <w:pPr>
        <w:pStyle w:val="TOC8"/>
        <w:rPr>
          <w:rFonts w:asciiTheme="minorHAnsi" w:eastAsiaTheme="minorEastAsia" w:hAnsiTheme="minorHAnsi" w:cstheme="minorBidi"/>
          <w:szCs w:val="22"/>
        </w:rPr>
      </w:pPr>
      <w:r>
        <w:t>107B.</w:t>
      </w:r>
      <w:r>
        <w:tab/>
        <w:t>Functions of Appeals Convenor</w:t>
      </w:r>
      <w:r>
        <w:tab/>
      </w:r>
      <w:r>
        <w:fldChar w:fldCharType="begin"/>
      </w:r>
      <w:r>
        <w:instrText xml:space="preserve"> PAGEREF _Toc199512029 \h </w:instrText>
      </w:r>
      <w:r>
        <w:fldChar w:fldCharType="separate"/>
      </w:r>
      <w:r>
        <w:t>247</w:t>
      </w:r>
      <w:r>
        <w:fldChar w:fldCharType="end"/>
      </w:r>
    </w:p>
    <w:p>
      <w:pPr>
        <w:pStyle w:val="TOC8"/>
        <w:rPr>
          <w:rFonts w:asciiTheme="minorHAnsi" w:eastAsiaTheme="minorEastAsia" w:hAnsiTheme="minorHAnsi" w:cstheme="minorBidi"/>
          <w:szCs w:val="22"/>
        </w:rPr>
      </w:pPr>
      <w:r>
        <w:t>107C.</w:t>
      </w:r>
      <w:r>
        <w:tab/>
        <w:t>Appeals panel, appointment of</w:t>
      </w:r>
      <w:r>
        <w:tab/>
      </w:r>
      <w:r>
        <w:fldChar w:fldCharType="begin"/>
      </w:r>
      <w:r>
        <w:instrText xml:space="preserve"> PAGEREF _Toc199512030 \h </w:instrText>
      </w:r>
      <w:r>
        <w:fldChar w:fldCharType="separate"/>
      </w:r>
      <w:r>
        <w:t>248</w:t>
      </w:r>
      <w:r>
        <w:fldChar w:fldCharType="end"/>
      </w:r>
    </w:p>
    <w:p>
      <w:pPr>
        <w:pStyle w:val="TOC8"/>
        <w:rPr>
          <w:rFonts w:asciiTheme="minorHAnsi" w:eastAsiaTheme="minorEastAsia" w:hAnsiTheme="minorHAnsi" w:cstheme="minorBidi"/>
          <w:szCs w:val="22"/>
        </w:rPr>
      </w:pPr>
      <w:r>
        <w:t>107D.</w:t>
      </w:r>
      <w:r>
        <w:tab/>
        <w:t>Administrative procedures for appeals</w:t>
      </w:r>
      <w:r>
        <w:tab/>
      </w:r>
      <w:r>
        <w:fldChar w:fldCharType="begin"/>
      </w:r>
      <w:r>
        <w:instrText xml:space="preserve"> PAGEREF _Toc199512031 \h </w:instrText>
      </w:r>
      <w:r>
        <w:fldChar w:fldCharType="separate"/>
      </w:r>
      <w:r>
        <w:t>248</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Appeals committees, composition and remuneration of</w:t>
      </w:r>
      <w:r>
        <w:tab/>
      </w:r>
      <w:r>
        <w:fldChar w:fldCharType="begin"/>
      </w:r>
      <w:r>
        <w:instrText xml:space="preserve"> PAGEREF _Toc199512032 \h </w:instrText>
      </w:r>
      <w:r>
        <w:fldChar w:fldCharType="separate"/>
      </w:r>
      <w:r>
        <w:t>249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Procedure of appeals committees</w:t>
      </w:r>
      <w:r>
        <w:tab/>
      </w:r>
      <w:r>
        <w:fldChar w:fldCharType="begin"/>
      </w:r>
      <w:r>
        <w:instrText xml:space="preserve"> PAGEREF _Toc199512033 \h </w:instrText>
      </w:r>
      <w:r>
        <w:fldChar w:fldCharType="separate"/>
      </w:r>
      <w:r>
        <w:t>249</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Minister’s decisions on appeals, implementation and publication of</w:t>
      </w:r>
      <w:r>
        <w:tab/>
      </w:r>
      <w:r>
        <w:fldChar w:fldCharType="begin"/>
      </w:r>
      <w:r>
        <w:instrText xml:space="preserve"> PAGEREF _Toc199512034 \h </w:instrText>
      </w:r>
      <w:r>
        <w:fldChar w:fldCharType="separate"/>
      </w:r>
      <w:r>
        <w:t>251</w:t>
      </w:r>
      <w:r>
        <w:fldChar w:fldCharType="end"/>
      </w:r>
    </w:p>
    <w:p>
      <w:pPr>
        <w:pStyle w:val="TOC2"/>
        <w:tabs>
          <w:tab w:val="right" w:leader="dot" w:pos="7077"/>
        </w:tabs>
        <w:rPr>
          <w:rFonts w:asciiTheme="minorHAnsi" w:eastAsiaTheme="minorEastAsia" w:hAnsiTheme="minorHAnsi" w:cstheme="minorBidi"/>
          <w:b w:val="0"/>
          <w:sz w:val="22"/>
          <w:szCs w:val="22"/>
        </w:rPr>
      </w:pPr>
      <w:r>
        <w:t>Part VIIA — Landfill levy</w:t>
      </w:r>
    </w:p>
    <w:p>
      <w:pPr>
        <w:pStyle w:val="TOC4"/>
        <w:tabs>
          <w:tab w:val="right" w:leader="dot" w:pos="7077"/>
        </w:tabs>
        <w:rPr>
          <w:rFonts w:asciiTheme="minorHAnsi" w:eastAsiaTheme="minorEastAsia" w:hAnsiTheme="minorHAnsi" w:cstheme="minorBidi"/>
          <w:b w:val="0"/>
          <w:szCs w:val="22"/>
        </w:rPr>
      </w:pPr>
      <w:r>
        <w:t xml:space="preserve">Division 1 — Collection of levy imposed under </w:t>
      </w:r>
      <w:r>
        <w:rPr>
          <w:i/>
        </w:rPr>
        <w:t>Environmental Protection (Landfill) Levy Act 1998</w:t>
      </w:r>
    </w:p>
    <w:p>
      <w:pPr>
        <w:pStyle w:val="TOC8"/>
        <w:rPr>
          <w:rFonts w:asciiTheme="minorHAnsi" w:eastAsiaTheme="minorEastAsia" w:hAnsiTheme="minorHAnsi" w:cstheme="minorBidi"/>
          <w:szCs w:val="22"/>
        </w:rPr>
      </w:pPr>
      <w:r>
        <w:t>110A.</w:t>
      </w:r>
      <w:r>
        <w:tab/>
        <w:t>Terms used</w:t>
      </w:r>
      <w:r>
        <w:tab/>
      </w:r>
      <w:r>
        <w:fldChar w:fldCharType="begin"/>
      </w:r>
      <w:r>
        <w:instrText xml:space="preserve"> PAGEREF _Toc199512037 \h </w:instrText>
      </w:r>
      <w:r>
        <w:fldChar w:fldCharType="separate"/>
      </w:r>
      <w:r>
        <w:t>252</w:t>
      </w:r>
      <w:r>
        <w:fldChar w:fldCharType="end"/>
      </w:r>
    </w:p>
    <w:p>
      <w:pPr>
        <w:pStyle w:val="TOC8"/>
        <w:rPr>
          <w:rFonts w:asciiTheme="minorHAnsi" w:eastAsiaTheme="minorEastAsia" w:hAnsiTheme="minorHAnsi" w:cstheme="minorBidi"/>
          <w:szCs w:val="22"/>
        </w:rPr>
      </w:pPr>
      <w:r>
        <w:t>110B.</w:t>
      </w:r>
      <w:r>
        <w:tab/>
        <w:t>Payment of levy</w:t>
      </w:r>
      <w:r>
        <w:tab/>
      </w:r>
      <w:r>
        <w:fldChar w:fldCharType="begin"/>
      </w:r>
      <w:r>
        <w:instrText xml:space="preserve"> PAGEREF _Toc199512038 \h </w:instrText>
      </w:r>
      <w:r>
        <w:fldChar w:fldCharType="separate"/>
      </w:r>
      <w:r>
        <w:t>252</w:t>
      </w:r>
      <w:r>
        <w:fldChar w:fldCharType="end"/>
      </w:r>
    </w:p>
    <w:p>
      <w:pPr>
        <w:pStyle w:val="TOC8"/>
        <w:rPr>
          <w:rFonts w:asciiTheme="minorHAnsi" w:eastAsiaTheme="minorEastAsia" w:hAnsiTheme="minorHAnsi" w:cstheme="minorBidi"/>
          <w:szCs w:val="22"/>
        </w:rPr>
      </w:pPr>
      <w:r>
        <w:t>110C.</w:t>
      </w:r>
      <w:r>
        <w:tab/>
        <w:t>Financial assurance</w:t>
      </w:r>
      <w:r>
        <w:tab/>
      </w:r>
      <w:r>
        <w:fldChar w:fldCharType="begin"/>
      </w:r>
      <w:r>
        <w:instrText xml:space="preserve"> PAGEREF _Toc199512039 \h </w:instrText>
      </w:r>
      <w:r>
        <w:fldChar w:fldCharType="separate"/>
      </w:r>
      <w:r>
        <w:t>252</w:t>
      </w:r>
      <w:r>
        <w:fldChar w:fldCharType="end"/>
      </w:r>
    </w:p>
    <w:p>
      <w:pPr>
        <w:pStyle w:val="TOC8"/>
        <w:rPr>
          <w:rFonts w:asciiTheme="minorHAnsi" w:eastAsiaTheme="minorEastAsia" w:hAnsiTheme="minorHAnsi" w:cstheme="minorBidi"/>
          <w:szCs w:val="22"/>
        </w:rPr>
      </w:pPr>
      <w:r>
        <w:t>110D.</w:t>
      </w:r>
      <w:r>
        <w:tab/>
        <w:t>Payment by instalments</w:t>
      </w:r>
      <w:r>
        <w:tab/>
      </w:r>
      <w:r>
        <w:fldChar w:fldCharType="begin"/>
      </w:r>
      <w:r>
        <w:instrText xml:space="preserve"> PAGEREF _Toc199512040 \h </w:instrText>
      </w:r>
      <w:r>
        <w:fldChar w:fldCharType="separate"/>
      </w:r>
      <w:r>
        <w:t>253</w:t>
      </w:r>
      <w:r>
        <w:fldChar w:fldCharType="end"/>
      </w:r>
    </w:p>
    <w:p>
      <w:pPr>
        <w:pStyle w:val="TOC8"/>
        <w:rPr>
          <w:rFonts w:asciiTheme="minorHAnsi" w:eastAsiaTheme="minorEastAsia" w:hAnsiTheme="minorHAnsi" w:cstheme="minorBidi"/>
          <w:szCs w:val="22"/>
        </w:rPr>
      </w:pPr>
      <w:r>
        <w:t>110E.</w:t>
      </w:r>
      <w:r>
        <w:tab/>
        <w:t>Penalty for non</w:t>
      </w:r>
      <w:r>
        <w:noBreakHyphen/>
        <w:t>payment</w:t>
      </w:r>
      <w:r>
        <w:tab/>
      </w:r>
      <w:r>
        <w:fldChar w:fldCharType="begin"/>
      </w:r>
      <w:r>
        <w:instrText xml:space="preserve"> PAGEREF _Toc199512041 \h </w:instrText>
      </w:r>
      <w:r>
        <w:fldChar w:fldCharType="separate"/>
      </w:r>
      <w:r>
        <w:t>253</w:t>
      </w:r>
      <w:r>
        <w:fldChar w:fldCharType="end"/>
      </w:r>
    </w:p>
    <w:p>
      <w:pPr>
        <w:pStyle w:val="TOC8"/>
        <w:rPr>
          <w:rFonts w:asciiTheme="minorHAnsi" w:eastAsiaTheme="minorEastAsia" w:hAnsiTheme="minorHAnsi" w:cstheme="minorBidi"/>
          <w:szCs w:val="22"/>
        </w:rPr>
      </w:pPr>
      <w:r>
        <w:t>110F.</w:t>
      </w:r>
      <w:r>
        <w:tab/>
        <w:t>Recovery of levy</w:t>
      </w:r>
      <w:r>
        <w:tab/>
      </w:r>
      <w:r>
        <w:fldChar w:fldCharType="begin"/>
      </w:r>
      <w:r>
        <w:instrText xml:space="preserve"> PAGEREF _Toc199512042 \h </w:instrText>
      </w:r>
      <w:r>
        <w:fldChar w:fldCharType="separate"/>
      </w:r>
      <w:r>
        <w:t>254</w:t>
      </w:r>
      <w:r>
        <w:fldChar w:fldCharType="end"/>
      </w:r>
    </w:p>
    <w:p>
      <w:pPr>
        <w:pStyle w:val="TOC8"/>
        <w:rPr>
          <w:rFonts w:asciiTheme="minorHAnsi" w:eastAsiaTheme="minorEastAsia" w:hAnsiTheme="minorHAnsi" w:cstheme="minorBidi"/>
          <w:szCs w:val="22"/>
        </w:rPr>
      </w:pPr>
      <w:r>
        <w:t>110G.</w:t>
      </w:r>
      <w:r>
        <w:tab/>
        <w:t>Evading levy</w:t>
      </w:r>
      <w:r>
        <w:tab/>
      </w:r>
      <w:r>
        <w:fldChar w:fldCharType="begin"/>
      </w:r>
      <w:r>
        <w:instrText xml:space="preserve"> PAGEREF _Toc199512043 \h </w:instrText>
      </w:r>
      <w:r>
        <w:fldChar w:fldCharType="separate"/>
      </w:r>
      <w:r>
        <w:t>254</w:t>
      </w:r>
      <w:r>
        <w:fldChar w:fldCharType="end"/>
      </w:r>
    </w:p>
    <w:p>
      <w:pPr>
        <w:pStyle w:val="TOC4"/>
        <w:tabs>
          <w:tab w:val="right" w:leader="dot" w:pos="7077"/>
        </w:tabs>
        <w:rPr>
          <w:rFonts w:asciiTheme="minorHAnsi" w:eastAsiaTheme="minorEastAsia" w:hAnsiTheme="minorHAnsi" w:cstheme="minorBidi"/>
          <w:b w:val="0"/>
          <w:szCs w:val="22"/>
        </w:rPr>
      </w:pPr>
      <w:r>
        <w:t>Division 2 — Waste Management and Recycling Account</w:t>
      </w:r>
    </w:p>
    <w:p>
      <w:pPr>
        <w:pStyle w:val="TOC8"/>
        <w:rPr>
          <w:rFonts w:asciiTheme="minorHAnsi" w:eastAsiaTheme="minorEastAsia" w:hAnsiTheme="minorHAnsi" w:cstheme="minorBidi"/>
          <w:szCs w:val="22"/>
        </w:rPr>
      </w:pPr>
      <w:r>
        <w:t>110H.</w:t>
      </w:r>
      <w:r>
        <w:tab/>
        <w:t>Waste Management and Recycling Account</w:t>
      </w:r>
      <w:r>
        <w:tab/>
      </w:r>
      <w:r>
        <w:fldChar w:fldCharType="begin"/>
      </w:r>
      <w:r>
        <w:instrText xml:space="preserve"> PAGEREF _Toc199512045 \h </w:instrText>
      </w:r>
      <w:r>
        <w:fldChar w:fldCharType="separate"/>
      </w:r>
      <w:r>
        <w:t>254</w:t>
      </w:r>
      <w:r>
        <w:fldChar w:fldCharType="end"/>
      </w:r>
    </w:p>
    <w:p>
      <w:pPr>
        <w:pStyle w:val="TOC8"/>
        <w:rPr>
          <w:rFonts w:asciiTheme="minorHAnsi" w:eastAsiaTheme="minorEastAsia" w:hAnsiTheme="minorHAnsi" w:cstheme="minorBidi"/>
          <w:szCs w:val="22"/>
        </w:rPr>
      </w:pPr>
      <w:r>
        <w:t>110I.</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_Toc199512046 \h </w:instrText>
      </w:r>
      <w:r>
        <w:fldChar w:fldCharType="separate"/>
      </w:r>
      <w:r>
        <w:t>256</w:t>
      </w:r>
      <w:r>
        <w:fldChar w:fldCharType="end"/>
      </w:r>
    </w:p>
    <w:p>
      <w:pPr>
        <w:pStyle w:val="TOC8"/>
        <w:rPr>
          <w:rFonts w:asciiTheme="minorHAnsi" w:eastAsiaTheme="minorEastAsia" w:hAnsiTheme="minorHAnsi" w:cstheme="minorBidi"/>
          <w:szCs w:val="22"/>
        </w:rPr>
      </w:pPr>
      <w:r>
        <w:t>110J.</w:t>
      </w:r>
      <w:r>
        <w:tab/>
        <w:t>Review of Part VIIA</w:t>
      </w:r>
      <w:r>
        <w:tab/>
      </w:r>
      <w:r>
        <w:fldChar w:fldCharType="begin"/>
      </w:r>
      <w:r>
        <w:instrText xml:space="preserve"> PAGEREF _Toc199512047 \h </w:instrText>
      </w:r>
      <w:r>
        <w:fldChar w:fldCharType="separate"/>
      </w:r>
      <w:r>
        <w:t>257</w:t>
      </w:r>
      <w:r>
        <w:fldChar w:fldCharType="end"/>
      </w:r>
    </w:p>
    <w:p>
      <w:pPr>
        <w:pStyle w:val="TOC2"/>
        <w:tabs>
          <w:tab w:val="right" w:leader="dot" w:pos="7077"/>
        </w:tabs>
        <w:rPr>
          <w:rFonts w:asciiTheme="minorHAnsi" w:eastAsiaTheme="minorEastAsia" w:hAnsiTheme="minorHAnsi" w:cstheme="minorBidi"/>
          <w:b w:val="0"/>
          <w:sz w:val="22"/>
          <w:szCs w:val="22"/>
        </w:rPr>
      </w:pPr>
      <w:r>
        <w:t>Part VIII — General</w:t>
      </w:r>
    </w:p>
    <w:p>
      <w:pPr>
        <w:pStyle w:val="TOC8"/>
        <w:rPr>
          <w:rFonts w:asciiTheme="minorHAnsi" w:eastAsiaTheme="minorEastAsia" w:hAnsiTheme="minorHAnsi" w:cstheme="minorBidi"/>
          <w:szCs w:val="22"/>
        </w:rPr>
      </w:pPr>
      <w:r>
        <w:t>111</w:t>
      </w:r>
      <w:r>
        <w:rPr>
          <w:snapToGrid w:val="0"/>
        </w:rPr>
        <w:t>.</w:t>
      </w:r>
      <w:r>
        <w:rPr>
          <w:snapToGrid w:val="0"/>
        </w:rPr>
        <w:tab/>
        <w:t>Saving of rights at law to prevent etc. pollution etc.</w:t>
      </w:r>
      <w:r>
        <w:tab/>
      </w:r>
      <w:r>
        <w:fldChar w:fldCharType="begin"/>
      </w:r>
      <w:r>
        <w:instrText xml:space="preserve"> PAGEREF _Toc199512049 \h </w:instrText>
      </w:r>
      <w:r>
        <w:fldChar w:fldCharType="separate"/>
      </w:r>
      <w:r>
        <w:t>258</w:t>
      </w:r>
      <w:r>
        <w:fldChar w:fldCharType="end"/>
      </w:r>
    </w:p>
    <w:p>
      <w:pPr>
        <w:pStyle w:val="TOC8"/>
        <w:rPr>
          <w:rFonts w:asciiTheme="minorHAnsi" w:eastAsiaTheme="minorEastAsia" w:hAnsiTheme="minorHAnsi" w:cstheme="minorBidi"/>
          <w:szCs w:val="22"/>
        </w:rPr>
      </w:pPr>
      <w:r>
        <w:lastRenderedPageBreak/>
        <w:t>111A.</w:t>
      </w:r>
      <w:r>
        <w:tab/>
        <w:t>Victimisation of informants etc.</w:t>
      </w:r>
      <w:r>
        <w:tab/>
      </w:r>
      <w:r>
        <w:fldChar w:fldCharType="begin"/>
      </w:r>
      <w:r>
        <w:instrText xml:space="preserve"> PAGEREF _Toc199512050 \h </w:instrText>
      </w:r>
      <w:r>
        <w:fldChar w:fldCharType="separate"/>
      </w:r>
      <w:r>
        <w:t>258</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 xml:space="preserve">False </w:t>
      </w:r>
      <w:r>
        <w:t>information</w:t>
      </w:r>
      <w:r>
        <w:tab/>
      </w:r>
      <w:r>
        <w:fldChar w:fldCharType="begin"/>
      </w:r>
      <w:r>
        <w:instrText xml:space="preserve"> PAGEREF _Toc199512051 \h </w:instrText>
      </w:r>
      <w:r>
        <w:fldChar w:fldCharType="separate"/>
      </w:r>
      <w:r>
        <w:t>259</w:t>
      </w:r>
      <w:r>
        <w:fldChar w:fldCharType="end"/>
      </w:r>
    </w:p>
    <w:p>
      <w:pPr>
        <w:pStyle w:val="TOC8"/>
        <w:rPr>
          <w:rFonts w:asciiTheme="minorHAnsi" w:eastAsiaTheme="minorEastAsia" w:hAnsiTheme="minorHAnsi" w:cstheme="minorBidi"/>
          <w:szCs w:val="22"/>
        </w:rPr>
      </w:pPr>
      <w:r>
        <w:t>112A</w:t>
      </w:r>
      <w:r>
        <w:rPr>
          <w:snapToGrid w:val="0"/>
        </w:rPr>
        <w:t>.</w:t>
      </w:r>
      <w:r>
        <w:rPr>
          <w:snapToGrid w:val="0"/>
        </w:rPr>
        <w:tab/>
        <w:t>Self</w:t>
      </w:r>
      <w:r>
        <w:rPr>
          <w:snapToGrid w:val="0"/>
        </w:rPr>
        <w:noBreakHyphen/>
        <w:t>incrimination</w:t>
      </w:r>
      <w:r>
        <w:tab/>
      </w:r>
      <w:r>
        <w:fldChar w:fldCharType="begin"/>
      </w:r>
      <w:r>
        <w:instrText xml:space="preserve"> PAGEREF _Toc199512052 \h </w:instrText>
      </w:r>
      <w:r>
        <w:fldChar w:fldCharType="separate"/>
      </w:r>
      <w:r>
        <w:t>259</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Prosecutions, who may institute</w:t>
      </w:r>
      <w:r>
        <w:tab/>
      </w:r>
      <w:r>
        <w:fldChar w:fldCharType="begin"/>
      </w:r>
      <w:r>
        <w:instrText xml:space="preserve"> PAGEREF _Toc199512053 \h </w:instrText>
      </w:r>
      <w:r>
        <w:fldChar w:fldCharType="separate"/>
      </w:r>
      <w:r>
        <w:t>260</w:t>
      </w:r>
      <w:r>
        <w:fldChar w:fldCharType="end"/>
      </w:r>
    </w:p>
    <w:p>
      <w:pPr>
        <w:pStyle w:val="TOC8"/>
        <w:rPr>
          <w:rFonts w:asciiTheme="minorHAnsi" w:eastAsiaTheme="minorEastAsia" w:hAnsiTheme="minorHAnsi" w:cstheme="minorBidi"/>
          <w:szCs w:val="22"/>
        </w:rPr>
      </w:pPr>
      <w:r>
        <w:t>114A.</w:t>
      </w:r>
      <w:r>
        <w:tab/>
        <w:t>Prosecutions, limitation periods for</w:t>
      </w:r>
      <w:r>
        <w:tab/>
      </w:r>
      <w:r>
        <w:fldChar w:fldCharType="begin"/>
      </w:r>
      <w:r>
        <w:instrText xml:space="preserve"> PAGEREF _Toc199512054 \h </w:instrText>
      </w:r>
      <w:r>
        <w:fldChar w:fldCharType="separate"/>
      </w:r>
      <w:r>
        <w:t>261</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Investigation expenses</w:t>
      </w:r>
      <w:r>
        <w:tab/>
      </w:r>
      <w:r>
        <w:fldChar w:fldCharType="begin"/>
      </w:r>
      <w:r>
        <w:instrText xml:space="preserve"> PAGEREF _Toc199512055 \h </w:instrText>
      </w:r>
      <w:r>
        <w:fldChar w:fldCharType="separate"/>
      </w:r>
      <w:r>
        <w:t>262</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Disputes between Authority and other public authority</w:t>
      </w:r>
      <w:r>
        <w:tab/>
      </w:r>
      <w:r>
        <w:fldChar w:fldCharType="begin"/>
      </w:r>
      <w:r>
        <w:instrText xml:space="preserve"> PAGEREF _Toc199512056 \h </w:instrText>
      </w:r>
      <w:r>
        <w:fldChar w:fldCharType="separate"/>
      </w:r>
      <w:r>
        <w:t>262</w:t>
      </w:r>
      <w:r>
        <w:fldChar w:fldCharType="end"/>
      </w:r>
    </w:p>
    <w:p>
      <w:pPr>
        <w:pStyle w:val="TOC8"/>
        <w:rPr>
          <w:rFonts w:asciiTheme="minorHAnsi" w:eastAsiaTheme="minorEastAsia" w:hAnsiTheme="minorHAnsi" w:cstheme="minorBidi"/>
          <w:szCs w:val="22"/>
        </w:rPr>
      </w:pPr>
      <w:r>
        <w:t>116A.</w:t>
      </w:r>
      <w:r>
        <w:tab/>
        <w:t>Proof not required of certain matters</w:t>
      </w:r>
      <w:r>
        <w:tab/>
      </w:r>
      <w:r>
        <w:fldChar w:fldCharType="begin"/>
      </w:r>
      <w:r>
        <w:instrText xml:space="preserve"> PAGEREF _Toc199512057 \h </w:instrText>
      </w:r>
      <w:r>
        <w:fldChar w:fldCharType="separate"/>
      </w:r>
      <w:r>
        <w:t>263</w:t>
      </w:r>
      <w:r>
        <w:fldChar w:fldCharType="end"/>
      </w:r>
    </w:p>
    <w:p>
      <w:pPr>
        <w:pStyle w:val="TOC8"/>
        <w:rPr>
          <w:rFonts w:asciiTheme="minorHAnsi" w:eastAsiaTheme="minorEastAsia" w:hAnsiTheme="minorHAnsi" w:cstheme="minorBidi"/>
          <w:szCs w:val="22"/>
        </w:rPr>
      </w:pPr>
      <w:r>
        <w:t>116B.</w:t>
      </w:r>
      <w:r>
        <w:tab/>
        <w:t>Proof of remotely sensed images</w:t>
      </w:r>
      <w:r>
        <w:tab/>
      </w:r>
      <w:r>
        <w:fldChar w:fldCharType="begin"/>
      </w:r>
      <w:r>
        <w:instrText xml:space="preserve"> PAGEREF _Toc199512058 \h </w:instrText>
      </w:r>
      <w:r>
        <w:fldChar w:fldCharType="separate"/>
      </w:r>
      <w:r>
        <w:t>263</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Proof of documents</w:t>
      </w:r>
      <w:r>
        <w:tab/>
      </w:r>
      <w:r>
        <w:fldChar w:fldCharType="begin"/>
      </w:r>
      <w:r>
        <w:instrText xml:space="preserve"> PAGEREF _Toc199512059 \h </w:instrText>
      </w:r>
      <w:r>
        <w:fldChar w:fldCharType="separate"/>
      </w:r>
      <w:r>
        <w:t>266</w:t>
      </w:r>
      <w:r>
        <w:fldChar w:fldCharType="end"/>
      </w:r>
    </w:p>
    <w:p>
      <w:pPr>
        <w:pStyle w:val="TOC8"/>
        <w:rPr>
          <w:rFonts w:asciiTheme="minorHAnsi" w:eastAsiaTheme="minorEastAsia" w:hAnsiTheme="minorHAnsi" w:cstheme="minorBidi"/>
          <w:szCs w:val="22"/>
        </w:rPr>
      </w:pPr>
      <w:r>
        <w:t>118.</w:t>
      </w:r>
      <w:r>
        <w:tab/>
        <w:t>Establishing state of mind of body corporate</w:t>
      </w:r>
      <w:r>
        <w:tab/>
      </w:r>
      <w:r>
        <w:fldChar w:fldCharType="begin"/>
      </w:r>
      <w:r>
        <w:instrText xml:space="preserve"> PAGEREF _Toc199512060 \h </w:instrText>
      </w:r>
      <w:r>
        <w:fldChar w:fldCharType="separate"/>
      </w:r>
      <w:r>
        <w:t>266</w:t>
      </w:r>
      <w:r>
        <w:fldChar w:fldCharType="end"/>
      </w:r>
    </w:p>
    <w:p>
      <w:pPr>
        <w:pStyle w:val="TOC8"/>
        <w:rPr>
          <w:rFonts w:asciiTheme="minorHAnsi" w:eastAsiaTheme="minorEastAsia" w:hAnsiTheme="minorHAnsi" w:cstheme="minorBidi"/>
          <w:szCs w:val="22"/>
        </w:rPr>
      </w:pPr>
      <w:r>
        <w:t>118A.</w:t>
      </w:r>
      <w:r>
        <w:tab/>
        <w:t>Liability of officers for offence by body corporate</w:t>
      </w:r>
      <w:r>
        <w:tab/>
      </w:r>
      <w:r>
        <w:fldChar w:fldCharType="begin"/>
      </w:r>
      <w:r>
        <w:instrText xml:space="preserve"> PAGEREF _Toc199512061 \h </w:instrText>
      </w:r>
      <w:r>
        <w:fldChar w:fldCharType="separate"/>
      </w:r>
      <w:r>
        <w:t>267</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Averment of occupation or control</w:t>
      </w:r>
      <w:r>
        <w:tab/>
      </w:r>
      <w:r>
        <w:fldChar w:fldCharType="begin"/>
      </w:r>
      <w:r>
        <w:instrText xml:space="preserve"> PAGEREF _Toc199512062 \h </w:instrText>
      </w:r>
      <w:r>
        <w:fldChar w:fldCharType="separate"/>
      </w:r>
      <w:r>
        <w:t>267</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Disclosing certain information restricted</w:t>
      </w:r>
      <w:r>
        <w:tab/>
      </w:r>
      <w:r>
        <w:fldChar w:fldCharType="begin"/>
      </w:r>
      <w:r>
        <w:instrText xml:space="preserve"> PAGEREF _Toc199512063 \h </w:instrText>
      </w:r>
      <w:r>
        <w:fldChar w:fldCharType="separate"/>
      </w:r>
      <w:r>
        <w:t>267</w:t>
      </w:r>
      <w:r>
        <w:fldChar w:fldCharType="end"/>
      </w:r>
    </w:p>
    <w:p>
      <w:pPr>
        <w:pStyle w:val="TOC8"/>
        <w:rPr>
          <w:rFonts w:asciiTheme="minorHAnsi" w:eastAsiaTheme="minorEastAsia" w:hAnsiTheme="minorHAnsi" w:cstheme="minorBidi"/>
          <w:szCs w:val="22"/>
        </w:rPr>
      </w:pPr>
      <w:r>
        <w:t>121A.</w:t>
      </w:r>
      <w:r>
        <w:tab/>
        <w:t>Authority to perform certain functions in relation to Crown land for purposes of this Act</w:t>
      </w:r>
      <w:r>
        <w:tab/>
      </w:r>
      <w:r>
        <w:fldChar w:fldCharType="begin"/>
      </w:r>
      <w:r>
        <w:instrText xml:space="preserve"> PAGEREF _Toc199512064 \h </w:instrText>
      </w:r>
      <w:r>
        <w:fldChar w:fldCharType="separate"/>
      </w:r>
      <w:r>
        <w:t>268</w:t>
      </w:r>
      <w:r>
        <w:fldChar w:fldCharType="end"/>
      </w:r>
    </w:p>
    <w:p>
      <w:pPr>
        <w:pStyle w:val="TOC8"/>
        <w:rPr>
          <w:rFonts w:asciiTheme="minorHAnsi" w:eastAsiaTheme="minorEastAsia" w:hAnsiTheme="minorHAnsi" w:cstheme="minorBidi"/>
          <w:szCs w:val="22"/>
        </w:rPr>
      </w:pPr>
      <w:r>
        <w:t>121.</w:t>
      </w:r>
      <w:r>
        <w:tab/>
        <w:t>Protection from personal liability</w:t>
      </w:r>
      <w:r>
        <w:tab/>
      </w:r>
      <w:r>
        <w:fldChar w:fldCharType="begin"/>
      </w:r>
      <w:r>
        <w:instrText xml:space="preserve"> PAGEREF _Toc199512065 \h </w:instrText>
      </w:r>
      <w:r>
        <w:fldChar w:fldCharType="separate"/>
      </w:r>
      <w:r>
        <w:t>269</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Administrative procedures, Authority may establish</w:t>
      </w:r>
      <w:r>
        <w:tab/>
      </w:r>
      <w:r>
        <w:fldChar w:fldCharType="begin"/>
      </w:r>
      <w:r>
        <w:instrText xml:space="preserve"> PAGEREF _Toc199512066 \h </w:instrText>
      </w:r>
      <w:r>
        <w:fldChar w:fldCharType="separate"/>
      </w:r>
      <w:r>
        <w:t>269</w:t>
      </w:r>
      <w:r>
        <w:fldChar w:fldCharType="end"/>
      </w:r>
    </w:p>
    <w:p>
      <w:pPr>
        <w:pStyle w:val="TOC8"/>
        <w:rPr>
          <w:rFonts w:asciiTheme="minorHAnsi" w:eastAsiaTheme="minorEastAsia" w:hAnsiTheme="minorHAnsi" w:cstheme="minorBidi"/>
          <w:szCs w:val="22"/>
        </w:rPr>
      </w:pPr>
      <w:r>
        <w:t>122A.</w:t>
      </w:r>
      <w:r>
        <w:tab/>
        <w:t>Codes of practice</w:t>
      </w:r>
      <w:r>
        <w:tab/>
      </w:r>
      <w:r>
        <w:fldChar w:fldCharType="begin"/>
      </w:r>
      <w:r>
        <w:instrText xml:space="preserve"> PAGEREF _Toc199512067 \h </w:instrText>
      </w:r>
      <w:r>
        <w:fldChar w:fldCharType="separate"/>
      </w:r>
      <w:r>
        <w:t>270</w:t>
      </w:r>
      <w:r>
        <w:fldChar w:fldCharType="end"/>
      </w:r>
    </w:p>
    <w:p>
      <w:pPr>
        <w:pStyle w:val="TOC8"/>
        <w:rPr>
          <w:rFonts w:asciiTheme="minorHAnsi" w:eastAsiaTheme="minorEastAsia" w:hAnsiTheme="minorHAnsi" w:cstheme="minorBidi"/>
          <w:szCs w:val="22"/>
        </w:rPr>
      </w:pPr>
      <w:r>
        <w:t>122B.</w:t>
      </w:r>
      <w:r>
        <w:tab/>
        <w:t>Forms and other matters relating to documentation</w:t>
      </w:r>
      <w:r>
        <w:tab/>
      </w:r>
      <w:r>
        <w:fldChar w:fldCharType="begin"/>
      </w:r>
      <w:r>
        <w:instrText xml:space="preserve"> PAGEREF _Toc199512068 \h </w:instrText>
      </w:r>
      <w:r>
        <w:fldChar w:fldCharType="separate"/>
      </w:r>
      <w:r>
        <w:t>271</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Regulations</w:t>
      </w:r>
      <w:r>
        <w:tab/>
      </w:r>
      <w:r>
        <w:fldChar w:fldCharType="begin"/>
      </w:r>
      <w:r>
        <w:instrText xml:space="preserve"> PAGEREF _Toc199512069 \h </w:instrText>
      </w:r>
      <w:r>
        <w:fldChar w:fldCharType="separate"/>
      </w:r>
      <w:r>
        <w:t>272</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Review of Act</w:t>
      </w:r>
      <w:r>
        <w:tab/>
      </w:r>
      <w:r>
        <w:fldChar w:fldCharType="begin"/>
      </w:r>
      <w:r>
        <w:instrText xml:space="preserve"> PAGEREF _Toc199512070 \h </w:instrText>
      </w:r>
      <w:r>
        <w:fldChar w:fldCharType="separate"/>
      </w:r>
      <w:r>
        <w:t>273</w:t>
      </w:r>
      <w:r>
        <w:fldChar w:fldCharType="end"/>
      </w:r>
    </w:p>
    <w:p>
      <w:pPr>
        <w:pStyle w:val="TOC2"/>
        <w:tabs>
          <w:tab w:val="right" w:leader="dot" w:pos="7077"/>
        </w:tabs>
        <w:rPr>
          <w:rFonts w:asciiTheme="minorHAnsi" w:eastAsiaTheme="minorEastAsia" w:hAnsiTheme="minorHAnsi" w:cstheme="minorBidi"/>
          <w:b w:val="0"/>
          <w:sz w:val="22"/>
          <w:szCs w:val="22"/>
        </w:rPr>
      </w:pPr>
      <w:r>
        <w:t>Part VIIIA — Bilateral agreements with the Commonwealth</w:t>
      </w:r>
    </w:p>
    <w:p>
      <w:pPr>
        <w:pStyle w:val="TOC8"/>
        <w:rPr>
          <w:rFonts w:asciiTheme="minorHAnsi" w:eastAsiaTheme="minorEastAsia" w:hAnsiTheme="minorHAnsi" w:cstheme="minorBidi"/>
          <w:szCs w:val="22"/>
        </w:rPr>
      </w:pPr>
      <w:r>
        <w:t>124A.</w:t>
      </w:r>
      <w:r>
        <w:tab/>
        <w:t>Terms used</w:t>
      </w:r>
      <w:r>
        <w:tab/>
      </w:r>
      <w:r>
        <w:fldChar w:fldCharType="begin"/>
      </w:r>
      <w:r>
        <w:instrText xml:space="preserve"> PAGEREF _Toc199512072 \h </w:instrText>
      </w:r>
      <w:r>
        <w:fldChar w:fldCharType="separate"/>
      </w:r>
      <w:r>
        <w:t>274</w:t>
      </w:r>
      <w:r>
        <w:fldChar w:fldCharType="end"/>
      </w:r>
    </w:p>
    <w:p>
      <w:pPr>
        <w:pStyle w:val="TOC8"/>
        <w:rPr>
          <w:rFonts w:asciiTheme="minorHAnsi" w:eastAsiaTheme="minorEastAsia" w:hAnsiTheme="minorHAnsi" w:cstheme="minorBidi"/>
          <w:szCs w:val="22"/>
        </w:rPr>
      </w:pPr>
      <w:r>
        <w:t>124B.</w:t>
      </w:r>
      <w:r>
        <w:tab/>
        <w:t>Effect of Part</w:t>
      </w:r>
      <w:r>
        <w:tab/>
      </w:r>
      <w:r>
        <w:fldChar w:fldCharType="begin"/>
      </w:r>
      <w:r>
        <w:instrText xml:space="preserve"> PAGEREF _Toc199512073 \h </w:instrText>
      </w:r>
      <w:r>
        <w:fldChar w:fldCharType="separate"/>
      </w:r>
      <w:r>
        <w:t>274</w:t>
      </w:r>
      <w:r>
        <w:fldChar w:fldCharType="end"/>
      </w:r>
    </w:p>
    <w:p>
      <w:pPr>
        <w:pStyle w:val="TOC8"/>
        <w:rPr>
          <w:rFonts w:asciiTheme="minorHAnsi" w:eastAsiaTheme="minorEastAsia" w:hAnsiTheme="minorHAnsi" w:cstheme="minorBidi"/>
          <w:szCs w:val="22"/>
        </w:rPr>
      </w:pPr>
      <w:r>
        <w:t>124C.</w:t>
      </w:r>
      <w:r>
        <w:tab/>
        <w:t>Additional function of Authority</w:t>
      </w:r>
      <w:r>
        <w:tab/>
      </w:r>
      <w:r>
        <w:fldChar w:fldCharType="begin"/>
      </w:r>
      <w:r>
        <w:instrText xml:space="preserve"> PAGEREF _Toc199512074 \h </w:instrText>
      </w:r>
      <w:r>
        <w:fldChar w:fldCharType="separate"/>
      </w:r>
      <w:r>
        <w:t>274</w:t>
      </w:r>
      <w:r>
        <w:fldChar w:fldCharType="end"/>
      </w:r>
    </w:p>
    <w:p>
      <w:pPr>
        <w:pStyle w:val="TOC8"/>
        <w:rPr>
          <w:rFonts w:asciiTheme="minorHAnsi" w:eastAsiaTheme="minorEastAsia" w:hAnsiTheme="minorHAnsi" w:cstheme="minorBidi"/>
          <w:szCs w:val="22"/>
        </w:rPr>
      </w:pPr>
      <w:r>
        <w:t>124D.</w:t>
      </w:r>
      <w:r>
        <w:tab/>
        <w:t>Application for a matter to be dealt with as a bilateral matter</w:t>
      </w:r>
      <w:r>
        <w:tab/>
      </w:r>
      <w:r>
        <w:fldChar w:fldCharType="begin"/>
      </w:r>
      <w:r>
        <w:instrText xml:space="preserve"> PAGEREF _Toc199512075 \h </w:instrText>
      </w:r>
      <w:r>
        <w:fldChar w:fldCharType="separate"/>
      </w:r>
      <w:r>
        <w:t>274</w:t>
      </w:r>
      <w:r>
        <w:fldChar w:fldCharType="end"/>
      </w:r>
    </w:p>
    <w:p>
      <w:pPr>
        <w:pStyle w:val="TOC8"/>
        <w:rPr>
          <w:rFonts w:asciiTheme="minorHAnsi" w:eastAsiaTheme="minorEastAsia" w:hAnsiTheme="minorHAnsi" w:cstheme="minorBidi"/>
          <w:szCs w:val="22"/>
        </w:rPr>
      </w:pPr>
      <w:r>
        <w:t>124E.</w:t>
      </w:r>
      <w:r>
        <w:tab/>
        <w:t>Performance of functions in respect of bilateral matters</w:t>
      </w:r>
      <w:r>
        <w:tab/>
      </w:r>
      <w:r>
        <w:fldChar w:fldCharType="begin"/>
      </w:r>
      <w:r>
        <w:instrText xml:space="preserve"> PAGEREF _Toc199512076 \h </w:instrText>
      </w:r>
      <w:r>
        <w:fldChar w:fldCharType="separate"/>
      </w:r>
      <w:r>
        <w:t>275</w:t>
      </w:r>
      <w:r>
        <w:fldChar w:fldCharType="end"/>
      </w:r>
    </w:p>
    <w:p>
      <w:pPr>
        <w:pStyle w:val="TOC8"/>
        <w:rPr>
          <w:rFonts w:asciiTheme="minorHAnsi" w:eastAsiaTheme="minorEastAsia" w:hAnsiTheme="minorHAnsi" w:cstheme="minorBidi"/>
          <w:szCs w:val="22"/>
        </w:rPr>
      </w:pPr>
      <w:r>
        <w:t>124F.</w:t>
      </w:r>
      <w:r>
        <w:tab/>
        <w:t>Fees in relation to bilateral matters</w:t>
      </w:r>
      <w:r>
        <w:tab/>
      </w:r>
      <w:r>
        <w:fldChar w:fldCharType="begin"/>
      </w:r>
      <w:r>
        <w:instrText xml:space="preserve"> PAGEREF _Toc199512077 \h </w:instrText>
      </w:r>
      <w:r>
        <w:fldChar w:fldCharType="separate"/>
      </w:r>
      <w:r>
        <w:t>277</w:t>
      </w:r>
      <w:r>
        <w:fldChar w:fldCharType="end"/>
      </w:r>
    </w:p>
    <w:p>
      <w:pPr>
        <w:pStyle w:val="TOC8"/>
        <w:rPr>
          <w:rFonts w:asciiTheme="minorHAnsi" w:eastAsiaTheme="minorEastAsia" w:hAnsiTheme="minorHAnsi" w:cstheme="minorBidi"/>
          <w:szCs w:val="22"/>
        </w:rPr>
      </w:pPr>
      <w:r>
        <w:t>124G.</w:t>
      </w:r>
      <w:r>
        <w:tab/>
        <w:t>Disclosure of information for the purposes of bilateral agreements</w:t>
      </w:r>
      <w:r>
        <w:tab/>
      </w:r>
      <w:r>
        <w:fldChar w:fldCharType="begin"/>
      </w:r>
      <w:r>
        <w:instrText xml:space="preserve"> PAGEREF _Toc199512078 \h </w:instrText>
      </w:r>
      <w:r>
        <w:fldChar w:fldCharType="separate"/>
      </w:r>
      <w:r>
        <w:t>277</w:t>
      </w:r>
      <w:r>
        <w:fldChar w:fldCharType="end"/>
      </w:r>
    </w:p>
    <w:p>
      <w:pPr>
        <w:pStyle w:val="TOC8"/>
        <w:rPr>
          <w:rFonts w:asciiTheme="minorHAnsi" w:eastAsiaTheme="minorEastAsia" w:hAnsiTheme="minorHAnsi" w:cstheme="minorBidi"/>
          <w:szCs w:val="22"/>
        </w:rPr>
      </w:pPr>
      <w:r>
        <w:t>124H.</w:t>
      </w:r>
      <w:r>
        <w:tab/>
        <w:t>Regulations</w:t>
      </w:r>
      <w:r>
        <w:tab/>
      </w:r>
      <w:r>
        <w:fldChar w:fldCharType="begin"/>
      </w:r>
      <w:r>
        <w:instrText xml:space="preserve"> PAGEREF _Toc199512079 \h </w:instrText>
      </w:r>
      <w:r>
        <w:fldChar w:fldCharType="separate"/>
      </w:r>
      <w:r>
        <w:t>278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IX — Transitional</w:t>
      </w:r>
    </w:p>
    <w:p>
      <w:pPr>
        <w:pStyle w:val="TOC4"/>
        <w:tabs>
          <w:tab w:val="right" w:leader="dot" w:pos="7077"/>
        </w:tabs>
        <w:rPr>
          <w:rFonts w:asciiTheme="minorHAnsi" w:eastAsiaTheme="minorEastAsia" w:hAnsiTheme="minorHAnsi" w:cstheme="minorBidi"/>
          <w:b w:val="0"/>
          <w:szCs w:val="22"/>
        </w:rPr>
      </w:pPr>
      <w:r>
        <w:t xml:space="preserve">Division 1 — Transitional provisions for </w:t>
      </w:r>
      <w:r>
        <w:rPr>
          <w:i/>
          <w:iCs/>
        </w:rPr>
        <w:t>Environmental Protection Act 1986</w:t>
      </w:r>
    </w:p>
    <w:p>
      <w:pPr>
        <w:pStyle w:val="TOC8"/>
        <w:rPr>
          <w:rFonts w:asciiTheme="minorHAnsi" w:eastAsiaTheme="minorEastAsia" w:hAnsiTheme="minorHAnsi" w:cstheme="minorBidi"/>
          <w:szCs w:val="22"/>
        </w:rPr>
      </w:pPr>
      <w:r>
        <w:t>125</w:t>
      </w:r>
      <w:r>
        <w:rPr>
          <w:snapToGrid w:val="0"/>
        </w:rPr>
        <w:t>.</w:t>
      </w:r>
      <w:r>
        <w:rPr>
          <w:snapToGrid w:val="0"/>
        </w:rPr>
        <w:tab/>
      </w:r>
      <w:r>
        <w:rPr>
          <w:i/>
          <w:snapToGrid w:val="0"/>
        </w:rPr>
        <w:t>Interpretation Act 1984</w:t>
      </w:r>
      <w:r>
        <w:rPr>
          <w:snapToGrid w:val="0"/>
        </w:rPr>
        <w:t xml:space="preserve"> not affected</w:t>
      </w:r>
      <w:r>
        <w:tab/>
      </w:r>
      <w:r>
        <w:fldChar w:fldCharType="begin"/>
      </w:r>
      <w:r>
        <w:instrText xml:space="preserve"> PAGEREF _Toc199512082 \h </w:instrText>
      </w:r>
      <w:r>
        <w:fldChar w:fldCharType="separate"/>
      </w:r>
      <w:r>
        <w:t>279</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 xml:space="preserve">Transitional provisions for </w:t>
      </w:r>
      <w:r>
        <w:rPr>
          <w:i/>
          <w:snapToGrid w:val="0"/>
        </w:rPr>
        <w:t>Environmental Protection Act 1971</w:t>
      </w:r>
      <w:r>
        <w:rPr>
          <w:snapToGrid w:val="0"/>
          <w:vertAlign w:val="superscript"/>
        </w:rPr>
        <w:t> 2</w:t>
      </w:r>
      <w:r>
        <w:tab/>
      </w:r>
      <w:r>
        <w:fldChar w:fldCharType="begin"/>
      </w:r>
      <w:r>
        <w:instrText xml:space="preserve"> PAGEREF _Toc199512083 \h </w:instrText>
      </w:r>
      <w:r>
        <w:fldChar w:fldCharType="separate"/>
      </w:r>
      <w:r>
        <w:t>279</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 xml:space="preserve">Transitional provisions not related to </w:t>
      </w:r>
      <w:r>
        <w:rPr>
          <w:i/>
          <w:snapToGrid w:val="0"/>
        </w:rPr>
        <w:t>Environmental Protection Act 1971</w:t>
      </w:r>
      <w:r>
        <w:rPr>
          <w:snapToGrid w:val="0"/>
          <w:vertAlign w:val="superscript"/>
        </w:rPr>
        <w:t> 2</w:t>
      </w:r>
      <w:r>
        <w:tab/>
      </w:r>
      <w:r>
        <w:fldChar w:fldCharType="begin"/>
      </w:r>
      <w:r>
        <w:instrText xml:space="preserve"> PAGEREF _Toc199512084 \h </w:instrText>
      </w:r>
      <w:r>
        <w:fldChar w:fldCharType="separate"/>
      </w:r>
      <w:r>
        <w:t>279</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General saving</w:t>
      </w:r>
      <w:r>
        <w:tab/>
      </w:r>
      <w:r>
        <w:fldChar w:fldCharType="begin"/>
      </w:r>
      <w:r>
        <w:instrText xml:space="preserve"> PAGEREF _Toc199512085 \h </w:instrText>
      </w:r>
      <w:r>
        <w:fldChar w:fldCharType="separate"/>
      </w:r>
      <w:r>
        <w:t>279</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for </w:t>
      </w:r>
      <w:r>
        <w:rPr>
          <w:i/>
          <w:iCs/>
        </w:rPr>
        <w:t>Approvals and Related Reforms (No. 1) (Environment) Act 2010</w:t>
      </w:r>
      <w:r>
        <w:t xml:space="preserve"> Part 2</w:t>
      </w:r>
    </w:p>
    <w:p>
      <w:pPr>
        <w:pStyle w:val="TOC8"/>
        <w:rPr>
          <w:rFonts w:asciiTheme="minorHAnsi" w:eastAsiaTheme="minorEastAsia" w:hAnsiTheme="minorHAnsi" w:cstheme="minorBidi"/>
          <w:szCs w:val="22"/>
        </w:rPr>
      </w:pPr>
      <w:r>
        <w:t>129.</w:t>
      </w:r>
      <w:r>
        <w:tab/>
        <w:t>Term used: amending Act</w:t>
      </w:r>
      <w:r>
        <w:tab/>
      </w:r>
      <w:r>
        <w:fldChar w:fldCharType="begin"/>
      </w:r>
      <w:r>
        <w:instrText xml:space="preserve"> PAGEREF _Toc199512087 \h </w:instrText>
      </w:r>
      <w:r>
        <w:fldChar w:fldCharType="separate"/>
      </w:r>
      <w:r>
        <w:t>280</w:t>
      </w:r>
      <w:r>
        <w:fldChar w:fldCharType="end"/>
      </w:r>
    </w:p>
    <w:p>
      <w:pPr>
        <w:pStyle w:val="TOC8"/>
        <w:rPr>
          <w:rFonts w:asciiTheme="minorHAnsi" w:eastAsiaTheme="minorEastAsia" w:hAnsiTheme="minorHAnsi" w:cstheme="minorBidi"/>
          <w:szCs w:val="22"/>
        </w:rPr>
      </w:pPr>
      <w:r>
        <w:t>130.</w:t>
      </w:r>
      <w:r>
        <w:tab/>
        <w:t>Appeals in respect of proposals</w:t>
      </w:r>
      <w:r>
        <w:tab/>
      </w:r>
      <w:r>
        <w:fldChar w:fldCharType="begin"/>
      </w:r>
      <w:r>
        <w:instrText xml:space="preserve"> PAGEREF _Toc199512088 \h </w:instrText>
      </w:r>
      <w:r>
        <w:fldChar w:fldCharType="separate"/>
      </w:r>
      <w:r>
        <w:t>280</w:t>
      </w:r>
      <w:r>
        <w:fldChar w:fldCharType="end"/>
      </w:r>
    </w:p>
    <w:p>
      <w:pPr>
        <w:pStyle w:val="TOC8"/>
        <w:rPr>
          <w:rFonts w:asciiTheme="minorHAnsi" w:eastAsiaTheme="minorEastAsia" w:hAnsiTheme="minorHAnsi" w:cstheme="minorBidi"/>
          <w:szCs w:val="22"/>
        </w:rPr>
      </w:pPr>
      <w:r>
        <w:t>131.</w:t>
      </w:r>
      <w:r>
        <w:tab/>
        <w:t>Appeals in respect of clearing permits</w:t>
      </w:r>
      <w:r>
        <w:tab/>
      </w:r>
      <w:r>
        <w:fldChar w:fldCharType="begin"/>
      </w:r>
      <w:r>
        <w:instrText xml:space="preserve"> PAGEREF _Toc199512089 \h </w:instrText>
      </w:r>
      <w:r>
        <w:fldChar w:fldCharType="separate"/>
      </w:r>
      <w:r>
        <w:t>280</w:t>
      </w:r>
      <w:r>
        <w:fldChar w:fldCharType="end"/>
      </w:r>
    </w:p>
    <w:p>
      <w:pPr>
        <w:pStyle w:val="TOC8"/>
        <w:rPr>
          <w:rFonts w:asciiTheme="minorHAnsi" w:eastAsiaTheme="minorEastAsia" w:hAnsiTheme="minorHAnsi" w:cstheme="minorBidi"/>
          <w:szCs w:val="22"/>
        </w:rPr>
      </w:pPr>
      <w:r>
        <w:t>132.</w:t>
      </w:r>
      <w:r>
        <w:tab/>
        <w:t>Appeals in respect of works approvals and licences</w:t>
      </w:r>
      <w:r>
        <w:tab/>
      </w:r>
      <w:r>
        <w:fldChar w:fldCharType="begin"/>
      </w:r>
      <w:r>
        <w:instrText xml:space="preserve"> PAGEREF _Toc199512090 \h </w:instrText>
      </w:r>
      <w:r>
        <w:fldChar w:fldCharType="separate"/>
      </w:r>
      <w:r>
        <w:t>281</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Transitional provisions for </w:t>
      </w:r>
      <w:r>
        <w:rPr>
          <w:i/>
          <w:iCs/>
        </w:rPr>
        <w:t>Approvals and Related Reforms (No. 1) (Environment) Act 2010</w:t>
      </w:r>
      <w:r>
        <w:t xml:space="preserve"> Part 3</w:t>
      </w:r>
    </w:p>
    <w:p>
      <w:pPr>
        <w:pStyle w:val="TOC8"/>
        <w:rPr>
          <w:rFonts w:asciiTheme="minorHAnsi" w:eastAsiaTheme="minorEastAsia" w:hAnsiTheme="minorHAnsi" w:cstheme="minorBidi"/>
          <w:szCs w:val="22"/>
        </w:rPr>
      </w:pPr>
      <w:r>
        <w:t>133.</w:t>
      </w:r>
      <w:r>
        <w:tab/>
        <w:t>Minor or preliminary work that has Authority’s consent</w:t>
      </w:r>
      <w:r>
        <w:tab/>
      </w:r>
      <w:r>
        <w:fldChar w:fldCharType="begin"/>
      </w:r>
      <w:r>
        <w:instrText xml:space="preserve"> PAGEREF _Toc199512092 \h </w:instrText>
      </w:r>
      <w:r>
        <w:fldChar w:fldCharType="separate"/>
      </w:r>
      <w:r>
        <w:t>281</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Transitional provisions for </w:t>
      </w:r>
      <w:r>
        <w:rPr>
          <w:i/>
        </w:rPr>
        <w:t>Environmental Protection Amendment Act 2020</w:t>
      </w:r>
    </w:p>
    <w:p>
      <w:pPr>
        <w:pStyle w:val="TOC6"/>
        <w:tabs>
          <w:tab w:val="right" w:leader="dot" w:pos="7077"/>
        </w:tabs>
        <w:rPr>
          <w:rFonts w:asciiTheme="minorHAnsi" w:eastAsiaTheme="minorEastAsia" w:hAnsiTheme="minorHAnsi" w:cstheme="minorBidi"/>
          <w:b w:val="0"/>
          <w:sz w:val="22"/>
          <w:szCs w:val="22"/>
        </w:rPr>
      </w:pPr>
      <w:r>
        <w:t>Subdivision 1 — General provision</w:t>
      </w:r>
    </w:p>
    <w:p>
      <w:pPr>
        <w:pStyle w:val="TOC8"/>
        <w:rPr>
          <w:rFonts w:asciiTheme="minorHAnsi" w:eastAsiaTheme="minorEastAsia" w:hAnsiTheme="minorHAnsi" w:cstheme="minorBidi"/>
          <w:szCs w:val="22"/>
        </w:rPr>
      </w:pPr>
      <w:r>
        <w:t>133A.</w:t>
      </w:r>
      <w:r>
        <w:tab/>
        <w:t>Term used: amending Act</w:t>
      </w:r>
      <w:r>
        <w:tab/>
      </w:r>
      <w:r>
        <w:fldChar w:fldCharType="begin"/>
      </w:r>
      <w:r>
        <w:instrText xml:space="preserve"> PAGEREF _Toc199512095 \h </w:instrText>
      </w:r>
      <w:r>
        <w:fldChar w:fldCharType="separate"/>
      </w:r>
      <w:r>
        <w:t>282</w:t>
      </w:r>
      <w:r>
        <w:fldChar w:fldCharType="end"/>
      </w:r>
    </w:p>
    <w:p>
      <w:pPr>
        <w:pStyle w:val="TOC6"/>
        <w:tabs>
          <w:tab w:val="right" w:leader="dot" w:pos="7077"/>
        </w:tabs>
        <w:rPr>
          <w:rFonts w:asciiTheme="minorHAnsi" w:eastAsiaTheme="minorEastAsia" w:hAnsiTheme="minorHAnsi" w:cstheme="minorBidi"/>
          <w:b w:val="0"/>
          <w:sz w:val="22"/>
          <w:szCs w:val="22"/>
        </w:rPr>
      </w:pPr>
      <w:r>
        <w:t>Subdivision 2 — Transitional provisions relating to clearing matters</w:t>
      </w:r>
    </w:p>
    <w:p>
      <w:pPr>
        <w:pStyle w:val="TOC8"/>
        <w:rPr>
          <w:rFonts w:asciiTheme="minorHAnsi" w:eastAsiaTheme="minorEastAsia" w:hAnsiTheme="minorHAnsi" w:cstheme="minorBidi"/>
          <w:szCs w:val="22"/>
        </w:rPr>
      </w:pPr>
      <w:r>
        <w:t>133B.</w:t>
      </w:r>
      <w:r>
        <w:tab/>
        <w:t>Declaration of environmentally sensitive areas</w:t>
      </w:r>
      <w:r>
        <w:tab/>
      </w:r>
      <w:r>
        <w:fldChar w:fldCharType="begin"/>
      </w:r>
      <w:r>
        <w:instrText xml:space="preserve"> PAGEREF _Toc199512097 \h </w:instrText>
      </w:r>
      <w:r>
        <w:fldChar w:fldCharType="separate"/>
      </w:r>
      <w:r>
        <w:t>282</w:t>
      </w:r>
      <w:r>
        <w:fldChar w:fldCharType="end"/>
      </w:r>
    </w:p>
    <w:p>
      <w:pPr>
        <w:pStyle w:val="TOC8"/>
        <w:rPr>
          <w:rFonts w:asciiTheme="minorHAnsi" w:eastAsiaTheme="minorEastAsia" w:hAnsiTheme="minorHAnsi" w:cstheme="minorBidi"/>
          <w:szCs w:val="22"/>
        </w:rPr>
      </w:pPr>
      <w:r>
        <w:t>133C.</w:t>
      </w:r>
      <w:r>
        <w:tab/>
        <w:t>Clearing permit applications</w:t>
      </w:r>
      <w:r>
        <w:tab/>
      </w:r>
      <w:r>
        <w:fldChar w:fldCharType="begin"/>
      </w:r>
      <w:r>
        <w:instrText xml:space="preserve"> PAGEREF _Toc199512098 \h </w:instrText>
      </w:r>
      <w:r>
        <w:fldChar w:fldCharType="separate"/>
      </w:r>
      <w:r>
        <w:t>283</w:t>
      </w:r>
      <w:r>
        <w:fldChar w:fldCharType="end"/>
      </w:r>
    </w:p>
    <w:p>
      <w:pPr>
        <w:pStyle w:val="TOC8"/>
        <w:rPr>
          <w:rFonts w:asciiTheme="minorHAnsi" w:eastAsiaTheme="minorEastAsia" w:hAnsiTheme="minorHAnsi" w:cstheme="minorBidi"/>
          <w:szCs w:val="22"/>
        </w:rPr>
      </w:pPr>
      <w:r>
        <w:t>133D.</w:t>
      </w:r>
      <w:r>
        <w:tab/>
        <w:t>Clearing injunctions</w:t>
      </w:r>
      <w:r>
        <w:tab/>
      </w:r>
      <w:r>
        <w:fldChar w:fldCharType="begin"/>
      </w:r>
      <w:r>
        <w:instrText xml:space="preserve"> PAGEREF _Toc199512099 \h </w:instrText>
      </w:r>
      <w:r>
        <w:fldChar w:fldCharType="separate"/>
      </w:r>
      <w:r>
        <w:t>284</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Transitional provisions relating to works approvals and licences</w:t>
      </w:r>
    </w:p>
    <w:p>
      <w:pPr>
        <w:pStyle w:val="TOC8"/>
        <w:rPr>
          <w:rFonts w:asciiTheme="minorHAnsi" w:eastAsiaTheme="minorEastAsia" w:hAnsiTheme="minorHAnsi" w:cstheme="minorBidi"/>
          <w:szCs w:val="22"/>
        </w:rPr>
      </w:pPr>
      <w:r>
        <w:t>133E.</w:t>
      </w:r>
      <w:r>
        <w:tab/>
        <w:t>Terms used</w:t>
      </w:r>
      <w:r>
        <w:tab/>
      </w:r>
      <w:r>
        <w:fldChar w:fldCharType="begin"/>
      </w:r>
      <w:r>
        <w:instrText xml:space="preserve"> PAGEREF _Toc199512101 \h </w:instrText>
      </w:r>
      <w:r>
        <w:fldChar w:fldCharType="separate"/>
      </w:r>
      <w:r>
        <w:t>285</w:t>
      </w:r>
      <w:r>
        <w:fldChar w:fldCharType="end"/>
      </w:r>
    </w:p>
    <w:p>
      <w:pPr>
        <w:pStyle w:val="TOC8"/>
        <w:rPr>
          <w:rFonts w:asciiTheme="minorHAnsi" w:eastAsiaTheme="minorEastAsia" w:hAnsiTheme="minorHAnsi" w:cstheme="minorBidi"/>
          <w:szCs w:val="22"/>
        </w:rPr>
      </w:pPr>
      <w:r>
        <w:t>133F.</w:t>
      </w:r>
      <w:r>
        <w:tab/>
        <w:t>Works approvals</w:t>
      </w:r>
      <w:r>
        <w:tab/>
      </w:r>
      <w:r>
        <w:fldChar w:fldCharType="begin"/>
      </w:r>
      <w:r>
        <w:instrText xml:space="preserve"> PAGEREF _Toc199512102 \h </w:instrText>
      </w:r>
      <w:r>
        <w:fldChar w:fldCharType="separate"/>
      </w:r>
      <w:r>
        <w:t>285</w:t>
      </w:r>
      <w:r>
        <w:fldChar w:fldCharType="end"/>
      </w:r>
    </w:p>
    <w:p>
      <w:pPr>
        <w:pStyle w:val="TOC8"/>
        <w:rPr>
          <w:rFonts w:asciiTheme="minorHAnsi" w:eastAsiaTheme="minorEastAsia" w:hAnsiTheme="minorHAnsi" w:cstheme="minorBidi"/>
          <w:szCs w:val="22"/>
        </w:rPr>
      </w:pPr>
      <w:r>
        <w:t>133G.</w:t>
      </w:r>
      <w:r>
        <w:tab/>
        <w:t>Licences</w:t>
      </w:r>
      <w:r>
        <w:tab/>
      </w:r>
      <w:r>
        <w:fldChar w:fldCharType="begin"/>
      </w:r>
      <w:r>
        <w:instrText xml:space="preserve"> PAGEREF _Toc199512103 \h </w:instrText>
      </w:r>
      <w:r>
        <w:fldChar w:fldCharType="separate"/>
      </w:r>
      <w:r>
        <w:t>286</w:t>
      </w:r>
      <w:r>
        <w:fldChar w:fldCharType="end"/>
      </w:r>
    </w:p>
    <w:p>
      <w:pPr>
        <w:pStyle w:val="TOC8"/>
        <w:rPr>
          <w:rFonts w:asciiTheme="minorHAnsi" w:eastAsiaTheme="minorEastAsia" w:hAnsiTheme="minorHAnsi" w:cstheme="minorBidi"/>
          <w:szCs w:val="22"/>
        </w:rPr>
      </w:pPr>
      <w:r>
        <w:t>133H.</w:t>
      </w:r>
      <w:r>
        <w:tab/>
        <w:t>Existing applications for works approvals or licences</w:t>
      </w:r>
      <w:r>
        <w:tab/>
      </w:r>
      <w:r>
        <w:fldChar w:fldCharType="begin"/>
      </w:r>
      <w:r>
        <w:instrText xml:space="preserve"> PAGEREF _Toc199512104 \h </w:instrText>
      </w:r>
      <w:r>
        <w:fldChar w:fldCharType="separate"/>
      </w:r>
      <w:r>
        <w:t>286</w:t>
      </w:r>
      <w:r>
        <w:fldChar w:fldCharType="end"/>
      </w:r>
    </w:p>
    <w:p>
      <w:pPr>
        <w:pStyle w:val="TOC8"/>
        <w:rPr>
          <w:rFonts w:asciiTheme="minorHAnsi" w:eastAsiaTheme="minorEastAsia" w:hAnsiTheme="minorHAnsi" w:cstheme="minorBidi"/>
          <w:szCs w:val="22"/>
        </w:rPr>
      </w:pPr>
      <w:r>
        <w:lastRenderedPageBreak/>
        <w:t>133I.</w:t>
      </w:r>
      <w:r>
        <w:tab/>
        <w:t>Existing applications as to existing works approvals</w:t>
      </w:r>
      <w:r>
        <w:tab/>
      </w:r>
      <w:r>
        <w:fldChar w:fldCharType="begin"/>
      </w:r>
      <w:r>
        <w:instrText xml:space="preserve"> PAGEREF _Toc199512105 \h </w:instrText>
      </w:r>
      <w:r>
        <w:fldChar w:fldCharType="separate"/>
      </w:r>
      <w:r>
        <w:t>287</w:t>
      </w:r>
      <w:r>
        <w:fldChar w:fldCharType="end"/>
      </w:r>
    </w:p>
    <w:p>
      <w:pPr>
        <w:pStyle w:val="TOC8"/>
        <w:rPr>
          <w:rFonts w:asciiTheme="minorHAnsi" w:eastAsiaTheme="minorEastAsia" w:hAnsiTheme="minorHAnsi" w:cstheme="minorBidi"/>
          <w:szCs w:val="22"/>
        </w:rPr>
      </w:pPr>
      <w:r>
        <w:t>133J.</w:t>
      </w:r>
      <w:r>
        <w:tab/>
        <w:t>Existing applications as to existing licences</w:t>
      </w:r>
      <w:r>
        <w:tab/>
      </w:r>
      <w:r>
        <w:fldChar w:fldCharType="begin"/>
      </w:r>
      <w:r>
        <w:instrText xml:space="preserve"> PAGEREF _Toc199512106 \h </w:instrText>
      </w:r>
      <w:r>
        <w:fldChar w:fldCharType="separate"/>
      </w:r>
      <w:r>
        <w:t>287</w:t>
      </w:r>
      <w:r>
        <w:fldChar w:fldCharType="end"/>
      </w:r>
    </w:p>
    <w:p>
      <w:pPr>
        <w:pStyle w:val="TOC8"/>
        <w:rPr>
          <w:rFonts w:asciiTheme="minorHAnsi" w:eastAsiaTheme="minorEastAsia" w:hAnsiTheme="minorHAnsi" w:cstheme="minorBidi"/>
          <w:szCs w:val="22"/>
        </w:rPr>
      </w:pPr>
      <w:r>
        <w:t>133K.</w:t>
      </w:r>
      <w:r>
        <w:tab/>
        <w:t>Appeals in respect of refusal to grant works approvals and licences</w:t>
      </w:r>
      <w:r>
        <w:tab/>
      </w:r>
      <w:r>
        <w:fldChar w:fldCharType="begin"/>
      </w:r>
      <w:r>
        <w:instrText xml:space="preserve"> PAGEREF _Toc199512107 \h </w:instrText>
      </w:r>
      <w:r>
        <w:fldChar w:fldCharType="separate"/>
      </w:r>
      <w:r>
        <w:t>288</w:t>
      </w:r>
      <w:r>
        <w:fldChar w:fldCharType="end"/>
      </w:r>
    </w:p>
    <w:p>
      <w:pPr>
        <w:pStyle w:val="TOC8"/>
        <w:rPr>
          <w:rFonts w:asciiTheme="minorHAnsi" w:eastAsiaTheme="minorEastAsia" w:hAnsiTheme="minorHAnsi" w:cstheme="minorBidi"/>
          <w:szCs w:val="22"/>
        </w:rPr>
      </w:pPr>
      <w:r>
        <w:t>133L.</w:t>
      </w:r>
      <w:r>
        <w:tab/>
        <w:t>Other appeals in respect of works approvals and licences</w:t>
      </w:r>
      <w:r>
        <w:tab/>
      </w:r>
      <w:r>
        <w:fldChar w:fldCharType="begin"/>
      </w:r>
      <w:r>
        <w:instrText xml:space="preserve"> PAGEREF _Toc199512108 \h </w:instrText>
      </w:r>
      <w:r>
        <w:fldChar w:fldCharType="separate"/>
      </w:r>
      <w:r>
        <w:t>289</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matters</w:t>
      </w:r>
    </w:p>
    <w:p>
      <w:pPr>
        <w:pStyle w:val="TOC8"/>
        <w:rPr>
          <w:rFonts w:asciiTheme="minorHAnsi" w:eastAsiaTheme="minorEastAsia" w:hAnsiTheme="minorHAnsi" w:cstheme="minorBidi"/>
          <w:szCs w:val="22"/>
        </w:rPr>
      </w:pPr>
      <w:r>
        <w:t>133M.</w:t>
      </w:r>
      <w:r>
        <w:tab/>
        <w:t>Referred proposals</w:t>
      </w:r>
      <w:r>
        <w:tab/>
      </w:r>
      <w:r>
        <w:fldChar w:fldCharType="begin"/>
      </w:r>
      <w:r>
        <w:instrText xml:space="preserve"> PAGEREF _Toc199512110 \h </w:instrText>
      </w:r>
      <w:r>
        <w:fldChar w:fldCharType="separate"/>
      </w:r>
      <w:r>
        <w:t>290</w:t>
      </w:r>
      <w:r>
        <w:fldChar w:fldCharType="end"/>
      </w:r>
    </w:p>
    <w:p>
      <w:pPr>
        <w:pStyle w:val="TOC8"/>
        <w:rPr>
          <w:rFonts w:asciiTheme="minorHAnsi" w:eastAsiaTheme="minorEastAsia" w:hAnsiTheme="minorHAnsi" w:cstheme="minorBidi"/>
          <w:szCs w:val="22"/>
        </w:rPr>
      </w:pPr>
      <w:r>
        <w:t>133N.</w:t>
      </w:r>
      <w:r>
        <w:tab/>
        <w:t>Chair and Deputy Chair</w:t>
      </w:r>
      <w:r>
        <w:tab/>
      </w:r>
      <w:r>
        <w:fldChar w:fldCharType="begin"/>
      </w:r>
      <w:r>
        <w:instrText xml:space="preserve"> PAGEREF _Toc199512111 \h </w:instrText>
      </w:r>
      <w:r>
        <w:fldChar w:fldCharType="separate"/>
      </w:r>
      <w:r>
        <w:t>291</w:t>
      </w:r>
      <w:r>
        <w:fldChar w:fldCharType="end"/>
      </w:r>
    </w:p>
    <w:p>
      <w:pPr>
        <w:pStyle w:val="TOC8"/>
        <w:rPr>
          <w:rFonts w:asciiTheme="minorHAnsi" w:eastAsiaTheme="minorEastAsia" w:hAnsiTheme="minorHAnsi" w:cstheme="minorBidi"/>
          <w:szCs w:val="22"/>
        </w:rPr>
      </w:pPr>
      <w:r>
        <w:t>133O.</w:t>
      </w:r>
      <w:r>
        <w:tab/>
        <w:t>Transitional regulations</w:t>
      </w:r>
      <w:r>
        <w:tab/>
      </w:r>
      <w:r>
        <w:fldChar w:fldCharType="begin"/>
      </w:r>
      <w:r>
        <w:instrText xml:space="preserve"> PAGEREF _Toc199512112 \h </w:instrText>
      </w:r>
      <w:r>
        <w:fldChar w:fldCharType="separate"/>
      </w:r>
      <w:r>
        <w:t>292</w:t>
      </w:r>
      <w:r>
        <w:fldChar w:fldCharType="end"/>
      </w:r>
    </w:p>
    <w:p>
      <w:pPr>
        <w:pStyle w:val="TOC8"/>
        <w:rPr>
          <w:rFonts w:asciiTheme="minorHAnsi" w:eastAsiaTheme="minorEastAsia" w:hAnsiTheme="minorHAnsi" w:cstheme="minorBidi"/>
          <w:szCs w:val="22"/>
        </w:rPr>
      </w:pPr>
      <w:r>
        <w:t>133P.</w:t>
      </w:r>
      <w:r>
        <w:tab/>
      </w:r>
      <w:r>
        <w:rPr>
          <w:i/>
        </w:rPr>
        <w:t xml:space="preserve">Interpretation Act 1984 </w:t>
      </w:r>
      <w:r>
        <w:t>not affected</w:t>
      </w:r>
      <w:r>
        <w:tab/>
      </w:r>
      <w:r>
        <w:fldChar w:fldCharType="begin"/>
      </w:r>
      <w:r>
        <w:instrText xml:space="preserve"> PAGEREF _Toc199512113 \h </w:instrText>
      </w:r>
      <w:r>
        <w:fldChar w:fldCharType="separate"/>
      </w:r>
      <w:r>
        <w:t>293</w:t>
      </w:r>
      <w:r>
        <w:fldChar w:fldCharType="end"/>
      </w:r>
    </w:p>
    <w:p>
      <w:pPr>
        <w:pStyle w:val="TOC2"/>
        <w:tabs>
          <w:tab w:val="right" w:leader="dot" w:pos="7077"/>
        </w:tabs>
        <w:rPr>
          <w:rFonts w:asciiTheme="minorHAnsi" w:eastAsiaTheme="minorEastAsia" w:hAnsiTheme="minorHAnsi" w:cstheme="minorBidi"/>
          <w:b w:val="0"/>
          <w:sz w:val="22"/>
          <w:szCs w:val="22"/>
        </w:rPr>
      </w:pPr>
      <w:r>
        <w:t>Part X — Validation</w:t>
      </w:r>
    </w:p>
    <w:p>
      <w:pPr>
        <w:pStyle w:val="TOC8"/>
        <w:rPr>
          <w:rFonts w:asciiTheme="minorHAnsi" w:eastAsiaTheme="minorEastAsia" w:hAnsiTheme="minorHAnsi" w:cstheme="minorBidi"/>
          <w:szCs w:val="22"/>
        </w:rPr>
      </w:pPr>
      <w:r>
        <w:t>134.</w:t>
      </w:r>
      <w:r>
        <w:tab/>
        <w:t>Terms used</w:t>
      </w:r>
      <w:r>
        <w:tab/>
      </w:r>
      <w:r>
        <w:fldChar w:fldCharType="begin"/>
      </w:r>
      <w:r>
        <w:instrText xml:space="preserve"> PAGEREF _Toc199512115 \h </w:instrText>
      </w:r>
      <w:r>
        <w:fldChar w:fldCharType="separate"/>
      </w:r>
      <w:r>
        <w:t>294</w:t>
      </w:r>
      <w:r>
        <w:fldChar w:fldCharType="end"/>
      </w:r>
    </w:p>
    <w:p>
      <w:pPr>
        <w:pStyle w:val="TOC8"/>
        <w:rPr>
          <w:rFonts w:asciiTheme="minorHAnsi" w:eastAsiaTheme="minorEastAsia" w:hAnsiTheme="minorHAnsi" w:cstheme="minorBidi"/>
          <w:szCs w:val="22"/>
        </w:rPr>
      </w:pPr>
      <w:r>
        <w:t>135.</w:t>
      </w:r>
      <w:r>
        <w:tab/>
        <w:t>Grounds of invalidity</w:t>
      </w:r>
      <w:r>
        <w:tab/>
      </w:r>
      <w:r>
        <w:fldChar w:fldCharType="begin"/>
      </w:r>
      <w:r>
        <w:instrText xml:space="preserve"> PAGEREF _Toc199512116 \h </w:instrText>
      </w:r>
      <w:r>
        <w:fldChar w:fldCharType="separate"/>
      </w:r>
      <w:r>
        <w:t>294</w:t>
      </w:r>
      <w:r>
        <w:fldChar w:fldCharType="end"/>
      </w:r>
    </w:p>
    <w:p>
      <w:pPr>
        <w:pStyle w:val="TOC8"/>
        <w:rPr>
          <w:rFonts w:asciiTheme="minorHAnsi" w:eastAsiaTheme="minorEastAsia" w:hAnsiTheme="minorHAnsi" w:cstheme="minorBidi"/>
          <w:szCs w:val="22"/>
        </w:rPr>
      </w:pPr>
      <w:r>
        <w:t>136.</w:t>
      </w:r>
      <w:r>
        <w:tab/>
        <w:t>Certain proceedings of Environmental Protection Authority and other things validated</w:t>
      </w:r>
      <w:r>
        <w:tab/>
      </w:r>
      <w:r>
        <w:fldChar w:fldCharType="begin"/>
      </w:r>
      <w:r>
        <w:instrText xml:space="preserve"> PAGEREF _Toc199512117 \h </w:instrText>
      </w:r>
      <w:r>
        <w:fldChar w:fldCharType="separate"/>
      </w:r>
      <w:r>
        <w:t>295</w:t>
      </w:r>
      <w:r>
        <w:fldChar w:fldCharType="end"/>
      </w:r>
    </w:p>
    <w:p>
      <w:pPr>
        <w:pStyle w:val="TOC8"/>
        <w:rPr>
          <w:rFonts w:asciiTheme="minorHAnsi" w:eastAsiaTheme="minorEastAsia" w:hAnsiTheme="minorHAnsi" w:cstheme="minorBidi"/>
          <w:szCs w:val="22"/>
        </w:rPr>
      </w:pPr>
      <w:r>
        <w:t>137.</w:t>
      </w:r>
      <w:r>
        <w:tab/>
        <w:t>Exclusions from validation</w:t>
      </w:r>
      <w:r>
        <w:tab/>
      </w:r>
      <w:r>
        <w:fldChar w:fldCharType="begin"/>
      </w:r>
      <w:r>
        <w:instrText xml:space="preserve"> PAGEREF _Toc199512118 \h </w:instrText>
      </w:r>
      <w:r>
        <w:fldChar w:fldCharType="separate"/>
      </w:r>
      <w:r>
        <w:t>296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Penalties</w:t>
      </w:r>
    </w:p>
    <w:p>
      <w:pPr>
        <w:pStyle w:val="TOC4"/>
        <w:tabs>
          <w:tab w:val="right" w:leader="dot" w:pos="7077"/>
        </w:tabs>
        <w:rPr>
          <w:rFonts w:asciiTheme="minorHAnsi" w:eastAsiaTheme="minorEastAsia" w:hAnsiTheme="minorHAnsi" w:cstheme="minorBidi"/>
          <w:b w:val="0"/>
          <w:szCs w:val="22"/>
        </w:rPr>
      </w:pPr>
      <w:r>
        <w:t>Part 1 — Tier 1 offences and penalties</w:t>
      </w:r>
    </w:p>
    <w:p>
      <w:pPr>
        <w:pStyle w:val="TOC6"/>
        <w:tabs>
          <w:tab w:val="right" w:leader="dot" w:pos="7077"/>
        </w:tabs>
        <w:rPr>
          <w:rFonts w:asciiTheme="minorHAnsi" w:eastAsiaTheme="minorEastAsia" w:hAnsiTheme="minorHAnsi" w:cstheme="minorBidi"/>
          <w:b w:val="0"/>
          <w:sz w:val="22"/>
          <w:szCs w:val="22"/>
        </w:rPr>
      </w:pPr>
      <w:r>
        <w:t>Division 1 — Individuals</w:t>
      </w:r>
    </w:p>
    <w:p>
      <w:pPr>
        <w:pStyle w:val="TOC6"/>
        <w:tabs>
          <w:tab w:val="right" w:leader="dot" w:pos="7077"/>
        </w:tabs>
        <w:rPr>
          <w:rFonts w:asciiTheme="minorHAnsi" w:eastAsiaTheme="minorEastAsia" w:hAnsiTheme="minorHAnsi" w:cstheme="minorBidi"/>
          <w:b w:val="0"/>
          <w:sz w:val="22"/>
          <w:szCs w:val="22"/>
        </w:rPr>
      </w:pPr>
      <w:r>
        <w:t>Division 2 — Bodies corporate</w:t>
      </w:r>
    </w:p>
    <w:p>
      <w:pPr>
        <w:pStyle w:val="TOC4"/>
        <w:tabs>
          <w:tab w:val="right" w:leader="dot" w:pos="7077"/>
        </w:tabs>
        <w:rPr>
          <w:rFonts w:asciiTheme="minorHAnsi" w:eastAsiaTheme="minorEastAsia" w:hAnsiTheme="minorHAnsi" w:cstheme="minorBidi"/>
          <w:b w:val="0"/>
          <w:szCs w:val="22"/>
        </w:rPr>
      </w:pPr>
      <w:r>
        <w:t>Part 2 — Tier 2 offences and penalties</w:t>
      </w:r>
    </w:p>
    <w:p>
      <w:pPr>
        <w:pStyle w:val="TOC6"/>
        <w:tabs>
          <w:tab w:val="right" w:leader="dot" w:pos="7077"/>
        </w:tabs>
        <w:rPr>
          <w:rFonts w:asciiTheme="minorHAnsi" w:eastAsiaTheme="minorEastAsia" w:hAnsiTheme="minorHAnsi" w:cstheme="minorBidi"/>
          <w:b w:val="0"/>
          <w:sz w:val="22"/>
          <w:szCs w:val="22"/>
        </w:rPr>
      </w:pPr>
      <w:r>
        <w:t>Division 1 — Individuals</w:t>
      </w:r>
    </w:p>
    <w:p>
      <w:pPr>
        <w:pStyle w:val="TOC6"/>
        <w:tabs>
          <w:tab w:val="right" w:leader="dot" w:pos="7077"/>
        </w:tabs>
        <w:rPr>
          <w:rFonts w:asciiTheme="minorHAnsi" w:eastAsiaTheme="minorEastAsia" w:hAnsiTheme="minorHAnsi" w:cstheme="minorBidi"/>
          <w:b w:val="0"/>
          <w:sz w:val="22"/>
          <w:szCs w:val="22"/>
        </w:rPr>
      </w:pPr>
      <w:r>
        <w:t>Division 2 — Bodies corporate</w:t>
      </w:r>
    </w:p>
    <w:p>
      <w:pPr>
        <w:pStyle w:val="TOC6"/>
        <w:tabs>
          <w:tab w:val="right" w:leader="dot" w:pos="7077"/>
        </w:tabs>
        <w:rPr>
          <w:rFonts w:asciiTheme="minorHAnsi" w:eastAsiaTheme="minorEastAsia" w:hAnsiTheme="minorHAnsi" w:cstheme="minorBidi"/>
          <w:b w:val="0"/>
          <w:sz w:val="22"/>
          <w:szCs w:val="22"/>
        </w:rPr>
      </w:pPr>
      <w:r>
        <w:t>Division 3 — Individuals and bodies corporate</w:t>
      </w:r>
    </w:p>
    <w:p>
      <w:pPr>
        <w:pStyle w:val="TOC4"/>
        <w:tabs>
          <w:tab w:val="right" w:leader="dot" w:pos="7077"/>
        </w:tabs>
        <w:rPr>
          <w:rFonts w:asciiTheme="minorHAnsi" w:eastAsiaTheme="minorEastAsia" w:hAnsiTheme="minorHAnsi" w:cstheme="minorBidi"/>
          <w:b w:val="0"/>
          <w:szCs w:val="22"/>
        </w:rPr>
      </w:pPr>
      <w:r>
        <w:t>Part 3 — Tier 3 offences and penalties</w:t>
      </w:r>
    </w:p>
    <w:p>
      <w:pPr>
        <w:pStyle w:val="TOC2"/>
        <w:tabs>
          <w:tab w:val="right" w:leader="dot" w:pos="7077"/>
        </w:tabs>
        <w:rPr>
          <w:rFonts w:asciiTheme="minorHAnsi" w:eastAsiaTheme="minorEastAsia" w:hAnsiTheme="minorHAnsi" w:cstheme="minorBidi"/>
          <w:b w:val="0"/>
          <w:sz w:val="22"/>
          <w:szCs w:val="22"/>
        </w:rPr>
      </w:pPr>
      <w:r>
        <w:t>Schedule 2 — Matters in respect of which regulations may be made</w:t>
      </w:r>
    </w:p>
    <w:p>
      <w:pPr>
        <w:pStyle w:val="TOC2"/>
        <w:tabs>
          <w:tab w:val="right" w:leader="dot" w:pos="7077"/>
        </w:tabs>
        <w:rPr>
          <w:rFonts w:asciiTheme="minorHAnsi" w:eastAsiaTheme="minorEastAsia" w:hAnsiTheme="minorHAnsi" w:cstheme="minorBidi"/>
          <w:b w:val="0"/>
          <w:sz w:val="22"/>
          <w:szCs w:val="22"/>
        </w:rPr>
      </w:pPr>
      <w:r>
        <w:t xml:space="preserve">Schedule 3 — Transitional provisions related to </w:t>
      </w:r>
      <w:r>
        <w:rPr>
          <w:i/>
        </w:rPr>
        <w:t>Environmental Protection Act 1971</w:t>
      </w:r>
    </w:p>
    <w:p>
      <w:pPr>
        <w:pStyle w:val="TOC2"/>
        <w:tabs>
          <w:tab w:val="right" w:leader="dot" w:pos="7077"/>
        </w:tabs>
        <w:rPr>
          <w:rFonts w:asciiTheme="minorHAnsi" w:eastAsiaTheme="minorEastAsia" w:hAnsiTheme="minorHAnsi" w:cstheme="minorBidi"/>
          <w:b w:val="0"/>
          <w:sz w:val="22"/>
          <w:szCs w:val="22"/>
        </w:rPr>
      </w:pPr>
      <w:r>
        <w:t xml:space="preserve">Schedule 4 — Transitional provisions not related to </w:t>
      </w:r>
      <w:r>
        <w:rPr>
          <w:i/>
        </w:rPr>
        <w:t>Environmental Protection Act 1971</w:t>
      </w:r>
    </w:p>
    <w:p>
      <w:pPr>
        <w:pStyle w:val="TOC2"/>
        <w:tabs>
          <w:tab w:val="right" w:leader="dot" w:pos="7077"/>
        </w:tabs>
        <w:rPr>
          <w:rFonts w:asciiTheme="minorHAnsi" w:eastAsiaTheme="minorEastAsia" w:hAnsiTheme="minorHAnsi" w:cstheme="minorBidi"/>
          <w:b w:val="0"/>
          <w:sz w:val="22"/>
          <w:szCs w:val="22"/>
        </w:rPr>
      </w:pPr>
      <w:r>
        <w:t>Schedule 5 — Principles for clearing native vegetation</w:t>
      </w:r>
    </w:p>
    <w:p>
      <w:pPr>
        <w:pStyle w:val="TOC8"/>
        <w:rPr>
          <w:rFonts w:asciiTheme="minorHAnsi" w:eastAsiaTheme="minorEastAsia" w:hAnsiTheme="minorHAnsi" w:cstheme="minorBidi"/>
          <w:szCs w:val="22"/>
        </w:rPr>
      </w:pPr>
      <w:r>
        <w:t>1.</w:t>
      </w:r>
      <w:r>
        <w:tab/>
        <w:t>Principles</w:t>
      </w:r>
      <w:r>
        <w:tab/>
      </w:r>
      <w:r>
        <w:fldChar w:fldCharType="begin"/>
      </w:r>
      <w:r>
        <w:instrText xml:space="preserve"> PAGEREF _Toc199512132 \h </w:instrText>
      </w:r>
      <w:r>
        <w:fldChar w:fldCharType="separate"/>
      </w:r>
      <w:r>
        <w:t>321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_Toc199512133 \h </w:instrText>
      </w:r>
      <w:r>
        <w:fldChar w:fldCharType="separate"/>
      </w:r>
      <w:r>
        <w:t>321</w:t>
      </w:r>
      <w:r>
        <w:fldChar w:fldCharType="end"/>
      </w:r>
    </w:p>
    <w:p>
      <w:pPr>
        <w:pStyle w:val="TOC2"/>
        <w:tabs>
          <w:tab w:val="right" w:leader="dot" w:pos="7077"/>
        </w:tabs>
        <w:rPr>
          <w:rFonts w:asciiTheme="minorHAnsi" w:eastAsiaTheme="minorEastAsia" w:hAnsiTheme="minorHAnsi" w:cstheme="minorBidi"/>
          <w:b w:val="0"/>
          <w:sz w:val="22"/>
          <w:szCs w:val="22"/>
        </w:rPr>
      </w:pPr>
      <w:r>
        <w:t>Schedule 6 — Clearing for which a clearing permit is not required</w:t>
      </w:r>
    </w:p>
    <w:p>
      <w:pPr>
        <w:pStyle w:val="TOC2"/>
        <w:tabs>
          <w:tab w:val="right" w:leader="dot" w:pos="7077"/>
        </w:tabs>
        <w:rPr>
          <w:rFonts w:asciiTheme="minorHAnsi" w:eastAsiaTheme="minorEastAsia" w:hAnsiTheme="minorHAnsi" w:cstheme="minorBidi"/>
          <w:b w:val="0"/>
          <w:sz w:val="22"/>
          <w:szCs w:val="22"/>
        </w:rPr>
      </w:pPr>
      <w:r>
        <w:t>Schedule 7 — Appeals Convenor</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_Toc199512136 \h </w:instrText>
      </w:r>
      <w:r>
        <w:fldChar w:fldCharType="separate"/>
      </w:r>
      <w:r>
        <w:t>327</w:t>
      </w:r>
      <w:r>
        <w:fldChar w:fldCharType="end"/>
      </w:r>
    </w:p>
    <w:p>
      <w:pPr>
        <w:pStyle w:val="TOC8"/>
        <w:rPr>
          <w:rFonts w:asciiTheme="minorHAnsi" w:eastAsiaTheme="minorEastAsia" w:hAnsiTheme="minorHAnsi" w:cstheme="minorBidi"/>
          <w:szCs w:val="22"/>
        </w:rPr>
      </w:pPr>
      <w:r>
        <w:t>2.</w:t>
      </w:r>
      <w:r>
        <w:tab/>
        <w:t>Salary and entitlements</w:t>
      </w:r>
      <w:r>
        <w:tab/>
      </w:r>
      <w:r>
        <w:fldChar w:fldCharType="begin"/>
      </w:r>
      <w:r>
        <w:instrText xml:space="preserve"> PAGEREF _Toc199512137 \h </w:instrText>
      </w:r>
      <w:r>
        <w:fldChar w:fldCharType="separate"/>
      </w:r>
      <w:r>
        <w:t>327</w:t>
      </w:r>
      <w:r>
        <w:fldChar w:fldCharType="end"/>
      </w:r>
    </w:p>
    <w:p>
      <w:pPr>
        <w:pStyle w:val="TOC8"/>
        <w:rPr>
          <w:rFonts w:asciiTheme="minorHAnsi" w:eastAsiaTheme="minorEastAsia" w:hAnsiTheme="minorHAnsi" w:cstheme="minorBidi"/>
          <w:szCs w:val="22"/>
        </w:rPr>
      </w:pPr>
      <w:r>
        <w:t>3.</w:t>
      </w:r>
      <w:r>
        <w:tab/>
        <w:t>Resignation and removal from office</w:t>
      </w:r>
      <w:r>
        <w:tab/>
      </w:r>
      <w:r>
        <w:fldChar w:fldCharType="begin"/>
      </w:r>
      <w:r>
        <w:instrText xml:space="preserve"> PAGEREF _Toc199512138 \h </w:instrText>
      </w:r>
      <w:r>
        <w:fldChar w:fldCharType="separate"/>
      </w:r>
      <w:r>
        <w:t>327</w:t>
      </w:r>
      <w:r>
        <w:fldChar w:fldCharType="end"/>
      </w:r>
    </w:p>
    <w:p>
      <w:pPr>
        <w:pStyle w:val="TOC8"/>
        <w:rPr>
          <w:rFonts w:asciiTheme="minorHAnsi" w:eastAsiaTheme="minorEastAsia" w:hAnsiTheme="minorHAnsi" w:cstheme="minorBidi"/>
          <w:szCs w:val="22"/>
        </w:rPr>
      </w:pPr>
      <w:r>
        <w:t>4.</w:t>
      </w:r>
      <w:r>
        <w:tab/>
        <w:t>Appointment of public service officer</w:t>
      </w:r>
      <w:r>
        <w:tab/>
      </w:r>
      <w:r>
        <w:fldChar w:fldCharType="begin"/>
      </w:r>
      <w:r>
        <w:instrText xml:space="preserve"> PAGEREF _Toc199512139 \h </w:instrText>
      </w:r>
      <w:r>
        <w:fldChar w:fldCharType="separate"/>
      </w:r>
      <w:r>
        <w:t>328</w:t>
      </w:r>
      <w:r>
        <w:fldChar w:fldCharType="end"/>
      </w:r>
    </w:p>
    <w:p>
      <w:pPr>
        <w:pStyle w:val="TOC8"/>
        <w:rPr>
          <w:rFonts w:asciiTheme="minorHAnsi" w:eastAsiaTheme="minorEastAsia" w:hAnsiTheme="minorHAnsi" w:cstheme="minorBidi"/>
          <w:szCs w:val="22"/>
        </w:rPr>
      </w:pPr>
      <w:r>
        <w:t>5.</w:t>
      </w:r>
      <w:r>
        <w:tab/>
        <w:t>Other conditions of service</w:t>
      </w:r>
      <w:r>
        <w:tab/>
      </w:r>
      <w:r>
        <w:fldChar w:fldCharType="begin"/>
      </w:r>
      <w:r>
        <w:instrText xml:space="preserve"> PAGEREF _Toc199512140 \h </w:instrText>
      </w:r>
      <w:r>
        <w:fldChar w:fldCharType="separate"/>
      </w:r>
      <w:r>
        <w:t>329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_Toc199512142 \h </w:instrText>
      </w:r>
      <w:r>
        <w:fldChar w:fldCharType="separate"/>
      </w:r>
      <w:r>
        <w:t>330</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_Toc199512143 \h </w:instrText>
      </w:r>
      <w:r>
        <w:fldChar w:fldCharType="separate"/>
      </w:r>
      <w:r>
        <w:t>337</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_Toc199512144 \h </w:instrText>
      </w:r>
      <w:r>
        <w:fldChar w:fldCharType="separate"/>
      </w:r>
      <w:r>
        <w:t>338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200"/>
      </w:pPr>
      <w:r>
        <w:t>Environmental Protection Act 1986</w:t>
      </w:r>
    </w:p>
    <w:p>
      <w:pPr>
        <w:pStyle w:val="LongTitle"/>
        <w:rPr>
          <w:snapToGrid w:val="0"/>
        </w:rPr>
      </w:pPr>
      <w:r>
        <w:rPr>
          <w:snapToGrid w:val="0"/>
        </w:rPr>
        <w:t>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No. 54 of 2003 s. 27.]</w:t>
      </w:r>
    </w:p>
    <w:p>
      <w:pPr>
        <w:pStyle w:val="Heading2"/>
      </w:pPr>
      <w:bookmarkStart w:id="2" w:name="_Toc199511771"/>
      <w:r>
        <w:rPr>
          <w:rStyle w:val="CharPartNo"/>
        </w:rPr>
        <w:lastRenderedPageBreak/>
        <w:t>Part I</w:t>
      </w:r>
      <w:r>
        <w:rPr>
          <w:rStyle w:val="CharDivNo"/>
        </w:rPr>
        <w:t> </w:t>
      </w:r>
      <w:r>
        <w:t>—</w:t>
      </w:r>
      <w:r>
        <w:rPr>
          <w:rStyle w:val="CharDivText"/>
        </w:rPr>
        <w:t> </w:t>
      </w:r>
      <w:r>
        <w:rPr>
          <w:rStyle w:val="CharPartText"/>
        </w:rPr>
        <w:t>Preliminary</w:t>
      </w:r>
      <w:bookmarkEnd w:id="2"/>
    </w:p>
    <w:p>
      <w:pPr>
        <w:pStyle w:val="Heading5"/>
        <w:rPr>
          <w:snapToGrid w:val="0"/>
        </w:rPr>
      </w:pPr>
      <w:bookmarkStart w:id="3" w:name="_Toc199511772"/>
      <w:r>
        <w:rPr>
          <w:rStyle w:val="CharSectno"/>
        </w:rPr>
        <w:t>1</w:t>
      </w:r>
      <w:r>
        <w:rPr>
          <w:snapToGrid w:val="0"/>
        </w:rPr>
        <w:t>.</w:t>
      </w:r>
      <w:r>
        <w:rPr>
          <w:snapToGrid w:val="0"/>
        </w:rPr>
        <w:tab/>
        <w:t>Short title</w:t>
      </w:r>
      <w:bookmarkEnd w:id="3"/>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w:t>
      </w:r>
    </w:p>
    <w:p>
      <w:pPr>
        <w:pStyle w:val="Heading5"/>
        <w:rPr>
          <w:snapToGrid w:val="0"/>
        </w:rPr>
      </w:pPr>
      <w:bookmarkStart w:id="4" w:name="_Toc199511773"/>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5" w:name="_Toc199511774"/>
      <w:r>
        <w:rPr>
          <w:rStyle w:val="CharSectno"/>
        </w:rPr>
        <w:t>3</w:t>
      </w:r>
      <w:r>
        <w:rPr>
          <w:snapToGrid w:val="0"/>
        </w:rPr>
        <w:t>.</w:t>
      </w:r>
      <w:r>
        <w:rPr>
          <w:snapToGrid w:val="0"/>
        </w:rPr>
        <w:tab/>
        <w:t>Terms used</w:t>
      </w:r>
      <w:bookmarkEnd w:id="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45(6)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approved proposal</w:t>
      </w:r>
      <w:r>
        <w:t xml:space="preserve"> means a proposal the implementation of which is authorised under a Ministerial statement;</w:t>
      </w:r>
    </w:p>
    <w:p>
      <w:pPr>
        <w:pStyle w:val="Defstart"/>
      </w:pPr>
      <w:r>
        <w:rPr>
          <w:b/>
        </w:rPr>
        <w:tab/>
      </w:r>
      <w:r>
        <w:rPr>
          <w:rStyle w:val="CharDefText"/>
        </w:rPr>
        <w:t>assessed scheme</w:t>
      </w:r>
      <w:r>
        <w:rPr>
          <w:b/>
        </w:rPr>
        <w:t> </w:t>
      </w:r>
      <w:r>
        <w:t>—</w:t>
      </w:r>
    </w:p>
    <w:p>
      <w:pPr>
        <w:pStyle w:val="Defpara"/>
      </w:pPr>
      <w:r>
        <w:tab/>
        <w:t>(a)</w:t>
      </w:r>
      <w:r>
        <w:tab/>
        <w:t xml:space="preserve">means a scheme which has been assessed under Division 3 of Part IV and in respect of which a statement </w:t>
      </w:r>
      <w:r>
        <w:lastRenderedPageBreak/>
        <w:t>has been delivered to the responsible authority under section 48F(2)(a);</w:t>
      </w:r>
    </w:p>
    <w:p>
      <w:pPr>
        <w:pStyle w:val="Defpara"/>
      </w:pPr>
      <w:r>
        <w:tab/>
        <w:t>(aa)</w:t>
      </w:r>
      <w:r>
        <w:tab/>
        <w:t xml:space="preserve">includes the first Swan Valley Planning Scheme submitted in accordance with the </w:t>
      </w:r>
      <w:r>
        <w:rPr>
          <w:i/>
        </w:rPr>
        <w:t>Swan Valley Planning Act 2020</w:t>
      </w:r>
      <w:r>
        <w:t xml:space="preserve"> section 44 and approved under section 25(2)(a) of that Act;</w:t>
      </w:r>
    </w:p>
    <w:p>
      <w:pPr>
        <w:pStyle w:val="Defpara"/>
        <w:keepNext/>
      </w:pPr>
      <w:r>
        <w:tab/>
        <w:t>(b)</w:t>
      </w:r>
      <w:r>
        <w:tab/>
        <w:t>for the purposes of Part IV, includes a scheme —</w:t>
      </w:r>
    </w:p>
    <w:p>
      <w:pPr>
        <w:pStyle w:val="Defsubpara"/>
      </w:pPr>
      <w:r>
        <w:tab/>
        <w:t>(ia)</w:t>
      </w:r>
      <w:r>
        <w:tab/>
        <w:t>of a class prescribed by regulations made under section 48AAA(2); or</w:t>
      </w:r>
    </w:p>
    <w:p>
      <w:pPr>
        <w:pStyle w:val="Defsubpara"/>
      </w:pPr>
      <w:r>
        <w:tab/>
        <w:t>(i)</w:t>
      </w:r>
      <w:r>
        <w:tab/>
        <w:t>in respect of which the responsible authority has been informed under section 48A(1)(a); or</w:t>
      </w:r>
    </w:p>
    <w:p>
      <w:pPr>
        <w:pStyle w:val="Defsubpara"/>
      </w:pPr>
      <w:r>
        <w:tab/>
        <w:t>(ii)</w:t>
      </w:r>
      <w: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keepLines w:val="0"/>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w:t>
      </w:r>
      <w:r>
        <w:lastRenderedPageBreak/>
        <w:t>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 and Deputy Chair;</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pPr>
        <w:pStyle w:val="Defpara"/>
      </w:pPr>
      <w:r>
        <w:tab/>
        <w:t>(b)</w:t>
      </w:r>
      <w:r>
        <w:tab/>
        <w:t>identified and declared under section 35(2) to be a beneficial use to be protected under an approved policy;</w:t>
      </w:r>
    </w:p>
    <w:p>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w:t>
      </w:r>
      <w:r>
        <w:t xml:space="preserve"> means the Authority member appointed to be Chair of the Authority under section 7(4a);</w:t>
      </w:r>
    </w:p>
    <w:p>
      <w:pPr>
        <w:pStyle w:val="Defstart"/>
      </w:pPr>
      <w:r>
        <w:tab/>
      </w:r>
      <w:r>
        <w:rPr>
          <w:rStyle w:val="CharDefText"/>
        </w:rPr>
        <w:t>clearing</w:t>
      </w:r>
      <w:r>
        <w:t xml:space="preserve"> has the meaning given by section 51A;</w:t>
      </w:r>
    </w:p>
    <w:p>
      <w:pPr>
        <w:pStyle w:val="Defstart"/>
      </w:pPr>
      <w:r>
        <w:lastRenderedPageBreak/>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tab/>
      </w:r>
      <w:r>
        <w:rPr>
          <w:rStyle w:val="CharDefText"/>
        </w:rPr>
        <w:t>Commonwealth Environment Act</w:t>
      </w:r>
      <w:r>
        <w:t xml:space="preserve"> means the </w:t>
      </w:r>
      <w:r>
        <w:rPr>
          <w:i/>
        </w:rPr>
        <w:t>Environment Protection and Biodiversity Conservation Act 1999</w:t>
      </w:r>
      <w:r>
        <w:t xml:space="preserve"> (Commonwealth);</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6" w:name="comma"/>
      <w:bookmarkEnd w:id="6"/>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r>
        <w:t>, in relation to a proposal, means a public authority empowered by or under —</w:t>
      </w:r>
    </w:p>
    <w:p>
      <w:pPr>
        <w:pStyle w:val="Defpara"/>
      </w:pPr>
      <w:r>
        <w:tab/>
        <w:t>(a)</w:t>
      </w:r>
      <w:r>
        <w:tab/>
        <w:t>a written law; or</w:t>
      </w:r>
    </w:p>
    <w:p>
      <w:pPr>
        <w:pStyle w:val="Defpara"/>
      </w:pPr>
      <w:r>
        <w:tab/>
        <w:t>(b)</w:t>
      </w:r>
      <w:r>
        <w:tab/>
        <w:t>any agreement —</w:t>
      </w:r>
    </w:p>
    <w:p>
      <w:pPr>
        <w:pStyle w:val="Defsubpara"/>
      </w:pPr>
      <w:r>
        <w:tab/>
        <w:t>(i)</w:t>
      </w:r>
      <w:r>
        <w:tab/>
        <w:t>to which the State is a party; and</w:t>
      </w:r>
    </w:p>
    <w:p>
      <w:pPr>
        <w:pStyle w:val="Defsubpara"/>
      </w:pPr>
      <w:r>
        <w:tab/>
        <w:t>(ii)</w:t>
      </w:r>
      <w:r>
        <w:tab/>
        <w:t>which is ratified or approved by an Act,</w:t>
      </w:r>
    </w:p>
    <w:p>
      <w:pPr>
        <w:pStyle w:val="Defstart"/>
      </w:pPr>
      <w:r>
        <w:tab/>
        <w:t>to make a decision in respect of the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w:t>
      </w:r>
      <w:r>
        <w:t xml:space="preserve"> means the Authority member appointed to be Deputy Chair of the Authority under section 7(4a);</w:t>
      </w:r>
    </w:p>
    <w:p>
      <w:pPr>
        <w:pStyle w:val="Defstart"/>
      </w:pPr>
      <w:r>
        <w:tab/>
      </w:r>
      <w:r>
        <w:rPr>
          <w:rStyle w:val="CharDefText"/>
        </w:rPr>
        <w:t>development approval</w:t>
      </w:r>
      <w:r>
        <w:t xml:space="preserve"> means a development approval under a scheme or a scheme Act;</w:t>
      </w:r>
    </w:p>
    <w:p>
      <w:pPr>
        <w:pStyle w:val="Defstart"/>
      </w:pPr>
      <w:r>
        <w:rPr>
          <w:b/>
        </w:rPr>
        <w:tab/>
      </w:r>
      <w:r>
        <w:rPr>
          <w:rStyle w:val="CharDefText"/>
        </w:rPr>
        <w:t>discharge</w:t>
      </w:r>
      <w:r>
        <w:t xml:space="preserve">, in relation to waste or other matter, includes deposit it or allow it to escape, or cause or permit it to be, or fail to </w:t>
      </w:r>
      <w:r>
        <w:lastRenderedPageBreak/>
        <w:t>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as defined in the </w:t>
      </w:r>
      <w:r>
        <w:rPr>
          <w:i/>
          <w:iCs/>
        </w:rPr>
        <w:t xml:space="preserve">Road Traffic (Administration) Act 2008 </w:t>
      </w:r>
      <w:r>
        <w:t>section 4, has the meaning given by that section; or</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pPr>
      <w:r>
        <w:tab/>
      </w:r>
      <w:r>
        <w:rPr>
          <w:rStyle w:val="CharDefText"/>
        </w:rPr>
        <w:t>ecological community</w:t>
      </w:r>
      <w:r>
        <w:t xml:space="preserve"> has the meaning given in the </w:t>
      </w:r>
      <w:r>
        <w:rPr>
          <w:i/>
        </w:rPr>
        <w:t>Biodiversity Conservation Act 2016</w:t>
      </w:r>
      <w:r>
        <w:t xml:space="preserve"> section 5(1);</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 or</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lastRenderedPageBreak/>
        <w:tab/>
      </w:r>
      <w:r>
        <w:rPr>
          <w:rStyle w:val="CharDefText"/>
        </w:rPr>
        <w:t>environmental harm</w:t>
      </w:r>
      <w:r>
        <w:t xml:space="preserve"> has the meaning given by section 3A;</w:t>
      </w:r>
    </w:p>
    <w:p>
      <w:pPr>
        <w:pStyle w:val="Defstart"/>
      </w:pPr>
      <w:r>
        <w:tab/>
      </w:r>
      <w:r>
        <w:rPr>
          <w:rStyle w:val="CharDefText"/>
        </w:rPr>
        <w:t>environmental monitoring programme</w:t>
      </w:r>
      <w:r>
        <w:t xml:space="preserve"> has the meaning given in section 110K;</w:t>
      </w:r>
    </w:p>
    <w:p>
      <w:pPr>
        <w:pStyle w:val="Defstart"/>
      </w:pPr>
      <w:r>
        <w:tab/>
      </w:r>
      <w:r>
        <w:rPr>
          <w:rStyle w:val="CharDefText"/>
        </w:rPr>
        <w:t>environmental protection covenant</w:t>
      </w:r>
      <w:r>
        <w:t xml:space="preserve"> means an environmental protection covenant entered into and in effect under Part VB;</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undertaking</w:t>
      </w:r>
      <w:r>
        <w:t xml:space="preserve"> means — </w:t>
      </w:r>
    </w:p>
    <w:p>
      <w:pPr>
        <w:pStyle w:val="Defpara"/>
      </w:pPr>
      <w:r>
        <w:tab/>
        <w:t>(a)</w:t>
      </w:r>
      <w:r>
        <w:tab/>
        <w:t xml:space="preserve">a biodiversity conservation agreement under the </w:t>
      </w:r>
      <w:r>
        <w:rPr>
          <w:i/>
        </w:rPr>
        <w:t>Biodiversity Conservation Act 2016</w:t>
      </w:r>
      <w:r>
        <w:t xml:space="preserve"> section 114; or</w:t>
      </w:r>
    </w:p>
    <w:p>
      <w:pPr>
        <w:pStyle w:val="Defpara"/>
      </w:pPr>
      <w:r>
        <w:tab/>
        <w:t>(b)</w:t>
      </w:r>
      <w:r>
        <w:tab/>
        <w:t xml:space="preserve">a biodiversity conservation covenant under the </w:t>
      </w:r>
      <w:r>
        <w:rPr>
          <w:i/>
        </w:rPr>
        <w:t>Biodiversity Conservation Act 2016</w:t>
      </w:r>
      <w:r>
        <w:t xml:space="preserve"> section 122; or</w:t>
      </w:r>
    </w:p>
    <w:p>
      <w:pPr>
        <w:pStyle w:val="Defpara"/>
      </w:pPr>
      <w:r>
        <w:tab/>
        <w:t>(c)</w:t>
      </w:r>
      <w:r>
        <w:tab/>
        <w:t xml:space="preserve">a conservation covenant or agreement to reserve under the </w:t>
      </w:r>
      <w:r>
        <w:rPr>
          <w:i/>
        </w:rPr>
        <w:t>Soil and Land Conservation Act 1945</w:t>
      </w:r>
      <w:r>
        <w:t xml:space="preserve"> section 30B; or</w:t>
      </w:r>
    </w:p>
    <w:p>
      <w:pPr>
        <w:pStyle w:val="Defpara"/>
      </w:pPr>
      <w:r>
        <w:tab/>
        <w:t>(d)</w:t>
      </w:r>
      <w:r>
        <w:tab/>
        <w:t>an environmental protection covenant; or</w:t>
      </w:r>
    </w:p>
    <w:p>
      <w:pPr>
        <w:pStyle w:val="Defpara"/>
      </w:pPr>
      <w:r>
        <w:tab/>
        <w:t>(e)</w:t>
      </w:r>
      <w:r>
        <w:tab/>
        <w:t>some other form of binding undertaking to manage land for the protection of the environment;</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keepLines/>
      </w:pPr>
      <w:r>
        <w:rPr>
          <w:b/>
        </w:rPr>
        <w:tab/>
      </w:r>
      <w:r>
        <w:rPr>
          <w:rStyle w:val="CharDefText"/>
        </w:rPr>
        <w:t>final approval</w:t>
      </w:r>
      <w:r>
        <w:t>, in relation to a scheme which is —</w:t>
      </w:r>
    </w:p>
    <w:p>
      <w:pPr>
        <w:pStyle w:val="Ednotepara"/>
        <w:keepNext/>
        <w:keepLines/>
        <w:spacing w:before="80"/>
      </w:pPr>
      <w:r>
        <w:tab/>
        <w:t>[(a), (aa)</w:t>
      </w:r>
      <w:r>
        <w:tab/>
        <w:t>deleted]</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Defpara"/>
      </w:pPr>
      <w:r>
        <w:lastRenderedPageBreak/>
        <w:tab/>
        <w:t>(b)</w:t>
      </w:r>
      <w:r>
        <w:tab/>
        <w:t xml:space="preserve">prepared under the </w:t>
      </w:r>
      <w:r>
        <w:rPr>
          <w:i/>
        </w:rPr>
        <w:t>Swan Valley Planning Act 2020</w:t>
      </w:r>
      <w:r>
        <w:t>, means an approval under section 25(2)(a) of that Act; or</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 or</w:t>
      </w:r>
    </w:p>
    <w:p>
      <w:pPr>
        <w:pStyle w:val="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conditions</w:t>
      </w:r>
      <w:r>
        <w:t xml:space="preserve"> has the meaning given in section 44A;</w:t>
      </w:r>
    </w:p>
    <w:p>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 or</w:t>
      </w:r>
    </w:p>
    <w:p>
      <w:pPr>
        <w:pStyle w:val="Defpara"/>
      </w:pPr>
      <w:r>
        <w:lastRenderedPageBreak/>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Ministerial statement</w:t>
      </w:r>
      <w:r>
        <w:t xml:space="preserve"> has the meaning given in subsection (1A);</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iCs/>
        </w:rPr>
        <w:t>Road Traffic (Administration) Act 2008</w:t>
      </w:r>
      <w:r>
        <w:t xml:space="preserve"> section 4;</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(Western Australia)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keepNext/>
      </w:pPr>
      <w:r>
        <w:rPr>
          <w:b/>
        </w:rPr>
        <w:lastRenderedPageBreak/>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keepNext/>
      </w:pPr>
      <w:r>
        <w:rPr>
          <w:b/>
        </w:rPr>
        <w:tab/>
      </w:r>
      <w:r>
        <w:rPr>
          <w:rStyle w:val="CharDefText"/>
        </w:rPr>
        <w:t>owner</w:t>
      </w:r>
      <w:r>
        <w:t>, in relation to —</w:t>
      </w:r>
    </w:p>
    <w:p>
      <w:pPr>
        <w:pStyle w:val="Defpara"/>
      </w:pPr>
      <w:r>
        <w:tab/>
        <w:t>(a)</w:t>
      </w:r>
      <w:r>
        <w:tab/>
        <w:t xml:space="preserve">a vehicle as defined in the </w:t>
      </w:r>
      <w:r>
        <w:rPr>
          <w:i/>
          <w:iCs/>
        </w:rPr>
        <w:t xml:space="preserve">Road Traffic (Administration) Act 2008 </w:t>
      </w:r>
      <w:r>
        <w:t>section 4, has the meaning given by section 5 of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Defpara"/>
      </w:pPr>
      <w:r>
        <w:tab/>
        <w:t>(b)</w:t>
      </w:r>
      <w:r>
        <w:tab/>
        <w:t xml:space="preserve">prepared under the </w:t>
      </w:r>
      <w:r>
        <w:rPr>
          <w:i/>
        </w:rPr>
        <w:t>Swan Valley Planning Act 2020</w:t>
      </w:r>
      <w:r>
        <w:t>, means the period of advertisement for public inspection that applies for the purposes of section 23 of that Act; or</w:t>
      </w:r>
    </w:p>
    <w:p>
      <w:pPr>
        <w:pStyle w:val="Defpara"/>
      </w:pPr>
      <w:r>
        <w:tab/>
        <w:t>(c)</w:t>
      </w:r>
      <w:r>
        <w:tab/>
        <w:t xml:space="preserve">a region planning scheme, or an amendment to a region planning scheme, means the period of advertisement for public inspection prescribed for the purposes of the </w:t>
      </w:r>
      <w:r>
        <w:rPr>
          <w:i/>
        </w:rPr>
        <w:t>Planning and Development Act 2005</w:t>
      </w:r>
      <w:r>
        <w:t xml:space="preserve"> section 43;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lastRenderedPageBreak/>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pPr>
        <w:pStyle w:val="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 xml:space="preserve">section 84, as read with section 122B(1) of that Act; </w:t>
      </w:r>
      <w:r>
        <w:t>or</w:t>
      </w:r>
    </w:p>
    <w:p>
      <w:pPr>
        <w:pStyle w:val="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Defstart"/>
      </w:pPr>
      <w:r>
        <w:tab/>
      </w:r>
      <w:r>
        <w:rPr>
          <w:rStyle w:val="CharDefText"/>
        </w:rPr>
        <w:t>person</w:t>
      </w:r>
      <w:r>
        <w:t xml:space="preserve"> includes a public authority;</w:t>
      </w:r>
    </w:p>
    <w:p>
      <w:pPr>
        <w:pStyle w:val="Defstart"/>
      </w:pPr>
      <w:r>
        <w:tab/>
      </w:r>
      <w:r>
        <w:rPr>
          <w:rStyle w:val="CharDefText"/>
        </w:rPr>
        <w:t>planning instrument</w:t>
      </w:r>
      <w:r>
        <w:t xml:space="preserve"> means — </w:t>
      </w:r>
    </w:p>
    <w:p>
      <w:pPr>
        <w:pStyle w:val="Defpara"/>
      </w:pPr>
      <w:r>
        <w:tab/>
        <w:t>(a)</w:t>
      </w:r>
      <w:r>
        <w:tab/>
        <w:t>a scheme or a strategy, policy or plan made or adopted under a scheme; or</w:t>
      </w:r>
    </w:p>
    <w:p>
      <w:pPr>
        <w:pStyle w:val="Defpara"/>
      </w:pPr>
      <w:r>
        <w:tab/>
        <w:t>(b)</w:t>
      </w:r>
      <w:r>
        <w:tab/>
        <w:t xml:space="preserve">a State planning policy approved under the </w:t>
      </w:r>
      <w:r>
        <w:rPr>
          <w:i/>
        </w:rPr>
        <w:t>Planning and Development Act 2005</w:t>
      </w:r>
      <w:r>
        <w:t xml:space="preserve"> section 29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tab/>
      </w:r>
      <w:r>
        <w:rPr>
          <w:rStyle w:val="CharDefText"/>
        </w:rPr>
        <w:t>practicable means</w:t>
      </w:r>
      <w:r>
        <w:t xml:space="preserve"> includes provision and maintenance of equipment and proper use of equipment;</w:t>
      </w:r>
    </w:p>
    <w:p>
      <w:pPr>
        <w:pStyle w:val="Defstart"/>
      </w:pPr>
      <w:r>
        <w:rPr>
          <w:b/>
        </w:rPr>
        <w:lastRenderedPageBreak/>
        <w:tab/>
      </w:r>
      <w:r>
        <w:rPr>
          <w:rStyle w:val="CharDefText"/>
        </w:rPr>
        <w:t>premises</w:t>
      </w:r>
      <w:r>
        <w:t xml:space="preserve"> means residential, industrial or other premises of any kind whatsoever and includes land, water and equipment;</w:t>
      </w:r>
    </w:p>
    <w:p>
      <w:pPr>
        <w:pStyle w:val="Defstart"/>
      </w:pPr>
      <w:r>
        <w:tab/>
      </w:r>
      <w:r>
        <w:rPr>
          <w:rStyle w:val="CharDefText"/>
        </w:rPr>
        <w:t>prescribed</w:t>
      </w:r>
      <w:r>
        <w:t xml:space="preserve"> means prescribed by the regulations;</w:t>
      </w:r>
    </w:p>
    <w:p>
      <w:pPr>
        <w:pStyle w:val="Defstart"/>
      </w:pPr>
      <w:r>
        <w:rPr>
          <w:b/>
        </w:rPr>
        <w:tab/>
      </w:r>
      <w:r>
        <w:rPr>
          <w:rStyle w:val="CharDefText"/>
        </w:rPr>
        <w:t>prescribed premises</w:t>
      </w:r>
      <w:r>
        <w:t xml:space="preserve"> means premises prescribed for the purposes of Part V;</w:t>
      </w:r>
    </w:p>
    <w:p>
      <w:pPr>
        <w:pStyle w:val="Defstart"/>
      </w:pPr>
      <w:r>
        <w:tab/>
      </w:r>
      <w:r>
        <w:rPr>
          <w:rStyle w:val="CharDefText"/>
        </w:rPr>
        <w:t>prevention notice</w:t>
      </w:r>
      <w:r>
        <w:t xml:space="preserve"> has the meaning given by section 73A(1);</w:t>
      </w:r>
    </w:p>
    <w:p>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pPr>
      <w:r>
        <w:tab/>
      </w:r>
      <w:r>
        <w:rPr>
          <w:rStyle w:val="CharDefText"/>
        </w:rPr>
        <w:t>proposal</w:t>
      </w:r>
      <w:r>
        <w:t xml:space="preserve"> means any of the following but not a scheme — </w:t>
      </w:r>
    </w:p>
    <w:p>
      <w:pPr>
        <w:pStyle w:val="Defpara"/>
      </w:pPr>
      <w:r>
        <w:tab/>
        <w:t>(a)</w:t>
      </w:r>
      <w:r>
        <w:tab/>
        <w:t xml:space="preserve">a policy, plan or programme; </w:t>
      </w:r>
    </w:p>
    <w:p>
      <w:pPr>
        <w:pStyle w:val="Defpara"/>
      </w:pPr>
      <w:r>
        <w:tab/>
        <w:t>(b)</w:t>
      </w:r>
      <w:r>
        <w:tab/>
        <w:t xml:space="preserve">a project, undertaking or development; </w:t>
      </w:r>
    </w:p>
    <w:p>
      <w:pPr>
        <w:pStyle w:val="Defpara"/>
      </w:pPr>
      <w:r>
        <w:tab/>
        <w:t>(c)</w:t>
      </w:r>
      <w:r>
        <w:tab/>
        <w:t>a change in land use;</w:t>
      </w:r>
    </w:p>
    <w:p>
      <w:pPr>
        <w:pStyle w:val="Defpara"/>
      </w:pPr>
      <w:r>
        <w:tab/>
        <w:t>(d)</w:t>
      </w:r>
      <w:r>
        <w:tab/>
        <w:t>an amendment of any proposal described in paragraph (a), (b) or (c);</w:t>
      </w:r>
    </w:p>
    <w:p>
      <w:pPr>
        <w:pStyle w:val="Defpara"/>
      </w:pPr>
      <w:r>
        <w:tab/>
        <w:t>(e)</w:t>
      </w:r>
      <w:r>
        <w:tab/>
        <w:t xml:space="preserve">an amendment described in paragraph (b) of the definition of </w:t>
      </w:r>
      <w:r>
        <w:rPr>
          <w:b/>
          <w:i/>
        </w:rPr>
        <w:t>significant amendment</w:t>
      </w:r>
      <w:r>
        <w:t>;</w:t>
      </w:r>
    </w:p>
    <w:p>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an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w:t>
      </w:r>
      <w:r>
        <w:lastRenderedPageBreak/>
        <w:t>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referred proposal</w:t>
      </w:r>
      <w:r>
        <w:t xml:space="preserve"> means a proposal referred to the Authority under section 38;</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pPr>
      <w:r>
        <w:tab/>
      </w:r>
      <w:r>
        <w:rPr>
          <w:rStyle w:val="CharDefText"/>
        </w:rPr>
        <w:t>Registrar of Deeds and Transfers</w:t>
      </w:r>
      <w:r>
        <w:t xml:space="preserve"> has the meaning given in the </w:t>
      </w:r>
      <w:r>
        <w:rPr>
          <w:i/>
        </w:rPr>
        <w:t>Registration of Deeds Act 1856</w:t>
      </w:r>
      <w:r>
        <w:t xml:space="preserve"> section 2;</w:t>
      </w:r>
    </w:p>
    <w:p>
      <w:pPr>
        <w:pStyle w:val="Defstart"/>
      </w:pPr>
      <w:r>
        <w:tab/>
      </w:r>
      <w:r>
        <w:rPr>
          <w:rStyle w:val="CharDefText"/>
        </w:rPr>
        <w:t>Registrar of Titles</w:t>
      </w:r>
      <w:r>
        <w:t xml:space="preserve"> means the person designated to be the Registrar of Titles under the </w:t>
      </w:r>
      <w:r>
        <w:rPr>
          <w:i/>
        </w:rPr>
        <w:t xml:space="preserve">Transfer of Land Act 1893 </w:t>
      </w:r>
      <w:r>
        <w:t>section 7(1);</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keepNext/>
      </w:pPr>
      <w:r>
        <w:tab/>
      </w:r>
      <w:r>
        <w:rPr>
          <w:rStyle w:val="CharDefText"/>
        </w:rPr>
        <w:t>responsible authority</w:t>
      </w:r>
      <w:r>
        <w:t>, in relation to —</w:t>
      </w:r>
    </w:p>
    <w:p>
      <w:pPr>
        <w:pStyle w:val="Defpara"/>
      </w:pPr>
      <w:r>
        <w:tab/>
        <w:t>(a)</w:t>
      </w:r>
      <w:r>
        <w:tab/>
        <w:t>a scheme which is —</w:t>
      </w:r>
    </w:p>
    <w:p>
      <w:pPr>
        <w:pStyle w:val="Ednotepensubpara"/>
      </w:pPr>
      <w:r>
        <w:tab/>
        <w:t>[(i), (ii)</w:t>
      </w:r>
      <w:r>
        <w:tab/>
        <w:t>deleted]</w:t>
      </w:r>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Defsubpara"/>
      </w:pPr>
      <w:r>
        <w:tab/>
        <w:t>(iv)</w:t>
      </w:r>
      <w:r>
        <w:tab/>
        <w:t xml:space="preserve">prepared under the </w:t>
      </w:r>
      <w:r>
        <w:rPr>
          <w:i/>
        </w:rPr>
        <w:t>Swan Valley Planning Act 2020</w:t>
      </w:r>
      <w:r>
        <w:t>, means the Western Australian Planning Commission; or</w:t>
      </w:r>
    </w:p>
    <w:p>
      <w:pPr>
        <w:pStyle w:val="Ednotepensubpara"/>
      </w:pPr>
      <w:r>
        <w:tab/>
        <w:t>[(v)</w:t>
      </w:r>
      <w:r>
        <w:tab/>
        <w:t>deleted]</w:t>
      </w:r>
    </w:p>
    <w:p>
      <w:pPr>
        <w:pStyle w:val="Defsubpara"/>
        <w:keepLines w:val="0"/>
      </w:pPr>
      <w:r>
        <w:tab/>
        <w:t>(vi)</w:t>
      </w:r>
      <w:r>
        <w:tab/>
        <w:t>a region planning scheme, or an amendment to a region planning scheme, means the Western Australian Planning Commission; or</w:t>
      </w:r>
    </w:p>
    <w:p>
      <w:pPr>
        <w:pStyle w:val="Defsubpara"/>
        <w:keepLines w:val="0"/>
      </w:pPr>
      <w:r>
        <w:lastRenderedPageBreak/>
        <w:tab/>
        <w:t>(vii)</w:t>
      </w:r>
      <w:r>
        <w:tab/>
        <w:t>a local planning scheme, or an amendment to a local planning scheme, means the local government which is responsible for the local planning scheme or amendment; or</w:t>
      </w:r>
    </w:p>
    <w:p>
      <w:pPr>
        <w:pStyle w:val="Defsubpara"/>
        <w:keepLines w:val="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pPr>
        <w:pStyle w:val="Defsubpara"/>
        <w:keepLines w:val="0"/>
      </w:pPr>
      <w:r>
        <w:tab/>
        <w:t>(ix)</w:t>
      </w:r>
      <w:r>
        <w:tab/>
        <w:t>an improvement scheme, or an amendment to an improvement scheme, means the Western Australian Planning Commission; or</w:t>
      </w:r>
    </w:p>
    <w:p>
      <w:pPr>
        <w:pStyle w:val="Defsubpara"/>
      </w:pPr>
      <w:r>
        <w:tab/>
        <w:t>(x)</w:t>
      </w:r>
      <w:r>
        <w:tab/>
        <w:t xml:space="preserve">prepared under the </w:t>
      </w:r>
      <w:r>
        <w:rPr>
          <w:i/>
        </w:rPr>
        <w:t>Metropolitan Redevelopment Authority Act 2011</w:t>
      </w:r>
      <w:r>
        <w:t>, means the Metropolitan Redevelopment Authority established by that Act;</w:t>
      </w:r>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r>
        <w:t xml:space="preserve"> (including a subdivision of land by a community scheme under the </w:t>
      </w:r>
      <w:r>
        <w:rPr>
          <w:i/>
        </w:rPr>
        <w:t>Community Titles Act 2018</w:t>
      </w:r>
      <w:r>
        <w:t>); means the Western Australian Planning Commission; or</w:t>
      </w:r>
    </w:p>
    <w:p>
      <w:pPr>
        <w:pStyle w:val="Defsubpara"/>
        <w:keepLines w:val="0"/>
      </w:pPr>
      <w:r>
        <w:tab/>
        <w:t>(ii)</w:t>
      </w:r>
      <w:r>
        <w:tab/>
        <w:t xml:space="preserve">a subdivision of land by a strata scheme under the </w:t>
      </w:r>
      <w:r>
        <w:rPr>
          <w:i/>
        </w:rPr>
        <w:t>Strata Titles Act 1985</w:t>
      </w:r>
      <w:r>
        <w:t>, means the local government within the district of which the subdivision is proposed;</w:t>
      </w:r>
    </w:p>
    <w:p>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iCs/>
        </w:rPr>
        <w:t>Road Traffic (Administration) Act 2008</w:t>
      </w:r>
      <w:r>
        <w:t xml:space="preserve"> section 4;</w:t>
      </w:r>
    </w:p>
    <w:p>
      <w:pPr>
        <w:pStyle w:val="Defstart"/>
        <w:keepNext/>
      </w:pPr>
      <w:r>
        <w:lastRenderedPageBreak/>
        <w:tab/>
      </w:r>
      <w:r>
        <w:rPr>
          <w:rStyle w:val="CharDefText"/>
        </w:rPr>
        <w:t>scheme</w:t>
      </w:r>
      <w:r>
        <w:t xml:space="preserve"> means —</w:t>
      </w:r>
    </w:p>
    <w:p>
      <w:pPr>
        <w:pStyle w:val="Ednotepara"/>
        <w:spacing w:before="80"/>
      </w:pPr>
      <w:r>
        <w:tab/>
        <w:t>[(a), (b)</w:t>
      </w:r>
      <w:r>
        <w:tab/>
        <w:t>deleted]</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Defpara"/>
      </w:pPr>
      <w:r>
        <w:tab/>
        <w:t>(d)</w:t>
      </w:r>
      <w:r>
        <w:tab/>
        <w:t xml:space="preserve">the Swan Valley Planning Scheme, as defined in the </w:t>
      </w:r>
      <w:r>
        <w:rPr>
          <w:i/>
        </w:rPr>
        <w:t>Swan Valley Planning Act 2020</w:t>
      </w:r>
      <w:r>
        <w:t xml:space="preserve"> section 3, or an amendment of that Scheme; or</w:t>
      </w:r>
    </w:p>
    <w:p>
      <w:pPr>
        <w:pStyle w:val="Ednotepara"/>
        <w:spacing w:before="80"/>
      </w:pPr>
      <w:r>
        <w:tab/>
        <w:t>[(e)</w:t>
      </w:r>
      <w:r>
        <w:tab/>
        <w:t>deleted]</w:t>
      </w:r>
    </w:p>
    <w:p>
      <w:pPr>
        <w:pStyle w:val="Defpara"/>
      </w:pPr>
      <w:r>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 or</w:t>
      </w:r>
    </w:p>
    <w:p>
      <w:pPr>
        <w:pStyle w:val="Indenta"/>
      </w:pPr>
      <w:r>
        <w:tab/>
        <w:t>(i)</w:t>
      </w:r>
      <w:r>
        <w:tab/>
        <w:t>an improvement scheme or an amendment to an improvement scheme; or</w:t>
      </w:r>
    </w:p>
    <w:p>
      <w:pPr>
        <w:pStyle w:val="Defpara"/>
      </w:pPr>
      <w:r>
        <w:tab/>
        <w:t>(j)</w:t>
      </w:r>
      <w:r>
        <w:tab/>
        <w:t xml:space="preserve">a redevelopment scheme prepared under the </w:t>
      </w:r>
      <w:r>
        <w:rPr>
          <w:i/>
        </w:rPr>
        <w:t>Metropolitan Redevelopment Authority Act 2011</w:t>
      </w:r>
      <w:r>
        <w:t xml:space="preserve"> or an amendment to such a scheme;</w:t>
      </w:r>
    </w:p>
    <w:p>
      <w:pPr>
        <w:pStyle w:val="Defstart"/>
      </w:pPr>
      <w:r>
        <w:tab/>
      </w:r>
      <w:r>
        <w:rPr>
          <w:rStyle w:val="CharDefText"/>
        </w:rPr>
        <w:t>scheme Act</w:t>
      </w:r>
      <w:r>
        <w:t xml:space="preserve"> means any of the following Acts — </w:t>
      </w:r>
    </w:p>
    <w:p>
      <w:pPr>
        <w:pStyle w:val="Defpara"/>
      </w:pPr>
      <w:r>
        <w:tab/>
        <w:t>(a)</w:t>
      </w:r>
      <w:r>
        <w:tab/>
        <w:t xml:space="preserve">the </w:t>
      </w:r>
      <w:r>
        <w:rPr>
          <w:i/>
        </w:rPr>
        <w:t>Planning and Development Act 2005</w:t>
      </w:r>
      <w:r>
        <w:t>;</w:t>
      </w:r>
    </w:p>
    <w:p>
      <w:pPr>
        <w:pStyle w:val="Defpara"/>
      </w:pPr>
      <w:r>
        <w:tab/>
        <w:t>(b)</w:t>
      </w:r>
      <w:r>
        <w:tab/>
        <w:t xml:space="preserve">the </w:t>
      </w:r>
      <w:r>
        <w:rPr>
          <w:i/>
        </w:rPr>
        <w:t>Metropolitan Redevelopment Authority Act 2011</w:t>
      </w:r>
      <w:r>
        <w:t>;</w:t>
      </w:r>
    </w:p>
    <w:p>
      <w:pPr>
        <w:pStyle w:val="Defpara"/>
      </w:pPr>
      <w:r>
        <w:tab/>
        <w:t>(c)</w:t>
      </w:r>
      <w:r>
        <w:tab/>
        <w:t xml:space="preserve">the </w:t>
      </w:r>
      <w:r>
        <w:rPr>
          <w:i/>
        </w:rPr>
        <w:t>Hope Valley</w:t>
      </w:r>
      <w:r>
        <w:rPr>
          <w:i/>
        </w:rPr>
        <w:noBreakHyphen/>
        <w:t>Wattleup Redevelopment Act 2000</w:t>
      </w:r>
      <w:r>
        <w:t>;</w:t>
      </w:r>
    </w:p>
    <w:p>
      <w:pPr>
        <w:pStyle w:val="Defpara"/>
      </w:pPr>
      <w:r>
        <w:tab/>
        <w:t>(d)</w:t>
      </w:r>
      <w:r>
        <w:tab/>
        <w:t xml:space="preserve">the </w:t>
      </w:r>
      <w:r>
        <w:rPr>
          <w:i/>
        </w:rPr>
        <w:t>Swan Valley Planning Act 2020</w:t>
      </w:r>
      <w:r>
        <w:t>;</w:t>
      </w:r>
    </w:p>
    <w:p>
      <w:pPr>
        <w:pStyle w:val="Defstart"/>
        <w:keepNex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lastRenderedPageBreak/>
        <w:tab/>
      </w:r>
      <w:r>
        <w:rPr>
          <w:rStyle w:val="CharDefText"/>
        </w:rPr>
        <w:t>serious environmental harm</w:t>
      </w:r>
      <w:r>
        <w:t xml:space="preserve"> has the meaning given by section 3A;</w:t>
      </w:r>
    </w:p>
    <w:p>
      <w:pPr>
        <w:pStyle w:val="Defstart"/>
      </w:pPr>
      <w:r>
        <w:tab/>
      </w:r>
      <w:r>
        <w:rPr>
          <w:rStyle w:val="CharDefText"/>
        </w:rPr>
        <w:t>significant amendment</w:t>
      </w:r>
      <w:r>
        <w:t xml:space="preserve">, of an approved proposal, means — </w:t>
      </w:r>
    </w:p>
    <w:p>
      <w:pPr>
        <w:pStyle w:val="Defpara"/>
      </w:pPr>
      <w:r>
        <w:tab/>
        <w:t>(a)</w:t>
      </w:r>
      <w:r>
        <w:tab/>
        <w:t xml:space="preserve">a proposal that — </w:t>
      </w:r>
    </w:p>
    <w:p>
      <w:pPr>
        <w:pStyle w:val="Defsubpara"/>
      </w:pPr>
      <w:r>
        <w:tab/>
        <w:t>(i)</w:t>
      </w:r>
      <w:r>
        <w:tab/>
        <w:t>is or includes the amendment of an approved proposal; and</w:t>
      </w:r>
    </w:p>
    <w:p>
      <w:pPr>
        <w:pStyle w:val="Defsubpara"/>
      </w:pPr>
      <w:r>
        <w:tab/>
        <w:t>(ii)</w:t>
      </w:r>
      <w:r>
        <w:tab/>
        <w:t>is likely, if implemented, to have a significant effect on the environment;</w:t>
      </w:r>
    </w:p>
    <w:p>
      <w:pPr>
        <w:pStyle w:val="Defpara"/>
      </w:pPr>
      <w:r>
        <w:tab/>
      </w:r>
      <w:r>
        <w:tab/>
        <w:t>or</w:t>
      </w:r>
    </w:p>
    <w:p>
      <w:pPr>
        <w:pStyle w:val="Defpara"/>
      </w:pPr>
      <w:r>
        <w:tab/>
        <w:t>(b)</w:t>
      </w:r>
      <w:r>
        <w:tab/>
        <w:t>a proposed amendment to implementation conditions relating to an approved proposal if implementation of the proposal under the amended implementation conditions is likely to have a significant detrimental effect on the environment in addition to, or different from, the effect the proposal has in its implementation under the existing implementation conditions;</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keepNex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w:t>
      </w:r>
      <w:r>
        <w:lastRenderedPageBreak/>
        <w:t>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p>
    <w:p>
      <w:pPr>
        <w:pStyle w:val="Defstart"/>
      </w:pPr>
      <w:r>
        <w:rPr>
          <w:b/>
        </w:rPr>
        <w:tab/>
      </w:r>
      <w:r>
        <w:rPr>
          <w:rStyle w:val="CharDefText"/>
        </w:rPr>
        <w:t>works approval</w:t>
      </w:r>
      <w:r>
        <w:t xml:space="preserve"> means a works approval granted and in force under Part V Division 3.</w:t>
      </w:r>
    </w:p>
    <w:p>
      <w:pPr>
        <w:pStyle w:val="Subsection"/>
      </w:pPr>
      <w:r>
        <w:tab/>
        <w:t>(1A)</w:t>
      </w:r>
      <w:r>
        <w:tab/>
        <w:t xml:space="preserve">A reference in this Act to a Ministerial statement is a reference to — </w:t>
      </w:r>
    </w:p>
    <w:p>
      <w:pPr>
        <w:pStyle w:val="Indenta"/>
      </w:pPr>
      <w:r>
        <w:tab/>
        <w:t>(a)</w:t>
      </w:r>
      <w:r>
        <w:tab/>
        <w:t>a statement served and published under section 45(8) or under section 45(8) as applied by section 46(8); or</w:t>
      </w:r>
    </w:p>
    <w:p>
      <w:pPr>
        <w:pStyle w:val="Indenta"/>
      </w:pPr>
      <w:r>
        <w:tab/>
        <w:t>(b)</w:t>
      </w:r>
      <w:r>
        <w:tab/>
        <w:t>a statement published under section 45(8)(b) as applied by section 110(3); or</w:t>
      </w:r>
    </w:p>
    <w:p>
      <w:pPr>
        <w:pStyle w:val="Indenta"/>
      </w:pPr>
      <w:r>
        <w:tab/>
        <w:t>(c)</w:t>
      </w:r>
      <w:r>
        <w:tab/>
        <w:t>a statement published as required by section 45D(2) or (3); or</w:t>
      </w:r>
    </w:p>
    <w:p>
      <w:pPr>
        <w:pStyle w:val="Indenta"/>
      </w:pPr>
      <w:r>
        <w:lastRenderedPageBreak/>
        <w:tab/>
        <w:t>(d)</w:t>
      </w:r>
      <w:r>
        <w:tab/>
        <w:t>if it is appropriate in the context, the implementation agreement or decision, as defined in section 44A, set out in a statement mentioned in paragraph (a), (b) or (c).</w:t>
      </w:r>
    </w:p>
    <w:p>
      <w:pPr>
        <w:pStyle w:val="Subsection"/>
      </w:pPr>
      <w:r>
        <w:tab/>
        <w:t>(1B)</w:t>
      </w:r>
      <w:r>
        <w:tab/>
        <w:t>A reference in this Act to the effect of a proposal on the environment includes a reference to the cumulative effect of impacts of the proposal on the environment.</w:t>
      </w:r>
    </w:p>
    <w:p>
      <w:pPr>
        <w:pStyle w:val="Subsection"/>
      </w:pPr>
      <w:r>
        <w:tab/>
        <w:t>(2)</w:t>
      </w:r>
      <w:r>
        <w:tab/>
        <w:t xml:space="preserve">In the case of humans, the reference to social surroundings in the definition of </w:t>
      </w:r>
      <w:r>
        <w:rPr>
          <w:b/>
          <w:i/>
        </w:rPr>
        <w:t>environment</w:t>
      </w:r>
      <w:r>
        <w:t xml:space="preserve"> in subsection (1) is a reference to aesthetic, cultural, economic and other social surroundings to the extent to which they directly affect or are affected by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pPr>
        <w:pStyle w:val="Indenta"/>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t xml:space="preserve"> (including a subdivision of land by a community scheme under the </w:t>
      </w:r>
      <w:r>
        <w:rPr>
          <w:i/>
        </w:rPr>
        <w:t>Community Titles Act 2018</w:t>
      </w:r>
      <w:r>
        <w:t>); or</w:t>
      </w:r>
    </w:p>
    <w:p>
      <w:pPr>
        <w:pStyle w:val="Indenta"/>
      </w:pPr>
      <w:r>
        <w:tab/>
        <w:t>(b)</w:t>
      </w:r>
      <w:r>
        <w:tab/>
        <w:t xml:space="preserve">a subdivision of land by a strata scheme under the </w:t>
      </w:r>
      <w:r>
        <w:rPr>
          <w:i/>
        </w:rPr>
        <w:t>Strata Titles Act 1985</w:t>
      </w:r>
      <w:r>
        <w:t>.</w:t>
      </w:r>
    </w:p>
    <w:p>
      <w:pPr>
        <w:pStyle w:val="Subsection"/>
        <w:keepLines/>
      </w:pPr>
      <w:r>
        <w:lastRenderedPageBreak/>
        <w:tab/>
        <w:t>(2b)</w:t>
      </w:r>
      <w:r>
        <w:tab/>
        <w:t xml:space="preserve">If a person is for the time being nominated under section 38H(2) as being responsible for a proposal that person is to be regarded, for the purposes of the definition of </w:t>
      </w:r>
      <w:r>
        <w:rPr>
          <w:b/>
          <w:bCs/>
          <w:i/>
          <w:iCs/>
        </w:rPr>
        <w:t>proponent</w:t>
      </w:r>
      <w:r>
        <w:t xml:space="preserve"> in subsection (1), as the person responsible for the proposal.</w:t>
      </w:r>
    </w:p>
    <w:p>
      <w:pPr>
        <w:pStyle w:val="Subsection"/>
        <w:keepNext/>
        <w:rPr>
          <w:snapToGrid w:val="0"/>
        </w:rPr>
      </w:pPr>
      <w:r>
        <w:rPr>
          <w:snapToGrid w:val="0"/>
        </w:rPr>
        <w:tab/>
        <w:t>(3)</w:t>
      </w:r>
      <w:r>
        <w:rPr>
          <w:snapToGrid w:val="0"/>
        </w:rPr>
        <w:tab/>
        <w:t>For the purposes of this Act, noise is to be taken to be unreasonable if —</w:t>
      </w:r>
    </w:p>
    <w:p>
      <w:pPr>
        <w:pStyle w:val="Indenta"/>
        <w:keepNext/>
        <w:spacing w:before="70"/>
        <w:rPr>
          <w:snapToGrid w:val="0"/>
        </w:rPr>
      </w:pPr>
      <w:r>
        <w:rPr>
          <w:snapToGrid w:val="0"/>
        </w:rPr>
        <w:tab/>
        <w:t>(a)</w:t>
      </w:r>
      <w:r>
        <w:rPr>
          <w:snapToGrid w:val="0"/>
        </w:rPr>
        <w:tab/>
        <w:t>it is emitted, or the equipment emitting it is used, in contravention of —</w:t>
      </w:r>
    </w:p>
    <w:p>
      <w:pPr>
        <w:pStyle w:val="Indenti"/>
        <w:spacing w:before="70"/>
        <w:rPr>
          <w:snapToGrid w:val="0"/>
        </w:rPr>
      </w:pPr>
      <w:r>
        <w:rPr>
          <w:snapToGrid w:val="0"/>
        </w:rPr>
        <w:tab/>
        <w:t>(i)</w:t>
      </w:r>
      <w:r>
        <w:rPr>
          <w:snapToGrid w:val="0"/>
        </w:rPr>
        <w:tab/>
        <w:t>this Act; or</w:t>
      </w:r>
    </w:p>
    <w:p>
      <w:pPr>
        <w:pStyle w:val="Indenti"/>
        <w:spacing w:before="7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keepNext/>
        <w:spacing w:before="70"/>
        <w:rPr>
          <w:snapToGrid w:val="0"/>
        </w:rPr>
      </w:pPr>
      <w:r>
        <w:rPr>
          <w:snapToGrid w:val="0"/>
        </w:rPr>
        <w:tab/>
        <w:t>(iii)</w:t>
      </w:r>
      <w:r>
        <w:rPr>
          <w:snapToGrid w:val="0"/>
        </w:rPr>
        <w:tab/>
        <w:t>any requirement or permission (by whatever name called) made or given by or under this Act;</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70"/>
        <w:rPr>
          <w:snapToGrid w:val="0"/>
        </w:rPr>
      </w:pPr>
      <w:r>
        <w:rPr>
          <w:snapToGrid w:val="0"/>
        </w:rPr>
        <w:tab/>
        <w:t>(c)</w:t>
      </w:r>
      <w:r>
        <w:rPr>
          <w:snapToGrid w:val="0"/>
        </w:rPr>
        <w:tab/>
        <w:t>it is prescribed to be unreasonable for the purposes of this Act.</w:t>
      </w:r>
    </w:p>
    <w:p>
      <w:pPr>
        <w:pStyle w:val="Subsection"/>
      </w:pPr>
      <w:r>
        <w:tab/>
        <w:t>(3a)</w:t>
      </w:r>
      <w:r>
        <w:tab/>
        <w:t>A reference in this Act to the amendment or changing of implementation conditions is a reference to —</w:t>
      </w:r>
    </w:p>
    <w:p>
      <w:pPr>
        <w:pStyle w:val="Indenta"/>
      </w:pPr>
      <w:r>
        <w:tab/>
        <w:t>(a)</w:t>
      </w:r>
      <w:r>
        <w:tab/>
        <w:t>varying, removing or adding implementation conditions; or</w:t>
      </w:r>
    </w:p>
    <w:p>
      <w:pPr>
        <w:pStyle w:val="Indenta"/>
      </w:pPr>
      <w:r>
        <w:tab/>
        <w:t>(b)</w:t>
      </w:r>
      <w:r>
        <w:tab/>
        <w:t>inserting implementation conditions where none existed.</w:t>
      </w:r>
    </w:p>
    <w:p>
      <w:pPr>
        <w:pStyle w:val="Subsection"/>
        <w:keepNext/>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w:t>
      </w:r>
      <w:r>
        <w:rPr>
          <w:snapToGrid w:val="0"/>
        </w:rPr>
        <w:lastRenderedPageBreak/>
        <w:t xml:space="preserve">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 </w:t>
      </w:r>
      <w:r>
        <w:rPr>
          <w:spacing w:val="-4"/>
        </w:rPr>
        <w:t>No. 45 of 2011 s. 1</w:t>
      </w:r>
      <w:r>
        <w:t>37(2)</w:t>
      </w:r>
      <w:r>
        <w:noBreakHyphen/>
        <w:t>(6); No. 8 of 2012 s. 100; No. 30 of 2018 s. 138; No. 32 of 2018 s. 210; No. 40 of 2020 s. 4(1), (3), (5), (7)</w:t>
      </w:r>
      <w:r>
        <w:noBreakHyphen/>
        <w:t>(9) and 111(1); No. 45 of 2020 s. 102; No. 26 of 2020 s. 55.]</w:t>
      </w:r>
    </w:p>
    <w:p>
      <w:pPr>
        <w:pStyle w:val="Heading5"/>
        <w:rPr>
          <w:snapToGrid w:val="0"/>
        </w:rPr>
      </w:pPr>
      <w:bookmarkStart w:id="7" w:name="_Toc199511775"/>
      <w:r>
        <w:rPr>
          <w:rStyle w:val="CharSectno"/>
        </w:rPr>
        <w:t>3A</w:t>
      </w:r>
      <w:r>
        <w:t>.</w:t>
      </w:r>
      <w:r>
        <w:tab/>
        <w:t>Terms used relating to pollution and environmental harm</w:t>
      </w:r>
      <w:bookmarkEnd w:id="7"/>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 or</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r>
      <w:r>
        <w:tab/>
        <w:t>or</w:t>
      </w:r>
    </w:p>
    <w:p>
      <w:pPr>
        <w:pStyle w:val="Defpara"/>
      </w:pPr>
      <w:r>
        <w:tab/>
        <w:t>(b)</w:t>
      </w:r>
      <w:r>
        <w:tab/>
        <w:t>alteration of the environment to its detriment or degradation or potential detriment or degradation; or</w:t>
      </w:r>
    </w:p>
    <w:p>
      <w:pPr>
        <w:pStyle w:val="Defpara"/>
      </w:pPr>
      <w:r>
        <w:lastRenderedPageBreak/>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tab/>
      </w:r>
      <w:r>
        <w:rPr>
          <w:rStyle w:val="CharDefText"/>
        </w:rPr>
        <w:t>serious environmental harm</w:t>
      </w:r>
      <w:r>
        <w:t xml:space="preserve"> means environmental harm that —</w:t>
      </w:r>
    </w:p>
    <w:p>
      <w:pPr>
        <w:pStyle w:val="Defpara"/>
      </w:pPr>
      <w:r>
        <w:tab/>
        <w:t>(a)</w:t>
      </w:r>
      <w:r>
        <w:tab/>
        <w:t>is irreversible, of a high impact or on a wide scale; or</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$100 000, or if a greater amount is prescribed by regulation, that amount.</w:t>
      </w:r>
    </w:p>
    <w:p>
      <w:pPr>
        <w:pStyle w:val="Footnotesection"/>
      </w:pPr>
      <w:r>
        <w:tab/>
        <w:t>[Section 3A inserted: No. 54 of 2003 s. 29; amended: No. 40 of 2020 s. 5.]</w:t>
      </w:r>
    </w:p>
    <w:p>
      <w:pPr>
        <w:pStyle w:val="Heading5"/>
        <w:rPr>
          <w:snapToGrid w:val="0"/>
        </w:rPr>
      </w:pPr>
      <w:bookmarkStart w:id="8" w:name="_Toc199511776"/>
      <w:r>
        <w:rPr>
          <w:rStyle w:val="CharSectno"/>
        </w:rPr>
        <w:t>4</w:t>
      </w:r>
      <w:r>
        <w:rPr>
          <w:snapToGrid w:val="0"/>
        </w:rPr>
        <w:t>.</w:t>
      </w:r>
      <w:r>
        <w:rPr>
          <w:snapToGrid w:val="0"/>
        </w:rPr>
        <w:tab/>
        <w:t>Crown bound</w:t>
      </w:r>
      <w:bookmarkEnd w:id="8"/>
    </w:p>
    <w:p>
      <w:pPr>
        <w:pStyle w:val="Subsection"/>
        <w:rPr>
          <w:snapToGrid w:val="0"/>
        </w:rPr>
      </w:pPr>
      <w:r>
        <w:rPr>
          <w:snapToGrid w:val="0"/>
        </w:rPr>
        <w:tab/>
      </w:r>
      <w:r>
        <w:rPr>
          <w:snapToGrid w:val="0"/>
        </w:rPr>
        <w:tab/>
        <w:t>This Act binds the Crown.</w:t>
      </w:r>
    </w:p>
    <w:p>
      <w:pPr>
        <w:pStyle w:val="Heading5"/>
        <w:rPr>
          <w:snapToGrid w:val="0"/>
        </w:rPr>
      </w:pPr>
      <w:bookmarkStart w:id="9" w:name="_Toc199511777"/>
      <w:r>
        <w:rPr>
          <w:rStyle w:val="CharSectno"/>
        </w:rPr>
        <w:lastRenderedPageBreak/>
        <w:t>4A</w:t>
      </w:r>
      <w:r>
        <w:rPr>
          <w:snapToGrid w:val="0"/>
        </w:rPr>
        <w:t>.</w:t>
      </w:r>
      <w:r>
        <w:rPr>
          <w:snapToGrid w:val="0"/>
        </w:rPr>
        <w:tab/>
        <w:t>Object and principles of Act</w:t>
      </w:r>
      <w:bookmarkEnd w:id="9"/>
    </w:p>
    <w:p>
      <w:pPr>
        <w:pStyle w:val="Subsection"/>
        <w:keepNext/>
        <w:spacing w:before="120"/>
      </w:pPr>
      <w:r>
        <w:tab/>
      </w:r>
      <w:r>
        <w:tab/>
        <w:t>The object of this Act is to protect the environment of the State, having regard to the following principles —</w:t>
      </w:r>
    </w:p>
    <w:p>
      <w:pPr>
        <w:pStyle w:val="THeadingNAm"/>
        <w:spacing w:before="120" w:after="0"/>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spacing w:before="100"/>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spacing w:before="100"/>
              <w:ind w:left="612" w:hanging="612"/>
            </w:pPr>
            <w:r>
              <w:tab/>
              <w:t>In the application of the precautionary principle, decisions should be guided by —</w:t>
            </w:r>
          </w:p>
          <w:p>
            <w:pPr>
              <w:pStyle w:val="TableNAm"/>
              <w:tabs>
                <w:tab w:val="left" w:pos="1092"/>
              </w:tabs>
              <w:spacing w:before="100"/>
              <w:ind w:left="1092" w:hanging="1092"/>
            </w:pPr>
            <w:r>
              <w:tab/>
              <w:t>(a)</w:t>
            </w:r>
            <w:r>
              <w:tab/>
              <w:t>careful evaluation to avoid, where practicable, serious or irreversible damage to the environment; and</w:t>
            </w:r>
          </w:p>
          <w:p>
            <w:pPr>
              <w:pStyle w:val="TableNAm"/>
              <w:tabs>
                <w:tab w:val="left" w:pos="1092"/>
              </w:tabs>
              <w:spacing w:before="100"/>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t>2.</w:t>
            </w:r>
            <w:r>
              <w:tab/>
            </w:r>
            <w:r>
              <w:rPr>
                <w:i/>
                <w:iCs/>
              </w:rPr>
              <w:t>The principle of intergenerational equity</w:t>
            </w:r>
          </w:p>
          <w:p>
            <w:pPr>
              <w:pStyle w:val="TableNAm"/>
              <w:spacing w:before="100"/>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spacing w:before="100"/>
              <w:ind w:left="612" w:hanging="612"/>
            </w:pPr>
            <w:r>
              <w:tab/>
              <w:t>Conservation of biological diversity and ecological integrity should be a fundamental consideration.</w:t>
            </w:r>
          </w:p>
        </w:tc>
      </w:tr>
      <w:t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spacing w:before="100"/>
              <w:ind w:left="1092" w:hanging="1092"/>
            </w:pPr>
            <w:r>
              <w:tab/>
              <w:t>(1)</w:t>
            </w:r>
            <w:r>
              <w:tab/>
              <w:t>Environmental factors should be included in the valuation of assets and services.</w:t>
            </w:r>
          </w:p>
          <w:p>
            <w:pPr>
              <w:pStyle w:val="TableNAm"/>
              <w:tabs>
                <w:tab w:val="left" w:pos="1092"/>
              </w:tabs>
              <w:spacing w:before="100"/>
              <w:ind w:left="1092" w:hanging="1092"/>
            </w:pPr>
            <w:r>
              <w:lastRenderedPageBreak/>
              <w:tab/>
              <w:t>(2)</w:t>
            </w:r>
            <w:r>
              <w:tab/>
              <w:t>The polluter pays principle — those who generate pollution and waste should bear the cost of containment, avoidance or abatement.</w:t>
            </w:r>
          </w:p>
        </w:tc>
      </w:tr>
      <w:tr>
        <w:trPr>
          <w:cantSplit/>
          <w:trHeight w:val="1304"/>
        </w:trPr>
        <w:tc>
          <w:tcPr>
            <w:tcW w:w="5823" w:type="dxa"/>
            <w:tcBorders>
              <w:top w:val="nil"/>
            </w:tcBorders>
          </w:tcPr>
          <w:p>
            <w:pPr>
              <w:pStyle w:val="TableNAm"/>
              <w:tabs>
                <w:tab w:val="left" w:pos="1092"/>
              </w:tabs>
              <w:ind w:left="1092" w:hanging="1092"/>
            </w:pPr>
            <w:r>
              <w:lastRenderedPageBreak/>
              <w:tab/>
              <w:t>(3)</w:t>
            </w:r>
            <w:r>
              <w:tab/>
              <w:t>The users of goods and services should pay prices based on the full life cycle costs of providing goods and services, including the use of natural resources and assets and the ultimate disposal of any wastes.</w:t>
            </w:r>
          </w:p>
          <w:p>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NAm"/>
              <w:keepNext/>
              <w:tabs>
                <w:tab w:val="left" w:pos="1092"/>
              </w:tabs>
              <w:ind w:left="1092" w:hanging="1092"/>
              <w:rPr>
                <w:i/>
                <w:iCs/>
              </w:rPr>
            </w:pPr>
            <w:r>
              <w:t>5.</w:t>
            </w:r>
            <w:r>
              <w:tab/>
            </w:r>
            <w:r>
              <w:rPr>
                <w:i/>
                <w:iCs/>
              </w:rPr>
              <w:t>The principle of waste minimisation</w:t>
            </w:r>
          </w:p>
          <w:p>
            <w:pPr>
              <w:pStyle w:val="TableNAm"/>
              <w:keepNext/>
              <w:ind w:left="612" w:hanging="612"/>
            </w:pPr>
            <w:r>
              <w:tab/>
              <w:t>All reasonable and practicable measures should be taken to minimise the generation of waste and its discharge into the environment.</w:t>
            </w:r>
          </w:p>
        </w:tc>
      </w:tr>
    </w:tbl>
    <w:p>
      <w:pPr>
        <w:pStyle w:val="Footnotesection"/>
      </w:pPr>
      <w:r>
        <w:tab/>
        <w:t>[Section 4A inserted: No. 54 of 2003 s. 122.]</w:t>
      </w:r>
    </w:p>
    <w:p>
      <w:pPr>
        <w:pStyle w:val="Heading5"/>
        <w:rPr>
          <w:snapToGrid w:val="0"/>
        </w:rPr>
      </w:pPr>
      <w:bookmarkStart w:id="10" w:name="_Toc199511778"/>
      <w:r>
        <w:rPr>
          <w:rStyle w:val="CharSectno"/>
        </w:rPr>
        <w:t>5</w:t>
      </w:r>
      <w:r>
        <w:rPr>
          <w:snapToGrid w:val="0"/>
        </w:rPr>
        <w:t>.</w:t>
      </w:r>
      <w:r>
        <w:rPr>
          <w:snapToGrid w:val="0"/>
        </w:rPr>
        <w:tab/>
        <w:t>Inconsistent laws</w:t>
      </w:r>
      <w:bookmarkEnd w:id="10"/>
    </w:p>
    <w:p>
      <w:pPr>
        <w:pStyle w:val="Subsection"/>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ind w:left="890" w:hanging="890"/>
      </w:pPr>
      <w:r>
        <w:tab/>
        <w:t>[Section 5 amended: No. 54 of 2003 s. 90 and 123.]</w:t>
      </w:r>
    </w:p>
    <w:p>
      <w:pPr>
        <w:pStyle w:val="Heading5"/>
        <w:rPr>
          <w:snapToGrid w:val="0"/>
        </w:rPr>
      </w:pPr>
      <w:bookmarkStart w:id="11" w:name="_Toc199511779"/>
      <w:r>
        <w:rPr>
          <w:rStyle w:val="CharSectno"/>
        </w:rPr>
        <w:t>6</w:t>
      </w:r>
      <w:r>
        <w:rPr>
          <w:snapToGrid w:val="0"/>
        </w:rPr>
        <w:t>.</w:t>
      </w:r>
      <w:r>
        <w:rPr>
          <w:snapToGrid w:val="0"/>
        </w:rPr>
        <w:tab/>
        <w:t>Power of Minister or Authority to exempt</w:t>
      </w:r>
      <w:bookmarkEnd w:id="11"/>
    </w:p>
    <w:p>
      <w:pPr>
        <w:pStyle w:val="Subsection"/>
        <w:keepNext/>
        <w:spacing w:before="240"/>
        <w:rPr>
          <w:snapToGrid w:val="0"/>
        </w:rPr>
      </w:pPr>
      <w:r>
        <w:rPr>
          <w:snapToGrid w:val="0"/>
        </w:rPr>
        <w:tab/>
        <w:t>(1)</w:t>
      </w:r>
      <w:r>
        <w:rPr>
          <w:snapToGrid w:val="0"/>
        </w:rPr>
        <w:tab/>
        <w:t xml:space="preserve">The Minister or the Authority may with the approval of the Governor declare by order that all or any of the provisions of </w:t>
      </w:r>
      <w:r>
        <w:rPr>
          <w:snapToGrid w:val="0"/>
        </w:rPr>
        <w:lastRenderedPageBreak/>
        <w:t>this Act or of an approved policy do not apply according to that order in respect of —</w:t>
      </w:r>
    </w:p>
    <w:p>
      <w:pPr>
        <w:pStyle w:val="Indenta"/>
        <w:rPr>
          <w:snapToGrid w:val="0"/>
        </w:rPr>
      </w:pPr>
      <w:r>
        <w:rPr>
          <w:snapToGrid w:val="0"/>
        </w:rPr>
        <w:tab/>
        <w:t>(a)</w:t>
      </w:r>
      <w:r>
        <w:rPr>
          <w:snapToGrid w:val="0"/>
        </w:rPr>
        <w:tab/>
        <w:t>any specified area of the State; or</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by subsection (4), publish in the </w:t>
      </w:r>
      <w:r>
        <w:rPr>
          <w:i/>
          <w:snapToGrid w:val="0"/>
        </w:rPr>
        <w:t>Gazette</w:t>
      </w:r>
      <w:r>
        <w:rPr>
          <w:snapToGrid w:val="0"/>
        </w:rPr>
        <w:t xml:space="preserve"> reasonable notice of the intention of the Minister or Authority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w:t>
      </w:r>
      <w:r>
        <w:rPr>
          <w:snapToGrid w:val="0"/>
        </w:rPr>
        <w:lastRenderedPageBreak/>
        <w:t>Minister or the Authority exercises the power of revocation concerned.</w:t>
      </w:r>
    </w:p>
    <w:p>
      <w:pPr>
        <w:pStyle w:val="Subsection"/>
        <w:rPr>
          <w:snapToGrid w:val="0"/>
        </w:rPr>
      </w:pPr>
      <w:r>
        <w:rPr>
          <w:snapToGrid w:val="0"/>
        </w:rPr>
        <w:tab/>
        <w:t>(7)</w:t>
      </w:r>
      <w:r>
        <w:rPr>
          <w:snapToGrid w:val="0"/>
        </w:rPr>
        <w:tab/>
        <w:t>A person who breaches a condition with which the person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keepNext/>
      </w:pPr>
      <w:r>
        <w:rPr>
          <w:b/>
        </w:rPr>
        <w:tab/>
      </w:r>
      <w:r>
        <w:rPr>
          <w:rStyle w:val="CharDefText"/>
        </w:rPr>
        <w:t>specified</w:t>
      </w:r>
      <w:r>
        <w:t xml:space="preserve"> means specified in the relevant order made under this section.</w:t>
      </w:r>
    </w:p>
    <w:p>
      <w:pPr>
        <w:pStyle w:val="Footnotesection"/>
      </w:pPr>
      <w:r>
        <w:tab/>
        <w:t>[Section 6 amended: No. 40 of 2020 s. 111(1).]</w:t>
      </w:r>
    </w:p>
    <w:p>
      <w:pPr>
        <w:pStyle w:val="Heading2"/>
      </w:pPr>
      <w:bookmarkStart w:id="12" w:name="_Toc199511780"/>
      <w:r>
        <w:rPr>
          <w:rStyle w:val="CharPartNo"/>
        </w:rPr>
        <w:lastRenderedPageBreak/>
        <w:t>Part II</w:t>
      </w:r>
      <w:r>
        <w:t> — </w:t>
      </w:r>
      <w:r>
        <w:rPr>
          <w:rStyle w:val="CharPartText"/>
        </w:rPr>
        <w:t>Environmental Protection Authority</w:t>
      </w:r>
      <w:bookmarkEnd w:id="12"/>
    </w:p>
    <w:p>
      <w:pPr>
        <w:pStyle w:val="Heading3"/>
      </w:pPr>
      <w:bookmarkStart w:id="13" w:name="_Toc199511781"/>
      <w:r>
        <w:rPr>
          <w:rStyle w:val="CharDivNo"/>
          <w:spacing w:val="-4"/>
        </w:rPr>
        <w:t>Division 1</w:t>
      </w:r>
      <w:r>
        <w:rPr>
          <w:snapToGrid w:val="0"/>
          <w:spacing w:val="-4"/>
        </w:rPr>
        <w:t> — </w:t>
      </w:r>
      <w:r>
        <w:rPr>
          <w:rStyle w:val="CharDivText"/>
          <w:spacing w:val="-4"/>
        </w:rPr>
        <w:t>Composition, procedure, etc. of Environmental Protection Authority</w:t>
      </w:r>
      <w:bookmarkEnd w:id="13"/>
    </w:p>
    <w:p>
      <w:pPr>
        <w:pStyle w:val="Heading5"/>
        <w:rPr>
          <w:snapToGrid w:val="0"/>
        </w:rPr>
      </w:pPr>
      <w:bookmarkStart w:id="14" w:name="_Toc199511782"/>
      <w:r>
        <w:rPr>
          <w:rStyle w:val="CharSectno"/>
        </w:rPr>
        <w:t>7</w:t>
      </w:r>
      <w:r>
        <w:rPr>
          <w:snapToGrid w:val="0"/>
        </w:rPr>
        <w:t>.</w:t>
      </w:r>
      <w:r>
        <w:rPr>
          <w:snapToGrid w:val="0"/>
        </w:rPr>
        <w:tab/>
        <w:t>Continuation and composition of Environmental Protection Authority</w:t>
      </w:r>
      <w:bookmarkEnd w:id="14"/>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must publish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 xml:space="preserve">One of the Authority members shall be appointed by the Governor on the recommendation of the Minister to be the </w:t>
      </w:r>
      <w:r>
        <w:t>Chair</w:t>
      </w:r>
      <w:r>
        <w:rPr>
          <w:snapToGrid w:val="0"/>
        </w:rPr>
        <w:t xml:space="preserve"> of the Authority and another to be the Deputy </w:t>
      </w:r>
      <w:r>
        <w:t>Chair</w:t>
      </w:r>
      <w:r>
        <w:rPr>
          <w:snapToGrid w:val="0"/>
        </w:rPr>
        <w:t xml:space="preserve"> of the Authority.</w:t>
      </w:r>
    </w:p>
    <w:p>
      <w:pPr>
        <w:pStyle w:val="Subsection"/>
        <w:rPr>
          <w:snapToGrid w:val="0"/>
        </w:rPr>
      </w:pPr>
      <w:r>
        <w:rPr>
          <w:snapToGrid w:val="0"/>
        </w:rPr>
        <w:tab/>
        <w:t>(4b)</w:t>
      </w:r>
      <w:r>
        <w:rPr>
          <w:snapToGrid w:val="0"/>
        </w:rPr>
        <w:tab/>
        <w:t xml:space="preserve">The duties of the </w:t>
      </w:r>
      <w:r>
        <w:t>Chair</w:t>
      </w:r>
      <w:r>
        <w:rPr>
          <w:snapToGrid w:val="0"/>
        </w:rPr>
        <w:t xml:space="preserve"> are to be performed on a full</w:t>
      </w:r>
      <w:r>
        <w:rPr>
          <w:snapToGrid w:val="0"/>
        </w:rPr>
        <w:noBreakHyphen/>
        <w:t>time basis.</w:t>
      </w:r>
    </w:p>
    <w:p>
      <w:pPr>
        <w:pStyle w:val="Subsection"/>
        <w:rPr>
          <w:snapToGrid w:val="0"/>
        </w:rPr>
      </w:pPr>
      <w:r>
        <w:rPr>
          <w:snapToGrid w:val="0"/>
        </w:rPr>
        <w:tab/>
        <w:t>(4c)</w:t>
      </w:r>
      <w:r>
        <w:rPr>
          <w:snapToGrid w:val="0"/>
        </w:rPr>
        <w:tab/>
        <w:t xml:space="preserve">The duties of an Authority member other than the </w:t>
      </w:r>
      <w:r>
        <w:t>Chair</w:t>
      </w:r>
      <w:r>
        <w:rPr>
          <w:snapToGrid w:val="0"/>
        </w:rPr>
        <w:t xml:space="preserve">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lastRenderedPageBreak/>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 xml:space="preserve">Subject to this Act, an Authority member shall hold office for such period not exceeding 5 years as is specified in </w:t>
      </w:r>
      <w:r>
        <w:t xml:space="preserve">the </w:t>
      </w:r>
      <w:r>
        <w:rPr>
          <w:snapToGrid w:val="0"/>
        </w:rPr>
        <w:t>instrument of appointment, but may from time to time be reappointed.</w:t>
      </w:r>
    </w:p>
    <w:p>
      <w:pPr>
        <w:pStyle w:val="Subsection"/>
        <w:rPr>
          <w:snapToGrid w:val="0"/>
        </w:rPr>
      </w:pPr>
      <w:r>
        <w:rPr>
          <w:snapToGrid w:val="0"/>
        </w:rPr>
        <w:tab/>
        <w:t>(7)</w:t>
      </w:r>
      <w:r>
        <w:rPr>
          <w:snapToGrid w:val="0"/>
        </w:rPr>
        <w:tab/>
        <w:t>The office of an Authority member becomes vacant if the Authority member —</w:t>
      </w:r>
    </w:p>
    <w:p>
      <w:pPr>
        <w:pStyle w:val="Indenta"/>
      </w:pPr>
      <w:r>
        <w:tab/>
        <w:t>(a)</w:t>
      </w:r>
      <w:r>
        <w:tab/>
        <w:t xml:space="preserve">becomes an insolvent under administration within the meaning of the </w:t>
      </w:r>
      <w:r>
        <w:rPr>
          <w:i/>
        </w:rPr>
        <w:t>Corporations Act 2001</w:t>
      </w:r>
      <w:r>
        <w:t xml:space="preserve"> (Commonwealth); or</w:t>
      </w:r>
    </w:p>
    <w:p>
      <w:pPr>
        <w:pStyle w:val="Indenta"/>
      </w:pPr>
      <w:r>
        <w:tab/>
        <w:t>(b)</w:t>
      </w:r>
      <w:r>
        <w:tab/>
        <w:t xml:space="preserve">after appointment as an Authority member, becomes a person employed under and subject to the </w:t>
      </w:r>
      <w:r>
        <w:rPr>
          <w:i/>
        </w:rPr>
        <w:t>Public Sector Management Act 1994</w:t>
      </w:r>
      <w:r>
        <w:t xml:space="preserve"> Part 3; or</w:t>
      </w:r>
    </w:p>
    <w:p>
      <w:pPr>
        <w:pStyle w:val="Indenta"/>
      </w:pPr>
      <w:r>
        <w:tab/>
        <w:t>(c)</w:t>
      </w:r>
      <w: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the Authority member’s functions and proved to the satisfaction of the Governor; or</w:t>
      </w:r>
    </w:p>
    <w:p>
      <w:pPr>
        <w:pStyle w:val="Indenti"/>
        <w:rPr>
          <w:snapToGrid w:val="0"/>
        </w:rPr>
      </w:pPr>
      <w:r>
        <w:rPr>
          <w:snapToGrid w:val="0"/>
        </w:rPr>
        <w:tab/>
        <w:t>(ii)</w:t>
      </w:r>
      <w:r>
        <w:rPr>
          <w:snapToGrid w:val="0"/>
        </w:rPr>
        <w:tab/>
        <w:t>on the grounds of being absent without leave, if it is proved to the satisfaction of the Governor that the Authority member has been absent, except on leave granted by the Minister, from 3 consecutive meetings of the Authority of which the Authority member has had reasonable notice;</w:t>
      </w:r>
    </w:p>
    <w:p>
      <w:pPr>
        <w:pStyle w:val="Indenta"/>
        <w:rPr>
          <w:snapToGrid w:val="0"/>
        </w:rPr>
      </w:pPr>
      <w:r>
        <w:rPr>
          <w:snapToGrid w:val="0"/>
        </w:rPr>
        <w:tab/>
      </w:r>
      <w:r>
        <w:rPr>
          <w:snapToGrid w:val="0"/>
        </w:rPr>
        <w:tab/>
        <w:t>or</w:t>
      </w:r>
    </w:p>
    <w:p>
      <w:pPr>
        <w:pStyle w:val="Indenta"/>
      </w:pPr>
      <w:r>
        <w:tab/>
        <w:t>(d)</w:t>
      </w:r>
      <w:r>
        <w:tab/>
        <w:t>resigns from office by notice in writing delivered to the Minister.</w:t>
      </w:r>
    </w:p>
    <w:p>
      <w:pPr>
        <w:pStyle w:val="Subsection"/>
        <w:keepNext/>
        <w:rPr>
          <w:snapToGrid w:val="0"/>
        </w:rPr>
      </w:pPr>
      <w:r>
        <w:rPr>
          <w:snapToGrid w:val="0"/>
        </w:rPr>
        <w:lastRenderedPageBreak/>
        <w:tab/>
        <w:t>(8)</w:t>
      </w:r>
      <w:r>
        <w:rPr>
          <w:snapToGrid w:val="0"/>
        </w:rPr>
        <w:tab/>
        <w:t>The person who is the Chair or the Deputy Chair ceases to hold that office if the person’s office as an Authority member becomes vacant.</w:t>
      </w:r>
    </w:p>
    <w:p>
      <w:pPr>
        <w:pStyle w:val="Footnotesection"/>
      </w:pPr>
      <w:r>
        <w:tab/>
        <w:t>[Section 7 amended: No. 113 of 1987 s. 32; No. 34 of 1993 s. 5; No. 32 of 1994 s. 19; No. 10 of 2001 s. 70; No. 40 of 2020 s. 6 and 111(1).]</w:t>
      </w:r>
    </w:p>
    <w:p>
      <w:pPr>
        <w:pStyle w:val="Heading5"/>
        <w:rPr>
          <w:snapToGrid w:val="0"/>
        </w:rPr>
      </w:pPr>
      <w:bookmarkStart w:id="15" w:name="_Toc199511783"/>
      <w:r>
        <w:rPr>
          <w:rStyle w:val="CharSectno"/>
        </w:rPr>
        <w:t>8</w:t>
      </w:r>
      <w:r>
        <w:rPr>
          <w:snapToGrid w:val="0"/>
        </w:rPr>
        <w:t>.</w:t>
      </w:r>
      <w:r>
        <w:rPr>
          <w:snapToGrid w:val="0"/>
        </w:rPr>
        <w:tab/>
        <w:t>Independence of Authority and Chair</w:t>
      </w:r>
      <w:bookmarkEnd w:id="15"/>
    </w:p>
    <w:p>
      <w:pPr>
        <w:pStyle w:val="Subsection"/>
        <w:rPr>
          <w:snapToGrid w:val="0"/>
        </w:rPr>
      </w:pPr>
      <w:r>
        <w:rPr>
          <w:snapToGrid w:val="0"/>
        </w:rPr>
        <w:tab/>
      </w:r>
      <w:r>
        <w:rPr>
          <w:snapToGrid w:val="0"/>
        </w:rPr>
        <w:tab/>
        <w:t>Subject to this Act, neither of the following is subject to the direction of the Minister —</w:t>
      </w:r>
    </w:p>
    <w:p>
      <w:pPr>
        <w:pStyle w:val="Indenta"/>
      </w:pPr>
      <w:r>
        <w:tab/>
        <w:t>(a)</w:t>
      </w:r>
      <w:r>
        <w:tab/>
        <w:t>the Authority;</w:t>
      </w:r>
    </w:p>
    <w:p>
      <w:pPr>
        <w:pStyle w:val="Indenta"/>
      </w:pPr>
      <w:r>
        <w:tab/>
        <w:t>(b)</w:t>
      </w:r>
      <w:r>
        <w:tab/>
        <w:t>the Chair.</w:t>
      </w:r>
    </w:p>
    <w:p>
      <w:pPr>
        <w:pStyle w:val="Footnotesection"/>
      </w:pPr>
      <w:r>
        <w:tab/>
        <w:t>[Section 8 inserted: No. 40 of 2020 s. 7.]</w:t>
      </w:r>
    </w:p>
    <w:p>
      <w:pPr>
        <w:pStyle w:val="Heading5"/>
        <w:rPr>
          <w:snapToGrid w:val="0"/>
        </w:rPr>
      </w:pPr>
      <w:bookmarkStart w:id="16" w:name="_Toc199511784"/>
      <w:r>
        <w:rPr>
          <w:rStyle w:val="CharSectno"/>
        </w:rPr>
        <w:t>9</w:t>
      </w:r>
      <w:r>
        <w:rPr>
          <w:snapToGrid w:val="0"/>
        </w:rPr>
        <w:t>.</w:t>
      </w:r>
      <w:r>
        <w:rPr>
          <w:snapToGrid w:val="0"/>
        </w:rPr>
        <w:tab/>
        <w:t>Remuneration and allowances of Authority members</w:t>
      </w:r>
      <w:bookmarkEnd w:id="16"/>
    </w:p>
    <w:p>
      <w:pPr>
        <w:pStyle w:val="Subsection"/>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w:t>
      </w:r>
      <w:r>
        <w:t>the Authority member’s</w:t>
      </w:r>
      <w:r>
        <w:rPr>
          <w:snapToGrid w:val="0"/>
        </w:rPr>
        <w:t xml:space="preserve"> case.</w:t>
      </w:r>
    </w:p>
    <w:p>
      <w:pPr>
        <w:pStyle w:val="Footnotesection"/>
      </w:pPr>
      <w:r>
        <w:tab/>
        <w:t>[Section 9 amended: No. 34 of 1993 s. 7; No. 14 of 1998 s. 37; No. 39 of 2010 s. 89; No. 40 of 2020 s. 111(1).]</w:t>
      </w:r>
    </w:p>
    <w:p>
      <w:pPr>
        <w:pStyle w:val="Heading5"/>
        <w:rPr>
          <w:snapToGrid w:val="0"/>
        </w:rPr>
      </w:pPr>
      <w:bookmarkStart w:id="17" w:name="_Toc199511785"/>
      <w:r>
        <w:rPr>
          <w:rStyle w:val="CharSectno"/>
        </w:rPr>
        <w:t>10</w:t>
      </w:r>
      <w:r>
        <w:rPr>
          <w:snapToGrid w:val="0"/>
        </w:rPr>
        <w:t>.</w:t>
      </w:r>
      <w:r>
        <w:rPr>
          <w:snapToGrid w:val="0"/>
        </w:rPr>
        <w:tab/>
        <w:t>Business of Authority</w:t>
      </w:r>
      <w:bookmarkEnd w:id="17"/>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pPr>
      <w:bookmarkStart w:id="18" w:name="_Toc199511786"/>
      <w:r>
        <w:rPr>
          <w:rStyle w:val="CharSectno"/>
        </w:rPr>
        <w:t>11</w:t>
      </w:r>
      <w:r>
        <w:t>.</w:t>
      </w:r>
      <w:r>
        <w:tab/>
        <w:t>Meetings of Authority</w:t>
      </w:r>
      <w:bookmarkEnd w:id="18"/>
    </w:p>
    <w:p>
      <w:pPr>
        <w:pStyle w:val="Subsection"/>
        <w:keepNext/>
      </w:pPr>
      <w:r>
        <w:tab/>
        <w:t>(1)</w:t>
      </w:r>
      <w:r>
        <w:tab/>
        <w:t>Meetings of the Authority are to be held at such times and places as the Authority determines, but —</w:t>
      </w:r>
    </w:p>
    <w:p>
      <w:pPr>
        <w:pStyle w:val="Indenta"/>
      </w:pPr>
      <w:r>
        <w:tab/>
        <w:t>(a)</w:t>
      </w:r>
      <w:r>
        <w:tab/>
        <w:t>the Chair may convene a meeting of the Authority at any time; and</w:t>
      </w:r>
    </w:p>
    <w:p>
      <w:pPr>
        <w:pStyle w:val="Indenta"/>
      </w:pPr>
      <w:r>
        <w:lastRenderedPageBreak/>
        <w:tab/>
        <w:t>(b)</w:t>
      </w:r>
      <w:r>
        <w:tab/>
        <w:t>the Minister may convene a meeting of the Authority if the Minister wishes it to discuss a matter on which the Minister has requested its advice.</w:t>
      </w:r>
    </w:p>
    <w:p>
      <w:pPr>
        <w:pStyle w:val="Subsection"/>
      </w:pPr>
      <w:r>
        <w:tab/>
        <w:t>(2)</w:t>
      </w:r>
      <w:r>
        <w:tab/>
        <w:t>At a meeting of the Authority —</w:t>
      </w:r>
    </w:p>
    <w:p>
      <w:pPr>
        <w:pStyle w:val="Indenta"/>
      </w:pPr>
      <w:r>
        <w:tab/>
        <w:t>(a)</w:t>
      </w:r>
      <w:r>
        <w:tab/>
        <w:t xml:space="preserve">the person who presides is — </w:t>
      </w:r>
    </w:p>
    <w:p>
      <w:pPr>
        <w:pStyle w:val="Indenti"/>
      </w:pPr>
      <w:r>
        <w:tab/>
        <w:t>(i)</w:t>
      </w:r>
      <w:r>
        <w:tab/>
        <w:t>the Chair, if present; or</w:t>
      </w:r>
    </w:p>
    <w:p>
      <w:pPr>
        <w:pStyle w:val="Indenti"/>
      </w:pPr>
      <w:r>
        <w:tab/>
        <w:t>(ii)</w:t>
      </w:r>
      <w:r>
        <w:tab/>
        <w:t>if the Chair is not present — the Deputy Chair, if present; or</w:t>
      </w:r>
    </w:p>
    <w:p>
      <w:pPr>
        <w:pStyle w:val="Indenti"/>
      </w:pPr>
      <w:r>
        <w:tab/>
        <w:t>(iii)</w:t>
      </w:r>
      <w:r>
        <w:tab/>
        <w:t xml:space="preserve">if both the Chair and the Deputy Chair are not present — an Authority member elected to preside by the Authority members present; </w:t>
      </w:r>
    </w:p>
    <w:p>
      <w:pPr>
        <w:pStyle w:val="Indenta"/>
      </w:pPr>
      <w:r>
        <w:tab/>
      </w:r>
      <w:r>
        <w:tab/>
        <w:t>and</w:t>
      </w:r>
    </w:p>
    <w:p>
      <w:pPr>
        <w:pStyle w:val="Indenta"/>
      </w:pPr>
      <w:r>
        <w:tab/>
        <w:t>(b)</w:t>
      </w:r>
      <w:r>
        <w:tab/>
        <w:t>3 Authority members constitute a quorum; and</w:t>
      </w:r>
    </w:p>
    <w:p>
      <w:pPr>
        <w:pStyle w:val="Indenta"/>
      </w:pPr>
      <w:r>
        <w:tab/>
        <w:t>(c)</w:t>
      </w:r>
      <w:r>
        <w:tab/>
        <w:t>subject to section 12(5)(b), each Authority member present must cast a deliberative vote on any question that is to be decided; and</w:t>
      </w:r>
    </w:p>
    <w:p>
      <w:pPr>
        <w:pStyle w:val="Indenta"/>
      </w:pPr>
      <w:r>
        <w:tab/>
        <w:t>(d)</w:t>
      </w:r>
      <w:r>
        <w:tab/>
        <w:t>any question must be decided by a majority of the votes cast by the Authority members present, but if the voting on a question is equally divided, the person presiding at that meeting has a casting vote in addition to a deliberative vote; and</w:t>
      </w:r>
    </w:p>
    <w:p>
      <w:pPr>
        <w:pStyle w:val="Indenta"/>
      </w:pPr>
      <w:r>
        <w:tab/>
        <w:t>(e)</w:t>
      </w:r>
      <w:r>
        <w:tab/>
        <w:t>a question cannot be decided unless at least 3 Authority members vote on it.</w:t>
      </w:r>
    </w:p>
    <w:p>
      <w:pPr>
        <w:pStyle w:val="Subsection"/>
      </w:pPr>
      <w:r>
        <w:tab/>
        <w:t>(3)</w:t>
      </w:r>
      <w:r>
        <w:tab/>
        <w:t>Notice of meetings of the Authority must be given to the Department.</w:t>
      </w:r>
    </w:p>
    <w:p>
      <w:pPr>
        <w:pStyle w:val="Subsection"/>
      </w:pPr>
      <w:r>
        <w:tab/>
        <w:t>(4)</w:t>
      </w:r>
      <w:r>
        <w:tab/>
        <w:t>The CEO, or a representative of the CEO, is entitled to be present at any meeting and to take part in the consideration and discussion of any matter before a meeting, but cannot vote on any matter.</w:t>
      </w:r>
    </w:p>
    <w:p>
      <w:pPr>
        <w:pStyle w:val="Subsection"/>
      </w:pPr>
      <w:r>
        <w:tab/>
        <w:t>(5)</w:t>
      </w:r>
      <w:r>
        <w:tab/>
        <w:t xml:space="preserve">At a meeting of the Authority the presence of an Authority member need not be by attendance in person but may be by that Authority member, each other Authority member at the meeting </w:t>
      </w:r>
      <w:r>
        <w:lastRenderedPageBreak/>
        <w:t>and any person at the meeting under subsection (4) being simultaneously in contact by telephone or other means of instantaneous communication.</w:t>
      </w:r>
    </w:p>
    <w:p>
      <w:pPr>
        <w:pStyle w:val="Subsection"/>
      </w:pPr>
      <w:r>
        <w:tab/>
        <w:t>(6)</w:t>
      </w:r>
      <w:r>
        <w:tab/>
        <w:t>At a meeting of the Authority the presence of a person under subsection (4) need not be by attendance in person but may be by that person and each Authority member at the meeting being simultaneously in contact by telephone or other means of instantaneous communication.</w:t>
      </w:r>
    </w:p>
    <w:p>
      <w:pPr>
        <w:pStyle w:val="Footnotesection"/>
      </w:pPr>
      <w:r>
        <w:tab/>
        <w:t>[Section 11 inserted: No. 40 of 2020 s. 8.]</w:t>
      </w:r>
    </w:p>
    <w:p>
      <w:pPr>
        <w:pStyle w:val="Heading5"/>
        <w:rPr>
          <w:snapToGrid w:val="0"/>
        </w:rPr>
      </w:pPr>
      <w:bookmarkStart w:id="19" w:name="_Toc199511787"/>
      <w:r>
        <w:rPr>
          <w:rStyle w:val="CharSectno"/>
        </w:rPr>
        <w:t>12</w:t>
      </w:r>
      <w:r>
        <w:rPr>
          <w:snapToGrid w:val="0"/>
        </w:rPr>
        <w:t>.</w:t>
      </w:r>
      <w:r>
        <w:rPr>
          <w:snapToGrid w:val="0"/>
        </w:rPr>
        <w:tab/>
        <w:t>Disclosure of interests by Authority members</w:t>
      </w:r>
      <w:bookmarkEnd w:id="19"/>
    </w:p>
    <w:p>
      <w:pPr>
        <w:pStyle w:val="Subsection"/>
        <w:rPr>
          <w:snapToGrid w:val="0"/>
        </w:rPr>
      </w:pPr>
      <w:r>
        <w:rPr>
          <w:snapToGrid w:val="0"/>
        </w:rPr>
        <w:tab/>
        <w:t>(1)</w:t>
      </w:r>
      <w:r>
        <w:rPr>
          <w:snapToGrid w:val="0"/>
        </w:rPr>
        <w:tab/>
        <w:t xml:space="preserve">An Authority member who has a direct or indirect pecuniary interest in a matter that is before a meeting of the Authority shall, as soon as possible after the relevant facts have come to </w:t>
      </w:r>
      <w:r>
        <w:t>the Authority member’s knowledge</w:t>
      </w:r>
      <w:r>
        <w:rPr>
          <w:snapToGrid w:val="0"/>
        </w:rPr>
        <w:t xml:space="preserve">, disclose the nature of </w:t>
      </w:r>
      <w:r>
        <w:t>the interest</w:t>
      </w:r>
      <w:r>
        <w:rPr>
          <w:snapToGrid w:val="0"/>
        </w:rPr>
        <w:t xml:space="preserve">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lastRenderedPageBreak/>
        <w:tab/>
        <w:t>(b)</w:t>
      </w:r>
      <w:r>
        <w:tab/>
      </w:r>
      <w:r>
        <w:rPr>
          <w:snapToGrid w:val="0"/>
        </w:rPr>
        <w:t>vote on the matter.</w:t>
      </w:r>
    </w:p>
    <w:p>
      <w:pPr>
        <w:pStyle w:val="Footnotesection"/>
      </w:pPr>
      <w:r>
        <w:tab/>
        <w:t>[Section 12 amended: No. 54 of 2003 s. 124; No. 40 of 2020 s. 111(1).]</w:t>
      </w:r>
    </w:p>
    <w:p>
      <w:pPr>
        <w:pStyle w:val="Heading5"/>
        <w:rPr>
          <w:snapToGrid w:val="0"/>
        </w:rPr>
      </w:pPr>
      <w:bookmarkStart w:id="20" w:name="_Toc199511788"/>
      <w:r>
        <w:rPr>
          <w:rStyle w:val="CharSectno"/>
        </w:rPr>
        <w:t>13</w:t>
      </w:r>
      <w:r>
        <w:rPr>
          <w:snapToGrid w:val="0"/>
        </w:rPr>
        <w:t>.</w:t>
      </w:r>
      <w:r>
        <w:rPr>
          <w:snapToGrid w:val="0"/>
        </w:rPr>
        <w:tab/>
        <w:t>Decisions of persons presiding at meetings of Authority</w:t>
      </w:r>
      <w:bookmarkEnd w:id="20"/>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21" w:name="_Toc199511789"/>
      <w:r>
        <w:rPr>
          <w:rStyle w:val="CharSectno"/>
        </w:rPr>
        <w:t>14</w:t>
      </w:r>
      <w:r>
        <w:rPr>
          <w:snapToGrid w:val="0"/>
        </w:rPr>
        <w:t>.</w:t>
      </w:r>
      <w:r>
        <w:rPr>
          <w:snapToGrid w:val="0"/>
        </w:rPr>
        <w:tab/>
        <w:t>Minutes to be kept of meetings of Authority</w:t>
      </w:r>
      <w:bookmarkEnd w:id="21"/>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 xml:space="preserve">The </w:t>
      </w:r>
      <w:r>
        <w:t>Authority</w:t>
      </w:r>
      <w:r>
        <w:rPr>
          <w:snapToGrid w:val="0"/>
        </w:rPr>
        <w:t xml:space="preserve"> must cause the minutes kept under subsection (1) to be published.</w:t>
      </w:r>
    </w:p>
    <w:p>
      <w:pPr>
        <w:pStyle w:val="Footnotesection"/>
      </w:pPr>
      <w:r>
        <w:tab/>
        <w:t>[Section 14 amended: No. 34 of 1993 s. 9; No. 40 of 2020 s. 9.]</w:t>
      </w:r>
    </w:p>
    <w:p>
      <w:pPr>
        <w:pStyle w:val="Heading5"/>
      </w:pPr>
      <w:bookmarkStart w:id="22" w:name="_Toc199511790"/>
      <w:r>
        <w:rPr>
          <w:rStyle w:val="CharSectno"/>
        </w:rPr>
        <w:t>14A</w:t>
      </w:r>
      <w:r>
        <w:t>.</w:t>
      </w:r>
      <w:r>
        <w:tab/>
        <w:t>Decision without meeting</w:t>
      </w:r>
      <w:bookmarkEnd w:id="22"/>
    </w:p>
    <w:p>
      <w:pPr>
        <w:pStyle w:val="Subsection"/>
      </w:pPr>
      <w:r>
        <w:tab/>
        <w:t>(1)</w:t>
      </w:r>
      <w:r>
        <w:tab/>
        <w:t xml:space="preserve">The purpose of this section is to enable the Authority to make a decision on a matter (the </w:t>
      </w:r>
      <w:r>
        <w:rPr>
          <w:rStyle w:val="CharDefText"/>
        </w:rPr>
        <w:t>matter</w:t>
      </w:r>
      <w:r>
        <w:t>) without a meeting of the Authority being held.</w:t>
      </w:r>
    </w:p>
    <w:p>
      <w:pPr>
        <w:pStyle w:val="Subsection"/>
      </w:pPr>
      <w:r>
        <w:tab/>
        <w:t>(2)</w:t>
      </w:r>
      <w:r>
        <w:tab/>
        <w:t>A notice setting out a draft decision on the matter may be sent by the Chair to each other Authority member for consideration.</w:t>
      </w:r>
    </w:p>
    <w:p>
      <w:pPr>
        <w:pStyle w:val="Subsection"/>
      </w:pPr>
      <w:r>
        <w:tab/>
        <w:t>(3)</w:t>
      </w:r>
      <w:r>
        <w:tab/>
        <w:t>The Deputy Chair may send a notice under subsection (2) if the Chair is unable to do so for any reason.</w:t>
      </w:r>
    </w:p>
    <w:p>
      <w:pPr>
        <w:pStyle w:val="Subsection"/>
      </w:pPr>
      <w:r>
        <w:lastRenderedPageBreak/>
        <w:tab/>
        <w:t>(4)</w:t>
      </w:r>
      <w:r>
        <w:tab/>
        <w:t>Subject to subsection (5), an Authority member may, by notice sent to each other Authority member, cast a vote on whether or not the decision should be made.</w:t>
      </w:r>
    </w:p>
    <w:p>
      <w:pPr>
        <w:pStyle w:val="Subsection"/>
      </w:pPr>
      <w:r>
        <w:tab/>
        <w:t>(5)</w:t>
      </w:r>
      <w:r>
        <w:tab/>
        <w:t>An Authority member who has a direct or indirect pecuniary interest in the matter cannot cast a vote under subsection (4).</w:t>
      </w:r>
    </w:p>
    <w:p>
      <w:pPr>
        <w:pStyle w:val="Subsection"/>
      </w:pPr>
      <w:r>
        <w:tab/>
        <w:t>(6)</w:t>
      </w:r>
      <w:r>
        <w:tab/>
        <w:t>If at least 3 Authority members cast a vote under subsection (4) and a majority of the votes are in favour of the decision being made, the decision is taken to have been made and is as effectual as if it had been made at a meeting of the Authority.</w:t>
      </w:r>
    </w:p>
    <w:p>
      <w:pPr>
        <w:pStyle w:val="Subsection"/>
      </w:pPr>
      <w:r>
        <w:tab/>
        <w:t>(7)</w:t>
      </w:r>
      <w:r>
        <w:tab/>
        <w:t>The Authority must cause a record to be kept of each decision under subsection (6) and section 14(2) applies to that record.</w:t>
      </w:r>
    </w:p>
    <w:p>
      <w:pPr>
        <w:pStyle w:val="Footnotesection"/>
      </w:pPr>
      <w:r>
        <w:tab/>
        <w:t>[Section 14A inserted: No. 40 of 2020 s. 10.]</w:t>
      </w:r>
    </w:p>
    <w:p>
      <w:pPr>
        <w:pStyle w:val="Heading5"/>
        <w:rPr>
          <w:snapToGrid w:val="0"/>
        </w:rPr>
      </w:pPr>
      <w:bookmarkStart w:id="23" w:name="_Toc199511791"/>
      <w:r>
        <w:rPr>
          <w:rStyle w:val="CharSectno"/>
        </w:rPr>
        <w:t>15</w:t>
      </w:r>
      <w:r>
        <w:rPr>
          <w:snapToGrid w:val="0"/>
        </w:rPr>
        <w:t>.</w:t>
      </w:r>
      <w:r>
        <w:rPr>
          <w:snapToGrid w:val="0"/>
        </w:rPr>
        <w:tab/>
        <w:t>Objectives of Authority</w:t>
      </w:r>
      <w:bookmarkEnd w:id="23"/>
    </w:p>
    <w:p>
      <w:pPr>
        <w:pStyle w:val="Subsection"/>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No. 54 of 2003 s. 30.]</w:t>
      </w:r>
    </w:p>
    <w:p>
      <w:pPr>
        <w:pStyle w:val="Heading5"/>
        <w:rPr>
          <w:snapToGrid w:val="0"/>
        </w:rPr>
      </w:pPr>
      <w:bookmarkStart w:id="24" w:name="_Toc199511792"/>
      <w:r>
        <w:rPr>
          <w:rStyle w:val="CharSectno"/>
        </w:rPr>
        <w:t>16</w:t>
      </w:r>
      <w:r>
        <w:rPr>
          <w:snapToGrid w:val="0"/>
        </w:rPr>
        <w:t>.</w:t>
      </w:r>
      <w:r>
        <w:rPr>
          <w:snapToGrid w:val="0"/>
        </w:rPr>
        <w:tab/>
        <w:t>Functions of Authority</w:t>
      </w:r>
      <w:bookmarkEnd w:id="24"/>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 and</w:t>
      </w:r>
    </w:p>
    <w:p>
      <w:pPr>
        <w:pStyle w:val="Ednotepara"/>
        <w:spacing w:before="80"/>
        <w:rPr>
          <w:snapToGrid w:val="0"/>
        </w:rPr>
      </w:pPr>
      <w:r>
        <w:rPr>
          <w:snapToGrid w:val="0"/>
        </w:rPr>
        <w:tab/>
        <w:t>[(aa)</w:t>
      </w:r>
      <w:r>
        <w:rPr>
          <w:snapToGrid w:val="0"/>
        </w:rPr>
        <w:tab/>
        <w:t>deleted]</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pPr>
        <w:pStyle w:val="Indenta"/>
        <w:rPr>
          <w:snapToGrid w:val="0"/>
        </w:rPr>
      </w:pPr>
      <w:r>
        <w:rPr>
          <w:snapToGrid w:val="0"/>
        </w:rPr>
        <w:lastRenderedPageBreak/>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pPr>
        <w:pStyle w:val="Indenta"/>
      </w:pPr>
      <w:r>
        <w:tab/>
        <w:t>(da)</w:t>
      </w:r>
      <w:r>
        <w:tab/>
        <w:t>to advise the Minister on the making or amendment of regulations when requested by the Minister to do so or on its own initiative;</w:t>
      </w:r>
      <w:r>
        <w:rPr>
          <w:snapToGrid w:val="0"/>
        </w:rPr>
        <w:t xml:space="preserve"> and</w:t>
      </w:r>
    </w:p>
    <w:p>
      <w:pPr>
        <w:pStyle w:val="Indenta"/>
        <w:rPr>
          <w:snapToGrid w:val="0"/>
        </w:rPr>
      </w:pPr>
      <w:r>
        <w:rPr>
          <w:snapToGrid w:val="0"/>
        </w:rPr>
        <w:tab/>
        <w:t>(e)</w:t>
      </w:r>
      <w:r>
        <w:rPr>
          <w:snapToGrid w:val="0"/>
        </w:rPr>
        <w:tab/>
        <w:t>to advise the Minister on environmental matters generally and on any matter which the Minister may refer to it for advice, including the environmental protection aspects of any proposal or scheme, and on the evaluation of information relating thereto; and</w:t>
      </w:r>
    </w:p>
    <w:p>
      <w:pPr>
        <w:pStyle w:val="Indenta"/>
        <w:spacing w:before="60"/>
        <w:rPr>
          <w:snapToGrid w:val="0"/>
        </w:rPr>
      </w:pPr>
      <w:r>
        <w:rPr>
          <w:snapToGrid w:val="0"/>
        </w:rPr>
        <w:tab/>
        <w:t>(f)</w:t>
      </w:r>
      <w:r>
        <w:rPr>
          <w:snapToGrid w:val="0"/>
        </w:rPr>
        <w:tab/>
        <w:t>to prepare, and seek approval for, environmental protection policies; and</w:t>
      </w:r>
    </w:p>
    <w:p>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pPr>
        <w:pStyle w:val="Indenta"/>
        <w:rPr>
          <w:snapToGrid w:val="0"/>
        </w:rPr>
      </w:pPr>
      <w:r>
        <w:rPr>
          <w:snapToGrid w:val="0"/>
        </w:rPr>
        <w:tab/>
        <w:t>(h)</w:t>
      </w:r>
      <w:r>
        <w:rPr>
          <w:snapToGrid w:val="0"/>
        </w:rPr>
        <w:tab/>
        <w:t>to receive representations on environmental matters from members of the public; and</w:t>
      </w:r>
    </w:p>
    <w:p>
      <w:pPr>
        <w:pStyle w:val="Indenta"/>
        <w:rPr>
          <w:snapToGrid w:val="0"/>
        </w:rPr>
      </w:pPr>
      <w:r>
        <w:rPr>
          <w:snapToGrid w:val="0"/>
        </w:rPr>
        <w:tab/>
        <w:t>(i)</w:t>
      </w:r>
      <w:r>
        <w:rPr>
          <w:snapToGrid w:val="0"/>
        </w:rPr>
        <w:tab/>
        <w:t>to provide advice on environmental matters to members of the public; and</w:t>
      </w:r>
    </w:p>
    <w:p>
      <w:pPr>
        <w:pStyle w:val="Indenta"/>
        <w:rPr>
          <w:snapToGrid w:val="0"/>
        </w:rPr>
      </w:pPr>
      <w:r>
        <w:rPr>
          <w:snapToGrid w:val="0"/>
        </w:rPr>
        <w:tab/>
        <w:t>(j)</w:t>
      </w:r>
      <w:r>
        <w:rPr>
          <w:snapToGrid w:val="0"/>
        </w:rPr>
        <w:tab/>
        <w:t>to publish reports on environmental matters generally; and</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pPr>
        <w:pStyle w:val="Indenta"/>
        <w:rPr>
          <w:snapToGrid w:val="0"/>
        </w:rPr>
      </w:pPr>
      <w:r>
        <w:rPr>
          <w:snapToGrid w:val="0"/>
        </w:rPr>
        <w:tab/>
        <w:t>(l)</w:t>
      </w:r>
      <w:r>
        <w:rPr>
          <w:snapToGrid w:val="0"/>
        </w:rPr>
        <w:tab/>
        <w:t>to keep under review the progress made in the attainment of the objects and purpose of this Act; and</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pPr>
        <w:pStyle w:val="Indenta"/>
        <w:rPr>
          <w:snapToGrid w:val="0"/>
        </w:rPr>
      </w:pPr>
      <w:r>
        <w:rPr>
          <w:snapToGrid w:val="0"/>
        </w:rPr>
        <w:lastRenderedPageBreak/>
        <w:tab/>
        <w:t>(n)</w:t>
      </w:r>
      <w:r>
        <w:rPr>
          <w:snapToGrid w:val="0"/>
        </w:rPr>
        <w:tab/>
        <w:t>to establish and develop criteria for the assessment of the extent of environmental change</w:t>
      </w:r>
      <w:r>
        <w:t>, pollution and environmental harm</w:t>
      </w:r>
      <w:r>
        <w:rPr>
          <w:snapToGrid w:val="0"/>
        </w:rPr>
        <w:t>; and</w:t>
      </w:r>
    </w:p>
    <w:p>
      <w:pPr>
        <w:pStyle w:val="Indenta"/>
        <w:rPr>
          <w:snapToGrid w:val="0"/>
        </w:rPr>
      </w:pPr>
      <w:r>
        <w:rPr>
          <w:snapToGrid w:val="0"/>
        </w:rPr>
        <w:tab/>
        <w:t>(o)</w:t>
      </w:r>
      <w:r>
        <w:rPr>
          <w:snapToGrid w:val="0"/>
        </w:rPr>
        <w:tab/>
        <w:t>to specify standards and criteria, and the methods of sampling and testing to be used for any purpose; and</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 xml:space="preserve">generally, to perform such other functions as are </w:t>
      </w:r>
      <w:r>
        <w:t>conferred by this Act or</w:t>
      </w:r>
      <w:r>
        <w:rPr>
          <w:snapToGrid w:val="0"/>
        </w:rPr>
        <w:t xml:space="preserve"> prescribed.</w:t>
      </w:r>
    </w:p>
    <w:p>
      <w:pPr>
        <w:pStyle w:val="Footnotesection"/>
        <w:spacing w:before="100"/>
      </w:pPr>
      <w:r>
        <w:tab/>
        <w:t>[Section 16 amended: No. 23 of 1996 s. 13; No. 54 of 2003 s. 31, 106 and 125; No. 40 of 2020 s. 11 and 111(1).]</w:t>
      </w:r>
    </w:p>
    <w:p>
      <w:pPr>
        <w:pStyle w:val="Heading5"/>
        <w:rPr>
          <w:snapToGrid w:val="0"/>
        </w:rPr>
      </w:pPr>
      <w:bookmarkStart w:id="25" w:name="_Toc199511793"/>
      <w:r>
        <w:rPr>
          <w:rStyle w:val="CharSectno"/>
        </w:rPr>
        <w:t>17</w:t>
      </w:r>
      <w:r>
        <w:rPr>
          <w:snapToGrid w:val="0"/>
        </w:rPr>
        <w:t>.</w:t>
      </w:r>
      <w:r>
        <w:rPr>
          <w:snapToGrid w:val="0"/>
        </w:rPr>
        <w:tab/>
        <w:t>Powers of Authority</w:t>
      </w:r>
      <w:bookmarkEnd w:id="25"/>
    </w:p>
    <w:p>
      <w:pPr>
        <w:pStyle w:val="Subsection"/>
        <w:spacing w:before="14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 and</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pPr>
        <w:pStyle w:val="Indenta"/>
        <w:rPr>
          <w:snapToGrid w:val="0"/>
        </w:rPr>
      </w:pPr>
      <w:r>
        <w:rPr>
          <w:snapToGrid w:val="0"/>
        </w:rPr>
        <w:tab/>
        <w:t>(c)</w:t>
      </w:r>
      <w:r>
        <w:rPr>
          <w:snapToGrid w:val="0"/>
        </w:rPr>
        <w:tab/>
        <w:t xml:space="preserve">request the Minister to seek information on environmental management from any other Minister </w:t>
      </w:r>
      <w:r>
        <w:rPr>
          <w:snapToGrid w:val="0"/>
        </w:rPr>
        <w:lastRenderedPageBreak/>
        <w:t>and, on receipt of that information, to give it to the Authority; and</w:t>
      </w:r>
    </w:p>
    <w:p>
      <w:pPr>
        <w:pStyle w:val="Indenta"/>
        <w:rPr>
          <w:snapToGrid w:val="0"/>
        </w:rPr>
      </w:pPr>
      <w:r>
        <w:rPr>
          <w:snapToGrid w:val="0"/>
        </w:rPr>
        <w:tab/>
        <w:t>(d)</w:t>
      </w:r>
      <w:r>
        <w:rPr>
          <w:snapToGrid w:val="0"/>
        </w:rPr>
        <w:tab/>
        <w:t>consider and make proposals as to the policy to be followed in the State with regard to environmental matters; and</w:t>
      </w:r>
    </w:p>
    <w:p>
      <w:pPr>
        <w:pStyle w:val="Indenta"/>
        <w:rPr>
          <w:snapToGrid w:val="0"/>
        </w:rPr>
      </w:pPr>
      <w:r>
        <w:rPr>
          <w:snapToGrid w:val="0"/>
        </w:rPr>
        <w:tab/>
        <w:t>(e)</w:t>
      </w:r>
      <w:r>
        <w:rPr>
          <w:snapToGrid w:val="0"/>
        </w:rPr>
        <w:tab/>
        <w:t>conduct and promote relevant research; and</w:t>
      </w:r>
    </w:p>
    <w:p>
      <w:pPr>
        <w:pStyle w:val="Indenta"/>
        <w:rPr>
          <w:snapToGrid w:val="0"/>
        </w:rPr>
      </w:pPr>
      <w:r>
        <w:rPr>
          <w:snapToGrid w:val="0"/>
        </w:rPr>
        <w:tab/>
        <w:t>(f)</w:t>
      </w:r>
      <w:r>
        <w:rPr>
          <w:snapToGrid w:val="0"/>
        </w:rPr>
        <w:tab/>
        <w:t>undertake investigations and inspections; and</w:t>
      </w:r>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Ednotesubsection"/>
        <w:keepNext/>
      </w:pPr>
      <w:r>
        <w:tab/>
        <w:t>[(4)</w:t>
      </w:r>
      <w:r>
        <w:tab/>
        <w:t>deleted]</w:t>
      </w:r>
    </w:p>
    <w:p>
      <w:pPr>
        <w:pStyle w:val="Footnotesection"/>
      </w:pPr>
      <w:r>
        <w:tab/>
        <w:t>[Section 17 amended: No. 23 of 1996 s. 14; No. 54 of 2003 s. 107; No. 40 of 2020 s. 12.]</w:t>
      </w:r>
    </w:p>
    <w:p>
      <w:pPr>
        <w:pStyle w:val="Heading5"/>
        <w:rPr>
          <w:snapToGrid w:val="0"/>
        </w:rPr>
      </w:pPr>
      <w:bookmarkStart w:id="26" w:name="_Toc199511794"/>
      <w:r>
        <w:rPr>
          <w:rStyle w:val="CharSectno"/>
        </w:rPr>
        <w:t>17A</w:t>
      </w:r>
      <w:r>
        <w:rPr>
          <w:snapToGrid w:val="0"/>
        </w:rPr>
        <w:t>.</w:t>
      </w:r>
      <w:r>
        <w:rPr>
          <w:snapToGrid w:val="0"/>
        </w:rPr>
        <w:tab/>
        <w:t>Provision of services, information etc. to Authority</w:t>
      </w:r>
      <w:bookmarkEnd w:id="26"/>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keepNext/>
        <w:rPr>
          <w:snapToGrid w:val="0"/>
        </w:rPr>
      </w:pPr>
      <w:r>
        <w:rPr>
          <w:snapToGrid w:val="0"/>
        </w:rPr>
        <w:lastRenderedPageBreak/>
        <w:tab/>
        <w:t>(3)</w:t>
      </w:r>
      <w:r>
        <w:rPr>
          <w:snapToGrid w:val="0"/>
        </w:rPr>
        <w:tab/>
        <w:t>This section does not limit the operation of section 24.</w:t>
      </w:r>
    </w:p>
    <w:p>
      <w:pPr>
        <w:pStyle w:val="Footnotesection"/>
      </w:pPr>
      <w:r>
        <w:tab/>
        <w:t>[Section 17A inserted: No. 34 of 1993 s. 10.]</w:t>
      </w:r>
    </w:p>
    <w:p>
      <w:pPr>
        <w:pStyle w:val="Heading5"/>
        <w:spacing w:before="240"/>
        <w:rPr>
          <w:snapToGrid w:val="0"/>
        </w:rPr>
      </w:pPr>
      <w:bookmarkStart w:id="27" w:name="_Toc199511795"/>
      <w:r>
        <w:rPr>
          <w:rStyle w:val="CharSectno"/>
        </w:rPr>
        <w:t>18</w:t>
      </w:r>
      <w:r>
        <w:rPr>
          <w:snapToGrid w:val="0"/>
        </w:rPr>
        <w:t>.</w:t>
      </w:r>
      <w:r>
        <w:rPr>
          <w:snapToGrid w:val="0"/>
        </w:rPr>
        <w:tab/>
        <w:t>Delegation by Minister</w:t>
      </w:r>
      <w:bookmarkEnd w:id="27"/>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xml:space="preserve">) all or any of </w:t>
      </w:r>
      <w:r>
        <w:t>the Minister’s</w:t>
      </w:r>
      <w:r>
        <w:rPr>
          <w:snapToGrid w:val="0"/>
        </w:rPr>
        <w:t xml:space="preserve">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Footnotesection"/>
        <w:rPr>
          <w:i w:val="0"/>
        </w:rPr>
      </w:pPr>
      <w:r>
        <w:tab/>
        <w:t>[Section 18 amended: No. 40 of 2020 s. 111(1).]</w:t>
      </w:r>
    </w:p>
    <w:p>
      <w:pPr>
        <w:pStyle w:val="Heading5"/>
        <w:rPr>
          <w:snapToGrid w:val="0"/>
        </w:rPr>
      </w:pPr>
      <w:bookmarkStart w:id="28" w:name="_Toc199511796"/>
      <w:r>
        <w:rPr>
          <w:rStyle w:val="CharSectno"/>
        </w:rPr>
        <w:t>19</w:t>
      </w:r>
      <w:r>
        <w:rPr>
          <w:snapToGrid w:val="0"/>
        </w:rPr>
        <w:t>.</w:t>
      </w:r>
      <w:r>
        <w:rPr>
          <w:snapToGrid w:val="0"/>
        </w:rPr>
        <w:tab/>
        <w:t>Delegation by Authority</w:t>
      </w:r>
      <w:bookmarkEnd w:id="28"/>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keepNext/>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lastRenderedPageBreak/>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29" w:name="_Toc199511797"/>
      <w:r>
        <w:rPr>
          <w:rStyle w:val="CharSectno"/>
        </w:rPr>
        <w:t>20</w:t>
      </w:r>
      <w:r>
        <w:rPr>
          <w:snapToGrid w:val="0"/>
        </w:rPr>
        <w:t>.</w:t>
      </w:r>
      <w:r>
        <w:rPr>
          <w:snapToGrid w:val="0"/>
        </w:rPr>
        <w:tab/>
        <w:t>Delegation by CEO</w:t>
      </w:r>
      <w:bookmarkEnd w:id="29"/>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 or</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No. 34 of 1993 s. 11; No. 14 of 1998 s. 29; No. 54 of 2003 s. 140(2).]</w:t>
      </w:r>
    </w:p>
    <w:p>
      <w:pPr>
        <w:pStyle w:val="Heading5"/>
        <w:rPr>
          <w:snapToGrid w:val="0"/>
        </w:rPr>
      </w:pPr>
      <w:bookmarkStart w:id="30" w:name="_Toc199511798"/>
      <w:r>
        <w:rPr>
          <w:rStyle w:val="CharSectno"/>
        </w:rPr>
        <w:t>21</w:t>
      </w:r>
      <w:r>
        <w:rPr>
          <w:snapToGrid w:val="0"/>
        </w:rPr>
        <w:t>.</w:t>
      </w:r>
      <w:r>
        <w:rPr>
          <w:snapToGrid w:val="0"/>
        </w:rPr>
        <w:tab/>
        <w:t>Authority to make annual report</w:t>
      </w:r>
      <w:bookmarkEnd w:id="30"/>
    </w:p>
    <w:p>
      <w:pPr>
        <w:pStyle w:val="Subsection"/>
        <w:rPr>
          <w:snapToGrid w:val="0"/>
        </w:rPr>
      </w:pPr>
      <w:r>
        <w:rPr>
          <w:snapToGrid w:val="0"/>
        </w:rPr>
        <w:tab/>
      </w:r>
      <w:r>
        <w:rPr>
          <w:snapToGrid w:val="0"/>
        </w:rPr>
        <w:tab/>
        <w:t xml:space="preserve">The Authority shall as soon as practicable after the end of each financial year and in any event before the end of October next </w:t>
      </w:r>
      <w:r>
        <w:rPr>
          <w:snapToGrid w:val="0"/>
        </w:rPr>
        <w:lastRenderedPageBreak/>
        <w:t>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keepNext/>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31" w:name="_Toc199511799"/>
      <w:r>
        <w:rPr>
          <w:rStyle w:val="CharDivNo"/>
        </w:rPr>
        <w:t>Division 2</w:t>
      </w:r>
      <w:r>
        <w:rPr>
          <w:snapToGrid w:val="0"/>
        </w:rPr>
        <w:t> — </w:t>
      </w:r>
      <w:r>
        <w:rPr>
          <w:rStyle w:val="CharDivText"/>
        </w:rPr>
        <w:t>Staff of Department, etc.</w:t>
      </w:r>
      <w:bookmarkEnd w:id="31"/>
    </w:p>
    <w:p>
      <w:pPr>
        <w:pStyle w:val="Heading5"/>
        <w:spacing w:before="160"/>
        <w:rPr>
          <w:snapToGrid w:val="0"/>
        </w:rPr>
      </w:pPr>
      <w:bookmarkStart w:id="32" w:name="_Toc199511800"/>
      <w:r>
        <w:rPr>
          <w:rStyle w:val="CharSectno"/>
        </w:rPr>
        <w:t>22</w:t>
      </w:r>
      <w:r>
        <w:rPr>
          <w:snapToGrid w:val="0"/>
        </w:rPr>
        <w:t>.</w:t>
      </w:r>
      <w:r>
        <w:rPr>
          <w:snapToGrid w:val="0"/>
        </w:rPr>
        <w:tab/>
        <w:t>Appointment and engagement of staff generally</w:t>
      </w:r>
      <w:bookmarkEnd w:id="32"/>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No. 34 of 1993 s. 12; No. 32 of 1994 s. 19; No. 14 of 1998 s. 37; No. 54 of 2003 s. 140(2); No. 39 of 2010 s. 89.]</w:t>
      </w:r>
    </w:p>
    <w:p>
      <w:pPr>
        <w:pStyle w:val="Ednotesection"/>
        <w:spacing w:before="180"/>
      </w:pPr>
      <w:r>
        <w:t>[</w:t>
      </w:r>
      <w:r>
        <w:rPr>
          <w:b/>
        </w:rPr>
        <w:t>23.</w:t>
      </w:r>
      <w:r>
        <w:tab/>
        <w:t>Deleted: No. 54 of 2003 s. 126.]</w:t>
      </w:r>
    </w:p>
    <w:p>
      <w:pPr>
        <w:pStyle w:val="Heading5"/>
        <w:spacing w:before="180"/>
        <w:rPr>
          <w:snapToGrid w:val="0"/>
        </w:rPr>
      </w:pPr>
      <w:bookmarkStart w:id="33" w:name="_Toc199511801"/>
      <w:r>
        <w:rPr>
          <w:rStyle w:val="CharSectno"/>
        </w:rPr>
        <w:t>24</w:t>
      </w:r>
      <w:r>
        <w:rPr>
          <w:snapToGrid w:val="0"/>
        </w:rPr>
        <w:t>.</w:t>
      </w:r>
      <w:r>
        <w:rPr>
          <w:snapToGrid w:val="0"/>
        </w:rPr>
        <w:tab/>
        <w:t>Use of staff and facilities of other departments etc.</w:t>
      </w:r>
      <w:bookmarkEnd w:id="33"/>
    </w:p>
    <w:p>
      <w:pPr>
        <w:pStyle w:val="Subsection"/>
        <w:keepNext/>
        <w:rPr>
          <w:snapToGrid w:val="0"/>
        </w:rPr>
      </w:pPr>
      <w:r>
        <w:rPr>
          <w:snapToGrid w:val="0"/>
        </w:rPr>
        <w:tab/>
      </w:r>
      <w:r>
        <w:rPr>
          <w:snapToGrid w:val="0"/>
        </w:rPr>
        <w:tab/>
        <w:t xml:space="preserve">The Minister or the Authority may, by arrangement made between the Minister or the Authority and the Minister concerned, and on such terms and conditions as may be mutually arranged with that Minister and, if appropriate, with the relevant employing authority within the meaning of the </w:t>
      </w:r>
      <w:r>
        <w:rPr>
          <w:i/>
          <w:snapToGrid w:val="0"/>
        </w:rPr>
        <w:lastRenderedPageBreak/>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No. 32 of 1994 s. 19; No. 40 of 2020 s. 111(1).]</w:t>
      </w:r>
    </w:p>
    <w:p>
      <w:pPr>
        <w:pStyle w:val="Heading5"/>
        <w:rPr>
          <w:snapToGrid w:val="0"/>
        </w:rPr>
      </w:pPr>
      <w:bookmarkStart w:id="34" w:name="_Toc199511802"/>
      <w:r>
        <w:rPr>
          <w:rStyle w:val="CharSectno"/>
        </w:rPr>
        <w:t>25</w:t>
      </w:r>
      <w:r>
        <w:rPr>
          <w:snapToGrid w:val="0"/>
        </w:rPr>
        <w:t>.</w:t>
      </w:r>
      <w:r>
        <w:rPr>
          <w:snapToGrid w:val="0"/>
        </w:rPr>
        <w:tab/>
        <w:t>Advisory groups, committees, councils and panels</w:t>
      </w:r>
      <w:bookmarkEnd w:id="34"/>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the Minister or the Authority thinks are necessary for the purpose of advising on the administration of this Act; and</w:t>
      </w:r>
    </w:p>
    <w:p>
      <w:pPr>
        <w:pStyle w:val="Indenta"/>
        <w:rPr>
          <w:snapToGrid w:val="0"/>
        </w:rPr>
      </w:pPr>
      <w:r>
        <w:rPr>
          <w:snapToGrid w:val="0"/>
        </w:rPr>
        <w:tab/>
        <w:t>(b)</w:t>
      </w:r>
      <w:r>
        <w:rPr>
          <w:snapToGrid w:val="0"/>
        </w:rPr>
        <w:tab/>
        <w:t>with such terms of reference in each case as the Minister or the Authority thinks fit.</w:t>
      </w:r>
    </w:p>
    <w:p>
      <w:pPr>
        <w:pStyle w:val="Subsection"/>
        <w:rPr>
          <w:snapToGrid w:val="0"/>
        </w:rPr>
      </w:pPr>
      <w:r>
        <w:rPr>
          <w:snapToGrid w:val="0"/>
        </w:rPr>
        <w:tab/>
        <w:t>(2)</w:t>
      </w:r>
      <w:r>
        <w:rPr>
          <w:snapToGrid w:val="0"/>
        </w:rPr>
        <w:tab/>
        <w:t>The Minister or the Authority may appoint such persons as the Minister or the Authority thinks fit to any group, committee, council or panel established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w:t>
      </w:r>
      <w:r>
        <w:t>the member’s</w:t>
      </w:r>
      <w:r>
        <w:rPr>
          <w:snapToGrid w:val="0"/>
        </w:rPr>
        <w:t xml:space="preserve">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lastRenderedPageBreak/>
        <w:tab/>
        <w:t>(5)</w:t>
      </w:r>
      <w:r>
        <w:rPr>
          <w:snapToGrid w:val="0"/>
        </w:rPr>
        <w:tab/>
        <w:t>A person appointed under subsection (2) is not by that reason alone an officer of the Public Service of the State.</w:t>
      </w:r>
    </w:p>
    <w:p>
      <w:pPr>
        <w:pStyle w:val="Footnotesection"/>
      </w:pPr>
      <w:r>
        <w:tab/>
        <w:t>[Section 25 amended: No. 14 of 1998 s. 37; No. 39 of 2010 s. 89; No. 40 of 2020 s. 111(1).]</w:t>
      </w:r>
    </w:p>
    <w:p>
      <w:pPr>
        <w:pStyle w:val="Heading2"/>
      </w:pPr>
      <w:bookmarkStart w:id="35" w:name="_Toc199511803"/>
      <w:r>
        <w:rPr>
          <w:rStyle w:val="CharPartNo"/>
        </w:rPr>
        <w:lastRenderedPageBreak/>
        <w:t>Part III</w:t>
      </w:r>
      <w:r>
        <w:rPr>
          <w:rStyle w:val="CharDivNo"/>
        </w:rPr>
        <w:t> </w:t>
      </w:r>
      <w:r>
        <w:t>—</w:t>
      </w:r>
      <w:r>
        <w:rPr>
          <w:rStyle w:val="CharDivText"/>
        </w:rPr>
        <w:t> </w:t>
      </w:r>
      <w:r>
        <w:rPr>
          <w:rStyle w:val="CharPartText"/>
        </w:rPr>
        <w:t>Environmental protection policies</w:t>
      </w:r>
      <w:bookmarkEnd w:id="35"/>
    </w:p>
    <w:p>
      <w:pPr>
        <w:pStyle w:val="Heading5"/>
        <w:rPr>
          <w:snapToGrid w:val="0"/>
        </w:rPr>
      </w:pPr>
      <w:bookmarkStart w:id="36" w:name="_Toc199511804"/>
      <w:r>
        <w:rPr>
          <w:rStyle w:val="CharSectno"/>
        </w:rPr>
        <w:t>26</w:t>
      </w:r>
      <w:r>
        <w:rPr>
          <w:snapToGrid w:val="0"/>
        </w:rPr>
        <w:t>.</w:t>
      </w:r>
      <w:r>
        <w:rPr>
          <w:snapToGrid w:val="0"/>
        </w:rPr>
        <w:tab/>
        <w:t>Draft policy, preparation and publicising of</w:t>
      </w:r>
      <w:bookmarkEnd w:id="36"/>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pPr>
        <w:pStyle w:val="Indenta"/>
        <w:rPr>
          <w:snapToGrid w:val="0"/>
        </w:rPr>
      </w:pPr>
      <w:r>
        <w:rPr>
          <w:snapToGrid w:val="0"/>
        </w:rPr>
        <w:tab/>
        <w:t>(d)</w:t>
      </w:r>
      <w:r>
        <w:rPr>
          <w:snapToGrid w:val="0"/>
        </w:rPr>
        <w:tab/>
        <w:t>cause a notice containing prescribed particulars of the draft referred to in paragraph (c), including the places at which, and the period during which, that draft will be available for public inspection, to be published —</w:t>
      </w:r>
    </w:p>
    <w:p>
      <w:pPr>
        <w:pStyle w:val="Indenti"/>
        <w:rPr>
          <w:snapToGrid w:val="0"/>
        </w:rPr>
      </w:pPr>
      <w:r>
        <w:rPr>
          <w:snapToGrid w:val="0"/>
        </w:rPr>
        <w:tab/>
        <w:t>(i)</w:t>
      </w:r>
      <w:r>
        <w:rPr>
          <w:snapToGrid w:val="0"/>
        </w:rPr>
        <w:tab/>
        <w:t xml:space="preserve">in the </w:t>
      </w:r>
      <w:r>
        <w:rPr>
          <w:i/>
          <w:snapToGrid w:val="0"/>
        </w:rPr>
        <w:t>Gazette</w:t>
      </w:r>
      <w:r>
        <w:rPr>
          <w:snapToGrid w:val="0"/>
        </w:rPr>
        <w:t>; and</w:t>
      </w:r>
    </w:p>
    <w:p>
      <w:pPr>
        <w:pStyle w:val="Indenti"/>
        <w:rPr>
          <w:snapToGrid w:val="0"/>
        </w:rPr>
      </w:pPr>
      <w:r>
        <w:rPr>
          <w:snapToGrid w:val="0"/>
        </w:rPr>
        <w:tab/>
        <w:t>(ii)</w:t>
      </w:r>
      <w:r>
        <w:rPr>
          <w:snapToGrid w:val="0"/>
        </w:rPr>
        <w:tab/>
        <w:t>if the regulations so require, in any other manner specified in the regulations;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 xml:space="preserve">in the case of a draft of an environmental protection policy </w:t>
      </w:r>
      <w:r>
        <w:t xml:space="preserve">concerned with the protection of a portion of the environment confined to, or with the prevention, control or abatement of pollution or environmental harm in, a particular local government district or districts, </w:t>
      </w:r>
      <w:r>
        <w:rPr>
          <w:snapToGrid w:val="0"/>
        </w:rPr>
        <w:t>consult the Western Australian Planning Commission and the local government or local governments of the relevant district or districts in respect of that draft.</w:t>
      </w:r>
    </w:p>
    <w:p>
      <w:pPr>
        <w:pStyle w:val="Subsection"/>
      </w:pPr>
      <w:r>
        <w:lastRenderedPageBreak/>
        <w:tab/>
        <w:t>(2)</w:t>
      </w:r>
      <w:r>
        <w:tab/>
        <w:t>If the draft policy does not identify an area of the State to which it applies, consultation shall be carried out under subsection (1) as if the draft policy applied to the whole of the State.</w:t>
      </w:r>
    </w:p>
    <w:p>
      <w:pPr>
        <w:pStyle w:val="Footnotesection"/>
        <w:spacing w:before="100"/>
      </w:pPr>
      <w:r>
        <w:tab/>
        <w:t>[Section 26 amended: No. 14 of 1996 s. 4; No. 23 of 1996 s. 15; No. 54 of 2003 s. 32 and 91; No. 40 of 2020 s. 13.]</w:t>
      </w:r>
    </w:p>
    <w:p>
      <w:pPr>
        <w:pStyle w:val="Heading5"/>
        <w:rPr>
          <w:snapToGrid w:val="0"/>
        </w:rPr>
      </w:pPr>
      <w:bookmarkStart w:id="37" w:name="_Toc199511805"/>
      <w:r>
        <w:rPr>
          <w:rStyle w:val="CharSectno"/>
        </w:rPr>
        <w:t>27</w:t>
      </w:r>
      <w:r>
        <w:rPr>
          <w:snapToGrid w:val="0"/>
        </w:rPr>
        <w:t>.</w:t>
      </w:r>
      <w:r>
        <w:rPr>
          <w:snapToGrid w:val="0"/>
        </w:rPr>
        <w:tab/>
        <w:t>Persons may make representations to Authority on draft policy</w:t>
      </w:r>
      <w:bookmarkEnd w:id="37"/>
    </w:p>
    <w:p>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pPr>
        <w:pStyle w:val="Heading5"/>
        <w:rPr>
          <w:snapToGrid w:val="0"/>
        </w:rPr>
      </w:pPr>
      <w:bookmarkStart w:id="38" w:name="_Toc199511806"/>
      <w:r>
        <w:rPr>
          <w:rStyle w:val="CharSectno"/>
        </w:rPr>
        <w:t>28</w:t>
      </w:r>
      <w:r>
        <w:rPr>
          <w:snapToGrid w:val="0"/>
        </w:rPr>
        <w:t>.</w:t>
      </w:r>
      <w:r>
        <w:rPr>
          <w:snapToGrid w:val="0"/>
        </w:rPr>
        <w:tab/>
        <w:t>Consideration, revision and submission to Minister of draft policy by Authority</w:t>
      </w:r>
      <w:bookmarkEnd w:id="38"/>
      <w:r>
        <w:rPr>
          <w:snapToGrid w:val="0"/>
        </w:rPr>
        <w:t xml:space="preserve"> </w:t>
      </w:r>
    </w:p>
    <w:p>
      <w:pPr>
        <w:pStyle w:val="Subsection"/>
        <w:rPr>
          <w:snapToGrid w:val="0"/>
        </w:rPr>
      </w:pPr>
      <w:r>
        <w:rPr>
          <w:snapToGrid w:val="0"/>
        </w:rPr>
        <w:tab/>
        <w:t>(1)</w:t>
      </w:r>
      <w:r>
        <w:rPr>
          <w:snapToGrid w:val="0"/>
        </w:rPr>
        <w:tab/>
        <w:t>After the expiry of the period specified in the relevant notice published under section 26(1)(d) or 32(1)(a), the Authority —</w:t>
      </w:r>
    </w:p>
    <w:p>
      <w:pPr>
        <w:pStyle w:val="Indenta"/>
        <w:spacing w:before="60"/>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pPr>
        <w:pStyle w:val="Indenta"/>
        <w:spacing w:before="60"/>
        <w:rPr>
          <w:snapToGrid w:val="0"/>
        </w:rPr>
      </w:pPr>
      <w:r>
        <w:rPr>
          <w:snapToGrid w:val="0"/>
        </w:rPr>
        <w:tab/>
        <w:t>(b)</w:t>
      </w:r>
      <w:r>
        <w:rPr>
          <w:snapToGrid w:val="0"/>
        </w:rPr>
        <w:tab/>
        <w:t>may revise the draft policy to which that notice relates; and</w:t>
      </w:r>
    </w:p>
    <w:p>
      <w:pPr>
        <w:pStyle w:val="Indenta"/>
        <w:keepNext/>
        <w:spacing w:before="60"/>
        <w:rPr>
          <w:snapToGrid w:val="0"/>
        </w:rPr>
      </w:pPr>
      <w:r>
        <w:rPr>
          <w:snapToGrid w:val="0"/>
        </w:rPr>
        <w:tab/>
        <w:t>(c)</w:t>
      </w:r>
      <w:r>
        <w:rPr>
          <w:snapToGrid w:val="0"/>
        </w:rPr>
        <w:tab/>
        <w:t>shall, after revising the draft policy to which that notice relates to such extent, if any, as it considers necessary —</w:t>
      </w:r>
    </w:p>
    <w:p>
      <w:pPr>
        <w:pStyle w:val="Indenti"/>
        <w:keepNext/>
        <w:spacing w:before="6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xml:space="preserve">) is published under section 26(1)(d), a notice in respect of that draft policy containing particulars </w:t>
      </w:r>
      <w:r>
        <w:rPr>
          <w:snapToGrid w:val="0"/>
        </w:rPr>
        <w:lastRenderedPageBreak/>
        <w:t>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No. 14 of 1996 s. 4; No. 54 of 2003 s. 92.]</w:t>
      </w:r>
    </w:p>
    <w:p>
      <w:pPr>
        <w:pStyle w:val="Heading5"/>
        <w:rPr>
          <w:snapToGrid w:val="0"/>
        </w:rPr>
      </w:pPr>
      <w:bookmarkStart w:id="39" w:name="_Toc199511807"/>
      <w:r>
        <w:rPr>
          <w:rStyle w:val="CharSectno"/>
        </w:rPr>
        <w:t>29</w:t>
      </w:r>
      <w:r>
        <w:rPr>
          <w:snapToGrid w:val="0"/>
        </w:rPr>
        <w:t>.</w:t>
      </w:r>
      <w:r>
        <w:rPr>
          <w:snapToGrid w:val="0"/>
        </w:rPr>
        <w:tab/>
        <w:t>Public inquiry into draft policy</w:t>
      </w:r>
      <w:bookmarkEnd w:id="39"/>
    </w:p>
    <w:p>
      <w:pPr>
        <w:pStyle w:val="Subsection"/>
        <w:keepNext/>
        <w:rPr>
          <w:snapToGrid w:val="0"/>
        </w:rPr>
      </w:pPr>
      <w:r>
        <w:rPr>
          <w:snapToGrid w:val="0"/>
        </w:rPr>
        <w:tab/>
        <w:t>(1)</w:t>
      </w:r>
      <w:r>
        <w:rPr>
          <w:snapToGrid w:val="0"/>
        </w:rPr>
        <w:tab/>
        <w:t>After receiving and considering a copy of a draft policy, together with a report thereon, submitted under section 28 or 32(1)(b), the Minister —</w:t>
      </w:r>
    </w:p>
    <w:p>
      <w:pPr>
        <w:pStyle w:val="Indenta"/>
        <w:rPr>
          <w:snapToGrid w:val="0"/>
        </w:rPr>
      </w:pPr>
      <w:r>
        <w:rPr>
          <w:snapToGrid w:val="0"/>
        </w:rPr>
        <w:tab/>
        <w:t>(a)</w:t>
      </w:r>
      <w:r>
        <w:rPr>
          <w:snapToGrid w:val="0"/>
        </w:rPr>
        <w:tab/>
        <w:t>shall, if the Minister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keepNext/>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 or</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 xml:space="preserve">to hold a public inquiry into and report to the Minister on the draft policy in accordance with terms of reference determined </w:t>
      </w:r>
      <w:r>
        <w:t>by the Minister</w:t>
      </w:r>
      <w:r>
        <w:rPr>
          <w:snapToGrid w:val="0"/>
        </w:rPr>
        <w:t>.</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 and</w:t>
      </w:r>
    </w:p>
    <w:p>
      <w:pPr>
        <w:pStyle w:val="Indenta"/>
        <w:keepNext/>
        <w:rPr>
          <w:snapToGrid w:val="0"/>
        </w:rPr>
      </w:pPr>
      <w:r>
        <w:rPr>
          <w:snapToGrid w:val="0"/>
        </w:rPr>
        <w:lastRenderedPageBreak/>
        <w:tab/>
        <w:t>(b)</w:t>
      </w:r>
      <w:r>
        <w:rPr>
          <w:snapToGrid w:val="0"/>
        </w:rPr>
        <w:tab/>
        <w:t xml:space="preserve">the Chairman were references to the </w:t>
      </w:r>
      <w:r>
        <w:t>member presiding over</w:t>
      </w:r>
      <w:r>
        <w:rPr>
          <w:snapToGrid w:val="0"/>
        </w:rPr>
        <w:t>; and</w:t>
      </w:r>
    </w:p>
    <w:p>
      <w:pPr>
        <w:pStyle w:val="Indenta"/>
        <w:keepNext/>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w:t>
      </w:r>
      <w:r>
        <w:t>member presiding over</w:t>
      </w:r>
      <w:r>
        <w:rPr>
          <w:snapToGrid w:val="0"/>
        </w:rPr>
        <w:t xml:space="preserve"> and other members of a committee of inquiry shall each of them be paid such remuneration and travelling and other allowances as the Minister on the recommendation of the </w:t>
      </w:r>
      <w:r>
        <w:t>Public Sector Commissioner</w:t>
      </w:r>
      <w:r>
        <w:rPr>
          <w:snapToGrid w:val="0"/>
        </w:rPr>
        <w:t xml:space="preserve"> determines in </w:t>
      </w:r>
      <w:r>
        <w:t>the member’s</w:t>
      </w:r>
      <w:r>
        <w:rPr>
          <w:snapToGrid w:val="0"/>
        </w:rPr>
        <w:t xml:space="preserve"> case.</w:t>
      </w:r>
    </w:p>
    <w:p>
      <w:pPr>
        <w:pStyle w:val="Footnotesection"/>
      </w:pPr>
      <w:r>
        <w:tab/>
        <w:t>[Section 29 amended: No. 14 of 1998 s. 37; No. 39 of 2010 s. 89; No. 40 of 2020 s. 111(1).]</w:t>
      </w:r>
    </w:p>
    <w:p>
      <w:pPr>
        <w:pStyle w:val="Heading5"/>
      </w:pPr>
      <w:bookmarkStart w:id="40" w:name="_Toc199511808"/>
      <w:r>
        <w:rPr>
          <w:rStyle w:val="CharSectno"/>
        </w:rPr>
        <w:t>30</w:t>
      </w:r>
      <w:r>
        <w:t>.</w:t>
      </w:r>
      <w:r>
        <w:tab/>
        <w:t>Minister to consult on draft policy</w:t>
      </w:r>
      <w:bookmarkEnd w:id="40"/>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26(1)(d); and</w:t>
      </w:r>
    </w:p>
    <w:p>
      <w:pPr>
        <w:pStyle w:val="Indenta"/>
        <w:keepNext/>
      </w:pPr>
      <w:r>
        <w:lastRenderedPageBreak/>
        <w:tab/>
        <w:t>(b)</w:t>
      </w:r>
      <w:r>
        <w:tab/>
        <w:t>the Authority has consulted such public authorities and persons as appear to the Minister to be likely to be affected by that draft policy.</w:t>
      </w:r>
    </w:p>
    <w:p>
      <w:pPr>
        <w:pStyle w:val="Footnotesection"/>
        <w:ind w:left="890" w:hanging="890"/>
      </w:pPr>
      <w:r>
        <w:tab/>
        <w:t>[Section 30 inserted: No. 54 of 2003 s. 93.]</w:t>
      </w:r>
    </w:p>
    <w:p>
      <w:pPr>
        <w:pStyle w:val="Heading5"/>
        <w:rPr>
          <w:snapToGrid w:val="0"/>
        </w:rPr>
      </w:pPr>
      <w:bookmarkStart w:id="41" w:name="_Toc199511809"/>
      <w:r>
        <w:rPr>
          <w:rStyle w:val="CharSectno"/>
        </w:rPr>
        <w:t>31</w:t>
      </w:r>
      <w:r>
        <w:rPr>
          <w:snapToGrid w:val="0"/>
        </w:rPr>
        <w:t>.</w:t>
      </w:r>
      <w:r>
        <w:rPr>
          <w:snapToGrid w:val="0"/>
        </w:rPr>
        <w:tab/>
        <w:t>Minister to remit draft policy, or approve it (with or without amendments) or refuse to approve it</w:t>
      </w:r>
      <w:bookmarkEnd w:id="41"/>
    </w:p>
    <w:p>
      <w:pPr>
        <w:pStyle w:val="Subsection"/>
        <w:spacing w:before="100"/>
        <w:rPr>
          <w:snapToGrid w:val="0"/>
        </w:rPr>
      </w:pPr>
      <w:r>
        <w:rPr>
          <w:snapToGrid w:val="0"/>
        </w:rPr>
        <w:tab/>
      </w:r>
      <w:r>
        <w:rPr>
          <w:snapToGrid w:val="0"/>
        </w:rPr>
        <w:tab/>
        <w:t>After the Minister —</w:t>
      </w:r>
    </w:p>
    <w:p>
      <w:pPr>
        <w:pStyle w:val="Indenta"/>
        <w:spacing w:before="50"/>
        <w:rPr>
          <w:snapToGrid w:val="0"/>
        </w:rPr>
      </w:pPr>
      <w:r>
        <w:rPr>
          <w:snapToGrid w:val="0"/>
        </w:rPr>
        <w:tab/>
        <w:t>(a)</w:t>
      </w:r>
      <w:r>
        <w:rPr>
          <w:snapToGrid w:val="0"/>
        </w:rPr>
        <w:tab/>
        <w:t>has received and considered —</w:t>
      </w:r>
    </w:p>
    <w:p>
      <w:pPr>
        <w:pStyle w:val="Indenti"/>
        <w:spacing w:before="50"/>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under section 28 or 32(1)(b); and</w:t>
      </w:r>
    </w:p>
    <w:p>
      <w:pPr>
        <w:pStyle w:val="Indenti"/>
        <w:spacing w:before="5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50"/>
        <w:rPr>
          <w:snapToGrid w:val="0"/>
        </w:rPr>
      </w:pPr>
      <w:r>
        <w:rPr>
          <w:snapToGrid w:val="0"/>
        </w:rPr>
        <w:tab/>
      </w:r>
      <w:r>
        <w:rPr>
          <w:snapToGrid w:val="0"/>
        </w:rPr>
        <w:tab/>
        <w:t>and</w:t>
      </w:r>
    </w:p>
    <w:p>
      <w:pPr>
        <w:pStyle w:val="Indenta"/>
        <w:spacing w:before="50"/>
        <w:rPr>
          <w:snapToGrid w:val="0"/>
        </w:rPr>
      </w:pPr>
      <w:r>
        <w:rPr>
          <w:snapToGrid w:val="0"/>
        </w:rPr>
        <w:tab/>
        <w:t>(b)</w:t>
      </w:r>
      <w:r>
        <w:rPr>
          <w:snapToGrid w:val="0"/>
        </w:rPr>
        <w:tab/>
        <w:t>has consulted any public authority or person under section 30 in respect of the draft policy,</w:t>
      </w:r>
    </w:p>
    <w:p>
      <w:pPr>
        <w:pStyle w:val="Subsection"/>
        <w:keepNext/>
        <w:spacing w:before="100"/>
        <w:rPr>
          <w:snapToGrid w:val="0"/>
        </w:rPr>
      </w:pPr>
      <w:r>
        <w:rPr>
          <w:snapToGrid w:val="0"/>
        </w:rPr>
        <w:tab/>
      </w:r>
      <w:r>
        <w:rPr>
          <w:snapToGrid w:val="0"/>
        </w:rPr>
        <w:tab/>
        <w:t>the Minister shall —</w:t>
      </w:r>
    </w:p>
    <w:p>
      <w:pPr>
        <w:pStyle w:val="Indenta"/>
        <w:spacing w:before="50"/>
        <w:rPr>
          <w:snapToGrid w:val="0"/>
        </w:rPr>
      </w:pPr>
      <w:r>
        <w:rPr>
          <w:snapToGrid w:val="0"/>
        </w:rPr>
        <w:tab/>
        <w:t>(c)</w:t>
      </w:r>
      <w:r>
        <w:rPr>
          <w:snapToGrid w:val="0"/>
        </w:rPr>
        <w:tab/>
        <w:t xml:space="preserve">remit the draft policy to the Authority for reconsideration and shall, if the Minister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pPr>
        <w:pStyle w:val="Indenta"/>
        <w:spacing w:before="5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50"/>
        <w:rPr>
          <w:snapToGrid w:val="0"/>
        </w:rPr>
      </w:pPr>
      <w:r>
        <w:rPr>
          <w:snapToGrid w:val="0"/>
        </w:rPr>
        <w:tab/>
        <w:t>(e)</w:t>
      </w:r>
      <w:r>
        <w:rPr>
          <w:snapToGrid w:val="0"/>
        </w:rPr>
        <w:tab/>
        <w:t xml:space="preserve">refuse to approve the draft policy by order setting out </w:t>
      </w:r>
      <w:r>
        <w:t>the Minister’s</w:t>
      </w:r>
      <w:r>
        <w:rPr>
          <w:snapToGrid w:val="0"/>
        </w:rPr>
        <w:t xml:space="preserve"> reasons for so refusing.</w:t>
      </w:r>
    </w:p>
    <w:p>
      <w:pPr>
        <w:pStyle w:val="Footnotesection"/>
      </w:pPr>
      <w:r>
        <w:tab/>
        <w:t>[Section 31 amended: No. 40 of 2020 s. 111(1).]</w:t>
      </w:r>
    </w:p>
    <w:p>
      <w:pPr>
        <w:pStyle w:val="Heading5"/>
        <w:spacing w:before="180"/>
        <w:rPr>
          <w:snapToGrid w:val="0"/>
        </w:rPr>
      </w:pPr>
      <w:bookmarkStart w:id="42" w:name="_Toc199511810"/>
      <w:r>
        <w:rPr>
          <w:rStyle w:val="CharSectno"/>
        </w:rPr>
        <w:lastRenderedPageBreak/>
        <w:t>32</w:t>
      </w:r>
      <w:r>
        <w:rPr>
          <w:snapToGrid w:val="0"/>
        </w:rPr>
        <w:t>.</w:t>
      </w:r>
      <w:r>
        <w:rPr>
          <w:snapToGrid w:val="0"/>
        </w:rPr>
        <w:tab/>
        <w:t>Reconsidering and resubmitting remitted draft policy</w:t>
      </w:r>
      <w:bookmarkEnd w:id="42"/>
    </w:p>
    <w:p>
      <w:pPr>
        <w:pStyle w:val="Subsection"/>
        <w:keepLines/>
        <w:spacing w:before="100"/>
        <w:rPr>
          <w:snapToGrid w:val="0"/>
        </w:rPr>
      </w:pPr>
      <w:r>
        <w:rPr>
          <w:snapToGrid w:val="0"/>
        </w:rPr>
        <w:tab/>
        <w:t>(1)</w:t>
      </w:r>
      <w:r>
        <w:rPr>
          <w:snapToGrid w:val="0"/>
        </w:rPr>
        <w:tab/>
        <w:t>After receiving a draft policy remitted to it under section 31(c), the Authority shall —</w:t>
      </w:r>
    </w:p>
    <w:p>
      <w:pPr>
        <w:pStyle w:val="Indenta"/>
        <w:spacing w:before="50"/>
        <w:rPr>
          <w:snapToGrid w:val="0"/>
        </w:rPr>
      </w:pPr>
      <w:r>
        <w:rPr>
          <w:snapToGrid w:val="0"/>
        </w:rPr>
        <w:tab/>
        <w:t>(a)</w:t>
      </w:r>
      <w:r>
        <w:rPr>
          <w:snapToGrid w:val="0"/>
        </w:rPr>
        <w:tab/>
        <w:t>if the Minister has not given a certificate under that section —</w:t>
      </w:r>
    </w:p>
    <w:p>
      <w:pPr>
        <w:pStyle w:val="Indenti"/>
        <w:spacing w:before="5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pPr>
        <w:pStyle w:val="Indenti"/>
        <w:rPr>
          <w:snapToGrid w:val="0"/>
        </w:rPr>
      </w:pPr>
      <w:r>
        <w:rPr>
          <w:snapToGrid w:val="0"/>
        </w:rPr>
        <w:tab/>
        <w:t>(iii)</w:t>
      </w:r>
      <w:r>
        <w:rPr>
          <w:snapToGrid w:val="0"/>
        </w:rPr>
        <w:tab/>
        <w:t xml:space="preserve">in the case of a draft policy </w:t>
      </w:r>
      <w:r>
        <w:t xml:space="preserve">concerned with the protection of a portion of the environment confined to, or with the prevention, control or abatement of pollution or environmental harm in, a particular local government district or districts, </w:t>
      </w:r>
      <w:r>
        <w:rPr>
          <w:snapToGrid w:val="0"/>
        </w:rPr>
        <w:t>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lastRenderedPageBreak/>
        <w:tab/>
        <w:t>(3)</w:t>
      </w:r>
      <w:r>
        <w:rPr>
          <w:snapToGrid w:val="0"/>
        </w:rPr>
        <w:tab/>
        <w:t>Sections 29, 30 and 31 apply to a draft policy reconsidered under subsection (1)(b).</w:t>
      </w:r>
    </w:p>
    <w:p>
      <w:pPr>
        <w:pStyle w:val="Footnotesection"/>
        <w:ind w:left="890" w:hanging="890"/>
      </w:pPr>
      <w:r>
        <w:tab/>
        <w:t>[Section 32 amended: No. 14 of 1996 s. 4; No. 40 of 2020 s. 14.]</w:t>
      </w:r>
    </w:p>
    <w:p>
      <w:pPr>
        <w:pStyle w:val="Heading5"/>
        <w:rPr>
          <w:snapToGrid w:val="0"/>
        </w:rPr>
      </w:pPr>
      <w:bookmarkStart w:id="43" w:name="_Toc199511811"/>
      <w:r>
        <w:rPr>
          <w:rStyle w:val="CharSectno"/>
        </w:rPr>
        <w:t>33</w:t>
      </w:r>
      <w:r>
        <w:rPr>
          <w:snapToGrid w:val="0"/>
        </w:rPr>
        <w:t>.</w:t>
      </w:r>
      <w:r>
        <w:rPr>
          <w:snapToGrid w:val="0"/>
        </w:rPr>
        <w:tab/>
        <w:t>Approved policies, status and revocation of</w:t>
      </w:r>
      <w:bookmarkEnd w:id="43"/>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spacing w:before="140"/>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spacing w:before="140"/>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spacing w:before="14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spacing w:before="140"/>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spacing w:before="100"/>
      </w:pPr>
      <w:r>
        <w:tab/>
        <w:t>[Section 33 amended: No. 23 of 1996 s. 16.]</w:t>
      </w:r>
    </w:p>
    <w:p>
      <w:pPr>
        <w:pStyle w:val="Heading5"/>
        <w:spacing w:before="180"/>
        <w:rPr>
          <w:snapToGrid w:val="0"/>
        </w:rPr>
      </w:pPr>
      <w:bookmarkStart w:id="44" w:name="_Toc199511812"/>
      <w:r>
        <w:rPr>
          <w:rStyle w:val="CharSectno"/>
        </w:rPr>
        <w:lastRenderedPageBreak/>
        <w:t>34</w:t>
      </w:r>
      <w:r>
        <w:rPr>
          <w:snapToGrid w:val="0"/>
        </w:rPr>
        <w:t>.</w:t>
      </w:r>
      <w:r>
        <w:rPr>
          <w:snapToGrid w:val="0"/>
        </w:rPr>
        <w:tab/>
        <w:t>Orders made under s. 31(d), Parliamentary oversight of</w:t>
      </w:r>
      <w:bookmarkEnd w:id="44"/>
    </w:p>
    <w:p>
      <w:pPr>
        <w:pStyle w:val="Subsection"/>
        <w:spacing w:before="140"/>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45" w:name="_Toc199511813"/>
      <w:r>
        <w:rPr>
          <w:rStyle w:val="CharSectno"/>
        </w:rPr>
        <w:t>35</w:t>
      </w:r>
      <w:r>
        <w:rPr>
          <w:snapToGrid w:val="0"/>
        </w:rPr>
        <w:t>.</w:t>
      </w:r>
      <w:r>
        <w:rPr>
          <w:snapToGrid w:val="0"/>
        </w:rPr>
        <w:tab/>
        <w:t>Content of approved policies</w:t>
      </w:r>
      <w:bookmarkEnd w:id="45"/>
    </w:p>
    <w:p>
      <w:pPr>
        <w:pStyle w:val="Subsection"/>
        <w:keepNext/>
        <w:keepLines/>
        <w:spacing w:before="140"/>
        <w:rPr>
          <w:snapToGrid w:val="0"/>
        </w:rPr>
      </w:pPr>
      <w:r>
        <w:rPr>
          <w:snapToGrid w:val="0"/>
        </w:rPr>
        <w:tab/>
        <w:t>(1)</w:t>
      </w:r>
      <w:r>
        <w:rPr>
          <w:snapToGrid w:val="0"/>
        </w:rPr>
        <w:tab/>
        <w:t>An approved policy —</w:t>
      </w:r>
    </w:p>
    <w:p>
      <w:pPr>
        <w:pStyle w:val="Indenta"/>
        <w:keepNext/>
        <w:keepLines/>
        <w:spacing w:before="60"/>
        <w:rPr>
          <w:snapToGrid w:val="0"/>
        </w:rPr>
      </w:pPr>
      <w:r>
        <w:rPr>
          <w:snapToGrid w:val="0"/>
        </w:rPr>
        <w:tab/>
        <w:t>(a)</w:t>
      </w:r>
      <w:r>
        <w:rPr>
          <w:snapToGrid w:val="0"/>
        </w:rPr>
        <w:tab/>
        <w:t>establishes the basis on which —</w:t>
      </w:r>
    </w:p>
    <w:p>
      <w:pPr>
        <w:pStyle w:val="Indenti"/>
        <w:spacing w:before="60"/>
        <w:rPr>
          <w:snapToGrid w:val="0"/>
        </w:rPr>
      </w:pPr>
      <w:r>
        <w:rPr>
          <w:snapToGrid w:val="0"/>
        </w:rPr>
        <w:tab/>
        <w:t>(i)</w:t>
      </w:r>
      <w:r>
        <w:rPr>
          <w:snapToGrid w:val="0"/>
        </w:rPr>
        <w:tab/>
        <w:t>the portion of the environment to which it relates is to be protected; or</w:t>
      </w:r>
    </w:p>
    <w:p>
      <w:pPr>
        <w:pStyle w:val="Indenti"/>
        <w:spacing w:before="60"/>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spacing w:before="60"/>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keepNext/>
        <w:rPr>
          <w:spacing w:val="-2"/>
        </w:rPr>
      </w:pPr>
      <w:r>
        <w:rPr>
          <w:spacing w:val="-2"/>
        </w:rPr>
        <w:lastRenderedPageBreak/>
        <w:tab/>
      </w:r>
      <w:r>
        <w:rPr>
          <w:spacing w:val="-2"/>
        </w:rPr>
        <w:tab/>
        <w:t>and</w:t>
      </w:r>
    </w:p>
    <w:p>
      <w:pPr>
        <w:pStyle w:val="Indenta"/>
        <w:keepNext/>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spacing w:before="100"/>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 and</w:t>
      </w:r>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 and</w:t>
      </w:r>
    </w:p>
    <w:p>
      <w:pPr>
        <w:pStyle w:val="Indenta"/>
        <w:spacing w:before="100"/>
        <w:rPr>
          <w:snapToGrid w:val="0"/>
        </w:rPr>
      </w:pPr>
      <w:r>
        <w:rPr>
          <w:snapToGrid w:val="0"/>
        </w:rPr>
        <w:tab/>
        <w:t>(c)</w:t>
      </w:r>
      <w:r>
        <w:rPr>
          <w:snapToGrid w:val="0"/>
        </w:rPr>
        <w:tab/>
        <w:t>identify and declare the environmental values to be protected under the approved policy; and</w:t>
      </w:r>
    </w:p>
    <w:p>
      <w:pPr>
        <w:pStyle w:val="Indenta"/>
        <w:spacing w:before="100"/>
        <w:rPr>
          <w:snapToGrid w:val="0"/>
        </w:rPr>
      </w:pPr>
      <w:r>
        <w:rPr>
          <w:snapToGrid w:val="0"/>
        </w:rPr>
        <w:lastRenderedPageBreak/>
        <w:tab/>
        <w:t>(d)</w:t>
      </w:r>
      <w:r>
        <w:rPr>
          <w:snapToGrid w:val="0"/>
        </w:rPr>
        <w:tab/>
        <w:t>set out the indicators, parameters or criteria to be used in measuring environmental quality; and</w:t>
      </w:r>
    </w:p>
    <w:p>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pPr>
        <w:pStyle w:val="Indenti"/>
        <w:rPr>
          <w:snapToGrid w:val="0"/>
        </w:rPr>
      </w:pPr>
      <w:r>
        <w:rPr>
          <w:snapToGrid w:val="0"/>
        </w:rPr>
        <w:tab/>
        <w:t>(v)</w:t>
      </w:r>
      <w:r>
        <w:rPr>
          <w:snapToGrid w:val="0"/>
        </w:rPr>
        <w:tab/>
        <w:t>measures designed to protect the environment; or</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 or</w:t>
      </w:r>
    </w:p>
    <w:p>
      <w:pPr>
        <w:pStyle w:val="Indenta"/>
      </w:pPr>
      <w:r>
        <w:tab/>
        <w:t>(b)</w:t>
      </w:r>
      <w:r>
        <w:tab/>
        <w:t>an area of the State identified in the policy or by regulation; or</w:t>
      </w:r>
    </w:p>
    <w:p>
      <w:pPr>
        <w:pStyle w:val="Indenta"/>
      </w:pPr>
      <w:r>
        <w:lastRenderedPageBreak/>
        <w:tab/>
        <w:t>(c)</w:t>
      </w:r>
      <w:r>
        <w:tab/>
        <w:t>the whole of the State; or</w:t>
      </w:r>
    </w:p>
    <w:p>
      <w:pPr>
        <w:pStyle w:val="Indenta"/>
      </w:pPr>
      <w:r>
        <w:tab/>
        <w:t>(d)</w:t>
      </w:r>
      <w:r>
        <w:tab/>
        <w:t>the whole of the State other than an area identified in the policy; or</w:t>
      </w:r>
    </w:p>
    <w:p>
      <w:pPr>
        <w:pStyle w:val="Indenta"/>
      </w:pPr>
      <w:r>
        <w:tab/>
        <w:t>(e)</w:t>
      </w:r>
      <w:r>
        <w:tab/>
        <w:t>the whole of the State other than an area identified by regulation; or</w:t>
      </w:r>
    </w:p>
    <w:p>
      <w:pPr>
        <w:pStyle w:val="Indenta"/>
        <w:keepNext/>
      </w:pPr>
      <w:r>
        <w:tab/>
        <w:t>(f)</w:t>
      </w:r>
      <w:r>
        <w:tab/>
        <w:t>the whole of the State other than an area identified in the policy or by regulation.</w:t>
      </w:r>
    </w:p>
    <w:p>
      <w:pPr>
        <w:pStyle w:val="Footnotesection"/>
      </w:pPr>
      <w:r>
        <w:tab/>
        <w:t>[Section 35 amended: No. 14 of 1998 s. 5; No. 54 of 2003 s. 33 and 94.]</w:t>
      </w:r>
    </w:p>
    <w:p>
      <w:pPr>
        <w:pStyle w:val="Heading5"/>
        <w:rPr>
          <w:snapToGrid w:val="0"/>
        </w:rPr>
      </w:pPr>
      <w:bookmarkStart w:id="46" w:name="_Toc199511814"/>
      <w:r>
        <w:rPr>
          <w:rStyle w:val="CharSectno"/>
        </w:rPr>
        <w:t>36</w:t>
      </w:r>
      <w:r>
        <w:rPr>
          <w:snapToGrid w:val="0"/>
        </w:rPr>
        <w:t>.</w:t>
      </w:r>
      <w:r>
        <w:rPr>
          <w:snapToGrid w:val="0"/>
        </w:rPr>
        <w:tab/>
        <w:t>Review of approved policies</w:t>
      </w:r>
      <w:bookmarkEnd w:id="46"/>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w:t>
      </w:r>
      <w:r>
        <w:t>the Minister’s</w:t>
      </w:r>
      <w:r>
        <w:rPr>
          <w:snapToGrid w:val="0"/>
        </w:rPr>
        <w:t xml:space="preserve"> own initiative or otherwise, at the time or within the period and to the extent specified in that direction; and</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keepNext/>
      </w:pPr>
      <w:r>
        <w:tab/>
        <w:t>(3)</w:t>
      </w:r>
      <w:r>
        <w:tab/>
        <w:t>The review of an approved policy does not change the force and effect of the approved policy.</w:t>
      </w:r>
    </w:p>
    <w:p>
      <w:pPr>
        <w:pStyle w:val="Footnotesection"/>
      </w:pPr>
      <w:r>
        <w:tab/>
        <w:t>[Section 36 amended: No. 23 of 1996 s. 17; No. 54 of 2003 s. 95; No. 40 of 2020 s. 111(1).]</w:t>
      </w:r>
    </w:p>
    <w:p>
      <w:pPr>
        <w:pStyle w:val="Heading5"/>
        <w:rPr>
          <w:snapToGrid w:val="0"/>
        </w:rPr>
      </w:pPr>
      <w:bookmarkStart w:id="47" w:name="_Toc199511815"/>
      <w:r>
        <w:rPr>
          <w:rStyle w:val="CharSectno"/>
        </w:rPr>
        <w:lastRenderedPageBreak/>
        <w:t>37</w:t>
      </w:r>
      <w:r>
        <w:rPr>
          <w:snapToGrid w:val="0"/>
        </w:rPr>
        <w:t>.</w:t>
      </w:r>
      <w:r>
        <w:rPr>
          <w:snapToGrid w:val="0"/>
        </w:rPr>
        <w:tab/>
      </w:r>
      <w:r>
        <w:rPr>
          <w:snapToGrid w:val="0"/>
          <w:spacing w:val="-2"/>
        </w:rPr>
        <w:t>Minor changes to approved policies</w:t>
      </w:r>
      <w:bookmarkEnd w:id="47"/>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the Minister so agrees and setting out the minor change so 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under subsection (2), together with a report thereon, the Minister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keepNext/>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Footnotesection"/>
      </w:pPr>
      <w:r>
        <w:tab/>
        <w:t>[Section 37 amended: No. 40 of 2020 s. 111(1).]</w:t>
      </w:r>
    </w:p>
    <w:p>
      <w:pPr>
        <w:pStyle w:val="Heading5"/>
        <w:rPr>
          <w:snapToGrid w:val="0"/>
        </w:rPr>
      </w:pPr>
      <w:bookmarkStart w:id="48" w:name="_Toc199511816"/>
      <w:r>
        <w:rPr>
          <w:rStyle w:val="CharSectno"/>
        </w:rPr>
        <w:t>37A</w:t>
      </w:r>
      <w:r>
        <w:rPr>
          <w:snapToGrid w:val="0"/>
        </w:rPr>
        <w:t>.</w:t>
      </w:r>
      <w:r>
        <w:rPr>
          <w:snapToGrid w:val="0"/>
        </w:rPr>
        <w:tab/>
        <w:t>NEPM may be declared to be approved policy</w:t>
      </w:r>
      <w:bookmarkEnd w:id="48"/>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lastRenderedPageBreak/>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No. 14 of 1998 s. 30.]</w:t>
      </w:r>
    </w:p>
    <w:p>
      <w:pPr>
        <w:pStyle w:val="Heading2"/>
      </w:pPr>
      <w:bookmarkStart w:id="49" w:name="_Toc199511817"/>
      <w:r>
        <w:rPr>
          <w:rStyle w:val="CharPartNo"/>
        </w:rPr>
        <w:lastRenderedPageBreak/>
        <w:t>Part IV</w:t>
      </w:r>
      <w:r>
        <w:t> — </w:t>
      </w:r>
      <w:r>
        <w:rPr>
          <w:rStyle w:val="CharPartText"/>
        </w:rPr>
        <w:t>Environmental impact assessment</w:t>
      </w:r>
      <w:bookmarkEnd w:id="49"/>
    </w:p>
    <w:p>
      <w:pPr>
        <w:pStyle w:val="Heading3"/>
      </w:pPr>
      <w:bookmarkStart w:id="50" w:name="_Toc199511818"/>
      <w:r>
        <w:rPr>
          <w:rStyle w:val="CharDivNo"/>
        </w:rPr>
        <w:t>Division 1</w:t>
      </w:r>
      <w:r>
        <w:rPr>
          <w:snapToGrid w:val="0"/>
        </w:rPr>
        <w:t> — </w:t>
      </w:r>
      <w:r>
        <w:rPr>
          <w:rStyle w:val="CharDivText"/>
        </w:rPr>
        <w:t>Referral and assessment of proposals</w:t>
      </w:r>
      <w:bookmarkEnd w:id="50"/>
    </w:p>
    <w:p>
      <w:pPr>
        <w:pStyle w:val="Heading5"/>
      </w:pPr>
      <w:bookmarkStart w:id="51" w:name="_Toc199511819"/>
      <w:r>
        <w:rPr>
          <w:rStyle w:val="CharSectno"/>
        </w:rPr>
        <w:t>37B</w:t>
      </w:r>
      <w:r>
        <w:t>.</w:t>
      </w:r>
      <w:r>
        <w:tab/>
        <w:t>Terms used</w:t>
      </w:r>
      <w:bookmarkEnd w:id="51"/>
    </w:p>
    <w:p>
      <w:pPr>
        <w:pStyle w:val="Subsection"/>
      </w:pPr>
      <w:r>
        <w:tab/>
        <w:t>(1)</w:t>
      </w:r>
      <w:r>
        <w:tab/>
        <w:t>In this Division —</w:t>
      </w:r>
    </w:p>
    <w:p>
      <w:pPr>
        <w:pStyle w:val="Defstart"/>
      </w:pPr>
      <w:r>
        <w:tab/>
      </w:r>
      <w:r>
        <w:rPr>
          <w:rStyle w:val="CharDefText"/>
        </w:rPr>
        <w:t>proposal of a prescribed class</w:t>
      </w:r>
      <w:r>
        <w:t xml:space="preserve"> includes a proposal of a prescribed class under an assessed scheme;</w:t>
      </w:r>
    </w:p>
    <w:p>
      <w:pPr>
        <w:pStyle w:val="Defstart"/>
      </w:pPr>
      <w:r>
        <w:tab/>
      </w:r>
      <w:r>
        <w:rPr>
          <w:rStyle w:val="CharDefText"/>
        </w:rPr>
        <w:t>significant proposal</w:t>
      </w:r>
      <w:r>
        <w:t xml:space="preserve"> means a proposal likely, if implemented, to have a significant effect on the environment and includes a significant amendment of an approved proposal;</w:t>
      </w:r>
    </w:p>
    <w:p>
      <w:pPr>
        <w:pStyle w:val="Defstart"/>
      </w:pPr>
      <w:r>
        <w:tab/>
      </w:r>
      <w:r>
        <w:rPr>
          <w:rStyle w:val="CharDefText"/>
        </w:rPr>
        <w:t>strategic proposal</w:t>
      </w:r>
      <w:r>
        <w:t xml:space="preserve"> has the meaning given in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likely, if implemented, to have a significant effect on the environment; or</w:t>
      </w:r>
    </w:p>
    <w:p>
      <w:pPr>
        <w:pStyle w:val="Indenta"/>
      </w:pPr>
      <w:r>
        <w:tab/>
        <w:t>(b)</w:t>
      </w:r>
      <w:r>
        <w:tab/>
        <w:t>future proposals likely, if implemented in combination with each other, to have a significant effect on the environment.</w:t>
      </w:r>
    </w:p>
    <w:p>
      <w:pPr>
        <w:pStyle w:val="Footnotesection"/>
      </w:pPr>
      <w:r>
        <w:tab/>
        <w:t>[Section 37B inserted: No. 40 of 2020 s. 15.]</w:t>
      </w:r>
    </w:p>
    <w:p>
      <w:pPr>
        <w:pStyle w:val="Heading5"/>
      </w:pPr>
      <w:bookmarkStart w:id="52" w:name="_Toc199511820"/>
      <w:r>
        <w:rPr>
          <w:rStyle w:val="CharSectno"/>
        </w:rPr>
        <w:t>38</w:t>
      </w:r>
      <w:r>
        <w:t>.</w:t>
      </w:r>
      <w:r>
        <w:tab/>
        <w:t>Referral of proposals</w:t>
      </w:r>
      <w:bookmarkEnd w:id="52"/>
      <w:r>
        <w:t xml:space="preserve"> </w:t>
      </w:r>
    </w:p>
    <w:p>
      <w:pPr>
        <w:pStyle w:val="Subsection"/>
      </w:pPr>
      <w:r>
        <w:tab/>
        <w:t>(1)</w:t>
      </w:r>
      <w:r>
        <w:tab/>
        <w:t>The proponent of a significant proposal, or any other person, may refer the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If it appears to the Minister that there is public concern about the likely effect of a proposal, if implemented, on the environment, the Minister may refer the proposal to the Authority.</w:t>
      </w:r>
    </w:p>
    <w:p>
      <w:pPr>
        <w:pStyle w:val="Subsection"/>
      </w:pPr>
      <w:r>
        <w:lastRenderedPageBreak/>
        <w:tab/>
        <w:t>(4)</w:t>
      </w:r>
      <w:r>
        <w:tab/>
        <w:t>A decision</w:t>
      </w:r>
      <w:r>
        <w:noBreakHyphen/>
        <w:t>making authority must refer a proposal to the Authority as soon as it has notice of the proposal if the proposal appears to it to be —</w:t>
      </w:r>
    </w:p>
    <w:p>
      <w:pPr>
        <w:pStyle w:val="Indenta"/>
      </w:pPr>
      <w:r>
        <w:tab/>
        <w:t>(a)</w:t>
      </w:r>
      <w:r>
        <w:tab/>
        <w:t>a significant proposal; or</w:t>
      </w:r>
    </w:p>
    <w:p>
      <w:pPr>
        <w:pStyle w:val="Indenta"/>
      </w:pPr>
      <w:r>
        <w:tab/>
        <w:t>(b)</w:t>
      </w:r>
      <w:r>
        <w:tab/>
        <w:t>a proposal of a prescribed class.</w:t>
      </w:r>
    </w:p>
    <w:p>
      <w:pPr>
        <w:pStyle w:val="Subsection"/>
      </w:pPr>
      <w:r>
        <w:tab/>
        <w:t>(5)</w:t>
      </w:r>
      <w:r>
        <w:tab/>
        <w:t>Subsection (4) does not apply if the proposal has been referred to the Authority under subsection (1) or (3).</w:t>
      </w:r>
    </w:p>
    <w:p>
      <w:pPr>
        <w:pStyle w:val="Subsection"/>
      </w:pPr>
      <w:r>
        <w:tab/>
        <w:t>(6)</w:t>
      </w:r>
      <w:r>
        <w:tab/>
        <w:t>In the case of a proposal under an assessed scheme, the application of subsection (4)(a) is subject to section 48I.</w:t>
      </w:r>
    </w:p>
    <w:p>
      <w:pPr>
        <w:pStyle w:val="Subsection"/>
      </w:pPr>
      <w:r>
        <w:tab/>
        <w:t>(7)</w:t>
      </w:r>
      <w:r>
        <w:tab/>
        <w:t>The proponent of a strategic proposal may refer the proposal to the Authority.</w:t>
      </w:r>
    </w:p>
    <w:p>
      <w:pPr>
        <w:pStyle w:val="Footnotesection"/>
      </w:pPr>
      <w:r>
        <w:tab/>
        <w:t>[Section 38 inserted: No. 40 of 2020 s. 15.]</w:t>
      </w:r>
    </w:p>
    <w:p>
      <w:pPr>
        <w:pStyle w:val="Heading5"/>
      </w:pPr>
      <w:bookmarkStart w:id="53" w:name="_Toc199511821"/>
      <w:r>
        <w:rPr>
          <w:rStyle w:val="CharSectno"/>
        </w:rPr>
        <w:t>38A</w:t>
      </w:r>
      <w:r>
        <w:t>.</w:t>
      </w:r>
      <w:r>
        <w:tab/>
        <w:t>Calling in a proposal</w:t>
      </w:r>
      <w:bookmarkEnd w:id="53"/>
      <w:r>
        <w:t xml:space="preserve"> </w:t>
      </w:r>
    </w:p>
    <w:p>
      <w:pPr>
        <w:pStyle w:val="Subsection"/>
      </w:pPr>
      <w:r>
        <w:tab/>
        <w:t>(1)</w:t>
      </w:r>
      <w:r>
        <w:tab/>
        <w:t>If a proposal has not been referred to the Authority under section 38, the Authority must require the proponent or a decision</w:t>
      </w:r>
      <w:r>
        <w:noBreakHyphen/>
        <w:t>making authority to refer the proposal to the Authority if the Authority considers that the proposal is —</w:t>
      </w:r>
    </w:p>
    <w:p>
      <w:pPr>
        <w:pStyle w:val="Indenta"/>
      </w:pPr>
      <w:r>
        <w:tab/>
        <w:t>(a)</w:t>
      </w:r>
      <w:r>
        <w:tab/>
        <w:t>a significant proposal; or</w:t>
      </w:r>
    </w:p>
    <w:p>
      <w:pPr>
        <w:pStyle w:val="Indenta"/>
      </w:pPr>
      <w:r>
        <w:tab/>
        <w:t>(b)</w:t>
      </w:r>
      <w:r>
        <w:tab/>
        <w:t>a proposal of a prescribed class.</w:t>
      </w:r>
    </w:p>
    <w:p>
      <w:pPr>
        <w:pStyle w:val="Subsection"/>
      </w:pPr>
      <w:r>
        <w:tab/>
        <w:t>(2)</w:t>
      </w:r>
      <w:r>
        <w:tab/>
        <w:t>A requirement under subsection (1) must be in writing and must specify the period within which it has to be complied with.</w:t>
      </w:r>
    </w:p>
    <w:p>
      <w:pPr>
        <w:pStyle w:val="Subsection"/>
      </w:pPr>
      <w:r>
        <w:tab/>
        <w:t>(3)</w:t>
      </w:r>
      <w:r>
        <w:tab/>
        <w:t>A proponent or decision</w:t>
      </w:r>
      <w:r>
        <w:noBreakHyphen/>
        <w:t>making authority that is required under subsection (1) to refer a proposal to the Authority must do so within the period specified in the requirement.</w:t>
      </w:r>
    </w:p>
    <w:p>
      <w:pPr>
        <w:pStyle w:val="Subsection"/>
      </w:pPr>
      <w:r>
        <w:tab/>
        <w:t>(4)</w:t>
      </w:r>
      <w:r>
        <w:tab/>
        <w:t>In the case of a proposal under an assessed scheme, the Authority can only require the referral of the proposal if it did not, when it assessed the assessed scheme under Division 3, have sufficient scientific or technical information to enable it to assess the environmental issues raised by the proposal.</w:t>
      </w:r>
    </w:p>
    <w:p>
      <w:pPr>
        <w:pStyle w:val="Subsection"/>
      </w:pPr>
      <w:r>
        <w:lastRenderedPageBreak/>
        <w:tab/>
        <w:t>(5)</w:t>
      </w:r>
      <w:r>
        <w:tab/>
        <w:t>A requirement under subsection (1) has effect despite section 48I(2).</w:t>
      </w:r>
    </w:p>
    <w:p>
      <w:pPr>
        <w:pStyle w:val="Subsection"/>
      </w:pPr>
      <w:r>
        <w:tab/>
        <w:t>(6)</w:t>
      </w:r>
      <w:r>
        <w:tab/>
        <w:t>A proposal referred to the Authority under subsection (3) is taken to have been referred to the Authority under section 38.</w:t>
      </w:r>
    </w:p>
    <w:p>
      <w:pPr>
        <w:pStyle w:val="Footnotesection"/>
      </w:pPr>
      <w:r>
        <w:tab/>
        <w:t>[Section 38A inserted: No. 40 of 2020 s. 15.]</w:t>
      </w:r>
    </w:p>
    <w:p>
      <w:pPr>
        <w:pStyle w:val="Heading5"/>
      </w:pPr>
      <w:bookmarkStart w:id="54" w:name="_Toc199511822"/>
      <w:r>
        <w:rPr>
          <w:rStyle w:val="CharSectno"/>
        </w:rPr>
        <w:t>38B</w:t>
      </w:r>
      <w:r>
        <w:t>.</w:t>
      </w:r>
      <w:r>
        <w:tab/>
        <w:t>Requirements as to referrals</w:t>
      </w:r>
      <w:bookmarkEnd w:id="54"/>
    </w:p>
    <w:p>
      <w:pPr>
        <w:pStyle w:val="Subsection"/>
      </w:pPr>
      <w:r>
        <w:tab/>
        <w:t>(1)</w:t>
      </w:r>
      <w:r>
        <w:tab/>
        <w:t>A referral to the Authority must be in writing.</w:t>
      </w:r>
    </w:p>
    <w:p>
      <w:pPr>
        <w:pStyle w:val="Subsection"/>
      </w:pPr>
      <w:r>
        <w:tab/>
        <w:t>(2)</w:t>
      </w:r>
      <w:r>
        <w:tab/>
        <w:t xml:space="preserve">A proposal cannot be referred to the Authority more than once unless — </w:t>
      </w:r>
    </w:p>
    <w:p>
      <w:pPr>
        <w:pStyle w:val="Indenta"/>
      </w:pPr>
      <w:r>
        <w:tab/>
        <w:t>(a)</w:t>
      </w:r>
      <w:r>
        <w:tab/>
        <w:t>under section 38D, a referral of the proposal is taken to have been withdrawn; or</w:t>
      </w:r>
    </w:p>
    <w:p>
      <w:pPr>
        <w:pStyle w:val="Indenta"/>
      </w:pPr>
      <w:r>
        <w:tab/>
        <w:t>(b)</w:t>
      </w:r>
      <w:r>
        <w:tab/>
        <w:t>under section 38F(4), a referral of the proposal has been declared to have been withdrawn; or</w:t>
      </w:r>
    </w:p>
    <w:p>
      <w:pPr>
        <w:pStyle w:val="Indenta"/>
      </w:pPr>
      <w:r>
        <w:tab/>
        <w:t>(c)</w:t>
      </w:r>
      <w:r>
        <w:tab/>
        <w:t>under section 40A, assessment of the proposal has been terminated; or</w:t>
      </w:r>
    </w:p>
    <w:p>
      <w:pPr>
        <w:pStyle w:val="Indenta"/>
      </w:pPr>
      <w:r>
        <w:tab/>
        <w:t>(d)</w:t>
      </w:r>
      <w:r>
        <w:tab/>
        <w:t>under section 47A, a Ministerial statement relating to the proposal has been withdrawn or is taken to have been withdrawn.</w:t>
      </w:r>
    </w:p>
    <w:p>
      <w:pPr>
        <w:pStyle w:val="Footnotesection"/>
      </w:pPr>
      <w:r>
        <w:tab/>
        <w:t>[Section 38B inserted: No. 40 of 2020 s. 15.]</w:t>
      </w:r>
    </w:p>
    <w:p>
      <w:pPr>
        <w:pStyle w:val="Heading5"/>
      </w:pPr>
      <w:bookmarkStart w:id="55" w:name="_Toc199511823"/>
      <w:r>
        <w:rPr>
          <w:rStyle w:val="CharSectno"/>
        </w:rPr>
        <w:t>38C</w:t>
      </w:r>
      <w:r>
        <w:t>.</w:t>
      </w:r>
      <w:r>
        <w:tab/>
        <w:t>Proponent may amend a referred proposal</w:t>
      </w:r>
      <w:bookmarkEnd w:id="55"/>
    </w:p>
    <w:p>
      <w:pPr>
        <w:pStyle w:val="Subsection"/>
      </w:pPr>
      <w:r>
        <w:tab/>
        <w:t>(1)</w:t>
      </w:r>
      <w:r>
        <w:tab/>
        <w:t>At any time before the Authority decides whether or not to assess a referred proposal, the proponent may, by written notice, request the Authority to approve of the proposal being amended in the manner set out in the request.</w:t>
      </w:r>
    </w:p>
    <w:p>
      <w:pPr>
        <w:pStyle w:val="Subsection"/>
      </w:pPr>
      <w:r>
        <w:tab/>
        <w:t>(2)</w:t>
      </w:r>
      <w:r>
        <w:tab/>
        <w:t>The Authority may, at its discretion, give or refuse to give approval under subsection (1).</w:t>
      </w:r>
    </w:p>
    <w:p>
      <w:pPr>
        <w:pStyle w:val="Subsection"/>
        <w:keepNext/>
      </w:pPr>
      <w:r>
        <w:lastRenderedPageBreak/>
        <w:tab/>
        <w:t>(3)</w:t>
      </w:r>
      <w:r>
        <w:tab/>
        <w:t>If approval is given by the Authority the proposal as so amended is taken to have been referred to the Authority under section 38.</w:t>
      </w:r>
    </w:p>
    <w:p>
      <w:pPr>
        <w:pStyle w:val="Footnotesection"/>
      </w:pPr>
      <w:r>
        <w:tab/>
        <w:t>[Section 38C inserted: No. 40 of 2020 s. 15.]</w:t>
      </w:r>
    </w:p>
    <w:p>
      <w:pPr>
        <w:pStyle w:val="Heading5"/>
      </w:pPr>
      <w:bookmarkStart w:id="56" w:name="_Toc199511824"/>
      <w:r>
        <w:rPr>
          <w:rStyle w:val="CharSectno"/>
        </w:rPr>
        <w:t>38D</w:t>
      </w:r>
      <w:r>
        <w:t>.</w:t>
      </w:r>
      <w:r>
        <w:tab/>
        <w:t>Proponent may give notice that a referred proposal will not proceed</w:t>
      </w:r>
      <w:bookmarkEnd w:id="56"/>
    </w:p>
    <w:p>
      <w:pPr>
        <w:pStyle w:val="Subsection"/>
      </w:pPr>
      <w:r>
        <w:tab/>
        <w:t>(1)</w:t>
      </w:r>
      <w:r>
        <w:tab/>
        <w:t>If at any time before the Authority has decided whether or not to assess a referred proposal the Authority receives written notice from the proponent that the proponent does not wish to proceed with the proposal, the referral of the proposal is taken to have been withdrawn.</w:t>
      </w:r>
    </w:p>
    <w:p>
      <w:pPr>
        <w:pStyle w:val="Subsection"/>
      </w:pPr>
      <w:r>
        <w:tab/>
        <w:t>(2)</w:t>
      </w:r>
      <w:r>
        <w:tab/>
        <w:t xml:space="preserve">This section applies whether or not the proposal was referred to the Authority by the proponent. </w:t>
      </w:r>
    </w:p>
    <w:p>
      <w:pPr>
        <w:pStyle w:val="Footnotesection"/>
      </w:pPr>
      <w:r>
        <w:tab/>
        <w:t>[Section 38D inserted: No. 40 of 2020 s. 15.]</w:t>
      </w:r>
    </w:p>
    <w:p>
      <w:pPr>
        <w:pStyle w:val="Heading5"/>
      </w:pPr>
      <w:bookmarkStart w:id="57" w:name="_Toc199511825"/>
      <w:r>
        <w:rPr>
          <w:rStyle w:val="CharSectno"/>
        </w:rPr>
        <w:t>38E</w:t>
      </w:r>
      <w:r>
        <w:t>.</w:t>
      </w:r>
      <w:r>
        <w:tab/>
        <w:t>Proposals derived from assessed strategic proposals</w:t>
      </w:r>
      <w:bookmarkEnd w:id="57"/>
    </w:p>
    <w:p>
      <w:pPr>
        <w:pStyle w:val="Subsection"/>
      </w:pPr>
      <w:r>
        <w:tab/>
        <w:t>(1)</w:t>
      </w:r>
      <w:r>
        <w:tab/>
        <w:t xml:space="preserve">A referred proposal may be dealt with under this section if — </w:t>
      </w:r>
    </w:p>
    <w:p>
      <w:pPr>
        <w:pStyle w:val="Indenta"/>
      </w:pPr>
      <w:r>
        <w:tab/>
        <w:t>(a)</w:t>
      </w:r>
      <w:r>
        <w:tab/>
        <w:t xml:space="preserve">there has been an assessment under this Division (the </w:t>
      </w:r>
      <w:r>
        <w:rPr>
          <w:rStyle w:val="CharDefText"/>
        </w:rPr>
        <w:t>strategic assessment</w:t>
      </w:r>
      <w:r>
        <w:t>) of a strategic proposal; and</w:t>
      </w:r>
    </w:p>
    <w:p>
      <w:pPr>
        <w:pStyle w:val="Indenta"/>
      </w:pPr>
      <w:r>
        <w:tab/>
        <w:t>(b)</w:t>
      </w:r>
      <w:r>
        <w:tab/>
        <w:t>a Ministerial statement has been published in relation to the strategic proposal.</w:t>
      </w:r>
    </w:p>
    <w:p>
      <w:pPr>
        <w:pStyle w:val="Subsection"/>
      </w:pPr>
      <w:r>
        <w:tab/>
        <w:t>(2)</w:t>
      </w:r>
      <w:r>
        <w:tab/>
        <w:t>If this section applies, the proponent of a referred proposal may request the Authority in writing to declare the referred proposal to be a derived proposal.</w:t>
      </w:r>
    </w:p>
    <w:p>
      <w:pPr>
        <w:pStyle w:val="Subsection"/>
      </w:pPr>
      <w:r>
        <w:tab/>
        <w:t>(3)</w:t>
      </w:r>
      <w:r>
        <w:tab/>
        <w:t>If the proposal is referred by the proponent, a request under subsection (2) may be made in the referral.</w:t>
      </w:r>
    </w:p>
    <w:p>
      <w:pPr>
        <w:pStyle w:val="Subsection"/>
      </w:pPr>
      <w:r>
        <w:tab/>
        <w:t>(4)</w:t>
      </w:r>
      <w:r>
        <w:tab/>
        <w:t>If a request is made under subsection (2), the Authority must declare the referred proposal to be a derived proposal if it considers that —</w:t>
      </w:r>
    </w:p>
    <w:p>
      <w:pPr>
        <w:pStyle w:val="Indenta"/>
      </w:pPr>
      <w:r>
        <w:tab/>
        <w:t>(a)</w:t>
      </w:r>
      <w:r>
        <w:tab/>
        <w:t>the referred proposal was identified in the strategic proposal; and</w:t>
      </w:r>
    </w:p>
    <w:p>
      <w:pPr>
        <w:pStyle w:val="Indenta"/>
      </w:pPr>
      <w:r>
        <w:lastRenderedPageBreak/>
        <w:tab/>
        <w:t>(b)</w:t>
      </w:r>
      <w:r>
        <w:tab/>
        <w:t>in the implementation agreement or decision set out in the statement mentioned in subsection (1)(b) it was agreed or decided that the referred proposal could be implemented, or could be implemented subject to conditions and procedures agreed or decided under section 45.</w:t>
      </w:r>
    </w:p>
    <w:p>
      <w:pPr>
        <w:pStyle w:val="Subsection"/>
      </w:pPr>
      <w:r>
        <w:tab/>
        <w:t>(5)</w:t>
      </w:r>
      <w:r>
        <w:tab/>
        <w:t>Despite subsection (4), the Authority may refuse to declare the referred proposal to be a derived proposal if it considers that —</w:t>
      </w:r>
    </w:p>
    <w:p>
      <w:pPr>
        <w:pStyle w:val="Indenta"/>
      </w:pPr>
      <w:r>
        <w:tab/>
        <w:t>(a)</w:t>
      </w:r>
      <w:r>
        <w:tab/>
        <w:t>environmental issues raised by the proposal were not adequately assessed in the strategic assessment; or</w:t>
      </w:r>
    </w:p>
    <w:p>
      <w:pPr>
        <w:pStyle w:val="Indenta"/>
      </w:pPr>
      <w:r>
        <w:tab/>
        <w:t>(b)</w:t>
      </w:r>
      <w:r>
        <w:tab/>
        <w:t>there is significant new or additional information that justifies the reassessment of the issues raised by the proposal; or</w:t>
      </w:r>
    </w:p>
    <w:p>
      <w:pPr>
        <w:pStyle w:val="Indenta"/>
      </w:pPr>
      <w:r>
        <w:tab/>
        <w:t>(c)</w:t>
      </w:r>
      <w:r>
        <w:tab/>
        <w:t>there has been a significant change in the relevant environmental factors since the strategic assessment was completed.</w:t>
      </w:r>
    </w:p>
    <w:p>
      <w:pPr>
        <w:pStyle w:val="Subsection"/>
      </w:pPr>
      <w:r>
        <w:tab/>
        <w:t>(6)</w:t>
      </w:r>
      <w:r>
        <w:tab/>
        <w:t>If the Authority declares the referred proposal to be a derived proposal, it must —</w:t>
      </w:r>
    </w:p>
    <w:p>
      <w:pPr>
        <w:pStyle w:val="Indenta"/>
      </w:pPr>
      <w:r>
        <w:tab/>
        <w:t>(a)</w:t>
      </w:r>
      <w:r>
        <w:tab/>
        <w:t>record the declaration in the public record kept under section 39(1); and</w:t>
      </w:r>
    </w:p>
    <w:p>
      <w:pPr>
        <w:pStyle w:val="Indenta"/>
      </w:pPr>
      <w:r>
        <w:tab/>
        <w:t>(b)</w:t>
      </w:r>
      <w:r>
        <w:tab/>
        <w:t>give written notice of the declaration to the Minister.</w:t>
      </w:r>
    </w:p>
    <w:p>
      <w:pPr>
        <w:pStyle w:val="Subsection"/>
      </w:pPr>
      <w:r>
        <w:tab/>
        <w:t>(7)</w:t>
      </w:r>
      <w:r>
        <w:tab/>
        <w:t>If the Authority declares the referred proposal to be a derived proposal, it cannot decide to assess the proposal except for the purposes of conducting an inquiry under section 46(4).</w:t>
      </w:r>
    </w:p>
    <w:p>
      <w:pPr>
        <w:pStyle w:val="Subsection"/>
      </w:pPr>
      <w:r>
        <w:tab/>
        <w:t>(8)</w:t>
      </w:r>
      <w:r>
        <w:tab/>
        <w:t>If the Authority refuses to declare the referred proposal to be a derived proposal, it must give written notice of the refusal to the proponent.</w:t>
      </w:r>
    </w:p>
    <w:p>
      <w:pPr>
        <w:pStyle w:val="Subsection"/>
      </w:pPr>
      <w:r>
        <w:tab/>
        <w:t>(9)</w:t>
      </w:r>
      <w:r>
        <w:tab/>
        <w:t>A notice under subsection (8) may be included in the notice given under section 38G(1)(b)(i).</w:t>
      </w:r>
    </w:p>
    <w:p>
      <w:pPr>
        <w:pStyle w:val="Subsection"/>
      </w:pPr>
      <w:r>
        <w:tab/>
        <w:t>(10)</w:t>
      </w:r>
      <w:r>
        <w:tab/>
        <w:t>For the purposes of this section it does not matter whether the proponent of the referred proposal was, or was not, the proponent of the strategic proposal.</w:t>
      </w:r>
    </w:p>
    <w:p>
      <w:pPr>
        <w:pStyle w:val="Footnotesection"/>
      </w:pPr>
      <w:r>
        <w:lastRenderedPageBreak/>
        <w:tab/>
        <w:t>[Section 38E inserted: No. 40 of 2020 s. 15.]</w:t>
      </w:r>
    </w:p>
    <w:p>
      <w:pPr>
        <w:pStyle w:val="Heading5"/>
      </w:pPr>
      <w:bookmarkStart w:id="58" w:name="_Toc199511826"/>
      <w:r>
        <w:rPr>
          <w:rStyle w:val="CharSectno"/>
        </w:rPr>
        <w:t>38F</w:t>
      </w:r>
      <w:r>
        <w:t>.</w:t>
      </w:r>
      <w:r>
        <w:tab/>
        <w:t>Request for further information</w:t>
      </w:r>
      <w:bookmarkEnd w:id="58"/>
    </w:p>
    <w:p>
      <w:pPr>
        <w:pStyle w:val="Subsection"/>
      </w:pPr>
      <w:r>
        <w:tab/>
        <w:t>(1)</w:t>
      </w:r>
      <w:r>
        <w:tab/>
        <w:t>This subsection applies if the Authority considers that it does not have enough information about a referred proposal to enable it to decide —</w:t>
      </w:r>
    </w:p>
    <w:p>
      <w:pPr>
        <w:pStyle w:val="Indenta"/>
      </w:pPr>
      <w:r>
        <w:tab/>
        <w:t>(a)</w:t>
      </w:r>
      <w:r>
        <w:tab/>
        <w:t>whether or not to assess the proposal; or</w:t>
      </w:r>
    </w:p>
    <w:p>
      <w:pPr>
        <w:pStyle w:val="Indenta"/>
      </w:pPr>
      <w:r>
        <w:tab/>
        <w:t>(b)</w:t>
      </w:r>
      <w:r>
        <w:tab/>
        <w:t>whether or not to agree to a request made under section 38E(2).</w:t>
      </w:r>
    </w:p>
    <w:p>
      <w:pPr>
        <w:pStyle w:val="Subsection"/>
      </w:pPr>
      <w:r>
        <w:tab/>
        <w:t>(2)</w:t>
      </w:r>
      <w:r>
        <w:tab/>
        <w:t xml:space="preserve">If subsection (1) applies, the Authority may, by written notice (a </w:t>
      </w:r>
      <w:r>
        <w:rPr>
          <w:rStyle w:val="CharDefText"/>
        </w:rPr>
        <w:t>requisition</w:t>
      </w:r>
      <w:r>
        <w:t xml:space="preserve">), request any person to provide it with additional information about the proposal before the end of a period specified in the notice (the </w:t>
      </w:r>
      <w:r>
        <w:rPr>
          <w:rStyle w:val="CharDefText"/>
        </w:rPr>
        <w:t>compliance period</w:t>
      </w:r>
      <w:r>
        <w:t>).</w:t>
      </w:r>
    </w:p>
    <w:p>
      <w:pPr>
        <w:pStyle w:val="Subsection"/>
      </w:pPr>
      <w:r>
        <w:tab/>
        <w:t>(3)</w:t>
      </w:r>
      <w:r>
        <w:tab/>
        <w:t xml:space="preserve">In determining whether the 28 day period set by section 38G(1) has ended the following are to be disregarded — </w:t>
      </w:r>
    </w:p>
    <w:p>
      <w:pPr>
        <w:pStyle w:val="Indenta"/>
      </w:pPr>
      <w:r>
        <w:tab/>
        <w:t>(a)</w:t>
      </w:r>
      <w:r>
        <w:tab/>
        <w:t>if a requisition is complied with within the compliance period — the period from the day on which it was issued until the day on which it was complied with;</w:t>
      </w:r>
    </w:p>
    <w:p>
      <w:pPr>
        <w:pStyle w:val="Indenta"/>
      </w:pPr>
      <w:r>
        <w:tab/>
        <w:t>(b)</w:t>
      </w:r>
      <w:r>
        <w:tab/>
        <w:t>if a requisition is not complied with within the compliance period — the compliance period.</w:t>
      </w:r>
    </w:p>
    <w:p>
      <w:pPr>
        <w:pStyle w:val="Subsection"/>
      </w:pPr>
      <w:r>
        <w:tab/>
        <w:t>(4)</w:t>
      </w:r>
      <w:r>
        <w:tab/>
        <w:t>If a requisition in relation to a proposal is issued to the person who referred the proposal and the compliance period ends without the requisition having been complied with, the Authority may, by written notice to the person, declare the referral to have been withdrawn.</w:t>
      </w:r>
    </w:p>
    <w:p>
      <w:pPr>
        <w:pStyle w:val="Subsection"/>
      </w:pPr>
      <w:r>
        <w:tab/>
        <w:t>(5)</w:t>
      </w:r>
      <w:r>
        <w:tab/>
        <w:t xml:space="preserve">If the proposal was not referred by the proponent, the Authority must obtain the consent of the proponent before giving notice under subsection (4). </w:t>
      </w:r>
    </w:p>
    <w:p>
      <w:pPr>
        <w:pStyle w:val="Footnotesection"/>
      </w:pPr>
      <w:r>
        <w:tab/>
        <w:t>[Section 38F inserted: No. 40 of 2020 s. 15.]</w:t>
      </w:r>
    </w:p>
    <w:p>
      <w:pPr>
        <w:pStyle w:val="Heading5"/>
      </w:pPr>
      <w:bookmarkStart w:id="59" w:name="_Toc199511827"/>
      <w:r>
        <w:rPr>
          <w:rStyle w:val="CharSectno"/>
        </w:rPr>
        <w:lastRenderedPageBreak/>
        <w:t>38G</w:t>
      </w:r>
      <w:r>
        <w:t>.</w:t>
      </w:r>
      <w:r>
        <w:tab/>
        <w:t>Authority must decide whether to assess a referred proposal</w:t>
      </w:r>
      <w:bookmarkEnd w:id="59"/>
      <w:r>
        <w:t xml:space="preserve"> </w:t>
      </w:r>
    </w:p>
    <w:p>
      <w:pPr>
        <w:pStyle w:val="Subsection"/>
        <w:keepNext/>
      </w:pPr>
      <w:r>
        <w:tab/>
        <w:t>(1)</w:t>
      </w:r>
      <w:r>
        <w:tab/>
        <w:t xml:space="preserve">The Authority must, within 28 days after the referral of a proposal — </w:t>
      </w:r>
    </w:p>
    <w:p>
      <w:pPr>
        <w:pStyle w:val="Indenta"/>
      </w:pPr>
      <w:r>
        <w:tab/>
        <w:t>(a)</w:t>
      </w:r>
      <w:r>
        <w:tab/>
        <w:t>decide whether or not to assess the referred proposal; and</w:t>
      </w:r>
    </w:p>
    <w:p>
      <w:pPr>
        <w:pStyle w:val="Indenta"/>
      </w:pPr>
      <w:r>
        <w:tab/>
        <w:t>(b)</w:t>
      </w:r>
      <w:r>
        <w:tab/>
        <w:t>give written notice of the decision —</w:t>
      </w:r>
    </w:p>
    <w:p>
      <w:pPr>
        <w:pStyle w:val="Indenti"/>
      </w:pPr>
      <w:r>
        <w:tab/>
        <w:t>(i)</w:t>
      </w:r>
      <w:r>
        <w:tab/>
        <w:t>to the proponent; and</w:t>
      </w:r>
    </w:p>
    <w:p>
      <w:pPr>
        <w:pStyle w:val="Indenti"/>
      </w:pPr>
      <w:r>
        <w:tab/>
        <w:t>(ii)</w:t>
      </w:r>
      <w:r>
        <w:tab/>
        <w:t>if the proposal was not referred by the proponent — to the person that referred it; and</w:t>
      </w:r>
    </w:p>
    <w:p>
      <w:pPr>
        <w:pStyle w:val="Indenti"/>
      </w:pPr>
      <w:r>
        <w:tab/>
        <w:t>(iii)</w:t>
      </w:r>
      <w:r>
        <w:tab/>
        <w:t>to any decision</w:t>
      </w:r>
      <w:r>
        <w:noBreakHyphen/>
        <w:t>making authority determined by the Authority to be a relevant decision</w:t>
      </w:r>
      <w:r>
        <w:noBreakHyphen/>
        <w:t>making authority in relation to the proposal.</w:t>
      </w:r>
    </w:p>
    <w:p>
      <w:pPr>
        <w:pStyle w:val="Subsection"/>
      </w:pPr>
      <w:r>
        <w:tab/>
        <w:t>(2)</w:t>
      </w:r>
      <w:r>
        <w:tab/>
        <w:t xml:space="preserve">Subsection (1) does not apply if — </w:t>
      </w:r>
    </w:p>
    <w:p>
      <w:pPr>
        <w:pStyle w:val="Indenta"/>
      </w:pPr>
      <w:r>
        <w:tab/>
        <w:t>(a)</w:t>
      </w:r>
      <w:r>
        <w:tab/>
        <w:t>under section 38D, the referral is taken to have been withdrawn; or</w:t>
      </w:r>
    </w:p>
    <w:p>
      <w:pPr>
        <w:pStyle w:val="Indenta"/>
      </w:pPr>
      <w:r>
        <w:tab/>
        <w:t>(b)</w:t>
      </w:r>
      <w:r>
        <w:tab/>
        <w:t>the proposal is declared under section 38E to be a derived proposal; or</w:t>
      </w:r>
    </w:p>
    <w:p>
      <w:pPr>
        <w:pStyle w:val="Indenta"/>
      </w:pPr>
      <w:r>
        <w:tab/>
        <w:t>(c)</w:t>
      </w:r>
      <w:r>
        <w:tab/>
        <w:t>under section 38F(4), the referral has been declared to have been withdrawn.</w:t>
      </w:r>
    </w:p>
    <w:p>
      <w:pPr>
        <w:pStyle w:val="Subsection"/>
      </w:pPr>
      <w:r>
        <w:tab/>
        <w:t>(3)</w:t>
      </w:r>
      <w:r>
        <w:tab/>
        <w:t>The Authority’s decision under subsection (1) must be based on —</w:t>
      </w:r>
    </w:p>
    <w:p>
      <w:pPr>
        <w:pStyle w:val="Indenta"/>
      </w:pPr>
      <w:r>
        <w:tab/>
        <w:t>(a)</w:t>
      </w:r>
      <w:r>
        <w:tab/>
        <w:t>any information submitted to it when the proposal was referred; and</w:t>
      </w:r>
    </w:p>
    <w:p>
      <w:pPr>
        <w:pStyle w:val="Indenta"/>
      </w:pPr>
      <w:r>
        <w:tab/>
        <w:t>(b)</w:t>
      </w:r>
      <w:r>
        <w:tab/>
        <w:t>any additional information provided to it under section 38F; and</w:t>
      </w:r>
    </w:p>
    <w:p>
      <w:pPr>
        <w:pStyle w:val="Indenta"/>
      </w:pPr>
      <w:r>
        <w:tab/>
        <w:t>(c)</w:t>
      </w:r>
      <w:r>
        <w:tab/>
        <w:t>any information derived from its own investigations and inquiries.</w:t>
      </w:r>
    </w:p>
    <w:p>
      <w:pPr>
        <w:pStyle w:val="Subsection"/>
      </w:pPr>
      <w:r>
        <w:tab/>
        <w:t>(4)</w:t>
      </w:r>
      <w:r>
        <w:tab/>
        <w:t>In making its decision under subsection (1) the Authority may take into account other statutory decision</w:t>
      </w:r>
      <w:r>
        <w:noBreakHyphen/>
        <w:t>making processes that can mitigate the potential impacts of the proposal on the environment.</w:t>
      </w:r>
    </w:p>
    <w:p>
      <w:pPr>
        <w:pStyle w:val="Subsection"/>
      </w:pPr>
      <w:r>
        <w:lastRenderedPageBreak/>
        <w:tab/>
        <w:t>(5)</w:t>
      </w:r>
      <w:r>
        <w:tab/>
        <w:t>If, for any reason, a relevant decision</w:t>
      </w:r>
      <w:r>
        <w:noBreakHyphen/>
        <w:t>making authority is not given notice as required by subsection (1)(b)(iii) that a proposal is going to be assessed, the Authority may give written notice to the decision</w:t>
      </w:r>
      <w:r>
        <w:noBreakHyphen/>
        <w:t>making authority under this subsection.</w:t>
      </w:r>
    </w:p>
    <w:p>
      <w:pPr>
        <w:pStyle w:val="Subsection"/>
      </w:pPr>
      <w:r>
        <w:tab/>
        <w:t>(6)</w:t>
      </w:r>
      <w:r>
        <w:tab/>
        <w:t>Notice under subsection (5) may be given by the Authority of its own motion or at the request of the decision</w:t>
      </w:r>
      <w:r>
        <w:noBreakHyphen/>
        <w:t>making authority, and may be given at any time before a report on the proposal is given to the Minister under section 44(1).</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Footnotesection"/>
      </w:pPr>
      <w:r>
        <w:tab/>
        <w:t>[Section 38G inserted: No. 40 of 2020 s. 15.]</w:t>
      </w:r>
    </w:p>
    <w:p>
      <w:pPr>
        <w:pStyle w:val="Heading5"/>
      </w:pPr>
      <w:bookmarkStart w:id="60" w:name="_Toc199511828"/>
      <w:r>
        <w:rPr>
          <w:rStyle w:val="CharSectno"/>
        </w:rPr>
        <w:t>38H</w:t>
      </w:r>
      <w:r>
        <w:t>.</w:t>
      </w:r>
      <w:r>
        <w:tab/>
        <w:t>Nomination of person responsible for proposal</w:t>
      </w:r>
      <w:bookmarkEnd w:id="60"/>
    </w:p>
    <w:p>
      <w:pPr>
        <w:pStyle w:val="Subsection"/>
      </w:pPr>
      <w:r>
        <w:tab/>
        <w:t>(1)</w:t>
      </w:r>
      <w:r>
        <w:tab/>
        <w:t xml:space="preserve">This section applies to a proposal if — </w:t>
      </w:r>
    </w:p>
    <w:p>
      <w:pPr>
        <w:pStyle w:val="Indenta"/>
      </w:pPr>
      <w:r>
        <w:tab/>
        <w:t>(a)</w:t>
      </w:r>
      <w:r>
        <w:tab/>
        <w:t xml:space="preserve">the proposal is referred, or is required to be referred, to the Authority under section 38; and </w:t>
      </w:r>
    </w:p>
    <w:p>
      <w:pPr>
        <w:pStyle w:val="Indenta"/>
      </w:pPr>
      <w:r>
        <w:tab/>
        <w:t>(b)</w:t>
      </w:r>
      <w:r>
        <w:tab/>
        <w:t>the Authority decides that the proposal should be assessed by it under this Part.</w:t>
      </w:r>
    </w:p>
    <w:p>
      <w:pPr>
        <w:pStyle w:val="Subsection"/>
      </w:pPr>
      <w:r>
        <w:tab/>
        <w:t>(2)</w:t>
      </w:r>
      <w:r>
        <w:tab/>
        <w:t>Except when the responsibility for a proposal is imposed on a public authority under another written law, the Authority must nominate a person as being responsible for the proposal.</w:t>
      </w:r>
    </w:p>
    <w:p>
      <w:pPr>
        <w:pStyle w:val="Subsection"/>
      </w:pPr>
      <w:r>
        <w:tab/>
        <w:t>(3)</w:t>
      </w:r>
      <w:r>
        <w:tab/>
        <w:t xml:space="preserve">If an individual is nominated under subsection (2), the nomination may be made — </w:t>
      </w:r>
    </w:p>
    <w:p>
      <w:pPr>
        <w:pStyle w:val="Indenta"/>
      </w:pPr>
      <w:r>
        <w:tab/>
        <w:t>(a)</w:t>
      </w:r>
      <w:r>
        <w:tab/>
        <w:t>by reference to the individual’s name; or</w:t>
      </w:r>
    </w:p>
    <w:p>
      <w:pPr>
        <w:pStyle w:val="Indenta"/>
      </w:pPr>
      <w:r>
        <w:tab/>
        <w:t>(b)</w:t>
      </w:r>
      <w:r>
        <w:tab/>
        <w:t>by reference to the individual being the person for the time being holding or acting in a particular office or position.</w:t>
      </w:r>
    </w:p>
    <w:p>
      <w:pPr>
        <w:pStyle w:val="Subsection"/>
        <w:keepNext/>
      </w:pPr>
      <w:r>
        <w:lastRenderedPageBreak/>
        <w:tab/>
        <w:t>(4)</w:t>
      </w:r>
      <w:r>
        <w:tab/>
        <w:t>Written notice of a nomination under subsection (2) must be served on —</w:t>
      </w:r>
    </w:p>
    <w:p>
      <w:pPr>
        <w:pStyle w:val="Indenta"/>
      </w:pPr>
      <w:r>
        <w:tab/>
        <w:t>(a)</w:t>
      </w:r>
      <w:r>
        <w:tab/>
        <w:t>the person nominated; and</w:t>
      </w:r>
    </w:p>
    <w:p>
      <w:pPr>
        <w:pStyle w:val="Indenta"/>
      </w:pPr>
      <w:r>
        <w:tab/>
        <w:t>(b)</w:t>
      </w:r>
      <w:r>
        <w:tab/>
        <w:t>any decision</w:t>
      </w:r>
      <w:r>
        <w:noBreakHyphen/>
        <w:t>making authority to which or whom notice of the Authority’s decision to assess the proposal has been given under section 38G(1)(b)(iii) or (5).</w:t>
      </w:r>
    </w:p>
    <w:p>
      <w:pPr>
        <w:pStyle w:val="Footnotesection"/>
      </w:pPr>
      <w:r>
        <w:tab/>
        <w:t>[Section 38H inserted: No. 40 of 2020 s. 15.]</w:t>
      </w:r>
    </w:p>
    <w:p>
      <w:pPr>
        <w:pStyle w:val="Heading5"/>
      </w:pPr>
      <w:bookmarkStart w:id="61" w:name="_Toc199511829"/>
      <w:r>
        <w:rPr>
          <w:rStyle w:val="CharSectno"/>
        </w:rPr>
        <w:t>38I</w:t>
      </w:r>
      <w:r>
        <w:t>.</w:t>
      </w:r>
      <w:r>
        <w:tab/>
        <w:t>Change of person responsible for proposal</w:t>
      </w:r>
      <w:bookmarkEnd w:id="61"/>
    </w:p>
    <w:p>
      <w:pPr>
        <w:pStyle w:val="Subsection"/>
      </w:pPr>
      <w:r>
        <w:tab/>
        <w:t>(1)</w:t>
      </w:r>
      <w:r>
        <w:tab/>
        <w:t xml:space="preserve">A person nominated under section 38H(2) in relation to a proposal that proposes to transfer responsibility for the proposal to another person must give written notice advising the name of that other person — </w:t>
      </w:r>
    </w:p>
    <w:p>
      <w:pPr>
        <w:pStyle w:val="Indenta"/>
      </w:pPr>
      <w:r>
        <w:tab/>
        <w:t>(a)</w:t>
      </w:r>
      <w:r>
        <w:tab/>
        <w:t>to the Authority; or</w:t>
      </w:r>
    </w:p>
    <w:p>
      <w:pPr>
        <w:pStyle w:val="Indenta"/>
      </w:pPr>
      <w:r>
        <w:tab/>
        <w:t>(b)</w:t>
      </w:r>
      <w:r>
        <w:tab/>
        <w:t>if a statement relating to the proposal has been published under section 45(8)(b) — to the Minister.</w:t>
      </w:r>
    </w:p>
    <w:p>
      <w:pPr>
        <w:pStyle w:val="Subsection"/>
      </w:pPr>
      <w:r>
        <w:tab/>
        <w:t>(2)</w:t>
      </w:r>
      <w:r>
        <w:tab/>
        <w:t xml:space="preserve">The Authority may — </w:t>
      </w:r>
    </w:p>
    <w:p>
      <w:pPr>
        <w:pStyle w:val="Indenta"/>
      </w:pPr>
      <w:r>
        <w:tab/>
        <w:t>(a)</w:t>
      </w:r>
      <w:r>
        <w:tab/>
        <w:t xml:space="preserve">revoke a nomination under section 38H(2) in relation to a proposal; and </w:t>
      </w:r>
    </w:p>
    <w:p>
      <w:pPr>
        <w:pStyle w:val="Indenta"/>
      </w:pPr>
      <w:r>
        <w:tab/>
        <w:t>(b)</w:t>
      </w:r>
      <w:r>
        <w:tab/>
        <w:t>nominate another person under section 38H(2) in relation to the proposal.</w:t>
      </w:r>
    </w:p>
    <w:p>
      <w:pPr>
        <w:pStyle w:val="Subsection"/>
      </w:pPr>
      <w:r>
        <w:tab/>
        <w:t>(3)</w:t>
      </w:r>
      <w:r>
        <w:tab/>
        <w:t xml:space="preserve">Subsection (2) applies even if — </w:t>
      </w:r>
    </w:p>
    <w:p>
      <w:pPr>
        <w:pStyle w:val="Indenta"/>
      </w:pPr>
      <w:r>
        <w:tab/>
        <w:t>(a)</w:t>
      </w:r>
      <w:r>
        <w:tab/>
        <w:t>no written notice has been given to the Authority under subsection (1); or</w:t>
      </w:r>
    </w:p>
    <w:p>
      <w:pPr>
        <w:pStyle w:val="Indenta"/>
      </w:pPr>
      <w:r>
        <w:tab/>
        <w:t>(b)</w:t>
      </w:r>
      <w:r>
        <w:tab/>
        <w:t>the person mentioned in subsection (2)(b) is not the person named in a written notice given to the Authority under subsection (1).</w:t>
      </w:r>
    </w:p>
    <w:p>
      <w:pPr>
        <w:pStyle w:val="Subsection"/>
      </w:pPr>
      <w:r>
        <w:tab/>
        <w:t>(4)</w:t>
      </w:r>
      <w:r>
        <w:tab/>
        <w:t>Subsections (1) and (2) apply even if a report on the proposal has been published under section 44(3) or a statement has been published under section 45(8)(b) but, if a statement has been published, the powers conferred by subsection (2) must be exercised by the Minister.</w:t>
      </w:r>
    </w:p>
    <w:p>
      <w:pPr>
        <w:pStyle w:val="Subsection"/>
      </w:pPr>
      <w:r>
        <w:lastRenderedPageBreak/>
        <w:tab/>
        <w:t>(5)</w:t>
      </w:r>
      <w:r>
        <w:tab/>
        <w:t>Subsections (1) and (2) do not apply if the assessment of the proposal has been terminated under section 40A.</w:t>
      </w:r>
    </w:p>
    <w:p>
      <w:pPr>
        <w:pStyle w:val="Subsection"/>
      </w:pPr>
      <w:r>
        <w:tab/>
        <w:t>(6)</w:t>
      </w:r>
      <w:r>
        <w:tab/>
        <w:t>For the purposes of subsections (1) and (2) and section 3(2b), a person that has been notified under section 38G(1)(b)(i) that the Authority is going to assess a proposal is taken to have been nominated under section 38H(2) as being responsible for the proposal whether or not such a nomination has been made.</w:t>
      </w:r>
    </w:p>
    <w:p>
      <w:pPr>
        <w:pStyle w:val="Footnotesection"/>
      </w:pPr>
      <w:r>
        <w:tab/>
        <w:t>[Section 38I inserted: No. 40 of 2020 s. 15.]</w:t>
      </w:r>
    </w:p>
    <w:p>
      <w:pPr>
        <w:pStyle w:val="Heading5"/>
      </w:pPr>
      <w:bookmarkStart w:id="62" w:name="_Toc199511830"/>
      <w:r>
        <w:rPr>
          <w:rStyle w:val="CharSectno"/>
        </w:rPr>
        <w:t>39</w:t>
      </w:r>
      <w:r>
        <w:t>.</w:t>
      </w:r>
      <w:r>
        <w:tab/>
        <w:t>Authority to keep records of referred proposals</w:t>
      </w:r>
      <w:bookmarkEnd w:id="62"/>
      <w:r>
        <w:t xml:space="preserve"> </w:t>
      </w:r>
    </w:p>
    <w:p>
      <w:pPr>
        <w:pStyle w:val="Subsection"/>
      </w:pPr>
      <w:r>
        <w:tab/>
      </w:r>
      <w:r>
        <w:tab/>
        <w:t xml:space="preserve">The Authority must keep a public record of each referred proposal, and shall in that public record set out — </w:t>
      </w:r>
    </w:p>
    <w:p>
      <w:pPr>
        <w:pStyle w:val="Indenta"/>
      </w:pPr>
      <w:r>
        <w:tab/>
        <w:t>(a)</w:t>
      </w:r>
      <w:r>
        <w:tab/>
        <w:t>whether or not that proposal is to be assessed under this Part; and</w:t>
      </w:r>
    </w:p>
    <w:p>
      <w:pPr>
        <w:pStyle w:val="Indenta"/>
      </w:pPr>
      <w:r>
        <w:tab/>
        <w:t>(b)</w:t>
      </w:r>
      <w:r>
        <w:tab/>
        <w:t>if the proposal is to be assessed under this Part, the level of assessment.</w:t>
      </w:r>
    </w:p>
    <w:p>
      <w:pPr>
        <w:pStyle w:val="Footnotesection"/>
      </w:pPr>
      <w:r>
        <w:tab/>
        <w:t>[Section 39 inserted: No. 40 of 2020 s. 16.]</w:t>
      </w:r>
    </w:p>
    <w:p>
      <w:pPr>
        <w:pStyle w:val="Ednotesection"/>
      </w:pPr>
      <w:r>
        <w:t>[</w:t>
      </w:r>
      <w:r>
        <w:rPr>
          <w:b/>
        </w:rPr>
        <w:t>39A, 39B.</w:t>
      </w:r>
      <w:r>
        <w:tab/>
        <w:t>Deleted: No. 40 of 2020 s. 17.]</w:t>
      </w:r>
    </w:p>
    <w:p>
      <w:pPr>
        <w:pStyle w:val="Heading5"/>
        <w:rPr>
          <w:snapToGrid w:val="0"/>
        </w:rPr>
      </w:pPr>
      <w:bookmarkStart w:id="63" w:name="_Toc199511831"/>
      <w:r>
        <w:rPr>
          <w:rStyle w:val="CharSectno"/>
        </w:rPr>
        <w:t>40</w:t>
      </w:r>
      <w:r>
        <w:rPr>
          <w:snapToGrid w:val="0"/>
        </w:rPr>
        <w:t>.</w:t>
      </w:r>
      <w:r>
        <w:rPr>
          <w:snapToGrid w:val="0"/>
        </w:rPr>
        <w:tab/>
        <w:t>Assessing referred proposals</w:t>
      </w:r>
      <w:bookmarkEnd w:id="63"/>
      <w:r>
        <w:rPr>
          <w:snapToGrid w:val="0"/>
        </w:rPr>
        <w:t xml:space="preserve"> </w:t>
      </w:r>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 or</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keepNext/>
        <w:rPr>
          <w:snapToGrid w:val="0"/>
        </w:rPr>
      </w:pPr>
      <w:r>
        <w:rPr>
          <w:snapToGrid w:val="0"/>
        </w:rPr>
        <w:lastRenderedPageBreak/>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 or</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 xml:space="preserve">Subject to any direction made under section 43, the Authority shall determine the form, content, timing and procedure of any environmental review required to be undertaken under </w:t>
      </w:r>
      <w:r>
        <w:t>subsection (2)(b) and publish an indicative outline of the timing of the environmental review.</w:t>
      </w:r>
    </w:p>
    <w:p>
      <w:pPr>
        <w:pStyle w:val="Subsection"/>
        <w:rPr>
          <w:snapToGrid w:val="0"/>
        </w:rPr>
      </w:pPr>
      <w:r>
        <w:rPr>
          <w:snapToGrid w:val="0"/>
        </w:rPr>
        <w:tab/>
        <w:t>(4)</w:t>
      </w:r>
      <w:r>
        <w:rPr>
          <w:snapToGrid w:val="0"/>
        </w:rPr>
        <w:tab/>
        <w:t xml:space="preserve">Subject to any </w:t>
      </w:r>
      <w:r>
        <w:t>direction</w:t>
      </w:r>
      <w:r>
        <w:rPr>
          <w:snapToGrid w:val="0"/>
        </w:rPr>
        <w:t xml:space="preserve"> made under section 43(1), the Authority may cause the following to be published —</w:t>
      </w:r>
    </w:p>
    <w:p>
      <w:pPr>
        <w:pStyle w:val="Indenta"/>
      </w:pPr>
      <w:r>
        <w:tab/>
        <w:t>(a)</w:t>
      </w:r>
      <w:r>
        <w:tab/>
        <w:t>any information or report provided in compliance with a requirement made under subsection (2)(a) or (aa);</w:t>
      </w:r>
    </w:p>
    <w:p>
      <w:pPr>
        <w:pStyle w:val="Indenta"/>
      </w:pPr>
      <w:r>
        <w:tab/>
        <w:t>(b)</w:t>
      </w:r>
      <w:r>
        <w:tab/>
        <w:t>any report made in compliance with a requirement made under subsection (2)(b).</w:t>
      </w:r>
    </w:p>
    <w:p>
      <w:pPr>
        <w:pStyle w:val="Subsection"/>
      </w:pPr>
      <w:r>
        <w:tab/>
        <w:t>(5)</w:t>
      </w:r>
      <w:r>
        <w:tab/>
        <w:t xml:space="preserve">When publishing information or a report under subsection (4) the Authority may — </w:t>
      </w:r>
    </w:p>
    <w:p>
      <w:pPr>
        <w:pStyle w:val="Indenta"/>
      </w:pPr>
      <w:r>
        <w:tab/>
        <w:t>(a)</w:t>
      </w:r>
      <w:r>
        <w:tab/>
        <w:t>declare the information or report to be available for public review; and</w:t>
      </w:r>
    </w:p>
    <w:p>
      <w:pPr>
        <w:pStyle w:val="Indenta"/>
      </w:pPr>
      <w:r>
        <w:tab/>
        <w:t>(b)</w:t>
      </w:r>
      <w:r>
        <w:tab/>
        <w:t>specify the period within which, the extent to which and the manner in which public authorities or persons may make submissions to the Authority in respect of the information or report.</w:t>
      </w:r>
    </w:p>
    <w:p>
      <w:pPr>
        <w:pStyle w:val="Subsection"/>
      </w:pPr>
      <w:r>
        <w:lastRenderedPageBreak/>
        <w:tab/>
        <w:t>(6)</w:t>
      </w:r>
      <w:r>
        <w:tab/>
        <w:t>When the Authority declares any information or report to be available for public review under subsection (5)(a) —</w:t>
      </w:r>
    </w:p>
    <w:p>
      <w:pPr>
        <w:pStyle w:val="Indenta"/>
      </w:pPr>
      <w:r>
        <w:tab/>
        <w:t>(a)</w:t>
      </w:r>
      <w:r>
        <w:tab/>
        <w:t>the proponent must —</w:t>
      </w:r>
    </w:p>
    <w:p>
      <w:pPr>
        <w:pStyle w:val="Indenti"/>
      </w:pPr>
      <w:r>
        <w:tab/>
        <w:t>(i)</w:t>
      </w:r>
      <w:r>
        <w:tab/>
        <w:t>at the proponent’s own expense, publish notice of that information or report being available for public review; and</w:t>
      </w:r>
    </w:p>
    <w:p>
      <w:pPr>
        <w:pStyle w:val="Indenti"/>
        <w:rPr>
          <w:snapToGrid w:val="0"/>
        </w:rPr>
      </w:pPr>
      <w:r>
        <w:tab/>
        <w:t>(ii)</w:t>
      </w:r>
      <w:r>
        <w:tab/>
        <w:t xml:space="preserve">provide copies of that information or report </w:t>
      </w:r>
      <w:r>
        <w:rPr>
          <w:snapToGrid w:val="0"/>
        </w:rPr>
        <w:t xml:space="preserve">free of charge to such public authorities and persons, </w:t>
      </w:r>
      <w:r>
        <w:t xml:space="preserve">in such manner and </w:t>
      </w:r>
      <w:r>
        <w:rPr>
          <w:snapToGrid w:val="0"/>
        </w:rPr>
        <w:t>at such places and times as the Authority determines; and</w:t>
      </w:r>
    </w:p>
    <w:p>
      <w:pPr>
        <w:pStyle w:val="Indenti"/>
        <w:rPr>
          <w:snapToGrid w:val="0"/>
        </w:rPr>
      </w:pPr>
      <w:r>
        <w:tab/>
        <w:t>(iii)</w:t>
      </w:r>
      <w:r>
        <w:tab/>
        <w:t xml:space="preserve">provide copies of that information or report to members of the public in such manner,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w:t>
      </w:r>
      <w:r>
        <w:t>member presiding over</w:t>
      </w:r>
      <w:r>
        <w:rPr>
          <w:snapToGrid w:val="0"/>
        </w:rPr>
        <w:t xml:space="preserve">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w:t>
      </w:r>
      <w:r>
        <w:t>the member’s</w:t>
      </w:r>
      <w:r>
        <w:rPr>
          <w:snapToGrid w:val="0"/>
        </w:rPr>
        <w:t xml:space="preserve"> case.</w:t>
      </w:r>
    </w:p>
    <w:p>
      <w:pPr>
        <w:pStyle w:val="Subsection"/>
        <w:spacing w:before="120"/>
      </w:pPr>
      <w:r>
        <w:lastRenderedPageBreak/>
        <w:tab/>
        <w:t>(9)</w:t>
      </w:r>
      <w:r>
        <w:tab/>
        <w:t>A proponent or other person upon whom a requirement is imposed under subsection (2)(a), (aa) or (b) or (6)(b) has to comply with that requirement.</w:t>
      </w:r>
    </w:p>
    <w:p>
      <w:pPr>
        <w:pStyle w:val="Footnotesection"/>
      </w:pPr>
      <w:r>
        <w:tab/>
        <w:t>[Section 40 amended: No. 57 of 1997 s. 54(2); No. 14 of 1998 s. 37; No. 54 of 2003 s. 9; No. 60 of 2003 s. 100 (as amended: No. 40 of 2005 s. 13(2) and (3)); No. 39 of 2010 s. 89; No. 40 of 2020 s. 18 and 111(1).]</w:t>
      </w:r>
    </w:p>
    <w:p>
      <w:pPr>
        <w:pStyle w:val="Heading5"/>
      </w:pPr>
      <w:bookmarkStart w:id="64" w:name="_Toc199511832"/>
      <w:r>
        <w:rPr>
          <w:rStyle w:val="CharSectno"/>
        </w:rPr>
        <w:t>40AA</w:t>
      </w:r>
      <w:r>
        <w:t>.</w:t>
      </w:r>
      <w:r>
        <w:tab/>
        <w:t>Assessment of significant amendments</w:t>
      </w:r>
      <w:bookmarkEnd w:id="64"/>
    </w:p>
    <w:p>
      <w:pPr>
        <w:pStyle w:val="Subsection"/>
      </w:pPr>
      <w:r>
        <w:tab/>
        <w:t>(1)</w:t>
      </w:r>
      <w:r>
        <w:tab/>
        <w:t>This section applies if the Authority assesses a significant amendment of an approved proposal.</w:t>
      </w:r>
    </w:p>
    <w:p>
      <w:pPr>
        <w:pStyle w:val="Subsection"/>
      </w:pPr>
      <w:r>
        <w:tab/>
        <w:t>(2)</w:t>
      </w:r>
      <w:r>
        <w:tab/>
        <w:t>The Authority must assess the significant amendment in the context of the approved proposal and have regard to the combined effect that the implementation of the approved proposal and the significant amendment might have on the environment.</w:t>
      </w:r>
    </w:p>
    <w:p>
      <w:pPr>
        <w:pStyle w:val="Subsection"/>
      </w:pPr>
      <w:r>
        <w:tab/>
        <w:t>(3)</w:t>
      </w:r>
      <w:r>
        <w:tab/>
        <w:t>For the purposes of subsection (2) the Authority may inquire into and report on the implementation conditions relating to the approved proposal.</w:t>
      </w:r>
    </w:p>
    <w:p>
      <w:pPr>
        <w:pStyle w:val="Subsection"/>
      </w:pPr>
      <w:r>
        <w:tab/>
        <w:t>(4)</w:t>
      </w:r>
      <w:r>
        <w:tab/>
        <w:t>Each of those implementation conditions continues to apply in relation to the approved proposal subject to —</w:t>
      </w:r>
    </w:p>
    <w:p>
      <w:pPr>
        <w:pStyle w:val="Indenta"/>
      </w:pPr>
      <w:r>
        <w:tab/>
        <w:t>(a)</w:t>
      </w:r>
      <w:r>
        <w:tab/>
        <w:t>it being amended under section 45C or 46(9); or</w:t>
      </w:r>
    </w:p>
    <w:p>
      <w:pPr>
        <w:pStyle w:val="Indenta"/>
      </w:pPr>
      <w:r>
        <w:tab/>
        <w:t>(b)</w:t>
      </w:r>
      <w:r>
        <w:tab/>
        <w:t>revised conditions or procedures being agreed or decided under sections 45 and 45A in relation to the approved proposal after the significant amendment has been assessed.</w:t>
      </w:r>
    </w:p>
    <w:p>
      <w:pPr>
        <w:pStyle w:val="Subsection"/>
      </w:pPr>
      <w:r>
        <w:tab/>
        <w:t>(5)</w:t>
      </w:r>
      <w:r>
        <w:tab/>
        <w:t>Subsection 41A(1) does not apply to the doing of anything to implement the approved proposal.</w:t>
      </w:r>
    </w:p>
    <w:p>
      <w:pPr>
        <w:pStyle w:val="Subsection"/>
      </w:pPr>
      <w:r>
        <w:tab/>
        <w:t>(6)</w:t>
      </w:r>
      <w:r>
        <w:tab/>
        <w:t xml:space="preserve">If a statement is served and published under subsection 45(8), it may be in the form of — </w:t>
      </w:r>
    </w:p>
    <w:p>
      <w:pPr>
        <w:pStyle w:val="Indenta"/>
      </w:pPr>
      <w:r>
        <w:tab/>
        <w:t>(a)</w:t>
      </w:r>
      <w:r>
        <w:tab/>
        <w:t>a statement that only applies to the significant amendment; or</w:t>
      </w:r>
    </w:p>
    <w:p>
      <w:pPr>
        <w:pStyle w:val="Indenta"/>
      </w:pPr>
      <w:r>
        <w:lastRenderedPageBreak/>
        <w:tab/>
        <w:t>(b)</w:t>
      </w:r>
      <w:r>
        <w:tab/>
        <w:t>a statement that includes the implementation conditions for the approved proposal as amended by the significant amendment, and supersedes the previous Ministerial statement relating to the approved proposal.</w:t>
      </w:r>
    </w:p>
    <w:p>
      <w:pPr>
        <w:pStyle w:val="Footnotesection"/>
      </w:pPr>
      <w:r>
        <w:tab/>
        <w:t>[Section 40AA inserted: No. 40 of 2020 s. 19.]</w:t>
      </w:r>
    </w:p>
    <w:p>
      <w:pPr>
        <w:pStyle w:val="Heading5"/>
      </w:pPr>
      <w:bookmarkStart w:id="65" w:name="_Toc199511833"/>
      <w:r>
        <w:rPr>
          <w:rStyle w:val="CharSectno"/>
        </w:rPr>
        <w:t>40A</w:t>
      </w:r>
      <w:r>
        <w:t>.</w:t>
      </w:r>
      <w:r>
        <w:tab/>
        <w:t>Termination of assessment</w:t>
      </w:r>
      <w:bookmarkEnd w:id="65"/>
    </w:p>
    <w:p>
      <w:pPr>
        <w:pStyle w:val="Subsection"/>
      </w:pPr>
      <w:r>
        <w:tab/>
        <w:t>(1)</w:t>
      </w:r>
      <w:r>
        <w:tab/>
        <w:t>The Authority may terminate the assessment of a proposal if —</w:t>
      </w:r>
    </w:p>
    <w:p>
      <w:pPr>
        <w:pStyle w:val="Indenta"/>
      </w:pPr>
      <w:r>
        <w:tab/>
        <w:t>(a)</w:t>
      </w:r>
      <w:r>
        <w:tab/>
        <w:t>the proponent agrees with the termination; or</w:t>
      </w:r>
    </w:p>
    <w:p>
      <w:pPr>
        <w:pStyle w:val="Indenta"/>
      </w:pPr>
      <w:r>
        <w:tab/>
        <w:t>(aa)</w:t>
      </w:r>
      <w:r>
        <w:tab/>
        <w:t>the Authority receives written notice from the proponent that the proponent does not wish to proceed with the proposal; or</w:t>
      </w:r>
    </w:p>
    <w:p>
      <w:pPr>
        <w:pStyle w:val="Indenta"/>
      </w:pPr>
      <w:r>
        <w:tab/>
        <w:t>(b)</w:t>
      </w:r>
      <w:r>
        <w:tab/>
        <w:t>the proponent has failed to comply with —</w:t>
      </w:r>
    </w:p>
    <w:p>
      <w:pPr>
        <w:pStyle w:val="Indenti"/>
      </w:pPr>
      <w:r>
        <w:tab/>
        <w:t>(i)</w:t>
      </w:r>
      <w:r>
        <w:tab/>
        <w:t>a requirement made under section 40(2)(a) or (b); or</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tab/>
        <w:t>(b)</w:t>
      </w:r>
      <w:r>
        <w:tab/>
        <w:t>is capable of being appealed against or reviewed under an enactment.</w:t>
      </w:r>
    </w:p>
    <w:p>
      <w:pPr>
        <w:pStyle w:val="Footnotesection"/>
      </w:pPr>
      <w:r>
        <w:tab/>
        <w:t>[Section 40A inserted: No. 54 of 2003 s. 10; amended: No. 40 of 2020 s. 20.]</w:t>
      </w:r>
    </w:p>
    <w:p>
      <w:pPr>
        <w:pStyle w:val="Heading5"/>
      </w:pPr>
      <w:bookmarkStart w:id="66" w:name="_Toc199511834"/>
      <w:r>
        <w:rPr>
          <w:rStyle w:val="CharSectno"/>
        </w:rPr>
        <w:lastRenderedPageBreak/>
        <w:t>40B</w:t>
      </w:r>
      <w:r>
        <w:t>.</w:t>
      </w:r>
      <w:r>
        <w:tab/>
        <w:t>Application of assessment provisions to strategic proposals and strategic assessments</w:t>
      </w:r>
      <w:bookmarkEnd w:id="66"/>
    </w:p>
    <w:p>
      <w:pPr>
        <w:pStyle w:val="Subsection"/>
      </w:pPr>
      <w:r>
        <w:tab/>
        <w:t>(1)</w:t>
      </w:r>
      <w:r>
        <w:tab/>
        <w:t>Sections 41, 41A and 45(12) do not apply in relation to a strategic proposal.</w:t>
      </w:r>
    </w:p>
    <w:p>
      <w:pPr>
        <w:pStyle w:val="Subsection"/>
      </w:pPr>
      <w:r>
        <w:tab/>
        <w:t>(2)</w:t>
      </w:r>
      <w:r>
        <w:tab/>
        <w:t>Sections 44, 45 (other than subsection (12)) and 45A apply in relation to a strategic proposal as if references in them to implementation were references to the implementation of a future proposal identified in the strategic proposal in the event of that future proposal being declared under section 38E to be a derived proposal.</w:t>
      </w:r>
    </w:p>
    <w:p>
      <w:pPr>
        <w:pStyle w:val="Subsection"/>
      </w:pPr>
      <w:r>
        <w:tab/>
        <w:t>(3)</w:t>
      </w:r>
      <w:r>
        <w:tab/>
        <w:t>This section does not affect the application of sections 41, 41A, 44, 45 and 45A in relation to a strategic proposal to the extent to which the strategic proposal is itself a significant proposal.</w:t>
      </w:r>
    </w:p>
    <w:p>
      <w:pPr>
        <w:pStyle w:val="Footnotesection"/>
      </w:pPr>
      <w:r>
        <w:tab/>
        <w:t>[Section 40B inserted: No. 40 of 2020 s. 21.]</w:t>
      </w:r>
    </w:p>
    <w:p>
      <w:pPr>
        <w:pStyle w:val="Heading5"/>
        <w:rPr>
          <w:snapToGrid w:val="0"/>
        </w:rPr>
      </w:pPr>
      <w:bookmarkStart w:id="67" w:name="_Toc199511835"/>
      <w:r>
        <w:rPr>
          <w:rStyle w:val="CharSectno"/>
        </w:rPr>
        <w:t>41</w:t>
      </w:r>
      <w:r>
        <w:rPr>
          <w:snapToGrid w:val="0"/>
        </w:rPr>
        <w:t>.</w:t>
      </w:r>
      <w:r>
        <w:rPr>
          <w:snapToGrid w:val="0"/>
        </w:rPr>
        <w:tab/>
        <w:t>Decision</w:t>
      </w:r>
      <w:r>
        <w:rPr>
          <w:snapToGrid w:val="0"/>
        </w:rPr>
        <w:noBreakHyphen/>
        <w:t>making authority not to approve proposal until certain events occur</w:t>
      </w:r>
      <w:bookmarkEnd w:id="67"/>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section 38; or</w:t>
      </w:r>
    </w:p>
    <w:p>
      <w:pPr>
        <w:pStyle w:val="Indenta"/>
        <w:keepNext/>
        <w:rPr>
          <w:snapToGrid w:val="0"/>
        </w:rPr>
      </w:pPr>
      <w:r>
        <w:rPr>
          <w:snapToGrid w:val="0"/>
        </w:rPr>
        <w:tab/>
        <w:t>(b)</w:t>
      </w:r>
      <w:r>
        <w:rPr>
          <w:snapToGrid w:val="0"/>
        </w:rPr>
        <w:tab/>
        <w:t xml:space="preserve">has been required under </w:t>
      </w:r>
      <w:r>
        <w:t xml:space="preserve">section 38A(1) </w:t>
      </w:r>
      <w:r>
        <w:rPr>
          <w:snapToGrid w:val="0"/>
        </w:rPr>
        <w:t>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 xml:space="preserve">it is informed under </w:t>
      </w:r>
      <w:r>
        <w:t>section 38G(1)(b)(iii) that the Authority is not going to assess the proposal</w:t>
      </w:r>
      <w:r>
        <w:rPr>
          <w:snapToGrid w:val="0"/>
        </w:rPr>
        <w:t xml:space="preserve"> and the period within which an appeal against </w:t>
      </w:r>
      <w:r>
        <w:t>the decision that the proposal not be assessed</w:t>
      </w:r>
      <w:r>
        <w:rPr>
          <w:snapToGrid w:val="0"/>
        </w:rPr>
        <w:t xml:space="preserve">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lastRenderedPageBreak/>
        <w:tab/>
        <w:t>(d)</w:t>
      </w:r>
      <w:r>
        <w:rPr>
          <w:snapToGrid w:val="0"/>
        </w:rPr>
        <w:tab/>
        <w:t xml:space="preserve">an authority is served on it under </w:t>
      </w:r>
      <w:r>
        <w:t>section 45(12),</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38G(1)(b)(iii) or (5) that a proposal is going to be or is being assessed is not to make any decision that could have the effect of causing or allowing the proposal to be implemented without having had an authority under section 45(12) served on it.</w:t>
      </w:r>
    </w:p>
    <w:p>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Subsection"/>
      </w:pPr>
      <w:r>
        <w:tab/>
        <w:t>(5)</w:t>
      </w:r>
      <w:r>
        <w:tab/>
        <w:t xml:space="preserve">Subsections (2) and (3) do not apply to a decision in relation to a proposal if the decision is made under the </w:t>
      </w:r>
      <w:r>
        <w:rPr>
          <w:i/>
        </w:rPr>
        <w:t>Aboriginal Cultural Heritage Act 2021</w:t>
      </w:r>
      <w:r>
        <w:t>.</w:t>
      </w:r>
    </w:p>
    <w:p>
      <w:pPr>
        <w:pStyle w:val="Footnotesection"/>
      </w:pPr>
      <w:r>
        <w:tab/>
        <w:t>[Section 41 amended: No. 54 of 2003 s. 11; No. 40 of 2010 s. 14; No. 40 of 2020 s. 22; No. 27 of 2021 s. 348(2).]</w:t>
      </w:r>
    </w:p>
    <w:p>
      <w:pPr>
        <w:pStyle w:val="Heading5"/>
      </w:pPr>
      <w:bookmarkStart w:id="68" w:name="_Toc199511836"/>
      <w:r>
        <w:rPr>
          <w:rStyle w:val="CharSectno"/>
        </w:rPr>
        <w:t>41A</w:t>
      </w:r>
      <w:r>
        <w:t>.</w:t>
      </w:r>
      <w:r>
        <w:tab/>
        <w:t>Proposal not to be implemented before action under s. 45 taken</w:t>
      </w:r>
      <w:bookmarkEnd w:id="68"/>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45(8)(b) or a notification is given under section 45(13) commits an offence.</w:t>
      </w:r>
    </w:p>
    <w:p>
      <w:pPr>
        <w:pStyle w:val="Subsection"/>
      </w:pPr>
      <w:r>
        <w:tab/>
        <w:t>(2)</w:t>
      </w:r>
      <w:r>
        <w:tab/>
        <w:t>Subsection (1) applies even if the assessment of the proposal has been terminated under section 40A and applies as if the references to section 45(8)(b) and (13) were references to the application of those provisions to any new proposal referred to the Authority under section 38 in place of the terminated proposal.</w:t>
      </w:r>
    </w:p>
    <w:p>
      <w:pPr>
        <w:pStyle w:val="Subsection"/>
        <w:keepNext/>
      </w:pPr>
      <w:r>
        <w:lastRenderedPageBreak/>
        <w:tab/>
        <w:t>(3)</w:t>
      </w:r>
      <w:r>
        <w:tab/>
        <w:t>Subsection (1) does not apply to minor or preliminary work done with the Authority’s consent.</w:t>
      </w:r>
    </w:p>
    <w:p>
      <w:pPr>
        <w:pStyle w:val="Footnotesection"/>
        <w:spacing w:before="80"/>
        <w:ind w:left="890" w:hanging="890"/>
      </w:pPr>
      <w:r>
        <w:tab/>
        <w:t>[Section 41A inserted: No. 54 of 2003 s. 12; amended: No. 40 of 2020 s. 23.]</w:t>
      </w:r>
    </w:p>
    <w:p>
      <w:pPr>
        <w:pStyle w:val="Heading5"/>
        <w:rPr>
          <w:snapToGrid w:val="0"/>
        </w:rPr>
      </w:pPr>
      <w:bookmarkStart w:id="69" w:name="_Toc199511837"/>
      <w:r>
        <w:rPr>
          <w:rStyle w:val="CharSectno"/>
        </w:rPr>
        <w:t>42</w:t>
      </w:r>
      <w:r>
        <w:rPr>
          <w:snapToGrid w:val="0"/>
        </w:rPr>
        <w:t>.</w:t>
      </w:r>
      <w:r>
        <w:rPr>
          <w:snapToGrid w:val="0"/>
        </w:rPr>
        <w:tab/>
        <w:t>Conduct of public inquiries under s. 40(2)(c)</w:t>
      </w:r>
      <w:bookmarkEnd w:id="69"/>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 and</w:t>
      </w:r>
    </w:p>
    <w:p>
      <w:pPr>
        <w:pStyle w:val="Indenta"/>
        <w:rPr>
          <w:snapToGrid w:val="0"/>
        </w:rPr>
      </w:pPr>
      <w:r>
        <w:rPr>
          <w:snapToGrid w:val="0"/>
        </w:rPr>
        <w:tab/>
        <w:t>(b)</w:t>
      </w:r>
      <w:r>
        <w:rPr>
          <w:snapToGrid w:val="0"/>
        </w:rPr>
        <w:tab/>
        <w:t xml:space="preserve">the Chairman were references to the </w:t>
      </w:r>
      <w:r>
        <w:t>Chair of</w:t>
      </w:r>
      <w:r>
        <w:rPr>
          <w:snapToGrid w:val="0"/>
        </w:rPr>
        <w:t xml:space="preserve"> the Authority or to the </w:t>
      </w:r>
      <w:r>
        <w:t>member presiding over</w:t>
      </w:r>
      <w:r>
        <w:rPr>
          <w:snapToGrid w:val="0"/>
        </w:rPr>
        <w:t xml:space="preserve">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keepNext/>
        <w:rPr>
          <w:snapToGrid w:val="0"/>
        </w:rPr>
      </w:pPr>
      <w:r>
        <w:rPr>
          <w:snapToGrid w:val="0"/>
        </w:rPr>
        <w:tab/>
      </w:r>
      <w:r>
        <w:rPr>
          <w:snapToGrid w:val="0"/>
        </w:rPr>
        <w:tab/>
        <w:t>as the case requires, in the report prepared by it under section 44.</w:t>
      </w:r>
    </w:p>
    <w:p>
      <w:pPr>
        <w:pStyle w:val="Footnotesection"/>
      </w:pPr>
      <w:r>
        <w:tab/>
        <w:t>[Section 42 amended: No. 40 of 2020 s. 24 and 111(1).]</w:t>
      </w:r>
    </w:p>
    <w:p>
      <w:pPr>
        <w:pStyle w:val="Heading5"/>
        <w:spacing w:before="180"/>
        <w:rPr>
          <w:snapToGrid w:val="0"/>
        </w:rPr>
      </w:pPr>
      <w:bookmarkStart w:id="70" w:name="_Toc199511838"/>
      <w:r>
        <w:rPr>
          <w:rStyle w:val="CharSectno"/>
        </w:rPr>
        <w:t>43</w:t>
      </w:r>
      <w:r>
        <w:rPr>
          <w:snapToGrid w:val="0"/>
        </w:rPr>
        <w:t>.</w:t>
      </w:r>
      <w:r>
        <w:rPr>
          <w:snapToGrid w:val="0"/>
        </w:rPr>
        <w:tab/>
        <w:t>Minister may direct Authority as to assessing proposal</w:t>
      </w:r>
      <w:bookmarkEnd w:id="70"/>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 xml:space="preserve">if the Authority considers that a </w:t>
      </w:r>
      <w:r>
        <w:t>referred</w:t>
      </w:r>
      <w:r>
        <w:rPr>
          <w:snapToGrid w:val="0"/>
        </w:rPr>
        <w:t xml:space="preserve"> proposal should not be assessed by it under this Part; or</w:t>
      </w:r>
    </w:p>
    <w:p>
      <w:pPr>
        <w:pStyle w:val="Indenta"/>
        <w:rPr>
          <w:snapToGrid w:val="0"/>
        </w:rPr>
      </w:pPr>
      <w:r>
        <w:rPr>
          <w:snapToGrid w:val="0"/>
        </w:rPr>
        <w:lastRenderedPageBreak/>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38G(1), 39, 40</w:t>
      </w:r>
      <w:r>
        <w:rPr>
          <w:snapToGrid w:val="0"/>
        </w:rPr>
        <w:t>(2) to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45(8)(a) or a notification has been given under section 45(13).</w:t>
      </w:r>
    </w:p>
    <w:p>
      <w:pPr>
        <w:pStyle w:val="Subsection"/>
      </w:pPr>
      <w:r>
        <w:tab/>
        <w:t>(3A)</w:t>
      </w:r>
      <w:r>
        <w:tab/>
        <w:t>A direction can be given under subsection (1) even if the Minister has dismissed an appeal under section 100(1)(a) against a decision by the Authority that the proposal is not to be assessed.</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No. 57 of 1997 s. 54(3); No. 54 of 2003 s. 13; No. 40 of 2020 s. 25.]</w:t>
      </w:r>
    </w:p>
    <w:p>
      <w:pPr>
        <w:pStyle w:val="Heading5"/>
      </w:pPr>
      <w:bookmarkStart w:id="71" w:name="_Toc199511839"/>
      <w:r>
        <w:rPr>
          <w:rStyle w:val="CharSectno"/>
        </w:rPr>
        <w:t>43A</w:t>
      </w:r>
      <w:r>
        <w:t>.</w:t>
      </w:r>
      <w:r>
        <w:tab/>
        <w:t>Amendments to proposals during assessment</w:t>
      </w:r>
      <w:bookmarkEnd w:id="71"/>
    </w:p>
    <w:p>
      <w:pPr>
        <w:pStyle w:val="Subsection"/>
      </w:pPr>
      <w:r>
        <w:tab/>
        <w:t>(1)</w:t>
      </w:r>
      <w:r>
        <w:tab/>
        <w:t xml:space="preserve">While a proposal is being assessed, the proponent may, by written notice — </w:t>
      </w:r>
    </w:p>
    <w:p>
      <w:pPr>
        <w:pStyle w:val="Indenta"/>
      </w:pPr>
      <w:r>
        <w:tab/>
        <w:t>(a)</w:t>
      </w:r>
      <w:r>
        <w:tab/>
        <w:t>advise the Authority that the proponent wishes to amend the proposal in the manner set out in that notice; and</w:t>
      </w:r>
    </w:p>
    <w:p>
      <w:pPr>
        <w:pStyle w:val="Indenta"/>
      </w:pPr>
      <w:r>
        <w:lastRenderedPageBreak/>
        <w:tab/>
        <w:t>(b)</w:t>
      </w:r>
      <w:r>
        <w:tab/>
        <w:t>request that the Authority approve of the assessment of the proposal being completed in respect of the proposal as so amended.</w:t>
      </w:r>
    </w:p>
    <w:p>
      <w:pPr>
        <w:pStyle w:val="Subsection"/>
      </w:pPr>
      <w:r>
        <w:tab/>
        <w:t>(2)</w:t>
      </w:r>
      <w:r>
        <w:tab/>
        <w:t>The Authority may, at its discretion, give or refuse to give approval under subsection (1)(b).</w:t>
      </w:r>
    </w:p>
    <w:p>
      <w:pPr>
        <w:pStyle w:val="Subsection"/>
        <w:keepNext/>
      </w:pPr>
      <w:r>
        <w:tab/>
        <w:t>(3)</w:t>
      </w:r>
      <w:r>
        <w:tab/>
        <w:t xml:space="preserve">If the Authority gives approval under subsection (1)(b) — </w:t>
      </w:r>
    </w:p>
    <w:p>
      <w:pPr>
        <w:pStyle w:val="Indenta"/>
      </w:pPr>
      <w:r>
        <w:tab/>
        <w:t>(a)</w:t>
      </w:r>
      <w:r>
        <w:tab/>
        <w:t>the proposal as so amended is taken to have been referred to the Authority under section 38; and</w:t>
      </w:r>
    </w:p>
    <w:p>
      <w:pPr>
        <w:pStyle w:val="Indenta"/>
      </w:pPr>
      <w:r>
        <w:tab/>
        <w:t>(b)</w:t>
      </w:r>
      <w:r>
        <w:tab/>
        <w:t>without limiting section 40, the Authority, if it thinks fit, may perform, or perform again, any function that it could have performed, or has already performed, in respect of the proposal.</w:t>
      </w:r>
    </w:p>
    <w:p>
      <w:pPr>
        <w:pStyle w:val="Footnotesection"/>
      </w:pPr>
      <w:r>
        <w:tab/>
        <w:t>[Section 43A inserted: No. 40 of 2020 s. 26.]</w:t>
      </w:r>
    </w:p>
    <w:p>
      <w:pPr>
        <w:pStyle w:val="Heading5"/>
        <w:rPr>
          <w:snapToGrid w:val="0"/>
        </w:rPr>
      </w:pPr>
      <w:bookmarkStart w:id="72" w:name="_Toc199511840"/>
      <w:r>
        <w:rPr>
          <w:rStyle w:val="CharSectno"/>
        </w:rPr>
        <w:t>44</w:t>
      </w:r>
      <w:r>
        <w:rPr>
          <w:snapToGrid w:val="0"/>
        </w:rPr>
        <w:t>.</w:t>
      </w:r>
      <w:r>
        <w:rPr>
          <w:snapToGrid w:val="0"/>
        </w:rPr>
        <w:tab/>
        <w:t>Report by Authority on assessment of proposal</w:t>
      </w:r>
      <w:bookmarkEnd w:id="72"/>
    </w:p>
    <w:p>
      <w:pPr>
        <w:pStyle w:val="Subsection"/>
      </w:pPr>
      <w:r>
        <w:tab/>
        <w:t>(1)</w:t>
      </w:r>
      <w:r>
        <w:tab/>
        <w:t>If the Authority assesses a proposal, it must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(2AA)</w:t>
      </w:r>
      <w:r>
        <w:tab/>
        <w:t>In considering key environmental factors and any recommendations that may be included in the assessment report the Authority may take into account other statutory decision</w:t>
      </w:r>
      <w:r>
        <w:noBreakHyphen/>
        <w:t>making processes that can mitigate the potential impacts of the proposal on the environment.</w:t>
      </w:r>
    </w:p>
    <w:p>
      <w:pPr>
        <w:pStyle w:val="Subsection"/>
      </w:pPr>
      <w:r>
        <w:lastRenderedPageBreak/>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the Minister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 xml:space="preserve">any other Minister appearing to </w:t>
      </w:r>
      <w:r>
        <w:t>the Minister</w:t>
      </w:r>
      <w:r>
        <w:rPr>
          <w:snapToGrid w:val="0"/>
        </w:rPr>
        <w:t xml:space="preserve"> to be likely to be concerned in the outcome of the proposal to which that report relates; and</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38G(1)(b)(iii) or (5) in relation to the proposal</w:t>
      </w:r>
      <w:r>
        <w:rPr>
          <w:snapToGrid w:val="0"/>
        </w:rPr>
        <w:t>; and</w:t>
      </w:r>
    </w:p>
    <w:p>
      <w:pPr>
        <w:pStyle w:val="Indenti"/>
        <w:rPr>
          <w:snapToGrid w:val="0"/>
        </w:rPr>
      </w:pPr>
      <w:r>
        <w:rPr>
          <w:snapToGrid w:val="0"/>
        </w:rPr>
        <w:lastRenderedPageBreak/>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No. 54 of 2003 s. 15; No. 40 of 2020 s. 27 and 111(1).]</w:t>
      </w:r>
    </w:p>
    <w:p>
      <w:pPr>
        <w:pStyle w:val="Heading3"/>
      </w:pPr>
      <w:bookmarkStart w:id="73" w:name="_Toc199511841"/>
      <w:r>
        <w:rPr>
          <w:rStyle w:val="CharDivNo"/>
        </w:rPr>
        <w:t>Division 2</w:t>
      </w:r>
      <w:r>
        <w:rPr>
          <w:snapToGrid w:val="0"/>
        </w:rPr>
        <w:t> — </w:t>
      </w:r>
      <w:r>
        <w:rPr>
          <w:rStyle w:val="CharDivText"/>
        </w:rPr>
        <w:t>Implementation of proposals</w:t>
      </w:r>
      <w:bookmarkEnd w:id="73"/>
    </w:p>
    <w:p>
      <w:pPr>
        <w:pStyle w:val="Heading5"/>
      </w:pPr>
      <w:bookmarkStart w:id="74" w:name="_Toc199511842"/>
      <w:r>
        <w:rPr>
          <w:rStyle w:val="CharSectno"/>
        </w:rPr>
        <w:t>44A</w:t>
      </w:r>
      <w:r>
        <w:t>.</w:t>
      </w:r>
      <w:r>
        <w:tab/>
        <w:t>Terms used</w:t>
      </w:r>
      <w:bookmarkEnd w:id="74"/>
      <w:r>
        <w:t xml:space="preserve"> </w:t>
      </w:r>
    </w:p>
    <w:p>
      <w:pPr>
        <w:pStyle w:val="Subsection"/>
      </w:pPr>
      <w:r>
        <w:tab/>
      </w:r>
      <w:r>
        <w:tab/>
        <w:t xml:space="preserve">In this Division — </w:t>
      </w:r>
    </w:p>
    <w:p>
      <w:pPr>
        <w:pStyle w:val="Defstart"/>
      </w:pPr>
      <w:r>
        <w:tab/>
      </w:r>
      <w:r>
        <w:rPr>
          <w:rStyle w:val="CharDefText"/>
        </w:rPr>
        <w:t>assessed proposal</w:t>
      </w:r>
      <w:r>
        <w:t xml:space="preserve"> means the proposal to which a report mentioned in section 45(1) relates;</w:t>
      </w:r>
    </w:p>
    <w:p>
      <w:pPr>
        <w:pStyle w:val="Defstart"/>
      </w:pPr>
      <w:r>
        <w:tab/>
      </w:r>
      <w:r>
        <w:rPr>
          <w:rStyle w:val="CharDefText"/>
        </w:rPr>
        <w:t>DMA decision</w:t>
      </w:r>
      <w:r>
        <w:t xml:space="preserve"> means a decision of a decision</w:t>
      </w:r>
      <w:r>
        <w:noBreakHyphen/>
        <w:t>making authority that could have the effect of causing or allowing the assessed proposal to be implemented;</w:t>
      </w:r>
    </w:p>
    <w:p>
      <w:pPr>
        <w:pStyle w:val="Defstart"/>
      </w:pPr>
      <w:r>
        <w:tab/>
      </w:r>
      <w:r>
        <w:rPr>
          <w:rStyle w:val="CharDefText"/>
        </w:rPr>
        <w:t>implementation agreement or decision</w:t>
      </w:r>
      <w:r>
        <w:t xml:space="preserve"> means an agreement or decision under sections 45 and 45A (or under those sections as applied by section 46(8)) as to whether or not a proposal to which a report published under section 44(3)(a)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the assessed proposal under section 45 and 45A (or under those sections as applied by section 46(8)) and, if those conditions and procedures are amended under section 45C or on an appeal lodged under section 100(3), means those conditions and procedures as so amended;</w:t>
      </w:r>
    </w:p>
    <w:p>
      <w:pPr>
        <w:pStyle w:val="Defstart"/>
      </w:pPr>
      <w:r>
        <w:tab/>
      </w:r>
      <w:r>
        <w:rPr>
          <w:rStyle w:val="CharDefText"/>
        </w:rPr>
        <w:t>implementation issue</w:t>
      </w:r>
      <w:r>
        <w:t xml:space="preserve"> means —</w:t>
      </w:r>
    </w:p>
    <w:p>
      <w:pPr>
        <w:pStyle w:val="Defpara"/>
      </w:pPr>
      <w:r>
        <w:tab/>
        <w:t>(a)</w:t>
      </w:r>
      <w:r>
        <w:tab/>
        <w:t>the issue of whether or not the assessed proposal may be implemented; or</w:t>
      </w:r>
    </w:p>
    <w:p>
      <w:pPr>
        <w:pStyle w:val="Defpara"/>
      </w:pPr>
      <w:r>
        <w:lastRenderedPageBreak/>
        <w:tab/>
        <w:t>(b)</w:t>
      </w:r>
      <w:r>
        <w:tab/>
        <w:t>the issue of the conditions and procedures, if any, to which the assessed proposal, if implemented, should be subject;</w:t>
      </w:r>
    </w:p>
    <w:p>
      <w:pPr>
        <w:pStyle w:val="Defstart"/>
      </w:pPr>
      <w:r>
        <w:tab/>
      </w:r>
      <w:r>
        <w:rPr>
          <w:rStyle w:val="CharDefText"/>
        </w:rPr>
        <w:t>key decision</w:t>
      </w:r>
      <w:r>
        <w:noBreakHyphen/>
      </w:r>
      <w:r>
        <w:rPr>
          <w:rStyle w:val="CharDefText"/>
        </w:rPr>
        <w:t>making authority</w:t>
      </w:r>
      <w:r>
        <w:t xml:space="preserve"> means a decision</w:t>
      </w:r>
      <w:r>
        <w:noBreakHyphen/>
        <w:t>making authority determined by the Minister under section 45(2).</w:t>
      </w:r>
    </w:p>
    <w:p>
      <w:pPr>
        <w:pStyle w:val="Footnotesection"/>
      </w:pPr>
      <w:r>
        <w:tab/>
        <w:t>[Section 44A inserted: No. 40 of 2020 s. 28.]</w:t>
      </w:r>
    </w:p>
    <w:p>
      <w:pPr>
        <w:pStyle w:val="Heading5"/>
      </w:pPr>
      <w:bookmarkStart w:id="75" w:name="_Toc199511843"/>
      <w:r>
        <w:rPr>
          <w:rStyle w:val="CharSectno"/>
        </w:rPr>
        <w:t>45</w:t>
      </w:r>
      <w:r>
        <w:t>.</w:t>
      </w:r>
      <w:r>
        <w:tab/>
        <w:t>Procedure for deciding if assessed proposal may be implemented</w:t>
      </w:r>
      <w:bookmarkEnd w:id="75"/>
    </w:p>
    <w:p>
      <w:pPr>
        <w:pStyle w:val="Subsection"/>
      </w:pPr>
      <w:r>
        <w:tab/>
        <w:t>(1)</w:t>
      </w:r>
      <w:r>
        <w:tab/>
        <w:t>This section applies after the Minister has caused a report to be published under section 44(3)(a).</w:t>
      </w:r>
    </w:p>
    <w:p>
      <w:pPr>
        <w:pStyle w:val="Subsection"/>
      </w:pPr>
      <w:r>
        <w:tab/>
        <w:t>(2)</w:t>
      </w:r>
      <w:r>
        <w:tab/>
        <w:t>For the purposes of this section the Minister must determine which or whom of the decision</w:t>
      </w:r>
      <w:r>
        <w:noBreakHyphen/>
        <w:t>making authorities in relation to the assessed proposal the Minister considers to be a key decision-making authority.</w:t>
      </w:r>
    </w:p>
    <w:p>
      <w:pPr>
        <w:pStyle w:val="Subsection"/>
      </w:pPr>
      <w:r>
        <w:tab/>
        <w:t>(3)</w:t>
      </w:r>
      <w:r>
        <w:tab/>
        <w:t>If the key decision</w:t>
      </w:r>
      <w:r>
        <w:noBreakHyphen/>
        <w:t>making authority, or one or more of the key decision</w:t>
      </w:r>
      <w:r>
        <w:noBreakHyphen/>
        <w:t>making authorities, is or are another Minister or other Ministers, the Minister must consult and, if possible, agree with that Minister or those Ministers on the implementation issues.</w:t>
      </w:r>
    </w:p>
    <w:p>
      <w:pPr>
        <w:pStyle w:val="Subsection"/>
      </w:pPr>
      <w:r>
        <w:tab/>
        <w:t>(4)</w:t>
      </w:r>
      <w:r>
        <w:tab/>
        <w:t>If neither the key decision</w:t>
      </w:r>
      <w:r>
        <w:noBreakHyphen/>
        <w:t>making authority, nor any of the key decision</w:t>
      </w:r>
      <w:r>
        <w:noBreakHyphen/>
        <w:t>making authorities, as the case requires, is another Minister, the Minister must consult and, if possible, agree with that key decision</w:t>
      </w:r>
      <w:r>
        <w:noBreakHyphen/>
        <w:t>making authority or those key decision</w:t>
      </w:r>
      <w:r>
        <w:noBreakHyphen/>
        <w:t>making authorities on the implementation issues.</w:t>
      </w:r>
    </w:p>
    <w:p>
      <w:pPr>
        <w:pStyle w:val="Subsection"/>
      </w:pPr>
      <w:r>
        <w:tab/>
        <w:t>(5)</w:t>
      </w:r>
      <w:r>
        <w:tab/>
        <w:t>If the Minister and the other Minister or Ministers referred to in subsection (3) cannot agree on an implementation issue, the Minister must refer the matter or matters in dispute to the Governor for decision, and the decision of the Governor on that matter or matters is final and without appeal.</w:t>
      </w:r>
    </w:p>
    <w:p>
      <w:pPr>
        <w:pStyle w:val="Subsection"/>
      </w:pPr>
      <w:r>
        <w:tab/>
        <w:t>(6)</w:t>
      </w:r>
      <w:r>
        <w:tab/>
        <w:t>If the Minister and the decision</w:t>
      </w:r>
      <w:r>
        <w:noBreakHyphen/>
        <w:t>making authority or decision</w:t>
      </w:r>
      <w:r>
        <w:noBreakHyphen/>
        <w:t xml:space="preserve">making authorities referred to in subsection (4) cannot agree on an implementation issue, the Minister must appoint an </w:t>
      </w:r>
      <w:r>
        <w:lastRenderedPageBreak/>
        <w:t>appeals committee to consider and report to the Minister on the matter or matters in dispute.</w:t>
      </w:r>
    </w:p>
    <w:p>
      <w:pPr>
        <w:pStyle w:val="Subsection"/>
      </w:pPr>
      <w:r>
        <w:tab/>
        <w:t>(7)</w:t>
      </w:r>
      <w:r>
        <w:tab/>
        <w:t>Sections 106, 107, 108, 109 and 110 apply to and in relation to a matter in respect of which the Minister has appointed an appeals committee under subsection (6) as if that matter were the subject of an appeal from a decision of the Minister.</w:t>
      </w:r>
    </w:p>
    <w:p>
      <w:pPr>
        <w:pStyle w:val="Subsection"/>
      </w:pPr>
      <w:r>
        <w:tab/>
        <w:t>(8)</w:t>
      </w:r>
      <w:r>
        <w:tab/>
        <w:t>If the implementation agreement or decision is that the assessed proposal may be implemented, or may be implemented subject to implementation conditions, the Minister must within 30 days of the agreement or decision being made —</w:t>
      </w:r>
    </w:p>
    <w:p>
      <w:pPr>
        <w:pStyle w:val="Indenta"/>
      </w:pPr>
      <w:r>
        <w:tab/>
        <w:t>(a)</w:t>
      </w:r>
      <w:r>
        <w:tab/>
        <w:t>cause copies of a statement setting out the implementation agreement or decision to be served on —</w:t>
      </w:r>
    </w:p>
    <w:p>
      <w:pPr>
        <w:pStyle w:val="Indenti"/>
      </w:pPr>
      <w:r>
        <w:tab/>
        <w:t>(i)</w:t>
      </w:r>
      <w:r>
        <w:tab/>
        <w:t>the Authority; and</w:t>
      </w:r>
    </w:p>
    <w:p>
      <w:pPr>
        <w:pStyle w:val="Indenti"/>
      </w:pPr>
      <w:r>
        <w:tab/>
        <w:t>(ii)</w:t>
      </w:r>
      <w:r>
        <w:tab/>
        <w:t>each key decision</w:t>
      </w:r>
      <w:r>
        <w:noBreakHyphen/>
        <w:t>making authority and any other decision</w:t>
      </w:r>
      <w:r>
        <w:noBreakHyphen/>
        <w:t>making authority to which or whom notice of the Authority’s decision to assess the proposal was given under section 38G(1)(b)(iii) or (5); and</w:t>
      </w:r>
    </w:p>
    <w:p>
      <w:pPr>
        <w:pStyle w:val="Indenti"/>
      </w:pPr>
      <w:r>
        <w:tab/>
        <w:t>(iii)</w:t>
      </w:r>
      <w:r>
        <w:tab/>
        <w:t>the proponent of the assessed proposal; and</w:t>
      </w:r>
    </w:p>
    <w:p>
      <w:pPr>
        <w:pStyle w:val="Indenti"/>
      </w:pPr>
      <w:r>
        <w:tab/>
        <w:t>(iv)</w:t>
      </w:r>
      <w:r>
        <w:tab/>
        <w:t>the person who referred the assessed proposal (if it was not referred by a person referred to in subparagraph (ii) or (iii));</w:t>
      </w:r>
    </w:p>
    <w:p>
      <w:pPr>
        <w:pStyle w:val="Indenta"/>
      </w:pPr>
      <w:r>
        <w:tab/>
      </w:r>
      <w:r>
        <w:tab/>
        <w:t>and</w:t>
      </w:r>
    </w:p>
    <w:p>
      <w:pPr>
        <w:pStyle w:val="Indenta"/>
      </w:pPr>
      <w:r>
        <w:tab/>
        <w:t>(b)</w:t>
      </w:r>
      <w:r>
        <w:tab/>
        <w:t>cause the statement to be published as soon as is practicable after it is served under paragraph (a).</w:t>
      </w:r>
    </w:p>
    <w:p>
      <w:pPr>
        <w:pStyle w:val="Subsection"/>
      </w:pPr>
      <w:r>
        <w:tab/>
        <w:t>(9)</w:t>
      </w:r>
      <w:r>
        <w:tab/>
        <w:t>Section 45A sets out some kinds of implementation conditions that may be agreed or decided in relation to the assessed proposal, but nothing in that section prevents any other implementation condition from being agreed or decided.</w:t>
      </w:r>
    </w:p>
    <w:p>
      <w:pPr>
        <w:pStyle w:val="Subsection"/>
        <w:keepNext/>
      </w:pPr>
      <w:r>
        <w:lastRenderedPageBreak/>
        <w:tab/>
        <w:t>(10)</w:t>
      </w:r>
      <w:r>
        <w:tab/>
        <w:t xml:space="preserve">Despite anything in this section — </w:t>
      </w:r>
    </w:p>
    <w:p>
      <w:pPr>
        <w:pStyle w:val="Indenta"/>
      </w:pPr>
      <w:r>
        <w:tab/>
        <w:t>(a)</w:t>
      </w:r>
      <w:r>
        <w:tab/>
        <w:t>an implementation issue cannot be agreed or decided under this section during the period of 21 days referred to in section 100(3a)(b); and</w:t>
      </w:r>
    </w:p>
    <w:p>
      <w:pPr>
        <w:pStyle w:val="Indenta"/>
      </w:pPr>
      <w:r>
        <w:tab/>
        <w:t>(b)</w:t>
      </w:r>
      <w:r>
        <w:tab/>
        <w:t xml:space="preserve">if an appeal is lodged under section 100(1)(d) in respect of the report mentioned in subsection (1) — </w:t>
      </w:r>
    </w:p>
    <w:p>
      <w:pPr>
        <w:pStyle w:val="Indenti"/>
      </w:pPr>
      <w:r>
        <w:tab/>
        <w:t>(i)</w:t>
      </w:r>
      <w:r>
        <w:tab/>
        <w:t>an implementation issue cannot be agreed or decided under this section while the appeal is pending; and</w:t>
      </w:r>
    </w:p>
    <w:p>
      <w:pPr>
        <w:pStyle w:val="Indenti"/>
      </w:pPr>
      <w:r>
        <w:tab/>
        <w:t>(ii)</w:t>
      </w:r>
      <w:r>
        <w:tab/>
        <w:t xml:space="preserve">if the decision on the appeal is to remit the assessed proposal to the Authority for further assessment or reassessment — an implementation issue cannot be agreed or decided under this section before the report on that further assessment or reassessment has been published under section 44(3)(a). </w:t>
      </w:r>
    </w:p>
    <w:p>
      <w:pPr>
        <w:pStyle w:val="Subsection"/>
      </w:pPr>
      <w:r>
        <w:tab/>
        <w:t>(11)</w:t>
      </w:r>
      <w:r>
        <w:tab/>
        <w:t xml:space="preserve">Subsection (12) applies if — </w:t>
      </w:r>
    </w:p>
    <w:p>
      <w:pPr>
        <w:pStyle w:val="Indenta"/>
      </w:pPr>
      <w:r>
        <w:tab/>
        <w:t>(a)</w:t>
      </w:r>
      <w:r>
        <w:tab/>
        <w:t xml:space="preserve">a statement has been published under subsection (8)(b) in relation to the assessed proposal; and </w:t>
      </w:r>
    </w:p>
    <w:p>
      <w:pPr>
        <w:pStyle w:val="Indenta"/>
      </w:pPr>
      <w:r>
        <w:tab/>
        <w:t>(b)</w:t>
      </w:r>
      <w:r>
        <w:tab/>
        <w:t>the Minister is satisfied that there is no reason why the assessed proposal should not be implemented.</w:t>
      </w:r>
    </w:p>
    <w:p>
      <w:pPr>
        <w:pStyle w:val="Subsection"/>
      </w:pPr>
      <w:r>
        <w:tab/>
        <w:t>(12)</w:t>
      </w:r>
      <w:r>
        <w:tab/>
        <w:t>As soon as this subsection applies, the Minister may cause to be served on the decision</w:t>
      </w:r>
      <w:r>
        <w:noBreakHyphen/>
        <w:t>making authority precluded by section 41 from making a DMA decision an authority in writing permitting a DMA decision to be made.</w:t>
      </w:r>
    </w:p>
    <w:p>
      <w:pPr>
        <w:pStyle w:val="Subsection"/>
      </w:pPr>
      <w:r>
        <w:tab/>
        <w:t>(13)</w:t>
      </w:r>
      <w:r>
        <w:tab/>
        <w:t xml:space="preserve">If the implementation agreement or decision is that the assessed proposal may not be implemented, the Minister must within 30 days of the agreement or decision being made give written notice of the implementation agreement or decision to — </w:t>
      </w:r>
    </w:p>
    <w:p>
      <w:pPr>
        <w:pStyle w:val="Indenta"/>
      </w:pPr>
      <w:r>
        <w:tab/>
        <w:t>(a)</w:t>
      </w:r>
      <w:r>
        <w:tab/>
        <w:t>the Authority; and</w:t>
      </w:r>
    </w:p>
    <w:p>
      <w:pPr>
        <w:pStyle w:val="Indenta"/>
      </w:pPr>
      <w:r>
        <w:tab/>
        <w:t>(b)</w:t>
      </w:r>
      <w:r>
        <w:tab/>
        <w:t>each key decision</w:t>
      </w:r>
      <w:r>
        <w:noBreakHyphen/>
        <w:t>making authority and any other decision</w:t>
      </w:r>
      <w:r>
        <w:noBreakHyphen/>
        <w:t xml:space="preserve">making authority to which or whom notice of </w:t>
      </w:r>
      <w:r>
        <w:lastRenderedPageBreak/>
        <w:t>the Authority’s decision to assess the proposal was given under section 38G(1)(b)(iii) or (5); and</w:t>
      </w:r>
    </w:p>
    <w:p>
      <w:pPr>
        <w:pStyle w:val="Indenta"/>
      </w:pPr>
      <w:r>
        <w:tab/>
        <w:t>(c)</w:t>
      </w:r>
      <w:r>
        <w:tab/>
        <w:t>the proponent of the assessed proposal; and</w:t>
      </w:r>
    </w:p>
    <w:p>
      <w:pPr>
        <w:pStyle w:val="Indenta"/>
      </w:pPr>
      <w:r>
        <w:tab/>
        <w:t>(d)</w:t>
      </w:r>
      <w:r>
        <w:tab/>
        <w:t>the person who referred the assessed proposal (if it was not referred by a person referred to in paragraph (b) or (c)).</w:t>
      </w:r>
    </w:p>
    <w:p>
      <w:pPr>
        <w:pStyle w:val="Subsection"/>
      </w:pPr>
      <w:r>
        <w:tab/>
        <w:t>(14)</w:t>
      </w:r>
      <w:r>
        <w:tab/>
        <w:t>If notice is given under subsection (13) of an implementation agreement or decision for a significant amendment of an approved proposal, that implementation agreement or decision does not affect the implementation of the approved proposal.</w:t>
      </w:r>
    </w:p>
    <w:p>
      <w:pPr>
        <w:pStyle w:val="Footnotesection"/>
      </w:pPr>
      <w:r>
        <w:tab/>
        <w:t>[Section 45 inserted: No. 40 of 2020 s. 28.]</w:t>
      </w:r>
    </w:p>
    <w:p>
      <w:pPr>
        <w:pStyle w:val="Heading5"/>
      </w:pPr>
      <w:bookmarkStart w:id="76" w:name="_Toc199511844"/>
      <w:r>
        <w:rPr>
          <w:rStyle w:val="CharSectno"/>
        </w:rPr>
        <w:t>45A</w:t>
      </w:r>
      <w:r>
        <w:t>.</w:t>
      </w:r>
      <w:r>
        <w:tab/>
        <w:t>Implementation conditions</w:t>
      </w:r>
      <w:bookmarkEnd w:id="76"/>
    </w:p>
    <w:p>
      <w:pPr>
        <w:pStyle w:val="Subsection"/>
      </w:pPr>
      <w:r>
        <w:tab/>
        <w:t>(1)</w:t>
      </w:r>
      <w:r>
        <w:tab/>
        <w:t>The following list sets out things the proponent of the assessed proposal can be required to do under implementation conditions —</w:t>
      </w:r>
    </w:p>
    <w:p>
      <w:pPr>
        <w:pStyle w:val="Indenta"/>
      </w:pPr>
      <w:r>
        <w:tab/>
        <w:t>(a)</w:t>
      </w:r>
      <w:r>
        <w:tab/>
        <w:t>substantially commence implementation of the proposal within a specified period or before a specified date;</w:t>
      </w:r>
    </w:p>
    <w:p>
      <w:pPr>
        <w:pStyle w:val="Indenta"/>
      </w:pPr>
      <w:r>
        <w:tab/>
        <w:t>(b)</w:t>
      </w:r>
      <w:r>
        <w:tab/>
        <w:t>at the proponent’s expense, take environmental protection, abatement or restoration measures on the subject land, or on other land, in order to directly or indirectly offset the impacts of the implementation of the proposal on the environment;</w:t>
      </w:r>
    </w:p>
    <w:p>
      <w:pPr>
        <w:pStyle w:val="Indenta"/>
      </w:pPr>
      <w:r>
        <w:tab/>
        <w:t>(c)</w:t>
      </w:r>
      <w:r>
        <w:tab/>
        <w:t>contribute moneys to be used for the purpose of taking environmental protection, abatement or restoration measures on the subject land or other land;</w:t>
      </w:r>
    </w:p>
    <w:p>
      <w:pPr>
        <w:pStyle w:val="Indenta"/>
      </w:pPr>
      <w:r>
        <w:tab/>
        <w:t>(d)</w:t>
      </w:r>
      <w:r>
        <w:tab/>
        <w:t>give an environmental undertaking in relation to other land;</w:t>
      </w:r>
    </w:p>
    <w:p>
      <w:pPr>
        <w:pStyle w:val="Indenta"/>
      </w:pPr>
      <w:r>
        <w:tab/>
        <w:t>(e)</w:t>
      </w:r>
      <w:r>
        <w:tab/>
        <w:t>arrange for an environmental protection covenant to be given by a specified person other than the proponent in relation to other land;</w:t>
      </w:r>
    </w:p>
    <w:p>
      <w:pPr>
        <w:pStyle w:val="Indenta"/>
      </w:pPr>
      <w:r>
        <w:tab/>
        <w:t>(f)</w:t>
      </w:r>
      <w:r>
        <w:tab/>
        <w:t xml:space="preserve">at the proponent’s expense, prepare, implement and adhere to environmental management systems, </w:t>
      </w:r>
      <w:r>
        <w:lastRenderedPageBreak/>
        <w:t>environmental management plans and environmental improvement plans;</w:t>
      </w:r>
    </w:p>
    <w:p>
      <w:pPr>
        <w:pStyle w:val="Indenta"/>
      </w:pPr>
      <w:r>
        <w:tab/>
        <w:t>(g)</w:t>
      </w:r>
      <w:r>
        <w:tab/>
        <w:t>at the proponent’s expense, arrange for audits as to whether or not the implementation conditions have been complied with to be carried out at specified times by a person nominated or approved by the CEO and report to the CEO on the findings of those audits.</w:t>
      </w:r>
    </w:p>
    <w:p>
      <w:pPr>
        <w:pStyle w:val="Subsection"/>
      </w:pPr>
      <w:r>
        <w:tab/>
        <w:t>(2)</w:t>
      </w:r>
      <w:r>
        <w:tab/>
        <w:t xml:space="preserve">In subsection (1) — </w:t>
      </w:r>
    </w:p>
    <w:p>
      <w:pPr>
        <w:pStyle w:val="Defstart"/>
      </w:pPr>
      <w:r>
        <w:tab/>
      </w:r>
      <w:r>
        <w:rPr>
          <w:rStyle w:val="CharDefText"/>
        </w:rPr>
        <w:t>other land</w:t>
      </w:r>
      <w:r>
        <w:t xml:space="preserve"> means land other than the subject land;</w:t>
      </w:r>
    </w:p>
    <w:p>
      <w:pPr>
        <w:pStyle w:val="Defstart"/>
      </w:pPr>
      <w:r>
        <w:tab/>
      </w:r>
      <w:r>
        <w:rPr>
          <w:rStyle w:val="CharDefText"/>
        </w:rPr>
        <w:t>specified</w:t>
      </w:r>
      <w:r>
        <w:t xml:space="preserve"> means specified in an implementation condition;</w:t>
      </w:r>
    </w:p>
    <w:p>
      <w:pPr>
        <w:pStyle w:val="Defstart"/>
      </w:pPr>
      <w:r>
        <w:tab/>
      </w:r>
      <w:r>
        <w:rPr>
          <w:rStyle w:val="CharDefText"/>
        </w:rPr>
        <w:t>subject land</w:t>
      </w:r>
      <w:r>
        <w:t xml:space="preserve"> means the land to which the assessed proposal relates.</w:t>
      </w:r>
    </w:p>
    <w:p>
      <w:pPr>
        <w:pStyle w:val="Subsection"/>
      </w:pPr>
      <w:r>
        <w:tab/>
        <w:t>(3)</w:t>
      </w:r>
      <w:r>
        <w:tab/>
        <w:t>If the implementation agreement or decision authorises the assessed proposal to be implemented only if it is implemented in 2 or more stages, the implementation agreement or decision may include implementation conditions specifying requirements in relation to the implementation of a stage of the proposal that must be met to the satisfaction of the CEO before the implementation of the next stage can take place.</w:t>
      </w:r>
    </w:p>
    <w:p>
      <w:pPr>
        <w:pStyle w:val="Subsection"/>
      </w:pPr>
      <w:r>
        <w:tab/>
        <w:t>(4)</w:t>
      </w:r>
      <w:r>
        <w:tab/>
        <w:t>An implementation condition may require the proponent to pay fees or charges payable under section 48AA(1) in relation to the assessed proposal.</w:t>
      </w:r>
    </w:p>
    <w:p>
      <w:pPr>
        <w:pStyle w:val="Footnotesection"/>
      </w:pPr>
      <w:r>
        <w:tab/>
        <w:t>[Section 45A inserted: No. 40 of 2020 s. 28.]</w:t>
      </w:r>
    </w:p>
    <w:p>
      <w:pPr>
        <w:pStyle w:val="Heading5"/>
      </w:pPr>
      <w:bookmarkStart w:id="77" w:name="_Toc199511845"/>
      <w:r>
        <w:rPr>
          <w:rStyle w:val="CharSectno"/>
        </w:rPr>
        <w:t>45B</w:t>
      </w:r>
      <w:r>
        <w:t>.</w:t>
      </w:r>
      <w:r>
        <w:tab/>
        <w:t>Implementation of derived proposal</w:t>
      </w:r>
      <w:bookmarkEnd w:id="77"/>
    </w:p>
    <w:p>
      <w:pPr>
        <w:pStyle w:val="Subsection"/>
      </w:pPr>
      <w:r>
        <w:tab/>
        <w:t>(1)</w:t>
      </w:r>
      <w:r>
        <w:tab/>
        <w:t>In this section —</w:t>
      </w:r>
    </w:p>
    <w:p>
      <w:pPr>
        <w:pStyle w:val="Defstart"/>
      </w:pPr>
      <w:r>
        <w:tab/>
      </w:r>
      <w:r>
        <w:rPr>
          <w:rStyle w:val="CharDefText"/>
        </w:rPr>
        <w:t>section 38E declaration</w:t>
      </w:r>
      <w:r>
        <w:t xml:space="preserve"> means a declaration under section 38E that a proposal is a derived proposal.</w:t>
      </w:r>
    </w:p>
    <w:p>
      <w:pPr>
        <w:pStyle w:val="Subsection"/>
        <w:keepNext/>
      </w:pPr>
      <w:r>
        <w:tab/>
        <w:t>(2)</w:t>
      </w:r>
      <w:r>
        <w:tab/>
        <w:t xml:space="preserve">Subject to subsection (3), when the Minister is notified under section 38E(6)(b) of a section 38E declaration, the previous Ministerial statement relating to the derived proposal takes </w:t>
      </w:r>
      <w:r>
        <w:lastRenderedPageBreak/>
        <w:t>effect and the Minister must cause written notice of the taking effect of the Ministerial statement to be served on —</w:t>
      </w:r>
    </w:p>
    <w:p>
      <w:pPr>
        <w:pStyle w:val="Indenta"/>
      </w:pPr>
      <w:r>
        <w:tab/>
        <w:t>(a)</w:t>
      </w:r>
      <w:r>
        <w:tab/>
        <w:t>the Authority; and</w:t>
      </w:r>
    </w:p>
    <w:p>
      <w:pPr>
        <w:pStyle w:val="Indenta"/>
      </w:pPr>
      <w:r>
        <w:tab/>
        <w:t>(b)</w:t>
      </w:r>
      <w:r>
        <w:tab/>
        <w:t>each decision</w:t>
      </w:r>
      <w:r>
        <w:noBreakHyphen/>
        <w:t>making authority that received the Ministerial statement under section 45(8)(a)(ii); and</w:t>
      </w:r>
    </w:p>
    <w:p>
      <w:pPr>
        <w:pStyle w:val="Indenta"/>
      </w:pPr>
      <w:r>
        <w:tab/>
        <w:t>(c)</w:t>
      </w:r>
      <w:r>
        <w:tab/>
        <w:t>the proponent of the derived proposal; and</w:t>
      </w:r>
    </w:p>
    <w:p>
      <w:pPr>
        <w:pStyle w:val="Indenta"/>
      </w:pPr>
      <w:r>
        <w:tab/>
        <w:t>(d)</w:t>
      </w:r>
      <w:r>
        <w:tab/>
        <w:t>the person who referred the derived proposal (if it was not referred by a person referred to in paragraph (b) or (c)).</w:t>
      </w:r>
    </w:p>
    <w:p>
      <w:pPr>
        <w:pStyle w:val="Subsection"/>
      </w:pPr>
      <w:r>
        <w:tab/>
        <w:t>(3)</w:t>
      </w:r>
      <w:r>
        <w:tab/>
        <w:t>If the previous Ministerial statement relating to the derived proposal included implementation conditions relating generally to 2 or more future proposals, the Minister may, in the notice under subsection (2), specify which of those implementation conditions apply to the derived proposal and, subject to sections 46 and 46A, the conditions and procedures so specified are the implementation conditions relating to the derived proposal.</w:t>
      </w:r>
    </w:p>
    <w:p>
      <w:pPr>
        <w:pStyle w:val="Footnotesection"/>
      </w:pPr>
      <w:r>
        <w:tab/>
        <w:t>[Section 45B inserted: No. 40 of 2020 s. 28.]</w:t>
      </w:r>
    </w:p>
    <w:p>
      <w:pPr>
        <w:pStyle w:val="Heading5"/>
      </w:pPr>
      <w:bookmarkStart w:id="78" w:name="_Toc199511846"/>
      <w:r>
        <w:rPr>
          <w:rStyle w:val="CharSectno"/>
        </w:rPr>
        <w:t>45C</w:t>
      </w:r>
      <w:r>
        <w:t>.</w:t>
      </w:r>
      <w:r>
        <w:tab/>
        <w:t>Amending approved proposals or implementation conditions without inquiry or assessment</w:t>
      </w:r>
      <w:bookmarkEnd w:id="78"/>
      <w:r>
        <w:t xml:space="preserve"> </w:t>
      </w:r>
    </w:p>
    <w:p>
      <w:pPr>
        <w:pStyle w:val="Subsection"/>
      </w:pPr>
      <w:r>
        <w:tab/>
        <w:t>(1)</w:t>
      </w:r>
      <w:r>
        <w:tab/>
        <w:t xml:space="preserve">The Minister, after receiving a written request from the proponent to do so, may — </w:t>
      </w:r>
    </w:p>
    <w:p>
      <w:pPr>
        <w:pStyle w:val="Indenta"/>
      </w:pPr>
      <w:r>
        <w:tab/>
        <w:t>(a)</w:t>
      </w:r>
      <w:r>
        <w:tab/>
        <w:t>approve an amendment to an approved proposal; or</w:t>
      </w:r>
    </w:p>
    <w:p>
      <w:pPr>
        <w:pStyle w:val="Indenta"/>
      </w:pPr>
      <w:r>
        <w:tab/>
        <w:t>(b)</w:t>
      </w:r>
      <w:r>
        <w:tab/>
        <w:t>amend implementation conditions relating to an approved proposal; or</w:t>
      </w:r>
    </w:p>
    <w:p>
      <w:pPr>
        <w:pStyle w:val="Indenta"/>
      </w:pPr>
      <w:r>
        <w:tab/>
        <w:t>(c)</w:t>
      </w:r>
      <w:r>
        <w:tab/>
        <w:t>approve an amendment to an approved proposal and amend implementation conditions relating to the approved proposal.</w:t>
      </w:r>
    </w:p>
    <w:p>
      <w:pPr>
        <w:pStyle w:val="Subsection"/>
      </w:pPr>
      <w:r>
        <w:tab/>
        <w:t>(2)</w:t>
      </w:r>
      <w:r>
        <w:tab/>
        <w:t xml:space="preserve">The Minister may, by written notice, request the proponent to provide the Minister with additional information about an amendment to which a request under subsection (1) applies to </w:t>
      </w:r>
      <w:r>
        <w:lastRenderedPageBreak/>
        <w:t>enable the Minister to decide whether or not to approve or make the requested amendment.</w:t>
      </w:r>
    </w:p>
    <w:p>
      <w:pPr>
        <w:pStyle w:val="Subsection"/>
      </w:pPr>
      <w:r>
        <w:tab/>
        <w:t>(3)</w:t>
      </w:r>
      <w:r>
        <w:tab/>
        <w:t>The Minister must not approve or make an amendment requested under subsection (1) if the Minister considers that the requested amendment is a significant amendment.</w:t>
      </w:r>
    </w:p>
    <w:p>
      <w:pPr>
        <w:pStyle w:val="Subsection"/>
      </w:pPr>
      <w:r>
        <w:tab/>
        <w:t>(4)</w:t>
      </w:r>
      <w:r>
        <w:tab/>
        <w:t>Whether or not there has been a request under subsection (1), the Minister may amend an approved proposal if the Minister considers that the amendment is of a minor nature and is necessary and desirable in order to correct in the description of the proposal —</w:t>
      </w:r>
    </w:p>
    <w:p>
      <w:pPr>
        <w:pStyle w:val="Indenta"/>
      </w:pPr>
      <w:r>
        <w:tab/>
        <w:t>(a)</w:t>
      </w:r>
      <w:r>
        <w:tab/>
        <w:t>a clerical mistake or unintentional error or omission; or</w:t>
      </w:r>
    </w:p>
    <w:p>
      <w:pPr>
        <w:pStyle w:val="Indenta"/>
      </w:pPr>
      <w:r>
        <w:tab/>
        <w:t>(b)</w:t>
      </w:r>
      <w:r>
        <w:tab/>
        <w:t>a figure that has been miscalculated; or</w:t>
      </w:r>
    </w:p>
    <w:p>
      <w:pPr>
        <w:pStyle w:val="Indenta"/>
      </w:pPr>
      <w:r>
        <w:tab/>
        <w:t>(c)</w:t>
      </w:r>
      <w:r>
        <w:tab/>
        <w:t>a misdescription of any person, thing or property.</w:t>
      </w:r>
    </w:p>
    <w:p>
      <w:pPr>
        <w:pStyle w:val="Subsection"/>
      </w:pPr>
      <w:r>
        <w:tab/>
        <w:t>(5)</w:t>
      </w:r>
      <w:r>
        <w:tab/>
        <w:t xml:space="preserve">Whether or not there has been a request under subsection (1), the Minister may amend implementation conditions relating to an approved proposal if the Minister considers that the amendment is of a minor nature and is necessary and desirable in order to — </w:t>
      </w:r>
    </w:p>
    <w:p>
      <w:pPr>
        <w:pStyle w:val="Indenta"/>
      </w:pPr>
      <w:r>
        <w:tab/>
        <w:t>(a)</w:t>
      </w:r>
      <w:r>
        <w:tab/>
        <w:t>standardise the implementation conditions applying to different proposals; or</w:t>
      </w:r>
    </w:p>
    <w:p>
      <w:pPr>
        <w:pStyle w:val="Indenta"/>
      </w:pPr>
      <w:r>
        <w:tab/>
        <w:t>(b)</w:t>
      </w:r>
      <w:r>
        <w:tab/>
        <w:t>correct in the implementation conditions —</w:t>
      </w:r>
    </w:p>
    <w:p>
      <w:pPr>
        <w:pStyle w:val="Indenti"/>
      </w:pPr>
      <w:r>
        <w:tab/>
        <w:t>(i)</w:t>
      </w:r>
      <w:r>
        <w:tab/>
        <w:t>a clerical mistake or unintentional error or omission; or</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keepNext/>
      </w:pPr>
      <w:r>
        <w:lastRenderedPageBreak/>
        <w:tab/>
        <w:t>(6)</w:t>
      </w:r>
      <w:r>
        <w:tab/>
        <w:t>The Minister must cause notice of amendments approved or made under subsection (1), (4) or (5) —</w:t>
      </w:r>
    </w:p>
    <w:p>
      <w:pPr>
        <w:pStyle w:val="Indenta"/>
      </w:pPr>
      <w:r>
        <w:tab/>
        <w:t>(a)</w:t>
      </w:r>
      <w:r>
        <w:tab/>
        <w:t>to be given in writing to —</w:t>
      </w:r>
    </w:p>
    <w:p>
      <w:pPr>
        <w:pStyle w:val="Indenti"/>
      </w:pPr>
      <w:r>
        <w:tab/>
        <w:t>(i)</w:t>
      </w:r>
      <w:r>
        <w:tab/>
        <w:t>the Authority; and</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(7)</w:t>
      </w:r>
      <w:r>
        <w:tab/>
        <w:t>If the Minister refuses to approve or make an amendment as requested under subsection (1), the Minister must give written notice of the refusal to the proponent and the proponent may refer the requested amendment to the Authority under section 38(1) as a significant amendment of an approved proposal.</w:t>
      </w:r>
    </w:p>
    <w:p>
      <w:pPr>
        <w:pStyle w:val="Subsection"/>
      </w:pPr>
      <w:r>
        <w:tab/>
        <w:t>(8)</w:t>
      </w:r>
      <w:r>
        <w:tab/>
        <w:t xml:space="preserve">Without limiting this Division, where notice has been given under subsection (7) in relation to a requested amendment of implementation conditions — </w:t>
      </w:r>
    </w:p>
    <w:p>
      <w:pPr>
        <w:pStyle w:val="Indenta"/>
      </w:pPr>
      <w:r>
        <w:tab/>
        <w:t>(a)</w:t>
      </w:r>
      <w:r>
        <w:tab/>
        <w:t>the Minister may make a request under section 46(1) whether or not the Minister considers that the implementation conditions, or any of them, should be amended; or</w:t>
      </w:r>
    </w:p>
    <w:p>
      <w:pPr>
        <w:pStyle w:val="Indenta"/>
      </w:pPr>
      <w:r>
        <w:tab/>
        <w:t>(b)</w:t>
      </w:r>
      <w:r>
        <w:tab/>
        <w:t>the Minister may agree with any decision</w:t>
      </w:r>
      <w:r>
        <w:noBreakHyphen/>
        <w:t>making authority that was consulted under this Act in relation to the existing implementation conditions that the proposed amendment to conditions is a significant amendment that must be referred by the decision</w:t>
      </w:r>
      <w:r>
        <w:noBreakHyphen/>
        <w:t>making authority under section 38(4) as a significant proposal.</w:t>
      </w:r>
    </w:p>
    <w:p>
      <w:pPr>
        <w:pStyle w:val="Footnotesection"/>
      </w:pPr>
      <w:r>
        <w:tab/>
        <w:t>[Section 45C inserted: No. 40 of 2020 s. 28.]</w:t>
      </w:r>
    </w:p>
    <w:p>
      <w:pPr>
        <w:pStyle w:val="Heading5"/>
      </w:pPr>
      <w:bookmarkStart w:id="79" w:name="_Toc199511847"/>
      <w:r>
        <w:rPr>
          <w:rStyle w:val="CharSectno"/>
        </w:rPr>
        <w:lastRenderedPageBreak/>
        <w:t>45D</w:t>
      </w:r>
      <w:r>
        <w:t>.</w:t>
      </w:r>
      <w:r>
        <w:tab/>
        <w:t>Division or consolidation of proposals and issue of separate or combined Ministerial statements</w:t>
      </w:r>
      <w:bookmarkEnd w:id="79"/>
    </w:p>
    <w:p>
      <w:pPr>
        <w:pStyle w:val="Subsection"/>
      </w:pPr>
      <w:r>
        <w:tab/>
        <w:t>(1)</w:t>
      </w:r>
      <w:r>
        <w:tab/>
        <w:t xml:space="preserve">Without limiting section 45C, an amendment approved or made under section 45C(1) may comprise or include — </w:t>
      </w:r>
    </w:p>
    <w:p>
      <w:pPr>
        <w:pStyle w:val="Indenta"/>
      </w:pPr>
      <w:r>
        <w:tab/>
        <w:t>(a)</w:t>
      </w:r>
      <w:r>
        <w:tab/>
        <w:t xml:space="preserve">the division of an approved proposal into 2 or more proposals (the </w:t>
      </w:r>
      <w:r>
        <w:rPr>
          <w:rStyle w:val="CharDefText"/>
        </w:rPr>
        <w:t>separate proposals</w:t>
      </w:r>
      <w:r>
        <w:t>) and the division of the implementation agreement or decision for the approved proposal into implementation agreements or decisions for each of the separate proposals; or</w:t>
      </w:r>
    </w:p>
    <w:p>
      <w:pPr>
        <w:pStyle w:val="Indenta"/>
      </w:pPr>
      <w:r>
        <w:tab/>
        <w:t>(b)</w:t>
      </w:r>
      <w:r>
        <w:tab/>
        <w:t xml:space="preserve">the consolidation of 2 or more approved proposals into 1 proposal (the </w:t>
      </w:r>
      <w:r>
        <w:rPr>
          <w:rStyle w:val="CharDefText"/>
        </w:rPr>
        <w:t>consolidated proposal</w:t>
      </w:r>
      <w:r>
        <w:t>) and the consolidation of the implementation agreements or decisions for the approved proposals to form an implementation agreement or decision for the consolidated proposal.</w:t>
      </w:r>
    </w:p>
    <w:p>
      <w:pPr>
        <w:pStyle w:val="Subsection"/>
      </w:pPr>
      <w:r>
        <w:tab/>
        <w:t>(2)</w:t>
      </w:r>
      <w:r>
        <w:tab/>
        <w:t xml:space="preserve">If subsection (1)(a) applies, the notice given and published under section 45C(6) must be in the form of statements relating to each of the separate proposals and those statements supersede the previous Ministerial statement relating to the approved proposal. </w:t>
      </w:r>
    </w:p>
    <w:p>
      <w:pPr>
        <w:pStyle w:val="Subsection"/>
      </w:pPr>
      <w:r>
        <w:tab/>
        <w:t>(3)</w:t>
      </w:r>
      <w:r>
        <w:tab/>
        <w:t>If subsection (1)(b) applies, the notice given and published under section 45C(6) must be in the form of a statement relating to the consolidated proposal and that statement supersedes the previous Ministerial statements relating to the approved proposals.</w:t>
      </w:r>
    </w:p>
    <w:p>
      <w:pPr>
        <w:pStyle w:val="Footnotesection"/>
      </w:pPr>
      <w:r>
        <w:tab/>
        <w:t>[Section 45D inserted: No. 40 of 2020 s. 28.]</w:t>
      </w:r>
    </w:p>
    <w:p>
      <w:pPr>
        <w:pStyle w:val="Heading5"/>
      </w:pPr>
      <w:bookmarkStart w:id="80" w:name="_Toc199511848"/>
      <w:r>
        <w:rPr>
          <w:rStyle w:val="CharSectno"/>
        </w:rPr>
        <w:t>46</w:t>
      </w:r>
      <w:r>
        <w:t>.</w:t>
      </w:r>
      <w:r>
        <w:tab/>
        <w:t>Amending implementation conditions after inquiry</w:t>
      </w:r>
      <w:bookmarkEnd w:id="80"/>
    </w:p>
    <w:p>
      <w:pPr>
        <w:pStyle w:val="Subsection"/>
      </w:pPr>
      <w:r>
        <w:tab/>
        <w:t>(1)</w:t>
      </w:r>
      <w:r>
        <w:tab/>
        <w:t xml:space="preserve">If the Minister considers that the implementation conditions relating to an approved proposal, or any of them, should be amended (whether because of an amendment to the proposal approved under section 45C or for any other reason), the </w:t>
      </w:r>
      <w:r>
        <w:lastRenderedPageBreak/>
        <w:t>Minister may request the Authority to inquire into and report on the matter within the period specified in the request.</w:t>
      </w:r>
    </w:p>
    <w:p>
      <w:pPr>
        <w:pStyle w:val="Subsection"/>
      </w:pPr>
      <w:r>
        <w:tab/>
        <w:t>(2)</w:t>
      </w:r>
      <w:r>
        <w:tab/>
        <w:t>The Authority is to record any request made under subsection (1) in the public record kept under section 39.</w:t>
      </w:r>
    </w:p>
    <w:p>
      <w:pPr>
        <w:pStyle w:val="Subsection"/>
      </w:pPr>
      <w:r>
        <w:tab/>
        <w:t>(3)</w:t>
      </w:r>
      <w:r>
        <w:tab/>
        <w:t>The Authority is to carry out an inquiry in accordance with a request made under subsection (1).</w:t>
      </w:r>
    </w:p>
    <w:p>
      <w:pPr>
        <w:pStyle w:val="Subsection"/>
      </w:pPr>
      <w:r>
        <w:tab/>
        <w:t>(4)</w:t>
      </w:r>
      <w:r>
        <w:tab/>
        <w:t>Without limiting subsection (1), if a proposal is declared under section 38E(4) to be a derived proposal, the Authority may inquire into whether or not the implementation conditions relating to the proposal, or any of them, should be amended.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amended;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amended as if that question were the question of to what conditions and procedures, if any, the implementation of a proposal should be subjected, and sections 45 and 45A apply to the first</w:t>
      </w:r>
      <w:r>
        <w:noBreakHyphen/>
        <w:t>mentioned question accordingly.</w:t>
      </w:r>
    </w:p>
    <w:p>
      <w:pPr>
        <w:pStyle w:val="Subsection"/>
      </w:pPr>
      <w:r>
        <w:lastRenderedPageBreak/>
        <w:tab/>
        <w:t>(8A)</w:t>
      </w:r>
      <w:r>
        <w:tab/>
        <w:t>Despite subsection (8), the Minister’s obligations under section 45(3) or (4) as applied by subsection (8) do not extend to a decision</w:t>
      </w:r>
      <w:r>
        <w:noBreakHyphen/>
        <w:t>making authority unless the Minister considers that the report under subsection (6) recommends an amendment to an implementation condition that would, if made, affect the decision</w:t>
      </w:r>
      <w:r>
        <w:noBreakHyphen/>
        <w:t>making functions of that decision</w:t>
      </w:r>
      <w:r>
        <w:noBreakHyphen/>
        <w:t>making authority.</w:t>
      </w:r>
    </w:p>
    <w:p>
      <w:pPr>
        <w:pStyle w:val="Subsection"/>
      </w:pPr>
      <w:r>
        <w:tab/>
        <w:t>(9)</w:t>
      </w:r>
      <w:r>
        <w:tab/>
        <w:t>A statement under section 45(8) as applied by subsection (8) may amend any of the implementation conditions to which the report under subsection (6) relates.</w:t>
      </w:r>
    </w:p>
    <w:p>
      <w:pPr>
        <w:pStyle w:val="Ednotesubsection"/>
      </w:pPr>
      <w:r>
        <w:tab/>
        <w:t>[(10)</w:t>
      </w:r>
      <w:r>
        <w:tab/>
        <w:t>deleted]</w:t>
      </w:r>
    </w:p>
    <w:p>
      <w:pPr>
        <w:pStyle w:val="Footnotesection"/>
      </w:pPr>
      <w:r>
        <w:tab/>
        <w:t>[Section 46 inserted: No. 54 of 2003 s. 18; amended: No. 40 of 2020 s. 29.]</w:t>
      </w:r>
    </w:p>
    <w:p>
      <w:pPr>
        <w:pStyle w:val="Heading5"/>
      </w:pPr>
      <w:bookmarkStart w:id="81" w:name="_Toc199511849"/>
      <w:r>
        <w:rPr>
          <w:rStyle w:val="CharSectno"/>
        </w:rPr>
        <w:t>46A</w:t>
      </w:r>
      <w:r>
        <w:t>.</w:t>
      </w:r>
      <w:r>
        <w:tab/>
        <w:t>Interim conditions and procedures</w:t>
      </w:r>
      <w:bookmarkEnd w:id="81"/>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45(8)(b) as applied by section 46(8).</w:t>
      </w:r>
    </w:p>
    <w:p>
      <w:pPr>
        <w:pStyle w:val="Subsection"/>
        <w:keepNext/>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 and</w:t>
      </w:r>
    </w:p>
    <w:p>
      <w:pPr>
        <w:pStyle w:val="Indenti"/>
      </w:pPr>
      <w:r>
        <w:tab/>
        <w:t>(ii)</w:t>
      </w:r>
      <w:r>
        <w:tab/>
        <w:t>each</w:t>
      </w:r>
      <w:r>
        <w:rPr>
          <w:snapToGrid w:val="0"/>
        </w:rPr>
        <w:t xml:space="preserve"> decision</w:t>
      </w:r>
      <w:r>
        <w:noBreakHyphen/>
      </w:r>
      <w:r>
        <w:rPr>
          <w:snapToGrid w:val="0"/>
        </w:rPr>
        <w:t>making authority that received the</w:t>
      </w:r>
      <w:r>
        <w:t xml:space="preserve"> original </w:t>
      </w:r>
      <w:r>
        <w:rPr>
          <w:snapToGrid w:val="0"/>
        </w:rPr>
        <w:t xml:space="preserve">Ministerial statement </w:t>
      </w:r>
      <w:r>
        <w:t>under section 45(8)(a)(ii);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 xml:space="preserve">The Minister is not to issue interim conditions and procedures under subsection (1) if the Minister considers that implementation of the proposal under those interim conditions </w:t>
      </w:r>
      <w:r>
        <w:lastRenderedPageBreak/>
        <w:t>and procedures might have a significant detrimental effect on the environment in addition to, or different from, the effect the proposal might have if implemented under the implementation conditions.</w:t>
      </w:r>
    </w:p>
    <w:p>
      <w:pPr>
        <w:pStyle w:val="Footnotesection"/>
      </w:pPr>
      <w:r>
        <w:tab/>
        <w:t>[Section 46A inserted: No. 54 of 2003 s. 18; amended: No. 40 of 2020 s. 30.]</w:t>
      </w:r>
    </w:p>
    <w:p>
      <w:pPr>
        <w:pStyle w:val="Ednotesection"/>
      </w:pPr>
      <w:r>
        <w:t>[</w:t>
      </w:r>
      <w:r>
        <w:rPr>
          <w:b/>
        </w:rPr>
        <w:t>46B, 46C.</w:t>
      </w:r>
      <w:r>
        <w:tab/>
        <w:t>Deleted: No. 40 of 2020 s. 31.]</w:t>
      </w:r>
    </w:p>
    <w:p>
      <w:pPr>
        <w:pStyle w:val="Heading5"/>
      </w:pPr>
      <w:bookmarkStart w:id="82" w:name="_Toc199511850"/>
      <w:r>
        <w:rPr>
          <w:rStyle w:val="CharSectno"/>
        </w:rPr>
        <w:t>47</w:t>
      </w:r>
      <w:r>
        <w:t>.</w:t>
      </w:r>
      <w:r>
        <w:tab/>
        <w:t>Duties of proponents after service of Ministerial statement</w:t>
      </w:r>
      <w:bookmarkEnd w:id="82"/>
      <w:r>
        <w:t xml:space="preserve"> </w:t>
      </w:r>
    </w:p>
    <w:p>
      <w:pPr>
        <w:pStyle w:val="Subsection"/>
      </w:pPr>
      <w:r>
        <w:tab/>
        <w:t>(1)</w:t>
      </w:r>
      <w:r>
        <w:tab/>
        <w:t>If a Ministerial statement has been published and the proponent does not ensure that any implementation of the proposal to which the statement relates is carried out in accordance with the implementation conditions, the proponent commits an offence.</w:t>
      </w:r>
    </w:p>
    <w:p>
      <w:pPr>
        <w:pStyle w:val="Subsection"/>
      </w:pPr>
      <w:r>
        <w:tab/>
        <w:t>(2)</w:t>
      </w:r>
      <w:r>
        <w:tab/>
        <w:t>Subsection (1) does not apply to an implementation condition mentioned in section 45A(1)(a).</w:t>
      </w:r>
    </w:p>
    <w:p>
      <w:pPr>
        <w:pStyle w:val="Subsection"/>
      </w:pPr>
      <w:r>
        <w:tab/>
        <w:t>(3)</w:t>
      </w:r>
      <w:r>
        <w:tab/>
        <w:t xml:space="preserve">In order to enable the CEO to assess compliance with the implementation conditions in a Ministerial statement, the CEO may by written notice given to the proponent — </w:t>
      </w:r>
    </w:p>
    <w:p>
      <w:pPr>
        <w:pStyle w:val="Indenta"/>
      </w:pPr>
      <w:r>
        <w:tab/>
        <w:t>(a)</w:t>
      </w:r>
      <w:r>
        <w:tab/>
        <w:t>require the proponent to give the CEO reports and information about the implementation of the proposal to which the statement relates; and</w:t>
      </w:r>
    </w:p>
    <w:p>
      <w:pPr>
        <w:pStyle w:val="Indenta"/>
      </w:pPr>
      <w:r>
        <w:tab/>
        <w:t>(b)</w:t>
      </w:r>
      <w:r>
        <w:tab/>
        <w:t>require the proponent to undertake tests, surveys, investigations, monitoring or other work and give the CEO reports and information about the tests, surveys, investigations, monitoring or work.</w:t>
      </w:r>
    </w:p>
    <w:p>
      <w:pPr>
        <w:pStyle w:val="Subsection"/>
      </w:pPr>
      <w:r>
        <w:tab/>
        <w:t>(4)</w:t>
      </w:r>
      <w:r>
        <w:tab/>
        <w:t>If, without reasonable excuse, the proponent refuses or fails to comply with a requirement made under subsection (3), the proponent commits an offence.</w:t>
      </w:r>
    </w:p>
    <w:p>
      <w:pPr>
        <w:pStyle w:val="Subsection"/>
      </w:pPr>
      <w:r>
        <w:tab/>
        <w:t>(5)</w:t>
      </w:r>
      <w:r>
        <w:tab/>
        <w:t>If a notification has been given under section 45(13) and the proponent does anything to implement the proposal to which the notification relates, the proponent commits an offence.</w:t>
      </w:r>
    </w:p>
    <w:p>
      <w:pPr>
        <w:pStyle w:val="Footnotesection"/>
      </w:pPr>
      <w:r>
        <w:tab/>
        <w:t>[Section 47 inserted: No. 40 of 2020 s. 31.]</w:t>
      </w:r>
    </w:p>
    <w:p>
      <w:pPr>
        <w:pStyle w:val="Heading5"/>
      </w:pPr>
      <w:bookmarkStart w:id="83" w:name="_Toc199511851"/>
      <w:r>
        <w:rPr>
          <w:rStyle w:val="CharSectno"/>
        </w:rPr>
        <w:lastRenderedPageBreak/>
        <w:t>47A</w:t>
      </w:r>
      <w:r>
        <w:t>.</w:t>
      </w:r>
      <w:r>
        <w:tab/>
        <w:t>Duration and withdrawal of Ministerial statement</w:t>
      </w:r>
      <w:bookmarkEnd w:id="83"/>
    </w:p>
    <w:p>
      <w:pPr>
        <w:pStyle w:val="Subsection"/>
      </w:pPr>
      <w:r>
        <w:tab/>
        <w:t>(1)</w:t>
      </w:r>
      <w:r>
        <w:tab/>
        <w:t>The Ministerial statement relating to an approved proposal continues to have effect unless it is withdrawn or taken to have been withdrawn under this section.</w:t>
      </w:r>
    </w:p>
    <w:p>
      <w:pPr>
        <w:pStyle w:val="Subsection"/>
      </w:pPr>
      <w:r>
        <w:tab/>
        <w:t>(2)</w:t>
      </w:r>
      <w:r>
        <w:tab/>
        <w:t xml:space="preserve">This subsection applies if — </w:t>
      </w:r>
    </w:p>
    <w:p>
      <w:pPr>
        <w:pStyle w:val="Indenta"/>
      </w:pPr>
      <w:r>
        <w:tab/>
        <w:t>(a)</w:t>
      </w:r>
      <w:r>
        <w:tab/>
        <w:t xml:space="preserve">the Ministerial statement relating to an approved proposal contains a condition mentioned in section 45A(1)(a) (the </w:t>
      </w:r>
      <w:r>
        <w:rPr>
          <w:rStyle w:val="CharDefText"/>
        </w:rPr>
        <w:t>commencement condition</w:t>
      </w:r>
      <w:r>
        <w:t>); and</w:t>
      </w:r>
    </w:p>
    <w:p>
      <w:pPr>
        <w:pStyle w:val="Indenta"/>
      </w:pPr>
      <w:r>
        <w:tab/>
        <w:t>(b)</w:t>
      </w:r>
      <w:r>
        <w:tab/>
        <w:t>the CEO gives the Minister and the proponent of the proposal written notice that, in the CEO’s opinion, the commencement condition has not been complied with.</w:t>
      </w:r>
    </w:p>
    <w:p>
      <w:pPr>
        <w:pStyle w:val="Subsection"/>
      </w:pPr>
      <w:r>
        <w:tab/>
        <w:t>(3)</w:t>
      </w:r>
      <w:r>
        <w:tab/>
        <w:t>This subsection applies if the proponent of an approved proposal requests the Minister, in writing, to withdraw the Ministerial statement relating to the proposal and the Minister is satisfied —</w:t>
      </w:r>
    </w:p>
    <w:p>
      <w:pPr>
        <w:pStyle w:val="Indenta"/>
      </w:pPr>
      <w:r>
        <w:tab/>
        <w:t>(a)</w:t>
      </w:r>
      <w:r>
        <w:tab/>
        <w:t>that the proposal has been implemented and that the implementation conditions, if any, have been complied with or no longer need to be complied with; or</w:t>
      </w:r>
    </w:p>
    <w:p>
      <w:pPr>
        <w:pStyle w:val="Indenta"/>
      </w:pPr>
      <w:r>
        <w:tab/>
        <w:t>(b)</w:t>
      </w:r>
      <w:r>
        <w:tab/>
        <w:t>that the impacts of the implementation of the proposal can be satisfactorily mitigated by way of licensing or some other form of regulatory control under this Act or another written law.</w:t>
      </w:r>
    </w:p>
    <w:p>
      <w:pPr>
        <w:pStyle w:val="Subsection"/>
      </w:pPr>
      <w:r>
        <w:tab/>
        <w:t>(4)</w:t>
      </w:r>
      <w:r>
        <w:tab/>
        <w:t>If subsection (2) or (3) applies, the Minister may withdraw the Ministerial statement if the Minister considers that it is appropriate to do so.</w:t>
      </w:r>
    </w:p>
    <w:p>
      <w:pPr>
        <w:pStyle w:val="Subsection"/>
      </w:pPr>
      <w:r>
        <w:tab/>
        <w:t>(5)</w:t>
      </w:r>
      <w:r>
        <w:tab/>
        <w:t>If under subsection (4) the Minister withdraws the Ministerial statement relating to an approved proposal, the Minister must cause notice of the withdrawal to be served on —</w:t>
      </w:r>
    </w:p>
    <w:p>
      <w:pPr>
        <w:pStyle w:val="Indenta"/>
      </w:pPr>
      <w:r>
        <w:tab/>
        <w:t>(a)</w:t>
      </w:r>
      <w:r>
        <w:tab/>
        <w:t>the Authority and the CEO; and</w:t>
      </w:r>
    </w:p>
    <w:p>
      <w:pPr>
        <w:pStyle w:val="Indenta"/>
      </w:pPr>
      <w:r>
        <w:tab/>
        <w:t>(b)</w:t>
      </w:r>
      <w:r>
        <w:tab/>
        <w:t>each decision</w:t>
      </w:r>
      <w:r>
        <w:noBreakHyphen/>
        <w:t>making authority that received the Ministerial statement under section 45(8)(a)(ii); and</w:t>
      </w:r>
    </w:p>
    <w:p>
      <w:pPr>
        <w:pStyle w:val="Indenta"/>
      </w:pPr>
      <w:r>
        <w:tab/>
        <w:t>(c)</w:t>
      </w:r>
      <w:r>
        <w:tab/>
        <w:t>the proponent of the proposal; and</w:t>
      </w:r>
    </w:p>
    <w:p>
      <w:pPr>
        <w:pStyle w:val="Indenta"/>
      </w:pPr>
      <w:r>
        <w:lastRenderedPageBreak/>
        <w:tab/>
        <w:t>(d)</w:t>
      </w:r>
      <w:r>
        <w:tab/>
        <w:t>the person who referred the proposal (if it was not referred by a person referred to in paragraph (b) or (c)).</w:t>
      </w:r>
    </w:p>
    <w:p>
      <w:pPr>
        <w:pStyle w:val="Subsection"/>
      </w:pPr>
      <w:r>
        <w:tab/>
        <w:t>(6)</w:t>
      </w:r>
      <w:r>
        <w:tab/>
        <w:t>The Minister must cause notice of the withdrawal to be published as soon as is practicable after it is served under subsection (5).</w:t>
      </w:r>
    </w:p>
    <w:p>
      <w:pPr>
        <w:pStyle w:val="Subsection"/>
      </w:pPr>
      <w:r>
        <w:tab/>
        <w:t>(7)</w:t>
      </w:r>
      <w:r>
        <w:tab/>
        <w:t>If the Ministerial statement relating to an approved proposal specifies that it has effect for a specified period, it is taken to have been withdrawn when that period ends.</w:t>
      </w:r>
    </w:p>
    <w:p>
      <w:pPr>
        <w:pStyle w:val="Subsection"/>
      </w:pPr>
      <w:r>
        <w:tab/>
        <w:t>(8)</w:t>
      </w:r>
      <w:r>
        <w:tab/>
        <w:t>If a Ministerial statement is withdrawn or taken to have been withdrawn under this section, the statement has no further effect.</w:t>
      </w:r>
    </w:p>
    <w:p>
      <w:pPr>
        <w:pStyle w:val="Footnotesection"/>
      </w:pPr>
      <w:r>
        <w:tab/>
        <w:t>[Section 47A inserted: No. 40 of 2020 s. 31.]</w:t>
      </w:r>
    </w:p>
    <w:p>
      <w:pPr>
        <w:pStyle w:val="Heading5"/>
      </w:pPr>
      <w:bookmarkStart w:id="84" w:name="_Toc199511852"/>
      <w:r>
        <w:rPr>
          <w:rStyle w:val="CharSectno"/>
        </w:rPr>
        <w:t>48</w:t>
      </w:r>
      <w:r>
        <w:t>.</w:t>
      </w:r>
      <w:r>
        <w:tab/>
        <w:t>Control of implementation of proposals</w:t>
      </w:r>
      <w:bookmarkEnd w:id="84"/>
    </w:p>
    <w:p>
      <w:pPr>
        <w:pStyle w:val="Subsection"/>
      </w:pPr>
      <w:r>
        <w:tab/>
        <w:t>(1)</w:t>
      </w:r>
      <w:r>
        <w:tab/>
        <w:t>The CEO may monitor the implementation of an approved proposal, or cause it to be monitored, for the purpose of determining whether the implementation conditions relating to the proposal are being complied with.</w:t>
      </w:r>
    </w:p>
    <w:p>
      <w:pPr>
        <w:pStyle w:val="Subsection"/>
      </w:pPr>
      <w:r>
        <w:tab/>
        <w:t>(2)</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must report the non</w:t>
      </w:r>
      <w:r>
        <w:noBreakHyphen/>
        <w:t>compliance to the Minister.</w:t>
      </w:r>
    </w:p>
    <w:p>
      <w:pPr>
        <w:pStyle w:val="Subsection"/>
      </w:pPr>
      <w:r>
        <w:tab/>
        <w:t>(3)</w:t>
      </w:r>
      <w:r>
        <w:tab/>
        <w:t xml:space="preserve">This subsection applies if, under implementation conditions, the implementation of the approved proposal is subject to requirements made by — </w:t>
      </w:r>
    </w:p>
    <w:p>
      <w:pPr>
        <w:pStyle w:val="Indenta"/>
      </w:pPr>
      <w:r>
        <w:tab/>
        <w:t>(a)</w:t>
      </w:r>
      <w:r>
        <w:tab/>
        <w:t>a decision</w:t>
      </w:r>
      <w:r>
        <w:noBreakHyphen/>
        <w:t>making authority; or</w:t>
      </w:r>
    </w:p>
    <w:p>
      <w:pPr>
        <w:pStyle w:val="Indenta"/>
      </w:pPr>
      <w:r>
        <w:tab/>
        <w:t>(b)</w:t>
      </w:r>
      <w:r>
        <w:tab/>
        <w:t>another public authority with functions or expertise relevant to the proposal.</w:t>
      </w:r>
    </w:p>
    <w:p>
      <w:pPr>
        <w:pStyle w:val="Subsection"/>
      </w:pPr>
      <w:r>
        <w:lastRenderedPageBreak/>
        <w:tab/>
        <w:t>(4)</w:t>
      </w:r>
      <w:r>
        <w:tab/>
        <w:t>If subsection (3) applies, the decision</w:t>
      </w:r>
      <w:r>
        <w:noBreakHyphen/>
        <w:t>making authority or other public authority may monitor that implementation of the approved proposal, or cause it to be monitored, for the purpose of determining whether the implementation conditions of that kind are being complied with.</w:t>
      </w:r>
    </w:p>
    <w:p>
      <w:pPr>
        <w:pStyle w:val="Subsection"/>
      </w:pPr>
      <w:r>
        <w:tab/>
        <w:t>(5)</w:t>
      </w:r>
      <w:r>
        <w:tab/>
        <w:t>If the decision</w:t>
      </w:r>
      <w:r>
        <w:noBreakHyphen/>
        <w:t>making authority or other public authority finds that any implementation conditions of that kind is not being complied with, it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must report the non</w:t>
      </w:r>
      <w:r>
        <w:noBreakHyphen/>
        <w:t>compliance to the Minister.</w:t>
      </w:r>
    </w:p>
    <w:p>
      <w:pPr>
        <w:pStyle w:val="Subsection"/>
      </w:pPr>
      <w:r>
        <w:tab/>
        <w:t>(6)</w:t>
      </w:r>
      <w:r>
        <w:tab/>
        <w:t>The Minister may exercise one or more of the powers set out in subsection (7) in relation to the approved proposal if —</w:t>
      </w:r>
    </w:p>
    <w:p>
      <w:pPr>
        <w:pStyle w:val="Indenta"/>
      </w:pPr>
      <w:r>
        <w:tab/>
        <w:t>(a)</w:t>
      </w:r>
      <w:r>
        <w:tab/>
        <w:t>the Minister receives any relevant report made under subsection (2)(b) or (5)(b); or</w:t>
      </w:r>
    </w:p>
    <w:p>
      <w:pPr>
        <w:pStyle w:val="Indenta"/>
      </w:pPr>
      <w:r>
        <w:tab/>
        <w:t>(b)</w:t>
      </w:r>
      <w:r>
        <w:tab/>
        <w:t>the Minister is not satisfied with any relevant monitoring conducted under this section, any relevant exercise of power under this section or any relevant report made under this section.</w:t>
      </w:r>
    </w:p>
    <w:p>
      <w:pPr>
        <w:pStyle w:val="Subsection"/>
      </w:pPr>
      <w:r>
        <w:tab/>
        <w:t>(7)</w:t>
      </w:r>
      <w:r>
        <w:tab/>
        <w:t>The powers of the Minister under subsection (6) are as follows —</w:t>
      </w:r>
    </w:p>
    <w:p>
      <w:pPr>
        <w:pStyle w:val="Indenta"/>
      </w:pPr>
      <w:r>
        <w:tab/>
        <w:t>(a)</w:t>
      </w:r>
      <w:r>
        <w:tab/>
        <w:t xml:space="preserve">after making reasonable endeavours to consult the proponent of the approved proposal — power to cause to be served on that proponent a written notice issued by the Minister requiring that proponent — </w:t>
      </w:r>
    </w:p>
    <w:p>
      <w:pPr>
        <w:pStyle w:val="Indenti"/>
      </w:pPr>
      <w:r>
        <w:tab/>
        <w:t>(i)</w:t>
      </w:r>
      <w:r>
        <w:tab/>
        <w:t>forthwith to stop the implementation of the proposal; and</w:t>
      </w:r>
    </w:p>
    <w:p>
      <w:pPr>
        <w:pStyle w:val="Indenti"/>
      </w:pPr>
      <w:r>
        <w:tab/>
        <w:t>(ii)</w:t>
      </w:r>
      <w:r>
        <w:tab/>
        <w:t>not to resume the implementation of the proposal during a period specified in that notice being a period ending not more than 28 days after the day on which that notice is served;</w:t>
      </w:r>
    </w:p>
    <w:p>
      <w:pPr>
        <w:pStyle w:val="Indenta"/>
      </w:pPr>
      <w:r>
        <w:lastRenderedPageBreak/>
        <w:tab/>
        <w:t>(b)</w:t>
      </w:r>
      <w:r>
        <w:tab/>
        <w:t xml:space="preserve">power to cause to be served on the proponent of the relevant proposal a written notice issued by the Minister requiring that proponent to take the steps specified in the notice within the period so specified for the purpose of — </w:t>
      </w:r>
    </w:p>
    <w:p>
      <w:pPr>
        <w:pStyle w:val="Indenti"/>
      </w:pPr>
      <w:r>
        <w:tab/>
        <w:t>(i)</w:t>
      </w:r>
      <w:r>
        <w:tab/>
        <w:t xml:space="preserve">complying with the relevant implementation condition; or </w:t>
      </w:r>
    </w:p>
    <w:p>
      <w:pPr>
        <w:pStyle w:val="Indenti"/>
      </w:pPr>
      <w:r>
        <w:tab/>
        <w:t>(ii)</w:t>
      </w:r>
      <w:r>
        <w:tab/>
        <w:t>preventing, controlling or abating any pollution or environmental harm caused by any non</w:t>
      </w:r>
      <w:r>
        <w:noBreakHyphen/>
        <w:t>compliance with the relevant implementation condition;</w:t>
      </w:r>
    </w:p>
    <w:p>
      <w:pPr>
        <w:pStyle w:val="Indenta"/>
      </w:pPr>
      <w:r>
        <w:tab/>
        <w:t>(c)</w:t>
      </w:r>
      <w:r>
        <w:tab/>
        <w:t xml:space="preserve">power to cause the taking of steps necessary for the purpose of — </w:t>
      </w:r>
    </w:p>
    <w:p>
      <w:pPr>
        <w:pStyle w:val="Indenti"/>
      </w:pPr>
      <w:r>
        <w:tab/>
        <w:t>(i)</w:t>
      </w:r>
      <w:r>
        <w:tab/>
        <w:t xml:space="preserve">complying with the relevant implementation condition; or </w:t>
      </w:r>
    </w:p>
    <w:p>
      <w:pPr>
        <w:pStyle w:val="Indenti"/>
      </w:pPr>
      <w:r>
        <w:tab/>
        <w:t>(ii)</w:t>
      </w:r>
      <w:r>
        <w:tab/>
        <w:t>preventing, controlling or abating any pollution or environmental harm caused by any non</w:t>
      </w:r>
      <w:r>
        <w:noBreakHyphen/>
        <w:t>compliance with the relevant implementation condition;</w:t>
      </w:r>
    </w:p>
    <w:p>
      <w:pPr>
        <w:pStyle w:val="Indenta"/>
      </w:pPr>
      <w:r>
        <w:tab/>
        <w:t>(d)</w:t>
      </w:r>
      <w:r>
        <w:tab/>
        <w:t>if the Minister considers that the relevant condition or procedure should be changed — power to make a request under section 46(1).</w:t>
      </w:r>
    </w:p>
    <w:p>
      <w:pPr>
        <w:pStyle w:val="Subsection"/>
      </w:pPr>
      <w:r>
        <w:tab/>
        <w:t>(8)</w:t>
      </w:r>
      <w:r>
        <w:tab/>
        <w:t>Subject to section 101(4), the cost of taking any steps referred to in subsection (7)(c) is a debt due to the Crown by the proponent concerned and may be recovered from the proponent by the Minister by action in a court of competent jurisdiction and must, if so recovered, be credited to the Consolidated Account.</w:t>
      </w:r>
    </w:p>
    <w:p>
      <w:pPr>
        <w:pStyle w:val="Subsection"/>
      </w:pPr>
      <w:r>
        <w:tab/>
        <w:t>(9)</w:t>
      </w:r>
      <w:r>
        <w:tab/>
        <w:t>A proponent who does not comply with a notice served on the proponent under subsection (7)(a) or (b) commits an offence.</w:t>
      </w:r>
    </w:p>
    <w:p>
      <w:pPr>
        <w:pStyle w:val="Subsection"/>
      </w:pPr>
      <w:r>
        <w:tab/>
        <w:t>(10)</w:t>
      </w:r>
      <w:r>
        <w:tab/>
        <w:t xml:space="preserve">Subsection (9) does not apply to the resumption of the implementation of a proposal before the end of the period specified in a notice under subsection (7)(a)(ii) if the Minister </w:t>
      </w:r>
      <w:r>
        <w:lastRenderedPageBreak/>
        <w:t>has served a written notice on the proponent authorising implementation to be resumed.</w:t>
      </w:r>
    </w:p>
    <w:p>
      <w:pPr>
        <w:pStyle w:val="Subsection"/>
      </w:pPr>
      <w:r>
        <w:tab/>
        <w:t>(11)</w:t>
      </w:r>
      <w:r>
        <w:tab/>
        <w:t xml:space="preserve">It is not necessary to publish in the </w:t>
      </w:r>
      <w:r>
        <w:rPr>
          <w:i/>
        </w:rPr>
        <w:t xml:space="preserve">Gazette </w:t>
      </w:r>
      <w:r>
        <w:t>a notice served under subsection (7)(a) or (b) or (10).</w:t>
      </w:r>
    </w:p>
    <w:p>
      <w:pPr>
        <w:pStyle w:val="Footnotesection"/>
      </w:pPr>
      <w:r>
        <w:tab/>
        <w:t>[Section 48 inserted: No. 40 of 2020 s. 31.]</w:t>
      </w:r>
    </w:p>
    <w:p>
      <w:pPr>
        <w:pStyle w:val="Heading3"/>
      </w:pPr>
      <w:bookmarkStart w:id="85" w:name="_Toc199511853"/>
      <w:r>
        <w:rPr>
          <w:rStyle w:val="CharDivNo"/>
        </w:rPr>
        <w:t>Division 2A</w:t>
      </w:r>
      <w:r>
        <w:t> — </w:t>
      </w:r>
      <w:r>
        <w:rPr>
          <w:rStyle w:val="CharDivText"/>
        </w:rPr>
        <w:t>Payments relating to proposals</w:t>
      </w:r>
      <w:bookmarkEnd w:id="85"/>
    </w:p>
    <w:p>
      <w:pPr>
        <w:pStyle w:val="Footnoteheading"/>
      </w:pPr>
      <w:r>
        <w:tab/>
        <w:t>[Heading inserted: No. 40 of 2020 s. 32.]</w:t>
      </w:r>
    </w:p>
    <w:p>
      <w:pPr>
        <w:pStyle w:val="Heading5"/>
      </w:pPr>
      <w:bookmarkStart w:id="86" w:name="_Toc199511854"/>
      <w:r>
        <w:rPr>
          <w:rStyle w:val="CharSectno"/>
        </w:rPr>
        <w:t>48AA</w:t>
      </w:r>
      <w:r>
        <w:t>.</w:t>
      </w:r>
      <w:r>
        <w:tab/>
        <w:t>Fees and charges for referral and assessment of proposals</w:t>
      </w:r>
      <w:bookmarkEnd w:id="86"/>
    </w:p>
    <w:p>
      <w:pPr>
        <w:pStyle w:val="Subsection"/>
      </w:pPr>
      <w:r>
        <w:tab/>
        <w:t>(1)</w:t>
      </w:r>
      <w:r>
        <w:tab/>
        <w:t>Without limiting section 123(1) and (2), regulations may be made under section 123(1) prescribing, or providing for the determination of, fees or charges that are payable by proponents in prescribed circumstances in relation to the referral, assessment and implementation of proposals under Division 1 or 2.</w:t>
      </w:r>
    </w:p>
    <w:p>
      <w:pPr>
        <w:pStyle w:val="Subsection"/>
      </w:pPr>
      <w:r>
        <w:tab/>
        <w:t>(2)</w:t>
      </w:r>
      <w:r>
        <w:tab/>
        <w:t>Moneys paid as fees and charges under subsection (1) are to be used for the purpose of defraying the costs incurred by the Department in receiving and assessing proposals and monitoring the implementation of proposals.</w:t>
      </w:r>
    </w:p>
    <w:p>
      <w:pPr>
        <w:pStyle w:val="Subsection"/>
      </w:pPr>
      <w:r>
        <w:tab/>
        <w:t>(3)</w:t>
      </w:r>
      <w:r>
        <w:tab/>
        <w:t>To the extent that regulations to which subsection (1) applies prescribe or provide for the determination of a fee or charge that includes an amount that is a tax, the regulations may impose the tax.</w:t>
      </w:r>
    </w:p>
    <w:p>
      <w:pPr>
        <w:pStyle w:val="Subsection"/>
      </w:pPr>
      <w:r>
        <w:tab/>
        <w:t>(4)</w:t>
      </w:r>
      <w:r>
        <w:tab/>
        <w:t xml:space="preserve">Nothing in this section is to be taken as limiting the operation of the </w:t>
      </w:r>
      <w:r>
        <w:rPr>
          <w:i/>
        </w:rPr>
        <w:t>Interpretation Act 1984</w:t>
      </w:r>
      <w:r>
        <w:t xml:space="preserve"> section 45A.</w:t>
      </w:r>
    </w:p>
    <w:p>
      <w:pPr>
        <w:pStyle w:val="Footnotesection"/>
      </w:pPr>
      <w:r>
        <w:tab/>
        <w:t>[Section 48AA inserted: No. 40 of 2020 s. 32; amended: No. 41 of 2020 s. 4.]</w:t>
      </w:r>
    </w:p>
    <w:p>
      <w:pPr>
        <w:pStyle w:val="Heading3"/>
        <w:keepLines/>
      </w:pPr>
      <w:bookmarkStart w:id="87" w:name="_Toc199511855"/>
      <w:r>
        <w:rPr>
          <w:rStyle w:val="CharDivNo"/>
        </w:rPr>
        <w:lastRenderedPageBreak/>
        <w:t>Division 3</w:t>
      </w:r>
      <w:r>
        <w:rPr>
          <w:snapToGrid w:val="0"/>
        </w:rPr>
        <w:t> — </w:t>
      </w:r>
      <w:r>
        <w:rPr>
          <w:rStyle w:val="CharDivText"/>
        </w:rPr>
        <w:t>Assessment of schemes</w:t>
      </w:r>
      <w:bookmarkEnd w:id="87"/>
    </w:p>
    <w:p>
      <w:pPr>
        <w:pStyle w:val="Footnoteheading"/>
        <w:keepNext/>
        <w:tabs>
          <w:tab w:val="left" w:pos="909"/>
        </w:tabs>
        <w:spacing w:before="80"/>
        <w:rPr>
          <w:snapToGrid w:val="0"/>
        </w:rPr>
      </w:pPr>
      <w:r>
        <w:rPr>
          <w:snapToGrid w:val="0"/>
        </w:rPr>
        <w:tab/>
        <w:t>[Heading inserted: No. 23 of 1996 s. 20.]</w:t>
      </w:r>
    </w:p>
    <w:p>
      <w:pPr>
        <w:pStyle w:val="Heading5"/>
      </w:pPr>
      <w:bookmarkStart w:id="88" w:name="_Toc199511856"/>
      <w:r>
        <w:rPr>
          <w:rStyle w:val="CharSectno"/>
        </w:rPr>
        <w:t>48AAA</w:t>
      </w:r>
      <w:r>
        <w:t>.</w:t>
      </w:r>
      <w:r>
        <w:tab/>
        <w:t>Certain schemes not required to be assessed</w:t>
      </w:r>
      <w:bookmarkEnd w:id="88"/>
    </w:p>
    <w:p>
      <w:pPr>
        <w:pStyle w:val="Subsection"/>
      </w:pPr>
      <w:r>
        <w:tab/>
        <w:t>(1)</w:t>
      </w:r>
      <w:r>
        <w:tab/>
        <w:t xml:space="preserve">In this section — </w:t>
      </w:r>
    </w:p>
    <w:p>
      <w:pPr>
        <w:pStyle w:val="Defstart"/>
      </w:pPr>
      <w:r>
        <w:tab/>
      </w:r>
      <w:r>
        <w:rPr>
          <w:rStyle w:val="CharDefText"/>
        </w:rPr>
        <w:t>relevant scheme</w:t>
      </w:r>
      <w:r>
        <w:t xml:space="preserve"> means a scheme of a kind referred to in section 3(1) the definition of </w:t>
      </w:r>
      <w:r>
        <w:rPr>
          <w:b/>
          <w:i/>
        </w:rPr>
        <w:t>scheme</w:t>
      </w:r>
      <w:r>
        <w:t xml:space="preserve"> paragraph (d), (f), (g) or (i).</w:t>
      </w:r>
    </w:p>
    <w:p>
      <w:pPr>
        <w:pStyle w:val="Subsection"/>
      </w:pPr>
      <w:r>
        <w:tab/>
        <w:t>(2)</w:t>
      </w:r>
      <w:r>
        <w:tab/>
        <w:t>The Governor may, on the recommendation of the Authority, make regulations prescribing classes of relevant schemes that are not required to be assessed under this Division.</w:t>
      </w:r>
    </w:p>
    <w:p>
      <w:pPr>
        <w:pStyle w:val="Subsection"/>
      </w:pPr>
      <w:r>
        <w:tab/>
        <w:t>(3)</w:t>
      </w:r>
      <w:r>
        <w:tab/>
        <w:t>The Authority must not make a recommendation under subsection (2) unless the Authority is satisfied that the classes of relevant schemes to be prescribed will not have a significant effect on the environment.</w:t>
      </w:r>
    </w:p>
    <w:p>
      <w:pPr>
        <w:pStyle w:val="Footnotesection"/>
      </w:pPr>
      <w:r>
        <w:tab/>
        <w:t>[Section 48AAA inserted: No. 26 of 2020 s. 56; amended: No. 45 of 2020 s. 103.]</w:t>
      </w:r>
    </w:p>
    <w:p>
      <w:pPr>
        <w:pStyle w:val="Heading5"/>
        <w:spacing w:before="180"/>
        <w:rPr>
          <w:snapToGrid w:val="0"/>
        </w:rPr>
      </w:pPr>
      <w:bookmarkStart w:id="89" w:name="_Toc199511857"/>
      <w:r>
        <w:rPr>
          <w:rStyle w:val="CharSectno"/>
        </w:rPr>
        <w:t>48A</w:t>
      </w:r>
      <w:r>
        <w:rPr>
          <w:snapToGrid w:val="0"/>
        </w:rPr>
        <w:t>.</w:t>
      </w:r>
      <w:r>
        <w:rPr>
          <w:snapToGrid w:val="0"/>
        </w:rPr>
        <w:tab/>
        <w:t>Authority to decide whether or not schemes to be assessed</w:t>
      </w:r>
      <w:bookmarkEnd w:id="89"/>
    </w:p>
    <w:p>
      <w:pPr>
        <w:pStyle w:val="Subsection"/>
        <w:keepNext/>
        <w:spacing w:before="14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pPr>
        <w:pStyle w:val="Indenta"/>
        <w:spacing w:before="60"/>
        <w:rPr>
          <w:snapToGrid w:val="0"/>
        </w:rPr>
      </w:pPr>
      <w:r>
        <w:rPr>
          <w:snapToGrid w:val="0"/>
        </w:rPr>
        <w:tab/>
        <w:t>(b)</w:t>
      </w:r>
      <w:r>
        <w:rPr>
          <w:snapToGrid w:val="0"/>
        </w:rPr>
        <w:tab/>
        <w:t>should be assessed by it under this Division —</w:t>
      </w:r>
    </w:p>
    <w:p>
      <w:pPr>
        <w:pStyle w:val="Indenti"/>
        <w:spacing w:before="60"/>
        <w:rPr>
          <w:snapToGrid w:val="0"/>
        </w:rPr>
      </w:pPr>
      <w:r>
        <w:rPr>
          <w:snapToGrid w:val="0"/>
        </w:rPr>
        <w:tab/>
        <w:t>(i)</w:t>
      </w:r>
      <w:r>
        <w:rPr>
          <w:snapToGrid w:val="0"/>
        </w:rPr>
        <w:tab/>
        <w:t xml:space="preserve">so inform in writing the responsible authority within 28 days after that referral and send within 60 days after that referral any instructions issued by the Authority under section 48C(1)(a) </w:t>
      </w:r>
      <w:r>
        <w:rPr>
          <w:snapToGrid w:val="0"/>
        </w:rPr>
        <w:lastRenderedPageBreak/>
        <w:t>concerning the scope and content of an environmental review of the scheme; and</w:t>
      </w:r>
    </w:p>
    <w:p>
      <w:pPr>
        <w:pStyle w:val="Indenti"/>
        <w:spacing w:before="60"/>
        <w:rPr>
          <w:snapToGrid w:val="0"/>
        </w:rPr>
      </w:pPr>
      <w:r>
        <w:rPr>
          <w:snapToGrid w:val="0"/>
        </w:rPr>
        <w:tab/>
        <w:t>(ii)</w:t>
      </w:r>
      <w:r>
        <w:rPr>
          <w:snapToGrid w:val="0"/>
        </w:rPr>
        <w:tab/>
        <w:t>assess under this Division changes in reservation and zoning proposed by the scheme;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keepNext/>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 xml:space="preserve">the </w:t>
      </w:r>
      <w:r>
        <w:t>responsible</w:t>
      </w:r>
      <w:r>
        <w:rPr>
          <w:snapToGrid w:val="0"/>
        </w:rPr>
        <w:t xml:space="preserve"> authority,</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No. 23 of 1996 s. 20; amended: No. 40 of 2020 s. 33.]</w:t>
      </w:r>
    </w:p>
    <w:p>
      <w:pPr>
        <w:pStyle w:val="Heading5"/>
        <w:spacing w:before="180"/>
        <w:rPr>
          <w:snapToGrid w:val="0"/>
        </w:rPr>
      </w:pPr>
      <w:bookmarkStart w:id="90" w:name="_Toc199511858"/>
      <w:r>
        <w:rPr>
          <w:rStyle w:val="CharSectno"/>
        </w:rPr>
        <w:t>48B</w:t>
      </w:r>
      <w:r>
        <w:rPr>
          <w:snapToGrid w:val="0"/>
        </w:rPr>
        <w:t>.</w:t>
      </w:r>
      <w:r>
        <w:rPr>
          <w:snapToGrid w:val="0"/>
        </w:rPr>
        <w:tab/>
        <w:t>Authority to keep public records of schemes referred to it</w:t>
      </w:r>
      <w:bookmarkEnd w:id="90"/>
    </w:p>
    <w:p>
      <w:pPr>
        <w:pStyle w:val="Subsection"/>
        <w:rPr>
          <w:snapToGrid w:val="0"/>
        </w:rPr>
      </w:pPr>
      <w:r>
        <w:rPr>
          <w:snapToGrid w:val="0"/>
        </w:rPr>
        <w:tab/>
        <w:t>(1)</w:t>
      </w:r>
      <w:r>
        <w:rPr>
          <w:snapToGrid w:val="0"/>
        </w:rPr>
        <w:tab/>
        <w:t>The Authority must keep a public record of each scheme referred to it under the relevant scheme Act and shall in that public record set out —</w:t>
      </w:r>
    </w:p>
    <w:p>
      <w:pPr>
        <w:pStyle w:val="Indenta"/>
        <w:rPr>
          <w:snapToGrid w:val="0"/>
        </w:rPr>
      </w:pPr>
      <w:r>
        <w:rPr>
          <w:snapToGrid w:val="0"/>
        </w:rPr>
        <w:tab/>
        <w:t>(a)</w:t>
      </w:r>
      <w:r>
        <w:rPr>
          <w:snapToGrid w:val="0"/>
        </w:rPr>
        <w:tab/>
        <w:t>whether or not that scheme is to be assessed under this Division; and</w:t>
      </w:r>
    </w:p>
    <w:p>
      <w:pPr>
        <w:pStyle w:val="Indenta"/>
        <w:rPr>
          <w:snapToGrid w:val="0"/>
        </w:rPr>
      </w:pPr>
      <w:r>
        <w:rPr>
          <w:snapToGrid w:val="0"/>
        </w:rPr>
        <w:lastRenderedPageBreak/>
        <w:tab/>
        <w:t>(b)</w:t>
      </w:r>
      <w:r>
        <w:rPr>
          <w:snapToGrid w:val="0"/>
        </w:rPr>
        <w:tab/>
        <w:t>if that scheme is to be assessed under this Division, any instructions issued by the Authority under section 48C(1)(a) concerning the scope and content of an environmental review of that scheme.</w:t>
      </w:r>
    </w:p>
    <w:p>
      <w:pPr>
        <w:pStyle w:val="Ednotesubsection"/>
      </w:pPr>
      <w:r>
        <w:tab/>
        <w:t>[(2)</w:t>
      </w:r>
      <w:r>
        <w:tab/>
        <w:t>deleted]</w:t>
      </w:r>
    </w:p>
    <w:p>
      <w:pPr>
        <w:pStyle w:val="Footnotesection"/>
        <w:ind w:left="890" w:hanging="890"/>
      </w:pPr>
      <w:r>
        <w:tab/>
        <w:t>[Section 48B inserted: No. 23 of 1996 s. 20; amended: No. 40 of 2020 s. 35.]</w:t>
      </w:r>
    </w:p>
    <w:p>
      <w:pPr>
        <w:pStyle w:val="Heading5"/>
        <w:rPr>
          <w:snapToGrid w:val="0"/>
        </w:rPr>
      </w:pPr>
      <w:bookmarkStart w:id="91" w:name="_Toc199511859"/>
      <w:r>
        <w:rPr>
          <w:rStyle w:val="CharSectno"/>
        </w:rPr>
        <w:t>48C</w:t>
      </w:r>
      <w:r>
        <w:rPr>
          <w:snapToGrid w:val="0"/>
        </w:rPr>
        <w:t>.</w:t>
      </w:r>
      <w:r>
        <w:rPr>
          <w:snapToGrid w:val="0"/>
        </w:rPr>
        <w:tab/>
        <w:t>Authority’s powers for assessing referred schemes</w:t>
      </w:r>
      <w:bookmarkEnd w:id="91"/>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 and</w:t>
      </w:r>
    </w:p>
    <w:p>
      <w:pPr>
        <w:pStyle w:val="Indenta"/>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pPr>
        <w:pStyle w:val="Indenta"/>
        <w:rPr>
          <w:snapToGrid w:val="0"/>
        </w:rPr>
      </w:pPr>
      <w:r>
        <w:rPr>
          <w:snapToGrid w:val="0"/>
        </w:rPr>
        <w:tab/>
        <w:t>(b)</w:t>
      </w:r>
      <w:r>
        <w:rPr>
          <w:snapToGrid w:val="0"/>
        </w:rPr>
        <w:tab/>
        <w:t>require any person to provide it with such information as is specified in that requirement; and</w:t>
      </w:r>
    </w:p>
    <w:p>
      <w:pPr>
        <w:pStyle w:val="Indenta"/>
        <w:rPr>
          <w:snapToGrid w:val="0"/>
        </w:rPr>
      </w:pPr>
      <w:r>
        <w:rPr>
          <w:snapToGrid w:val="0"/>
        </w:rPr>
        <w:tab/>
        <w:t>(c)</w:t>
      </w:r>
      <w:r>
        <w:rPr>
          <w:snapToGrid w:val="0"/>
        </w:rPr>
        <w:tab/>
        <w:t>make such investigations and inquiries as it thinks fit; and</w:t>
      </w:r>
    </w:p>
    <w:p>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lastRenderedPageBreak/>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keepNext/>
        <w:rPr>
          <w:snapToGrid w:val="0"/>
        </w:rPr>
      </w:pPr>
      <w:r>
        <w:rPr>
          <w:snapToGrid w:val="0"/>
        </w:rPr>
        <w:tab/>
        <w:t>(3A)</w:t>
      </w:r>
      <w:r>
        <w:rPr>
          <w:snapToGrid w:val="0"/>
        </w:rPr>
        <w:tab/>
        <w:t xml:space="preserve">The </w:t>
      </w:r>
      <w:r>
        <w:t>Authority</w:t>
      </w:r>
      <w:r>
        <w:rPr>
          <w:snapToGrid w:val="0"/>
        </w:rPr>
        <w:t xml:space="preserve"> may cause to be published —</w:t>
      </w:r>
    </w:p>
    <w:p>
      <w:pPr>
        <w:pStyle w:val="Indenta"/>
      </w:pPr>
      <w:r>
        <w:tab/>
        <w:t>(a)</w:t>
      </w:r>
      <w:r>
        <w:tab/>
        <w:t>any report made in compliance with a requirement made under subsection (1)(a) or (aa); or</w:t>
      </w:r>
    </w:p>
    <w:p>
      <w:pPr>
        <w:pStyle w:val="Indenta"/>
      </w:pPr>
      <w:r>
        <w:tab/>
        <w:t>(b)</w:t>
      </w:r>
      <w:r>
        <w:tab/>
        <w:t>any information provided in compliance with a requirement made under subsection (1)(b).</w:t>
      </w:r>
    </w:p>
    <w:p>
      <w:pPr>
        <w:pStyle w:val="Subsection"/>
        <w:keepNext/>
      </w:pPr>
      <w:r>
        <w:tab/>
        <w:t>(4)</w:t>
      </w:r>
      <w:r>
        <w:tab/>
        <w:t xml:space="preserve">When publishing a report or information under subsection (3A) the Authority may — </w:t>
      </w:r>
    </w:p>
    <w:p>
      <w:pPr>
        <w:pStyle w:val="Indenta"/>
      </w:pPr>
      <w:r>
        <w:tab/>
        <w:t>(a)</w:t>
      </w:r>
      <w:r>
        <w:tab/>
        <w:t>declare the report or information to be available for public review; and</w:t>
      </w:r>
    </w:p>
    <w:p>
      <w:pPr>
        <w:pStyle w:val="Indenta"/>
      </w:pPr>
      <w:r>
        <w:tab/>
        <w:t>(b)</w:t>
      </w:r>
      <w:r>
        <w:tab/>
        <w:t>specify the period within which, the extent to which and the manner in which public authorities or persons may make submissions to the Authority in respect of the report or information.</w:t>
      </w:r>
    </w:p>
    <w:p>
      <w:pPr>
        <w:pStyle w:val="Subsection"/>
        <w:rPr>
          <w:snapToGrid w:val="0"/>
        </w:rPr>
      </w:pPr>
      <w:r>
        <w:rPr>
          <w:snapToGrid w:val="0"/>
        </w:rPr>
        <w:tab/>
        <w:t>(5)</w:t>
      </w:r>
      <w:r>
        <w:rPr>
          <w:snapToGrid w:val="0"/>
        </w:rPr>
        <w:tab/>
        <w:t>When any report or information is declared to be available for public review under subsection (4)(a) or made available for public review under the relevant scheme Act —</w:t>
      </w:r>
    </w:p>
    <w:p>
      <w:pPr>
        <w:pStyle w:val="Indenta"/>
        <w:spacing w:before="60"/>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 xml:space="preserve">at its own expense, </w:t>
      </w:r>
      <w:r>
        <w:t xml:space="preserve">publish notice that </w:t>
      </w:r>
      <w:r>
        <w:rPr>
          <w:snapToGrid w:val="0"/>
        </w:rPr>
        <w:t>the report or information is available for public review; and</w:t>
      </w:r>
    </w:p>
    <w:p>
      <w:pPr>
        <w:pStyle w:val="Indenti"/>
        <w:spacing w:before="60"/>
        <w:rPr>
          <w:snapToGrid w:val="0"/>
        </w:rPr>
      </w:pPr>
      <w:r>
        <w:rPr>
          <w:snapToGrid w:val="0"/>
        </w:rPr>
        <w:tab/>
        <w:t>(ii)</w:t>
      </w:r>
      <w:r>
        <w:rPr>
          <w:snapToGrid w:val="0"/>
        </w:rPr>
        <w:tab/>
        <w:t>provide copies of the report or information to such persons at such places and times and at such prices as are prescribed;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 xml:space="preserve">the Authority may require the responsible authority to respond to any submissions made in respect of that </w:t>
      </w:r>
      <w:r>
        <w:rPr>
          <w:snapToGrid w:val="0"/>
        </w:rPr>
        <w:lastRenderedPageBreak/>
        <w:t>report or information in such manner as the Authority thinks fit.</w:t>
      </w:r>
    </w:p>
    <w:p>
      <w:pPr>
        <w:pStyle w:val="Subsection"/>
        <w:rPr>
          <w:snapToGrid w:val="0"/>
        </w:rPr>
      </w:pPr>
      <w:r>
        <w:rPr>
          <w:snapToGrid w:val="0"/>
        </w:rPr>
        <w:tab/>
        <w:t>(6)</w:t>
      </w:r>
      <w:r>
        <w:rPr>
          <w:snapToGrid w:val="0"/>
        </w:rPr>
        <w:tab/>
        <w:t xml:space="preserve">Despite </w:t>
      </w:r>
      <w:r>
        <w:t xml:space="preserve">subsections (3) to (5), </w:t>
      </w:r>
      <w:r>
        <w:rPr>
          <w:snapToGrid w:val="0"/>
        </w:rPr>
        <w:t>if a scheme Act provides for the timing and procedure of the public review of a scheme —</w:t>
      </w:r>
    </w:p>
    <w:p>
      <w:pPr>
        <w:pStyle w:val="Indenta"/>
        <w:spacing w:before="60"/>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spacing w:before="60"/>
        <w:rPr>
          <w:snapToGrid w:val="0"/>
        </w:rPr>
      </w:pPr>
      <w:r>
        <w:rPr>
          <w:snapToGrid w:val="0"/>
        </w:rPr>
        <w:tab/>
        <w:t>(b)</w:t>
      </w:r>
      <w:r>
        <w:rPr>
          <w:snapToGrid w:val="0"/>
        </w:rPr>
        <w:tab/>
        <w:t xml:space="preserve">the provisions of the scheme Act relating to that public review shall apply to the scheme with that environmental review incorporated in that report and </w:t>
      </w:r>
      <w:r>
        <w:t xml:space="preserve">subsections (3) to (5) </w:t>
      </w:r>
      <w:r>
        <w:rPr>
          <w:snapToGrid w:val="0"/>
        </w:rPr>
        <w:t>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Defpara"/>
      </w:pPr>
      <w:r>
        <w:tab/>
        <w:t>(b)</w:t>
      </w:r>
      <w:r>
        <w:tab/>
        <w:t xml:space="preserve">prepared under the </w:t>
      </w:r>
      <w:r>
        <w:rPr>
          <w:i/>
        </w:rPr>
        <w:t>Swan Valley Planning Act 2020</w:t>
      </w:r>
      <w:r>
        <w:t>, means the procedure referred to in sections 23 and 25(1) of that Act; or</w:t>
      </w:r>
    </w:p>
    <w:p>
      <w:pPr>
        <w:pStyle w:val="Defpara"/>
      </w:pPr>
      <w:r>
        <w:tab/>
        <w:t>(c)</w:t>
      </w:r>
      <w:r>
        <w:tab/>
        <w:t xml:space="preserve">a region planning scheme, or an amendment to a region planning scheme, means the procedure referred to in the </w:t>
      </w:r>
      <w:r>
        <w:rPr>
          <w:i/>
        </w:rPr>
        <w:t>Planning and Development Act 2005</w:t>
      </w:r>
      <w:r>
        <w:t xml:space="preserve"> section 43;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procedure </w:t>
      </w:r>
      <w:r>
        <w:lastRenderedPageBreak/>
        <w:t>referred to in sections 84 and 87(1), as read with section 32,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 or</w:t>
      </w:r>
    </w:p>
    <w:p>
      <w:pPr>
        <w:pStyle w:val="Defpara"/>
        <w:keepNext/>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Footnotesection"/>
        <w:keepLines w:val="0"/>
        <w:ind w:left="890" w:hanging="890"/>
      </w:pPr>
      <w:r>
        <w:tab/>
        <w:t xml:space="preserve">[Section 48C inserted: No. 23 of 1996 s. 20; amended: No. 38 of 1999 s. 71(3); No. 77 of 2000 s. 37(3); No. 25 of 2001 s. 69; No. 60 of 2003 s. 100; No. 38 of 2005 s. 15; No. 28 of 2010 s. 26; </w:t>
      </w:r>
      <w:r>
        <w:rPr>
          <w:spacing w:val="-4"/>
        </w:rPr>
        <w:t>No. 45 of 2011 s. 1</w:t>
      </w:r>
      <w:r>
        <w:t>37(7); No. 40 of 2020 s. 36; No. 45 of 2020 s. 104; No. 26 of 2020 s. 57.]</w:t>
      </w:r>
    </w:p>
    <w:p>
      <w:pPr>
        <w:pStyle w:val="Heading5"/>
        <w:rPr>
          <w:snapToGrid w:val="0"/>
        </w:rPr>
      </w:pPr>
      <w:bookmarkStart w:id="92" w:name="_Toc199511860"/>
      <w:r>
        <w:rPr>
          <w:rStyle w:val="CharSectno"/>
        </w:rPr>
        <w:t>48D</w:t>
      </w:r>
      <w:r>
        <w:rPr>
          <w:snapToGrid w:val="0"/>
        </w:rPr>
        <w:t>.</w:t>
      </w:r>
      <w:r>
        <w:rPr>
          <w:snapToGrid w:val="0"/>
        </w:rPr>
        <w:tab/>
        <w:t>Authority to report to Minister on schemes</w:t>
      </w:r>
      <w:bookmarkEnd w:id="92"/>
    </w:p>
    <w:p>
      <w:pPr>
        <w:pStyle w:val="Subsection"/>
        <w:keepNext/>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pPr>
      <w:r>
        <w:tab/>
        <w:t>(d)</w:t>
      </w:r>
      <w:r>
        <w:tab/>
        <w:t xml:space="preserve">the Authority’s recommendations as to whether or not that scheme may be implemented and, if it recommends </w:t>
      </w:r>
      <w:r>
        <w:lastRenderedPageBreak/>
        <w:t>that the scheme be implemented, as to the conditions, if any, to which that scheme should be subject.</w:t>
      </w:r>
    </w:p>
    <w:p>
      <w:pPr>
        <w:pStyle w:val="Subsection"/>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keepNext/>
        <w:rPr>
          <w:snapToGrid w:val="0"/>
        </w:rPr>
      </w:pPr>
      <w:r>
        <w:rPr>
          <w:snapToGrid w:val="0"/>
        </w:rPr>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keepNext/>
        <w:keepLines/>
        <w:spacing w:before="180"/>
        <w:rPr>
          <w:snapToGrid w:val="0"/>
        </w:rPr>
      </w:pPr>
      <w:r>
        <w:rPr>
          <w:snapToGrid w:val="0"/>
        </w:rPr>
        <w:tab/>
        <w:t>(3)</w:t>
      </w:r>
      <w:r>
        <w:rPr>
          <w:snapToGrid w:val="0"/>
        </w:rPr>
        <w:tab/>
        <w:t>The Minister shall, as soon as the Minister is reasonably able to do so after receiving a report and any recommendations made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 and</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 xml:space="preserve">the responsible authority in respect of the scheme to which that report </w:t>
      </w:r>
      <w:r>
        <w:t>relates.</w:t>
      </w:r>
    </w:p>
    <w:p>
      <w:pPr>
        <w:pStyle w:val="Footnotesection"/>
      </w:pPr>
      <w:r>
        <w:tab/>
        <w:t>[Section 48D inserted: No. 23 of 1996 s. 20; amended: No. 40 of 2020 s. 37 and 111(1).]</w:t>
      </w:r>
    </w:p>
    <w:p>
      <w:pPr>
        <w:pStyle w:val="Heading5"/>
        <w:rPr>
          <w:snapToGrid w:val="0"/>
        </w:rPr>
      </w:pPr>
      <w:bookmarkStart w:id="93" w:name="_Toc199511861"/>
      <w:r>
        <w:rPr>
          <w:rStyle w:val="CharSectno"/>
        </w:rPr>
        <w:lastRenderedPageBreak/>
        <w:t>48E</w:t>
      </w:r>
      <w:r>
        <w:rPr>
          <w:snapToGrid w:val="0"/>
        </w:rPr>
        <w:t>.</w:t>
      </w:r>
      <w:r>
        <w:rPr>
          <w:snapToGrid w:val="0"/>
        </w:rPr>
        <w:tab/>
        <w:t>Minister may direct Authority to assess etc. referred schemes</w:t>
      </w:r>
      <w:bookmarkEnd w:id="93"/>
    </w:p>
    <w:p>
      <w:pPr>
        <w:pStyle w:val="Subsection"/>
        <w:keepNext/>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keepNext/>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spacing w:before="140"/>
      </w:pPr>
      <w:r>
        <w:tab/>
        <w:t>[Section 48E inserted: No. 23 of 1996 s. 20.]</w:t>
      </w:r>
    </w:p>
    <w:p>
      <w:pPr>
        <w:pStyle w:val="Ednotesection"/>
      </w:pPr>
      <w:r>
        <w:t>[</w:t>
      </w:r>
      <w:r>
        <w:rPr>
          <w:b/>
        </w:rPr>
        <w:t>48F, 48G.</w:t>
      </w:r>
      <w:r>
        <w:tab/>
        <w:t>Deleted: No. 40 of 2020 s. 38.]</w:t>
      </w:r>
    </w:p>
    <w:p>
      <w:pPr>
        <w:pStyle w:val="Heading3"/>
        <w:keepLines/>
      </w:pPr>
      <w:bookmarkStart w:id="94" w:name="_Toc199511862"/>
      <w:r>
        <w:rPr>
          <w:rStyle w:val="CharDivNo"/>
        </w:rPr>
        <w:t>Division 4</w:t>
      </w:r>
      <w:r>
        <w:rPr>
          <w:snapToGrid w:val="0"/>
        </w:rPr>
        <w:t> — </w:t>
      </w:r>
      <w:r>
        <w:rPr>
          <w:rStyle w:val="CharDivText"/>
        </w:rPr>
        <w:t>Implementation of schemes</w:t>
      </w:r>
      <w:bookmarkEnd w:id="94"/>
    </w:p>
    <w:p>
      <w:pPr>
        <w:pStyle w:val="Footnoteheading"/>
        <w:keepNext/>
        <w:keepLines/>
        <w:tabs>
          <w:tab w:val="left" w:pos="909"/>
        </w:tabs>
        <w:rPr>
          <w:snapToGrid w:val="0"/>
        </w:rPr>
      </w:pPr>
      <w:r>
        <w:rPr>
          <w:snapToGrid w:val="0"/>
        </w:rPr>
        <w:tab/>
        <w:t>[Heading inserted: No. 23 of 1996 s. 20.]</w:t>
      </w:r>
    </w:p>
    <w:p>
      <w:pPr>
        <w:pStyle w:val="Heading5"/>
        <w:rPr>
          <w:snapToGrid w:val="0"/>
        </w:rPr>
      </w:pPr>
      <w:bookmarkStart w:id="95" w:name="_Toc199511863"/>
      <w:r>
        <w:rPr>
          <w:rStyle w:val="CharSectno"/>
        </w:rPr>
        <w:t>48EA</w:t>
      </w:r>
      <w:r>
        <w:rPr>
          <w:snapToGrid w:val="0"/>
        </w:rPr>
        <w:t>.</w:t>
      </w:r>
      <w:r>
        <w:rPr>
          <w:snapToGrid w:val="0"/>
        </w:rPr>
        <w:tab/>
        <w:t xml:space="preserve">Terms </w:t>
      </w:r>
      <w:r>
        <w:t>used</w:t>
      </w:r>
      <w:bookmarkEnd w:id="95"/>
    </w:p>
    <w:p>
      <w:pPr>
        <w:pStyle w:val="Subsection"/>
      </w:pPr>
      <w:r>
        <w:tab/>
      </w:r>
      <w:r>
        <w:tab/>
        <w:t xml:space="preserve">In this Division — </w:t>
      </w:r>
    </w:p>
    <w:p>
      <w:pPr>
        <w:pStyle w:val="Defstart"/>
      </w:pPr>
      <w:r>
        <w:tab/>
      </w:r>
      <w:r>
        <w:rPr>
          <w:rStyle w:val="CharDefText"/>
        </w:rPr>
        <w:t>implementation conditions</w:t>
      </w:r>
      <w:r>
        <w:t xml:space="preserve"> means the conditions, if any, agreed or decided in relation to a scheme under section 48F or 48J(d);</w:t>
      </w:r>
    </w:p>
    <w:p>
      <w:pPr>
        <w:pStyle w:val="Defstart"/>
      </w:pPr>
      <w:r>
        <w:tab/>
      </w:r>
      <w:r>
        <w:rPr>
          <w:rStyle w:val="CharDefText"/>
        </w:rPr>
        <w:t>implementation issue</w:t>
      </w:r>
      <w:r>
        <w:t xml:space="preserve"> means —</w:t>
      </w:r>
    </w:p>
    <w:p>
      <w:pPr>
        <w:pStyle w:val="Defpara"/>
      </w:pPr>
      <w:r>
        <w:tab/>
        <w:t>(a)</w:t>
      </w:r>
      <w:r>
        <w:tab/>
        <w:t>whether or not the scheme may be implemented; and</w:t>
      </w:r>
    </w:p>
    <w:p>
      <w:pPr>
        <w:pStyle w:val="Defpara"/>
      </w:pPr>
      <w:r>
        <w:lastRenderedPageBreak/>
        <w:tab/>
        <w:t>(b)</w:t>
      </w:r>
      <w:r>
        <w:tab/>
        <w:t>the conditions, if any, to which the scheme, if implemented, should be subject;</w:t>
      </w:r>
    </w:p>
    <w:p>
      <w:pPr>
        <w:pStyle w:val="Defstart"/>
      </w:pPr>
      <w:r>
        <w:tab/>
      </w:r>
      <w:r>
        <w:rPr>
          <w:rStyle w:val="CharDefText"/>
        </w:rPr>
        <w:t>scheme</w:t>
      </w:r>
      <w:r>
        <w:t xml:space="preserve"> means the scheme to which a report published under section 48D(3) relates.</w:t>
      </w:r>
    </w:p>
    <w:p>
      <w:pPr>
        <w:pStyle w:val="Footnotesection"/>
      </w:pPr>
      <w:r>
        <w:tab/>
        <w:t>[Section 48EA inserted: No. 40 of 2020 s. 39.]</w:t>
      </w:r>
    </w:p>
    <w:p>
      <w:pPr>
        <w:pStyle w:val="Heading5"/>
        <w:rPr>
          <w:snapToGrid w:val="0"/>
        </w:rPr>
      </w:pPr>
      <w:bookmarkStart w:id="96" w:name="_Toc199511864"/>
      <w:r>
        <w:rPr>
          <w:rStyle w:val="CharSectno"/>
        </w:rPr>
        <w:t>48F</w:t>
      </w:r>
      <w:r>
        <w:rPr>
          <w:snapToGrid w:val="0"/>
        </w:rPr>
        <w:t>.</w:t>
      </w:r>
      <w:r>
        <w:rPr>
          <w:snapToGrid w:val="0"/>
        </w:rPr>
        <w:tab/>
        <w:t xml:space="preserve">Procedure for agreeing or deciding on conditions to which </w:t>
      </w:r>
      <w:r>
        <w:t>schemes</w:t>
      </w:r>
      <w:r>
        <w:rPr>
          <w:snapToGrid w:val="0"/>
        </w:rPr>
        <w:t xml:space="preserve"> are to be subject</w:t>
      </w:r>
      <w:bookmarkEnd w:id="96"/>
    </w:p>
    <w:p>
      <w:pPr>
        <w:pStyle w:val="Subsection"/>
      </w:pPr>
      <w:r>
        <w:tab/>
        <w:t>(1)</w:t>
      </w:r>
      <w:r>
        <w:tab/>
        <w:t>After causing a report to be published under section 48D(3) the Minister must consult and, if possible, agree with the responsible Minister on the implementation issues.</w:t>
      </w:r>
    </w:p>
    <w:p>
      <w:pPr>
        <w:pStyle w:val="Subsection"/>
      </w:pPr>
      <w:r>
        <w:tab/>
        <w:t>(2)</w:t>
      </w:r>
      <w:r>
        <w:tab/>
        <w:t>If an agreement is made under this section, or a decision is made under section 48J(d), that the scheme may be implemented and as to the conditions, if any, to which the scheme should be subject, the Minister must —</w:t>
      </w:r>
    </w:p>
    <w:p>
      <w:pPr>
        <w:pStyle w:val="Indenta"/>
      </w:pPr>
      <w:r>
        <w:tab/>
        <w:t>(a)</w:t>
      </w:r>
      <w:r>
        <w:tab/>
        <w:t>cause copies of a statement which sets out the implementation issues agreed or decided on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report has been given under section 48D(3)(b)(ii) and the responsible authority;</w:t>
      </w:r>
    </w:p>
    <w:p>
      <w:pPr>
        <w:pStyle w:val="Indenta"/>
      </w:pPr>
      <w:r>
        <w:tab/>
      </w:r>
      <w:r>
        <w:tab/>
        <w:t>and</w:t>
      </w:r>
    </w:p>
    <w:p>
      <w:pPr>
        <w:pStyle w:val="Indenta"/>
      </w:pPr>
      <w:r>
        <w:tab/>
        <w:t>(b)</w:t>
      </w:r>
      <w:r>
        <w:tab/>
        <w:t>cause that statement to be published as soon after the delivery referred to in paragraph (a) as is practicable.</w:t>
      </w:r>
    </w:p>
    <w:p>
      <w:pPr>
        <w:pStyle w:val="Subsection"/>
      </w:pPr>
      <w:r>
        <w:tab/>
        <w:t>(3)</w:t>
      </w:r>
      <w:r>
        <w:tab/>
        <w:t xml:space="preserve">Despite anything in this section or section 48J — </w:t>
      </w:r>
    </w:p>
    <w:p>
      <w:pPr>
        <w:pStyle w:val="Indenta"/>
      </w:pPr>
      <w:r>
        <w:tab/>
        <w:t>(a)</w:t>
      </w:r>
      <w:r>
        <w:tab/>
        <w:t>an agreement or decision on any of the implementation issues relating to the scheme cannot be made under this section or section 48J during the period of 21 days referred to in section 100(3a)(c); and</w:t>
      </w:r>
    </w:p>
    <w:p>
      <w:pPr>
        <w:pStyle w:val="Indenta"/>
      </w:pPr>
      <w:r>
        <w:lastRenderedPageBreak/>
        <w:tab/>
        <w:t>(b)</w:t>
      </w:r>
      <w:r>
        <w:tab/>
        <w:t>if an appeal is lodged under section 100(1)(e) in respect of the report, an agreement or decision on any of the implementation issues relating to the scheme cannot be made under this section or section 48J while the appeal is pending except for the purposes of section 101(2d)(a).</w:t>
      </w:r>
    </w:p>
    <w:p>
      <w:pPr>
        <w:pStyle w:val="Footnotesection"/>
      </w:pPr>
      <w:r>
        <w:tab/>
        <w:t>[Section 48F inserted: No. 40 of 2020 s. 39.]</w:t>
      </w:r>
    </w:p>
    <w:p>
      <w:pPr>
        <w:pStyle w:val="Heading5"/>
        <w:rPr>
          <w:snapToGrid w:val="0"/>
        </w:rPr>
      </w:pPr>
      <w:bookmarkStart w:id="97" w:name="_Toc199511865"/>
      <w:r>
        <w:rPr>
          <w:rStyle w:val="CharSectno"/>
        </w:rPr>
        <w:t>48G</w:t>
      </w:r>
      <w:r>
        <w:rPr>
          <w:snapToGrid w:val="0"/>
        </w:rPr>
        <w:t>.</w:t>
      </w:r>
      <w:r>
        <w:rPr>
          <w:snapToGrid w:val="0"/>
        </w:rPr>
        <w:tab/>
      </w:r>
      <w:r>
        <w:t>Review</w:t>
      </w:r>
      <w:r>
        <w:rPr>
          <w:snapToGrid w:val="0"/>
        </w:rPr>
        <w:t xml:space="preserve"> of conditions in statements published under section 48F</w:t>
      </w:r>
      <w:bookmarkEnd w:id="97"/>
    </w:p>
    <w:p>
      <w:pPr>
        <w:pStyle w:val="Subsection"/>
      </w:pPr>
      <w:r>
        <w:tab/>
        <w:t>(1)</w:t>
      </w:r>
      <w:r>
        <w:tab/>
        <w:t>A responsible authority may, after the publication of a statement under section 48F(2)(b) that sets out implementation conditions and before the responsible Minister or the Governor grants final approval of the scheme to which that statement relates, request the responsible Minister to initiate a review of any implementation conditions.</w:t>
      </w:r>
    </w:p>
    <w:p>
      <w:pPr>
        <w:pStyle w:val="Subsection"/>
      </w:pPr>
      <w:r>
        <w:tab/>
        <w:t>(2)</w:t>
      </w:r>
      <w:r>
        <w:tab/>
        <w:t>If the responsible Minister agrees to a request under subsection (1), the responsible Minister and the Minister must consult each other and attempt to agree on whether or not the implementation conditions should be altered and, if so, to what extent.</w:t>
      </w:r>
    </w:p>
    <w:p>
      <w:pPr>
        <w:pStyle w:val="Subsection"/>
      </w:pPr>
      <w:r>
        <w:tab/>
        <w:t>(3)</w:t>
      </w:r>
      <w:r>
        <w:tab/>
        <w:t>If implementation conditions are altered by agreement under this section or a decision under section 48J(e), the Minister must —</w:t>
      </w:r>
    </w:p>
    <w:p>
      <w:pPr>
        <w:pStyle w:val="Indenta"/>
      </w:pPr>
      <w:r>
        <w:tab/>
        <w:t>(a)</w:t>
      </w:r>
      <w:r>
        <w:tab/>
        <w:t>cause copies of a statement setting out those conditions as altered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w:t>
      </w:r>
    </w:p>
    <w:p>
      <w:pPr>
        <w:pStyle w:val="Indenta"/>
      </w:pPr>
      <w:r>
        <w:tab/>
      </w:r>
      <w:r>
        <w:tab/>
        <w:t>and</w:t>
      </w:r>
    </w:p>
    <w:p>
      <w:pPr>
        <w:pStyle w:val="Indenta"/>
      </w:pPr>
      <w:r>
        <w:tab/>
        <w:t>(b)</w:t>
      </w:r>
      <w:r>
        <w:tab/>
        <w:t>cause that statement to be published as soon after the service referred to in paragraph (a) as is practicable.</w:t>
      </w:r>
    </w:p>
    <w:p>
      <w:pPr>
        <w:pStyle w:val="Subsection"/>
      </w:pPr>
      <w:r>
        <w:lastRenderedPageBreak/>
        <w:tab/>
        <w:t>(4)</w:t>
      </w:r>
      <w:r>
        <w:tab/>
        <w:t>Conditions altered by agreement under this section or a decision under section 48J(e) are taken for the purposes of this Act to have been agreed under section 48F or decided under section 48J.</w:t>
      </w:r>
    </w:p>
    <w:p>
      <w:pPr>
        <w:pStyle w:val="Footnotesection"/>
      </w:pPr>
      <w:r>
        <w:tab/>
        <w:t>[Section 48G inserted: No. 40 of 2020 s. 39.]</w:t>
      </w:r>
    </w:p>
    <w:p>
      <w:pPr>
        <w:pStyle w:val="Heading5"/>
        <w:rPr>
          <w:snapToGrid w:val="0"/>
        </w:rPr>
      </w:pPr>
      <w:bookmarkStart w:id="98" w:name="_Toc199511866"/>
      <w:r>
        <w:rPr>
          <w:rStyle w:val="CharSectno"/>
        </w:rPr>
        <w:t>48H</w:t>
      </w:r>
      <w:r>
        <w:rPr>
          <w:snapToGrid w:val="0"/>
        </w:rPr>
        <w:t>.</w:t>
      </w:r>
      <w:r>
        <w:rPr>
          <w:snapToGrid w:val="0"/>
        </w:rPr>
        <w:tab/>
        <w:t>Control of implementation of assessed schemes</w:t>
      </w:r>
      <w:bookmarkEnd w:id="98"/>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implementation condition (referred to in this section </w:t>
      </w:r>
      <w:r>
        <w:t xml:space="preserve">as the </w:t>
      </w:r>
      <w:r>
        <w:rPr>
          <w:rStyle w:val="CharDefText"/>
        </w:rPr>
        <w:t>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spacing w:before="7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spacing w:before="70"/>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 xml:space="preserve">compliance with the condition is reported to the responsible Minister under subsection (2)(b) or otherwise becomes known to </w:t>
      </w:r>
      <w:r>
        <w:t>the responsible Minister</w:t>
      </w:r>
      <w:r>
        <w:rPr>
          <w:snapToGrid w:val="0"/>
        </w:rPr>
        <w:t>, the responsible Minister shall —</w:t>
      </w:r>
    </w:p>
    <w:p>
      <w:pPr>
        <w:pStyle w:val="Indenta"/>
        <w:spacing w:before="70"/>
        <w:rPr>
          <w:snapToGrid w:val="0"/>
        </w:rPr>
      </w:pPr>
      <w:r>
        <w:rPr>
          <w:snapToGrid w:val="0"/>
        </w:rPr>
        <w:tab/>
        <w:t>(a)</w:t>
      </w:r>
      <w:r>
        <w:rPr>
          <w:snapToGrid w:val="0"/>
        </w:rPr>
        <w:tab/>
        <w:t>advise the Minister of that non</w:t>
      </w:r>
      <w:r>
        <w:rPr>
          <w:snapToGrid w:val="0"/>
        </w:rPr>
        <w:noBreakHyphen/>
        <w:t>compliance; and</w:t>
      </w:r>
    </w:p>
    <w:p>
      <w:pPr>
        <w:pStyle w:val="Indenta"/>
        <w:spacing w:before="70"/>
        <w:rPr>
          <w:snapToGrid w:val="0"/>
        </w:rPr>
      </w:pPr>
      <w:r>
        <w:rPr>
          <w:snapToGrid w:val="0"/>
        </w:rPr>
        <w:tab/>
        <w:t>(b)</w:t>
      </w:r>
      <w:r>
        <w:rPr>
          <w:snapToGrid w:val="0"/>
        </w:rPr>
        <w:tab/>
        <w:t>cause such steps to be taken as are necessary to achieve compliance with the condition.</w:t>
      </w:r>
    </w:p>
    <w:p>
      <w:pPr>
        <w:pStyle w:val="Subsection"/>
        <w:rPr>
          <w:snapToGrid w:val="0"/>
        </w:rPr>
      </w:pPr>
      <w:r>
        <w:rPr>
          <w:snapToGrid w:val="0"/>
        </w:rPr>
        <w:tab/>
        <w:t>(4)</w:t>
      </w:r>
      <w:r>
        <w:rPr>
          <w:snapToGrid w:val="0"/>
        </w:rPr>
        <w:tab/>
        <w:t xml:space="preserve">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w:t>
      </w:r>
      <w:r>
        <w:rPr>
          <w:snapToGrid w:val="0"/>
        </w:rPr>
        <w:lastRenderedPageBreak/>
        <w:t>Minister considers to be necessary to achieve compliance with the condition.</w:t>
      </w:r>
    </w:p>
    <w:p>
      <w:pPr>
        <w:pStyle w:val="Footnotesection"/>
        <w:spacing w:before="180"/>
        <w:ind w:left="890" w:hanging="890"/>
      </w:pPr>
      <w:r>
        <w:tab/>
        <w:t>[Section 48H inserted: No. 23 of 1996 s. 20; amended: No. 40 of 2020 s. 40 and 111(1).]</w:t>
      </w:r>
    </w:p>
    <w:p>
      <w:pPr>
        <w:pStyle w:val="Heading5"/>
        <w:rPr>
          <w:snapToGrid w:val="0"/>
        </w:rPr>
      </w:pPr>
      <w:bookmarkStart w:id="99" w:name="_Toc199511867"/>
      <w:r>
        <w:rPr>
          <w:rStyle w:val="CharSectno"/>
        </w:rPr>
        <w:t>48I</w:t>
      </w:r>
      <w:r>
        <w:rPr>
          <w:snapToGrid w:val="0"/>
        </w:rPr>
        <w:t>.</w:t>
      </w:r>
      <w:r>
        <w:rPr>
          <w:snapToGrid w:val="0"/>
        </w:rPr>
        <w:tab/>
        <w:t>Which proposals under assessed schemes to be referred to Authority</w:t>
      </w:r>
      <w:bookmarkEnd w:id="99"/>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lastRenderedPageBreak/>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tab/>
        <w:t>(d)</w:t>
      </w:r>
      <w:r>
        <w:rPr>
          <w:snapToGrid w:val="0"/>
        </w:rPr>
        <w:tab/>
        <w:t>refuse to approve the implementation of the proposal.</w:t>
      </w:r>
    </w:p>
    <w:p>
      <w:pPr>
        <w:pStyle w:val="Footnotesection"/>
      </w:pPr>
      <w:r>
        <w:tab/>
        <w:t>[Section 48I inserted: No. 23 of 1996 s. 20.]</w:t>
      </w:r>
    </w:p>
    <w:p>
      <w:pPr>
        <w:pStyle w:val="Heading5"/>
        <w:rPr>
          <w:snapToGrid w:val="0"/>
        </w:rPr>
      </w:pPr>
      <w:bookmarkStart w:id="100" w:name="_Toc199511868"/>
      <w:r>
        <w:rPr>
          <w:rStyle w:val="CharSectno"/>
        </w:rPr>
        <w:t>48J</w:t>
      </w:r>
      <w:r>
        <w:rPr>
          <w:snapToGrid w:val="0"/>
        </w:rPr>
        <w:t>.</w:t>
      </w:r>
      <w:r>
        <w:rPr>
          <w:snapToGrid w:val="0"/>
        </w:rPr>
        <w:tab/>
        <w:t>Disputes between Minister and responsible Ministers, Governor to decide</w:t>
      </w:r>
      <w:bookmarkEnd w:id="100"/>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 or</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pPr>
        <w:pStyle w:val="Indenta"/>
      </w:pPr>
      <w:r>
        <w:tab/>
        <w:t>(d)</w:t>
      </w:r>
      <w:r>
        <w:tab/>
        <w:t>on an implementation issue; or</w:t>
      </w:r>
    </w:p>
    <w:p>
      <w:pPr>
        <w:pStyle w:val="Indenta"/>
        <w:rPr>
          <w:snapToGrid w:val="0"/>
        </w:rPr>
      </w:pPr>
      <w:r>
        <w:rPr>
          <w:snapToGrid w:val="0"/>
        </w:rPr>
        <w:tab/>
        <w:t>(e)</w:t>
      </w:r>
      <w:r>
        <w:rPr>
          <w:snapToGrid w:val="0"/>
        </w:rPr>
        <w:tab/>
        <w:t>on whether or not implementation conditions should be altered and, if so, to what extent,</w:t>
      </w:r>
    </w:p>
    <w:p>
      <w:pPr>
        <w:pStyle w:val="Subsection"/>
        <w:keepNext/>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No. 23 of 1996 s. 20; amended: No. 40 of 2020 s. 41.]</w:t>
      </w:r>
    </w:p>
    <w:p>
      <w:pPr>
        <w:pStyle w:val="Heading2"/>
      </w:pPr>
      <w:bookmarkStart w:id="101" w:name="_Toc199511869"/>
      <w:r>
        <w:rPr>
          <w:rStyle w:val="CharPartNo"/>
        </w:rPr>
        <w:lastRenderedPageBreak/>
        <w:t>Part V</w:t>
      </w:r>
      <w:r>
        <w:t xml:space="preserve"> — </w:t>
      </w:r>
      <w:r>
        <w:rPr>
          <w:rStyle w:val="CharPartText"/>
        </w:rPr>
        <w:t>Environmental regulation</w:t>
      </w:r>
      <w:bookmarkEnd w:id="101"/>
    </w:p>
    <w:p>
      <w:pPr>
        <w:pStyle w:val="Footnotesection"/>
      </w:pPr>
      <w:r>
        <w:tab/>
        <w:t>[Heading inserted: No. 54 of 2003 s. 35.]</w:t>
      </w:r>
    </w:p>
    <w:p>
      <w:pPr>
        <w:pStyle w:val="Heading3"/>
      </w:pPr>
      <w:bookmarkStart w:id="102" w:name="_Toc199511870"/>
      <w:r>
        <w:rPr>
          <w:rStyle w:val="CharDivNo"/>
        </w:rPr>
        <w:t>Division 1</w:t>
      </w:r>
      <w:r>
        <w:t xml:space="preserve"> — </w:t>
      </w:r>
      <w:r>
        <w:rPr>
          <w:rStyle w:val="CharDivText"/>
        </w:rPr>
        <w:t>Pollution and environmental harm offences</w:t>
      </w:r>
      <w:bookmarkEnd w:id="102"/>
    </w:p>
    <w:p>
      <w:pPr>
        <w:pStyle w:val="Footnotesection"/>
      </w:pPr>
      <w:r>
        <w:tab/>
        <w:t>[Heading inserted: No. 54 of 2003 s. 35.]</w:t>
      </w:r>
    </w:p>
    <w:p>
      <w:pPr>
        <w:pStyle w:val="Heading5"/>
      </w:pPr>
      <w:bookmarkStart w:id="103" w:name="_Toc199511871"/>
      <w:r>
        <w:rPr>
          <w:rStyle w:val="CharSectno"/>
        </w:rPr>
        <w:t>49</w:t>
      </w:r>
      <w:r>
        <w:t>.</w:t>
      </w:r>
      <w:r>
        <w:tab/>
        <w:t>Causing pollution and unreasonable emissions</w:t>
      </w:r>
      <w:bookmarkEnd w:id="103"/>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lastRenderedPageBreak/>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No. 14 of 1998 s. 6; amended: No. 54 of 2003 s. 36.]</w:t>
      </w:r>
    </w:p>
    <w:p>
      <w:pPr>
        <w:pStyle w:val="Heading5"/>
      </w:pPr>
      <w:bookmarkStart w:id="104" w:name="_Toc199511872"/>
      <w:r>
        <w:rPr>
          <w:rStyle w:val="CharSectno"/>
        </w:rPr>
        <w:t>49A</w:t>
      </w:r>
      <w:r>
        <w:t>.</w:t>
      </w:r>
      <w:r>
        <w:tab/>
        <w:t>Dumping waste</w:t>
      </w:r>
      <w:bookmarkEnd w:id="104"/>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No. 48 of 2010 s. 4.] </w:t>
      </w:r>
    </w:p>
    <w:p>
      <w:pPr>
        <w:pStyle w:val="Heading5"/>
      </w:pPr>
      <w:bookmarkStart w:id="105" w:name="_Toc199511873"/>
      <w:r>
        <w:rPr>
          <w:rStyle w:val="CharSectno"/>
        </w:rPr>
        <w:t>50</w:t>
      </w:r>
      <w:r>
        <w:t>.</w:t>
      </w:r>
      <w:r>
        <w:tab/>
        <w:t>Discharging waste in circumstances likely to cause pollution</w:t>
      </w:r>
      <w:bookmarkEnd w:id="105"/>
    </w:p>
    <w:p>
      <w:pPr>
        <w:pStyle w:val="Subsection"/>
      </w:pPr>
      <w:r>
        <w:tab/>
        <w:t>(1)</w:t>
      </w:r>
      <w:r>
        <w:tab/>
        <w:t>A person who intentionally or with criminal negligence —</w:t>
      </w:r>
    </w:p>
    <w:p>
      <w:pPr>
        <w:pStyle w:val="Indenta"/>
      </w:pPr>
      <w:r>
        <w:tab/>
        <w:t>(a)</w:t>
      </w:r>
      <w:r>
        <w:tab/>
        <w:t>causes waste to be placed; or</w:t>
      </w:r>
    </w:p>
    <w:p>
      <w:pPr>
        <w:pStyle w:val="Indenta"/>
        <w:keepNext/>
      </w:pPr>
      <w:r>
        <w:lastRenderedPageBreak/>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No. 14 of 1998 s. 6; amended: No. 48 of 2010 s. 5.]</w:t>
      </w:r>
    </w:p>
    <w:p>
      <w:pPr>
        <w:pStyle w:val="Heading5"/>
        <w:rPr>
          <w:snapToGrid w:val="0"/>
        </w:rPr>
      </w:pPr>
      <w:bookmarkStart w:id="106" w:name="_Toc199511874"/>
      <w:r>
        <w:rPr>
          <w:rStyle w:val="CharSectno"/>
        </w:rPr>
        <w:t>50A</w:t>
      </w:r>
      <w:r>
        <w:rPr>
          <w:snapToGrid w:val="0"/>
        </w:rPr>
        <w:t>.</w:t>
      </w:r>
      <w:r>
        <w:rPr>
          <w:snapToGrid w:val="0"/>
        </w:rPr>
        <w:tab/>
        <w:t>Causing serious environmental harm</w:t>
      </w:r>
      <w:bookmarkEnd w:id="106"/>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lastRenderedPageBreak/>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No. 54 of 2003 s. 37.]</w:t>
      </w:r>
    </w:p>
    <w:p>
      <w:pPr>
        <w:pStyle w:val="Heading5"/>
        <w:rPr>
          <w:snapToGrid w:val="0"/>
        </w:rPr>
      </w:pPr>
      <w:bookmarkStart w:id="107" w:name="_Toc199511875"/>
      <w:r>
        <w:rPr>
          <w:rStyle w:val="CharSectno"/>
        </w:rPr>
        <w:t>50B</w:t>
      </w:r>
      <w:r>
        <w:rPr>
          <w:snapToGrid w:val="0"/>
        </w:rPr>
        <w:t>.</w:t>
      </w:r>
      <w:r>
        <w:rPr>
          <w:snapToGrid w:val="0"/>
        </w:rPr>
        <w:tab/>
        <w:t>Causing material environmental harm</w:t>
      </w:r>
      <w:bookmarkEnd w:id="107"/>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No. 54 of 2003 s. 37.]</w:t>
      </w:r>
    </w:p>
    <w:p>
      <w:pPr>
        <w:pStyle w:val="Heading5"/>
      </w:pPr>
      <w:bookmarkStart w:id="108" w:name="_Toc199511876"/>
      <w:r>
        <w:rPr>
          <w:rStyle w:val="CharSectno"/>
        </w:rPr>
        <w:t>50C</w:t>
      </w:r>
      <w:r>
        <w:rPr>
          <w:snapToGrid w:val="0"/>
        </w:rPr>
        <w:t>.</w:t>
      </w:r>
      <w:r>
        <w:rPr>
          <w:snapToGrid w:val="0"/>
        </w:rPr>
        <w:tab/>
      </w:r>
      <w:r>
        <w:t>Court may find accused guilty of alternative offences if charged with causing serious environmental harm</w:t>
      </w:r>
      <w:bookmarkEnd w:id="108"/>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 No. 54 of 2003 s. 37.]</w:t>
      </w:r>
    </w:p>
    <w:p>
      <w:pPr>
        <w:pStyle w:val="Heading5"/>
      </w:pPr>
      <w:bookmarkStart w:id="109" w:name="_Toc199511877"/>
      <w:r>
        <w:rPr>
          <w:rStyle w:val="CharSectno"/>
        </w:rPr>
        <w:lastRenderedPageBreak/>
        <w:t>50D</w:t>
      </w:r>
      <w:r>
        <w:t>.</w:t>
      </w:r>
      <w:r>
        <w:tab/>
        <w:t>Regulations may require authorisation for conduct that might cause pollution or environmental harm</w:t>
      </w:r>
      <w:bookmarkEnd w:id="109"/>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 or</w:t>
      </w:r>
    </w:p>
    <w:p>
      <w:pPr>
        <w:pStyle w:val="Defpara"/>
      </w:pPr>
      <w:r>
        <w:tab/>
        <w:t>(b)</w:t>
      </w:r>
      <w:r>
        <w:tab/>
        <w:t>causing or allowing the nature or volume of anything discharged, emitted or transmitted to be changed; or</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No. 54 of 2003 s. 37.]</w:t>
      </w:r>
    </w:p>
    <w:p>
      <w:pPr>
        <w:pStyle w:val="Heading5"/>
        <w:rPr>
          <w:snapToGrid w:val="0"/>
        </w:rPr>
      </w:pPr>
      <w:bookmarkStart w:id="110" w:name="_Toc199511878"/>
      <w:r>
        <w:rPr>
          <w:rStyle w:val="CharSectno"/>
        </w:rPr>
        <w:t>51</w:t>
      </w:r>
      <w:r>
        <w:rPr>
          <w:snapToGrid w:val="0"/>
        </w:rPr>
        <w:t>.</w:t>
      </w:r>
      <w:r>
        <w:rPr>
          <w:snapToGrid w:val="0"/>
        </w:rPr>
        <w:tab/>
        <w:t>Occupiers of premises, duties as to emissions</w:t>
      </w:r>
      <w:bookmarkEnd w:id="110"/>
      <w:r>
        <w:rPr>
          <w:snapToGrid w:val="0"/>
        </w:rPr>
        <w:t xml:space="preserve"> </w:t>
      </w:r>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lastRenderedPageBreak/>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 No. 54 of 2003 s. 38.]</w:t>
      </w:r>
    </w:p>
    <w:p>
      <w:pPr>
        <w:pStyle w:val="Heading3"/>
      </w:pPr>
      <w:bookmarkStart w:id="111" w:name="_Toc199511879"/>
      <w:r>
        <w:rPr>
          <w:rStyle w:val="CharDivNo"/>
        </w:rPr>
        <w:t>Division 2</w:t>
      </w:r>
      <w:r>
        <w:t xml:space="preserve"> — </w:t>
      </w:r>
      <w:r>
        <w:rPr>
          <w:rStyle w:val="CharDivText"/>
        </w:rPr>
        <w:t>Clearing of native vegetation</w:t>
      </w:r>
      <w:bookmarkEnd w:id="111"/>
    </w:p>
    <w:p>
      <w:pPr>
        <w:pStyle w:val="Footnoteheading"/>
        <w:tabs>
          <w:tab w:val="left" w:pos="851"/>
        </w:tabs>
      </w:pPr>
      <w:r>
        <w:tab/>
        <w:t>[Heading inserted: No. 54 of 2003 s. 110(1).]</w:t>
      </w:r>
    </w:p>
    <w:p>
      <w:pPr>
        <w:pStyle w:val="Heading5"/>
      </w:pPr>
      <w:bookmarkStart w:id="112" w:name="_Toc199511880"/>
      <w:r>
        <w:rPr>
          <w:rStyle w:val="CharSectno"/>
        </w:rPr>
        <w:t>51A</w:t>
      </w:r>
      <w:r>
        <w:t>.</w:t>
      </w:r>
      <w:r>
        <w:tab/>
        <w:t>Terms used</w:t>
      </w:r>
      <w:bookmarkEnd w:id="112"/>
    </w:p>
    <w:p>
      <w:pPr>
        <w:pStyle w:val="Subsection"/>
      </w:pPr>
      <w:r>
        <w:tab/>
      </w:r>
      <w:r>
        <w:tab/>
        <w:t>In this Division —</w:t>
      </w:r>
    </w:p>
    <w:p>
      <w:pPr>
        <w:pStyle w:val="Defstart"/>
      </w:pPr>
      <w:r>
        <w:tab/>
      </w:r>
      <w:r>
        <w:rPr>
          <w:rStyle w:val="CharDefText"/>
        </w:rPr>
        <w:t>agreement to reserve</w:t>
      </w:r>
      <w:r>
        <w:t xml:space="preserve"> means an agreement to reserve as referred to in the SLC Act section 30B(2);</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spacing w:before="60"/>
      </w:pPr>
      <w:r>
        <w:tab/>
        <w:t>(a)</w:t>
      </w:r>
      <w:r>
        <w:tab/>
        <w:t>the killing or destruction of; or</w:t>
      </w:r>
    </w:p>
    <w:p>
      <w:pPr>
        <w:pStyle w:val="Defpara"/>
        <w:spacing w:before="60"/>
      </w:pPr>
      <w:r>
        <w:tab/>
        <w:t>(b)</w:t>
      </w:r>
      <w:r>
        <w:tab/>
        <w:t>the removal of; or</w:t>
      </w:r>
    </w:p>
    <w:p>
      <w:pPr>
        <w:pStyle w:val="Defpara"/>
        <w:spacing w:before="60"/>
      </w:pPr>
      <w:r>
        <w:tab/>
        <w:t>(c)</w:t>
      </w:r>
      <w:r>
        <w:tab/>
        <w:t>the severing or ringbarking of trunks or stems of; or</w:t>
      </w:r>
    </w:p>
    <w:p>
      <w:pPr>
        <w:pStyle w:val="Defpara"/>
        <w:spacing w:before="60"/>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spacing w:before="60"/>
      </w:pPr>
      <w:r>
        <w:tab/>
        <w:t>(e)</w:t>
      </w:r>
      <w:r>
        <w:tab/>
        <w:t>the killing or destruction of; or</w:t>
      </w:r>
    </w:p>
    <w:p>
      <w:pPr>
        <w:pStyle w:val="Defpara"/>
        <w:spacing w:before="60"/>
      </w:pPr>
      <w:r>
        <w:tab/>
        <w:t>(f)</w:t>
      </w:r>
      <w:r>
        <w:tab/>
        <w:t>the severing of trunks or stems of; or</w:t>
      </w:r>
    </w:p>
    <w:p>
      <w:pPr>
        <w:pStyle w:val="Defpara"/>
        <w:keepNext/>
        <w:spacing w:before="60"/>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conservation covenant</w:t>
      </w:r>
      <w:r>
        <w:t xml:space="preserve"> means a conservation covenant as referred to in the SLC Act section 30B(2);</w:t>
      </w:r>
    </w:p>
    <w:p>
      <w:pPr>
        <w:pStyle w:val="Defstart"/>
        <w:keepNext/>
      </w:pPr>
      <w:r>
        <w:lastRenderedPageBreak/>
        <w:tab/>
      </w:r>
      <w:r>
        <w:rPr>
          <w:rStyle w:val="CharDefText"/>
        </w:rPr>
        <w:t>environmentally sensitive area</w:t>
      </w:r>
      <w:r>
        <w:t xml:space="preserve"> means an area that is the subject of a declaration that is in force under section 51B;</w:t>
      </w:r>
    </w:p>
    <w:p>
      <w:pPr>
        <w:pStyle w:val="Defstart"/>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 and</w:t>
      </w:r>
    </w:p>
    <w:p>
      <w:pPr>
        <w:pStyle w:val="Defpara"/>
      </w:pPr>
      <w:r>
        <w:tab/>
        <w:t>(b)</w:t>
      </w:r>
      <w:r>
        <w:tab/>
        <w:t>in relation to land that the Crown has lawfully agreed to alienate, the person who is entitled to the benefit of the agreement; and</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Defstar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the SLC Act Part V.</w:t>
      </w:r>
    </w:p>
    <w:p>
      <w:pPr>
        <w:pStyle w:val="Footnotesection"/>
        <w:ind w:left="890" w:hanging="890"/>
      </w:pPr>
      <w:r>
        <w:tab/>
        <w:t>[Section 51A inserted: No. 54 of 2003 s. 110(1); amended: No. 40 of 2020 s. 43.]</w:t>
      </w:r>
    </w:p>
    <w:p>
      <w:pPr>
        <w:pStyle w:val="Heading5"/>
      </w:pPr>
      <w:bookmarkStart w:id="113" w:name="_Toc199511881"/>
      <w:r>
        <w:rPr>
          <w:rStyle w:val="CharSectno"/>
        </w:rPr>
        <w:lastRenderedPageBreak/>
        <w:t>51B</w:t>
      </w:r>
      <w:r>
        <w:t>.</w:t>
      </w:r>
      <w:r>
        <w:tab/>
        <w:t>Declaration of environmentally sensitive areas by regulation</w:t>
      </w:r>
      <w:bookmarkEnd w:id="113"/>
    </w:p>
    <w:p>
      <w:pPr>
        <w:pStyle w:val="Subsection"/>
      </w:pPr>
      <w:r>
        <w:tab/>
        <w:t>(1)</w:t>
      </w:r>
      <w:r>
        <w:tab/>
        <w:t xml:space="preserve">Regulations may declare as an environmentally sensitive area for the purposes of this Part — </w:t>
      </w:r>
    </w:p>
    <w:p>
      <w:pPr>
        <w:pStyle w:val="Indenta"/>
      </w:pPr>
      <w:r>
        <w:tab/>
        <w:t>(a)</w:t>
      </w:r>
      <w:r>
        <w:tab/>
        <w:t>an area of the State specified in the regulations; or</w:t>
      </w:r>
    </w:p>
    <w:p>
      <w:pPr>
        <w:pStyle w:val="Indenta"/>
      </w:pPr>
      <w:r>
        <w:tab/>
        <w:t>(b)</w:t>
      </w:r>
      <w:r>
        <w:tab/>
        <w:t>an area of the State of a class specified in the regulations.</w:t>
      </w:r>
    </w:p>
    <w:p>
      <w:pPr>
        <w:pStyle w:val="Subsection"/>
      </w:pPr>
      <w:r>
        <w:tab/>
        <w:t>(2)</w:t>
      </w:r>
      <w:r>
        <w:tab/>
        <w:t xml:space="preserve">Before regulations are made declaring an area of the State as an environmentally sensitive area for the purposes of this Part — </w:t>
      </w:r>
    </w:p>
    <w:p>
      <w:pPr>
        <w:pStyle w:val="Indenta"/>
      </w:pPr>
      <w:r>
        <w:tab/>
        <w:t>(a)</w:t>
      </w:r>
      <w:r>
        <w:tab/>
        <w:t>the CEO must, in a prescribed manner, notify each owner or occupier of land in that area of the State of the proposed regulations and invite comments about the proposed regulations to be made within the period specified in the notification; and</w:t>
      </w:r>
    </w:p>
    <w:p>
      <w:pPr>
        <w:pStyle w:val="Indenta"/>
      </w:pPr>
      <w:r>
        <w:tab/>
        <w:t>(b)</w:t>
      </w:r>
      <w:r>
        <w:tab/>
        <w:t>the Minister must take into account any comments about the proposed regulations made by an owner or occupier of land in that area of the State pursuant to an invitation under paragraph (a).</w:t>
      </w:r>
    </w:p>
    <w:p>
      <w:pPr>
        <w:pStyle w:val="Subsection"/>
      </w:pPr>
      <w:r>
        <w:tab/>
        <w:t>(3)</w:t>
      </w:r>
      <w:r>
        <w:tab/>
        <w:t>Subsection (1) does not apply to regulations proposing to declare an area of the State as an environmentally sensitive area if a declaration of that area as an environmentally sensitive area already has effect under subsection (1).</w:t>
      </w:r>
    </w:p>
    <w:p>
      <w:pPr>
        <w:pStyle w:val="Subsection"/>
      </w:pPr>
      <w:r>
        <w:tab/>
        <w:t>(4)</w:t>
      </w:r>
      <w:r>
        <w:tab/>
        <w:t xml:space="preserve">The CEO must notify the agency (as defined in the </w:t>
      </w:r>
      <w:r>
        <w:rPr>
          <w:i/>
        </w:rPr>
        <w:t>Public Sector Management Act 1994</w:t>
      </w:r>
      <w:r>
        <w:t xml:space="preserve"> section 3(1)) principally assisting the Minister administering the </w:t>
      </w:r>
      <w:r>
        <w:rPr>
          <w:i/>
        </w:rPr>
        <w:t>Transfer of Land Act 1893</w:t>
      </w:r>
      <w:r>
        <w:t xml:space="preserve"> in its administration of the declaration or amendment of an environmentally sensitive area with a view to that agency including information as to the environmentally sensitive area in information disseminated by it as to property interests in land.</w:t>
      </w:r>
    </w:p>
    <w:p>
      <w:pPr>
        <w:pStyle w:val="Footnotesection"/>
      </w:pPr>
      <w:r>
        <w:tab/>
        <w:t>[Section 51B inserted: No. 40 of 2020 s. 44.]</w:t>
      </w:r>
    </w:p>
    <w:p>
      <w:pPr>
        <w:pStyle w:val="Heading5"/>
      </w:pPr>
      <w:bookmarkStart w:id="114" w:name="_Toc199511882"/>
      <w:r>
        <w:rPr>
          <w:rStyle w:val="CharSectno"/>
        </w:rPr>
        <w:lastRenderedPageBreak/>
        <w:t>51C</w:t>
      </w:r>
      <w:r>
        <w:t>.</w:t>
      </w:r>
      <w:r>
        <w:tab/>
        <w:t>Unauthorised clearing of native vegetation</w:t>
      </w:r>
      <w:bookmarkEnd w:id="114"/>
    </w:p>
    <w:p>
      <w:pPr>
        <w:pStyle w:val="Subsection"/>
      </w:pPr>
      <w:r>
        <w:tab/>
      </w:r>
      <w:r>
        <w:tab/>
        <w:t xml:space="preserve">A person who causes or allows clearing commits an offence unless — </w:t>
      </w:r>
    </w:p>
    <w:p>
      <w:pPr>
        <w:pStyle w:val="Indenta"/>
      </w:pPr>
      <w:r>
        <w:tab/>
        <w:t>(a)</w:t>
      </w:r>
      <w:r>
        <w:tab/>
        <w:t>the clearing is done in accordance with a clearing permit; or</w:t>
      </w:r>
    </w:p>
    <w:p>
      <w:pPr>
        <w:pStyle w:val="Indenta"/>
      </w:pPr>
      <w:r>
        <w:tab/>
        <w:t>(b)</w:t>
      </w:r>
      <w:r>
        <w:tab/>
        <w:t>the clearing is of a kind set out in Schedule 6; or</w:t>
      </w:r>
    </w:p>
    <w:p>
      <w:pPr>
        <w:pStyle w:val="Indenta"/>
      </w:pPr>
      <w:r>
        <w:tab/>
        <w:t>(c)</w:t>
      </w:r>
      <w:r>
        <w:tab/>
        <w:t>the clearing is of a kind prescribed for the purposes of this paragraph and is not done in an environmentally sensitive area; or</w:t>
      </w:r>
    </w:p>
    <w:p>
      <w:pPr>
        <w:pStyle w:val="Indenta"/>
      </w:pPr>
      <w:r>
        <w:tab/>
        <w:t>(d)</w:t>
      </w:r>
      <w:r>
        <w:tab/>
        <w:t>the clearing is done after the person has received notice under section 51DA(5) that the CEO has decided that the person should not be required to obtain a clearing permit for the clearing.</w:t>
      </w:r>
    </w:p>
    <w:p>
      <w:pPr>
        <w:pStyle w:val="Footnotesection"/>
      </w:pPr>
      <w:r>
        <w:tab/>
        <w:t>[Section 51C inserted: No. 40 of 2020 s. 44.]</w:t>
      </w:r>
    </w:p>
    <w:p>
      <w:pPr>
        <w:pStyle w:val="Heading5"/>
      </w:pPr>
      <w:bookmarkStart w:id="115" w:name="_Toc199511883"/>
      <w:r>
        <w:rPr>
          <w:rStyle w:val="CharSectno"/>
        </w:rPr>
        <w:t>51D</w:t>
      </w:r>
      <w:r>
        <w:t>.</w:t>
      </w:r>
      <w:r>
        <w:tab/>
        <w:t>Section 51C(a) does not apply to certain land</w:t>
      </w:r>
      <w:bookmarkEnd w:id="115"/>
    </w:p>
    <w:p>
      <w:pPr>
        <w:pStyle w:val="Subsection"/>
      </w:pPr>
      <w:r>
        <w:tab/>
        <w:t>(1)</w:t>
      </w:r>
      <w:r>
        <w:tab/>
        <w:t>In this section —</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Subsection"/>
      </w:pPr>
      <w:r>
        <w:tab/>
        <w:t>(2)</w:t>
      </w:r>
      <w:r>
        <w:tab/>
        <w:t>Section 51C(a) does not apply to clearing on land the subject of an agreement to reserve unless —</w:t>
      </w:r>
    </w:p>
    <w:p>
      <w:pPr>
        <w:pStyle w:val="Indenta"/>
      </w:pPr>
      <w:r>
        <w:tab/>
        <w:t>(a)</w:t>
      </w:r>
      <w:r>
        <w:tab/>
        <w:t>the clearing permit was granted with the written approval of the Commissioner; or</w:t>
      </w:r>
    </w:p>
    <w:p>
      <w:pPr>
        <w:pStyle w:val="Indenta"/>
      </w:pPr>
      <w:r>
        <w:tab/>
        <w:t>(b)</w:t>
      </w:r>
      <w:r>
        <w:tab/>
        <w:t>the clearing is done with the written approval of the Commissioner.</w:t>
      </w:r>
    </w:p>
    <w:p>
      <w:pPr>
        <w:pStyle w:val="Subsection"/>
      </w:pPr>
      <w:r>
        <w:tab/>
        <w:t>(3)</w:t>
      </w:r>
      <w:r>
        <w:tab/>
        <w:t>Section 51C(a) does not apply to clearing —</w:t>
      </w:r>
    </w:p>
    <w:p>
      <w:pPr>
        <w:pStyle w:val="Indenta"/>
      </w:pPr>
      <w:r>
        <w:tab/>
        <w:t>(a)</w:t>
      </w:r>
      <w:r>
        <w:tab/>
        <w:t>on land the subject of a conservation covenant; or</w:t>
      </w:r>
    </w:p>
    <w:p>
      <w:pPr>
        <w:pStyle w:val="Indenta"/>
      </w:pPr>
      <w:r>
        <w:tab/>
        <w:t>(b)</w:t>
      </w:r>
      <w:r>
        <w:tab/>
        <w:t>on land the subject of an environmental protection covenant; or</w:t>
      </w:r>
    </w:p>
    <w:p>
      <w:pPr>
        <w:pStyle w:val="Indenta"/>
        <w:keepNext/>
      </w:pPr>
      <w:r>
        <w:lastRenderedPageBreak/>
        <w:tab/>
        <w:t>(c)</w:t>
      </w:r>
      <w:r>
        <w:tab/>
        <w:t>in contravention of a soil conservation notice.</w:t>
      </w:r>
    </w:p>
    <w:p>
      <w:pPr>
        <w:pStyle w:val="Footnotesection"/>
      </w:pPr>
      <w:r>
        <w:tab/>
        <w:t>[Section 51D inserted: No. 40 of 2020 s. 44.]</w:t>
      </w:r>
    </w:p>
    <w:p>
      <w:pPr>
        <w:pStyle w:val="Heading5"/>
      </w:pPr>
      <w:bookmarkStart w:id="116" w:name="_Toc199511884"/>
      <w:r>
        <w:rPr>
          <w:rStyle w:val="CharSectno"/>
        </w:rPr>
        <w:t>51DA</w:t>
      </w:r>
      <w:r>
        <w:t>.</w:t>
      </w:r>
      <w:r>
        <w:tab/>
        <w:t>Referral of proposed clearing to CEO for decision on whether a clearing permit should be obtained</w:t>
      </w:r>
      <w:bookmarkEnd w:id="116"/>
    </w:p>
    <w:p>
      <w:pPr>
        <w:pStyle w:val="Subsection"/>
      </w:pPr>
      <w:r>
        <w:tab/>
        <w:t>(1)</w:t>
      </w:r>
      <w:r>
        <w:tab/>
        <w:t>This section applies to clearing unless —</w:t>
      </w:r>
    </w:p>
    <w:p>
      <w:pPr>
        <w:pStyle w:val="Indenta"/>
      </w:pPr>
      <w:r>
        <w:tab/>
        <w:t>(a)</w:t>
      </w:r>
      <w:r>
        <w:tab/>
        <w:t>it is on land the subject of an agreement to reserve; or</w:t>
      </w:r>
    </w:p>
    <w:p>
      <w:pPr>
        <w:pStyle w:val="Indenta"/>
        <w:keepNext/>
      </w:pPr>
      <w:r>
        <w:tab/>
        <w:t>(b)</w:t>
      </w:r>
      <w:r>
        <w:tab/>
        <w:t>it is on land the subject of a conservation covenant; or</w:t>
      </w:r>
    </w:p>
    <w:p>
      <w:pPr>
        <w:pStyle w:val="Indenta"/>
      </w:pPr>
      <w:r>
        <w:tab/>
        <w:t>(c)</w:t>
      </w:r>
      <w:r>
        <w:tab/>
        <w:t>it is on land the subject of an environmental protection covenant.</w:t>
      </w:r>
    </w:p>
    <w:p>
      <w:pPr>
        <w:pStyle w:val="Subsection"/>
      </w:pPr>
      <w:r>
        <w:tab/>
        <w:t>(2)</w:t>
      </w:r>
      <w:r>
        <w:tab/>
        <w:t xml:space="preserve">A person who proposes to do clearing to which this section applies (the </w:t>
      </w:r>
      <w:r>
        <w:rPr>
          <w:rStyle w:val="CharDefText"/>
        </w:rPr>
        <w:t>referrer</w:t>
      </w:r>
      <w:r>
        <w:t>) may refer the proposed clearing to the CEO in the form and in the manner approved by the CEO.</w:t>
      </w:r>
    </w:p>
    <w:p>
      <w:pPr>
        <w:pStyle w:val="Subsection"/>
      </w:pPr>
      <w:r>
        <w:tab/>
        <w:t>(3)</w:t>
      </w:r>
      <w:r>
        <w:tab/>
        <w:t>The CEO must consider proposed clearing referred under subsection (2) and decide whether or not the referrer should be required to obtain a clearing permit for the proposed clearing.</w:t>
      </w:r>
    </w:p>
    <w:p>
      <w:pPr>
        <w:pStyle w:val="Subsection"/>
      </w:pPr>
      <w:r>
        <w:tab/>
        <w:t>(4)</w:t>
      </w:r>
      <w:r>
        <w:tab/>
        <w:t xml:space="preserve">In making a decision under subsection (3) the CEO must have regard to — </w:t>
      </w:r>
    </w:p>
    <w:p>
      <w:pPr>
        <w:pStyle w:val="Indenta"/>
      </w:pPr>
      <w:r>
        <w:tab/>
        <w:t>(a)</w:t>
      </w:r>
      <w:r>
        <w:tab/>
        <w:t xml:space="preserve">whether the area proposed to be cleared (the </w:t>
      </w:r>
      <w:r>
        <w:rPr>
          <w:rStyle w:val="CharDefText"/>
        </w:rPr>
        <w:t>area</w:t>
      </w:r>
      <w:r>
        <w:t xml:space="preserve">) is small relative to the total remaining vegetation — </w:t>
      </w:r>
    </w:p>
    <w:p>
      <w:pPr>
        <w:pStyle w:val="Indenti"/>
      </w:pPr>
      <w:r>
        <w:tab/>
        <w:t>(i)</w:t>
      </w:r>
      <w:r>
        <w:tab/>
        <w:t>within the region in which the area is situated; or</w:t>
      </w:r>
    </w:p>
    <w:p>
      <w:pPr>
        <w:pStyle w:val="Indenti"/>
      </w:pPr>
      <w:r>
        <w:tab/>
        <w:t>(ii)</w:t>
      </w:r>
      <w:r>
        <w:tab/>
        <w:t>of the ecological community of which the vegetation proposed to be cleared forms part;</w:t>
      </w:r>
    </w:p>
    <w:p>
      <w:pPr>
        <w:pStyle w:val="Indenta"/>
      </w:pPr>
      <w:r>
        <w:tab/>
      </w:r>
      <w:r>
        <w:tab/>
        <w:t>and</w:t>
      </w:r>
    </w:p>
    <w:p>
      <w:pPr>
        <w:pStyle w:val="Indenta"/>
      </w:pPr>
      <w:r>
        <w:tab/>
        <w:t>(b)</w:t>
      </w:r>
      <w:r>
        <w:tab/>
        <w:t>whether there are any known or likely significant environmental values within the area; and</w:t>
      </w:r>
    </w:p>
    <w:p>
      <w:pPr>
        <w:pStyle w:val="Indenta"/>
      </w:pPr>
      <w:r>
        <w:tab/>
        <w:t>(c)</w:t>
      </w:r>
      <w:r>
        <w:tab/>
        <w:t>whether the state of scientific knowledge about vegetation within the region in which the area is situated is adequate; and</w:t>
      </w:r>
    </w:p>
    <w:p>
      <w:pPr>
        <w:pStyle w:val="Indenta"/>
      </w:pPr>
      <w:r>
        <w:lastRenderedPageBreak/>
        <w:tab/>
        <w:t>(d)</w:t>
      </w:r>
      <w:r>
        <w:tab/>
        <w:t>whether the issues that would arise as a result of the proposed clearing are likely to require conditions to manage or mitigate effects on the environment.</w:t>
      </w:r>
    </w:p>
    <w:p>
      <w:pPr>
        <w:pStyle w:val="Subsection"/>
      </w:pPr>
      <w:r>
        <w:tab/>
        <w:t>(5)</w:t>
      </w:r>
      <w:r>
        <w:tab/>
        <w:t>The CEO must give the referrer notice in writing of a decision made by the CEO under subsection (3).</w:t>
      </w:r>
    </w:p>
    <w:p>
      <w:pPr>
        <w:pStyle w:val="Subsection"/>
      </w:pPr>
      <w:r>
        <w:tab/>
        <w:t>(6)</w:t>
      </w:r>
      <w:r>
        <w:tab/>
        <w:t>If the CEO considers that the proposed clearing would contravene a soil conservation notice, no decision is to be made under subsection (3) and the CEO must give the referrer notice in writing that the proposed clearing cannot be done.</w:t>
      </w:r>
    </w:p>
    <w:p>
      <w:pPr>
        <w:pStyle w:val="Subsection"/>
      </w:pPr>
      <w:r>
        <w:tab/>
        <w:t>(7)</w:t>
      </w:r>
      <w:r>
        <w:tab/>
        <w:t xml:space="preserve">The CEO must publish — </w:t>
      </w:r>
    </w:p>
    <w:p>
      <w:pPr>
        <w:pStyle w:val="Indenta"/>
      </w:pPr>
      <w:r>
        <w:tab/>
        <w:t>(a)</w:t>
      </w:r>
      <w:r>
        <w:tab/>
        <w:t>the referral of proposed clearing under subsection (2); and</w:t>
      </w:r>
    </w:p>
    <w:p>
      <w:pPr>
        <w:pStyle w:val="Indenta"/>
      </w:pPr>
      <w:r>
        <w:tab/>
        <w:t>(b)</w:t>
      </w:r>
      <w:r>
        <w:tab/>
        <w:t>the notice given under subsection (5) or (6).</w:t>
      </w:r>
    </w:p>
    <w:p>
      <w:pPr>
        <w:pStyle w:val="Subsection"/>
      </w:pPr>
      <w:r>
        <w:tab/>
        <w:t>(8)</w:t>
      </w:r>
      <w:r>
        <w:tab/>
        <w:t xml:space="preserve">The referrer may, in writing, request the CEO to treat the referral of proposed clearing under subsection (2) as an application for a clearing permit under section 51E(1) if the referrer — </w:t>
      </w:r>
    </w:p>
    <w:p>
      <w:pPr>
        <w:pStyle w:val="Indenta"/>
      </w:pPr>
      <w:r>
        <w:tab/>
        <w:t>(a)</w:t>
      </w:r>
      <w:r>
        <w:tab/>
        <w:t>receives notice under subsection (5) that the CEO has decided that the referrer should be required to obtain a clearing permit for the proposed clearing; or</w:t>
      </w:r>
    </w:p>
    <w:p>
      <w:pPr>
        <w:pStyle w:val="Indenta"/>
      </w:pPr>
      <w:r>
        <w:tab/>
        <w:t>(b)</w:t>
      </w:r>
      <w:r>
        <w:tab/>
        <w:t>does not receive any notice under subsection (5) or (6) within the period of 21 days after referring the proposed clearing.</w:t>
      </w:r>
    </w:p>
    <w:p>
      <w:pPr>
        <w:pStyle w:val="Subsection"/>
      </w:pPr>
      <w:r>
        <w:tab/>
        <w:t>(9)</w:t>
      </w:r>
      <w:r>
        <w:tab/>
        <w:t xml:space="preserve">If a request is made under subsection (8), the referral may be dealt with under section 51E as an application that complies with section 51E(1) and (2) if — </w:t>
      </w:r>
    </w:p>
    <w:p>
      <w:pPr>
        <w:pStyle w:val="Indenta"/>
      </w:pPr>
      <w:r>
        <w:tab/>
        <w:t>(a)</w:t>
      </w:r>
      <w:r>
        <w:tab/>
        <w:t>the referral was made in the form and manner mentioned in subsection (2); and</w:t>
      </w:r>
    </w:p>
    <w:p>
      <w:pPr>
        <w:pStyle w:val="Indenta"/>
      </w:pPr>
      <w:r>
        <w:tab/>
        <w:t>(b)</w:t>
      </w:r>
      <w:r>
        <w:tab/>
        <w:t>the referral met the requirements set out in section 51E(1)(b) and (d) and (2); and</w:t>
      </w:r>
    </w:p>
    <w:p>
      <w:pPr>
        <w:pStyle w:val="Indenta"/>
        <w:keepNext/>
      </w:pPr>
      <w:r>
        <w:lastRenderedPageBreak/>
        <w:tab/>
        <w:t>(c)</w:t>
      </w:r>
      <w:r>
        <w:tab/>
        <w:t>the request is accompanied by the fee referred to in section 51E(1)(c).</w:t>
      </w:r>
    </w:p>
    <w:p>
      <w:pPr>
        <w:pStyle w:val="Footnotesection"/>
      </w:pPr>
      <w:r>
        <w:tab/>
        <w:t>[Section 51DA inserted: No. 40 of 2020 s. 44.]</w:t>
      </w:r>
    </w:p>
    <w:p>
      <w:pPr>
        <w:pStyle w:val="Heading5"/>
        <w:spacing w:before="200"/>
      </w:pPr>
      <w:bookmarkStart w:id="117" w:name="_Toc199511885"/>
      <w:r>
        <w:rPr>
          <w:rStyle w:val="CharSectno"/>
        </w:rPr>
        <w:t>51E</w:t>
      </w:r>
      <w:r>
        <w:t>.</w:t>
      </w:r>
      <w:r>
        <w:tab/>
        <w:t>How applications for clearing permits are made and dealt with</w:t>
      </w:r>
      <w:bookmarkEnd w:id="117"/>
    </w:p>
    <w:p>
      <w:pPr>
        <w:pStyle w:val="Subsection"/>
        <w:spacing w:before="140"/>
        <w:rPr>
          <w:snapToGrid w:val="0"/>
        </w:rPr>
      </w:pPr>
      <w:r>
        <w:rPr>
          <w:snapToGrid w:val="0"/>
        </w:rPr>
        <w:tab/>
        <w:t>(1)</w:t>
      </w:r>
      <w:r>
        <w:rPr>
          <w:snapToGrid w:val="0"/>
        </w:rPr>
        <w:tab/>
        <w:t xml:space="preserve">An </w:t>
      </w:r>
      <w:r>
        <w:t>application</w:t>
      </w:r>
      <w:r>
        <w:rPr>
          <w:snapToGrid w:val="0"/>
        </w:rPr>
        <w:t xml:space="preserve"> for a clearing permit </w:t>
      </w:r>
      <w:r>
        <w:t>must —</w:t>
      </w:r>
    </w:p>
    <w:p>
      <w:pPr>
        <w:pStyle w:val="Indenta"/>
        <w:spacing w:before="60"/>
        <w:rPr>
          <w:snapToGrid w:val="0"/>
        </w:rPr>
      </w:pPr>
      <w:r>
        <w:rPr>
          <w:snapToGrid w:val="0"/>
        </w:rPr>
        <w:tab/>
        <w:t>(a)</w:t>
      </w:r>
      <w:r>
        <w:rPr>
          <w:snapToGrid w:val="0"/>
        </w:rPr>
        <w:tab/>
        <w:t xml:space="preserve">be </w:t>
      </w:r>
      <w:r>
        <w:t>made</w:t>
      </w:r>
      <w:r>
        <w:rPr>
          <w:snapToGrid w:val="0"/>
        </w:rPr>
        <w:t xml:space="preserve"> in the form and in the manner approved by the CEO; and</w:t>
      </w:r>
    </w:p>
    <w:p>
      <w:pPr>
        <w:pStyle w:val="Indenta"/>
        <w:spacing w:before="60"/>
        <w:rPr>
          <w:snapToGrid w:val="0"/>
        </w:rPr>
      </w:pPr>
      <w:r>
        <w:rPr>
          <w:snapToGrid w:val="0"/>
        </w:rPr>
        <w:tab/>
        <w:t>(b)</w:t>
      </w:r>
      <w:r>
        <w:rPr>
          <w:snapToGrid w:val="0"/>
        </w:rPr>
        <w:tab/>
        <w:t>indicate whether it relates to —</w:t>
      </w:r>
    </w:p>
    <w:p>
      <w:pPr>
        <w:pStyle w:val="Indenti"/>
        <w:spacing w:before="60"/>
        <w:rPr>
          <w:snapToGrid w:val="0"/>
        </w:rPr>
      </w:pPr>
      <w:r>
        <w:rPr>
          <w:snapToGrid w:val="0"/>
        </w:rPr>
        <w:tab/>
        <w:t>(i)</w:t>
      </w:r>
      <w:r>
        <w:rPr>
          <w:snapToGrid w:val="0"/>
        </w:rPr>
        <w:tab/>
        <w:t>the clearing of a particular area specified in the application; or</w:t>
      </w:r>
    </w:p>
    <w:p>
      <w:pPr>
        <w:pStyle w:val="Indenti"/>
        <w:spacing w:before="60"/>
        <w:rPr>
          <w:snapToGrid w:val="0"/>
        </w:rPr>
      </w:pPr>
      <w:r>
        <w:rPr>
          <w:snapToGrid w:val="0"/>
        </w:rPr>
        <w:tab/>
        <w:t>(ii)</w:t>
      </w:r>
      <w:r>
        <w:rPr>
          <w:snapToGrid w:val="0"/>
        </w:rPr>
        <w:tab/>
        <w:t>the clearing of different areas from time to time for a purpose specified in the application;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pPr>
      <w:r>
        <w:tab/>
        <w:t>(d)</w:t>
      </w:r>
      <w:r>
        <w:tab/>
        <w:t>contain or be accompanied by any information required as indicated in the form or in material accompanying the form.</w:t>
      </w:r>
    </w:p>
    <w:p>
      <w:pPr>
        <w:pStyle w:val="Subsection"/>
      </w:pPr>
      <w:r>
        <w:tab/>
        <w:t>(1A)</w:t>
      </w:r>
      <w:r>
        <w:tab/>
        <w:t>If the CEO requires further information to determine the application, the CEO may, by written notice given to the applicant, require the applicant to give the CEO further specified information within a specified time.</w:t>
      </w:r>
    </w:p>
    <w:p>
      <w:pPr>
        <w:pStyle w:val="Subsection"/>
        <w:spacing w:before="140"/>
        <w:rPr>
          <w:snapToGrid w:val="0"/>
        </w:rPr>
      </w:pPr>
      <w:r>
        <w:tab/>
        <w:t>(2)</w:t>
      </w:r>
      <w:r>
        <w:tab/>
      </w:r>
      <w:r>
        <w:rPr>
          <w:snapToGrid w:val="0"/>
        </w:rPr>
        <w:t xml:space="preserve">An </w:t>
      </w:r>
      <w:r>
        <w:t>application</w:t>
      </w:r>
      <w:r>
        <w:rPr>
          <w:snapToGrid w:val="0"/>
        </w:rPr>
        <w:t xml:space="preserve"> for a clearing permit can only be made —</w:t>
      </w:r>
    </w:p>
    <w:p>
      <w:pPr>
        <w:pStyle w:val="Indenta"/>
        <w:spacing w:before="60"/>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lastRenderedPageBreak/>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pPr>
      <w:r>
        <w:tab/>
        <w:t>(3)</w:t>
      </w:r>
      <w:r>
        <w:tab/>
        <w:t>If an application does not comply with subsections (1) and (2), or further information is not provided in accordance with subsection (1A), the CEO must decline to deal with the application and advise the applicant accordingly.</w:t>
      </w:r>
    </w:p>
    <w:p>
      <w:pPr>
        <w:pStyle w:val="Subsection"/>
      </w:pPr>
      <w:r>
        <w:tab/>
        <w:t>(4)</w:t>
      </w:r>
      <w:r>
        <w:tab/>
        <w:t>If, under subsection (3), the CEO declines to deal with the application, the CEO does not have to perform any function under any of subsections (4A) to (12) in relation to the application.</w:t>
      </w:r>
    </w:p>
    <w:p>
      <w:pPr>
        <w:pStyle w:val="Subsection"/>
      </w:pPr>
      <w:r>
        <w:tab/>
        <w:t>(4A)</w:t>
      </w:r>
      <w:r>
        <w:tab/>
        <w:t>The CEO must invite comments on the application within a period specified by the CEO from any public authority or person which or who has, in the opinion of the CEO, a direct interest in the subject matter of the application.</w:t>
      </w:r>
    </w:p>
    <w:p>
      <w:pPr>
        <w:pStyle w:val="Subsection"/>
      </w:pPr>
      <w:r>
        <w:tab/>
        <w:t>(4B)</w:t>
      </w:r>
      <w:r>
        <w:tab/>
        <w:t xml:space="preserve">The CEO must publish — </w:t>
      </w:r>
    </w:p>
    <w:p>
      <w:pPr>
        <w:pStyle w:val="Indenta"/>
      </w:pPr>
      <w:r>
        <w:tab/>
        <w:t>(a)</w:t>
      </w:r>
      <w:r>
        <w:tab/>
        <w:t>the application; and</w:t>
      </w:r>
    </w:p>
    <w:p>
      <w:pPr>
        <w:pStyle w:val="Indenta"/>
      </w:pPr>
      <w:r>
        <w:tab/>
        <w:t>(b)</w:t>
      </w:r>
      <w:r>
        <w:tab/>
        <w:t>the information mentioned in subsection (1)(d).</w:t>
      </w:r>
    </w:p>
    <w:p>
      <w:pPr>
        <w:pStyle w:val="Subsection"/>
      </w:pPr>
      <w:r>
        <w:tab/>
        <w:t>(4C)</w:t>
      </w:r>
      <w:r>
        <w:tab/>
        <w:t xml:space="preserve">When publishing the application and information under subsection (4B) the CEO must — </w:t>
      </w:r>
    </w:p>
    <w:p>
      <w:pPr>
        <w:pStyle w:val="Indenta"/>
      </w:pPr>
      <w:r>
        <w:tab/>
        <w:t>(a)</w:t>
      </w:r>
      <w:r>
        <w:tab/>
        <w:t>invite any person who wishes to comment on the application and information to do so; and</w:t>
      </w:r>
    </w:p>
    <w:p>
      <w:pPr>
        <w:pStyle w:val="Indenta"/>
      </w:pPr>
      <w:r>
        <w:tab/>
        <w:t>(b)</w:t>
      </w:r>
      <w:r>
        <w:tab/>
        <w:t>specify the period within which comments can be made.</w:t>
      </w:r>
    </w:p>
    <w:p>
      <w:pPr>
        <w:pStyle w:val="Subsection"/>
      </w:pPr>
      <w:r>
        <w:tab/>
        <w:t>(5)</w:t>
      </w:r>
      <w:r>
        <w:tab/>
        <w:t xml:space="preserve">The CEO must, subject to this Division — </w:t>
      </w:r>
    </w:p>
    <w:p>
      <w:pPr>
        <w:pStyle w:val="Indenta"/>
      </w:pPr>
      <w:r>
        <w:tab/>
        <w:t>(a)</w:t>
      </w:r>
      <w:r>
        <w:tab/>
        <w:t>grant a clearing permit subject to such of the conditions referred to in section 51H as the CEO specifies in the permit; or</w:t>
      </w:r>
    </w:p>
    <w:p>
      <w:pPr>
        <w:pStyle w:val="Indenta"/>
      </w:pPr>
      <w:r>
        <w:tab/>
        <w:t>(b)</w:t>
      </w:r>
      <w:r>
        <w:tab/>
        <w:t>refuse to grant a clearing permit.</w:t>
      </w:r>
    </w:p>
    <w:p>
      <w:pPr>
        <w:pStyle w:val="Subsection"/>
        <w:keepNext/>
        <w:keepLines/>
      </w:pPr>
      <w:r>
        <w:lastRenderedPageBreak/>
        <w:tab/>
        <w:t>(5A)</w:t>
      </w:r>
      <w:r>
        <w:tab/>
        <w:t>In determining whether to grant a clearing permit and the conditions to which the clearing permit is to be subject, the CEO must take into account any comments made pursuant to an invitation under subsection (4A) or (4C) in respect of the application.</w:t>
      </w:r>
    </w:p>
    <w:p>
      <w:pPr>
        <w:pStyle w:val="Subsection"/>
      </w:pPr>
      <w:r>
        <w:tab/>
        <w:t>(6)</w:t>
      </w:r>
      <w:r>
        <w:tab/>
        <w:t>The CEO must give the applicant written notice of the refusal to grant a clearing permit. </w:t>
      </w:r>
    </w:p>
    <w:p>
      <w:pPr>
        <w:pStyle w:val="Subsection"/>
        <w:rPr>
          <w:snapToGrid w:val="0"/>
        </w:rPr>
      </w:pPr>
      <w:r>
        <w:tab/>
        <w:t>(7)</w:t>
      </w:r>
      <w:r>
        <w:tab/>
        <w:t>If a clearing permit relates to</w:t>
      </w:r>
      <w:r>
        <w:rPr>
          <w:snapToGrid w:val="0"/>
        </w:rPr>
        <w:t xml:space="preserve"> clearing referred to in subsection (1)(b)(i), it —</w:t>
      </w:r>
    </w:p>
    <w:p>
      <w:pPr>
        <w:pStyle w:val="Indenta"/>
        <w:rPr>
          <w:snapToGrid w:val="0"/>
        </w:rPr>
      </w:pPr>
      <w:r>
        <w:rPr>
          <w:snapToGrid w:val="0"/>
        </w:rPr>
        <w:tab/>
        <w:t>(a)</w:t>
      </w:r>
      <w:r>
        <w:rPr>
          <w:snapToGrid w:val="0"/>
        </w:rPr>
        <w:tab/>
        <w:t>may be granted under subsection (5) for all or some of the clearing applied for; and</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 and</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lastRenderedPageBreak/>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(10A)</w:t>
      </w:r>
      <w:r>
        <w:tab/>
        <w:t xml:space="preserve">The CEO must publish notice of — </w:t>
      </w:r>
    </w:p>
    <w:p>
      <w:pPr>
        <w:pStyle w:val="Indenta"/>
      </w:pPr>
      <w:r>
        <w:tab/>
        <w:t>(a)</w:t>
      </w:r>
      <w:r>
        <w:tab/>
        <w:t>the grant of a clearing permit; or</w:t>
      </w:r>
    </w:p>
    <w:p>
      <w:pPr>
        <w:pStyle w:val="Indenta"/>
      </w:pPr>
      <w:r>
        <w:tab/>
        <w:t>(b)</w:t>
      </w:r>
      <w:r>
        <w:tab/>
        <w:t>a refusal to grant a clearing permit.</w:t>
      </w:r>
    </w:p>
    <w:p>
      <w:pPr>
        <w:pStyle w:val="Subsection"/>
      </w:pPr>
      <w:r>
        <w:tab/>
        <w:t>(11)</w:t>
      </w:r>
      <w:r>
        <w:tab/>
        <w:t>A reference in subsection (5), (5A), (6), (7)(a) or (10A)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No. 54 of 2003 s. 110(1); amended: No. 40 of 2020 s. 45.]</w:t>
      </w:r>
    </w:p>
    <w:p>
      <w:pPr>
        <w:pStyle w:val="Heading5"/>
      </w:pPr>
      <w:bookmarkStart w:id="118" w:name="_Toc199511886"/>
      <w:r>
        <w:rPr>
          <w:rStyle w:val="CharSectno"/>
        </w:rPr>
        <w:t>51F</w:t>
      </w:r>
      <w:r>
        <w:t>.</w:t>
      </w:r>
      <w:r>
        <w:tab/>
        <w:t>Effect of referred proposal on decisions about clearing</w:t>
      </w:r>
      <w:bookmarkEnd w:id="118"/>
    </w:p>
    <w:p>
      <w:pPr>
        <w:pStyle w:val="Subsection"/>
      </w:pPr>
      <w:r>
        <w:tab/>
        <w:t>(1)</w:t>
      </w:r>
      <w:r>
        <w:tab/>
        <w:t xml:space="preserve">In this section — </w:t>
      </w:r>
    </w:p>
    <w:p>
      <w:pPr>
        <w:pStyle w:val="Defstart"/>
      </w:pPr>
      <w:r>
        <w:tab/>
      </w:r>
      <w:r>
        <w:rPr>
          <w:rStyle w:val="CharDefText"/>
        </w:rPr>
        <w:t>clearing decision</w:t>
      </w:r>
      <w:r>
        <w:t xml:space="preserve"> means — </w:t>
      </w:r>
    </w:p>
    <w:p>
      <w:pPr>
        <w:pStyle w:val="Defpara"/>
      </w:pPr>
      <w:r>
        <w:tab/>
        <w:t>(a)</w:t>
      </w:r>
      <w:r>
        <w:tab/>
        <w:t>a decision under section 51DA(3) as to whether or not a clearing permit is needed for proposed clearing; or</w:t>
      </w:r>
    </w:p>
    <w:p>
      <w:pPr>
        <w:pStyle w:val="Defpara"/>
      </w:pPr>
      <w:r>
        <w:tab/>
        <w:t>(b)</w:t>
      </w:r>
      <w:r>
        <w:tab/>
        <w:t>a decision under section 51E(5) to grant or refuse to grant a clearing permit for proposed clearing.</w:t>
      </w:r>
    </w:p>
    <w:p>
      <w:pPr>
        <w:pStyle w:val="Subsection"/>
      </w:pPr>
      <w:r>
        <w:tab/>
        <w:t>(2)</w:t>
      </w:r>
      <w:r>
        <w:tab/>
        <w:t>For the purposes of this section, proposed clearing is related to a referred proposal if the clearing, while not part of the referred proposal, is connected or associated with it in such a way that the clearing would not need to be done if the implementation of the referred proposal did not proceed.</w:t>
      </w:r>
    </w:p>
    <w:p>
      <w:pPr>
        <w:pStyle w:val="Subsection"/>
      </w:pPr>
      <w:r>
        <w:lastRenderedPageBreak/>
        <w:tab/>
        <w:t>(3)</w:t>
      </w:r>
      <w:r>
        <w:tab/>
        <w:t xml:space="preserve">Despite subsection (2), clearing that is proposed so that tests, surveys, investigations or other work — </w:t>
      </w:r>
    </w:p>
    <w:p>
      <w:pPr>
        <w:pStyle w:val="Indenta"/>
      </w:pPr>
      <w:r>
        <w:tab/>
        <w:t>(a)</w:t>
      </w:r>
      <w:r>
        <w:tab/>
        <w:t>can be done to comply with a requirement made under section 40(2)(a), (aa) or (b); or</w:t>
      </w:r>
    </w:p>
    <w:p>
      <w:pPr>
        <w:pStyle w:val="Indenta"/>
      </w:pPr>
      <w:r>
        <w:tab/>
        <w:t>(b)</w:t>
      </w:r>
      <w:r>
        <w:tab/>
        <w:t>can be done under section 40(2a),</w:t>
      </w:r>
    </w:p>
    <w:p>
      <w:pPr>
        <w:pStyle w:val="Subsection"/>
      </w:pPr>
      <w:r>
        <w:tab/>
      </w:r>
      <w:r>
        <w:tab/>
        <w:t>for the purposes of assessing a referred proposal is not related to the referred proposal for the purposes of this section.</w:t>
      </w:r>
    </w:p>
    <w:p>
      <w:pPr>
        <w:pStyle w:val="Subsection"/>
      </w:pPr>
      <w:r>
        <w:tab/>
        <w:t>(4)</w:t>
      </w:r>
      <w:r>
        <w:tab/>
        <w:t>While any decision</w:t>
      </w:r>
      <w:r>
        <w:noBreakHyphen/>
        <w:t>making authority is precluded by section 41 from making a decision that could have the effect of causing or allowing a referred proposal to be implemented, the CEO must not make a clearing decision concerning proposed clearing that is related to the referred proposal.</w:t>
      </w:r>
    </w:p>
    <w:p>
      <w:pPr>
        <w:pStyle w:val="Subsection"/>
        <w:keepLines/>
      </w:pPr>
      <w:r>
        <w:tab/>
        <w:t>(5)</w:t>
      </w:r>
      <w:r>
        <w:tab/>
        <w:t>The CEO must not make a clearing decision concerning proposed clearing that is related to a referred proposal if the decision is contrary to, or otherwise than in accordance with, a Ministerial statement.</w:t>
      </w:r>
    </w:p>
    <w:p>
      <w:pPr>
        <w:pStyle w:val="Subsection"/>
      </w:pPr>
      <w:r>
        <w:tab/>
        <w:t>(6)</w:t>
      </w:r>
      <w:r>
        <w:tab/>
        <w:t>Subsections (4) and (5) do not apply if the proposed clearing is for the purpose of doing minor or preliminary work to which the Authority has consented under section 41A(3).</w:t>
      </w:r>
    </w:p>
    <w:p>
      <w:pPr>
        <w:pStyle w:val="Subsection"/>
      </w:pPr>
      <w:r>
        <w:tab/>
        <w:t>(7)</w:t>
      </w:r>
      <w:r>
        <w:tab/>
        <w:t>If a decision</w:t>
      </w:r>
      <w:r>
        <w:noBreakHyphen/>
        <w:t>making authority makes a decision that has the effect of preventing the implementation of a proposal to which proposed clearing is related, the CEO does not have to make a clearing decision concerning the proposed clearing while the decision</w:t>
      </w:r>
      <w:r>
        <w:noBreakHyphen/>
        <w:t>making authority’s decision has effect.</w:t>
      </w:r>
    </w:p>
    <w:p>
      <w:pPr>
        <w:pStyle w:val="Footnotesection"/>
      </w:pPr>
      <w:r>
        <w:tab/>
        <w:t>[Section 51F inserted: No. 40 of 2020 s. 46.]</w:t>
      </w:r>
    </w:p>
    <w:p>
      <w:pPr>
        <w:pStyle w:val="Heading5"/>
      </w:pPr>
      <w:bookmarkStart w:id="119" w:name="_Toc199511887"/>
      <w:r>
        <w:rPr>
          <w:rStyle w:val="CharSectno"/>
        </w:rPr>
        <w:t>51G</w:t>
      </w:r>
      <w:r>
        <w:t>.</w:t>
      </w:r>
      <w:r>
        <w:tab/>
        <w:t>Duration of clearing permits</w:t>
      </w:r>
      <w:bookmarkEnd w:id="119"/>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lastRenderedPageBreak/>
        <w:tab/>
        <w:t>(b)</w:t>
      </w:r>
      <w:r>
        <w:rPr>
          <w:snapToGrid w:val="0"/>
        </w:rPr>
        <w:tab/>
      </w:r>
      <w:r>
        <w:t>if it is</w:t>
      </w:r>
      <w:r>
        <w:rPr>
          <w:snapToGrid w:val="0"/>
        </w:rPr>
        <w:t xml:space="preserve"> a purpose permit, </w:t>
      </w:r>
      <w:r>
        <w:t>for 5 years,</w:t>
      </w:r>
    </w:p>
    <w:p>
      <w:pPr>
        <w:pStyle w:val="Subsection"/>
        <w:spacing w:before="120"/>
      </w:pPr>
      <w:r>
        <w:tab/>
      </w:r>
      <w:r>
        <w:tab/>
        <w:t>from the date on which it is granted unless another period is specified in the permit.</w:t>
      </w:r>
    </w:p>
    <w:p>
      <w:pPr>
        <w:pStyle w:val="Footnotesection"/>
        <w:spacing w:before="100"/>
      </w:pPr>
      <w:r>
        <w:tab/>
        <w:t>[Section 51G inserted: No. 54 of 2003 s. 110(1).]</w:t>
      </w:r>
    </w:p>
    <w:p>
      <w:pPr>
        <w:pStyle w:val="Heading5"/>
        <w:rPr>
          <w:snapToGrid w:val="0"/>
        </w:rPr>
      </w:pPr>
      <w:bookmarkStart w:id="120" w:name="_Toc199511888"/>
      <w:r>
        <w:rPr>
          <w:rStyle w:val="CharSectno"/>
        </w:rPr>
        <w:t>51H</w:t>
      </w:r>
      <w:r>
        <w:t>.</w:t>
      </w:r>
      <w:r>
        <w:tab/>
        <w:t>Clearing</w:t>
      </w:r>
      <w:r>
        <w:rPr>
          <w:snapToGrid w:val="0"/>
        </w:rPr>
        <w:t xml:space="preserve"> permit conditions</w:t>
      </w:r>
      <w:bookmarkEnd w:id="120"/>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directly or indirectly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keepNext/>
      </w:pPr>
      <w:r>
        <w:tab/>
        <w:t>(3)</w:t>
      </w:r>
      <w:r>
        <w:tab/>
        <w:t>The CEO is not to attach —</w:t>
      </w:r>
    </w:p>
    <w:p>
      <w:pPr>
        <w:pStyle w:val="Indenta"/>
        <w:spacing w:before="60"/>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spacing w:before="60"/>
      </w:pPr>
      <w:r>
        <w:tab/>
        <w:t>(b)</w:t>
      </w:r>
      <w:r>
        <w:tab/>
        <w:t>subject to section </w:t>
      </w:r>
      <w:r>
        <w:rPr>
          <w:snapToGrid w:val="0"/>
        </w:rPr>
        <w:t>51P,</w:t>
      </w:r>
      <w:r>
        <w:t xml:space="preserve"> a condition that would be inconsistent with an approved policy.</w:t>
      </w:r>
    </w:p>
    <w:p>
      <w:pPr>
        <w:pStyle w:val="Footnotesection"/>
        <w:spacing w:before="100"/>
      </w:pPr>
      <w:r>
        <w:tab/>
        <w:t>[Section 51H inserted: No. 54 of 2003 s. 110(1); amended: No. 40 of 2020 s. 47.]</w:t>
      </w:r>
    </w:p>
    <w:p>
      <w:pPr>
        <w:pStyle w:val="Heading5"/>
      </w:pPr>
      <w:bookmarkStart w:id="121" w:name="_Toc199511889"/>
      <w:r>
        <w:rPr>
          <w:rStyle w:val="CharSectno"/>
        </w:rPr>
        <w:t>51I</w:t>
      </w:r>
      <w:r>
        <w:t>.</w:t>
      </w:r>
      <w:r>
        <w:tab/>
        <w:t>Some kinds of conditions</w:t>
      </w:r>
      <w:bookmarkEnd w:id="121"/>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spacing w:before="60"/>
      </w:pPr>
      <w:r>
        <w:tab/>
        <w:t>(a)</w:t>
      </w:r>
      <w:r>
        <w:tab/>
        <w:t>take specified measures for the purpose of —</w:t>
      </w:r>
    </w:p>
    <w:p>
      <w:pPr>
        <w:pStyle w:val="Indenti"/>
        <w:spacing w:before="60"/>
      </w:pPr>
      <w:r>
        <w:lastRenderedPageBreak/>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other land in order to directly or indirectly offset the loss of the cleared vegetation;</w:t>
      </w:r>
    </w:p>
    <w:p>
      <w:pPr>
        <w:pStyle w:val="Indenta"/>
      </w:pPr>
      <w:r>
        <w:tab/>
        <w:t>(c)</w:t>
      </w:r>
      <w:r>
        <w:tab/>
        <w:t>contribute moneys to be used for the purpose of establishing or maintaining vegetation on other land;</w:t>
      </w:r>
    </w:p>
    <w:p>
      <w:pPr>
        <w:pStyle w:val="Indenta"/>
      </w:pPr>
      <w:r>
        <w:tab/>
        <w:t>(ca)</w:t>
      </w:r>
      <w:r>
        <w:tab/>
        <w:t>give an environmental undertaking in relation to specified other land;</w:t>
      </w:r>
    </w:p>
    <w:p>
      <w:pPr>
        <w:pStyle w:val="Indenta"/>
      </w:pPr>
      <w:r>
        <w:tab/>
        <w:t>(cb)</w:t>
      </w:r>
      <w:r>
        <w:tab/>
        <w:t>arrange for an environmental protection covenant to be given by a specified person other than the permit holder in relation to specified other land;</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lastRenderedPageBreak/>
        <w:tab/>
        <w:t>(2A)</w:t>
      </w:r>
      <w:r>
        <w:tab/>
        <w:t>If a condition of a clearing permit requires the holder of the permit to give or arrange the giving of an environmental undertaking as referred to in subsection (2)(ca) or (cb), the condition can require that the holder of the permit not cause or allow clearing on any land on which clearing is authorised by the permit until the environmental undertaking is given.</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give</w:t>
      </w:r>
      <w:r>
        <w:t xml:space="preserve"> includes enter into;</w:t>
      </w:r>
    </w:p>
    <w:p>
      <w:pPr>
        <w:pStyle w:val="Defstart"/>
      </w:pPr>
      <w:r>
        <w:tab/>
      </w:r>
      <w:r>
        <w:rPr>
          <w:rStyle w:val="CharDefText"/>
        </w:rPr>
        <w:t>other land</w:t>
      </w:r>
      <w:r>
        <w:t xml:space="preserve"> means land other than land cleared under the clearing permit;</w:t>
      </w:r>
    </w:p>
    <w:p>
      <w:pPr>
        <w:pStyle w:val="Defstart"/>
      </w:pPr>
      <w:r>
        <w:tab/>
      </w:r>
      <w:r>
        <w:rPr>
          <w:rStyle w:val="CharDefText"/>
        </w:rPr>
        <w:t>specified</w:t>
      </w:r>
      <w:r>
        <w:t xml:space="preserve"> means specified by the CEO in the clearing permit concerned.</w:t>
      </w:r>
    </w:p>
    <w:p>
      <w:pPr>
        <w:pStyle w:val="Footnotesection"/>
      </w:pPr>
      <w:r>
        <w:tab/>
        <w:t>[Section 51I inserted: No. 54 of 2003 s. 110(1); amended: No. 40 of 2020 s. 48.]</w:t>
      </w:r>
    </w:p>
    <w:p>
      <w:pPr>
        <w:pStyle w:val="Heading5"/>
        <w:rPr>
          <w:snapToGrid w:val="0"/>
        </w:rPr>
      </w:pPr>
      <w:bookmarkStart w:id="122" w:name="_Toc199511890"/>
      <w:r>
        <w:rPr>
          <w:rStyle w:val="CharSectno"/>
        </w:rPr>
        <w:t>51J</w:t>
      </w:r>
      <w:r>
        <w:t>.</w:t>
      </w:r>
      <w:r>
        <w:tab/>
        <w:t>Contravening clearing</w:t>
      </w:r>
      <w:r>
        <w:rPr>
          <w:snapToGrid w:val="0"/>
        </w:rPr>
        <w:t xml:space="preserve"> permit conditions</w:t>
      </w:r>
      <w:bookmarkEnd w:id="122"/>
    </w:p>
    <w:p>
      <w:pPr>
        <w:pStyle w:val="Subsection"/>
      </w:pPr>
      <w:r>
        <w:tab/>
        <w:t>(1)</w:t>
      </w:r>
      <w:r>
        <w:tab/>
        <w:t>The holder of a clearing permit who contravenes a condition to which the permit is subject commits an offence.</w:t>
      </w:r>
    </w:p>
    <w:p>
      <w:pPr>
        <w:pStyle w:val="Subsection"/>
        <w:keepNext/>
      </w:pPr>
      <w:r>
        <w:tab/>
        <w:t>(2)</w:t>
      </w:r>
      <w:r>
        <w:tab/>
        <w:t xml:space="preserve">If a clearing permit is subject to a condition referred to in section 51I(2)(ca), a reference in this Division to a contravention of a condition includes a reference to a </w:t>
      </w:r>
      <w:r>
        <w:lastRenderedPageBreak/>
        <w:t>contravention of the environmental undertaking given or entered into by the permit holder.</w:t>
      </w:r>
    </w:p>
    <w:p>
      <w:pPr>
        <w:pStyle w:val="Footnotesection"/>
        <w:keepLines w:val="0"/>
      </w:pPr>
      <w:r>
        <w:tab/>
        <w:t>[Section 51J inserted: No. 54 of 2003 s. 110(1); amended: No. 40 of 2020 s. 49.]</w:t>
      </w:r>
    </w:p>
    <w:p>
      <w:pPr>
        <w:pStyle w:val="Heading5"/>
        <w:rPr>
          <w:snapToGrid w:val="0"/>
        </w:rPr>
      </w:pPr>
      <w:bookmarkStart w:id="123" w:name="_Toc199511891"/>
      <w:r>
        <w:rPr>
          <w:rStyle w:val="CharSectno"/>
        </w:rPr>
        <w:t>51K</w:t>
      </w:r>
      <w:r>
        <w:t>.</w:t>
      </w:r>
      <w:r>
        <w:tab/>
        <w:t xml:space="preserve">Amending </w:t>
      </w:r>
      <w:r>
        <w:rPr>
          <w:snapToGrid w:val="0"/>
        </w:rPr>
        <w:t>clearing permit</w:t>
      </w:r>
      <w:bookmarkEnd w:id="123"/>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 or</w:t>
      </w:r>
    </w:p>
    <w:p>
      <w:pPr>
        <w:pStyle w:val="Indenta"/>
      </w:pPr>
      <w:r>
        <w:tab/>
        <w:t>(b)</w:t>
      </w:r>
      <w:r>
        <w:tab/>
        <w:t>subjecting the clearing</w:t>
      </w:r>
      <w:r>
        <w:rPr>
          <w:snapToGrid w:val="0"/>
        </w:rPr>
        <w:t xml:space="preserve"> permit </w:t>
      </w:r>
      <w:r>
        <w:t>to a new condition; or</w:t>
      </w:r>
    </w:p>
    <w:p>
      <w:pPr>
        <w:pStyle w:val="Indenta"/>
      </w:pPr>
      <w:r>
        <w:tab/>
        <w:t>(c)</w:t>
      </w:r>
      <w:r>
        <w:tab/>
        <w:t>in the case of an area permit, redescribing the boundaries of the area that may be cleared under the permit or of land to which a condition referred to in section 51I(2)(b), (ca) or (cb) applies; or</w:t>
      </w:r>
    </w:p>
    <w:p>
      <w:pPr>
        <w:pStyle w:val="Indenta"/>
      </w:pPr>
      <w:r>
        <w:tab/>
        <w:t>(ca)</w:t>
      </w:r>
      <w:r>
        <w:tab/>
        <w:t>in the case of a purpose permit, adding, deleting, modifying or redescribing a purpose for which clearing may be done under the permit; or</w:t>
      </w:r>
    </w:p>
    <w:p>
      <w:pPr>
        <w:pStyle w:val="Indenta"/>
      </w:pPr>
      <w:r>
        <w:tab/>
        <w:t>(d)</w:t>
      </w:r>
      <w:r>
        <w:tab/>
        <w:t>in the case of a purpose permit, redescribing any of the principles or criteria that are to be applied, or the strategies or procedures that are to be followed, in relation to the clearing; or</w:t>
      </w:r>
    </w:p>
    <w:p>
      <w:pPr>
        <w:pStyle w:val="Indenta"/>
        <w:keepNext/>
        <w:keepLines/>
      </w:pPr>
      <w:r>
        <w:tab/>
        <w:t>(e)</w:t>
      </w:r>
      <w:r>
        <w:tab/>
        <w:t>correcting in the clearing</w:t>
      </w:r>
      <w:r>
        <w:rPr>
          <w:snapToGrid w:val="0"/>
        </w:rPr>
        <w:t xml:space="preserve"> permit </w:t>
      </w:r>
      <w:r>
        <w:t>—</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(f)</w:t>
      </w:r>
      <w:r>
        <w:tab/>
        <w:t>making an administrative change to the format of the clearing</w:t>
      </w:r>
      <w:r>
        <w:rPr>
          <w:snapToGrid w:val="0"/>
        </w:rPr>
        <w:t xml:space="preserve"> permit </w:t>
      </w:r>
      <w:r>
        <w:t>which does not alter the obligations of the permit holder; or</w:t>
      </w:r>
    </w:p>
    <w:p>
      <w:pPr>
        <w:pStyle w:val="Indenta"/>
      </w:pPr>
      <w:r>
        <w:lastRenderedPageBreak/>
        <w:tab/>
        <w:t>(g)</w:t>
      </w:r>
      <w:r>
        <w:tab/>
        <w:t>amending the</w:t>
      </w:r>
      <w:r>
        <w:rPr>
          <w:snapToGrid w:val="0"/>
        </w:rPr>
        <w:t xml:space="preserve"> clearing permit</w:t>
      </w:r>
      <w:r>
        <w:t xml:space="preserve"> in conformity with an approved policy or with an exemption conferred under this Act; or</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 </w:t>
      </w:r>
    </w:p>
    <w:p>
      <w:pPr>
        <w:pStyle w:val="Indenta"/>
      </w:pPr>
      <w:r>
        <w:tab/>
        <w:t>(a)</w:t>
      </w:r>
      <w:r>
        <w:tab/>
        <w:t>on application by the holder of the permit; or</w:t>
      </w:r>
    </w:p>
    <w:p>
      <w:pPr>
        <w:pStyle w:val="Indenta"/>
      </w:pPr>
      <w:r>
        <w:tab/>
        <w:t>(b)</w:t>
      </w:r>
      <w:r>
        <w:tab/>
        <w:t>on the initiative of the CEO.</w:t>
      </w:r>
    </w:p>
    <w:p>
      <w:pPr>
        <w:pStyle w:val="Footnotesection"/>
      </w:pPr>
      <w:r>
        <w:tab/>
        <w:t>[Section 51K inserted: No. 54 of 2003 s. 110(1); amended: No. 40 of 2020 s. 50.]</w:t>
      </w:r>
    </w:p>
    <w:p>
      <w:pPr>
        <w:pStyle w:val="Heading5"/>
      </w:pPr>
      <w:bookmarkStart w:id="124" w:name="_Toc199511892"/>
      <w:r>
        <w:rPr>
          <w:rStyle w:val="CharSectno"/>
        </w:rPr>
        <w:t>51KA</w:t>
      </w:r>
      <w:r>
        <w:t>.</w:t>
      </w:r>
      <w:r>
        <w:tab/>
        <w:t>Application to amend clearing permit</w:t>
      </w:r>
      <w:bookmarkEnd w:id="124"/>
    </w:p>
    <w:p>
      <w:pPr>
        <w:pStyle w:val="Subsection"/>
      </w:pPr>
      <w:r>
        <w:tab/>
        <w:t>(1)</w:t>
      </w:r>
      <w:r>
        <w:tab/>
        <w:t>An application under section 51K(2)(a) for an amendment to a clearing permit must —</w:t>
      </w:r>
    </w:p>
    <w:p>
      <w:pPr>
        <w:pStyle w:val="Indenta"/>
      </w:pPr>
      <w:r>
        <w:tab/>
        <w:t>(a)</w:t>
      </w:r>
      <w:r>
        <w:tab/>
        <w:t>be made in the manner and form approved by the CEO; and</w:t>
      </w:r>
    </w:p>
    <w:p>
      <w:pPr>
        <w:pStyle w:val="Indenta"/>
        <w:keepNext/>
      </w:pPr>
      <w:r>
        <w:tab/>
        <w:t>(b)</w:t>
      </w:r>
      <w:r>
        <w:tab/>
        <w:t>be accompanied by the fee prescribed by or determined under the regulations; and</w:t>
      </w:r>
    </w:p>
    <w:p>
      <w:pPr>
        <w:pStyle w:val="Indenta"/>
      </w:pPr>
      <w:r>
        <w:tab/>
        <w:t>(c)</w:t>
      </w:r>
      <w:r>
        <w:tab/>
        <w:t>contain or be accompanied by any information required as indicated in the form or in material accompanying the form.</w:t>
      </w:r>
    </w:p>
    <w:p>
      <w:pPr>
        <w:pStyle w:val="Subsection"/>
      </w:pPr>
      <w:r>
        <w:tab/>
        <w:t>(2)</w:t>
      </w:r>
      <w:r>
        <w:tab/>
        <w:t>If the CEO requires further information to determine the application, the CEO may, by written notice given to the applicant, require the applicant to give the CEO further specified information within a specified time.</w:t>
      </w:r>
    </w:p>
    <w:p>
      <w:pPr>
        <w:pStyle w:val="Subsection"/>
      </w:pPr>
      <w:r>
        <w:tab/>
        <w:t>(3)</w:t>
      </w:r>
      <w:r>
        <w:tab/>
        <w:t xml:space="preserve">If an application for an amendment to a clearing permit does not comply with subsection (1), or further information is not provided in accordance with subsection (2), the CEO must decline to deal with the application and advise the applicant accordingly. </w:t>
      </w:r>
    </w:p>
    <w:p>
      <w:pPr>
        <w:pStyle w:val="Subsection"/>
      </w:pPr>
      <w:r>
        <w:lastRenderedPageBreak/>
        <w:tab/>
        <w:t>(4)</w:t>
      </w:r>
      <w:r>
        <w:tab/>
        <w:t>On an application under section 51K(2)(a) for an amendment to a clearing permit the CEO must, subject to this Division —</w:t>
      </w:r>
    </w:p>
    <w:p>
      <w:pPr>
        <w:pStyle w:val="Indenta"/>
      </w:pPr>
      <w:r>
        <w:tab/>
        <w:t>(a)</w:t>
      </w:r>
      <w:r>
        <w:tab/>
        <w:t>amend the clearing permit; or</w:t>
      </w:r>
    </w:p>
    <w:p>
      <w:pPr>
        <w:pStyle w:val="Indenta"/>
      </w:pPr>
      <w:r>
        <w:tab/>
        <w:t>(b)</w:t>
      </w:r>
      <w:r>
        <w:tab/>
        <w:t>refuse to amend the clearing permit.</w:t>
      </w:r>
    </w:p>
    <w:p>
      <w:pPr>
        <w:pStyle w:val="Subsection"/>
      </w:pPr>
      <w:r>
        <w:tab/>
        <w:t>(5)</w:t>
      </w:r>
      <w:r>
        <w:tab/>
        <w:t>The CEO must give the applicant written notice of the following actions under this section—</w:t>
      </w:r>
    </w:p>
    <w:p>
      <w:pPr>
        <w:pStyle w:val="Indenta"/>
      </w:pPr>
      <w:r>
        <w:tab/>
        <w:t>(a)</w:t>
      </w:r>
      <w:r>
        <w:tab/>
        <w:t xml:space="preserve">an amendment of a clearing permit; </w:t>
      </w:r>
    </w:p>
    <w:p>
      <w:pPr>
        <w:pStyle w:val="Indenta"/>
      </w:pPr>
      <w:r>
        <w:tab/>
        <w:t>(b)</w:t>
      </w:r>
      <w:r>
        <w:tab/>
        <w:t>a refusal to amend a clearing permit.</w:t>
      </w:r>
    </w:p>
    <w:p>
      <w:pPr>
        <w:pStyle w:val="Subsection"/>
      </w:pPr>
      <w:r>
        <w:tab/>
        <w:t>(6)</w:t>
      </w:r>
      <w:r>
        <w:tab/>
        <w:t>Without limiting subsection (5)(a), notice of an amendment can be given in the form of a revised clearing</w:t>
      </w:r>
      <w:r>
        <w:rPr>
          <w:snapToGrid w:val="0"/>
        </w:rPr>
        <w:t xml:space="preserve"> permit</w:t>
      </w:r>
      <w:r>
        <w:t>.</w:t>
      </w:r>
    </w:p>
    <w:p>
      <w:pPr>
        <w:pStyle w:val="Subsection"/>
      </w:pPr>
      <w:r>
        <w:tab/>
        <w:t>(7)</w:t>
      </w:r>
      <w:r>
        <w:tab/>
        <w:t xml:space="preserve">The CEO must publish notice of a decision under this section to — </w:t>
      </w:r>
    </w:p>
    <w:p>
      <w:pPr>
        <w:pStyle w:val="Indenta"/>
      </w:pPr>
      <w:r>
        <w:tab/>
        <w:t>(a)</w:t>
      </w:r>
      <w:r>
        <w:tab/>
        <w:t>amend a clearing permit; or</w:t>
      </w:r>
    </w:p>
    <w:p>
      <w:pPr>
        <w:pStyle w:val="Indenta"/>
      </w:pPr>
      <w:r>
        <w:tab/>
        <w:t>(b)</w:t>
      </w:r>
      <w:r>
        <w:tab/>
        <w:t>refuse to amend a clearing permit.</w:t>
      </w:r>
    </w:p>
    <w:p>
      <w:pPr>
        <w:pStyle w:val="Footnotesection"/>
      </w:pPr>
      <w:r>
        <w:tab/>
        <w:t>[Section 51KA inserted: No. 40 of 2020 s. 51.]</w:t>
      </w:r>
    </w:p>
    <w:p>
      <w:pPr>
        <w:pStyle w:val="Heading5"/>
      </w:pPr>
      <w:bookmarkStart w:id="125" w:name="_Toc199511893"/>
      <w:r>
        <w:rPr>
          <w:rStyle w:val="CharSectno"/>
        </w:rPr>
        <w:t>51KB</w:t>
      </w:r>
      <w:r>
        <w:t>.</w:t>
      </w:r>
      <w:r>
        <w:tab/>
        <w:t>Effect of referred proposal on application to amend clearing permit</w:t>
      </w:r>
      <w:bookmarkEnd w:id="125"/>
    </w:p>
    <w:p>
      <w:pPr>
        <w:pStyle w:val="Subsection"/>
      </w:pPr>
      <w:r>
        <w:tab/>
        <w:t>(1)</w:t>
      </w:r>
      <w:r>
        <w:tab/>
        <w:t xml:space="preserve">For the purposes of this section, an amendment of a clearing permit (a </w:t>
      </w:r>
      <w:r>
        <w:rPr>
          <w:rStyle w:val="CharDefText"/>
        </w:rPr>
        <w:t>proposed amendment</w:t>
      </w:r>
      <w:r>
        <w:t>) is related to a referred proposal if the proposed amendment is connected or associated with the referred proposal in such a way that the proposed amendment would not need to be made if the implementation of the referred proposal did not proceed.</w:t>
      </w:r>
    </w:p>
    <w:p>
      <w:pPr>
        <w:pStyle w:val="Subsection"/>
      </w:pPr>
      <w:r>
        <w:tab/>
        <w:t>(2)</w:t>
      </w:r>
      <w:r>
        <w:tab/>
        <w:t>While any decision</w:t>
      </w:r>
      <w:r>
        <w:noBreakHyphen/>
        <w:t>making authority is precluded by section 41 from making a decision in relation to a referred proposal, the CEO must not make a proposed amendment that is related to the referred proposal.</w:t>
      </w:r>
    </w:p>
    <w:p>
      <w:pPr>
        <w:pStyle w:val="Subsection"/>
      </w:pPr>
      <w:r>
        <w:tab/>
        <w:t>(3)</w:t>
      </w:r>
      <w:r>
        <w:tab/>
        <w:t>The CEO must not make a proposed amendment that is related to a referred proposal if the proposed amendment is contrary to, or otherwise than in accordance with, a Ministerial statement.</w:t>
      </w:r>
    </w:p>
    <w:p>
      <w:pPr>
        <w:pStyle w:val="Subsection"/>
      </w:pPr>
      <w:r>
        <w:lastRenderedPageBreak/>
        <w:tab/>
        <w:t>(4)</w:t>
      </w:r>
      <w:r>
        <w:tab/>
        <w:t>If a decision</w:t>
      </w:r>
      <w:r>
        <w:noBreakHyphen/>
        <w:t>making authority makes a decision that has the effect of preventing the implementation of a referred proposal to which a proposed amendment is related, the CEO does not have to make a decision as to the proposed amendment while the decision</w:t>
      </w:r>
      <w:r>
        <w:noBreakHyphen/>
        <w:t>making authority’s decision has effect.</w:t>
      </w:r>
    </w:p>
    <w:p>
      <w:pPr>
        <w:pStyle w:val="Footnotesection"/>
      </w:pPr>
      <w:r>
        <w:tab/>
        <w:t>[Section 51KB inserted: No. 40 of 2020 s. 51.]</w:t>
      </w:r>
    </w:p>
    <w:p>
      <w:pPr>
        <w:pStyle w:val="Heading5"/>
        <w:spacing w:before="240"/>
      </w:pPr>
      <w:bookmarkStart w:id="126" w:name="_Toc199511894"/>
      <w:r>
        <w:rPr>
          <w:rStyle w:val="CharSectno"/>
        </w:rPr>
        <w:t>51L</w:t>
      </w:r>
      <w:r>
        <w:t>.</w:t>
      </w:r>
      <w:r>
        <w:tab/>
        <w:t>Revoking or suspending clearing</w:t>
      </w:r>
      <w:r>
        <w:rPr>
          <w:snapToGrid w:val="0"/>
        </w:rPr>
        <w:t xml:space="preserve"> permit</w:t>
      </w:r>
      <w:bookmarkEnd w:id="126"/>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contravention of any of the conditions to which the clearing</w:t>
      </w:r>
      <w:r>
        <w:rPr>
          <w:snapToGrid w:val="0"/>
        </w:rPr>
        <w:t xml:space="preserve"> permit </w:t>
      </w:r>
      <w:r>
        <w:t>is subject; or</w:t>
      </w:r>
    </w:p>
    <w:p>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pPr>
        <w:pStyle w:val="Indenta"/>
        <w:spacing w:before="60"/>
      </w:pPr>
      <w:r>
        <w:tab/>
        <w:t>(c)</w:t>
      </w:r>
      <w:r>
        <w:tab/>
        <w:t>information contained in or supporting the application was false or misleading in a material respect.</w:t>
      </w:r>
    </w:p>
    <w:p>
      <w:pPr>
        <w:pStyle w:val="Ednotepara"/>
        <w:spacing w:before="80"/>
      </w:pPr>
      <w:r>
        <w:tab/>
        <w:t>[(d)</w:t>
      </w:r>
      <w:r>
        <w:tab/>
        <w:t>deleted]</w:t>
      </w:r>
    </w:p>
    <w:p>
      <w:pPr>
        <w:pStyle w:val="Footnotesection"/>
        <w:ind w:left="890" w:hanging="890"/>
      </w:pPr>
      <w:r>
        <w:tab/>
        <w:t>[Section 51L inserted: No. 54 of 2003 s. 110(1); amended: No. 40 of 2020 s. 52.]</w:t>
      </w:r>
    </w:p>
    <w:p>
      <w:pPr>
        <w:pStyle w:val="Heading5"/>
        <w:spacing w:before="240"/>
      </w:pPr>
      <w:bookmarkStart w:id="127" w:name="_Toc199511895"/>
      <w:r>
        <w:rPr>
          <w:rStyle w:val="CharSectno"/>
        </w:rPr>
        <w:t>51M</w:t>
      </w:r>
      <w:r>
        <w:t>.</w:t>
      </w:r>
      <w:r>
        <w:tab/>
        <w:t>Procedure for CEO when amending, revoking or suspending clearing permit</w:t>
      </w:r>
      <w:bookmarkEnd w:id="127"/>
    </w:p>
    <w:p>
      <w:pPr>
        <w:pStyle w:val="Subsection"/>
      </w:pPr>
      <w:r>
        <w:tab/>
        <w:t>(1)</w:t>
      </w:r>
      <w:r>
        <w:tab/>
        <w:t>This section applies to the amendment of a clearing permit under section 51K(2)(b), or the revocation or suspension of a clearing permit under section 51L(1).</w:t>
      </w:r>
    </w:p>
    <w:p>
      <w:pPr>
        <w:pStyle w:val="Subsection"/>
      </w:pPr>
      <w:r>
        <w:tab/>
        <w:t>(2)</w:t>
      </w:r>
      <w:r>
        <w:tab/>
        <w:t xml:space="preserve">Before amending, revoking or suspending a clearing permit (the </w:t>
      </w:r>
      <w:r>
        <w:rPr>
          <w:rStyle w:val="CharDefText"/>
        </w:rPr>
        <w:t>proposed action</w:t>
      </w:r>
      <w:r>
        <w:t>) the CEO must give the holder of the permit a written notice under this subsection.</w:t>
      </w:r>
    </w:p>
    <w:p>
      <w:pPr>
        <w:pStyle w:val="Subsection"/>
        <w:spacing w:before="120"/>
      </w:pPr>
      <w:r>
        <w:lastRenderedPageBreak/>
        <w:tab/>
        <w:t>(3)</w:t>
      </w:r>
      <w:r>
        <w:tab/>
        <w:t xml:space="preserve">The notice must — </w:t>
      </w:r>
    </w:p>
    <w:p>
      <w:pPr>
        <w:pStyle w:val="Indenta"/>
        <w:spacing w:before="60"/>
      </w:pPr>
      <w:r>
        <w:tab/>
        <w:t>(a)</w:t>
      </w:r>
      <w:r>
        <w:tab/>
        <w:t>state details of the proposed action; and</w:t>
      </w:r>
    </w:p>
    <w:p>
      <w:pPr>
        <w:pStyle w:val="Indenta"/>
        <w:spacing w:before="60"/>
      </w:pPr>
      <w:r>
        <w:tab/>
        <w:t>(b)</w:t>
      </w:r>
      <w:r>
        <w:tab/>
        <w:t>invite the holder to make representations to the CEO to show why the action should not be taken; and</w:t>
      </w:r>
    </w:p>
    <w:p>
      <w:pPr>
        <w:pStyle w:val="Indenta"/>
        <w:spacing w:before="60"/>
      </w:pPr>
      <w:r>
        <w:tab/>
        <w:t>(c)</w:t>
      </w:r>
      <w:r>
        <w:tab/>
        <w:t>state the period (at least 28 days after the notice is given to the holder) within which representations may be made.</w:t>
      </w:r>
    </w:p>
    <w:p>
      <w:pPr>
        <w:pStyle w:val="Subsection"/>
        <w:spacing w:before="120"/>
      </w:pPr>
      <w:r>
        <w:tab/>
        <w:t>(4)</w:t>
      </w:r>
      <w:r>
        <w:tab/>
        <w:t>The representations must be made in writing.</w:t>
      </w:r>
    </w:p>
    <w:p>
      <w:pPr>
        <w:pStyle w:val="Subsection"/>
        <w:keepNext/>
        <w:spacing w:before="120"/>
      </w:pPr>
      <w:r>
        <w:tab/>
        <w:t>(5)</w:t>
      </w:r>
      <w:r>
        <w:tab/>
        <w:t>Subject to subsection (8), the CEO may take the proposed action —</w:t>
      </w:r>
    </w:p>
    <w:p>
      <w:pPr>
        <w:pStyle w:val="Indenta"/>
        <w:spacing w:before="60"/>
      </w:pPr>
      <w:r>
        <w:tab/>
        <w:t>(a)</w:t>
      </w:r>
      <w:r>
        <w:tab/>
        <w:t>at any time after the holder of the clearing</w:t>
      </w:r>
      <w:r>
        <w:rPr>
          <w:snapToGrid w:val="0"/>
        </w:rPr>
        <w:t xml:space="preserve"> permit advises </w:t>
      </w:r>
      <w:r>
        <w:t>the CEO in writing that the holder does not intend to make any representations or any further representations; or</w:t>
      </w:r>
    </w:p>
    <w:p>
      <w:pPr>
        <w:pStyle w:val="Indenta"/>
      </w:pPr>
      <w:r>
        <w:tab/>
        <w:t>(b)</w:t>
      </w:r>
      <w:r>
        <w:tab/>
        <w:t xml:space="preserve">if such </w:t>
      </w:r>
      <w:r>
        <w:rPr>
          <w:snapToGrid w:val="0"/>
        </w:rPr>
        <w:t>advice</w:t>
      </w:r>
      <w:r>
        <w:t xml:space="preserve"> is not given, after the end of the period stated in the notice within which representations may be made.</w:t>
      </w:r>
    </w:p>
    <w:p>
      <w:pPr>
        <w:pStyle w:val="Subsection"/>
      </w:pPr>
      <w:r>
        <w:tab/>
        <w:t>(6)</w:t>
      </w:r>
      <w:r>
        <w:tab/>
        <w:t>The CEO must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lastRenderedPageBreak/>
        <w:tab/>
        <w:t>(8)</w:t>
      </w:r>
      <w:r>
        <w:tab/>
        <w:t>Subsections (1) to (7) do not apply to anything done by the CEO under section 110(1) to give effect to a decision of the Minister under section 107(2) or 109(3) on an appeal.</w:t>
      </w:r>
    </w:p>
    <w:p>
      <w:pPr>
        <w:pStyle w:val="Ednotesubsection"/>
      </w:pPr>
      <w:r>
        <w:tab/>
        <w:t>[(9)</w:t>
      </w:r>
      <w:r>
        <w:tab/>
        <w:t>deleted]</w:t>
      </w:r>
    </w:p>
    <w:p>
      <w:pPr>
        <w:pStyle w:val="Subsection"/>
      </w:pPr>
      <w:r>
        <w:tab/>
        <w:t>(10)</w:t>
      </w:r>
      <w:r>
        <w:tab/>
        <w:t>The CEO must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Subsection"/>
      </w:pPr>
      <w:r>
        <w:tab/>
        <w:t>(12)</w:t>
      </w:r>
      <w:r>
        <w:tab/>
        <w:t>The CEO must publish notice of the amendment, revocation or suspension of a clearing permit.</w:t>
      </w:r>
    </w:p>
    <w:p>
      <w:pPr>
        <w:pStyle w:val="Footnotesection"/>
      </w:pPr>
      <w:r>
        <w:tab/>
        <w:t>[Section 51M inserted: No. 54 of 2003 s. 110(1); amended: No. 40 of 2020 s. 53.]</w:t>
      </w:r>
    </w:p>
    <w:p>
      <w:pPr>
        <w:pStyle w:val="Heading5"/>
      </w:pPr>
      <w:bookmarkStart w:id="128" w:name="_Toc199511896"/>
      <w:r>
        <w:rPr>
          <w:rStyle w:val="CharSectno"/>
        </w:rPr>
        <w:t>51MA</w:t>
      </w:r>
      <w:r>
        <w:t>.</w:t>
      </w:r>
      <w:r>
        <w:tab/>
        <w:t>Surrendering clearing permit</w:t>
      </w:r>
      <w:bookmarkEnd w:id="128"/>
    </w:p>
    <w:p>
      <w:pPr>
        <w:pStyle w:val="Subsection"/>
      </w:pPr>
      <w:r>
        <w:tab/>
        <w:t>(1)</w:t>
      </w:r>
      <w:r>
        <w:tab/>
        <w:t>The holder of a clearing permit may apply to the CEO to surrender the permit.</w:t>
      </w:r>
    </w:p>
    <w:p>
      <w:pPr>
        <w:pStyle w:val="Subsection"/>
      </w:pPr>
      <w:r>
        <w:tab/>
        <w:t>(2)</w:t>
      </w:r>
      <w:r>
        <w:tab/>
        <w:t>An application to surrender a clearing permit must —</w:t>
      </w:r>
    </w:p>
    <w:p>
      <w:pPr>
        <w:pStyle w:val="Indenta"/>
      </w:pPr>
      <w:r>
        <w:tab/>
        <w:t>(a)</w:t>
      </w:r>
      <w:r>
        <w:tab/>
        <w:t>be made in the form and in the manner approved by the CEO; and</w:t>
      </w:r>
    </w:p>
    <w:p>
      <w:pPr>
        <w:pStyle w:val="Indenta"/>
      </w:pPr>
      <w:r>
        <w:tab/>
        <w:t>(b)</w:t>
      </w:r>
      <w:r>
        <w:tab/>
        <w:t>contain or be accompanied by any information required as indicated in the form or in material accompanying the form; and</w:t>
      </w:r>
    </w:p>
    <w:p>
      <w:pPr>
        <w:pStyle w:val="Indenta"/>
      </w:pPr>
      <w:r>
        <w:tab/>
        <w:t>(c)</w:t>
      </w:r>
      <w:r>
        <w:tab/>
        <w:t>be accompanied by the fee prescribed by or determined under the regulations.</w:t>
      </w:r>
    </w:p>
    <w:p>
      <w:pPr>
        <w:pStyle w:val="Subsection"/>
      </w:pPr>
      <w:r>
        <w:tab/>
        <w:t>(3)</w:t>
      </w:r>
      <w:r>
        <w:tab/>
        <w:t>If the CEO requires further information to determine the application, the CEO may, by written notice given to the applicant, require the applicant to give the CEO further specified information within a specified time.</w:t>
      </w:r>
    </w:p>
    <w:p>
      <w:pPr>
        <w:pStyle w:val="Subsection"/>
      </w:pPr>
      <w:r>
        <w:tab/>
        <w:t>(4)</w:t>
      </w:r>
      <w:r>
        <w:tab/>
        <w:t xml:space="preserve">If the application does not comply with subsection (2), or further information is not provided in accordance with </w:t>
      </w:r>
      <w:r>
        <w:lastRenderedPageBreak/>
        <w:t>subsection (3), the CEO must decline to deal with the application and advise the applicant accordingly.</w:t>
      </w:r>
    </w:p>
    <w:p>
      <w:pPr>
        <w:pStyle w:val="Subsection"/>
      </w:pPr>
      <w:r>
        <w:tab/>
        <w:t>(5)</w:t>
      </w:r>
      <w:r>
        <w:tab/>
        <w:t>If, under subsection (4), the CEO declines to deal with the application, the CEO does not have to perform any function under subsections (6) to (10) in relation to the application.</w:t>
      </w:r>
    </w:p>
    <w:p>
      <w:pPr>
        <w:pStyle w:val="Subsection"/>
      </w:pPr>
      <w:r>
        <w:tab/>
        <w:t>(6)</w:t>
      </w:r>
      <w:r>
        <w:tab/>
        <w:t>The CEO must publish the application.</w:t>
      </w:r>
    </w:p>
    <w:p>
      <w:pPr>
        <w:pStyle w:val="Subsection"/>
      </w:pPr>
      <w:r>
        <w:tab/>
        <w:t>(7)</w:t>
      </w:r>
      <w:r>
        <w:tab/>
        <w:t>The CEO must consider the application and must —</w:t>
      </w:r>
    </w:p>
    <w:p>
      <w:pPr>
        <w:pStyle w:val="Indenta"/>
      </w:pPr>
      <w:r>
        <w:tab/>
        <w:t>(a)</w:t>
      </w:r>
      <w:r>
        <w:tab/>
        <w:t>accept the surrender; or</w:t>
      </w:r>
    </w:p>
    <w:p>
      <w:pPr>
        <w:pStyle w:val="Indenta"/>
      </w:pPr>
      <w:r>
        <w:tab/>
        <w:t>(b)</w:t>
      </w:r>
      <w:r>
        <w:tab/>
        <w:t>if not satisfied that the conditions of the clearing permit have been complied with, refuse to accept the surrender.</w:t>
      </w:r>
    </w:p>
    <w:p>
      <w:pPr>
        <w:pStyle w:val="Subsection"/>
      </w:pPr>
      <w:r>
        <w:tab/>
        <w:t>(8)</w:t>
      </w:r>
      <w:r>
        <w:tab/>
        <w:t>The CEO must give the holder of the clearing permit written notice of the CEO’s decision on the application.</w:t>
      </w:r>
    </w:p>
    <w:p>
      <w:pPr>
        <w:pStyle w:val="Subsection"/>
      </w:pPr>
      <w:r>
        <w:tab/>
        <w:t>(9)</w:t>
      </w:r>
      <w:r>
        <w:tab/>
        <w:t>If the CEO accepts the surrender the clearing permit ceases to be in force when the notice under subsection (8) is given.</w:t>
      </w:r>
    </w:p>
    <w:p>
      <w:pPr>
        <w:pStyle w:val="Subsection"/>
      </w:pPr>
      <w:r>
        <w:tab/>
        <w:t>(10)</w:t>
      </w:r>
      <w:r>
        <w:tab/>
        <w:t xml:space="preserve">The CEO must publish notice of — </w:t>
      </w:r>
    </w:p>
    <w:p>
      <w:pPr>
        <w:pStyle w:val="Indenta"/>
      </w:pPr>
      <w:r>
        <w:tab/>
        <w:t>(a)</w:t>
      </w:r>
      <w:r>
        <w:tab/>
        <w:t>acceptance of the surrender; or</w:t>
      </w:r>
    </w:p>
    <w:p>
      <w:pPr>
        <w:pStyle w:val="Indenta"/>
        <w:keepNext/>
      </w:pPr>
      <w:r>
        <w:tab/>
        <w:t>(b)</w:t>
      </w:r>
      <w:r>
        <w:tab/>
        <w:t>refusal to accept the surrender.</w:t>
      </w:r>
    </w:p>
    <w:p>
      <w:pPr>
        <w:pStyle w:val="Footnotesection"/>
      </w:pPr>
      <w:r>
        <w:tab/>
        <w:t>[Section 51MA inserted: No. 40 of 2020 s. 54.]</w:t>
      </w:r>
    </w:p>
    <w:p>
      <w:pPr>
        <w:pStyle w:val="Heading5"/>
      </w:pPr>
      <w:bookmarkStart w:id="129" w:name="_Toc199511897"/>
      <w:r>
        <w:rPr>
          <w:rStyle w:val="CharSectno"/>
        </w:rPr>
        <w:t>51N</w:t>
      </w:r>
      <w:r>
        <w:t>.</w:t>
      </w:r>
      <w:r>
        <w:tab/>
        <w:t>Continuation of area permit on change of ownership</w:t>
      </w:r>
      <w:bookmarkEnd w:id="129"/>
    </w:p>
    <w:p>
      <w:pPr>
        <w:pStyle w:val="Subsection"/>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pPr>
      <w:r>
        <w:lastRenderedPageBreak/>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 No. 54 of 2003 s. 110(1).]</w:t>
      </w:r>
    </w:p>
    <w:p>
      <w:pPr>
        <w:pStyle w:val="Heading5"/>
        <w:rPr>
          <w:snapToGrid w:val="0"/>
        </w:rPr>
      </w:pPr>
      <w:bookmarkStart w:id="130" w:name="_Toc199511898"/>
      <w:r>
        <w:rPr>
          <w:rStyle w:val="CharSectno"/>
        </w:rPr>
        <w:t>51O</w:t>
      </w:r>
      <w:r>
        <w:t>.</w:t>
      </w:r>
      <w:r>
        <w:tab/>
        <w:t>P</w:t>
      </w:r>
      <w:r>
        <w:rPr>
          <w:snapToGrid w:val="0"/>
        </w:rPr>
        <w:t>rinciples and instruments to be considered when making decisions as to clearing permits</w:t>
      </w:r>
      <w:bookmarkEnd w:id="130"/>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under section 51Q.</w:t>
      </w:r>
    </w:p>
    <w:p>
      <w:pPr>
        <w:pStyle w:val="Subsection"/>
        <w:rPr>
          <w:snapToGrid w:val="0"/>
        </w:rPr>
      </w:pPr>
      <w:r>
        <w:rPr>
          <w:snapToGrid w:val="0"/>
        </w:rPr>
        <w:tab/>
        <w:t>(4)</w:t>
      </w:r>
      <w:r>
        <w:rPr>
          <w:snapToGrid w:val="0"/>
        </w:rPr>
        <w:tab/>
        <w:t xml:space="preserve">In considering a clearing matter the CEO shall have regard to any </w:t>
      </w:r>
      <w:r>
        <w:t xml:space="preserve">development approval, </w:t>
      </w:r>
      <w:r>
        <w:rPr>
          <w:snapToGrid w:val="0"/>
        </w:rPr>
        <w:t>planning instrument</w:t>
      </w:r>
      <w:r>
        <w:t>, or other matter, that the CEO considers relevant</w:t>
      </w:r>
      <w:r>
        <w:rPr>
          <w:snapToGrid w:val="0"/>
        </w:rPr>
        <w:t>.</w:t>
      </w:r>
    </w:p>
    <w:p>
      <w:pPr>
        <w:pStyle w:val="Footnotesection"/>
        <w:spacing w:before="100"/>
      </w:pPr>
      <w:r>
        <w:tab/>
        <w:t>[Section 51O inserted: No. 54 of 2003 s. 110(1); amended: No. 38 of 2005 s. 15; No. 40 of 2020 s. 55.]</w:t>
      </w:r>
    </w:p>
    <w:p>
      <w:pPr>
        <w:pStyle w:val="Heading5"/>
        <w:rPr>
          <w:snapToGrid w:val="0"/>
        </w:rPr>
      </w:pPr>
      <w:bookmarkStart w:id="131" w:name="_Toc199511899"/>
      <w:r>
        <w:rPr>
          <w:rStyle w:val="CharSectno"/>
        </w:rPr>
        <w:lastRenderedPageBreak/>
        <w:t>51P</w:t>
      </w:r>
      <w:r>
        <w:rPr>
          <w:snapToGrid w:val="0"/>
        </w:rPr>
        <w:t>.</w:t>
      </w:r>
      <w:r>
        <w:rPr>
          <w:snapToGrid w:val="0"/>
        </w:rPr>
        <w:tab/>
        <w:t>Relationship between clearing permits and approved policies</w:t>
      </w:r>
      <w:bookmarkEnd w:id="131"/>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Subsection"/>
      </w:pPr>
      <w:r>
        <w:tab/>
        <w:t>(4)</w:t>
      </w:r>
      <w:r>
        <w:tab/>
        <w:t>Without limiting section 51F(5) or 51KB(3), subsection (3) does not authorise the imposition of a condition that is contrary to, or not in accordance with, a Ministerial statement.</w:t>
      </w:r>
    </w:p>
    <w:p>
      <w:pPr>
        <w:pStyle w:val="Footnotesection"/>
      </w:pPr>
      <w:r>
        <w:tab/>
        <w:t>[Section 51P inserted: No. 54 of 2003 s. 110(1); amended: No. 40 of 2020 s. 56.]</w:t>
      </w:r>
    </w:p>
    <w:p>
      <w:pPr>
        <w:pStyle w:val="Heading5"/>
        <w:rPr>
          <w:snapToGrid w:val="0"/>
        </w:rPr>
      </w:pPr>
      <w:bookmarkStart w:id="132" w:name="_Toc199511900"/>
      <w:r>
        <w:rPr>
          <w:rStyle w:val="CharSectno"/>
        </w:rPr>
        <w:lastRenderedPageBreak/>
        <w:t>51Q</w:t>
      </w:r>
      <w:r>
        <w:t>.</w:t>
      </w:r>
      <w:r>
        <w:tab/>
        <w:t>CEO to keep a record of clearing</w:t>
      </w:r>
      <w:r>
        <w:rPr>
          <w:snapToGrid w:val="0"/>
        </w:rPr>
        <w:t xml:space="preserve"> permits and related matters</w:t>
      </w:r>
      <w:bookmarkEnd w:id="132"/>
    </w:p>
    <w:p>
      <w:pPr>
        <w:pStyle w:val="Subsection"/>
      </w:pPr>
      <w:r>
        <w:tab/>
      </w:r>
      <w:r>
        <w:tab/>
        <w:t xml:space="preserve">The CEO must keep a public record of — </w:t>
      </w:r>
    </w:p>
    <w:p>
      <w:pPr>
        <w:pStyle w:val="Indenta"/>
      </w:pPr>
      <w:r>
        <w:tab/>
        <w:t>(a)</w:t>
      </w:r>
      <w:r>
        <w:tab/>
        <w:t>such particulars of the following as are prescribed —</w:t>
      </w:r>
    </w:p>
    <w:p>
      <w:pPr>
        <w:pStyle w:val="Indenti"/>
      </w:pPr>
      <w:r>
        <w:tab/>
        <w:t>(i)</w:t>
      </w:r>
      <w:r>
        <w:tab/>
        <w:t>applications for clearing permits and amendments of clearing permits;</w:t>
      </w:r>
    </w:p>
    <w:p>
      <w:pPr>
        <w:pStyle w:val="Indenti"/>
      </w:pPr>
      <w:r>
        <w:tab/>
        <w:t>(ii)</w:t>
      </w:r>
      <w:r>
        <w:tab/>
        <w:t>clearing permits and amendments of clearing permits;</w:t>
      </w:r>
    </w:p>
    <w:p>
      <w:pPr>
        <w:pStyle w:val="Indenti"/>
      </w:pPr>
      <w:r>
        <w:tab/>
        <w:t>(iii)</w:t>
      </w:r>
      <w:r>
        <w:tab/>
        <w:t>the surrender, suspension and revocation of clearing permits;</w:t>
      </w:r>
    </w:p>
    <w:p>
      <w:pPr>
        <w:pStyle w:val="Indenti"/>
      </w:pPr>
      <w:r>
        <w:tab/>
        <w:t>(iv)</w:t>
      </w:r>
      <w:r>
        <w:tab/>
        <w:t>undertakings mentioned in section 51E(9);</w:t>
      </w:r>
    </w:p>
    <w:p>
      <w:pPr>
        <w:pStyle w:val="Indenti"/>
      </w:pPr>
      <w:r>
        <w:tab/>
        <w:t>(v)</w:t>
      </w:r>
      <w:r>
        <w:tab/>
        <w:t>notifications received under section 51N(1);</w:t>
      </w:r>
    </w:p>
    <w:p>
      <w:pPr>
        <w:pStyle w:val="Indenti"/>
      </w:pPr>
      <w:r>
        <w:tab/>
        <w:t>(vi)</w:t>
      </w:r>
      <w:r>
        <w:tab/>
        <w:t>environmental protection covenants;</w:t>
      </w:r>
    </w:p>
    <w:p>
      <w:pPr>
        <w:pStyle w:val="Indenta"/>
      </w:pPr>
      <w:r>
        <w:tab/>
      </w:r>
      <w:r>
        <w:tab/>
        <w:t>and</w:t>
      </w:r>
    </w:p>
    <w:p>
      <w:pPr>
        <w:pStyle w:val="Indenta"/>
      </w:pPr>
      <w:r>
        <w:tab/>
        <w:t>(b)</w:t>
      </w:r>
      <w:r>
        <w:tab/>
        <w:t>such other information and documents relating to clearing permits as are prescribed.</w:t>
      </w:r>
    </w:p>
    <w:p>
      <w:pPr>
        <w:pStyle w:val="Footnotesection"/>
      </w:pPr>
      <w:r>
        <w:tab/>
        <w:t>[Section 51Q inserted: No. 40 of 2020 s. 57.]</w:t>
      </w:r>
    </w:p>
    <w:p>
      <w:pPr>
        <w:pStyle w:val="Heading5"/>
      </w:pPr>
      <w:bookmarkStart w:id="133" w:name="_Toc199511901"/>
      <w:r>
        <w:rPr>
          <w:rStyle w:val="CharSectno"/>
        </w:rPr>
        <w:t>51R</w:t>
      </w:r>
      <w:r>
        <w:t>.</w:t>
      </w:r>
      <w:r>
        <w:tab/>
        <w:t>Evidentiary matters</w:t>
      </w:r>
      <w:bookmarkEnd w:id="133"/>
    </w:p>
    <w:p>
      <w:pPr>
        <w:pStyle w:val="Ednotesubsection"/>
      </w:pPr>
      <w:r>
        <w:tab/>
        <w:t>[(1), (2)</w:t>
      </w:r>
      <w:r>
        <w:tab/>
        <w:t>deleted]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lastRenderedPageBreak/>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No. 54 of 2003 s. 110(1); amended: No. 84 of 2004 s. 80; No. 40 of 2020 s. 58.]</w:t>
      </w:r>
    </w:p>
    <w:p>
      <w:pPr>
        <w:pStyle w:val="Heading5"/>
      </w:pPr>
      <w:bookmarkStart w:id="134" w:name="_Toc199511902"/>
      <w:r>
        <w:rPr>
          <w:rStyle w:val="CharSectno"/>
        </w:rPr>
        <w:t>51S</w:t>
      </w:r>
      <w:r>
        <w:rPr>
          <w:snapToGrid w:val="0"/>
        </w:rPr>
        <w:t>.</w:t>
      </w:r>
      <w:r>
        <w:rPr>
          <w:snapToGrid w:val="0"/>
        </w:rPr>
        <w:tab/>
      </w:r>
      <w:r>
        <w:t>Clearing injunctions</w:t>
      </w:r>
      <w:bookmarkEnd w:id="134"/>
    </w:p>
    <w:p>
      <w:pPr>
        <w:pStyle w:val="Subsection"/>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lastRenderedPageBreak/>
        <w:tab/>
      </w:r>
      <w:r>
        <w:rPr>
          <w:rStyle w:val="CharDefText"/>
        </w:rPr>
        <w:t>involvement in a contravention</w:t>
      </w:r>
      <w:r>
        <w:t xml:space="preserve"> means —</w:t>
      </w:r>
    </w:p>
    <w:p>
      <w:pPr>
        <w:pStyle w:val="Defpara"/>
      </w:pPr>
      <w:r>
        <w:tab/>
        <w:t>(a)</w:t>
      </w:r>
      <w:r>
        <w:tab/>
        <w:t>aiding, abetting, counselling, or procuring the contravention; or</w:t>
      </w:r>
    </w:p>
    <w:p>
      <w:pPr>
        <w:pStyle w:val="Defpara"/>
      </w:pPr>
      <w:r>
        <w:tab/>
        <w:t>(b)</w:t>
      </w:r>
      <w:r>
        <w:tab/>
        <w:t>inducing the contravention, whether by threats or promises or otherwise; or</w:t>
      </w:r>
    </w:p>
    <w:p>
      <w:pPr>
        <w:pStyle w:val="Defpara"/>
      </w:pPr>
      <w:r>
        <w:tab/>
        <w:t>(c)</w:t>
      </w:r>
      <w:r>
        <w:tab/>
        <w:t>being in any way, directly or indirectly, knowingly concerned in, or party to, the contravention; or</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 or</w:t>
      </w:r>
    </w:p>
    <w:p>
      <w:pPr>
        <w:pStyle w:val="Indenta"/>
      </w:pPr>
      <w:r>
        <w:lastRenderedPageBreak/>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No. 54 of 2003 s. 110(1).]</w:t>
      </w:r>
    </w:p>
    <w:p>
      <w:pPr>
        <w:pStyle w:val="Heading5"/>
      </w:pPr>
      <w:bookmarkStart w:id="135" w:name="_Toc199511903"/>
      <w:r>
        <w:rPr>
          <w:rStyle w:val="CharSectno"/>
        </w:rPr>
        <w:t>51T</w:t>
      </w:r>
      <w:r>
        <w:t>.</w:t>
      </w:r>
      <w:r>
        <w:tab/>
        <w:t>Other laws as to clearing vegetation not affected by this Division</w:t>
      </w:r>
      <w:bookmarkEnd w:id="135"/>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No. 54 of 2003 s. 110(1).]</w:t>
      </w:r>
    </w:p>
    <w:p>
      <w:pPr>
        <w:pStyle w:val="Heading3"/>
      </w:pPr>
      <w:bookmarkStart w:id="136" w:name="_Toc199511904"/>
      <w:r>
        <w:rPr>
          <w:rStyle w:val="CharDivNo"/>
        </w:rPr>
        <w:t>Division 3</w:t>
      </w:r>
      <w:r>
        <w:t xml:space="preserve"> — </w:t>
      </w:r>
      <w:r>
        <w:rPr>
          <w:rStyle w:val="CharDivText"/>
        </w:rPr>
        <w:t>Prescribed premises, works approvals and licences</w:t>
      </w:r>
      <w:bookmarkEnd w:id="136"/>
    </w:p>
    <w:p>
      <w:pPr>
        <w:pStyle w:val="Footnotesection"/>
      </w:pPr>
      <w:r>
        <w:tab/>
        <w:t>[Heading inserted: No. 54 of 2003 s. 39.]</w:t>
      </w:r>
    </w:p>
    <w:p>
      <w:pPr>
        <w:pStyle w:val="Heading5"/>
        <w:rPr>
          <w:snapToGrid w:val="0"/>
        </w:rPr>
      </w:pPr>
      <w:bookmarkStart w:id="137" w:name="_Toc199511905"/>
      <w:r>
        <w:rPr>
          <w:rStyle w:val="CharSectno"/>
        </w:rPr>
        <w:t>52</w:t>
      </w:r>
      <w:r>
        <w:rPr>
          <w:snapToGrid w:val="0"/>
        </w:rPr>
        <w:t>.</w:t>
      </w:r>
      <w:r>
        <w:rPr>
          <w:snapToGrid w:val="0"/>
        </w:rPr>
        <w:tab/>
        <w:t>Changing premises to become prescribed premises requires approval</w:t>
      </w:r>
      <w:bookmarkEnd w:id="137"/>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No. 54 of 2003 s. 70.]</w:t>
      </w:r>
    </w:p>
    <w:p>
      <w:pPr>
        <w:pStyle w:val="Heading5"/>
        <w:rPr>
          <w:snapToGrid w:val="0"/>
        </w:rPr>
      </w:pPr>
      <w:bookmarkStart w:id="138" w:name="_Toc199511906"/>
      <w:r>
        <w:rPr>
          <w:rStyle w:val="CharSectno"/>
        </w:rPr>
        <w:t>53</w:t>
      </w:r>
      <w:r>
        <w:rPr>
          <w:snapToGrid w:val="0"/>
        </w:rPr>
        <w:t>.</w:t>
      </w:r>
      <w:r>
        <w:rPr>
          <w:snapToGrid w:val="0"/>
        </w:rPr>
        <w:tab/>
        <w:t>Prescribed premises, restrictions as to changes to etc.</w:t>
      </w:r>
      <w:bookmarkEnd w:id="138"/>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w:t>
      </w:r>
      <w:r>
        <w:lastRenderedPageBreak/>
        <w:t>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 or</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 or</w:t>
      </w:r>
    </w:p>
    <w:p>
      <w:pPr>
        <w:pStyle w:val="Indenta"/>
        <w:rPr>
          <w:snapToGrid w:val="0"/>
        </w:rPr>
      </w:pPr>
      <w:r>
        <w:rPr>
          <w:snapToGrid w:val="0"/>
        </w:rPr>
        <w:tab/>
        <w:t>(c)</w:t>
      </w:r>
      <w:r>
        <w:rPr>
          <w:snapToGrid w:val="0"/>
        </w:rPr>
        <w:tab/>
        <w:t>alters the type of materials or products used or produced in any trade carried on at the prescribed premises; or</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lastRenderedPageBreak/>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spacing w:before="100"/>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keepNext/>
        <w:spacing w:before="100"/>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spacing w:before="100"/>
        <w:rPr>
          <w:snapToGrid w:val="0"/>
        </w:rPr>
      </w:pPr>
      <w:r>
        <w:rPr>
          <w:snapToGrid w:val="0"/>
        </w:rPr>
        <w:tab/>
        <w:t>(c)</w:t>
      </w:r>
      <w:r>
        <w:rPr>
          <w:snapToGrid w:val="0"/>
        </w:rPr>
        <w:tab/>
        <w:t>in accordance with —</w:t>
      </w:r>
    </w:p>
    <w:p>
      <w:pPr>
        <w:pStyle w:val="Indenti"/>
        <w:spacing w:before="100"/>
        <w:rPr>
          <w:snapToGrid w:val="0"/>
        </w:rPr>
      </w:pPr>
      <w:r>
        <w:rPr>
          <w:snapToGrid w:val="0"/>
        </w:rPr>
        <w:tab/>
        <w:t>(i)</w:t>
      </w:r>
      <w:r>
        <w:rPr>
          <w:snapToGrid w:val="0"/>
        </w:rPr>
        <w:tab/>
        <w:t>a works approval; or</w:t>
      </w:r>
    </w:p>
    <w:p>
      <w:pPr>
        <w:pStyle w:val="Indenti"/>
        <w:spacing w:before="100"/>
        <w:rPr>
          <w:snapToGrid w:val="0"/>
        </w:rPr>
      </w:pPr>
      <w:r>
        <w:rPr>
          <w:snapToGrid w:val="0"/>
        </w:rPr>
        <w:tab/>
        <w:t>(ii)</w:t>
      </w:r>
      <w:r>
        <w:rPr>
          <w:snapToGrid w:val="0"/>
        </w:rPr>
        <w:tab/>
        <w:t>a licence; or</w:t>
      </w:r>
    </w:p>
    <w:p>
      <w:pPr>
        <w:pStyle w:val="Indenti"/>
        <w:spacing w:before="100"/>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spacing w:before="100"/>
        <w:rPr>
          <w:snapToGrid w:val="0"/>
        </w:rPr>
      </w:pPr>
      <w:r>
        <w:rPr>
          <w:snapToGrid w:val="0"/>
        </w:rPr>
        <w:tab/>
      </w:r>
      <w:r>
        <w:rPr>
          <w:snapToGrid w:val="0"/>
        </w:rPr>
        <w:tab/>
        <w:t>as the case requires; or</w:t>
      </w:r>
    </w:p>
    <w:p>
      <w:pPr>
        <w:pStyle w:val="Indenta"/>
        <w:spacing w:before="10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ind w:left="890" w:hanging="890"/>
      </w:pPr>
      <w:r>
        <w:tab/>
        <w:t>[Section 53 amended: No. 54 of 2003 s. 40 and 71.]</w:t>
      </w:r>
    </w:p>
    <w:p>
      <w:pPr>
        <w:pStyle w:val="Heading5"/>
        <w:rPr>
          <w:snapToGrid w:val="0"/>
        </w:rPr>
      </w:pPr>
      <w:bookmarkStart w:id="139" w:name="_Toc199511907"/>
      <w:r>
        <w:rPr>
          <w:rStyle w:val="CharSectno"/>
        </w:rPr>
        <w:lastRenderedPageBreak/>
        <w:t>54</w:t>
      </w:r>
      <w:r>
        <w:rPr>
          <w:snapToGrid w:val="0"/>
        </w:rPr>
        <w:t>.</w:t>
      </w:r>
      <w:r>
        <w:rPr>
          <w:snapToGrid w:val="0"/>
        </w:rPr>
        <w:tab/>
        <w:t>Works approvals, applying for, granting, refusing etc.</w:t>
      </w:r>
      <w:bookmarkEnd w:id="139"/>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spacing w:before="140"/>
      </w:pPr>
      <w:r>
        <w:lastRenderedPageBreak/>
        <w:tab/>
        <w:t>(3a)</w:t>
      </w:r>
      <w:r>
        <w:tab/>
        <w:t>The CEO is to give the applicant</w:t>
      </w:r>
      <w:r>
        <w:rPr>
          <w:snapToGrid w:val="0"/>
        </w:rPr>
        <w:t xml:space="preserve"> </w:t>
      </w:r>
      <w:r>
        <w:t>written notice of the refusal to grant a works approval.</w:t>
      </w:r>
    </w:p>
    <w:p>
      <w:pPr>
        <w:pStyle w:val="Subsection"/>
        <w:spacing w:before="14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spacing w:before="6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60"/>
        <w:rPr>
          <w:snapToGrid w:val="0"/>
        </w:rPr>
      </w:pPr>
      <w:r>
        <w:tab/>
        <w:t>(b)</w:t>
      </w:r>
      <w:r>
        <w:tab/>
        <w:t xml:space="preserve">contrary to, or </w:t>
      </w:r>
      <w:r>
        <w:rPr>
          <w:snapToGrid w:val="0"/>
        </w:rPr>
        <w:t>otherwise than in accordance with, an implementation agreement or decision.</w:t>
      </w:r>
    </w:p>
    <w:p>
      <w:pPr>
        <w:pStyle w:val="Subsection"/>
        <w:spacing w:before="140"/>
      </w:pPr>
      <w:r>
        <w:tab/>
        <w:t>(5A)</w:t>
      </w:r>
      <w:r>
        <w:tab/>
        <w:t>Subsection (4) does not apply if the application is for a works approval for the purpose of doing minor or preliminary work to which the Authority has consented under section 41A(3).</w:t>
      </w:r>
    </w:p>
    <w:p>
      <w:pPr>
        <w:pStyle w:val="Subsection"/>
        <w:spacing w:before="14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spacing w:before="100"/>
      </w:pPr>
      <w:r>
        <w:tab/>
        <w:t>[Section 54 amended: No. 54 of 2003 s. 72 and 140(2); No. 40 of 2010 s. 16.]</w:t>
      </w:r>
    </w:p>
    <w:p>
      <w:pPr>
        <w:pStyle w:val="Heading5"/>
        <w:rPr>
          <w:snapToGrid w:val="0"/>
        </w:rPr>
      </w:pPr>
      <w:bookmarkStart w:id="140" w:name="_Toc199511908"/>
      <w:r>
        <w:rPr>
          <w:rStyle w:val="CharSectno"/>
        </w:rPr>
        <w:t>55</w:t>
      </w:r>
      <w:r>
        <w:rPr>
          <w:snapToGrid w:val="0"/>
        </w:rPr>
        <w:t>.</w:t>
      </w:r>
      <w:r>
        <w:rPr>
          <w:snapToGrid w:val="0"/>
        </w:rPr>
        <w:tab/>
        <w:t>Contravening conditions of works approvals</w:t>
      </w:r>
      <w:bookmarkEnd w:id="140"/>
    </w:p>
    <w:p>
      <w:pPr>
        <w:pStyle w:val="Subsection"/>
        <w:spacing w:before="14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40"/>
        <w:rPr>
          <w:snapToGrid w:val="0"/>
        </w:rPr>
      </w:pPr>
      <w:r>
        <w:rPr>
          <w:snapToGrid w:val="0"/>
        </w:rPr>
        <w:tab/>
        <w:t>(2)</w:t>
      </w:r>
      <w:r>
        <w:rPr>
          <w:snapToGrid w:val="0"/>
        </w:rPr>
        <w:tab/>
        <w:t>If —</w:t>
      </w:r>
    </w:p>
    <w:p>
      <w:pPr>
        <w:pStyle w:val="Indenta"/>
        <w:spacing w:before="60"/>
        <w:rPr>
          <w:snapToGrid w:val="0"/>
        </w:rPr>
      </w:pPr>
      <w:r>
        <w:rPr>
          <w:snapToGrid w:val="0"/>
        </w:rPr>
        <w:tab/>
        <w:t>(a)</w:t>
      </w:r>
      <w:r>
        <w:rPr>
          <w:snapToGrid w:val="0"/>
        </w:rPr>
        <w:tab/>
        <w:t>the relevant premises are shared by a corporation and a subsidiary or subsidiaries of the corporation; and</w:t>
      </w:r>
    </w:p>
    <w:p>
      <w:pPr>
        <w:pStyle w:val="Indenta"/>
        <w:spacing w:before="60"/>
        <w:rPr>
          <w:snapToGrid w:val="0"/>
        </w:rPr>
      </w:pPr>
      <w:r>
        <w:rPr>
          <w:snapToGrid w:val="0"/>
        </w:rPr>
        <w:lastRenderedPageBreak/>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spacing w:before="120"/>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No. 10 of 2001 s. 71; No. 54 of 2003 s. 73.]</w:t>
      </w:r>
    </w:p>
    <w:p>
      <w:pPr>
        <w:pStyle w:val="Heading5"/>
        <w:spacing w:before="240"/>
        <w:rPr>
          <w:snapToGrid w:val="0"/>
        </w:rPr>
      </w:pPr>
      <w:bookmarkStart w:id="141" w:name="_Toc199511909"/>
      <w:r>
        <w:rPr>
          <w:rStyle w:val="CharSectno"/>
        </w:rPr>
        <w:t>56</w:t>
      </w:r>
      <w:r>
        <w:rPr>
          <w:snapToGrid w:val="0"/>
        </w:rPr>
        <w:t>.</w:t>
      </w:r>
      <w:r>
        <w:rPr>
          <w:snapToGrid w:val="0"/>
        </w:rPr>
        <w:tab/>
        <w:t>Occupiers of prescribed premises to be licensed for emissions etc.</w:t>
      </w:r>
      <w:bookmarkEnd w:id="141"/>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2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pPr>
      <w:r>
        <w:lastRenderedPageBreak/>
        <w:tab/>
        <w:t>(a)</w:t>
      </w:r>
      <w:r>
        <w:tab/>
        <w:t>as a result of anything done in accordance with a works approval; and</w:t>
      </w:r>
    </w:p>
    <w:p>
      <w:pPr>
        <w:pStyle w:val="Indenta"/>
        <w:keepNext/>
        <w:keepLines/>
      </w:pPr>
      <w:r>
        <w:tab/>
        <w:t>(b)</w:t>
      </w:r>
      <w:r>
        <w:tab/>
        <w:t>while the works approval is in force.</w:t>
      </w:r>
    </w:p>
    <w:p>
      <w:pPr>
        <w:pStyle w:val="Footnotesection"/>
        <w:ind w:left="890" w:hanging="890"/>
      </w:pPr>
      <w:r>
        <w:tab/>
        <w:t>[Section 56 amended: No. 54 of 2003 s. 41 and 74.]</w:t>
      </w:r>
    </w:p>
    <w:p>
      <w:pPr>
        <w:pStyle w:val="Heading5"/>
        <w:rPr>
          <w:snapToGrid w:val="0"/>
        </w:rPr>
      </w:pPr>
      <w:bookmarkStart w:id="142" w:name="_Toc199511910"/>
      <w:r>
        <w:rPr>
          <w:rStyle w:val="CharSectno"/>
        </w:rPr>
        <w:t>57</w:t>
      </w:r>
      <w:r>
        <w:rPr>
          <w:snapToGrid w:val="0"/>
        </w:rPr>
        <w:t>.</w:t>
      </w:r>
      <w:r>
        <w:rPr>
          <w:snapToGrid w:val="0"/>
        </w:rPr>
        <w:tab/>
        <w:t>Licences, applying for, granting, refusing etc.</w:t>
      </w:r>
      <w:bookmarkEnd w:id="142"/>
    </w:p>
    <w:p>
      <w:pPr>
        <w:pStyle w:val="Subsection"/>
        <w:keepNext/>
        <w:rPr>
          <w:snapToGrid w:val="0"/>
        </w:rPr>
      </w:pPr>
      <w:r>
        <w:rPr>
          <w:snapToGrid w:val="0"/>
        </w:rPr>
        <w:tab/>
        <w:t>(1)</w:t>
      </w:r>
      <w:r>
        <w:rPr>
          <w:snapToGrid w:val="0"/>
        </w:rPr>
        <w:tab/>
        <w:t>An application for a licence shall be —</w:t>
      </w:r>
    </w:p>
    <w:p>
      <w:pPr>
        <w:pStyle w:val="Indenta"/>
        <w:spacing w:before="100"/>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spacing w:before="10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0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00"/>
        <w:rPr>
          <w:snapToGrid w:val="0"/>
        </w:rPr>
      </w:pPr>
      <w:r>
        <w:rPr>
          <w:snapToGrid w:val="0"/>
        </w:rPr>
        <w:tab/>
        <w:t>(a)</w:t>
      </w:r>
      <w:r>
        <w:rPr>
          <w:snapToGrid w:val="0"/>
        </w:rPr>
        <w:tab/>
        <w:t>if that application —</w:t>
      </w:r>
    </w:p>
    <w:p>
      <w:pPr>
        <w:pStyle w:val="Indenti"/>
        <w:spacing w:before="100"/>
        <w:rPr>
          <w:snapToGrid w:val="0"/>
        </w:rPr>
      </w:pPr>
      <w:r>
        <w:rPr>
          <w:snapToGrid w:val="0"/>
        </w:rPr>
        <w:tab/>
        <w:t>(i)</w:t>
      </w:r>
      <w:r>
        <w:rPr>
          <w:snapToGrid w:val="0"/>
        </w:rPr>
        <w:tab/>
        <w:t>does not comply with that subsection; or</w:t>
      </w:r>
    </w:p>
    <w:p>
      <w:pPr>
        <w:pStyle w:val="Indenti"/>
        <w:spacing w:before="100"/>
        <w:rPr>
          <w:snapToGrid w:val="0"/>
        </w:rPr>
      </w:pPr>
      <w:r>
        <w:rPr>
          <w:snapToGrid w:val="0"/>
        </w:rPr>
        <w:tab/>
        <w:t>(ii)</w:t>
      </w:r>
      <w:r>
        <w:rPr>
          <w:snapToGrid w:val="0"/>
        </w:rPr>
        <w:tab/>
        <w:t>relates to a matter in respect of which a works approval —</w:t>
      </w:r>
    </w:p>
    <w:p>
      <w:pPr>
        <w:pStyle w:val="IndentI0"/>
        <w:spacing w:before="10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spacing w:before="100"/>
        <w:rPr>
          <w:snapToGrid w:val="0"/>
        </w:rPr>
      </w:pPr>
      <w:r>
        <w:rPr>
          <w:snapToGrid w:val="0"/>
        </w:rPr>
        <w:tab/>
        <w:t>(B)</w:t>
      </w:r>
      <w:r>
        <w:rPr>
          <w:snapToGrid w:val="0"/>
        </w:rPr>
        <w:tab/>
        <w:t>is required to be, and has not been, granted and the works concerned have not been completed,</w:t>
      </w:r>
    </w:p>
    <w:p>
      <w:pPr>
        <w:pStyle w:val="Indenta"/>
        <w:spacing w:before="100"/>
        <w:rPr>
          <w:snapToGrid w:val="0"/>
        </w:rPr>
      </w:pPr>
      <w:r>
        <w:rPr>
          <w:snapToGrid w:val="0"/>
        </w:rPr>
        <w:lastRenderedPageBreak/>
        <w:tab/>
      </w:r>
      <w:r>
        <w:rPr>
          <w:snapToGrid w:val="0"/>
        </w:rPr>
        <w:tab/>
        <w:t>decline to deal with that application and advise the applicant accordingly; or</w:t>
      </w:r>
    </w:p>
    <w:p>
      <w:pPr>
        <w:pStyle w:val="Indenta"/>
        <w:spacing w:before="100"/>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lastRenderedPageBreak/>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keepNext/>
        <w:rPr>
          <w:snapToGrid w:val="0"/>
        </w:rPr>
      </w:pPr>
      <w:r>
        <w:rPr>
          <w:snapToGrid w:val="0"/>
        </w:rPr>
        <w:lastRenderedPageBreak/>
        <w:tab/>
        <w:t>(5)</w:t>
      </w:r>
      <w:r>
        <w:rPr>
          <w:snapToGrid w:val="0"/>
        </w:rPr>
        <w:tab/>
        <w:t>In this section —</w:t>
      </w:r>
    </w:p>
    <w:p>
      <w:pPr>
        <w:pStyle w:val="Defstart"/>
      </w:pPr>
      <w:r>
        <w:rPr>
          <w:b/>
        </w:rPr>
        <w:tab/>
      </w:r>
      <w:r>
        <w:rPr>
          <w:rStyle w:val="CharDefText"/>
        </w:rPr>
        <w:t>designated area</w:t>
      </w:r>
      <w:r>
        <w:t xml:space="preserve"> means —</w:t>
      </w:r>
    </w:p>
    <w:p>
      <w:pPr>
        <w:pStyle w:val="Defpara"/>
        <w:spacing w:before="70"/>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pPr>
        <w:pStyle w:val="Defpara"/>
        <w:spacing w:before="70"/>
      </w:pPr>
      <w:r>
        <w:tab/>
        <w:t>(b)</w:t>
      </w:r>
      <w:r>
        <w:tab/>
        <w:t xml:space="preserve">Underground Water Pollution Control Area constituted under the </w:t>
      </w:r>
      <w:r>
        <w:rPr>
          <w:i/>
        </w:rPr>
        <w:t>Metropolitan Water Supply, Sewerage, and Drainage Act 1909</w:t>
      </w:r>
      <w:r>
        <w:t>; or</w:t>
      </w:r>
    </w:p>
    <w:p>
      <w:pPr>
        <w:pStyle w:val="Defpara"/>
      </w:pPr>
      <w:r>
        <w:tab/>
        <w:t>(c)</w:t>
      </w:r>
      <w:r>
        <w:tab/>
        <w:t xml:space="preserve">watercourse or wetland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26B, or irrigation district constituted under section 28, of the </w:t>
      </w:r>
      <w:r>
        <w:rPr>
          <w:i/>
        </w:rPr>
        <w:t>Rights in Water and Irrigation Act 1914</w:t>
      </w:r>
      <w:r>
        <w:t>;</w:t>
      </w:r>
    </w:p>
    <w:p>
      <w:pPr>
        <w:pStyle w:val="Defstart"/>
        <w:keepNex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No. 73 of 1995 s. 188; No. 49 of 2000 s. 84; No. 54 of 2003 s. 75 and 140(2); No. 38 of 2007 s. 194; No. 40 of 2010 s. 17; No. 25 of 2012 s. 211.]</w:t>
      </w:r>
    </w:p>
    <w:p>
      <w:pPr>
        <w:pStyle w:val="Heading5"/>
        <w:spacing w:before="240"/>
        <w:rPr>
          <w:snapToGrid w:val="0"/>
        </w:rPr>
      </w:pPr>
      <w:bookmarkStart w:id="143" w:name="_Toc199511911"/>
      <w:r>
        <w:rPr>
          <w:rStyle w:val="CharSectno"/>
        </w:rPr>
        <w:t>58</w:t>
      </w:r>
      <w:r>
        <w:rPr>
          <w:snapToGrid w:val="0"/>
        </w:rPr>
        <w:t>.</w:t>
      </w:r>
      <w:r>
        <w:rPr>
          <w:snapToGrid w:val="0"/>
        </w:rPr>
        <w:tab/>
        <w:t>Contravening licence conditions</w:t>
      </w:r>
      <w:bookmarkEnd w:id="143"/>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keepNext/>
        <w:spacing w:before="180"/>
        <w:rPr>
          <w:snapToGrid w:val="0"/>
        </w:rPr>
      </w:pPr>
      <w:r>
        <w:rPr>
          <w:snapToGrid w:val="0"/>
        </w:rPr>
        <w:lastRenderedPageBreak/>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keepNex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No. 10 of 2001 s. 72; No. 54 of 2003 s. 76.]</w:t>
      </w:r>
    </w:p>
    <w:p>
      <w:pPr>
        <w:pStyle w:val="Heading5"/>
      </w:pPr>
      <w:bookmarkStart w:id="144" w:name="_Toc199511912"/>
      <w:r>
        <w:rPr>
          <w:rStyle w:val="CharSectno"/>
        </w:rPr>
        <w:t>59</w:t>
      </w:r>
      <w:r>
        <w:t>.</w:t>
      </w:r>
      <w:r>
        <w:tab/>
        <w:t>Amending works approval or licence</w:t>
      </w:r>
      <w:bookmarkEnd w:id="144"/>
    </w:p>
    <w:p>
      <w:pPr>
        <w:pStyle w:val="Subsection"/>
        <w:keepNext/>
      </w:pPr>
      <w:r>
        <w:tab/>
        <w:t>(1)</w:t>
      </w:r>
      <w:r>
        <w:tab/>
        <w:t>The CEO may amend a works approval or licence by —</w:t>
      </w:r>
    </w:p>
    <w:p>
      <w:pPr>
        <w:pStyle w:val="Indenta"/>
      </w:pPr>
      <w:r>
        <w:tab/>
        <w:t>(a)</w:t>
      </w:r>
      <w:r>
        <w:tab/>
        <w:t>removing or varying any condition to which the works approval or licence is subject; or</w:t>
      </w:r>
    </w:p>
    <w:p>
      <w:pPr>
        <w:pStyle w:val="Indenta"/>
      </w:pPr>
      <w:r>
        <w:tab/>
        <w:t>(b)</w:t>
      </w:r>
      <w:r>
        <w:tab/>
        <w:t>subjecting the works approval or licence to a new condition; or</w:t>
      </w:r>
    </w:p>
    <w:p>
      <w:pPr>
        <w:pStyle w:val="Indenta"/>
      </w:pPr>
      <w:r>
        <w:tab/>
        <w:t>(c)</w:t>
      </w:r>
      <w:r>
        <w:tab/>
        <w:t>redescribing the boundaries or area of the premises to which the works approval or licence applies; or</w:t>
      </w:r>
    </w:p>
    <w:p>
      <w:pPr>
        <w:pStyle w:val="Indenta"/>
      </w:pPr>
      <w:r>
        <w:tab/>
        <w:t>(d)</w:t>
      </w:r>
      <w:r>
        <w:tab/>
        <w:t>redescribing the purpose for which the premises to which the works approval or licence applies are used; or</w:t>
      </w:r>
    </w:p>
    <w:p>
      <w:pPr>
        <w:pStyle w:val="Indenta"/>
        <w:keepNext/>
      </w:pPr>
      <w:r>
        <w:lastRenderedPageBreak/>
        <w:tab/>
        <w:t>(e)</w:t>
      </w:r>
      <w:r>
        <w:tab/>
        <w:t>correcting in the works approval or licence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r>
      <w:r>
        <w:tab/>
        <w:t>or</w:t>
      </w:r>
    </w:p>
    <w:p>
      <w:pPr>
        <w:pStyle w:val="Indenta"/>
      </w:pPr>
      <w:r>
        <w:tab/>
        <w:t>(f)</w:t>
      </w:r>
      <w:r>
        <w:tab/>
        <w:t>making an administrative change to the format of the works approval or licence which does not alter the obligations of the occupier of the premises to which the works approval or licence relates; or</w:t>
      </w:r>
    </w:p>
    <w:p>
      <w:pPr>
        <w:pStyle w:val="Indenta"/>
      </w:pPr>
      <w:r>
        <w:tab/>
        <w:t>(g)</w:t>
      </w:r>
      <w:r>
        <w:tab/>
        <w:t>adding a discharge point or emission point; or</w:t>
      </w:r>
    </w:p>
    <w:p>
      <w:pPr>
        <w:pStyle w:val="Indenta"/>
      </w:pPr>
      <w:r>
        <w:tab/>
        <w:t>(h)</w:t>
      </w:r>
      <w:r>
        <w:tab/>
        <w:t>deleting any discharge point or emission point which is no longer in use; or</w:t>
      </w:r>
    </w:p>
    <w:p>
      <w:pPr>
        <w:pStyle w:val="Indenta"/>
      </w:pPr>
      <w:r>
        <w:tab/>
        <w:t>(i)</w:t>
      </w:r>
      <w:r>
        <w:tab/>
        <w:t>amending the works approval or licence in conformity with an approved policy or prescribed standard or with an exemption conferred under this Act; or</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No. 54 of 2003 s. 77.]</w:t>
      </w:r>
    </w:p>
    <w:p>
      <w:pPr>
        <w:pStyle w:val="Heading5"/>
      </w:pPr>
      <w:bookmarkStart w:id="145" w:name="_Toc199511913"/>
      <w:r>
        <w:rPr>
          <w:rStyle w:val="CharSectno"/>
        </w:rPr>
        <w:t>59A</w:t>
      </w:r>
      <w:r>
        <w:t>.</w:t>
      </w:r>
      <w:r>
        <w:tab/>
        <w:t>Revoking or suspending works approval or licence</w:t>
      </w:r>
      <w:bookmarkEnd w:id="145"/>
    </w:p>
    <w:p>
      <w:pPr>
        <w:pStyle w:val="Subsection"/>
      </w:pPr>
      <w:r>
        <w:tab/>
        <w:t>(1)</w:t>
      </w:r>
      <w:r>
        <w:tab/>
        <w:t>The CEO may revoke or suspend a works approval or licence.</w:t>
      </w:r>
    </w:p>
    <w:p>
      <w:pPr>
        <w:pStyle w:val="Subsection"/>
      </w:pPr>
      <w:r>
        <w:tab/>
        <w:t>(2)</w:t>
      </w:r>
      <w:r>
        <w:tab/>
        <w:t>The grounds for revocation or suspension of a works approval or licence are that —</w:t>
      </w:r>
    </w:p>
    <w:p>
      <w:pPr>
        <w:pStyle w:val="Indenta"/>
      </w:pPr>
      <w:r>
        <w:lastRenderedPageBreak/>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r>
      <w:r>
        <w:tab/>
        <w:t>or</w:t>
      </w:r>
    </w:p>
    <w:p>
      <w:pPr>
        <w:pStyle w:val="Indenta"/>
      </w:pPr>
      <w:r>
        <w:tab/>
        <w:t>(b)</w:t>
      </w:r>
      <w:r>
        <w:tab/>
        <w:t>the premises to which the licence relates are exempted by the regulations from requiring a licence; or</w:t>
      </w:r>
    </w:p>
    <w:p>
      <w:pPr>
        <w:pStyle w:val="Indenta"/>
      </w:pPr>
      <w:r>
        <w:tab/>
        <w:t>(c)</w:t>
      </w:r>
      <w:r>
        <w:tab/>
        <w:t>information contained in or supporting the application was false or misleading in a material respect; or</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No. 54 of 2003 s. 77.]</w:t>
      </w:r>
    </w:p>
    <w:p>
      <w:pPr>
        <w:pStyle w:val="Heading5"/>
      </w:pPr>
      <w:bookmarkStart w:id="146" w:name="_Toc199511914"/>
      <w:r>
        <w:rPr>
          <w:rStyle w:val="CharSectno"/>
        </w:rPr>
        <w:t>59B</w:t>
      </w:r>
      <w:r>
        <w:t>.</w:t>
      </w:r>
      <w:r>
        <w:tab/>
        <w:t>Procedure for amending, revoking or suspending works approval or licence</w:t>
      </w:r>
      <w:bookmarkEnd w:id="146"/>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 and</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lastRenderedPageBreak/>
        <w:tab/>
        <w:t>(3)</w:t>
      </w:r>
      <w:r>
        <w:tab/>
        <w:t>The notice is to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 xml:space="preserve">making authority makes a decision that has the effect of preventing the implementation of a proposal to which an amendment proposed under this section is related, the CEO </w:t>
      </w:r>
      <w:r>
        <w:lastRenderedPageBreak/>
        <w:t>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No. 54 of 2003 s. 77.]</w:t>
      </w:r>
    </w:p>
    <w:p>
      <w:pPr>
        <w:pStyle w:val="Heading5"/>
        <w:rPr>
          <w:snapToGrid w:val="0"/>
        </w:rPr>
      </w:pPr>
      <w:bookmarkStart w:id="147" w:name="_Toc199511915"/>
      <w:r>
        <w:rPr>
          <w:rStyle w:val="CharSectno"/>
        </w:rPr>
        <w:t>60</w:t>
      </w:r>
      <w:r>
        <w:rPr>
          <w:snapToGrid w:val="0"/>
        </w:rPr>
        <w:t>.</w:t>
      </w:r>
      <w:r>
        <w:rPr>
          <w:snapToGrid w:val="0"/>
        </w:rPr>
        <w:tab/>
        <w:t>Relationship between works approvals or licences and approved policies</w:t>
      </w:r>
      <w:bookmarkEnd w:id="147"/>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 xml:space="preserve">if the CEO is satisfied that, as a result of the approval under section 31(d) of a new approved policy or as a result of an approved policy as amended being </w:t>
      </w:r>
      <w:r>
        <w:lastRenderedPageBreak/>
        <w:t>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No. 54 of 2003 s. 42, 78 and 140(2).]</w:t>
      </w:r>
    </w:p>
    <w:p>
      <w:pPr>
        <w:pStyle w:val="Heading5"/>
        <w:rPr>
          <w:snapToGrid w:val="0"/>
        </w:rPr>
      </w:pPr>
      <w:bookmarkStart w:id="148" w:name="_Toc199511916"/>
      <w:r>
        <w:rPr>
          <w:rStyle w:val="CharSectno"/>
        </w:rPr>
        <w:t>61</w:t>
      </w:r>
      <w:r>
        <w:t>.</w:t>
      </w:r>
      <w:r>
        <w:tab/>
      </w:r>
      <w:r>
        <w:rPr>
          <w:snapToGrid w:val="0"/>
        </w:rPr>
        <w:t>Duty of persons becoming occupiers of prescribed premises</w:t>
      </w:r>
      <w:bookmarkEnd w:id="148"/>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 xml:space="preserve">This subsection applies if a works approval or licence is not in force in respect of the premises on the relevant day but, within 30 days after the relevant day, the new occupier applies under </w:t>
      </w:r>
      <w:r>
        <w:rPr>
          <w:snapToGrid w:val="0"/>
        </w:rPr>
        <w:lastRenderedPageBreak/>
        <w:t>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No. 54 of 2003 s. 79.]</w:t>
      </w:r>
    </w:p>
    <w:p>
      <w:pPr>
        <w:pStyle w:val="Heading5"/>
      </w:pPr>
      <w:bookmarkStart w:id="149" w:name="_Toc199511917"/>
      <w:r>
        <w:rPr>
          <w:rStyle w:val="CharSectno"/>
        </w:rPr>
        <w:t>62</w:t>
      </w:r>
      <w:r>
        <w:t>.</w:t>
      </w:r>
      <w:r>
        <w:tab/>
        <w:t>Works approval and licence conditions</w:t>
      </w:r>
      <w:bookmarkEnd w:id="149"/>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No. 54 of 2003 s. 79.]</w:t>
      </w:r>
    </w:p>
    <w:p>
      <w:pPr>
        <w:pStyle w:val="Heading5"/>
        <w:spacing w:before="180"/>
      </w:pPr>
      <w:bookmarkStart w:id="150" w:name="_Toc199511918"/>
      <w:r>
        <w:rPr>
          <w:rStyle w:val="CharSectno"/>
        </w:rPr>
        <w:t>62A</w:t>
      </w:r>
      <w:r>
        <w:t>.</w:t>
      </w:r>
      <w:r>
        <w:tab/>
        <w:t>Some kinds of conditions</w:t>
      </w:r>
      <w:bookmarkEnd w:id="150"/>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lastRenderedPageBreak/>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keepNext/>
      </w:pPr>
      <w:r>
        <w:lastRenderedPageBreak/>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spacing w:before="120"/>
      </w:pPr>
      <w:r>
        <w:tab/>
      </w:r>
      <w:r>
        <w:tab/>
        <w:t>from those premises into the environment, and to the characteristics of the environment.</w:t>
      </w:r>
    </w:p>
    <w:p>
      <w:pPr>
        <w:pStyle w:val="Subsection"/>
        <w:keepNext/>
        <w:spacing w:before="120"/>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spacing w:before="100"/>
      </w:pPr>
      <w:r>
        <w:tab/>
        <w:t>[Section 62A inserted: No. 54 of 2003 s. 79.]</w:t>
      </w:r>
    </w:p>
    <w:p>
      <w:pPr>
        <w:pStyle w:val="Heading5"/>
        <w:spacing w:before="200"/>
        <w:rPr>
          <w:snapToGrid w:val="0"/>
        </w:rPr>
      </w:pPr>
      <w:bookmarkStart w:id="151" w:name="_Toc199511919"/>
      <w:r>
        <w:rPr>
          <w:rStyle w:val="CharSectno"/>
        </w:rPr>
        <w:lastRenderedPageBreak/>
        <w:t>63</w:t>
      </w:r>
      <w:r>
        <w:rPr>
          <w:snapToGrid w:val="0"/>
        </w:rPr>
        <w:t>.</w:t>
      </w:r>
      <w:r>
        <w:rPr>
          <w:snapToGrid w:val="0"/>
        </w:rPr>
        <w:tab/>
        <w:t>Duration of works approvals and licences</w:t>
      </w:r>
      <w:bookmarkEnd w:id="151"/>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spacing w:before="200"/>
      </w:pPr>
      <w:bookmarkStart w:id="152" w:name="_Toc199511920"/>
      <w:r>
        <w:rPr>
          <w:rStyle w:val="CharSectno"/>
        </w:rPr>
        <w:t>63A</w:t>
      </w:r>
      <w:r>
        <w:t>.</w:t>
      </w:r>
      <w:r>
        <w:tab/>
        <w:t>CEO to keep and publish record of works approvals and licences</w:t>
      </w:r>
      <w:bookmarkEnd w:id="152"/>
      <w:r>
        <w:t xml:space="preserve"> </w:t>
      </w:r>
    </w:p>
    <w:p>
      <w:pPr>
        <w:pStyle w:val="Subsection"/>
        <w:spacing w:before="140"/>
      </w:pPr>
      <w:r>
        <w:tab/>
        <w:t>(1)</w:t>
      </w:r>
      <w:r>
        <w:tab/>
        <w:t>The CEO is to keep a record of such particulars of —</w:t>
      </w:r>
    </w:p>
    <w:p>
      <w:pPr>
        <w:pStyle w:val="Indenta"/>
        <w:spacing w:before="60"/>
      </w:pPr>
      <w:r>
        <w:tab/>
        <w:t>(a)</w:t>
      </w:r>
      <w:r>
        <w:tab/>
        <w:t>works approvals and licences; and</w:t>
      </w:r>
    </w:p>
    <w:p>
      <w:pPr>
        <w:pStyle w:val="Indenta"/>
        <w:spacing w:before="60"/>
      </w:pPr>
      <w:r>
        <w:tab/>
        <w:t>(b)</w:t>
      </w:r>
      <w:r>
        <w:tab/>
        <w:t>applications for works approvals and licences; and</w:t>
      </w:r>
    </w:p>
    <w:p>
      <w:pPr>
        <w:pStyle w:val="Indenta"/>
        <w:spacing w:before="60"/>
      </w:pPr>
      <w:r>
        <w:tab/>
        <w:t>(c)</w:t>
      </w:r>
      <w:r>
        <w:tab/>
        <w:t>applications for renewal of works approvals and licences; and</w:t>
      </w:r>
    </w:p>
    <w:p>
      <w:pPr>
        <w:pStyle w:val="Indenta"/>
        <w:spacing w:before="60"/>
      </w:pPr>
      <w:r>
        <w:tab/>
        <w:t>(d)</w:t>
      </w:r>
      <w:r>
        <w:tab/>
        <w:t>transfers of works approvals and licences,</w:t>
      </w:r>
    </w:p>
    <w:p>
      <w:pPr>
        <w:pStyle w:val="Subsection"/>
        <w:spacing w:before="120"/>
      </w:pPr>
      <w:r>
        <w:tab/>
      </w:r>
      <w:r>
        <w:tab/>
        <w:t>as are prescribed.</w:t>
      </w:r>
    </w:p>
    <w:p>
      <w:pPr>
        <w:pStyle w:val="Subsection"/>
        <w:spacing w:before="140"/>
      </w:pPr>
      <w:r>
        <w:tab/>
        <w:t>(2)</w:t>
      </w:r>
      <w:r>
        <w:tab/>
      </w:r>
      <w:r>
        <w:rPr>
          <w:snapToGrid w:val="0"/>
        </w:rPr>
        <w:t>The</w:t>
      </w:r>
      <w:r>
        <w:t xml:space="preserve"> CEO is to publish from time to time in a prescribed manner prescribed particulars of the record.</w:t>
      </w:r>
    </w:p>
    <w:p>
      <w:pPr>
        <w:pStyle w:val="Footnotesection"/>
        <w:spacing w:before="100"/>
      </w:pPr>
      <w:r>
        <w:tab/>
        <w:t>[Section 63A inserted: No. 54 of 2003 s. 43.]</w:t>
      </w:r>
    </w:p>
    <w:p>
      <w:pPr>
        <w:pStyle w:val="Heading5"/>
        <w:spacing w:before="200"/>
        <w:rPr>
          <w:snapToGrid w:val="0"/>
        </w:rPr>
      </w:pPr>
      <w:bookmarkStart w:id="153" w:name="_Toc199511921"/>
      <w:r>
        <w:rPr>
          <w:rStyle w:val="CharSectno"/>
        </w:rPr>
        <w:t>64</w:t>
      </w:r>
      <w:r>
        <w:rPr>
          <w:snapToGrid w:val="0"/>
        </w:rPr>
        <w:t>.</w:t>
      </w:r>
      <w:r>
        <w:rPr>
          <w:snapToGrid w:val="0"/>
        </w:rPr>
        <w:tab/>
        <w:t>Transfer of works approvals and licences</w:t>
      </w:r>
      <w:bookmarkEnd w:id="153"/>
    </w:p>
    <w:p>
      <w:pPr>
        <w:pStyle w:val="Subsection"/>
        <w:spacing w:before="120"/>
        <w:rPr>
          <w:snapToGrid w:val="0"/>
        </w:rPr>
      </w:pPr>
      <w:r>
        <w:rPr>
          <w:snapToGrid w:val="0"/>
        </w:rPr>
        <w:tab/>
        <w:t>(1)</w:t>
      </w:r>
      <w:r>
        <w:rPr>
          <w:snapToGrid w:val="0"/>
        </w:rPr>
        <w:tab/>
        <w:t>An application for the transfer of a works approval or licence shall be —</w:t>
      </w:r>
    </w:p>
    <w:p>
      <w:pPr>
        <w:pStyle w:val="Indenta"/>
        <w:spacing w:before="6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lastRenderedPageBreak/>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No. 54 of 2003 s. 80 and 140(2).]</w:t>
      </w:r>
    </w:p>
    <w:p>
      <w:pPr>
        <w:pStyle w:val="Heading3"/>
        <w:keepLines/>
      </w:pPr>
      <w:bookmarkStart w:id="154" w:name="_Toc199511922"/>
      <w:r>
        <w:rPr>
          <w:rStyle w:val="CharDivNo"/>
        </w:rPr>
        <w:t>Division 4</w:t>
      </w:r>
      <w:r>
        <w:t xml:space="preserve"> — </w:t>
      </w:r>
      <w:r>
        <w:rPr>
          <w:rStyle w:val="CharDivText"/>
        </w:rPr>
        <w:t>Notices, orders and directions</w:t>
      </w:r>
      <w:bookmarkEnd w:id="154"/>
    </w:p>
    <w:p>
      <w:pPr>
        <w:pStyle w:val="Footnotesection"/>
        <w:keepNext/>
      </w:pPr>
      <w:r>
        <w:tab/>
        <w:t>[Heading inserted: No. 54 of 2003 s. 44.]</w:t>
      </w:r>
    </w:p>
    <w:p>
      <w:pPr>
        <w:pStyle w:val="Heading5"/>
      </w:pPr>
      <w:bookmarkStart w:id="155" w:name="_Toc199511923"/>
      <w:r>
        <w:rPr>
          <w:rStyle w:val="CharSectno"/>
        </w:rPr>
        <w:t>64A</w:t>
      </w:r>
      <w:r>
        <w:t>.</w:t>
      </w:r>
      <w:r>
        <w:tab/>
        <w:t>CEO to keep records of notices</w:t>
      </w:r>
      <w:bookmarkEnd w:id="155"/>
    </w:p>
    <w:p>
      <w:pPr>
        <w:pStyle w:val="Subsection"/>
      </w:pPr>
      <w:r>
        <w:tab/>
      </w:r>
      <w:r>
        <w:tab/>
        <w:t>The CEO must keep a public record of such particulars of notices given under this Division as are prescribed.</w:t>
      </w:r>
    </w:p>
    <w:p>
      <w:pPr>
        <w:pStyle w:val="Footnotesection"/>
      </w:pPr>
      <w:r>
        <w:tab/>
        <w:t>[Section 64A inserted: No. 40 of 2020 s. 61.]</w:t>
      </w:r>
    </w:p>
    <w:p>
      <w:pPr>
        <w:pStyle w:val="Heading5"/>
        <w:rPr>
          <w:snapToGrid w:val="0"/>
        </w:rPr>
      </w:pPr>
      <w:bookmarkStart w:id="156" w:name="_Toc199511924"/>
      <w:r>
        <w:rPr>
          <w:rStyle w:val="CharSectno"/>
        </w:rPr>
        <w:t>65</w:t>
      </w:r>
      <w:r>
        <w:rPr>
          <w:snapToGrid w:val="0"/>
        </w:rPr>
        <w:t>.</w:t>
      </w:r>
      <w:r>
        <w:rPr>
          <w:snapToGrid w:val="0"/>
        </w:rPr>
        <w:tab/>
        <w:t>Environmental protection notices, issue and effect of</w:t>
      </w:r>
      <w:bookmarkEnd w:id="156"/>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r>
      <w:r>
        <w:tab/>
        <w:t>or</w:t>
      </w:r>
    </w:p>
    <w:p>
      <w:pPr>
        <w:pStyle w:val="Indenta"/>
      </w:pPr>
      <w:r>
        <w:tab/>
        <w:t>(b)</w:t>
      </w:r>
      <w:r>
        <w:tab/>
        <w:t>a person is doing, or is likely to do, an act in contravention of section 50A or 50B on any premises; or</w:t>
      </w:r>
    </w:p>
    <w:p>
      <w:pPr>
        <w:pStyle w:val="Indenta"/>
      </w:pPr>
      <w:r>
        <w:lastRenderedPageBreak/>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 or</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 or</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 or</w:t>
      </w:r>
    </w:p>
    <w:p>
      <w:pPr>
        <w:pStyle w:val="Indenti"/>
      </w:pPr>
      <w:r>
        <w:tab/>
        <w:t>(ii)</w:t>
      </w:r>
      <w:r>
        <w:tab/>
        <w:t>prevent, control or abate the pollution; or</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keepNext/>
      </w:pPr>
      <w:r>
        <w:lastRenderedPageBreak/>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 and</w:t>
      </w:r>
    </w:p>
    <w:p>
      <w:pPr>
        <w:pStyle w:val="Indenti"/>
      </w:pPr>
      <w:r>
        <w:tab/>
        <w:t>(ii)</w:t>
      </w:r>
      <w:r>
        <w:tab/>
        <w:t>the reason for which it is served; and</w:t>
      </w:r>
    </w:p>
    <w:p>
      <w:pPr>
        <w:pStyle w:val="Indenti"/>
      </w:pPr>
      <w:r>
        <w:tab/>
        <w:t>(iii)</w:t>
      </w:r>
      <w:r>
        <w:tab/>
        <w:t>a description of the relevant premises and the location of the premises sufficient to identify both; and</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 and</w:t>
      </w:r>
    </w:p>
    <w:p>
      <w:pPr>
        <w:pStyle w:val="Indenti"/>
      </w:pPr>
      <w:r>
        <w:tab/>
        <w:t>(ii)</w:t>
      </w:r>
      <w:r>
        <w:tab/>
        <w:t>the form of the plan to be prepared and implemented; and</w:t>
      </w:r>
    </w:p>
    <w:p>
      <w:pPr>
        <w:pStyle w:val="Indenti"/>
      </w:pPr>
      <w:r>
        <w:tab/>
        <w:t>(iii)</w:t>
      </w:r>
      <w:r>
        <w:tab/>
        <w:t>the measures to be taken; and</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rPr>
          <w:snapToGrid w:val="0"/>
        </w:rPr>
      </w:pPr>
      <w:r>
        <w:rPr>
          <w:snapToGrid w:val="0"/>
        </w:rPr>
        <w:lastRenderedPageBreak/>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spacing w:before="140"/>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spacing w:before="14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by subsection (4), afford the person a reasonable opportunity to show cause in writing why that power should not be exercised in respect </w:t>
      </w:r>
      <w:r>
        <w:t>of the person</w:t>
      </w:r>
      <w:r>
        <w:rPr>
          <w:snapToGrid w:val="0"/>
        </w:rPr>
        <w:t>.</w:t>
      </w:r>
    </w:p>
    <w:p>
      <w:pPr>
        <w:pStyle w:val="Subsection"/>
        <w:spacing w:before="140"/>
        <w:rPr>
          <w:snapToGrid w:val="0"/>
        </w:rPr>
      </w:pPr>
      <w:r>
        <w:rPr>
          <w:snapToGrid w:val="0"/>
        </w:rPr>
        <w:lastRenderedPageBreak/>
        <w:tab/>
        <w:t>(7)</w:t>
      </w:r>
      <w:r>
        <w:rPr>
          <w:snapToGrid w:val="0"/>
        </w:rPr>
        <w:tab/>
        <w:t xml:space="preserve">An opportunity is not a reasonable opportunity within the meaning of subsection (6) unless the relevant person is informed in writing of </w:t>
      </w:r>
      <w:r>
        <w:t>the person’s</w:t>
      </w:r>
      <w:r>
        <w:rPr>
          <w:snapToGrid w:val="0"/>
        </w:rPr>
        <w:t xml:space="preserve"> right to show cause under that subsection not less than 21 days before the day on which the </w:t>
      </w:r>
      <w:r>
        <w:t>CEO</w:t>
      </w:r>
      <w:r>
        <w:rPr>
          <w:snapToGrid w:val="0"/>
        </w:rPr>
        <w:t xml:space="preserve"> exercises the power in question.</w:t>
      </w:r>
    </w:p>
    <w:p>
      <w:pPr>
        <w:pStyle w:val="Subsection"/>
        <w:spacing w:before="14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ind w:left="890" w:hanging="890"/>
      </w:pPr>
      <w:r>
        <w:tab/>
        <w:t>[Section 65 amended: No. 14 of 1998 s. 7; No. 54 of 2003 s. 45(1)</w:t>
      </w:r>
      <w:r>
        <w:noBreakHyphen/>
        <w:t>(3), 46 and 140(2); No. 40 of 2020 s. 111(1).]</w:t>
      </w:r>
    </w:p>
    <w:p>
      <w:pPr>
        <w:pStyle w:val="Heading5"/>
        <w:rPr>
          <w:snapToGrid w:val="0"/>
        </w:rPr>
      </w:pPr>
      <w:bookmarkStart w:id="157" w:name="_Toc199511925"/>
      <w:r>
        <w:rPr>
          <w:rStyle w:val="CharSectno"/>
        </w:rPr>
        <w:t>66</w:t>
      </w:r>
      <w:r>
        <w:rPr>
          <w:snapToGrid w:val="0"/>
        </w:rPr>
        <w:t>.</w:t>
      </w:r>
      <w:r>
        <w:rPr>
          <w:snapToGrid w:val="0"/>
        </w:rPr>
        <w:tab/>
        <w:t>Environmental protection notices, registration of etc. on land titles</w:t>
      </w:r>
      <w:bookmarkEnd w:id="157"/>
    </w:p>
    <w:p>
      <w:pPr>
        <w:pStyle w:val="Subsection"/>
        <w:keepNext/>
        <w:spacing w:before="14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4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w:t>
      </w:r>
      <w:r>
        <w:rPr>
          <w:snapToGrid w:val="0"/>
        </w:rPr>
        <w:lastRenderedPageBreak/>
        <w:t xml:space="preserve">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Ednotesubsection"/>
      </w:pPr>
      <w:r>
        <w:tab/>
        <w:t>[(5)</w:t>
      </w:r>
      <w:r>
        <w:tab/>
        <w:t>deleted]</w:t>
      </w:r>
    </w:p>
    <w:p>
      <w:pPr>
        <w:pStyle w:val="Footnotesection"/>
        <w:spacing w:before="80"/>
        <w:ind w:left="890" w:hanging="890"/>
      </w:pPr>
      <w:r>
        <w:tab/>
        <w:t>[Section 66 amended: No. 84 of 1994 s. 46; No. 81 of 1996 s. 153(1); No. 31 of 1997 s. 27; No. 54 of 2003 s. 46, 47 and 140(2); No. 40 of 2020 s. 62.]</w:t>
      </w:r>
    </w:p>
    <w:p>
      <w:pPr>
        <w:pStyle w:val="Heading5"/>
        <w:spacing w:before="200"/>
        <w:rPr>
          <w:snapToGrid w:val="0"/>
        </w:rPr>
      </w:pPr>
      <w:bookmarkStart w:id="158" w:name="_Toc199511926"/>
      <w:r>
        <w:rPr>
          <w:rStyle w:val="CharSectno"/>
        </w:rPr>
        <w:t>67</w:t>
      </w:r>
      <w:r>
        <w:rPr>
          <w:snapToGrid w:val="0"/>
        </w:rPr>
        <w:t>.</w:t>
      </w:r>
      <w:r>
        <w:rPr>
          <w:snapToGrid w:val="0"/>
        </w:rPr>
        <w:tab/>
        <w:t>Duties of person ceasing to be owner etc. of land subject to notice registered under s. 66</w:t>
      </w:r>
      <w:bookmarkEnd w:id="158"/>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t>
      </w:r>
      <w:r>
        <w:t>as soon as practicable after ceasing</w:t>
      </w:r>
      <w:r>
        <w:rPr>
          <w:snapToGrid w:val="0"/>
        </w:rPr>
        <w:t xml:space="preserve">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w:t>
      </w:r>
      <w:r>
        <w:t xml:space="preserve">that </w:t>
      </w:r>
      <w:r>
        <w:rPr>
          <w:snapToGrid w:val="0"/>
        </w:rPr>
        <w:t>owner or occupier in the ownership or occupation or both, as the case requires, of that land; and</w:t>
      </w:r>
    </w:p>
    <w:p>
      <w:pPr>
        <w:pStyle w:val="Indenta"/>
        <w:rPr>
          <w:snapToGrid w:val="0"/>
        </w:rPr>
      </w:pPr>
      <w:r>
        <w:rPr>
          <w:snapToGrid w:val="0"/>
        </w:rPr>
        <w:tab/>
        <w:t>(b)</w:t>
      </w:r>
      <w:r>
        <w:rPr>
          <w:snapToGrid w:val="0"/>
        </w:rPr>
        <w:tab/>
        <w:t xml:space="preserve">each person who succeeds </w:t>
      </w:r>
      <w:r>
        <w:t xml:space="preserve">that </w:t>
      </w:r>
      <w:r>
        <w:rPr>
          <w:snapToGrid w:val="0"/>
        </w:rPr>
        <w:t xml:space="preserve">owner or occupier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No. 54 of 2003 s. 46 and 140(2); No. 40 of 2020 s. 111(1).]</w:t>
      </w:r>
    </w:p>
    <w:p>
      <w:pPr>
        <w:pStyle w:val="Heading5"/>
        <w:rPr>
          <w:snapToGrid w:val="0"/>
        </w:rPr>
      </w:pPr>
      <w:bookmarkStart w:id="159" w:name="_Toc199511927"/>
      <w:r>
        <w:rPr>
          <w:rStyle w:val="CharSectno"/>
        </w:rPr>
        <w:lastRenderedPageBreak/>
        <w:t>68</w:t>
      </w:r>
      <w:r>
        <w:rPr>
          <w:snapToGrid w:val="0"/>
        </w:rPr>
        <w:t>.</w:t>
      </w:r>
      <w:r>
        <w:rPr>
          <w:snapToGrid w:val="0"/>
        </w:rPr>
        <w:tab/>
        <w:t>Restriction on subdividing etc. land subject to notice registered under s. 66</w:t>
      </w:r>
      <w:bookmarkEnd w:id="159"/>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No. 84 of 1994 s. 46; No. 54 of 2003 s. 46 and 140(2); No. 38 of 2005 s. 15.]</w:t>
      </w:r>
    </w:p>
    <w:p>
      <w:pPr>
        <w:pStyle w:val="Heading5"/>
      </w:pPr>
      <w:bookmarkStart w:id="160" w:name="_Toc199511928"/>
      <w:r>
        <w:rPr>
          <w:rStyle w:val="CharSectno"/>
        </w:rPr>
        <w:t>68A</w:t>
      </w:r>
      <w:r>
        <w:t>.</w:t>
      </w:r>
      <w:r>
        <w:tab/>
        <w:t>Closure notices, issue and effect of</w:t>
      </w:r>
      <w:bookmarkEnd w:id="160"/>
    </w:p>
    <w:p>
      <w:pPr>
        <w:pStyle w:val="Subsection"/>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8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spacing w:before="180"/>
      </w:pPr>
      <w:r>
        <w:lastRenderedPageBreak/>
        <w:tab/>
        <w:t>(3)</w:t>
      </w:r>
      <w:r>
        <w:tab/>
        <w:t>If the authorisation is still in force, the closure notice is to be given to the person who holds the authorisation.</w:t>
      </w:r>
    </w:p>
    <w:p>
      <w:pPr>
        <w:pStyle w:val="Subsection"/>
        <w:spacing w:before="180"/>
      </w:pPr>
      <w:r>
        <w:tab/>
        <w:t>(4)</w:t>
      </w:r>
      <w:r>
        <w:tab/>
        <w:t>If the authorisation is not still in force, the closure notice is to be given to the person who held the authorisation or to the occupier or owner of the relevant premises.</w:t>
      </w:r>
    </w:p>
    <w:p>
      <w:pPr>
        <w:pStyle w:val="Subsection"/>
        <w:spacing w:before="180"/>
      </w:pPr>
      <w:r>
        <w:tab/>
        <w:t>(5)</w:t>
      </w:r>
      <w:r>
        <w:tab/>
        <w:t>If a person who is the owner of the relevant premises is not given the closure notice under subsection (3) or (4), a copy of the notice must be given to that person.</w:t>
      </w:r>
    </w:p>
    <w:p>
      <w:pPr>
        <w:pStyle w:val="Subsection"/>
        <w:spacing w:before="180"/>
      </w:pPr>
      <w:r>
        <w:tab/>
        <w:t>(6)</w:t>
      </w:r>
      <w:r>
        <w:tab/>
        <w:t>If a person who is the occupier of the relevant premises is not given the closure notice under subsection (3) or (4), a copy of the notice may be given to that person.</w:t>
      </w:r>
    </w:p>
    <w:p>
      <w:pPr>
        <w:pStyle w:val="Subsection"/>
        <w:spacing w:before="180"/>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keepNext/>
      </w:pPr>
      <w:r>
        <w:tab/>
        <w:t>(8)</w:t>
      </w:r>
      <w:r>
        <w:tab/>
        <w:t>A closure notice is to specify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relevant premises and the location of the premises sufficient to identify both; and</w:t>
      </w:r>
    </w:p>
    <w:p>
      <w:pPr>
        <w:pStyle w:val="Indenta"/>
        <w:keepNext/>
      </w:pPr>
      <w:r>
        <w:lastRenderedPageBreak/>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No. 54 of 2003 s. 81; amended: No. 77 of 2006 s. 4.]</w:t>
      </w:r>
    </w:p>
    <w:p>
      <w:pPr>
        <w:pStyle w:val="Heading5"/>
        <w:keepNext w:val="0"/>
        <w:keepLines w:val="0"/>
        <w:rPr>
          <w:snapToGrid w:val="0"/>
        </w:rPr>
      </w:pPr>
      <w:bookmarkStart w:id="161" w:name="_Toc199511929"/>
      <w:r>
        <w:rPr>
          <w:rStyle w:val="CharSectno"/>
        </w:rPr>
        <w:t>69</w:t>
      </w:r>
      <w:r>
        <w:rPr>
          <w:snapToGrid w:val="0"/>
        </w:rPr>
        <w:t>.</w:t>
      </w:r>
      <w:r>
        <w:rPr>
          <w:snapToGrid w:val="0"/>
        </w:rPr>
        <w:tab/>
        <w:t>Stop orders, issue and effect of</w:t>
      </w:r>
      <w:bookmarkEnd w:id="161"/>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keepNext/>
        <w:keepLines/>
        <w:rPr>
          <w:snapToGrid w:val="0"/>
        </w:rPr>
      </w:pPr>
      <w:r>
        <w:rPr>
          <w:snapToGrid w:val="0"/>
        </w:rPr>
        <w:lastRenderedPageBreak/>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the Minister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 xml:space="preserve">The cost of taking any steps under subsection (2) is a debt due to the Crown by the person referred to in subsection (1)(a) and may be recovered from </w:t>
      </w:r>
      <w:r>
        <w:t>the person</w:t>
      </w:r>
      <w:r>
        <w:rPr>
          <w:snapToGrid w:val="0"/>
        </w:rPr>
        <w:t xml:space="preserve">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the Minister is satisfied that steps have been taken to ensure that the conditions referred to in subsection (1)(b) will not arise again, revoke that order.</w:t>
      </w:r>
    </w:p>
    <w:p>
      <w:pPr>
        <w:pStyle w:val="Subsection"/>
        <w:keepNext/>
        <w:rPr>
          <w:snapToGrid w:val="0"/>
        </w:rPr>
      </w:pPr>
      <w:r>
        <w:rPr>
          <w:snapToGrid w:val="0"/>
        </w:rPr>
        <w:lastRenderedPageBreak/>
        <w:tab/>
        <w:t>(5)</w:t>
      </w:r>
      <w:r>
        <w:rPr>
          <w:snapToGrid w:val="0"/>
        </w:rPr>
        <w:tab/>
        <w:t xml:space="preserve">A person who does not comply with an order made against </w:t>
      </w:r>
      <w:r>
        <w:t>the person</w:t>
      </w:r>
      <w:r>
        <w:rPr>
          <w:snapToGrid w:val="0"/>
        </w:rPr>
        <w:t xml:space="preserve"> under subsection (1) commits an offence.</w:t>
      </w:r>
    </w:p>
    <w:p>
      <w:pPr>
        <w:pStyle w:val="Footnotesection"/>
        <w:rPr>
          <w:spacing w:val="-2"/>
        </w:rPr>
      </w:pPr>
      <w:r>
        <w:rPr>
          <w:spacing w:val="-2"/>
        </w:rPr>
        <w:tab/>
        <w:t>[Section 69 amended: No. 6 of 1993 s. 11; No. 49 of 1996 s. 64; No. 54 of 2003 s. 46 and 48; No. 77 of 2006 s. 4; No. 40 of 2020 s. 111(1).]</w:t>
      </w:r>
    </w:p>
    <w:p>
      <w:pPr>
        <w:pStyle w:val="Heading5"/>
      </w:pPr>
      <w:bookmarkStart w:id="162" w:name="_Toc199511930"/>
      <w:r>
        <w:rPr>
          <w:rStyle w:val="CharSectno"/>
        </w:rPr>
        <w:t>70</w:t>
      </w:r>
      <w:r>
        <w:t>.</w:t>
      </w:r>
      <w:r>
        <w:tab/>
        <w:t>Vegetation conservation notices, issue and effect of</w:t>
      </w:r>
      <w:bookmarkEnd w:id="162"/>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keepNext/>
      </w:pPr>
      <w:r>
        <w:tab/>
      </w:r>
      <w:r>
        <w:rPr>
          <w:rStyle w:val="CharDefText"/>
        </w:rPr>
        <w:t>unlawful clearing</w:t>
      </w:r>
      <w:r>
        <w:t xml:space="preserve"> means — </w:t>
      </w:r>
    </w:p>
    <w:p>
      <w:pPr>
        <w:pStyle w:val="Defpara"/>
      </w:pPr>
      <w:r>
        <w:tab/>
        <w:t>(a)</w:t>
      </w:r>
      <w:r>
        <w:tab/>
        <w:t>anything constituting a contravention of section 51C or 51J; or</w:t>
      </w:r>
    </w:p>
    <w:p>
      <w:pPr>
        <w:pStyle w:val="Defpara"/>
      </w:pPr>
      <w:r>
        <w:tab/>
        <w:t>(b)</w:t>
      </w:r>
      <w:r>
        <w:tab/>
        <w:t>anything constituting a contravention of an environmental protection covenant;</w:t>
      </w:r>
    </w:p>
    <w:p>
      <w:pPr>
        <w:pStyle w:val="Defstart"/>
      </w:pPr>
      <w:r>
        <w:tab/>
      </w:r>
      <w:r>
        <w:rPr>
          <w:rStyle w:val="CharDefText"/>
        </w:rPr>
        <w:t>watercourse</w:t>
      </w:r>
      <w:r>
        <w:t xml:space="preserve"> has the meaning given in Schedule 5 clause 2;</w:t>
      </w:r>
    </w:p>
    <w:p>
      <w:pPr>
        <w:pStyle w:val="Defstart"/>
      </w:pPr>
      <w:r>
        <w:tab/>
      </w:r>
      <w:r>
        <w:rPr>
          <w:rStyle w:val="CharDefText"/>
        </w:rPr>
        <w:t>wetland</w:t>
      </w:r>
      <w:r>
        <w:t xml:space="preserve"> has the meaning given in Schedule 5 clause 2.</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lastRenderedPageBreak/>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 xml:space="preserve">A vegetation </w:t>
      </w:r>
      <w:r>
        <w:t>conservation</w:t>
      </w:r>
      <w:r>
        <w:rPr>
          <w:snapToGrid w:val="0"/>
        </w:rPr>
        <w:t xml:space="preserve"> notice must specify —</w:t>
      </w:r>
    </w:p>
    <w:p>
      <w:pPr>
        <w:pStyle w:val="Indenta"/>
      </w:pPr>
      <w:r>
        <w:tab/>
        <w:t>(a)</w:t>
      </w:r>
      <w:r>
        <w:tab/>
        <w:t>the name and address of the person to whom it is given; and</w:t>
      </w:r>
    </w:p>
    <w:p>
      <w:pPr>
        <w:pStyle w:val="Indenta"/>
      </w:pPr>
      <w:r>
        <w:tab/>
        <w:t>(b)</w:t>
      </w:r>
      <w:r>
        <w:tab/>
        <w:t>the reason for which it is given.</w:t>
      </w:r>
    </w:p>
    <w:p>
      <w:pPr>
        <w:pStyle w:val="Subsection"/>
        <w:rPr>
          <w:snapToGrid w:val="0"/>
        </w:rPr>
      </w:pPr>
      <w:r>
        <w:rPr>
          <w:snapToGrid w:val="0"/>
        </w:rPr>
        <w:tab/>
        <w:t>(4A)</w:t>
      </w:r>
      <w:r>
        <w:rPr>
          <w:snapToGrid w:val="0"/>
        </w:rPr>
        <w:tab/>
        <w:t xml:space="preserve">A </w:t>
      </w:r>
      <w:r>
        <w:t>vegetation</w:t>
      </w:r>
      <w:r>
        <w:rPr>
          <w:snapToGrid w:val="0"/>
        </w:rPr>
        <w:t xml:space="preserve"> conservation notice given under subsection (2)(b) may require any person bound by it — </w:t>
      </w:r>
    </w:p>
    <w:p>
      <w:pPr>
        <w:pStyle w:val="Indenta"/>
      </w:pPr>
      <w:r>
        <w:tab/>
        <w:t>(a)</w:t>
      </w:r>
      <w:r>
        <w:tab/>
        <w:t xml:space="preserve">to take, within or for the duration of a specified period, such specified measures (the </w:t>
      </w:r>
      <w:r>
        <w:rPr>
          <w:rStyle w:val="CharDefText"/>
        </w:rPr>
        <w:t>required action</w:t>
      </w:r>
      <w:r>
        <w:t>)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to ensure that specified land, or a specified watercourse or wetland, will not be damaged or detrimentally affected, or further damaged or detrimentally affected, by the clearing;</w:t>
      </w:r>
    </w:p>
    <w:p>
      <w:pPr>
        <w:pStyle w:val="Indenta"/>
      </w:pPr>
      <w:r>
        <w:tab/>
      </w:r>
      <w:r>
        <w:tab/>
        <w:t>and</w:t>
      </w:r>
    </w:p>
    <w:p>
      <w:pPr>
        <w:pStyle w:val="Indenta"/>
      </w:pPr>
      <w:r>
        <w:tab/>
        <w:t>(b)</w:t>
      </w:r>
      <w:r>
        <w:tab/>
        <w:t>to monitor, keep records of and report to the CEO on the required action.</w:t>
      </w:r>
    </w:p>
    <w:p>
      <w:pPr>
        <w:pStyle w:val="Subsection"/>
      </w:pPr>
      <w:r>
        <w:tab/>
        <w:t>(5)</w:t>
      </w:r>
      <w:r>
        <w:tab/>
        <w:t xml:space="preserve">Before </w:t>
      </w:r>
      <w:r>
        <w:rPr>
          <w:snapToGrid w:val="0"/>
        </w:rPr>
        <w:t xml:space="preserve">a vegetation conservation notice containing a requirement under subsection (4A)(a) is given to a person the CEO must, </w:t>
      </w:r>
      <w:r>
        <w:t xml:space="preserve">by written notice given to the person, invite the person to make submissions to the CEO within the period </w:t>
      </w:r>
      <w:r>
        <w:lastRenderedPageBreak/>
        <w:t>specified in the notice on any matter relevant to the determination of whether or not the person should have to take the required action.</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If the required action, or any of it,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No. 54 of 2003 s. 111(1); amended: No. 77 of 2006 s. 4; No. 40 of 2020 s. 64.]</w:t>
      </w:r>
    </w:p>
    <w:p>
      <w:pPr>
        <w:pStyle w:val="Heading5"/>
        <w:rPr>
          <w:snapToGrid w:val="0"/>
        </w:rPr>
      </w:pPr>
      <w:bookmarkStart w:id="163" w:name="_Toc199511931"/>
      <w:r>
        <w:rPr>
          <w:rStyle w:val="CharSectno"/>
        </w:rPr>
        <w:lastRenderedPageBreak/>
        <w:t>71</w:t>
      </w:r>
      <w:r>
        <w:rPr>
          <w:snapToGrid w:val="0"/>
        </w:rPr>
        <w:t>.</w:t>
      </w:r>
      <w:r>
        <w:rPr>
          <w:snapToGrid w:val="0"/>
        </w:rPr>
        <w:tab/>
        <w:t>Environmental protection directions, issue and effect of</w:t>
      </w:r>
      <w:bookmarkEnd w:id="163"/>
    </w:p>
    <w:p>
      <w:pPr>
        <w:pStyle w:val="Subsection"/>
        <w:keepNext/>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 xml:space="preserve">if </w:t>
      </w:r>
      <w:r>
        <w:t>the CEO</w:t>
      </w:r>
      <w:r>
        <w:rPr>
          <w:snapToGrid w:val="0"/>
        </w:rPr>
        <w:t xml:space="preserv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 xml:space="preserve">direct by radio broadcast or in such other manner as </w:t>
      </w:r>
      <w:r>
        <w:t>the CEO</w:t>
      </w:r>
      <w:r>
        <w:rPr>
          <w:snapToGrid w:val="0"/>
        </w:rPr>
        <w:t xml:space="preserv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lastRenderedPageBreak/>
        <w:tab/>
        <w:t>(5)</w:t>
      </w:r>
      <w:r>
        <w:rPr>
          <w:snapToGrid w:val="0"/>
        </w:rPr>
        <w:tab/>
        <w:t>A person who carries on a specified industry, trade or activity in contravention of a direction given under subsection (1) commits an offence.</w:t>
      </w:r>
    </w:p>
    <w:p>
      <w:pPr>
        <w:pStyle w:val="Subsection"/>
        <w:keepNext/>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No. 54 of 2003 s. 49 and 140(2); No. 40 of 2020 s. 111(1).]</w:t>
      </w:r>
    </w:p>
    <w:p>
      <w:pPr>
        <w:pStyle w:val="Heading5"/>
        <w:rPr>
          <w:snapToGrid w:val="0"/>
        </w:rPr>
      </w:pPr>
      <w:bookmarkStart w:id="164" w:name="_Toc199511932"/>
      <w:r>
        <w:rPr>
          <w:rStyle w:val="CharSectno"/>
        </w:rPr>
        <w:t>72</w:t>
      </w:r>
      <w:r>
        <w:rPr>
          <w:snapToGrid w:val="0"/>
        </w:rPr>
        <w:t>.</w:t>
      </w:r>
      <w:r>
        <w:rPr>
          <w:snapToGrid w:val="0"/>
        </w:rPr>
        <w:tab/>
        <w:t>Duty to notify CEO of discharges of waste</w:t>
      </w:r>
      <w:bookmarkEnd w:id="164"/>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tab/>
        <w:t>(a)</w:t>
      </w:r>
      <w:r>
        <w:rPr>
          <w:snapToGrid w:val="0"/>
        </w:rPr>
        <w:tab/>
        <w:t>occurs as a result of an emergency, accident or malfunction; or</w:t>
      </w:r>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lastRenderedPageBreak/>
        <w:tab/>
        <w:t>(4)</w:t>
      </w:r>
      <w:r>
        <w:rPr>
          <w:snapToGrid w:val="0"/>
        </w:rPr>
        <w:tab/>
        <w:t>An occupier who contravenes subsection (3) commits an offence.</w:t>
      </w:r>
    </w:p>
    <w:p>
      <w:pPr>
        <w:pStyle w:val="Subsection"/>
        <w:keepNext/>
        <w:keepLines/>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 No. 14 of 1998 s. 31; No. 54 of 2003 s. 46(2), 50 and 140(2).]</w:t>
      </w:r>
    </w:p>
    <w:p>
      <w:pPr>
        <w:pStyle w:val="Heading5"/>
        <w:rPr>
          <w:snapToGrid w:val="0"/>
        </w:rPr>
      </w:pPr>
      <w:bookmarkStart w:id="165" w:name="_Toc199511933"/>
      <w:r>
        <w:rPr>
          <w:rStyle w:val="CharSectno"/>
        </w:rPr>
        <w:t>73</w:t>
      </w:r>
      <w:r>
        <w:rPr>
          <w:snapToGrid w:val="0"/>
        </w:rPr>
        <w:t>.</w:t>
      </w:r>
      <w:r>
        <w:rPr>
          <w:snapToGrid w:val="0"/>
        </w:rPr>
        <w:tab/>
        <w:t>Powers to deal with etc. discharges of waste, pollution and environmental harm</w:t>
      </w:r>
      <w:bookmarkEnd w:id="165"/>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 or</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pPr>
      <w:r>
        <w:lastRenderedPageBreak/>
        <w:tab/>
        <w:t>[(2)</w:t>
      </w:r>
      <w:r>
        <w:tab/>
        <w:t>deleted]</w:t>
      </w:r>
    </w:p>
    <w:p>
      <w:pPr>
        <w:pStyle w:val="Subsection"/>
        <w:keepNext/>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 or</w:t>
      </w:r>
    </w:p>
    <w:p>
      <w:pPr>
        <w:pStyle w:val="Indenta"/>
      </w:pPr>
      <w:r>
        <w:lastRenderedPageBreak/>
        <w:tab/>
        <w:t>(e)</w:t>
      </w:r>
      <w:r>
        <w:tab/>
        <w:t>the condition of pollution to be prevented from arising or, if that condition arises, that condition to be controlled or abated; or</w:t>
      </w:r>
    </w:p>
    <w:p>
      <w:pPr>
        <w:pStyle w:val="Indenta"/>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tab/>
        <w:t>(b)</w:t>
      </w:r>
      <w:r>
        <w:tab/>
        <w:t>caused or allowed to be caused —</w:t>
      </w:r>
    </w:p>
    <w:p>
      <w:pPr>
        <w:pStyle w:val="Indenti"/>
        <w:spacing w:before="60"/>
      </w:pPr>
      <w:r>
        <w:tab/>
        <w:t>(i)</w:t>
      </w:r>
      <w:r>
        <w:tab/>
        <w:t>that discharge; or</w:t>
      </w:r>
    </w:p>
    <w:p>
      <w:pPr>
        <w:pStyle w:val="Indenti"/>
        <w:spacing w:before="60"/>
      </w:pPr>
      <w:r>
        <w:tab/>
        <w:t>(ii)</w:t>
      </w:r>
      <w:r>
        <w:tab/>
        <w:t>the likelihood of the relevant condition referred to in subsection (4)(b) arising or the arising of that condition; or</w:t>
      </w:r>
    </w:p>
    <w:p>
      <w:pPr>
        <w:pStyle w:val="Indenti"/>
        <w:spacing w:before="60"/>
      </w:pPr>
      <w:r>
        <w:tab/>
        <w:t>(iii)</w:t>
      </w:r>
      <w:r>
        <w:tab/>
        <w:t>the likelihood of the relevant act referred to in subsection (4)(c) occurring or the occurrence of that act,</w:t>
      </w:r>
    </w:p>
    <w:p>
      <w:pPr>
        <w:pStyle w:val="Subsection"/>
        <w:spacing w:before="12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tab/>
        <w:t>[Section 73 amended: No. 6 of 1993 s. 11; No. 73 of 1994 s. 4; No. 14 of 1998 s. 8; No. 54 of 2003 s. 51(1)</w:t>
      </w:r>
      <w:r>
        <w:noBreakHyphen/>
        <w:t>(5) and 140(2); No. 77 of 2006 s. 4.]</w:t>
      </w:r>
    </w:p>
    <w:p>
      <w:pPr>
        <w:pStyle w:val="Heading5"/>
        <w:spacing w:before="240"/>
      </w:pPr>
      <w:bookmarkStart w:id="166" w:name="_Toc199511934"/>
      <w:r>
        <w:rPr>
          <w:rStyle w:val="CharSectno"/>
        </w:rPr>
        <w:t>73A</w:t>
      </w:r>
      <w:r>
        <w:t>.</w:t>
      </w:r>
      <w:r>
        <w:tab/>
        <w:t>Prevention notices, issue and effect of</w:t>
      </w:r>
      <w:bookmarkEnd w:id="166"/>
    </w:p>
    <w:p>
      <w:pPr>
        <w:pStyle w:val="Subsection"/>
      </w:pPr>
      <w:r>
        <w:tab/>
        <w:t>(1)</w:t>
      </w:r>
      <w:r>
        <w:tab/>
        <w:t>If an inspector or authorised person reasonably suspects that —</w:t>
      </w:r>
    </w:p>
    <w:p>
      <w:pPr>
        <w:pStyle w:val="Indenta"/>
        <w:spacing w:before="60"/>
      </w:pPr>
      <w:r>
        <w:tab/>
        <w:t>(a)</w:t>
      </w:r>
      <w:r>
        <w:tab/>
        <w:t xml:space="preserve">any waste has been or is being discharged from any premises otherwise than in accordance with a works </w:t>
      </w:r>
      <w:r>
        <w:lastRenderedPageBreak/>
        <w:t>approval, licence or requirement contained in a closure notice or an environmental protection notice; or</w:t>
      </w:r>
    </w:p>
    <w:p>
      <w:pPr>
        <w:pStyle w:val="Indenta"/>
        <w:spacing w:before="60"/>
      </w:pPr>
      <w:r>
        <w:tab/>
        <w:t>(b)</w:t>
      </w:r>
      <w:r>
        <w:tab/>
        <w:t>a condition of pollution is likely to arise or has arisen; or</w:t>
      </w:r>
    </w:p>
    <w:p>
      <w:pPr>
        <w:pStyle w:val="Indenta"/>
        <w:spacing w:before="60"/>
      </w:pPr>
      <w:r>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spacing w:before="60"/>
      </w:pPr>
      <w:r>
        <w:tab/>
        <w:t>(a)</w:t>
      </w:r>
      <w:r>
        <w:tab/>
        <w:t>to remove, disperse, destroy, dispose of or otherwise deal with the waste which has been or is being discharged; or</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lastRenderedPageBreak/>
        <w:tab/>
      </w:r>
      <w:r>
        <w:tab/>
        <w:t>as the case requires, reimburse the person any cost incurred by the person in complying with those requirements.</w:t>
      </w:r>
    </w:p>
    <w:p>
      <w:pPr>
        <w:pStyle w:val="Subsection"/>
        <w:keepNext/>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No. 54 of 2003 s. 52; amended: No. 77 of 2006 s. 4.]</w:t>
      </w:r>
    </w:p>
    <w:p>
      <w:pPr>
        <w:pStyle w:val="Heading5"/>
        <w:rPr>
          <w:snapToGrid w:val="0"/>
        </w:rPr>
      </w:pPr>
      <w:bookmarkStart w:id="167" w:name="_Toc199511935"/>
      <w:r>
        <w:rPr>
          <w:rStyle w:val="CharSectno"/>
        </w:rPr>
        <w:lastRenderedPageBreak/>
        <w:t>73B</w:t>
      </w:r>
      <w:r>
        <w:t>.</w:t>
      </w:r>
      <w:r>
        <w:tab/>
        <w:t>Breach of notice issued under s. 65, 70 or 73A, damages for</w:t>
      </w:r>
      <w:bookmarkEnd w:id="167"/>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 or</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 and</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spacing w:before="120"/>
      </w:pPr>
      <w:r>
        <w:tab/>
      </w:r>
      <w:r>
        <w:tab/>
        <w:t>then, by reason of the person’s failure to comply, the owner or occupier of the damaged property has a right of action in tort against the person in respect of the damage.</w:t>
      </w:r>
    </w:p>
    <w:p>
      <w:pPr>
        <w:pStyle w:val="Footnotesection"/>
      </w:pPr>
      <w:r>
        <w:tab/>
        <w:t>[Section 73B inserted: No. 54 of 2003 s. 52.]</w:t>
      </w:r>
    </w:p>
    <w:p>
      <w:pPr>
        <w:pStyle w:val="Heading3"/>
      </w:pPr>
      <w:bookmarkStart w:id="168" w:name="_Toc199511936"/>
      <w:r>
        <w:rPr>
          <w:rStyle w:val="CharDivNo"/>
        </w:rPr>
        <w:t>Division 5</w:t>
      </w:r>
      <w:r>
        <w:t xml:space="preserve"> — </w:t>
      </w:r>
      <w:r>
        <w:rPr>
          <w:rStyle w:val="CharDivText"/>
        </w:rPr>
        <w:t>Miscellaneous</w:t>
      </w:r>
      <w:bookmarkEnd w:id="168"/>
    </w:p>
    <w:p>
      <w:pPr>
        <w:pStyle w:val="Footnotesection"/>
      </w:pPr>
      <w:r>
        <w:tab/>
        <w:t>[Heading inserted: No. 54 of 2003 s. 53.]</w:t>
      </w:r>
    </w:p>
    <w:p>
      <w:pPr>
        <w:pStyle w:val="Heading5"/>
        <w:rPr>
          <w:snapToGrid w:val="0"/>
        </w:rPr>
      </w:pPr>
      <w:bookmarkStart w:id="169" w:name="_Toc199511937"/>
      <w:r>
        <w:rPr>
          <w:rStyle w:val="CharSectno"/>
        </w:rPr>
        <w:t>74</w:t>
      </w:r>
      <w:r>
        <w:rPr>
          <w:snapToGrid w:val="0"/>
        </w:rPr>
        <w:t>.</w:t>
      </w:r>
      <w:r>
        <w:rPr>
          <w:snapToGrid w:val="0"/>
        </w:rPr>
        <w:tab/>
        <w:t>Defences to certain offences</w:t>
      </w:r>
      <w:bookmarkEnd w:id="169"/>
    </w:p>
    <w:p>
      <w:pPr>
        <w:pStyle w:val="Subsection"/>
        <w:spacing w:before="140"/>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spacing w:before="60"/>
        <w:rPr>
          <w:snapToGrid w:val="0"/>
        </w:rPr>
      </w:pPr>
      <w:r>
        <w:rPr>
          <w:snapToGrid w:val="0"/>
        </w:rPr>
        <w:tab/>
        <w:t>(a)</w:t>
      </w:r>
      <w:r>
        <w:rPr>
          <w:snapToGrid w:val="0"/>
        </w:rPr>
        <w:tab/>
        <w:t xml:space="preserve">that </w:t>
      </w:r>
      <w:r>
        <w:t>emission or act</w:t>
      </w:r>
      <w:r>
        <w:rPr>
          <w:snapToGrid w:val="0"/>
        </w:rPr>
        <w:t xml:space="preserve"> occurred —</w:t>
      </w:r>
    </w:p>
    <w:p>
      <w:pPr>
        <w:pStyle w:val="Indenti"/>
        <w:spacing w:before="60"/>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spacing w:before="60"/>
        <w:rPr>
          <w:snapToGrid w:val="0"/>
        </w:rPr>
      </w:pPr>
      <w:r>
        <w:rPr>
          <w:snapToGrid w:val="0"/>
        </w:rPr>
        <w:lastRenderedPageBreak/>
        <w:tab/>
        <w:t>(ii)</w:t>
      </w:r>
      <w:r>
        <w:rPr>
          <w:snapToGrid w:val="0"/>
        </w:rPr>
        <w:tab/>
        <w:t>as a result of an accident caused otherwise than by the negligence of that person,</w:t>
      </w:r>
    </w:p>
    <w:p>
      <w:pPr>
        <w:pStyle w:val="Indenta"/>
        <w:spacing w:before="60"/>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spacing w:before="60"/>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spacing w:before="140"/>
      </w:pPr>
      <w:r>
        <w:t>(1AA)</w:t>
      </w:r>
      <w:r>
        <w:tab/>
        <w:t xml:space="preserve">Subject to section 58 and subsection (2), it shall be a defence to proceedings for an offence under section 49A(2) or (3) if the person charged with the offence proves that — </w:t>
      </w:r>
    </w:p>
    <w:p>
      <w:pPr>
        <w:pStyle w:val="Indenta"/>
        <w:spacing w:before="60"/>
      </w:pPr>
      <w:r>
        <w:tab/>
        <w:t>(a)</w:t>
      </w:r>
      <w:r>
        <w:tab/>
        <w:t xml:space="preserve">the waste was discharged or abandoned — </w:t>
      </w:r>
    </w:p>
    <w:p>
      <w:pPr>
        <w:pStyle w:val="Indenti"/>
        <w:spacing w:before="60"/>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lastRenderedPageBreak/>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 No. 73 of 1994 s. 4; No. 14 of 1998 s. 9; No. 54 of 2003 s. 54 and 140(2); No. 48 of 2010 s. 6.]</w:t>
      </w:r>
    </w:p>
    <w:p>
      <w:pPr>
        <w:pStyle w:val="Heading5"/>
      </w:pPr>
      <w:bookmarkStart w:id="170" w:name="_Toc199511938"/>
      <w:r>
        <w:rPr>
          <w:rStyle w:val="CharSectno"/>
        </w:rPr>
        <w:t>74A</w:t>
      </w:r>
      <w:r>
        <w:t>.</w:t>
      </w:r>
      <w:r>
        <w:tab/>
        <w:t>Defences to offences of causing pollution etc.: authority of this Act</w:t>
      </w:r>
      <w:bookmarkEnd w:id="170"/>
    </w:p>
    <w:p>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lastRenderedPageBreak/>
        <w:tab/>
        <w:t>(viii)</w:t>
      </w:r>
      <w:r>
        <w:tab/>
        <w:t>an exemption under section 75; or</w:t>
      </w:r>
    </w:p>
    <w:p>
      <w:pPr>
        <w:pStyle w:val="Indenti"/>
      </w:pPr>
      <w:r>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ind w:left="890" w:hanging="890"/>
      </w:pPr>
      <w:r>
        <w:tab/>
        <w:t>[Section 74A inserted: No. 54 of 2003 s. 55; amended: No. 48 of 2010 s. 7.]</w:t>
      </w:r>
    </w:p>
    <w:p>
      <w:pPr>
        <w:pStyle w:val="Heading5"/>
      </w:pPr>
      <w:bookmarkStart w:id="171" w:name="_Toc199511939"/>
      <w:r>
        <w:rPr>
          <w:rStyle w:val="CharSectno"/>
        </w:rPr>
        <w:t>74B</w:t>
      </w:r>
      <w:r>
        <w:t>.</w:t>
      </w:r>
      <w:r>
        <w:tab/>
        <w:t>Other defences to environmental harm offences</w:t>
      </w:r>
      <w:bookmarkEnd w:id="171"/>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 or</w:t>
      </w:r>
    </w:p>
    <w:p>
      <w:pPr>
        <w:pStyle w:val="Indenta"/>
        <w:spacing w:before="60"/>
      </w:pPr>
      <w:r>
        <w:tab/>
        <w:t>(b)</w:t>
      </w:r>
      <w:r>
        <w:tab/>
        <w:t>done in the exercise by a public authority, or a member, officer or employee of a public authority, of a function conferred under another written law; or</w:t>
      </w:r>
    </w:p>
    <w:p>
      <w:pPr>
        <w:pStyle w:val="Indenta"/>
      </w:pPr>
      <w:r>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p>
    <w:p>
      <w:pPr>
        <w:pStyle w:val="Indenta"/>
      </w:pPr>
      <w:r>
        <w:tab/>
        <w:t>(d)</w:t>
      </w:r>
      <w:r>
        <w:tab/>
        <w:t xml:space="preserve">an agricultural activity (including the management or harvesting of a plantation) done in compliance with a code of practice relating to an activity of that kind — </w:t>
      </w:r>
    </w:p>
    <w:p>
      <w:pPr>
        <w:pStyle w:val="Indenti"/>
      </w:pPr>
      <w:r>
        <w:tab/>
        <w:t>(i)</w:t>
      </w:r>
      <w:r>
        <w:tab/>
        <w:t>issued under section 122A; or</w:t>
      </w:r>
    </w:p>
    <w:p>
      <w:pPr>
        <w:pStyle w:val="Indenti"/>
      </w:pPr>
      <w:r>
        <w:tab/>
        <w:t>(ii)</w:t>
      </w:r>
      <w:r>
        <w:tab/>
        <w:t>made or approved under any other written law;</w:t>
      </w:r>
    </w:p>
    <w:p>
      <w:pPr>
        <w:pStyle w:val="Indenta"/>
      </w:pPr>
      <w:r>
        <w:lastRenderedPageBreak/>
        <w:tab/>
      </w:r>
      <w:r>
        <w:tab/>
        <w:t>or</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No. 54 of 2003 s. 55; amended: No. 54 of 2011 s. 4.]</w:t>
      </w:r>
    </w:p>
    <w:p>
      <w:pPr>
        <w:pStyle w:val="Heading5"/>
        <w:rPr>
          <w:snapToGrid w:val="0"/>
        </w:rPr>
      </w:pPr>
      <w:bookmarkStart w:id="172" w:name="_Toc199511940"/>
      <w:r>
        <w:rPr>
          <w:rStyle w:val="CharSectno"/>
        </w:rPr>
        <w:t>75</w:t>
      </w:r>
      <w:r>
        <w:rPr>
          <w:snapToGrid w:val="0"/>
        </w:rPr>
        <w:t>.</w:t>
      </w:r>
      <w:r>
        <w:rPr>
          <w:snapToGrid w:val="0"/>
        </w:rPr>
        <w:tab/>
        <w:t>Discharges or emissions in emergencies</w:t>
      </w:r>
      <w:bookmarkEnd w:id="172"/>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 xml:space="preserve">on </w:t>
      </w:r>
      <w:r>
        <w:t>the CEO’s</w:t>
      </w:r>
      <w:r>
        <w:rPr>
          <w:snapToGrid w:val="0"/>
        </w:rPr>
        <w:t xml:space="preserve"> own initiative or at the instance of another person exempt the occupier of those premises from compliance with this Part for such period not exceeding 14 days, and subject to such conditions, as </w:t>
      </w:r>
      <w:r>
        <w:t>the CEO</w:t>
      </w:r>
      <w:r>
        <w:rPr>
          <w:snapToGrid w:val="0"/>
        </w:rPr>
        <w:t xml:space="preserv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w:t>
      </w:r>
      <w:r>
        <w:t>the CEO</w:t>
      </w:r>
      <w:r>
        <w:rPr>
          <w:snapToGrid w:val="0"/>
        </w:rPr>
        <w:t xml:space="preserve"> shall within a period of 24 hours of so granting it serve on the recipient of that exemption confirmation thereof in writing </w:t>
      </w:r>
      <w:r>
        <w:rPr>
          <w:snapToGrid w:val="0"/>
        </w:rPr>
        <w:lastRenderedPageBreak/>
        <w:t>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No. 54 of 2003 s. 56 and 140(2); No. 40 of 2020 s. 111(1).]</w:t>
      </w:r>
    </w:p>
    <w:p>
      <w:pPr>
        <w:pStyle w:val="Heading5"/>
        <w:rPr>
          <w:snapToGrid w:val="0"/>
        </w:rPr>
      </w:pPr>
      <w:bookmarkStart w:id="173" w:name="_Toc199511941"/>
      <w:r>
        <w:rPr>
          <w:rStyle w:val="CharSectno"/>
        </w:rPr>
        <w:t>76</w:t>
      </w:r>
      <w:r>
        <w:rPr>
          <w:snapToGrid w:val="0"/>
        </w:rPr>
        <w:t>.</w:t>
      </w:r>
      <w:r>
        <w:rPr>
          <w:snapToGrid w:val="0"/>
        </w:rPr>
        <w:tab/>
        <w:t>Miscellaneous offences</w:t>
      </w:r>
      <w:bookmarkEnd w:id="173"/>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the person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Footnotesection"/>
      </w:pPr>
      <w:r>
        <w:tab/>
        <w:t>[Section 76 amended: No. 40 of 2020 s. 111(1).]</w:t>
      </w:r>
    </w:p>
    <w:p>
      <w:pPr>
        <w:pStyle w:val="Heading5"/>
        <w:rPr>
          <w:snapToGrid w:val="0"/>
        </w:rPr>
      </w:pPr>
      <w:bookmarkStart w:id="174" w:name="_Toc199511942"/>
      <w:r>
        <w:rPr>
          <w:rStyle w:val="CharSectno"/>
        </w:rPr>
        <w:t>77</w:t>
      </w:r>
      <w:r>
        <w:rPr>
          <w:snapToGrid w:val="0"/>
        </w:rPr>
        <w:t>.</w:t>
      </w:r>
      <w:r>
        <w:rPr>
          <w:snapToGrid w:val="0"/>
        </w:rPr>
        <w:tab/>
        <w:t>Vehicles and vessels, duties of owners etc. of</w:t>
      </w:r>
      <w:bookmarkEnd w:id="174"/>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 xml:space="preserve">A person who is the owner or driver of a vehicle which is at the time of its use on a road, public place or reserve capable of discharging into the atmosphere or any waters any matter that </w:t>
      </w:r>
      <w:r>
        <w:rPr>
          <w:snapToGrid w:val="0"/>
        </w:rPr>
        <w:lastRenderedPageBreak/>
        <w:t>does not comply with any standard prescribed for the purposes of this subsection commits an offence.</w:t>
      </w:r>
    </w:p>
    <w:p>
      <w:pPr>
        <w:pStyle w:val="Subsection"/>
        <w:spacing w:before="12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rPr>
          <w:snapToGrid w:val="0"/>
        </w:rPr>
      </w:pPr>
      <w:bookmarkStart w:id="175" w:name="_Toc199511943"/>
      <w:r>
        <w:rPr>
          <w:rStyle w:val="CharSectno"/>
        </w:rPr>
        <w:t>78</w:t>
      </w:r>
      <w:r>
        <w:rPr>
          <w:snapToGrid w:val="0"/>
        </w:rPr>
        <w:t>.</w:t>
      </w:r>
      <w:r>
        <w:rPr>
          <w:snapToGrid w:val="0"/>
        </w:rPr>
        <w:tab/>
        <w:t>Interfering with anti</w:t>
      </w:r>
      <w:r>
        <w:rPr>
          <w:snapToGrid w:val="0"/>
        </w:rPr>
        <w:noBreakHyphen/>
        <w:t>pollution devices on vehicles or vessels</w:t>
      </w:r>
      <w:bookmarkEnd w:id="175"/>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lastRenderedPageBreak/>
        <w:tab/>
      </w:r>
      <w:r>
        <w:rPr>
          <w:snapToGrid w:val="0"/>
        </w:rPr>
        <w:tab/>
        <w:t>or</w:t>
      </w:r>
    </w:p>
    <w:p>
      <w:pPr>
        <w:pStyle w:val="Indenta"/>
        <w:keepNext/>
        <w:rPr>
          <w:snapToGrid w:val="0"/>
        </w:rPr>
      </w:pPr>
      <w:r>
        <w:rPr>
          <w:snapToGrid w:val="0"/>
        </w:rPr>
        <w:tab/>
        <w:t>(b)</w:t>
      </w:r>
      <w:r>
        <w:rPr>
          <w:snapToGrid w:val="0"/>
        </w:rPr>
        <w:tab/>
        <w:t>as a temporary measure for the purpose of facilitating the service or repair of a vehicle or vessel.</w:t>
      </w:r>
    </w:p>
    <w:p>
      <w:pPr>
        <w:pStyle w:val="Subsection"/>
        <w:keepLines/>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176" w:name="_Toc199511944"/>
      <w:r>
        <w:rPr>
          <w:rStyle w:val="CharSectno"/>
        </w:rPr>
        <w:t>79</w:t>
      </w:r>
      <w:r>
        <w:rPr>
          <w:snapToGrid w:val="0"/>
        </w:rPr>
        <w:t>.</w:t>
      </w:r>
      <w:r>
        <w:rPr>
          <w:snapToGrid w:val="0"/>
        </w:rPr>
        <w:tab/>
        <w:t>Unreasonable noise emissions from premises</w:t>
      </w:r>
      <w:bookmarkEnd w:id="176"/>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 or</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 or</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lastRenderedPageBreak/>
        <w:tab/>
        <w:t>(c)</w:t>
      </w:r>
      <w:r>
        <w:rPr>
          <w:snapToGrid w:val="0"/>
        </w:rPr>
        <w:tab/>
        <w:t xml:space="preserve">the enjoyment of the premises occupied by </w:t>
      </w:r>
      <w:r>
        <w:t>the person</w:t>
      </w:r>
      <w:r>
        <w:rPr>
          <w:snapToGrid w:val="0"/>
        </w:rPr>
        <w:t xml:space="preserve">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spacing w:before="100"/>
      </w:pPr>
      <w:r>
        <w:tab/>
        <w:t>[Section 79 amended: No. 84 of 2004 s. 80 and 82; No. 40 of 2020 s. 111(1).]</w:t>
      </w:r>
    </w:p>
    <w:p>
      <w:pPr>
        <w:pStyle w:val="Heading5"/>
        <w:rPr>
          <w:snapToGrid w:val="0"/>
        </w:rPr>
      </w:pPr>
      <w:bookmarkStart w:id="177" w:name="_Toc199511945"/>
      <w:r>
        <w:rPr>
          <w:rStyle w:val="CharSectno"/>
        </w:rPr>
        <w:t>80</w:t>
      </w:r>
      <w:r>
        <w:rPr>
          <w:snapToGrid w:val="0"/>
        </w:rPr>
        <w:t>.</w:t>
      </w:r>
      <w:r>
        <w:rPr>
          <w:snapToGrid w:val="0"/>
        </w:rPr>
        <w:tab/>
        <w:t>Installing equipment emitting unreasonable noise</w:t>
      </w:r>
      <w:bookmarkEnd w:id="177"/>
    </w:p>
    <w:p>
      <w:pPr>
        <w:pStyle w:val="Subsection"/>
        <w:rPr>
          <w:snapToGrid w:val="0"/>
        </w:rPr>
      </w:pPr>
      <w:r>
        <w:rPr>
          <w:snapToGrid w:val="0"/>
        </w:rPr>
        <w:tab/>
        <w:t>(1)</w:t>
      </w:r>
      <w:r>
        <w:rPr>
          <w:snapToGrid w:val="0"/>
        </w:rPr>
        <w:tab/>
        <w:t>A person who installs on or in any premises any equipment which, when operated, emits unreasonable noise and which the person knows or, if the person had exercised reasonable care, would have known so to emit when so installed and operated, commits an offence.</w:t>
      </w:r>
    </w:p>
    <w:p>
      <w:pPr>
        <w:pStyle w:val="Subsection"/>
        <w:rPr>
          <w:snapToGrid w:val="0"/>
        </w:rPr>
      </w:pPr>
      <w:r>
        <w:rPr>
          <w:snapToGrid w:val="0"/>
        </w:rPr>
        <w:tab/>
        <w:t>(2)</w:t>
      </w:r>
      <w:r>
        <w:rPr>
          <w:snapToGrid w:val="0"/>
        </w:rPr>
        <w:tab/>
        <w:t xml:space="preserve">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w:t>
      </w:r>
      <w:r>
        <w:t>the occupier</w:t>
      </w:r>
      <w:r>
        <w:rPr>
          <w:snapToGrid w:val="0"/>
        </w:rPr>
        <w:t xml:space="preserve"> in respect of the first</w:t>
      </w:r>
      <w:r>
        <w:rPr>
          <w:snapToGrid w:val="0"/>
        </w:rPr>
        <w:noBreakHyphen/>
        <w:t>mentioned offence, from the other person by action in a court of competent jurisdiction.</w:t>
      </w:r>
    </w:p>
    <w:p>
      <w:pPr>
        <w:pStyle w:val="Footnotesection"/>
      </w:pPr>
      <w:r>
        <w:tab/>
        <w:t>[Section 80 amended: No. 40 of 2020 s. 111(1).]</w:t>
      </w:r>
    </w:p>
    <w:p>
      <w:pPr>
        <w:pStyle w:val="Heading5"/>
        <w:spacing w:before="180"/>
        <w:rPr>
          <w:snapToGrid w:val="0"/>
        </w:rPr>
      </w:pPr>
      <w:bookmarkStart w:id="178" w:name="_Toc199511946"/>
      <w:r>
        <w:rPr>
          <w:rStyle w:val="CharSectno"/>
        </w:rPr>
        <w:t>81</w:t>
      </w:r>
      <w:r>
        <w:rPr>
          <w:snapToGrid w:val="0"/>
        </w:rPr>
        <w:t>.</w:t>
      </w:r>
      <w:r>
        <w:rPr>
          <w:snapToGrid w:val="0"/>
        </w:rPr>
        <w:tab/>
        <w:t>Noise abatement, powers for</w:t>
      </w:r>
      <w:bookmarkEnd w:id="178"/>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 xml:space="preserve">direct, either orally or in writing as </w:t>
      </w:r>
      <w:r>
        <w:t xml:space="preserve">the </w:t>
      </w:r>
      <w:r>
        <w:rPr>
          <w:snapToGrid w:val="0"/>
        </w:rPr>
        <w:t>authorised person or police officer considers appropriate —</w:t>
      </w:r>
    </w:p>
    <w:p>
      <w:pPr>
        <w:pStyle w:val="Indenti"/>
        <w:keepNext/>
        <w:rPr>
          <w:snapToGrid w:val="0"/>
        </w:rPr>
      </w:pPr>
      <w:r>
        <w:rPr>
          <w:snapToGrid w:val="0"/>
        </w:rPr>
        <w:tab/>
        <w:t>(i)</w:t>
      </w:r>
      <w:r>
        <w:rPr>
          <w:snapToGrid w:val="0"/>
        </w:rPr>
        <w:tab/>
        <w:t xml:space="preserve">the person whom </w:t>
      </w:r>
      <w:r>
        <w:t xml:space="preserve">the </w:t>
      </w:r>
      <w:r>
        <w:rPr>
          <w:snapToGrid w:val="0"/>
        </w:rPr>
        <w:t xml:space="preserve">authorised person or police officer believes to be the occupier of those </w:t>
      </w:r>
      <w:r>
        <w:rPr>
          <w:snapToGrid w:val="0"/>
        </w:rPr>
        <w:lastRenderedPageBreak/>
        <w:t>premises to cause the emission of that unreasonable noise to cease; or</w:t>
      </w:r>
    </w:p>
    <w:p>
      <w:pPr>
        <w:pStyle w:val="Indenti"/>
        <w:rPr>
          <w:snapToGrid w:val="0"/>
        </w:rPr>
      </w:pPr>
      <w:r>
        <w:rPr>
          <w:snapToGrid w:val="0"/>
        </w:rPr>
        <w:tab/>
        <w:t>(ii)</w:t>
      </w:r>
      <w:r>
        <w:rPr>
          <w:snapToGrid w:val="0"/>
        </w:rPr>
        <w:tab/>
        <w:t xml:space="preserve">any person whom </w:t>
      </w:r>
      <w:r>
        <w:t xml:space="preserve">the </w:t>
      </w:r>
      <w:r>
        <w:rPr>
          <w:snapToGrid w:val="0"/>
        </w:rPr>
        <w:t>authorised person or police officer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Footnotesection"/>
      </w:pPr>
      <w:r>
        <w:tab/>
        <w:t>[Section 81 amended: No. 40 of 2020 s. 111(1).]</w:t>
      </w:r>
    </w:p>
    <w:p>
      <w:pPr>
        <w:pStyle w:val="Heading5"/>
        <w:rPr>
          <w:snapToGrid w:val="0"/>
        </w:rPr>
      </w:pPr>
      <w:bookmarkStart w:id="179" w:name="_Toc199511947"/>
      <w:r>
        <w:rPr>
          <w:rStyle w:val="CharSectno"/>
        </w:rPr>
        <w:t>81A</w:t>
      </w:r>
      <w:r>
        <w:rPr>
          <w:snapToGrid w:val="0"/>
        </w:rPr>
        <w:t>.</w:t>
      </w:r>
      <w:r>
        <w:rPr>
          <w:snapToGrid w:val="0"/>
        </w:rPr>
        <w:tab/>
        <w:t>Seizing noisy equipment</w:t>
      </w:r>
      <w:bookmarkEnd w:id="179"/>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keepNext/>
        <w:rPr>
          <w:snapToGrid w:val="0"/>
        </w:rPr>
      </w:pPr>
      <w:r>
        <w:rPr>
          <w:snapToGrid w:val="0"/>
        </w:rPr>
        <w:lastRenderedPageBreak/>
        <w:tab/>
        <w:t>(b)</w:t>
      </w:r>
      <w:r>
        <w:rPr>
          <w:snapToGrid w:val="0"/>
        </w:rPr>
        <w:tab/>
        <w:t>has reason to believe that although a direction could be given under section 81(1)(a) in relation to any premises such a direction would not be complied with,</w:t>
      </w:r>
    </w:p>
    <w:p>
      <w:pPr>
        <w:pStyle w:val="Subsection"/>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 xml:space="preserve">A person is not to be required to pay costs under subsection (2a) if that person shows to the satisfaction of the CEO that the </w:t>
      </w:r>
      <w:r>
        <w:rPr>
          <w:snapToGrid w:val="0"/>
        </w:rPr>
        <w:t>person</w:t>
      </w:r>
      <w:r>
        <w:t xml:space="preserv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keepNext/>
        <w:rPr>
          <w:snapToGrid w:val="0"/>
        </w:rPr>
      </w:pPr>
      <w:r>
        <w:rPr>
          <w:snapToGrid w:val="0"/>
        </w:rPr>
        <w:tab/>
        <w:t>(3)</w:t>
      </w:r>
      <w:r>
        <w:rPr>
          <w:snapToGrid w:val="0"/>
        </w:rPr>
        <w:tab/>
        <w:t xml:space="preserve">An authorised person or police officer who seizes any equipment under this section or a person who otherwise performs any function under this section in relation to equipment seized is not liable for any loss, damage or injury of </w:t>
      </w:r>
      <w:r>
        <w:rPr>
          <w:snapToGrid w:val="0"/>
        </w:rPr>
        <w:lastRenderedPageBreak/>
        <w:t>or to the equipment unless it is shown that the person deliberately failed to take reasonable care of the equipment.</w:t>
      </w:r>
    </w:p>
    <w:p>
      <w:pPr>
        <w:pStyle w:val="Subsection"/>
        <w:keepNext/>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No. 50 of 1996 s. 9; amended: No. 54 of 2003 s. 127; No. 40 of 2020 s. 111(1).]</w:t>
      </w:r>
    </w:p>
    <w:p>
      <w:pPr>
        <w:pStyle w:val="Heading5"/>
        <w:rPr>
          <w:snapToGrid w:val="0"/>
        </w:rPr>
      </w:pPr>
      <w:bookmarkStart w:id="180" w:name="_Toc199511948"/>
      <w:r>
        <w:rPr>
          <w:rStyle w:val="CharSectno"/>
        </w:rPr>
        <w:t>82</w:t>
      </w:r>
      <w:r>
        <w:rPr>
          <w:snapToGrid w:val="0"/>
        </w:rPr>
        <w:t>.</w:t>
      </w:r>
      <w:r>
        <w:rPr>
          <w:snapToGrid w:val="0"/>
        </w:rPr>
        <w:tab/>
        <w:t>Ancillary powers for s. 81 and 81A</w:t>
      </w:r>
      <w:bookmarkEnd w:id="180"/>
    </w:p>
    <w:p>
      <w:pPr>
        <w:pStyle w:val="Subsection"/>
        <w:rPr>
          <w:snapToGrid w:val="0"/>
        </w:rPr>
      </w:pPr>
      <w:r>
        <w:rPr>
          <w:snapToGrid w:val="0"/>
        </w:rPr>
        <w:tab/>
        <w:t>(1)</w:t>
      </w:r>
      <w:r>
        <w:rPr>
          <w:snapToGrid w:val="0"/>
        </w:rPr>
        <w:tab/>
        <w:t xml:space="preserve">An authorised person or police officer may, for the purpose of enabling </w:t>
      </w:r>
      <w:r>
        <w:t xml:space="preserve">the </w:t>
      </w:r>
      <w:r>
        <w:rPr>
          <w:snapToGrid w:val="0"/>
        </w:rPr>
        <w:t>authorised person or police officer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 xml:space="preserve">enter those premises, with the aid of such other authorised persons or police officers as </w:t>
      </w:r>
      <w:r>
        <w:t xml:space="preserve">the </w:t>
      </w:r>
      <w:r>
        <w:rPr>
          <w:snapToGrid w:val="0"/>
        </w:rPr>
        <w:t xml:space="preserve">authorised person or police officer considers necessary and, subject to subsection (3), with the use of reasonable force, at any time when </w:t>
      </w:r>
      <w:r>
        <w:t xml:space="preserve">the </w:t>
      </w:r>
      <w:r>
        <w:rPr>
          <w:snapToGrid w:val="0"/>
        </w:rPr>
        <w:t>authorised person or police officer considers on reasonable grounds that an unreasonable noise has been or is being emitted from those premises; and</w:t>
      </w:r>
    </w:p>
    <w:p>
      <w:pPr>
        <w:pStyle w:val="Indenta"/>
        <w:rPr>
          <w:snapToGrid w:val="0"/>
        </w:rPr>
      </w:pPr>
      <w:r>
        <w:rPr>
          <w:snapToGrid w:val="0"/>
        </w:rPr>
        <w:tab/>
        <w:t>(b)</w:t>
      </w:r>
      <w:r>
        <w:rPr>
          <w:snapToGrid w:val="0"/>
        </w:rPr>
        <w:tab/>
        <w:t xml:space="preserve">whether or not </w:t>
      </w:r>
      <w:r>
        <w:t xml:space="preserve">the </w:t>
      </w:r>
      <w:r>
        <w:rPr>
          <w:snapToGrid w:val="0"/>
        </w:rPr>
        <w:t>authorised person or police officer enters those premises, require any person —</w:t>
      </w:r>
    </w:p>
    <w:p>
      <w:pPr>
        <w:pStyle w:val="Indenti"/>
        <w:rPr>
          <w:snapToGrid w:val="0"/>
        </w:rPr>
      </w:pPr>
      <w:r>
        <w:rPr>
          <w:snapToGrid w:val="0"/>
        </w:rPr>
        <w:tab/>
        <w:t>(i)</w:t>
      </w:r>
      <w:r>
        <w:rPr>
          <w:snapToGrid w:val="0"/>
        </w:rPr>
        <w:tab/>
        <w:t xml:space="preserve">who </w:t>
      </w:r>
      <w:r>
        <w:t xml:space="preserve">the </w:t>
      </w:r>
      <w:r>
        <w:rPr>
          <w:snapToGrid w:val="0"/>
        </w:rPr>
        <w:t>authorised person or police officer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 xml:space="preserve">to whom </w:t>
      </w:r>
      <w:r>
        <w:t xml:space="preserve">the </w:t>
      </w:r>
      <w:r>
        <w:rPr>
          <w:snapToGrid w:val="0"/>
        </w:rPr>
        <w:t xml:space="preserve">authorised person or police officer has given an oral or written warning of the obligation of that person to furnish </w:t>
      </w:r>
      <w:r>
        <w:t xml:space="preserve">the </w:t>
      </w:r>
      <w:r>
        <w:rPr>
          <w:snapToGrid w:val="0"/>
        </w:rPr>
        <w:t xml:space="preserve">authorised person or police officer with the name and </w:t>
      </w:r>
      <w:r>
        <w:rPr>
          <w:snapToGrid w:val="0"/>
        </w:rPr>
        <w:lastRenderedPageBreak/>
        <w:t>address of that person and with the name and address of the occupier of those premises,</w:t>
      </w:r>
    </w:p>
    <w:p>
      <w:pPr>
        <w:pStyle w:val="Indenta"/>
        <w:rPr>
          <w:snapToGrid w:val="0"/>
        </w:rPr>
      </w:pPr>
      <w:r>
        <w:rPr>
          <w:snapToGrid w:val="0"/>
        </w:rPr>
        <w:tab/>
      </w:r>
      <w:r>
        <w:rPr>
          <w:snapToGrid w:val="0"/>
        </w:rPr>
        <w:tab/>
        <w:t xml:space="preserve">to furnish </w:t>
      </w:r>
      <w:r>
        <w:t xml:space="preserve">the </w:t>
      </w:r>
      <w:r>
        <w:rPr>
          <w:snapToGrid w:val="0"/>
        </w:rPr>
        <w:t>authorised person or police officer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 xml:space="preserve">An authorised person shall not, if </w:t>
      </w:r>
      <w:r>
        <w:t xml:space="preserve">the </w:t>
      </w:r>
      <w:r>
        <w:rPr>
          <w:snapToGrid w:val="0"/>
        </w:rPr>
        <w:t xml:space="preserve">authorised person exercises the power referred to in subsection (1)(a), use force in so doing unless </w:t>
      </w:r>
      <w:r>
        <w:t xml:space="preserve">the </w:t>
      </w:r>
      <w:r>
        <w:rPr>
          <w:snapToGrid w:val="0"/>
        </w:rPr>
        <w:t>authorised person is, or is accompanied by, a police officer.</w:t>
      </w:r>
    </w:p>
    <w:p>
      <w:pPr>
        <w:pStyle w:val="Footnotesection"/>
      </w:pPr>
      <w:r>
        <w:tab/>
        <w:t>[Section 82 amended: No. 50 of 1996 s. 10; No. 40 of 2020 s. 111(1).]</w:t>
      </w:r>
    </w:p>
    <w:p>
      <w:pPr>
        <w:pStyle w:val="Heading5"/>
        <w:rPr>
          <w:snapToGrid w:val="0"/>
        </w:rPr>
      </w:pPr>
      <w:bookmarkStart w:id="181" w:name="_Toc199511949"/>
      <w:r>
        <w:rPr>
          <w:rStyle w:val="CharSectno"/>
        </w:rPr>
        <w:t>83</w:t>
      </w:r>
      <w:r>
        <w:rPr>
          <w:snapToGrid w:val="0"/>
        </w:rPr>
        <w:t>.</w:t>
      </w:r>
      <w:r>
        <w:rPr>
          <w:snapToGrid w:val="0"/>
        </w:rPr>
        <w:tab/>
        <w:t>Duty to give assistance and information to officials</w:t>
      </w:r>
      <w:bookmarkEnd w:id="181"/>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 xml:space="preserve">the authorised person or police officer requires of </w:t>
      </w:r>
      <w:r>
        <w:t>that occupier or person</w:t>
      </w:r>
      <w:r>
        <w:rPr>
          <w:snapToGrid w:val="0"/>
          <w:spacing w:val="-4"/>
        </w:rPr>
        <w:t>;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No. 50 of 1996 s. 11; No. 40 of 2020 s. 111(1).]</w:t>
      </w:r>
    </w:p>
    <w:p>
      <w:pPr>
        <w:pStyle w:val="Heading5"/>
        <w:rPr>
          <w:snapToGrid w:val="0"/>
        </w:rPr>
      </w:pPr>
      <w:bookmarkStart w:id="182" w:name="_Toc199511950"/>
      <w:r>
        <w:rPr>
          <w:rStyle w:val="CharSectno"/>
        </w:rPr>
        <w:t>84</w:t>
      </w:r>
      <w:r>
        <w:rPr>
          <w:snapToGrid w:val="0"/>
        </w:rPr>
        <w:t>.</w:t>
      </w:r>
      <w:r>
        <w:rPr>
          <w:snapToGrid w:val="0"/>
        </w:rPr>
        <w:tab/>
        <w:t>Excessive noise emissions from vehicles or vessels</w:t>
      </w:r>
      <w:bookmarkEnd w:id="182"/>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lastRenderedPageBreak/>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183" w:name="_Toc199511951"/>
      <w:r>
        <w:rPr>
          <w:rStyle w:val="CharSectno"/>
        </w:rPr>
        <w:t>85</w:t>
      </w:r>
      <w:r>
        <w:rPr>
          <w:snapToGrid w:val="0"/>
        </w:rPr>
        <w:t>.</w:t>
      </w:r>
      <w:r>
        <w:rPr>
          <w:snapToGrid w:val="0"/>
        </w:rPr>
        <w:tab/>
        <w:t>Excessive noise emissions from equipment</w:t>
      </w:r>
      <w:bookmarkEnd w:id="183"/>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184" w:name="_Toc199511952"/>
      <w:r>
        <w:rPr>
          <w:rStyle w:val="CharSectno"/>
        </w:rPr>
        <w:t>86</w:t>
      </w:r>
      <w:r>
        <w:rPr>
          <w:snapToGrid w:val="0"/>
        </w:rPr>
        <w:t>.</w:t>
      </w:r>
      <w:r>
        <w:rPr>
          <w:snapToGrid w:val="0"/>
        </w:rPr>
        <w:tab/>
        <w:t>Manufacture, sale etc. of products emitting excessive noise</w:t>
      </w:r>
      <w:bookmarkEnd w:id="184"/>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keepNext/>
        <w:rPr>
          <w:snapToGrid w:val="0"/>
        </w:rPr>
      </w:pPr>
      <w:r>
        <w:rPr>
          <w:snapToGrid w:val="0"/>
        </w:rPr>
        <w:lastRenderedPageBreak/>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the person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Footnotesection"/>
      </w:pPr>
      <w:r>
        <w:tab/>
        <w:t>[Section 86 amended: No. 40 of 2020 s. 111(1).]</w:t>
      </w:r>
    </w:p>
    <w:p>
      <w:pPr>
        <w:pStyle w:val="Heading2"/>
      </w:pPr>
      <w:bookmarkStart w:id="185" w:name="_Toc199511953"/>
      <w:r>
        <w:rPr>
          <w:rStyle w:val="CharPartNo"/>
        </w:rPr>
        <w:lastRenderedPageBreak/>
        <w:t>Part VA</w:t>
      </w:r>
      <w:r>
        <w:rPr>
          <w:rStyle w:val="CharDivNo"/>
        </w:rPr>
        <w:t xml:space="preserve"> </w:t>
      </w:r>
      <w:r>
        <w:t>—</w:t>
      </w:r>
      <w:r>
        <w:rPr>
          <w:rStyle w:val="CharDivText"/>
        </w:rPr>
        <w:t xml:space="preserve"> </w:t>
      </w:r>
      <w:r>
        <w:rPr>
          <w:rStyle w:val="CharPartText"/>
        </w:rPr>
        <w:t>Financial assurances</w:t>
      </w:r>
      <w:bookmarkEnd w:id="185"/>
    </w:p>
    <w:p>
      <w:pPr>
        <w:pStyle w:val="Footnotesection"/>
      </w:pPr>
      <w:r>
        <w:tab/>
        <w:t>[Heading inserted: No. 54 of 2003 s. 87.]</w:t>
      </w:r>
    </w:p>
    <w:p>
      <w:pPr>
        <w:pStyle w:val="Heading5"/>
      </w:pPr>
      <w:bookmarkStart w:id="186" w:name="_Toc199511954"/>
      <w:r>
        <w:rPr>
          <w:rStyle w:val="CharSectno"/>
        </w:rPr>
        <w:t>86A</w:t>
      </w:r>
      <w:r>
        <w:t>.</w:t>
      </w:r>
      <w:r>
        <w:tab/>
        <w:t>Terms used</w:t>
      </w:r>
      <w:bookmarkEnd w:id="186"/>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 or</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 or</w:t>
      </w:r>
    </w:p>
    <w:p>
      <w:pPr>
        <w:pStyle w:val="Defpara"/>
      </w:pPr>
      <w:r>
        <w:tab/>
        <w:t>(b)</w:t>
      </w:r>
      <w:r>
        <w:tab/>
        <w:t>in relation to an authorisation, the holder of the authorisation or, in the case of a declaration or exemption, a person required to comply with a condition of the exemption; or</w:t>
      </w:r>
    </w:p>
    <w:p>
      <w:pPr>
        <w:pStyle w:val="Defpara"/>
      </w:pPr>
      <w:r>
        <w:tab/>
        <w:t>(c)</w:t>
      </w:r>
      <w:r>
        <w:tab/>
        <w:t>in relation to a closure notice, the person bound by the notice; or</w:t>
      </w:r>
    </w:p>
    <w:p>
      <w:pPr>
        <w:pStyle w:val="Defpara"/>
      </w:pPr>
      <w:r>
        <w:tab/>
        <w:t>(d)</w:t>
      </w:r>
      <w:r>
        <w:tab/>
        <w:t>in relation to an environmental protection notice, the person bound by the notice; or</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No. 54 of 2003 s. 87.]</w:t>
      </w:r>
    </w:p>
    <w:p>
      <w:pPr>
        <w:pStyle w:val="Heading5"/>
      </w:pPr>
      <w:bookmarkStart w:id="187" w:name="_Toc199511955"/>
      <w:r>
        <w:rPr>
          <w:rStyle w:val="CharSectno"/>
        </w:rPr>
        <w:lastRenderedPageBreak/>
        <w:t>86B</w:t>
      </w:r>
      <w:r>
        <w:t>.</w:t>
      </w:r>
      <w:r>
        <w:tab/>
        <w:t>Financial assurance requirements, imposition and effect of</w:t>
      </w:r>
      <w:bookmarkEnd w:id="187"/>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 or</w:t>
      </w:r>
    </w:p>
    <w:p>
      <w:pPr>
        <w:pStyle w:val="Indenta"/>
      </w:pPr>
      <w:r>
        <w:tab/>
        <w:t>(b)</w:t>
      </w:r>
      <w:r>
        <w:tab/>
        <w:t>a person bound by an environmental protection notice; or</w:t>
      </w:r>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keepLines/>
      </w:pPr>
      <w:r>
        <w:lastRenderedPageBreak/>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ind w:left="890" w:hanging="890"/>
      </w:pPr>
      <w:r>
        <w:tab/>
        <w:t>[Section 86B inserted: No. 54 of 2003 s. 87.]</w:t>
      </w:r>
    </w:p>
    <w:p>
      <w:pPr>
        <w:pStyle w:val="Heading5"/>
      </w:pPr>
      <w:bookmarkStart w:id="188" w:name="_Toc199511956"/>
      <w:r>
        <w:rPr>
          <w:rStyle w:val="CharSectno"/>
        </w:rPr>
        <w:t>86C</w:t>
      </w:r>
      <w:r>
        <w:t>.</w:t>
      </w:r>
      <w:r>
        <w:tab/>
        <w:t>Minister’s consent needed to impose etc. financial assurance requirement</w:t>
      </w:r>
      <w:bookmarkEnd w:id="188"/>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spacing w:before="120"/>
      </w:pPr>
      <w:r>
        <w:tab/>
      </w:r>
      <w:r>
        <w:tab/>
        <w:t>is to have regard to —</w:t>
      </w:r>
    </w:p>
    <w:p>
      <w:pPr>
        <w:pStyle w:val="Indenta"/>
        <w:spacing w:before="70"/>
      </w:pPr>
      <w:r>
        <w:tab/>
        <w:t>(c)</w:t>
      </w:r>
      <w:r>
        <w:tab/>
        <w:t>the degree of risk of pollution or environmental harm associated with the implementation of the authorisation; and</w:t>
      </w:r>
    </w:p>
    <w:p>
      <w:pPr>
        <w:pStyle w:val="Indenta"/>
        <w:spacing w:before="70"/>
      </w:pPr>
      <w:r>
        <w:tab/>
        <w:t>(d)</w:t>
      </w:r>
      <w:r>
        <w:tab/>
        <w:t>the likelihood of action being required to deal with waste or prevent, control or abate pollution or environmental harm arising from acts associated with the implementation of the authorisation; and</w:t>
      </w:r>
    </w:p>
    <w:p>
      <w:pPr>
        <w:pStyle w:val="Indenta"/>
        <w:spacing w:before="70"/>
      </w:pPr>
      <w:r>
        <w:tab/>
        <w:t>(e)</w:t>
      </w:r>
      <w:r>
        <w:tab/>
        <w:t>the environmental record of the responsible person or proposed responsible person; and</w:t>
      </w:r>
    </w:p>
    <w:p>
      <w:pPr>
        <w:pStyle w:val="Indenta"/>
        <w:spacing w:before="70"/>
      </w:pPr>
      <w:r>
        <w:tab/>
        <w:t>(f)</w:t>
      </w:r>
      <w:r>
        <w:tab/>
        <w:t>other financial assurances required to be held by the responsible person or proposed responsible person under this Act and other written laws; and</w:t>
      </w:r>
    </w:p>
    <w:p>
      <w:pPr>
        <w:pStyle w:val="Indenta"/>
        <w:spacing w:before="70"/>
      </w:pPr>
      <w:r>
        <w:tab/>
        <w:t>(g)</w:t>
      </w:r>
      <w:r>
        <w:tab/>
        <w:t>any other matters prescribed.</w:t>
      </w:r>
    </w:p>
    <w:p>
      <w:pPr>
        <w:pStyle w:val="Subsection"/>
        <w:keepNext/>
      </w:pPr>
      <w:r>
        <w:lastRenderedPageBreak/>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keepNext/>
        <w:keepLines/>
      </w:pPr>
      <w:r>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 and</w:t>
      </w:r>
    </w:p>
    <w:p>
      <w:pPr>
        <w:pStyle w:val="Indenta"/>
      </w:pPr>
      <w:r>
        <w:tab/>
        <w:t>(d)</w:t>
      </w:r>
      <w:r>
        <w:tab/>
        <w:t>the environmental record of the responsible person; and</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No. 54 of 2003 s. 87.]</w:t>
      </w:r>
    </w:p>
    <w:p>
      <w:pPr>
        <w:pStyle w:val="Heading5"/>
      </w:pPr>
      <w:bookmarkStart w:id="189" w:name="_Toc199511957"/>
      <w:r>
        <w:rPr>
          <w:rStyle w:val="CharSectno"/>
        </w:rPr>
        <w:t>86D</w:t>
      </w:r>
      <w:r>
        <w:t>.</w:t>
      </w:r>
      <w:r>
        <w:tab/>
        <w:t>Amount of financial assurance</w:t>
      </w:r>
      <w:bookmarkEnd w:id="189"/>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No. 54 of 2003 s. 87.]</w:t>
      </w:r>
    </w:p>
    <w:p>
      <w:pPr>
        <w:pStyle w:val="Heading5"/>
      </w:pPr>
      <w:bookmarkStart w:id="190" w:name="_Toc199511958"/>
      <w:r>
        <w:rPr>
          <w:rStyle w:val="CharSectno"/>
        </w:rPr>
        <w:lastRenderedPageBreak/>
        <w:t>86E</w:t>
      </w:r>
      <w:r>
        <w:t>.</w:t>
      </w:r>
      <w:r>
        <w:tab/>
        <w:t>Claim on or realising of financial assurance</w:t>
      </w:r>
      <w:bookmarkEnd w:id="190"/>
    </w:p>
    <w:p>
      <w:pPr>
        <w:pStyle w:val="Subsection"/>
        <w:keepNext/>
        <w:keepLines/>
      </w:pPr>
      <w:r>
        <w:tab/>
        <w:t>(1)</w:t>
      </w:r>
      <w:r>
        <w:tab/>
        <w:t>This section applies if —</w:t>
      </w:r>
    </w:p>
    <w:p>
      <w:pPr>
        <w:pStyle w:val="Indenta"/>
      </w:pPr>
      <w:r>
        <w:tab/>
        <w:t>(a)</w:t>
      </w:r>
      <w:r>
        <w:tab/>
        <w:t>the Minister incurs costs in taking action under section 48(7) or 69(2); or</w:t>
      </w:r>
    </w:p>
    <w:p>
      <w:pPr>
        <w:pStyle w:val="Indenta"/>
        <w:keepNext/>
      </w:pPr>
      <w:r>
        <w:tab/>
        <w:t>(b)</w:t>
      </w:r>
      <w:r>
        <w:tab/>
        <w:t>an authorised person or inspector incurs costs in taking action under section 73(1); or</w:t>
      </w:r>
    </w:p>
    <w:p>
      <w:pPr>
        <w:pStyle w:val="Indenta"/>
      </w:pPr>
      <w:r>
        <w:tab/>
        <w:t>(c)</w:t>
      </w:r>
      <w:r>
        <w:tab/>
        <w:t>the CEO incurs costs in taking action under section 68A(11)(a), 70(10)(a)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lastRenderedPageBreak/>
        <w:tab/>
        <w:t>(6)</w:t>
      </w:r>
      <w:r>
        <w:tab/>
        <w:t>After the end of the period stated in the notice, the Minister or the CEO is to consider any representations properly made by the responsible person.</w:t>
      </w:r>
    </w:p>
    <w:p>
      <w:pPr>
        <w:pStyle w:val="Subsection"/>
        <w:keepLines/>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No. 54 of 2003 s. 87; amended: No. 77 of 2006 s. 4; No. 40 of 2020 s. 69.]</w:t>
      </w:r>
    </w:p>
    <w:p>
      <w:pPr>
        <w:pStyle w:val="Heading5"/>
        <w:spacing w:before="180"/>
      </w:pPr>
      <w:bookmarkStart w:id="191" w:name="_Toc199511959"/>
      <w:r>
        <w:rPr>
          <w:rStyle w:val="CharSectno"/>
        </w:rPr>
        <w:t>86F</w:t>
      </w:r>
      <w:r>
        <w:t>.</w:t>
      </w:r>
      <w:r>
        <w:tab/>
        <w:t>Lapsing of financial assurance requirement</w:t>
      </w:r>
      <w:bookmarkEnd w:id="191"/>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No. 54 of 2003 s. 87.]</w:t>
      </w:r>
    </w:p>
    <w:p>
      <w:pPr>
        <w:pStyle w:val="Heading5"/>
      </w:pPr>
      <w:bookmarkStart w:id="192" w:name="_Toc199511960"/>
      <w:r>
        <w:rPr>
          <w:rStyle w:val="CharSectno"/>
        </w:rPr>
        <w:t>86G</w:t>
      </w:r>
      <w:r>
        <w:t>.</w:t>
      </w:r>
      <w:r>
        <w:tab/>
        <w:t>Use of financial assurance not to affect other action</w:t>
      </w:r>
      <w:bookmarkEnd w:id="192"/>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lastRenderedPageBreak/>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48(8), 68A(11)(b), 69(3), 70(10)(b),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70(10)(b),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70(10)(b), 73(4a) or 73A(4).</w:t>
      </w:r>
    </w:p>
    <w:p>
      <w:pPr>
        <w:pStyle w:val="Footnotesection"/>
      </w:pPr>
      <w:r>
        <w:tab/>
        <w:t>[Section 86G inserted: No. 54 of 2003 s. 87; amended: No. 40 of 2020 s. 70.]</w:t>
      </w:r>
    </w:p>
    <w:p>
      <w:pPr>
        <w:pStyle w:val="Heading2"/>
      </w:pPr>
      <w:bookmarkStart w:id="193" w:name="_Toc199511961"/>
      <w:r>
        <w:rPr>
          <w:rStyle w:val="CharPartNo"/>
        </w:rPr>
        <w:lastRenderedPageBreak/>
        <w:t>Part VI</w:t>
      </w:r>
      <w:r>
        <w:rPr>
          <w:rStyle w:val="CharDivNo"/>
        </w:rPr>
        <w:t> </w:t>
      </w:r>
      <w:r>
        <w:t>—</w:t>
      </w:r>
      <w:r>
        <w:rPr>
          <w:rStyle w:val="CharDivText"/>
        </w:rPr>
        <w:t> </w:t>
      </w:r>
      <w:r>
        <w:rPr>
          <w:rStyle w:val="CharPartText"/>
        </w:rPr>
        <w:t>Enforcement</w:t>
      </w:r>
      <w:bookmarkEnd w:id="193"/>
    </w:p>
    <w:p>
      <w:pPr>
        <w:pStyle w:val="Heading5"/>
        <w:spacing w:before="180"/>
        <w:rPr>
          <w:snapToGrid w:val="0"/>
        </w:rPr>
      </w:pPr>
      <w:bookmarkStart w:id="194" w:name="_Toc199511962"/>
      <w:r>
        <w:rPr>
          <w:rStyle w:val="CharSectno"/>
        </w:rPr>
        <w:t>87</w:t>
      </w:r>
      <w:r>
        <w:rPr>
          <w:snapToGrid w:val="0"/>
        </w:rPr>
        <w:t>.</w:t>
      </w:r>
      <w:r>
        <w:rPr>
          <w:snapToGrid w:val="0"/>
        </w:rPr>
        <w:tab/>
        <w:t>Authorised persons, appointment of</w:t>
      </w:r>
      <w:bookmarkEnd w:id="194"/>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spacing w:before="60"/>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 xml:space="preserve">An authorised person shall produce the authority issued to </w:t>
      </w:r>
      <w:r>
        <w:t xml:space="preserve">the </w:t>
      </w:r>
      <w:r>
        <w:rPr>
          <w:snapToGrid w:val="0"/>
        </w:rPr>
        <w:t>authorised person under subsection (2) whenever required to do so —</w:t>
      </w:r>
    </w:p>
    <w:p>
      <w:pPr>
        <w:pStyle w:val="Indenta"/>
        <w:spacing w:before="60"/>
        <w:rPr>
          <w:snapToGrid w:val="0"/>
        </w:rPr>
      </w:pPr>
      <w:r>
        <w:rPr>
          <w:snapToGrid w:val="0"/>
        </w:rPr>
        <w:tab/>
        <w:t>(a)</w:t>
      </w:r>
      <w:r>
        <w:rPr>
          <w:snapToGrid w:val="0"/>
        </w:rPr>
        <w:tab/>
        <w:t xml:space="preserve">by a person in respect of whom </w:t>
      </w:r>
      <w:r>
        <w:t xml:space="preserve">the </w:t>
      </w:r>
      <w:r>
        <w:rPr>
          <w:snapToGrid w:val="0"/>
        </w:rPr>
        <w:t>authorised person has exercised, is exercising, or is about to exercise any of the powers —</w:t>
      </w:r>
    </w:p>
    <w:p>
      <w:pPr>
        <w:pStyle w:val="Indenti"/>
        <w:spacing w:before="60"/>
        <w:rPr>
          <w:snapToGrid w:val="0"/>
        </w:rPr>
      </w:pPr>
      <w:r>
        <w:rPr>
          <w:snapToGrid w:val="0"/>
        </w:rPr>
        <w:tab/>
        <w:t>(i)</w:t>
      </w:r>
      <w:r>
        <w:rPr>
          <w:snapToGrid w:val="0"/>
        </w:rPr>
        <w:tab/>
        <w:t xml:space="preserve">conferred on </w:t>
      </w:r>
      <w:r>
        <w:t xml:space="preserve">the </w:t>
      </w:r>
      <w:r>
        <w:rPr>
          <w:snapToGrid w:val="0"/>
        </w:rPr>
        <w:t>authorised person by or under this Act; and</w:t>
      </w:r>
    </w:p>
    <w:p>
      <w:pPr>
        <w:pStyle w:val="Indenti"/>
        <w:spacing w:before="60"/>
        <w:rPr>
          <w:snapToGrid w:val="0"/>
        </w:rPr>
      </w:pPr>
      <w:r>
        <w:rPr>
          <w:snapToGrid w:val="0"/>
        </w:rPr>
        <w:tab/>
        <w:t>(ii)</w:t>
      </w:r>
      <w:r>
        <w:rPr>
          <w:snapToGrid w:val="0"/>
        </w:rPr>
        <w:tab/>
        <w:t xml:space="preserve">which </w:t>
      </w:r>
      <w:r>
        <w:t xml:space="preserve">the </w:t>
      </w:r>
      <w:r>
        <w:rPr>
          <w:snapToGrid w:val="0"/>
        </w:rPr>
        <w:t>authorised person is entitled to exercise;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lastRenderedPageBreak/>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Footnotesection"/>
      </w:pPr>
      <w:r>
        <w:tab/>
        <w:t>[Section 87 amended: No. 32 of 1994 s. 19; No. 54 of 2003 s. 140(2); No. 40 of 2020 s. 111(1).]</w:t>
      </w:r>
    </w:p>
    <w:p>
      <w:pPr>
        <w:pStyle w:val="Heading5"/>
        <w:rPr>
          <w:snapToGrid w:val="0"/>
        </w:rPr>
      </w:pPr>
      <w:bookmarkStart w:id="195" w:name="_Toc199511963"/>
      <w:r>
        <w:rPr>
          <w:rStyle w:val="CharSectno"/>
        </w:rPr>
        <w:t>88</w:t>
      </w:r>
      <w:r>
        <w:rPr>
          <w:snapToGrid w:val="0"/>
        </w:rPr>
        <w:t>.</w:t>
      </w:r>
      <w:r>
        <w:rPr>
          <w:snapToGrid w:val="0"/>
        </w:rPr>
        <w:tab/>
        <w:t>Inspectors, appointment and purposes of</w:t>
      </w:r>
      <w:bookmarkEnd w:id="195"/>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 and</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pPr>
        <w:pStyle w:val="Indenta"/>
        <w:rPr>
          <w:snapToGrid w:val="0"/>
        </w:rPr>
      </w:pPr>
      <w:r>
        <w:rPr>
          <w:snapToGrid w:val="0"/>
        </w:rPr>
        <w:tab/>
        <w:t>(c)</w:t>
      </w:r>
      <w:r>
        <w:rPr>
          <w:snapToGrid w:val="0"/>
        </w:rPr>
        <w:tab/>
        <w:t>recording, measuring, testing or analysing noise, odour and electromagnetic radiation emissions; and</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pPr>
        <w:pStyle w:val="Indenta"/>
        <w:rPr>
          <w:snapToGrid w:val="0"/>
        </w:rPr>
      </w:pPr>
      <w:r>
        <w:rPr>
          <w:snapToGrid w:val="0"/>
        </w:rPr>
        <w:lastRenderedPageBreak/>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 xml:space="preserve">performing such other functions as are conferred or imposed on </w:t>
      </w:r>
      <w:r>
        <w:t>the CEO</w:t>
      </w:r>
      <w:r>
        <w:rPr>
          <w:snapToGrid w:val="0"/>
        </w:rPr>
        <w:t xml:space="preserve">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 xml:space="preserve">An inspector shall produce the authority issued to </w:t>
      </w:r>
      <w:r>
        <w:t xml:space="preserve">the </w:t>
      </w:r>
      <w:r>
        <w:rPr>
          <w:snapToGrid w:val="0"/>
        </w:rPr>
        <w:t>inspector under subsection (3) whenever required to do so —</w:t>
      </w:r>
    </w:p>
    <w:p>
      <w:pPr>
        <w:pStyle w:val="Indenta"/>
        <w:rPr>
          <w:snapToGrid w:val="0"/>
        </w:rPr>
      </w:pPr>
      <w:r>
        <w:rPr>
          <w:snapToGrid w:val="0"/>
        </w:rPr>
        <w:tab/>
        <w:t>(a)</w:t>
      </w:r>
      <w:r>
        <w:rPr>
          <w:snapToGrid w:val="0"/>
        </w:rPr>
        <w:tab/>
        <w:t xml:space="preserve">by a person in respect of whom </w:t>
      </w:r>
      <w:r>
        <w:t xml:space="preserve">the </w:t>
      </w:r>
      <w:r>
        <w:rPr>
          <w:snapToGrid w:val="0"/>
        </w:rPr>
        <w:t>inspector has exercised, is exercising or is about to exercise any of the powers —</w:t>
      </w:r>
    </w:p>
    <w:p>
      <w:pPr>
        <w:pStyle w:val="Indenti"/>
        <w:rPr>
          <w:snapToGrid w:val="0"/>
        </w:rPr>
      </w:pPr>
      <w:r>
        <w:rPr>
          <w:snapToGrid w:val="0"/>
        </w:rPr>
        <w:tab/>
        <w:t>(i)</w:t>
      </w:r>
      <w:r>
        <w:rPr>
          <w:snapToGrid w:val="0"/>
        </w:rPr>
        <w:tab/>
        <w:t xml:space="preserve">which are conferred on </w:t>
      </w:r>
      <w:r>
        <w:t xml:space="preserve">the </w:t>
      </w:r>
      <w:r>
        <w:rPr>
          <w:snapToGrid w:val="0"/>
        </w:rPr>
        <w:t>inspector by or under this Act; and</w:t>
      </w:r>
    </w:p>
    <w:p>
      <w:pPr>
        <w:pStyle w:val="Indenti"/>
        <w:rPr>
          <w:snapToGrid w:val="0"/>
        </w:rPr>
      </w:pPr>
      <w:r>
        <w:rPr>
          <w:snapToGrid w:val="0"/>
        </w:rPr>
        <w:tab/>
        <w:t>(ii)</w:t>
      </w:r>
      <w:r>
        <w:rPr>
          <w:snapToGrid w:val="0"/>
        </w:rPr>
        <w:tab/>
        <w:t xml:space="preserve">which </w:t>
      </w:r>
      <w:r>
        <w:t xml:space="preserve">the </w:t>
      </w:r>
      <w:r>
        <w:rPr>
          <w:snapToGrid w:val="0"/>
        </w:rPr>
        <w:t>inspector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lastRenderedPageBreak/>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No. 32 of 1994 s. 19; No. 54 of 2003 s. 140(2); No. 40 of 2020 s. 111(1).]</w:t>
      </w:r>
    </w:p>
    <w:p>
      <w:pPr>
        <w:pStyle w:val="Heading5"/>
        <w:rPr>
          <w:snapToGrid w:val="0"/>
        </w:rPr>
      </w:pPr>
      <w:bookmarkStart w:id="196" w:name="_Toc199511964"/>
      <w:r>
        <w:rPr>
          <w:rStyle w:val="CharSectno"/>
        </w:rPr>
        <w:t>89</w:t>
      </w:r>
      <w:r>
        <w:rPr>
          <w:snapToGrid w:val="0"/>
        </w:rPr>
        <w:t>.</w:t>
      </w:r>
      <w:r>
        <w:rPr>
          <w:snapToGrid w:val="0"/>
        </w:rPr>
        <w:tab/>
        <w:t>Entry powers of inspectors</w:t>
      </w:r>
      <w:bookmarkEnd w:id="196"/>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 or</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 or</w:t>
      </w:r>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lastRenderedPageBreak/>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 or</w:t>
      </w:r>
    </w:p>
    <w:p>
      <w:pPr>
        <w:pStyle w:val="Indenta"/>
      </w:pPr>
      <w:r>
        <w:tab/>
        <w:t>(aa)</w:t>
      </w:r>
      <w:r>
        <w:tab/>
        <w:t>reasonably believes that the house or land is contaminated; or</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lastRenderedPageBreak/>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by subsection (3), an inspector shall not less than 14 days before the proposed exercise of that power give notice to the occupier of that land or, if there is no such occupier, to any person who appears to be the owner of that land specifying —</w:t>
      </w:r>
    </w:p>
    <w:p>
      <w:pPr>
        <w:pStyle w:val="Indenta"/>
        <w:spacing w:before="100"/>
        <w:rPr>
          <w:snapToGrid w:val="0"/>
        </w:rPr>
      </w:pPr>
      <w:r>
        <w:rPr>
          <w:snapToGrid w:val="0"/>
        </w:rPr>
        <w:tab/>
        <w:t>(c)</w:t>
      </w:r>
      <w:r>
        <w:rPr>
          <w:snapToGrid w:val="0"/>
        </w:rPr>
        <w:tab/>
        <w:t>the part of that land on which entry is to be made; and</w:t>
      </w:r>
    </w:p>
    <w:p>
      <w:pPr>
        <w:pStyle w:val="Indenta"/>
        <w:spacing w:before="100"/>
        <w:rPr>
          <w:snapToGrid w:val="0"/>
        </w:rPr>
      </w:pPr>
      <w:r>
        <w:rPr>
          <w:snapToGrid w:val="0"/>
        </w:rPr>
        <w:tab/>
        <w:t>(d)</w:t>
      </w:r>
      <w:r>
        <w:rPr>
          <w:snapToGrid w:val="0"/>
        </w:rPr>
        <w:tab/>
        <w:t>the work proposed to be carried out on the part referred to in paragraph (c); and</w:t>
      </w:r>
    </w:p>
    <w:p>
      <w:pPr>
        <w:pStyle w:val="Indenta"/>
        <w:spacing w:before="100"/>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 No. 23 of 1996 s. 21; No. 14 of 1998 s. 10 and 32; No. 54 of 2003 s. 22 and 57; No. 60 of 2003 s. 100 (as amended: No. 40 of 2005 s. 13(4) and (5)); No. 40 of 2020 s. 111(1).]</w:t>
      </w:r>
    </w:p>
    <w:p>
      <w:pPr>
        <w:pStyle w:val="Heading5"/>
      </w:pPr>
      <w:bookmarkStart w:id="197" w:name="_Toc199511965"/>
      <w:r>
        <w:rPr>
          <w:rStyle w:val="CharSectno"/>
        </w:rPr>
        <w:t>89A</w:t>
      </w:r>
      <w:r>
        <w:t>.</w:t>
      </w:r>
      <w:r>
        <w:tab/>
        <w:t>Use of assistance and force</w:t>
      </w:r>
      <w:bookmarkEnd w:id="197"/>
    </w:p>
    <w:p>
      <w:pPr>
        <w:pStyle w:val="Subsection"/>
      </w:pPr>
      <w:r>
        <w:tab/>
        <w:t>(1)</w:t>
      </w:r>
      <w:r>
        <w:tab/>
        <w:t>An inspector may use assistance and force that is reasonably necessary in the circumstances when exercising a power under section 89 but cannot use force against a person.</w:t>
      </w:r>
    </w:p>
    <w:p>
      <w:pPr>
        <w:pStyle w:val="Subsection"/>
      </w:pPr>
      <w:r>
        <w:tab/>
        <w:t>(2)</w:t>
      </w:r>
      <w:r>
        <w:tab/>
        <w:t>If the use of reasonable force is likely to cause significant damage to property, the inspector is not entitled to use force without the prior authority of the CEO in the particular case.</w:t>
      </w:r>
    </w:p>
    <w:p>
      <w:pPr>
        <w:pStyle w:val="Subsection"/>
      </w:pPr>
      <w:r>
        <w:lastRenderedPageBreak/>
        <w:tab/>
        <w:t>(3)</w:t>
      </w:r>
      <w:r>
        <w:tab/>
        <w:t>An inspector may request a police officer or other person to assist the inspector in exercising a power under this Part, and that person may assist the inspector in the exercise of the power.</w:t>
      </w:r>
    </w:p>
    <w:p>
      <w:pPr>
        <w:pStyle w:val="Subsection"/>
        <w:keepNext/>
      </w:pPr>
      <w:r>
        <w:tab/>
        <w:t>(4)</w:t>
      </w:r>
      <w:r>
        <w:tab/>
        <w:t xml:space="preserve">A person while assisting an inspector at the request of the inspector and in accordance with this Act — </w:t>
      </w:r>
    </w:p>
    <w:p>
      <w:pPr>
        <w:pStyle w:val="Indenta"/>
      </w:pPr>
      <w:r>
        <w:tab/>
        <w:t>(a)</w:t>
      </w:r>
      <w:r>
        <w:tab/>
        <w:t>has the same powers as are conferred on an inspector under this Part; and</w:t>
      </w:r>
    </w:p>
    <w:p>
      <w:pPr>
        <w:pStyle w:val="Indenta"/>
      </w:pPr>
      <w:r>
        <w:tab/>
        <w:t>(b)</w:t>
      </w:r>
      <w:r>
        <w:tab/>
        <w:t>is subject to the same responsibilities as an inspector under this Part but is not required to give notice under section 89(4); and</w:t>
      </w:r>
    </w:p>
    <w:p>
      <w:pPr>
        <w:pStyle w:val="Indenta"/>
      </w:pPr>
      <w:r>
        <w:tab/>
        <w:t>(c)</w:t>
      </w:r>
      <w:r>
        <w:tab/>
        <w:t>has the same protection from liability as an inspector.</w:t>
      </w:r>
    </w:p>
    <w:p>
      <w:pPr>
        <w:pStyle w:val="Subsection"/>
      </w:pPr>
      <w:r>
        <w:tab/>
        <w:t>(5)</w:t>
      </w:r>
      <w:r>
        <w:tab/>
        <w:t>Nothing in this section derogates from the powers of a police officer.</w:t>
      </w:r>
    </w:p>
    <w:p>
      <w:pPr>
        <w:pStyle w:val="Footnotesection"/>
      </w:pPr>
      <w:r>
        <w:tab/>
        <w:t>[Section 89A inserted: No. 40 of 2020 s. 73.]</w:t>
      </w:r>
    </w:p>
    <w:p>
      <w:pPr>
        <w:pStyle w:val="Heading5"/>
        <w:rPr>
          <w:snapToGrid w:val="0"/>
        </w:rPr>
      </w:pPr>
      <w:bookmarkStart w:id="198" w:name="_Toc199511966"/>
      <w:r>
        <w:rPr>
          <w:rStyle w:val="CharSectno"/>
        </w:rPr>
        <w:t>90</w:t>
      </w:r>
      <w:r>
        <w:rPr>
          <w:snapToGrid w:val="0"/>
        </w:rPr>
        <w:t>.</w:t>
      </w:r>
      <w:r>
        <w:rPr>
          <w:snapToGrid w:val="0"/>
        </w:rPr>
        <w:tab/>
      </w:r>
      <w:r>
        <w:t>Powers</w:t>
      </w:r>
      <w:r>
        <w:rPr>
          <w:snapToGrid w:val="0"/>
        </w:rPr>
        <w:t xml:space="preserve"> of inspectors to obtain information</w:t>
      </w:r>
      <w:bookmarkEnd w:id="198"/>
    </w:p>
    <w:p>
      <w:pPr>
        <w:pStyle w:val="Subsection"/>
        <w:rPr>
          <w:snapToGrid w:val="0"/>
        </w:rPr>
      </w:pPr>
      <w:r>
        <w:rPr>
          <w:snapToGrid w:val="0"/>
        </w:rPr>
        <w:tab/>
        <w:t>(1)</w:t>
      </w:r>
      <w:r>
        <w:rPr>
          <w:snapToGrid w:val="0"/>
        </w:rPr>
        <w:tab/>
        <w:t>An </w:t>
      </w:r>
      <w:r>
        <w:t>inspector</w:t>
      </w:r>
      <w:r>
        <w:rPr>
          <w:snapToGrid w:val="0"/>
        </w:rPr>
        <w:t xml:space="preserve"> may</w:t>
      </w:r>
      <w:r>
        <w:t> —</w:t>
      </w:r>
    </w:p>
    <w:p>
      <w:pPr>
        <w:pStyle w:val="Indenta"/>
      </w:pPr>
      <w:r>
        <w:tab/>
        <w:t>(a)</w:t>
      </w:r>
      <w:r>
        <w:tab/>
        <w:t>direct 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rPr>
          <w:snapToGrid w:val="0"/>
        </w:rPr>
      </w:pPr>
      <w:r>
        <w:rPr>
          <w:snapToGrid w:val="0"/>
        </w:rPr>
        <w:tab/>
      </w:r>
      <w:r>
        <w:rPr>
          <w:snapToGrid w:val="0"/>
        </w:rPr>
        <w:tab/>
        <w:t>or</w:t>
      </w:r>
    </w:p>
    <w:p>
      <w:pPr>
        <w:pStyle w:val="Indenta"/>
      </w:pPr>
      <w:r>
        <w:tab/>
        <w:t>(b)</w:t>
      </w:r>
      <w:r>
        <w:tab/>
        <w:t>direct any person to produce to the inspector any books or other sources of information in the custody or possession of that person relating to —</w:t>
      </w:r>
    </w:p>
    <w:p>
      <w:pPr>
        <w:pStyle w:val="Indenti"/>
        <w:rPr>
          <w:snapToGrid w:val="0"/>
        </w:rPr>
      </w:pPr>
      <w:r>
        <w:rPr>
          <w:snapToGrid w:val="0"/>
        </w:rPr>
        <w:lastRenderedPageBreak/>
        <w:tab/>
      </w:r>
      <w:r>
        <w:t>(i)</w:t>
      </w:r>
      <w:r>
        <w:tab/>
        <w:t>any emission; or</w:t>
      </w:r>
    </w:p>
    <w:p>
      <w:pPr>
        <w:pStyle w:val="Indenti"/>
        <w:rPr>
          <w:snapToGrid w:val="0"/>
        </w:rPr>
      </w:pPr>
      <w:r>
        <w:rPr>
          <w:snapToGrid w:val="0"/>
        </w:rPr>
        <w:tab/>
        <w:t>(ii)</w:t>
      </w:r>
      <w:r>
        <w:rPr>
          <w:snapToGrid w:val="0"/>
        </w:rPr>
        <w:tab/>
        <w:t xml:space="preserve">the manufacture, sale or distribution for sale of any prescribed equipment or </w:t>
      </w:r>
      <w:r>
        <w:t>material.</w:t>
      </w:r>
    </w:p>
    <w:p>
      <w:pPr>
        <w:pStyle w:val="Subsection"/>
        <w:rPr>
          <w:snapToGrid w:val="0"/>
        </w:rPr>
      </w:pPr>
      <w:r>
        <w:rPr>
          <w:snapToGrid w:val="0"/>
        </w:rPr>
        <w:tab/>
        <w:t>(2)</w:t>
      </w:r>
      <w:r>
        <w:rPr>
          <w:snapToGrid w:val="0"/>
        </w:rPr>
        <w:tab/>
        <w:t xml:space="preserve">An inspector may </w:t>
      </w:r>
      <w:r>
        <w:t>direct</w:t>
      </w:r>
      <w:r>
        <w:rPr>
          <w:snapToGrid w:val="0"/>
        </w:rPr>
        <w:t xml:space="preserve"> a person to produce to the inspector any </w:t>
      </w:r>
      <w:r>
        <w:t>licence</w:t>
      </w:r>
      <w:r>
        <w:rPr>
          <w:snapToGrid w:val="0"/>
        </w:rPr>
        <w:t>,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(3)</w:t>
      </w:r>
      <w:r>
        <w:rPr>
          <w:snapToGrid w:val="0"/>
        </w:rPr>
        <w:tab/>
        <w:t xml:space="preserve">An </w:t>
      </w:r>
      <w:r>
        <w:t>inspector</w:t>
      </w:r>
      <w:r>
        <w:rPr>
          <w:snapToGrid w:val="0"/>
        </w:rPr>
        <w:t xml:space="preserve"> may —</w:t>
      </w:r>
    </w:p>
    <w:p>
      <w:pPr>
        <w:pStyle w:val="Indenta"/>
      </w:pPr>
      <w:r>
        <w:tab/>
        <w:t>(a)</w:t>
      </w:r>
      <w:r>
        <w:tab/>
        <w:t>conduct any examination or inquiry the inspector considers necessary to ascertain whether there has been compliance with the Act; and</w:t>
      </w:r>
    </w:p>
    <w:p>
      <w:pPr>
        <w:pStyle w:val="Indenta"/>
      </w:pPr>
      <w:r>
        <w:tab/>
        <w:t>(b)</w:t>
      </w:r>
      <w:r>
        <w:tab/>
        <w:t xml:space="preserve">question any person to ascertain whether or not there has been compliance with this Act and direct that person to do either or both of the following — </w:t>
      </w:r>
    </w:p>
    <w:p>
      <w:pPr>
        <w:pStyle w:val="Indenti"/>
      </w:pPr>
      <w:r>
        <w:tab/>
        <w:t>(i)</w:t>
      </w:r>
      <w:r>
        <w:tab/>
        <w:t>answer any question put to the person;</w:t>
      </w:r>
    </w:p>
    <w:p>
      <w:pPr>
        <w:pStyle w:val="Indenti"/>
      </w:pPr>
      <w:r>
        <w:tab/>
        <w:t>(ii)</w:t>
      </w:r>
      <w:r>
        <w:tab/>
        <w:t>produce any books or other sources of information in the custody or possession of that person relating to compliance with the Act.</w:t>
      </w:r>
    </w:p>
    <w:p>
      <w:pPr>
        <w:pStyle w:val="Subsection"/>
        <w:keepNext/>
      </w:pPr>
      <w:r>
        <w:tab/>
        <w:t>(4)</w:t>
      </w:r>
      <w:r>
        <w:tab/>
        <w:t>A direction given under subsection (1), (2) or (3)(b)(ii) —</w:t>
      </w:r>
    </w:p>
    <w:p>
      <w:pPr>
        <w:pStyle w:val="Indenta"/>
      </w:pPr>
      <w:r>
        <w:tab/>
        <w:t>(a)</w:t>
      </w:r>
      <w:r>
        <w:tab/>
        <w:t>must be given in writing to the person required to produce the document, books or other sources of information or data; and</w:t>
      </w:r>
    </w:p>
    <w:p>
      <w:pPr>
        <w:pStyle w:val="Indenta"/>
      </w:pPr>
      <w:r>
        <w:tab/>
        <w:t>(b)</w:t>
      </w:r>
      <w:r>
        <w:tab/>
        <w:t>must specify the time at which, or the period within which, the document, books or other sources of information or data are to be produced to the inspector; and</w:t>
      </w:r>
    </w:p>
    <w:p>
      <w:pPr>
        <w:pStyle w:val="Indenta"/>
      </w:pPr>
      <w:r>
        <w:tab/>
        <w:t>(c)</w:t>
      </w:r>
      <w:r>
        <w:tab/>
        <w:t xml:space="preserve">may require that the document, books or other sources of information or data be produced to the inspector — </w:t>
      </w:r>
    </w:p>
    <w:p>
      <w:pPr>
        <w:pStyle w:val="Indenti"/>
      </w:pPr>
      <w:r>
        <w:tab/>
        <w:t>(i)</w:t>
      </w:r>
      <w:r>
        <w:tab/>
        <w:t>at a place specified in the direction; and</w:t>
      </w:r>
    </w:p>
    <w:p>
      <w:pPr>
        <w:pStyle w:val="Indenti"/>
      </w:pPr>
      <w:r>
        <w:tab/>
        <w:t>(ii)</w:t>
      </w:r>
      <w:r>
        <w:tab/>
        <w:t>by a means specified in the direction.</w:t>
      </w:r>
    </w:p>
    <w:p>
      <w:pPr>
        <w:pStyle w:val="Subsection"/>
        <w:keepNext/>
      </w:pPr>
      <w:r>
        <w:lastRenderedPageBreak/>
        <w:tab/>
        <w:t>(5)</w:t>
      </w:r>
      <w:r>
        <w:tab/>
        <w:t>A direction under subsection (3)(b)(i) —</w:t>
      </w:r>
    </w:p>
    <w:p>
      <w:pPr>
        <w:pStyle w:val="Indenta"/>
      </w:pPr>
      <w:r>
        <w:tab/>
        <w:t>(a)</w:t>
      </w:r>
      <w:r>
        <w:tab/>
        <w:t>may be given orally or in writing; and</w:t>
      </w:r>
    </w:p>
    <w:p>
      <w:pPr>
        <w:pStyle w:val="Indenta"/>
      </w:pPr>
      <w:r>
        <w:tab/>
        <w:t>(b)</w:t>
      </w:r>
      <w:r>
        <w:tab/>
        <w:t>must specify the time at which, or period within which, the answer must be given to the inspector; and</w:t>
      </w:r>
    </w:p>
    <w:p>
      <w:pPr>
        <w:pStyle w:val="Indenta"/>
        <w:keepNext/>
      </w:pPr>
      <w:r>
        <w:tab/>
        <w:t>(c)</w:t>
      </w:r>
      <w:r>
        <w:tab/>
        <w:t xml:space="preserve">may require any of the following — </w:t>
      </w:r>
    </w:p>
    <w:p>
      <w:pPr>
        <w:pStyle w:val="Indenti"/>
      </w:pPr>
      <w:r>
        <w:tab/>
        <w:t>(i)</w:t>
      </w:r>
      <w:r>
        <w:tab/>
        <w:t xml:space="preserve">that the answer be given orally or in writing; </w:t>
      </w:r>
    </w:p>
    <w:p>
      <w:pPr>
        <w:pStyle w:val="Indenti"/>
      </w:pPr>
      <w:r>
        <w:tab/>
        <w:t>(ii)</w:t>
      </w:r>
      <w:r>
        <w:tab/>
        <w:t xml:space="preserve">if the answer is directed to be given in writing, be given by means specified in the direction; </w:t>
      </w:r>
    </w:p>
    <w:p>
      <w:pPr>
        <w:pStyle w:val="Indenti"/>
      </w:pPr>
      <w:r>
        <w:tab/>
        <w:t>(iii)</w:t>
      </w:r>
      <w:r>
        <w:tab/>
        <w:t>that the answer be verified by a statutory declaration.</w:t>
      </w:r>
    </w:p>
    <w:p>
      <w:pPr>
        <w:pStyle w:val="Subsection"/>
      </w:pPr>
      <w:r>
        <w:tab/>
        <w:t>(6)</w:t>
      </w:r>
      <w:r>
        <w:tab/>
        <w:t>A person who does not comply with a direction given to the person under subsection (1), (2) or (3) commits an offence.</w:t>
      </w:r>
    </w:p>
    <w:p>
      <w:pPr>
        <w:pStyle w:val="Subsection"/>
        <w:keepNext/>
      </w:pPr>
      <w:r>
        <w:tab/>
        <w:t>(7)</w:t>
      </w:r>
      <w:r>
        <w:tab/>
        <w:t>An inspector may do any of the following in relation to any books or other sources of information or data produced to the inspector in compliance with a direction under this section —</w:t>
      </w:r>
    </w:p>
    <w:p>
      <w:pPr>
        <w:pStyle w:val="Indenta"/>
      </w:pPr>
      <w:r>
        <w:tab/>
        <w:t>(a)</w:t>
      </w:r>
      <w:r>
        <w:tab/>
        <w:t>examine them;</w:t>
      </w:r>
    </w:p>
    <w:p>
      <w:pPr>
        <w:pStyle w:val="Indenta"/>
      </w:pPr>
      <w:r>
        <w:tab/>
        <w:t>(b)</w:t>
      </w:r>
      <w:r>
        <w:tab/>
        <w:t>take copies of or data or extracts from them;</w:t>
      </w:r>
    </w:p>
    <w:p>
      <w:pPr>
        <w:pStyle w:val="Indenta"/>
      </w:pPr>
      <w:r>
        <w:tab/>
        <w:t>(c)</w:t>
      </w:r>
      <w:r>
        <w:tab/>
        <w:t>download or print them out.</w:t>
      </w:r>
    </w:p>
    <w:p>
      <w:pPr>
        <w:pStyle w:val="Subsection"/>
      </w:pPr>
      <w:r>
        <w:tab/>
        <w:t>(8)</w:t>
      </w:r>
      <w:r>
        <w:tab/>
        <w:t>An inspector may record an answer given orally under this section, including by making an audiovisual recording.</w:t>
      </w:r>
    </w:p>
    <w:p>
      <w:pPr>
        <w:pStyle w:val="Footnotesection"/>
      </w:pPr>
      <w:r>
        <w:tab/>
        <w:t>[Section 90 inserted: No. 40 of 2020 s. 73.]</w:t>
      </w:r>
    </w:p>
    <w:p>
      <w:pPr>
        <w:pStyle w:val="Heading5"/>
        <w:rPr>
          <w:snapToGrid w:val="0"/>
        </w:rPr>
      </w:pPr>
      <w:bookmarkStart w:id="199" w:name="_Toc199511967"/>
      <w:r>
        <w:rPr>
          <w:rStyle w:val="CharSectno"/>
        </w:rPr>
        <w:t>91</w:t>
      </w:r>
      <w:r>
        <w:rPr>
          <w:snapToGrid w:val="0"/>
        </w:rPr>
        <w:t>.</w:t>
      </w:r>
      <w:r>
        <w:rPr>
          <w:snapToGrid w:val="0"/>
        </w:rPr>
        <w:tab/>
        <w:t>Entry powers of inspectors for s. 86</w:t>
      </w:r>
      <w:bookmarkEnd w:id="199"/>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7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70"/>
        <w:rPr>
          <w:snapToGrid w:val="0"/>
        </w:rPr>
      </w:pPr>
      <w:r>
        <w:rPr>
          <w:snapToGrid w:val="0"/>
        </w:rPr>
        <w:tab/>
        <w:t>(b)</w:t>
      </w:r>
      <w:r>
        <w:rPr>
          <w:snapToGrid w:val="0"/>
        </w:rPr>
        <w:tab/>
        <w:t>the sale of any equipment to which section 86(2) applies,</w:t>
      </w:r>
    </w:p>
    <w:p>
      <w:pPr>
        <w:pStyle w:val="Subsection"/>
        <w:spacing w:before="120"/>
        <w:rPr>
          <w:snapToGrid w:val="0"/>
        </w:rPr>
      </w:pPr>
      <w:r>
        <w:rPr>
          <w:snapToGrid w:val="0"/>
        </w:rPr>
        <w:tab/>
      </w:r>
      <w:r>
        <w:rPr>
          <w:snapToGrid w:val="0"/>
        </w:rPr>
        <w:tab/>
        <w:t xml:space="preserve">for the purpose of determining whether or not that equipment, vehicle or vessel complies with any requirement made by or </w:t>
      </w:r>
      <w:r>
        <w:rPr>
          <w:snapToGrid w:val="0"/>
        </w:rPr>
        <w:lastRenderedPageBreak/>
        <w:t>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 xml:space="preserve">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w:t>
      </w:r>
      <w:r>
        <w:t>the inspector’s</w:t>
      </w:r>
      <w:r>
        <w:rPr>
          <w:snapToGrid w:val="0"/>
        </w:rPr>
        <w:t xml:space="preserve">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Footnotesection"/>
      </w:pPr>
      <w:r>
        <w:tab/>
        <w:t>[Section 91 amended: No. 40 of 2020 s. 111(1).]</w:t>
      </w:r>
    </w:p>
    <w:p>
      <w:pPr>
        <w:pStyle w:val="Heading5"/>
      </w:pPr>
      <w:bookmarkStart w:id="200" w:name="_Toc199511968"/>
      <w:r>
        <w:rPr>
          <w:rStyle w:val="CharSectno"/>
        </w:rPr>
        <w:t>91A</w:t>
      </w:r>
      <w:r>
        <w:t>.</w:t>
      </w:r>
      <w:r>
        <w:tab/>
        <w:t>Stopping etc. vehicles and vessels, powers of inspectors and authorised persons as to</w:t>
      </w:r>
      <w:bookmarkEnd w:id="200"/>
    </w:p>
    <w:p>
      <w:pPr>
        <w:pStyle w:val="Subsection"/>
      </w:pPr>
      <w:r>
        <w:tab/>
        <w:t>(1)</w:t>
      </w:r>
      <w:r>
        <w:tab/>
        <w:t xml:space="preserve">An inspector or an authorised person may at any time stop, enter, search and inspect any vehicle or vessel if the </w:t>
      </w:r>
      <w:r>
        <w:rPr>
          <w:snapToGrid w:val="0"/>
        </w:rPr>
        <w:t>inspector or authorised person</w:t>
      </w:r>
      <w:r>
        <w:t xml:space="preserve"> has reasonable grounds for believing that an offence under this Act is being, has been or is likely to be committed.</w:t>
      </w:r>
    </w:p>
    <w:p>
      <w:pPr>
        <w:pStyle w:val="Subsection"/>
        <w:keepNext/>
      </w:pPr>
      <w:r>
        <w:tab/>
        <w:t>(2)</w:t>
      </w:r>
      <w:r>
        <w:tab/>
        <w:t>A person who, being in charge of a vehicle or vessel and being informed by a person that the person is an inspector or an authorised person, fails to stop the vehicle or vessel when so required by that person commits an offence.</w:t>
      </w:r>
    </w:p>
    <w:p>
      <w:pPr>
        <w:pStyle w:val="Footnotesection"/>
      </w:pPr>
      <w:r>
        <w:tab/>
        <w:t xml:space="preserve">[Section 91A inserted: No. 48 of 2010 s. 8; amended: No. 40 of 2020 s. 111(1) and (2).] </w:t>
      </w:r>
    </w:p>
    <w:p>
      <w:pPr>
        <w:pStyle w:val="Heading5"/>
        <w:keepLines w:val="0"/>
        <w:rPr>
          <w:snapToGrid w:val="0"/>
        </w:rPr>
      </w:pPr>
      <w:bookmarkStart w:id="201" w:name="_Toc199511969"/>
      <w:r>
        <w:rPr>
          <w:rStyle w:val="CharSectno"/>
        </w:rPr>
        <w:lastRenderedPageBreak/>
        <w:t>92</w:t>
      </w:r>
      <w:r>
        <w:rPr>
          <w:snapToGrid w:val="0"/>
        </w:rPr>
        <w:t>.</w:t>
      </w:r>
      <w:r>
        <w:rPr>
          <w:snapToGrid w:val="0"/>
        </w:rPr>
        <w:tab/>
        <w:t>Inspectors may require details of certain occupiers and others</w:t>
      </w:r>
      <w:bookmarkEnd w:id="201"/>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 or</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keepNext/>
        <w:rPr>
          <w:snapToGrid w:val="0"/>
        </w:rPr>
      </w:pPr>
      <w:r>
        <w:rPr>
          <w:snapToGrid w:val="0"/>
        </w:rPr>
        <w:lastRenderedPageBreak/>
        <w:tab/>
        <w:t>(4)</w:t>
      </w:r>
      <w:r>
        <w:rPr>
          <w:snapToGrid w:val="0"/>
        </w:rPr>
        <w:tab/>
        <w:t>A person who —</w:t>
      </w:r>
    </w:p>
    <w:p>
      <w:pPr>
        <w:pStyle w:val="Indenta"/>
        <w:spacing w:before="60"/>
        <w:rPr>
          <w:snapToGrid w:val="0"/>
        </w:rPr>
      </w:pPr>
      <w:r>
        <w:rPr>
          <w:snapToGrid w:val="0"/>
        </w:rPr>
        <w:tab/>
        <w:t>(a)</w:t>
      </w:r>
      <w:r>
        <w:rPr>
          <w:snapToGrid w:val="0"/>
        </w:rPr>
        <w:tab/>
        <w:t>does not comply with a requirement made under subsection (1), (2) or (3); or</w:t>
      </w:r>
    </w:p>
    <w:p>
      <w:pPr>
        <w:pStyle w:val="Indenta"/>
        <w:spacing w:before="60"/>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No. 14 of 1998 s. 12 and 34; No. 54 of 2003 s. 59.]</w:t>
      </w:r>
    </w:p>
    <w:p>
      <w:pPr>
        <w:pStyle w:val="Heading5"/>
      </w:pPr>
      <w:bookmarkStart w:id="202" w:name="_Toc199511970"/>
      <w:r>
        <w:rPr>
          <w:rStyle w:val="CharSectno"/>
        </w:rPr>
        <w:t>92A</w:t>
      </w:r>
      <w:r>
        <w:t>.</w:t>
      </w:r>
      <w:r>
        <w:tab/>
        <w:t>Seizing evidence etc.</w:t>
      </w:r>
      <w:bookmarkEnd w:id="202"/>
    </w:p>
    <w:p>
      <w:pPr>
        <w:pStyle w:val="Subsection"/>
      </w:pPr>
      <w:r>
        <w:tab/>
        <w:t>(1)</w:t>
      </w:r>
      <w:r>
        <w:tab/>
        <w:t>An inspector may seize any thing that the inspector suspects on reasonable grounds —</w:t>
      </w:r>
    </w:p>
    <w:p>
      <w:pPr>
        <w:pStyle w:val="Indenta"/>
        <w:spacing w:before="60"/>
      </w:pPr>
      <w:r>
        <w:tab/>
        <w:t>(a)</w:t>
      </w:r>
      <w:r>
        <w:tab/>
        <w:t xml:space="preserve">is, or is </w:t>
      </w:r>
      <w:r>
        <w:rPr>
          <w:snapToGrid w:val="0"/>
        </w:rPr>
        <w:t>intended</w:t>
      </w:r>
      <w:r>
        <w:t xml:space="preserve"> to be, involved in the commission of an offence against this Act; or</w:t>
      </w:r>
    </w:p>
    <w:p>
      <w:pPr>
        <w:pStyle w:val="Indenta"/>
        <w:spacing w:before="60"/>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spacing w:before="60"/>
      </w:pPr>
      <w:r>
        <w:tab/>
        <w:t>(a)</w:t>
      </w:r>
      <w:r>
        <w:tab/>
        <w:t xml:space="preserve">leave the </w:t>
      </w:r>
      <w:r>
        <w:rPr>
          <w:snapToGrid w:val="0"/>
        </w:rPr>
        <w:t>receipt</w:t>
      </w:r>
      <w:r>
        <w:t xml:space="preserve"> at the place of seizure; and</w:t>
      </w:r>
    </w:p>
    <w:p>
      <w:pPr>
        <w:pStyle w:val="Indenta"/>
        <w:spacing w:before="60"/>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No. 14 of 1998 s. 13.]</w:t>
      </w:r>
    </w:p>
    <w:p>
      <w:pPr>
        <w:pStyle w:val="Heading5"/>
        <w:spacing w:before="260"/>
      </w:pPr>
      <w:bookmarkStart w:id="203" w:name="_Toc199511971"/>
      <w:r>
        <w:rPr>
          <w:rStyle w:val="CharSectno"/>
        </w:rPr>
        <w:t>92B</w:t>
      </w:r>
      <w:r>
        <w:t>.</w:t>
      </w:r>
      <w:r>
        <w:tab/>
        <w:t>Dealing with seized things</w:t>
      </w:r>
      <w:bookmarkEnd w:id="203"/>
    </w:p>
    <w:p>
      <w:pPr>
        <w:pStyle w:val="Subsection"/>
        <w:keepNext/>
        <w:spacing w:before="120"/>
      </w:pPr>
      <w:r>
        <w:tab/>
        <w:t>(1)</w:t>
      </w:r>
      <w:r>
        <w:tab/>
        <w:t xml:space="preserve">If any thing is seized under section 92A and, in the opinion of the CEO, the thing is likely to cause pollution or environmental harm or perish if no action is taken to deal with it, the CEO may </w:t>
      </w:r>
      <w:r>
        <w:lastRenderedPageBreak/>
        <w:t>sell, treat, preserve, destroy, dispose of or otherwise deal with the thing in the prescribed way.</w:t>
      </w:r>
    </w:p>
    <w:p>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 and</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No. 14 of 1998 s. 13; amended: No. 54 of 2003 s. 60 and 140(2); No. 77 of 2006 s. 4.]</w:t>
      </w:r>
    </w:p>
    <w:p>
      <w:pPr>
        <w:pStyle w:val="Heading5"/>
      </w:pPr>
      <w:bookmarkStart w:id="204" w:name="_Toc199511972"/>
      <w:r>
        <w:rPr>
          <w:rStyle w:val="CharSectno"/>
        </w:rPr>
        <w:t>92C</w:t>
      </w:r>
      <w:r>
        <w:t>.</w:t>
      </w:r>
      <w:r>
        <w:tab/>
        <w:t>Returning seized things</w:t>
      </w:r>
      <w:bookmarkEnd w:id="204"/>
    </w:p>
    <w:p>
      <w:pPr>
        <w:pStyle w:val="Subsection"/>
        <w:keepNext/>
      </w:pPr>
      <w:r>
        <w:tab/>
        <w:t>(1)</w:t>
      </w:r>
      <w:r>
        <w:tab/>
        <w:t xml:space="preserve">The CEO may at any time before a prosecution involving the thing seized is started authorise the return of the thing seized to </w:t>
      </w:r>
      <w:r>
        <w:lastRenderedPageBreak/>
        <w:t>its owner or person entitled to the possession of the thing or the person from whom the thing was seized.</w:t>
      </w:r>
    </w:p>
    <w:p>
      <w:pPr>
        <w:pStyle w:val="Subsection"/>
        <w:keepLines/>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pPr>
      <w:r>
        <w:tab/>
        <w:t>(a)</w:t>
      </w:r>
      <w:r>
        <w:tab/>
        <w:t>12 months from the time it was seized; or</w:t>
      </w:r>
    </w:p>
    <w:p>
      <w:pPr>
        <w:pStyle w:val="Indenta"/>
        <w:keepNext/>
        <w:keepLines/>
      </w:pPr>
      <w:r>
        <w:tab/>
        <w:t>(b)</w:t>
      </w:r>
      <w:r>
        <w:tab/>
        <w:t>if a prosecution for an offence involving the thing is started within that 12 months — the prosecution for the offence and any appeal from the prosecution.</w:t>
      </w:r>
    </w:p>
    <w:p>
      <w:pPr>
        <w:pStyle w:val="Footnotesection"/>
        <w:ind w:left="890" w:hanging="890"/>
      </w:pPr>
      <w:r>
        <w:tab/>
        <w:t>[Section 92C inserted: No. 14 of 1998 s. 13; amended: No. 54 of 2003 s. 140(2).]</w:t>
      </w:r>
    </w:p>
    <w:p>
      <w:pPr>
        <w:pStyle w:val="Heading5"/>
      </w:pPr>
      <w:bookmarkStart w:id="205" w:name="_Toc199511973"/>
      <w:r>
        <w:rPr>
          <w:rStyle w:val="CharSectno"/>
        </w:rPr>
        <w:t>92D</w:t>
      </w:r>
      <w:r>
        <w:t>.</w:t>
      </w:r>
      <w:r>
        <w:tab/>
        <w:t xml:space="preserve">Forfeiture of </w:t>
      </w:r>
      <w:r>
        <w:rPr>
          <w:rStyle w:val="CharSectno"/>
        </w:rPr>
        <w:t>abandoned</w:t>
      </w:r>
      <w:r>
        <w:t xml:space="preserve"> property</w:t>
      </w:r>
      <w:bookmarkEnd w:id="205"/>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keepNext/>
      </w:pPr>
      <w:r>
        <w:lastRenderedPageBreak/>
        <w:tab/>
        <w:t>(2)</w:t>
      </w:r>
      <w:r>
        <w:tab/>
        <w:t>If after the expiration of 3 months from the day on which notice has been given under subsection (1) the thing has not been claimed by its owner the thing is forfeited to the Crown.</w:t>
      </w:r>
    </w:p>
    <w:p>
      <w:pPr>
        <w:pStyle w:val="Footnotesection"/>
        <w:ind w:left="890" w:hanging="890"/>
      </w:pPr>
      <w:r>
        <w:tab/>
        <w:t>[Section 92D inserted: No. 14 of 1998 s. 13; amended: No. 54 of 2003 s. 140(2).]</w:t>
      </w:r>
    </w:p>
    <w:p>
      <w:pPr>
        <w:pStyle w:val="Heading5"/>
      </w:pPr>
      <w:bookmarkStart w:id="206" w:name="_Toc199511974"/>
      <w:r>
        <w:rPr>
          <w:rStyle w:val="CharSectno"/>
        </w:rPr>
        <w:t>92E</w:t>
      </w:r>
      <w:r>
        <w:t>.</w:t>
      </w:r>
      <w:r>
        <w:tab/>
        <w:t>Person not to inte</w:t>
      </w:r>
      <w:r>
        <w:rPr>
          <w:rStyle w:val="CharSectno"/>
        </w:rPr>
        <w:t>r</w:t>
      </w:r>
      <w:r>
        <w:t xml:space="preserve">fere with </w:t>
      </w:r>
      <w:r>
        <w:rPr>
          <w:rStyle w:val="CharSectno"/>
        </w:rPr>
        <w:t>seized</w:t>
      </w:r>
      <w:r>
        <w:t xml:space="preserve"> things</w:t>
      </w:r>
      <w:bookmarkEnd w:id="206"/>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ind w:left="890" w:hanging="890"/>
      </w:pPr>
      <w:r>
        <w:tab/>
        <w:t>[Section 92E inserted: No. 14 of 1998 s. 13; amended: No. 54 of 2003 s. 140(2).]</w:t>
      </w:r>
    </w:p>
    <w:p>
      <w:pPr>
        <w:pStyle w:val="Ednotesection"/>
      </w:pPr>
      <w:r>
        <w:t>[</w:t>
      </w:r>
      <w:r>
        <w:rPr>
          <w:b/>
        </w:rPr>
        <w:t>92F.</w:t>
      </w:r>
      <w:r>
        <w:tab/>
        <w:t>Deleted: No. 40 of 2020 s. 74.]</w:t>
      </w:r>
    </w:p>
    <w:p>
      <w:pPr>
        <w:pStyle w:val="Heading5"/>
      </w:pPr>
      <w:bookmarkStart w:id="207" w:name="_Toc199511975"/>
      <w:r>
        <w:rPr>
          <w:rStyle w:val="CharSectno"/>
        </w:rPr>
        <w:t>92G</w:t>
      </w:r>
      <w:r>
        <w:t>.</w:t>
      </w:r>
      <w:r>
        <w:tab/>
        <w:t>Inspector to try to minimise damage</w:t>
      </w:r>
      <w:bookmarkEnd w:id="207"/>
    </w:p>
    <w:p>
      <w:pPr>
        <w:pStyle w:val="Subsection"/>
      </w:pPr>
      <w:r>
        <w:tab/>
      </w:r>
      <w:r>
        <w:tab/>
        <w:t>In exercising any power under this Part, an inspector is to try, as far as is practicable, to minimise damage to any property.</w:t>
      </w:r>
    </w:p>
    <w:p>
      <w:pPr>
        <w:pStyle w:val="Footnotesection"/>
      </w:pPr>
      <w:r>
        <w:tab/>
        <w:t>[Section 92G inserted: No. 14 of 1998 s. 13.]</w:t>
      </w:r>
    </w:p>
    <w:p>
      <w:pPr>
        <w:pStyle w:val="Heading5"/>
      </w:pPr>
      <w:bookmarkStart w:id="208" w:name="_Toc199511976"/>
      <w:r>
        <w:rPr>
          <w:rStyle w:val="CharSectno"/>
        </w:rPr>
        <w:t>92H</w:t>
      </w:r>
      <w:r>
        <w:t>.</w:t>
      </w:r>
      <w:r>
        <w:tab/>
        <w:t>Compensation for loss etc. due to enforcement action</w:t>
      </w:r>
      <w:bookmarkEnd w:id="208"/>
    </w:p>
    <w:p>
      <w:pPr>
        <w:pStyle w:val="Subsection"/>
      </w:pPr>
      <w:r>
        <w:tab/>
        <w:t>(1)</w:t>
      </w:r>
      <w:r>
        <w:tab/>
        <w:t>A person who suffers loss or damage as a result of the exercise of —</w:t>
      </w:r>
    </w:p>
    <w:p>
      <w:pPr>
        <w:pStyle w:val="Indenta"/>
      </w:pPr>
      <w:r>
        <w:tab/>
        <w:t>(a)</w:t>
      </w:r>
      <w:r>
        <w:tab/>
        <w:t>the power of entry conferred on an inspector by section 89(1) or (3); or</w:t>
      </w:r>
    </w:p>
    <w:p>
      <w:pPr>
        <w:pStyle w:val="Indenta"/>
        <w:keepNext/>
      </w:pPr>
      <w:r>
        <w:lastRenderedPageBreak/>
        <w:tab/>
        <w:t>(b)</w:t>
      </w:r>
      <w:r>
        <w:tab/>
        <w:t>the powers in respect of seizure conferred on an inspector by section 92A or 92B,</w:t>
      </w:r>
    </w:p>
    <w:p>
      <w:pPr>
        <w:pStyle w:val="Subsection"/>
        <w:spacing w:before="120"/>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spacing w:before="100"/>
      </w:pPr>
      <w:r>
        <w:tab/>
        <w:t>[Section 92H inserted: No. 14 of 1998 s. 13; amended: No. 54 of 2003 s. 140(2); No. 59 of 2004 s. 141; No. 40 of 2020 s. 75.]</w:t>
      </w:r>
    </w:p>
    <w:p>
      <w:pPr>
        <w:pStyle w:val="Heading5"/>
        <w:rPr>
          <w:snapToGrid w:val="0"/>
        </w:rPr>
      </w:pPr>
      <w:bookmarkStart w:id="209" w:name="_Toc199511977"/>
      <w:r>
        <w:rPr>
          <w:rStyle w:val="CharSectno"/>
        </w:rPr>
        <w:t>93</w:t>
      </w:r>
      <w:r>
        <w:rPr>
          <w:snapToGrid w:val="0"/>
        </w:rPr>
        <w:t>.</w:t>
      </w:r>
      <w:r>
        <w:rPr>
          <w:snapToGrid w:val="0"/>
        </w:rPr>
        <w:tab/>
        <w:t>Obstructing etc. inspectors or authorised persons</w:t>
      </w:r>
      <w:bookmarkEnd w:id="209"/>
    </w:p>
    <w:p>
      <w:pPr>
        <w:pStyle w:val="Subsection"/>
        <w:keepNext/>
        <w:keepLines/>
        <w:rPr>
          <w:snapToGrid w:val="0"/>
        </w:rPr>
      </w:pPr>
      <w:r>
        <w:rPr>
          <w:snapToGrid w:val="0"/>
        </w:rPr>
        <w:tab/>
      </w:r>
      <w:r>
        <w:rPr>
          <w:snapToGrid w:val="0"/>
        </w:rPr>
        <w:tab/>
        <w:t>A person who —</w:t>
      </w:r>
    </w:p>
    <w:p>
      <w:pPr>
        <w:pStyle w:val="Indenta"/>
        <w:spacing w:before="60"/>
        <w:rPr>
          <w:snapToGrid w:val="0"/>
        </w:rPr>
      </w:pPr>
      <w:r>
        <w:rPr>
          <w:snapToGrid w:val="0"/>
        </w:rPr>
        <w:tab/>
        <w:t>(a)</w:t>
      </w:r>
      <w:r>
        <w:rPr>
          <w:snapToGrid w:val="0"/>
        </w:rPr>
        <w:tab/>
        <w:t>delays or obstructs a police officer, inspector or authorised person; or</w:t>
      </w:r>
    </w:p>
    <w:p>
      <w:pPr>
        <w:pStyle w:val="Indenta"/>
        <w:spacing w:before="60"/>
        <w:rPr>
          <w:snapToGrid w:val="0"/>
        </w:rPr>
      </w:pPr>
      <w:r>
        <w:rPr>
          <w:snapToGrid w:val="0"/>
        </w:rPr>
        <w:tab/>
        <w:t>(b)</w:t>
      </w:r>
      <w:r>
        <w:rPr>
          <w:snapToGrid w:val="0"/>
        </w:rPr>
        <w:tab/>
        <w:t>does not comply with any reasonable requirement made by a police officer, inspector or authorised person; or</w:t>
      </w:r>
    </w:p>
    <w:p>
      <w:pPr>
        <w:pStyle w:val="Indenta"/>
        <w:spacing w:before="60"/>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keepNext/>
        <w:spacing w:before="120"/>
        <w:rPr>
          <w:snapToGrid w:val="0"/>
        </w:rPr>
      </w:pPr>
      <w:r>
        <w:rPr>
          <w:snapToGrid w:val="0"/>
        </w:rPr>
        <w:tab/>
      </w:r>
      <w:r>
        <w:rPr>
          <w:snapToGrid w:val="0"/>
        </w:rPr>
        <w:tab/>
        <w:t xml:space="preserve">in the exercise by the police officer, inspector or authorised person of any </w:t>
      </w:r>
      <w:r>
        <w:t>power conferred by</w:t>
      </w:r>
      <w:r>
        <w:rPr>
          <w:snapToGrid w:val="0"/>
        </w:rPr>
        <w:t xml:space="preserve"> this Act commits an offence.</w:t>
      </w:r>
    </w:p>
    <w:p>
      <w:pPr>
        <w:pStyle w:val="Footnotesection"/>
      </w:pPr>
      <w:r>
        <w:tab/>
        <w:t>[Section 93 amended: No. 40 of 2020 s. 111(1).]</w:t>
      </w:r>
    </w:p>
    <w:p>
      <w:pPr>
        <w:pStyle w:val="Heading5"/>
        <w:rPr>
          <w:snapToGrid w:val="0"/>
        </w:rPr>
      </w:pPr>
      <w:bookmarkStart w:id="210" w:name="_Toc199511978"/>
      <w:r>
        <w:rPr>
          <w:rStyle w:val="CharSectno"/>
        </w:rPr>
        <w:t>94</w:t>
      </w:r>
      <w:r>
        <w:rPr>
          <w:snapToGrid w:val="0"/>
        </w:rPr>
        <w:t>.</w:t>
      </w:r>
      <w:r>
        <w:rPr>
          <w:snapToGrid w:val="0"/>
        </w:rPr>
        <w:tab/>
        <w:t>Analysts, appointment of</w:t>
      </w:r>
      <w:bookmarkEnd w:id="210"/>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lastRenderedPageBreak/>
        <w:tab/>
        <w:t>(2)</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Footnotesection"/>
      </w:pPr>
      <w:r>
        <w:tab/>
        <w:t>[Section 94 amended: No. 32 of 1994 s. 19; No. 54 of 2003 s. 140(2); No. 40 of 2020 s. 111(1).]</w:t>
      </w:r>
    </w:p>
    <w:p>
      <w:pPr>
        <w:pStyle w:val="Heading5"/>
        <w:rPr>
          <w:snapToGrid w:val="0"/>
        </w:rPr>
      </w:pPr>
      <w:bookmarkStart w:id="211" w:name="_Toc199511979"/>
      <w:r>
        <w:rPr>
          <w:rStyle w:val="CharSectno"/>
        </w:rPr>
        <w:t>95</w:t>
      </w:r>
      <w:r>
        <w:rPr>
          <w:snapToGrid w:val="0"/>
        </w:rPr>
        <w:t>.</w:t>
      </w:r>
      <w:r>
        <w:rPr>
          <w:snapToGrid w:val="0"/>
        </w:rPr>
        <w:tab/>
        <w:t>CEO may require information about industrial processes etc.</w:t>
      </w:r>
      <w:bookmarkEnd w:id="211"/>
    </w:p>
    <w:p>
      <w:pPr>
        <w:pStyle w:val="Subsection"/>
        <w:spacing w:before="180"/>
        <w:rPr>
          <w:snapToGrid w:val="0"/>
        </w:rPr>
      </w:pPr>
      <w:r>
        <w:rPr>
          <w:snapToGrid w:val="0"/>
        </w:rPr>
        <w:tab/>
        <w:t>(1)</w:t>
      </w:r>
      <w:r>
        <w:rPr>
          <w:snapToGrid w:val="0"/>
        </w:rPr>
        <w:tab/>
        <w:t xml:space="preserve">The </w:t>
      </w:r>
      <w:r>
        <w:t>CEO</w:t>
      </w:r>
      <w:r>
        <w:rPr>
          <w:snapToGrid w:val="0"/>
        </w:rPr>
        <w:t xml:space="preserve"> may, if </w:t>
      </w:r>
      <w:r>
        <w:t>the CEO</w:t>
      </w:r>
      <w:r>
        <w:rPr>
          <w:snapToGrid w:val="0"/>
        </w:rPr>
        <w:t xml:space="preserv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 xml:space="preserve">Any person who does not comply with any requirement made to </w:t>
      </w:r>
      <w:r>
        <w:t>the person</w:t>
      </w:r>
      <w:r>
        <w:rPr>
          <w:snapToGrid w:val="0"/>
        </w:rPr>
        <w:t xml:space="preserve"> under subsection (1) commits an offence.</w:t>
      </w:r>
    </w:p>
    <w:p>
      <w:pPr>
        <w:pStyle w:val="Footnotesection"/>
      </w:pPr>
      <w:r>
        <w:tab/>
        <w:t>[Section 95 amended: No. 54 of 2003 s. 61 and 140(2); No. 40 of 2020 s. 111(1).]</w:t>
      </w:r>
    </w:p>
    <w:p>
      <w:pPr>
        <w:pStyle w:val="Heading5"/>
        <w:keepLines w:val="0"/>
        <w:rPr>
          <w:snapToGrid w:val="0"/>
        </w:rPr>
      </w:pPr>
      <w:bookmarkStart w:id="212" w:name="_Toc199511980"/>
      <w:r>
        <w:rPr>
          <w:rStyle w:val="CharSectno"/>
        </w:rPr>
        <w:lastRenderedPageBreak/>
        <w:t>96</w:t>
      </w:r>
      <w:r>
        <w:rPr>
          <w:snapToGrid w:val="0"/>
        </w:rPr>
        <w:t>.</w:t>
      </w:r>
      <w:r>
        <w:rPr>
          <w:snapToGrid w:val="0"/>
        </w:rPr>
        <w:tab/>
        <w:t>CEO may require information about vehicles or vessels</w:t>
      </w:r>
      <w:bookmarkEnd w:id="212"/>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keepNext/>
        <w:rPr>
          <w:snapToGrid w:val="0"/>
        </w:rPr>
      </w:pPr>
      <w:r>
        <w:rPr>
          <w:snapToGrid w:val="0"/>
        </w:rPr>
        <w:tab/>
        <w:t>(3)</w:t>
      </w:r>
      <w:r>
        <w:rPr>
          <w:snapToGrid w:val="0"/>
        </w:rPr>
        <w:tab/>
        <w:t xml:space="preserve">A person who does not comply with a requirement made to </w:t>
      </w:r>
      <w:r>
        <w:t>the person</w:t>
      </w:r>
      <w:r>
        <w:rPr>
          <w:snapToGrid w:val="0"/>
        </w:rPr>
        <w:t xml:space="preserve"> under subsection (1) commits an offence.</w:t>
      </w:r>
    </w:p>
    <w:p>
      <w:pPr>
        <w:pStyle w:val="Footnotesection"/>
      </w:pPr>
      <w:r>
        <w:tab/>
        <w:t>[Section 96 amended: No. 57 of 1997 s. 54(4); No. 54 of 2003 s. 62 and 140(2); No. 40 of 2020 s. 111(1).]</w:t>
      </w:r>
    </w:p>
    <w:p>
      <w:pPr>
        <w:pStyle w:val="Heading5"/>
        <w:rPr>
          <w:snapToGrid w:val="0"/>
        </w:rPr>
      </w:pPr>
      <w:bookmarkStart w:id="213" w:name="_Toc199511981"/>
      <w:r>
        <w:rPr>
          <w:rStyle w:val="CharSectno"/>
        </w:rPr>
        <w:lastRenderedPageBreak/>
        <w:t>97</w:t>
      </w:r>
      <w:r>
        <w:rPr>
          <w:snapToGrid w:val="0"/>
        </w:rPr>
        <w:t>.</w:t>
      </w:r>
      <w:r>
        <w:rPr>
          <w:snapToGrid w:val="0"/>
        </w:rPr>
        <w:tab/>
      </w:r>
      <w:r>
        <w:t>CEO</w:t>
      </w:r>
      <w:r>
        <w:rPr>
          <w:snapToGrid w:val="0"/>
        </w:rPr>
        <w:t xml:space="preserve"> may require vehicles, vessels and equipment to be made available for testing</w:t>
      </w:r>
      <w:bookmarkEnd w:id="213"/>
    </w:p>
    <w:p>
      <w:pPr>
        <w:pStyle w:val="Subsection"/>
        <w:keepNext/>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has possession of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 xml:space="preserve">A person who does not comply with a requirement made to </w:t>
      </w:r>
      <w:r>
        <w:t>the person</w:t>
      </w:r>
      <w:r>
        <w:rPr>
          <w:snapToGrid w:val="0"/>
        </w:rPr>
        <w:t xml:space="preserve"> under subsection (1) commits an offence.</w:t>
      </w:r>
    </w:p>
    <w:p>
      <w:pPr>
        <w:pStyle w:val="Footnotesection"/>
      </w:pPr>
      <w:r>
        <w:tab/>
        <w:t>[Section 97 amended: No. 54 of 2003 s. 140(2); No. 40 of 2020 s. 111(1).]</w:t>
      </w:r>
    </w:p>
    <w:p>
      <w:pPr>
        <w:pStyle w:val="Heading5"/>
        <w:rPr>
          <w:snapToGrid w:val="0"/>
        </w:rPr>
      </w:pPr>
      <w:bookmarkStart w:id="214" w:name="_Toc199511982"/>
      <w:r>
        <w:rPr>
          <w:rStyle w:val="CharSectno"/>
        </w:rPr>
        <w:t>98</w:t>
      </w:r>
      <w:r>
        <w:rPr>
          <w:snapToGrid w:val="0"/>
        </w:rPr>
        <w:t>.</w:t>
      </w:r>
      <w:r>
        <w:rPr>
          <w:snapToGrid w:val="0"/>
        </w:rPr>
        <w:tab/>
        <w:t>Police officers’ powers for inspecting etc. vehicles and vessels</w:t>
      </w:r>
      <w:bookmarkEnd w:id="214"/>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215" w:name="_Toc199511983"/>
      <w:r>
        <w:rPr>
          <w:rStyle w:val="CharSectno"/>
        </w:rPr>
        <w:t>99</w:t>
      </w:r>
      <w:r>
        <w:rPr>
          <w:snapToGrid w:val="0"/>
        </w:rPr>
        <w:t>.</w:t>
      </w:r>
      <w:r>
        <w:rPr>
          <w:snapToGrid w:val="0"/>
        </w:rPr>
        <w:tab/>
        <w:t>Police officers may stop audible alarms</w:t>
      </w:r>
      <w:bookmarkEnd w:id="215"/>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r>
      <w:r>
        <w:t>the police officer</w:t>
      </w:r>
      <w:r>
        <w:rPr>
          <w:snapToGrid w:val="0"/>
        </w:rPr>
        <w:t xml:space="preserve"> may —</w:t>
      </w:r>
    </w:p>
    <w:p>
      <w:pPr>
        <w:pStyle w:val="Indenta"/>
        <w:rPr>
          <w:snapToGrid w:val="0"/>
        </w:rPr>
      </w:pPr>
      <w:r>
        <w:rPr>
          <w:snapToGrid w:val="0"/>
        </w:rPr>
        <w:lastRenderedPageBreak/>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 xml:space="preserve">take all such steps as appear to </w:t>
      </w:r>
      <w:r>
        <w:t>the police officer</w:t>
      </w:r>
      <w:r>
        <w:rPr>
          <w:snapToGrid w:val="0"/>
        </w:rPr>
        <w:t xml:space="preserve"> to be reasonably necessary for or in connection with stopping the alarm from sounding,</w:t>
      </w:r>
    </w:p>
    <w:p>
      <w:pPr>
        <w:pStyle w:val="Subsection"/>
        <w:rPr>
          <w:snapToGrid w:val="0"/>
        </w:rPr>
      </w:pPr>
      <w:r>
        <w:rPr>
          <w:snapToGrid w:val="0"/>
        </w:rPr>
        <w:tab/>
      </w:r>
      <w:r>
        <w:rPr>
          <w:snapToGrid w:val="0"/>
        </w:rPr>
        <w:tab/>
        <w:t xml:space="preserve">with the aid of such assistants as </w:t>
      </w:r>
      <w:r>
        <w:t>the police officer</w:t>
      </w:r>
      <w:r>
        <w:rPr>
          <w:snapToGrid w:val="0"/>
        </w:rPr>
        <w:t xml:space="preserve"> considers necessary and with the use of reasonable force.</w:t>
      </w:r>
    </w:p>
    <w:p>
      <w:pPr>
        <w:pStyle w:val="Subsection"/>
        <w:rPr>
          <w:snapToGrid w:val="0"/>
        </w:rPr>
      </w:pPr>
      <w:r>
        <w:rPr>
          <w:snapToGrid w:val="0"/>
        </w:rPr>
        <w:tab/>
        <w:t>(2)</w:t>
      </w:r>
      <w:r>
        <w:rPr>
          <w:snapToGrid w:val="0"/>
        </w:rPr>
        <w:tab/>
        <w:t xml:space="preserve">A police officer who has exercised the powers conferred by subsection (1) shall cause such persons or public authorities as appear to </w:t>
      </w:r>
      <w:r>
        <w:t>the police officer</w:t>
      </w:r>
      <w:r>
        <w:rPr>
          <w:snapToGrid w:val="0"/>
        </w:rPr>
        <w:t xml:space="preserve"> to be appropriate in the circumstances to be informed promptly of that exercise.</w:t>
      </w:r>
    </w:p>
    <w:p>
      <w:pPr>
        <w:pStyle w:val="Subsection"/>
        <w:keepNext/>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Ednotesubsection"/>
      </w:pPr>
      <w:r>
        <w:tab/>
        <w:t>[(4)</w:t>
      </w:r>
      <w:r>
        <w:tab/>
        <w:t>deleted]</w:t>
      </w:r>
    </w:p>
    <w:p>
      <w:pPr>
        <w:pStyle w:val="Footnotesection"/>
      </w:pPr>
      <w:r>
        <w:tab/>
        <w:t>[Section 99 amended: No. 6 of 1993 s. 11; No. 49 of 1996 s. 64; No. 57 of 1997 s. 54(5) and (6); No. 54 of 2003 s. 128 and 140(2); No. 77 of 2006 s. 4; No. 40 of 2020 s. 76 and 111(1).]</w:t>
      </w:r>
    </w:p>
    <w:p>
      <w:pPr>
        <w:pStyle w:val="Heading2"/>
      </w:pPr>
      <w:bookmarkStart w:id="216" w:name="_Toc199511984"/>
      <w:r>
        <w:rPr>
          <w:rStyle w:val="CharPartNo"/>
        </w:rPr>
        <w:lastRenderedPageBreak/>
        <w:t>Part VIA</w:t>
      </w:r>
      <w:r>
        <w:t xml:space="preserve"> — </w:t>
      </w:r>
      <w:r>
        <w:rPr>
          <w:rStyle w:val="CharPartText"/>
        </w:rPr>
        <w:t>Legal proceedings and penalties</w:t>
      </w:r>
      <w:bookmarkEnd w:id="216"/>
    </w:p>
    <w:p>
      <w:pPr>
        <w:pStyle w:val="Footnoteheading"/>
        <w:tabs>
          <w:tab w:val="left" w:pos="909"/>
        </w:tabs>
      </w:pPr>
      <w:r>
        <w:tab/>
        <w:t>[Heading inserted: No. 14 of 1998 s. 14.]</w:t>
      </w:r>
    </w:p>
    <w:p>
      <w:pPr>
        <w:pStyle w:val="Heading3"/>
      </w:pPr>
      <w:bookmarkStart w:id="217" w:name="_Toc199511985"/>
      <w:r>
        <w:rPr>
          <w:rStyle w:val="CharDivNo"/>
        </w:rPr>
        <w:t>Division 1</w:t>
      </w:r>
      <w:r>
        <w:t> — </w:t>
      </w:r>
      <w:r>
        <w:rPr>
          <w:rStyle w:val="CharDivText"/>
        </w:rPr>
        <w:t>Prescribed offences and modified penalties</w:t>
      </w:r>
      <w:bookmarkEnd w:id="217"/>
    </w:p>
    <w:p>
      <w:pPr>
        <w:pStyle w:val="Footnoteheading"/>
        <w:tabs>
          <w:tab w:val="left" w:pos="909"/>
        </w:tabs>
      </w:pPr>
      <w:r>
        <w:tab/>
        <w:t>[Heading inserted: No. 40 of 2020 s. 77.]</w:t>
      </w:r>
    </w:p>
    <w:p>
      <w:pPr>
        <w:pStyle w:val="Heading5"/>
      </w:pPr>
      <w:bookmarkStart w:id="218" w:name="_Toc199511986"/>
      <w:r>
        <w:rPr>
          <w:rStyle w:val="CharSectno"/>
        </w:rPr>
        <w:t>99AA</w:t>
      </w:r>
      <w:r>
        <w:t>.</w:t>
      </w:r>
      <w:r>
        <w:tab/>
        <w:t>Term used: prescribed offence</w:t>
      </w:r>
      <w:bookmarkEnd w:id="218"/>
    </w:p>
    <w:p>
      <w:pPr>
        <w:pStyle w:val="Subsection"/>
      </w:pPr>
      <w:r>
        <w:tab/>
      </w:r>
      <w:r>
        <w:tab/>
        <w:t xml:space="preserve">In this Division — </w:t>
      </w:r>
    </w:p>
    <w:p>
      <w:pPr>
        <w:pStyle w:val="Defstart"/>
      </w:pPr>
      <w:r>
        <w:tab/>
      </w:r>
      <w:r>
        <w:rPr>
          <w:rStyle w:val="CharDefText"/>
        </w:rPr>
        <w:t>prescribed offence</w:t>
      </w:r>
      <w:r>
        <w:t xml:space="preserve"> means — </w:t>
      </w:r>
    </w:p>
    <w:p>
      <w:pPr>
        <w:pStyle w:val="Defpara"/>
      </w:pPr>
      <w:r>
        <w:tab/>
        <w:t>(a)</w:t>
      </w:r>
      <w:r>
        <w:tab/>
        <w:t>a Tier 1 offence under a section listed in the Table; or</w:t>
      </w:r>
    </w:p>
    <w:p>
      <w:pPr>
        <w:pStyle w:val="Defpara"/>
      </w:pPr>
      <w:r>
        <w:tab/>
        <w:t>(b)</w:t>
      </w:r>
      <w:r>
        <w:tab/>
        <w:t>a Tier 2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6(7)</w:t>
            </w:r>
          </w:p>
        </w:tc>
        <w:tc>
          <w:tcPr>
            <w:tcW w:w="3034" w:type="dxa"/>
          </w:tcPr>
          <w:p>
            <w:pPr>
              <w:pStyle w:val="TableNAm"/>
            </w:pPr>
            <w:r>
              <w:t>s. 47(1)</w:t>
            </w:r>
          </w:p>
        </w:tc>
      </w:tr>
      <w:tr>
        <w:tc>
          <w:tcPr>
            <w:tcW w:w="3033" w:type="dxa"/>
          </w:tcPr>
          <w:p>
            <w:pPr>
              <w:pStyle w:val="TableNAm"/>
            </w:pPr>
            <w:r>
              <w:t>s. 47(4)</w:t>
            </w:r>
          </w:p>
        </w:tc>
        <w:tc>
          <w:tcPr>
            <w:tcW w:w="3034" w:type="dxa"/>
          </w:tcPr>
          <w:p>
            <w:pPr>
              <w:pStyle w:val="TableNAm"/>
            </w:pPr>
            <w:r>
              <w:t>s. 48(9)</w:t>
            </w:r>
          </w:p>
        </w:tc>
      </w:tr>
      <w:tr>
        <w:tc>
          <w:tcPr>
            <w:tcW w:w="3033" w:type="dxa"/>
          </w:tcPr>
          <w:p>
            <w:pPr>
              <w:pStyle w:val="TableNAm"/>
            </w:pPr>
            <w:r>
              <w:t>s. 49(3)</w:t>
            </w:r>
          </w:p>
        </w:tc>
        <w:tc>
          <w:tcPr>
            <w:tcW w:w="3034" w:type="dxa"/>
          </w:tcPr>
          <w:p>
            <w:pPr>
              <w:pStyle w:val="TableNAm"/>
            </w:pPr>
            <w:r>
              <w:t>s. 50(2)</w:t>
            </w:r>
          </w:p>
        </w:tc>
      </w:tr>
      <w:tr>
        <w:tc>
          <w:tcPr>
            <w:tcW w:w="3033" w:type="dxa"/>
          </w:tcPr>
          <w:p>
            <w:pPr>
              <w:pStyle w:val="TableNAm"/>
            </w:pPr>
            <w:r>
              <w:t>s. 50A(2)</w:t>
            </w:r>
          </w:p>
        </w:tc>
        <w:tc>
          <w:tcPr>
            <w:tcW w:w="3034" w:type="dxa"/>
          </w:tcPr>
          <w:p>
            <w:pPr>
              <w:pStyle w:val="TableNAm"/>
            </w:pPr>
            <w:r>
              <w:t>s. 51C</w:t>
            </w:r>
          </w:p>
        </w:tc>
      </w:tr>
      <w:tr>
        <w:tc>
          <w:tcPr>
            <w:tcW w:w="3033" w:type="dxa"/>
          </w:tcPr>
          <w:p>
            <w:pPr>
              <w:pStyle w:val="TableNAm"/>
            </w:pPr>
            <w:r>
              <w:t>s. 69(5)</w:t>
            </w:r>
          </w:p>
        </w:tc>
        <w:tc>
          <w:tcPr>
            <w:tcW w:w="3034" w:type="dxa"/>
          </w:tcPr>
          <w:p>
            <w:pPr>
              <w:pStyle w:val="TableNAm"/>
            </w:pPr>
            <w:r>
              <w:t>s. 71(5)</w:t>
            </w:r>
          </w:p>
        </w:tc>
      </w:tr>
    </w:tbl>
    <w:p>
      <w:pPr>
        <w:pStyle w:val="Footnotesection"/>
      </w:pPr>
      <w:r>
        <w:tab/>
        <w:t>[Section 99AA inserted: No. 40 of 2020 s. 78.]</w:t>
      </w:r>
    </w:p>
    <w:p>
      <w:pPr>
        <w:pStyle w:val="Heading5"/>
      </w:pPr>
      <w:bookmarkStart w:id="219" w:name="_Toc199511987"/>
      <w:r>
        <w:rPr>
          <w:rStyle w:val="CharSectno"/>
        </w:rPr>
        <w:t>99A</w:t>
      </w:r>
      <w:r>
        <w:t>.</w:t>
      </w:r>
      <w:r>
        <w:tab/>
        <w:t>Modified penalty notice, issue of</w:t>
      </w:r>
      <w:bookmarkEnd w:id="219"/>
    </w:p>
    <w:p>
      <w:pPr>
        <w:pStyle w:val="Subsection"/>
      </w:pPr>
      <w:r>
        <w:tab/>
        <w:t>(1)</w:t>
      </w:r>
      <w:r>
        <w:tab/>
        <w:t xml:space="preserve">This section applies to a person if the CEO is of the opinion that — </w:t>
      </w:r>
    </w:p>
    <w:p>
      <w:pPr>
        <w:pStyle w:val="Indenta"/>
      </w:pPr>
      <w:r>
        <w:tab/>
        <w:t>(a)</w:t>
      </w:r>
      <w:r>
        <w:tab/>
        <w:t>the person has committed a prescribed offence; and</w:t>
      </w:r>
    </w:p>
    <w:p>
      <w:pPr>
        <w:pStyle w:val="Indenta"/>
      </w:pPr>
      <w:r>
        <w:tab/>
        <w:t>(b)</w:t>
      </w:r>
      <w:r>
        <w:tab/>
        <w:t>there is sufficient evidence to support the allegation of the offence; and</w:t>
      </w:r>
    </w:p>
    <w:p>
      <w:pPr>
        <w:pStyle w:val="Indenta"/>
        <w:keepLines/>
      </w:pPr>
      <w:r>
        <w:lastRenderedPageBreak/>
        <w:tab/>
        <w:t>(c)</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(1A)</w:t>
      </w:r>
      <w:r>
        <w:tab/>
        <w:t xml:space="preserve">For the purposes of subsection (1)(c), the CEO must have regard to — </w:t>
      </w:r>
    </w:p>
    <w:p>
      <w:pPr>
        <w:pStyle w:val="Indenta"/>
      </w:pPr>
      <w:r>
        <w:tab/>
        <w:t>(a)</w:t>
      </w:r>
      <w:r>
        <w:tab/>
        <w:t>the potential or actual effect on the environment of any occurrence giving rise to the allegation of the offence; and</w:t>
      </w:r>
    </w:p>
    <w:p>
      <w:pPr>
        <w:pStyle w:val="Indenta"/>
      </w:pPr>
      <w:r>
        <w:tab/>
        <w:t>(b)</w:t>
      </w:r>
      <w:r>
        <w:tab/>
        <w:t>in the case of a prescribed offence other than an offence under section 49A(2) or (3), whether, as soon as was reasonably practicable after the occurrence giving rise to the allegation of the offence, the alleged offender notified particulars of the occurrence in writing to the CEO; and</w:t>
      </w:r>
    </w:p>
    <w:p>
      <w:pPr>
        <w:pStyle w:val="Indenta"/>
      </w:pPr>
      <w:r>
        <w:tab/>
        <w:t>(c)</w:t>
      </w:r>
      <w:r>
        <w:tab/>
        <w:t>in the case of a prescribed offence other than an offence under section 49A(2) or (3), whether, after the occurrence giving rise to the allegation of the offence, the alleged offender took all reasonable and practicable steps to minimise and remedy any adverse environmental effects of that occurrence; and</w:t>
      </w:r>
    </w:p>
    <w:p>
      <w:pPr>
        <w:pStyle w:val="Indenta"/>
      </w:pPr>
      <w:r>
        <w:tab/>
        <w:t>(d)</w:t>
      </w:r>
      <w:r>
        <w:tab/>
        <w:t>whether the alleged offender cooperated with officers and employees of the Department and provided information and assistance when so requested; and</w:t>
      </w:r>
    </w:p>
    <w:p>
      <w:pPr>
        <w:pStyle w:val="Indenta"/>
      </w:pPr>
      <w:r>
        <w:tab/>
        <w:t>(e)</w:t>
      </w:r>
      <w:r>
        <w:tab/>
        <w:t>whether the alleged offender has taken reasonable steps to ensure that the circumstances giving rise to the allegation of the offence do not reoccur.</w:t>
      </w:r>
    </w:p>
    <w:p>
      <w:pPr>
        <w:pStyle w:val="Subsection"/>
      </w:pPr>
      <w:r>
        <w:tab/>
        <w:t>(2)</w:t>
      </w:r>
      <w:r>
        <w:tab/>
        <w:t>If the CEO makes a determination that a person alleged to have committed a prescribed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lastRenderedPageBreak/>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No. 14 of 1998 s. 14; amended: No. 54 of 2003 s. 129 and 140(2); No. 48 of 2010 s. 9; No. 40 of 2020 s. 79.]</w:t>
      </w:r>
    </w:p>
    <w:p>
      <w:pPr>
        <w:pStyle w:val="Heading5"/>
      </w:pPr>
      <w:bookmarkStart w:id="220" w:name="_Toc199511988"/>
      <w:r>
        <w:rPr>
          <w:rStyle w:val="CharSectno"/>
        </w:rPr>
        <w:t>99B</w:t>
      </w:r>
      <w:r>
        <w:t>.</w:t>
      </w:r>
      <w:r>
        <w:tab/>
        <w:t>Content of modified penalty notice</w:t>
      </w:r>
      <w:bookmarkEnd w:id="220"/>
    </w:p>
    <w:p>
      <w:pPr>
        <w:pStyle w:val="Subsection"/>
      </w:pPr>
      <w:r>
        <w:tab/>
        <w:t>(1)</w:t>
      </w:r>
      <w:r>
        <w:tab/>
        <w:t>A modified penalty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 modified penalty notice the amount specified as the modified penalty for the alleged offence referred to in the notice is to be the amount that was —</w:t>
      </w:r>
    </w:p>
    <w:p>
      <w:pPr>
        <w:pStyle w:val="Indenta"/>
        <w:keepNext/>
      </w:pPr>
      <w:r>
        <w:lastRenderedPageBreak/>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 No. 14 of 1998 s. 14; amended: No. 54 of 2003 s. 140(2); No. 84 of 2004 s. 80.]</w:t>
      </w:r>
    </w:p>
    <w:p>
      <w:pPr>
        <w:pStyle w:val="Heading5"/>
      </w:pPr>
      <w:bookmarkStart w:id="221" w:name="_Toc199511989"/>
      <w:r>
        <w:rPr>
          <w:rStyle w:val="CharSectno"/>
        </w:rPr>
        <w:t>99C</w:t>
      </w:r>
      <w:r>
        <w:t>.</w:t>
      </w:r>
      <w:r>
        <w:tab/>
        <w:t>Extending time to pay modified penalty</w:t>
      </w:r>
      <w:bookmarkEnd w:id="221"/>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No. 14 of 1998 s. 14; amended: No. 54 of 2003 s. 140(2).]</w:t>
      </w:r>
    </w:p>
    <w:p>
      <w:pPr>
        <w:pStyle w:val="Heading5"/>
      </w:pPr>
      <w:bookmarkStart w:id="222" w:name="_Toc199511990"/>
      <w:r>
        <w:rPr>
          <w:rStyle w:val="CharSectno"/>
        </w:rPr>
        <w:t>99D</w:t>
      </w:r>
      <w:r>
        <w:t>.</w:t>
      </w:r>
      <w:r>
        <w:tab/>
        <w:t>Withdrawing modified penalty notice</w:t>
      </w:r>
      <w:bookmarkEnd w:id="222"/>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lastRenderedPageBreak/>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No. 14 of 1998 s. 14; amended: No. 54 of 2003 s. 140(2).]</w:t>
      </w:r>
    </w:p>
    <w:p>
      <w:pPr>
        <w:pStyle w:val="Heading5"/>
      </w:pPr>
      <w:bookmarkStart w:id="223" w:name="_Toc199511991"/>
      <w:r>
        <w:rPr>
          <w:rStyle w:val="CharSectno"/>
        </w:rPr>
        <w:t>99E</w:t>
      </w:r>
      <w:r>
        <w:t>.</w:t>
      </w:r>
      <w:r>
        <w:tab/>
        <w:t>Consequence of paying modified penalty</w:t>
      </w:r>
      <w:bookmarkEnd w:id="223"/>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this subsection applies, the CEO must publish — </w:t>
      </w:r>
    </w:p>
    <w:p>
      <w:pPr>
        <w:pStyle w:val="Indenta"/>
      </w:pPr>
      <w:r>
        <w:tab/>
        <w:t>(a)</w:t>
      </w:r>
      <w:r>
        <w:tab/>
        <w:t>a notice of payment of the modified penalty; and</w:t>
      </w:r>
    </w:p>
    <w:p>
      <w:pPr>
        <w:pStyle w:val="Indenta"/>
      </w:pPr>
      <w:r>
        <w:tab/>
        <w:t>(b)</w:t>
      </w:r>
      <w:r>
        <w:tab/>
        <w:t>such particulars as are prescribed.</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tab/>
        <w:t>[Section 99E inserted: No. 14 of 1998 s. 14; amended: No. 54 of 2003 s. 140(2); No. 77 of 2006 Sch. 1 cl. 59(1); No. 40 of 2020 s. 80.]</w:t>
      </w:r>
    </w:p>
    <w:p>
      <w:pPr>
        <w:pStyle w:val="Heading5"/>
      </w:pPr>
      <w:bookmarkStart w:id="224" w:name="_Toc199511992"/>
      <w:r>
        <w:rPr>
          <w:rStyle w:val="CharSectno"/>
        </w:rPr>
        <w:t>99F</w:t>
      </w:r>
      <w:r>
        <w:t>.</w:t>
      </w:r>
      <w:r>
        <w:tab/>
        <w:t>Register of modified penalty notices etc.</w:t>
      </w:r>
      <w:bookmarkEnd w:id="224"/>
    </w:p>
    <w:p>
      <w:pPr>
        <w:pStyle w:val="Subsection"/>
        <w:keepNext/>
        <w:keepLines/>
      </w:pPr>
      <w:r>
        <w:tab/>
        <w:t>(1)</w:t>
      </w:r>
      <w:r>
        <w:tab/>
        <w:t>The CEO is to maintain a register of —</w:t>
      </w:r>
    </w:p>
    <w:p>
      <w:pPr>
        <w:pStyle w:val="Indenta"/>
      </w:pPr>
      <w:r>
        <w:tab/>
        <w:t>(a)</w:t>
      </w:r>
      <w:r>
        <w:tab/>
        <w:t>certificates and modified penalty notices issued under section 99A(2); and</w:t>
      </w:r>
    </w:p>
    <w:p>
      <w:pPr>
        <w:pStyle w:val="Indenta"/>
      </w:pPr>
      <w:r>
        <w:tab/>
        <w:t>(b)</w:t>
      </w:r>
      <w:r>
        <w:tab/>
        <w:t>withdrawal forms sent under section 99D; and</w:t>
      </w:r>
    </w:p>
    <w:p>
      <w:pPr>
        <w:pStyle w:val="Indenta"/>
      </w:pPr>
      <w:r>
        <w:lastRenderedPageBreak/>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No. 14 of 1998 s. 14; amended: No. 54 of 2003 s. 140(2).]</w:t>
      </w:r>
    </w:p>
    <w:p>
      <w:pPr>
        <w:pStyle w:val="Heading5"/>
      </w:pPr>
      <w:bookmarkStart w:id="225" w:name="_Toc199511993"/>
      <w:r>
        <w:rPr>
          <w:rStyle w:val="CharSectno"/>
        </w:rPr>
        <w:t>99G</w:t>
      </w:r>
      <w:r>
        <w:t>.</w:t>
      </w:r>
      <w:r>
        <w:tab/>
        <w:t>Application of penalties collected</w:t>
      </w:r>
      <w:bookmarkEnd w:id="225"/>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 No. 14 of 1998 s. 14.]</w:t>
      </w:r>
    </w:p>
    <w:p>
      <w:pPr>
        <w:pStyle w:val="Heading3"/>
      </w:pPr>
      <w:bookmarkStart w:id="226" w:name="_Toc199511994"/>
      <w:r>
        <w:rPr>
          <w:rStyle w:val="CharDivNo"/>
        </w:rPr>
        <w:t>Division 2</w:t>
      </w:r>
      <w:r>
        <w:t xml:space="preserve"> — </w:t>
      </w:r>
      <w:r>
        <w:rPr>
          <w:rStyle w:val="CharDivText"/>
        </w:rPr>
        <w:t>Infringement notice offences</w:t>
      </w:r>
      <w:bookmarkEnd w:id="226"/>
    </w:p>
    <w:p>
      <w:pPr>
        <w:pStyle w:val="Footnoteheading"/>
        <w:tabs>
          <w:tab w:val="left" w:pos="909"/>
        </w:tabs>
      </w:pPr>
      <w:r>
        <w:tab/>
        <w:t>[Heading inserted: No. 14 of 1998 s. 14.]</w:t>
      </w:r>
    </w:p>
    <w:p>
      <w:pPr>
        <w:pStyle w:val="Heading5"/>
      </w:pPr>
      <w:bookmarkStart w:id="227" w:name="_Toc199511995"/>
      <w:r>
        <w:rPr>
          <w:rStyle w:val="CharSectno"/>
        </w:rPr>
        <w:t>99H</w:t>
      </w:r>
      <w:r>
        <w:t>.</w:t>
      </w:r>
      <w:r>
        <w:tab/>
        <w:t>Terms used</w:t>
      </w:r>
      <w:bookmarkEnd w:id="227"/>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keepNex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No. 14 of 1998 s. 14.]</w:t>
      </w:r>
    </w:p>
    <w:p>
      <w:pPr>
        <w:pStyle w:val="Heading5"/>
      </w:pPr>
      <w:bookmarkStart w:id="228" w:name="_Toc199511996"/>
      <w:r>
        <w:rPr>
          <w:rStyle w:val="CharSectno"/>
        </w:rPr>
        <w:t>99I</w:t>
      </w:r>
      <w:r>
        <w:t>.</w:t>
      </w:r>
      <w:r>
        <w:tab/>
        <w:t>Designated persons for s. 99K, 99M or 99N, appointment of</w:t>
      </w:r>
      <w:bookmarkEnd w:id="228"/>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lastRenderedPageBreak/>
        <w:tab/>
        <w:t>(2)</w:t>
      </w:r>
      <w:r>
        <w:tab/>
        <w:t>A person who is authorised to give infringement notices under section 99J is not eligible to be a designated person for the purposes of section 99K, 99M or 99N.</w:t>
      </w:r>
    </w:p>
    <w:p>
      <w:pPr>
        <w:pStyle w:val="Footnotesection"/>
      </w:pPr>
      <w:r>
        <w:tab/>
        <w:t>[Section 99I inserted: No. 14 of 1998 s. 14; amended: No. 54 of 2003 s. 140(2).]</w:t>
      </w:r>
    </w:p>
    <w:p>
      <w:pPr>
        <w:pStyle w:val="Heading5"/>
      </w:pPr>
      <w:bookmarkStart w:id="229" w:name="_Toc199511997"/>
      <w:r>
        <w:rPr>
          <w:rStyle w:val="CharSectno"/>
        </w:rPr>
        <w:t>99J</w:t>
      </w:r>
      <w:r>
        <w:t>.</w:t>
      </w:r>
      <w:r>
        <w:tab/>
        <w:t>Infringement notice, issue of</w:t>
      </w:r>
      <w:bookmarkEnd w:id="229"/>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give an infringement notice to the alleged offender.</w:t>
      </w:r>
    </w:p>
    <w:p>
      <w:pPr>
        <w:pStyle w:val="Subsection"/>
      </w:pPr>
      <w:r>
        <w:tab/>
        <w:t>(2)</w:t>
      </w:r>
      <w:r>
        <w:tab/>
        <w:t>An infringement notice may be served personally or by registered post.</w:t>
      </w:r>
    </w:p>
    <w:p>
      <w:pPr>
        <w:pStyle w:val="Subsection"/>
        <w:keepNext/>
      </w:pPr>
      <w:r>
        <w:tab/>
        <w:t>(3)</w:t>
      </w:r>
      <w:r>
        <w:tab/>
      </w:r>
      <w:r>
        <w:rPr>
          <w:snapToGrid w:val="0"/>
        </w:rPr>
        <w:t>The infringement notice must be served within 12 months after the day on which the alleged infringement notice offence is believed to have been committed.</w:t>
      </w:r>
    </w:p>
    <w:p>
      <w:pPr>
        <w:pStyle w:val="Footnotesection"/>
      </w:pPr>
      <w:r>
        <w:tab/>
        <w:t>[Section 99J inserted: No. 14 of 1998 s. 14; amended: No. 54 of 2003 s. 130; No. 40 of 2020 s. 81.]</w:t>
      </w:r>
    </w:p>
    <w:p>
      <w:pPr>
        <w:pStyle w:val="Heading5"/>
        <w:spacing w:before="260"/>
      </w:pPr>
      <w:bookmarkStart w:id="230" w:name="_Toc199511998"/>
      <w:r>
        <w:rPr>
          <w:rStyle w:val="CharSectno"/>
        </w:rPr>
        <w:t>99K</w:t>
      </w:r>
      <w:r>
        <w:t>.</w:t>
      </w:r>
      <w:r>
        <w:tab/>
        <w:t>Content of infringement notice</w:t>
      </w:r>
      <w:bookmarkEnd w:id="230"/>
    </w:p>
    <w:p>
      <w:pPr>
        <w:pStyle w:val="Subsection"/>
        <w:keepNext/>
      </w:pPr>
      <w:r>
        <w:tab/>
        <w:t>(1)</w:t>
      </w:r>
      <w:r>
        <w:tab/>
        <w:t>An infringement notice is to be in the prescribed form and is to —</w:t>
      </w:r>
    </w:p>
    <w:p>
      <w:pPr>
        <w:pStyle w:val="Indenta"/>
      </w:pPr>
      <w:r>
        <w:tab/>
        <w:t>(a)</w:t>
      </w:r>
      <w:r>
        <w:tab/>
        <w:t>contain a description of the alleged offence; and</w:t>
      </w:r>
    </w:p>
    <w:p>
      <w:pPr>
        <w:pStyle w:val="Indenta"/>
        <w:spacing w:before="100"/>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spacing w:before="100"/>
      </w:pPr>
      <w:r>
        <w:lastRenderedPageBreak/>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200"/>
      </w:pPr>
      <w:r>
        <w:tab/>
        <w:t>(3)</w:t>
      </w:r>
      <w:r>
        <w:tab/>
        <w:t>The modified penalty that may be prescribed for an infringement notice offence is not to exceed —</w:t>
      </w:r>
    </w:p>
    <w:p>
      <w:pPr>
        <w:pStyle w:val="Indenta"/>
        <w:spacing w:before="100"/>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spacing w:before="100"/>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No. 14 of 1998 s. 14; amended: No. 54 of 2003 s. 131; No. 84 of 2004 s. 80.]</w:t>
      </w:r>
    </w:p>
    <w:p>
      <w:pPr>
        <w:pStyle w:val="Heading5"/>
        <w:spacing w:before="280"/>
      </w:pPr>
      <w:bookmarkStart w:id="231" w:name="_Toc199511999"/>
      <w:r>
        <w:rPr>
          <w:rStyle w:val="CharSectno"/>
        </w:rPr>
        <w:t>99L</w:t>
      </w:r>
      <w:r>
        <w:t>.</w:t>
      </w:r>
      <w:r>
        <w:tab/>
        <w:t>Some prior convictions and payments of modified penalties to be disregarded for s. 99K(3)</w:t>
      </w:r>
      <w:bookmarkEnd w:id="231"/>
    </w:p>
    <w:p>
      <w:pPr>
        <w:pStyle w:val="Subsection"/>
        <w:spacing w:before="2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 xml:space="preserve">the prior conviction was recorded within the period of 5 years immediately prior to the giving of an </w:t>
      </w:r>
      <w:r>
        <w:lastRenderedPageBreak/>
        <w:t>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No. 14 of 1998 s. 14.]</w:t>
      </w:r>
    </w:p>
    <w:p>
      <w:pPr>
        <w:pStyle w:val="Heading5"/>
      </w:pPr>
      <w:bookmarkStart w:id="232" w:name="_Toc199512000"/>
      <w:r>
        <w:rPr>
          <w:rStyle w:val="CharSectno"/>
        </w:rPr>
        <w:t>99M</w:t>
      </w:r>
      <w:r>
        <w:t>.</w:t>
      </w:r>
      <w:r>
        <w:tab/>
        <w:t>Extending time to pay modified penalty</w:t>
      </w:r>
      <w:bookmarkEnd w:id="232"/>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No. 14 of 1998 s. 14.]</w:t>
      </w:r>
    </w:p>
    <w:p>
      <w:pPr>
        <w:pStyle w:val="Heading5"/>
      </w:pPr>
      <w:bookmarkStart w:id="233" w:name="_Toc199512001"/>
      <w:r>
        <w:rPr>
          <w:rStyle w:val="CharSectno"/>
        </w:rPr>
        <w:t>99N</w:t>
      </w:r>
      <w:r>
        <w:t>.</w:t>
      </w:r>
      <w:r>
        <w:tab/>
        <w:t>Withdrawing infringement notice</w:t>
      </w:r>
      <w:bookmarkEnd w:id="233"/>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ind w:left="890" w:hanging="890"/>
      </w:pPr>
      <w:r>
        <w:tab/>
        <w:t>[Section 99N inserted: No. 14 of 1998 s. 14.]</w:t>
      </w:r>
    </w:p>
    <w:p>
      <w:pPr>
        <w:pStyle w:val="Heading5"/>
      </w:pPr>
      <w:bookmarkStart w:id="234" w:name="_Toc199512002"/>
      <w:r>
        <w:rPr>
          <w:rStyle w:val="CharSectno"/>
        </w:rPr>
        <w:t>99O</w:t>
      </w:r>
      <w:r>
        <w:t>.</w:t>
      </w:r>
      <w:r>
        <w:tab/>
        <w:t>Consequence of paying modified penalty</w:t>
      </w:r>
      <w:bookmarkEnd w:id="23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lastRenderedPageBreak/>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No. 14 of 1998 s. 14.]</w:t>
      </w:r>
    </w:p>
    <w:p>
      <w:pPr>
        <w:pStyle w:val="Heading5"/>
      </w:pPr>
      <w:bookmarkStart w:id="235" w:name="_Toc199512003"/>
      <w:r>
        <w:rPr>
          <w:rStyle w:val="CharSectno"/>
        </w:rPr>
        <w:t>99P</w:t>
      </w:r>
      <w:r>
        <w:t>.</w:t>
      </w:r>
      <w:r>
        <w:tab/>
        <w:t>Application of penalties collected</w:t>
      </w:r>
      <w:bookmarkEnd w:id="235"/>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No. 14 of 1998 s. 14.]</w:t>
      </w:r>
    </w:p>
    <w:p>
      <w:pPr>
        <w:pStyle w:val="Heading3"/>
      </w:pPr>
      <w:bookmarkStart w:id="236" w:name="_Toc199512004"/>
      <w:r>
        <w:rPr>
          <w:rStyle w:val="CharDivNo"/>
        </w:rPr>
        <w:t>Division 3</w:t>
      </w:r>
      <w:r>
        <w:t xml:space="preserve"> — </w:t>
      </w:r>
      <w:r>
        <w:rPr>
          <w:rStyle w:val="CharDivText"/>
        </w:rPr>
        <w:t>Penalties</w:t>
      </w:r>
      <w:bookmarkEnd w:id="236"/>
    </w:p>
    <w:p>
      <w:pPr>
        <w:pStyle w:val="Footnoteheading"/>
        <w:tabs>
          <w:tab w:val="left" w:pos="909"/>
        </w:tabs>
      </w:pPr>
      <w:r>
        <w:tab/>
        <w:t>[Heading inserted: No. 14 of 1998 s. 14.]</w:t>
      </w:r>
    </w:p>
    <w:p>
      <w:pPr>
        <w:pStyle w:val="Heading5"/>
        <w:spacing w:before="180"/>
      </w:pPr>
      <w:bookmarkStart w:id="237" w:name="_Toc199512005"/>
      <w:r>
        <w:rPr>
          <w:rStyle w:val="CharSectno"/>
        </w:rPr>
        <w:t>99Q</w:t>
      </w:r>
      <w:r>
        <w:t>.</w:t>
      </w:r>
      <w:r>
        <w:tab/>
        <w:t>Penalties</w:t>
      </w:r>
      <w:bookmarkEnd w:id="237"/>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lastRenderedPageBreak/>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ind w:left="890" w:hanging="890"/>
      </w:pPr>
      <w:r>
        <w:tab/>
        <w:t>[Section 99Q inserted: No. 14 of 1998 s. 14.]</w:t>
      </w:r>
    </w:p>
    <w:p>
      <w:pPr>
        <w:pStyle w:val="Heading5"/>
        <w:keepNext w:val="0"/>
        <w:keepLines w:val="0"/>
      </w:pPr>
      <w:bookmarkStart w:id="238" w:name="_Toc199512006"/>
      <w:r>
        <w:rPr>
          <w:rStyle w:val="CharSectno"/>
        </w:rPr>
        <w:t>99R</w:t>
      </w:r>
      <w:r>
        <w:t>.</w:t>
      </w:r>
      <w:r>
        <w:tab/>
        <w:t>Daily penalty</w:t>
      </w:r>
      <w:bookmarkEnd w:id="238"/>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pPr>
      <w:r>
        <w:tab/>
        <w:t>(3)</w:t>
      </w:r>
      <w:r>
        <w:tab/>
        <w:t xml:space="preserve">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w:t>
      </w:r>
      <w:r>
        <w:lastRenderedPageBreak/>
        <w:t>in column 4 of the Part for each day or part of a day during which the offence continues after the offender is convicted.</w:t>
      </w:r>
    </w:p>
    <w:p>
      <w:pPr>
        <w:pStyle w:val="Footnotesection"/>
        <w:spacing w:before="100"/>
      </w:pPr>
      <w:r>
        <w:tab/>
        <w:t>[Section 99R inserted: No. 14 of 1998 s. 14; amended: No. 54 of 2003 s. 140(2).]</w:t>
      </w:r>
    </w:p>
    <w:p>
      <w:pPr>
        <w:pStyle w:val="Heading5"/>
      </w:pPr>
      <w:bookmarkStart w:id="239" w:name="_Toc199512007"/>
      <w:r>
        <w:rPr>
          <w:rStyle w:val="CharSectno"/>
        </w:rPr>
        <w:t>99S</w:t>
      </w:r>
      <w:r>
        <w:t>.</w:t>
      </w:r>
      <w:r>
        <w:tab/>
        <w:t>Attempt and accessory after the fact</w:t>
      </w:r>
      <w:bookmarkEnd w:id="239"/>
    </w:p>
    <w:p>
      <w:pPr>
        <w:pStyle w:val="Subsection"/>
        <w:spacing w:before="140"/>
      </w:pPr>
      <w:r>
        <w:tab/>
      </w:r>
      <w:r>
        <w:tab/>
        <w:t xml:space="preserve">A person who attempts to commit, or becomes an accessory after the fact to, an offence (in this section called the </w:t>
      </w:r>
      <w:r>
        <w:rPr>
          <w:rStyle w:val="CharDefText"/>
        </w:rPr>
        <w:t>principal offence</w:t>
      </w:r>
      <w:r>
        <w:t>) commits —</w:t>
      </w:r>
    </w:p>
    <w:p>
      <w:pPr>
        <w:pStyle w:val="Indenta"/>
        <w:spacing w:before="60"/>
        <w:ind w:left="1613" w:hanging="1613"/>
      </w:pPr>
      <w:r>
        <w:tab/>
        <w:t>(a)</w:t>
      </w:r>
      <w:r>
        <w:tab/>
        <w:t>if the principal offence is a Tier 1 offence, a Tier 1 offence;</w:t>
      </w:r>
    </w:p>
    <w:p>
      <w:pPr>
        <w:pStyle w:val="Indenta"/>
        <w:spacing w:before="60"/>
        <w:ind w:left="1613" w:hanging="1613"/>
      </w:pPr>
      <w:r>
        <w:tab/>
        <w:t>(b)</w:t>
      </w:r>
      <w:r>
        <w:tab/>
        <w:t>if the principal offence is a Tier 2 offence, a Tier 2 offence;</w:t>
      </w:r>
    </w:p>
    <w:p>
      <w:pPr>
        <w:pStyle w:val="Indenta"/>
        <w:spacing w:before="60"/>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spacing w:before="100"/>
      </w:pPr>
      <w:r>
        <w:tab/>
        <w:t>[Section 99S inserted: No. 14 of 1998 s. 14.]</w:t>
      </w:r>
    </w:p>
    <w:p>
      <w:pPr>
        <w:pStyle w:val="Heading3"/>
      </w:pPr>
      <w:bookmarkStart w:id="240" w:name="_Toc199512008"/>
      <w:r>
        <w:rPr>
          <w:rStyle w:val="CharDivNo"/>
        </w:rPr>
        <w:t>Division 4</w:t>
      </w:r>
      <w:r>
        <w:t xml:space="preserve"> — </w:t>
      </w:r>
      <w:r>
        <w:rPr>
          <w:rStyle w:val="CharDivText"/>
        </w:rPr>
        <w:t>Additional powers available to the court</w:t>
      </w:r>
      <w:bookmarkEnd w:id="240"/>
    </w:p>
    <w:p>
      <w:pPr>
        <w:pStyle w:val="Footnoteheading"/>
        <w:tabs>
          <w:tab w:val="left" w:pos="909"/>
        </w:tabs>
        <w:spacing w:before="100"/>
      </w:pPr>
      <w:r>
        <w:tab/>
        <w:t>[Heading inserted: No. 14 of 1998 s. 14.]</w:t>
      </w:r>
    </w:p>
    <w:p>
      <w:pPr>
        <w:pStyle w:val="Heading5"/>
      </w:pPr>
      <w:bookmarkStart w:id="241" w:name="_Toc199512009"/>
      <w:r>
        <w:rPr>
          <w:rStyle w:val="CharSectno"/>
        </w:rPr>
        <w:t>99T</w:t>
      </w:r>
      <w:r>
        <w:t>.</w:t>
      </w:r>
      <w:r>
        <w:tab/>
        <w:t>Term used: convicted</w:t>
      </w:r>
      <w:bookmarkEnd w:id="241"/>
    </w:p>
    <w:p>
      <w:pPr>
        <w:pStyle w:val="Subsection"/>
        <w:spacing w:before="140"/>
      </w:pPr>
      <w:r>
        <w:tab/>
      </w:r>
      <w:r>
        <w:tab/>
        <w:t>For the purposes of this Division —</w:t>
      </w:r>
    </w:p>
    <w:p>
      <w:pPr>
        <w:pStyle w:val="Indenta"/>
        <w:spacing w:before="60"/>
      </w:pPr>
      <w:r>
        <w:tab/>
        <w:t>(a)</w:t>
      </w:r>
      <w:r>
        <w:tab/>
      </w:r>
      <w:r>
        <w:rPr>
          <w:rStyle w:val="CharDefText"/>
        </w:rPr>
        <w:t>convicted</w:t>
      </w:r>
      <w:r>
        <w:t xml:space="preserve"> has the same meaning as in the </w:t>
      </w:r>
      <w:r>
        <w:rPr>
          <w:i/>
        </w:rPr>
        <w:t>Sentencing Act 1995</w:t>
      </w:r>
      <w:r>
        <w:t>; and</w:t>
      </w:r>
    </w:p>
    <w:p>
      <w:pPr>
        <w:pStyle w:val="Indenta"/>
        <w:spacing w:before="6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spacing w:before="100"/>
      </w:pPr>
      <w:r>
        <w:tab/>
        <w:t>[Section 99T inserted: No. 14 of 1998 s. 14.]</w:t>
      </w:r>
    </w:p>
    <w:p>
      <w:pPr>
        <w:pStyle w:val="Heading5"/>
      </w:pPr>
      <w:bookmarkStart w:id="242" w:name="_Toc199512010"/>
      <w:r>
        <w:rPr>
          <w:rStyle w:val="CharSectno"/>
        </w:rPr>
        <w:lastRenderedPageBreak/>
        <w:t>99U</w:t>
      </w:r>
      <w:r>
        <w:t>.</w:t>
      </w:r>
      <w:r>
        <w:tab/>
        <w:t>Orders generally</w:t>
      </w:r>
      <w:bookmarkEnd w:id="242"/>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No. 14 of 1998 s. 14; amended: No. 69 of 2000 s. 13(1).]</w:t>
      </w:r>
    </w:p>
    <w:p>
      <w:pPr>
        <w:pStyle w:val="Heading5"/>
      </w:pPr>
      <w:bookmarkStart w:id="243" w:name="_Toc199512011"/>
      <w:r>
        <w:rPr>
          <w:rStyle w:val="CharSectno"/>
        </w:rPr>
        <w:t>99V</w:t>
      </w:r>
      <w:r>
        <w:t>.</w:t>
      </w:r>
      <w:r>
        <w:tab/>
        <w:t>Orders for forfeiture</w:t>
      </w:r>
      <w:bookmarkEnd w:id="243"/>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No. 14 of 1998 s. 14; amended: No. 54 of 2003 s. 140(2).]</w:t>
      </w:r>
    </w:p>
    <w:p>
      <w:pPr>
        <w:pStyle w:val="Heading5"/>
      </w:pPr>
      <w:bookmarkStart w:id="244" w:name="_Toc199512012"/>
      <w:r>
        <w:rPr>
          <w:rStyle w:val="CharSectno"/>
        </w:rPr>
        <w:t>99W</w:t>
      </w:r>
      <w:r>
        <w:t>.</w:t>
      </w:r>
      <w:r>
        <w:tab/>
        <w:t>Disposal of forfeited things</w:t>
      </w:r>
      <w:bookmarkEnd w:id="244"/>
    </w:p>
    <w:p>
      <w:pPr>
        <w:pStyle w:val="Subsection"/>
      </w:pPr>
      <w:r>
        <w:tab/>
        <w:t>(1)</w:t>
      </w:r>
      <w:r>
        <w:tab/>
        <w:t>Any thing forfeited to the Crown under this Act may be sold, destroyed or otherwise disposed of or dealt with in the prescribed way.</w:t>
      </w:r>
    </w:p>
    <w:p>
      <w:pPr>
        <w:pStyle w:val="Subsection"/>
      </w:pPr>
      <w:r>
        <w:lastRenderedPageBreak/>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No. 14 of 1998 s. 14; amended: No. 77 of 2006 s. 4.]</w:t>
      </w:r>
    </w:p>
    <w:p>
      <w:pPr>
        <w:pStyle w:val="Heading5"/>
      </w:pPr>
      <w:bookmarkStart w:id="245" w:name="_Toc199512013"/>
      <w:r>
        <w:rPr>
          <w:rStyle w:val="CharSectno"/>
        </w:rPr>
        <w:t>99X</w:t>
      </w:r>
      <w:r>
        <w:t>.</w:t>
      </w:r>
      <w:r>
        <w:tab/>
        <w:t>Orders for prevention, restoration etc.</w:t>
      </w:r>
      <w:bookmarkEnd w:id="245"/>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 or</w:t>
      </w:r>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lastRenderedPageBreak/>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keepNext/>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No. 14 of 1998 s. 14; amended: No. 54 of 2003 s. 140(2).]</w:t>
      </w:r>
    </w:p>
    <w:p>
      <w:pPr>
        <w:pStyle w:val="Heading5"/>
      </w:pPr>
      <w:bookmarkStart w:id="246" w:name="_Toc199512014"/>
      <w:r>
        <w:rPr>
          <w:rStyle w:val="CharSectno"/>
        </w:rPr>
        <w:t>99Y</w:t>
      </w:r>
      <w:r>
        <w:t>.</w:t>
      </w:r>
      <w:r>
        <w:tab/>
        <w:t>Orders for costs, expenses and compensation</w:t>
      </w:r>
      <w:bookmarkEnd w:id="246"/>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 or</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 xml:space="preserve">a person (including a public authority) has, by reason of the commission of the offence, suffered loss of or damage to property or has reasonably incurred costs and </w:t>
      </w:r>
      <w:r>
        <w:lastRenderedPageBreak/>
        <w:t>expenses in preventing or mitigating, or in attempting to prevent or mitigate, any such loss or damage,</w:t>
      </w:r>
    </w:p>
    <w:p>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No. 14 of 1998 s. 14; amended: No. 54 of 2003 s. 140(2).]</w:t>
      </w:r>
    </w:p>
    <w:p>
      <w:pPr>
        <w:pStyle w:val="Heading5"/>
      </w:pPr>
      <w:bookmarkStart w:id="247" w:name="_Toc199512015"/>
      <w:r>
        <w:rPr>
          <w:rStyle w:val="CharSectno"/>
        </w:rPr>
        <w:t>99Z</w:t>
      </w:r>
      <w:r>
        <w:t>.</w:t>
      </w:r>
      <w:r>
        <w:tab/>
        <w:t>Orders regarding monetary benefits</w:t>
      </w:r>
      <w:bookmarkEnd w:id="247"/>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keepNext/>
      </w:pPr>
      <w:r>
        <w:tab/>
        <w:t>(2)</w:t>
      </w:r>
      <w:r>
        <w:tab/>
        <w:t>In this section —</w:t>
      </w:r>
    </w:p>
    <w:p>
      <w:pPr>
        <w:pStyle w:val="Defstart"/>
      </w:pPr>
      <w:r>
        <w:tab/>
      </w:r>
      <w:r>
        <w:rPr>
          <w:rStyle w:val="CharDefText"/>
        </w:rPr>
        <w:t>monetary benefits</w:t>
      </w:r>
      <w:r>
        <w:t xml:space="preserve"> means — </w:t>
      </w:r>
    </w:p>
    <w:p>
      <w:pPr>
        <w:pStyle w:val="Defpara"/>
      </w:pPr>
      <w:r>
        <w:tab/>
        <w:t>(a)</w:t>
      </w:r>
      <w:r>
        <w:tab/>
        <w:t>monetary, financial or economic benefits of any kind; and</w:t>
      </w:r>
    </w:p>
    <w:p>
      <w:pPr>
        <w:pStyle w:val="Defpara"/>
        <w:keepLines/>
      </w:pPr>
      <w:r>
        <w:tab/>
        <w:t>(b)</w:t>
      </w:r>
      <w:r>
        <w:tab/>
        <w:t>monetary savings, or a reduction in expenditure, achieved by the avoidance of charges, fees or other costs that would have been incurred by the offender if the offender had not committed the offence.</w:t>
      </w:r>
    </w:p>
    <w:p>
      <w:pPr>
        <w:pStyle w:val="Footnotesection"/>
      </w:pPr>
      <w:r>
        <w:tab/>
        <w:t>[Section 99Z inserted: No. 14 of 1998 s. 14; amended: No. 40 of 2020 s. 82.]</w:t>
      </w:r>
    </w:p>
    <w:p>
      <w:pPr>
        <w:pStyle w:val="Heading5"/>
      </w:pPr>
      <w:bookmarkStart w:id="248" w:name="_Toc199512016"/>
      <w:r>
        <w:rPr>
          <w:rStyle w:val="CharSectno"/>
        </w:rPr>
        <w:lastRenderedPageBreak/>
        <w:t>99ZA</w:t>
      </w:r>
      <w:r>
        <w:t>.</w:t>
      </w:r>
      <w:r>
        <w:tab/>
        <w:t>Orders requiring public notice to be given etc.</w:t>
      </w:r>
      <w:bookmarkEnd w:id="248"/>
    </w:p>
    <w:p>
      <w:pPr>
        <w:pStyle w:val="Subsection"/>
      </w:pPr>
      <w:r>
        <w:tab/>
        <w:t>(1)</w:t>
      </w:r>
      <w:r>
        <w:tab/>
        <w:t>If a court convicts a person of any offence against this Act, the court may do any one or more of the following —</w:t>
      </w:r>
    </w:p>
    <w:p>
      <w:pPr>
        <w:pStyle w:val="Indenta"/>
      </w:pPr>
      <w:r>
        <w:tab/>
        <w:t>(a)</w:t>
      </w:r>
      <w: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keepNext/>
      </w:pPr>
      <w:r>
        <w:tab/>
        <w:t>(4)</w:t>
      </w:r>
      <w:r>
        <w:tab/>
        <w:t>If the offender fails to comply with an order under subsection (1)(a) or (b), the CEO may take action to carry out 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lastRenderedPageBreak/>
        <w:tab/>
        <w:t>(5)</w:t>
      </w:r>
      <w:r>
        <w:tab/>
        <w:t>The reasonable cost of taking action referred to in subsection (4) is recoverable by the CEO as a debt due in a court of competent jurisdiction.</w:t>
      </w:r>
    </w:p>
    <w:p>
      <w:pPr>
        <w:pStyle w:val="Footnotesection"/>
        <w:ind w:left="890" w:hanging="890"/>
      </w:pPr>
      <w:r>
        <w:tab/>
        <w:t>[Section 99ZA inserted: No. 14 of 1998 s. 14; amended: No. 54 of 2003 s. 140(2).]</w:t>
      </w:r>
    </w:p>
    <w:p>
      <w:pPr>
        <w:pStyle w:val="Heading5"/>
      </w:pPr>
      <w:bookmarkStart w:id="249" w:name="_Toc199512017"/>
      <w:r>
        <w:rPr>
          <w:rStyle w:val="CharSectno"/>
        </w:rPr>
        <w:t>99ZB</w:t>
      </w:r>
      <w:r>
        <w:t>.</w:t>
      </w:r>
      <w:r>
        <w:tab/>
        <w:t>Enforcing orders to pay moneys</w:t>
      </w:r>
      <w:bookmarkEnd w:id="249"/>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keepNext/>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No. 14 of 1998 s. 14; amended: No. 54 of 2003 s. 140(2).]</w:t>
      </w:r>
    </w:p>
    <w:p>
      <w:pPr>
        <w:pStyle w:val="Heading2"/>
      </w:pPr>
      <w:bookmarkStart w:id="250" w:name="_Toc199512018"/>
      <w:r>
        <w:rPr>
          <w:rStyle w:val="CharPartNo"/>
        </w:rPr>
        <w:lastRenderedPageBreak/>
        <w:t>Part VII</w:t>
      </w:r>
      <w:r>
        <w:rPr>
          <w:rStyle w:val="CharDivNo"/>
        </w:rPr>
        <w:t> </w:t>
      </w:r>
      <w:r>
        <w:t>—</w:t>
      </w:r>
      <w:r>
        <w:rPr>
          <w:rStyle w:val="CharDivText"/>
        </w:rPr>
        <w:t> </w:t>
      </w:r>
      <w:r>
        <w:rPr>
          <w:rStyle w:val="CharPartText"/>
        </w:rPr>
        <w:t>Appeals</w:t>
      </w:r>
      <w:bookmarkEnd w:id="250"/>
    </w:p>
    <w:p>
      <w:pPr>
        <w:pStyle w:val="Heading5"/>
        <w:spacing w:before="180"/>
        <w:rPr>
          <w:snapToGrid w:val="0"/>
        </w:rPr>
      </w:pPr>
      <w:bookmarkStart w:id="251" w:name="_Toc199512019"/>
      <w:r>
        <w:rPr>
          <w:rStyle w:val="CharSectno"/>
        </w:rPr>
        <w:t>100</w:t>
      </w:r>
      <w:r>
        <w:rPr>
          <w:snapToGrid w:val="0"/>
        </w:rPr>
        <w:t>.</w:t>
      </w:r>
      <w:r>
        <w:rPr>
          <w:snapToGrid w:val="0"/>
        </w:rPr>
        <w:tab/>
        <w:t>Appeals against Authority’s decisions etc. as to proposals and schemes</w:t>
      </w:r>
      <w:bookmarkEnd w:id="251"/>
    </w:p>
    <w:p>
      <w:pPr>
        <w:pStyle w:val="Subsection"/>
      </w:pPr>
      <w:r>
        <w:tab/>
        <w:t>(1)</w:t>
      </w:r>
      <w:r>
        <w:tab/>
        <w:t>Any decision</w:t>
      </w:r>
      <w:r>
        <w:noBreakHyphen/>
        <w:t>making authority, responsible authority, proponent or other person that disagrees with —</w:t>
      </w:r>
    </w:p>
    <w:p>
      <w:pPr>
        <w:pStyle w:val="Indenta"/>
        <w:spacing w:before="60"/>
      </w:pPr>
      <w:r>
        <w:tab/>
        <w:t>(a)</w:t>
      </w:r>
      <w:r>
        <w:tab/>
        <w:t>a recorded decision of the Authority that a proposal is not to be assessed, other than a decision that includes a recommendation that the proposal be dealt with under Part V Division 2; or</w:t>
      </w:r>
    </w:p>
    <w:p>
      <w:pPr>
        <w:pStyle w:val="Ednotepara"/>
        <w:spacing w:before="60"/>
      </w:pPr>
      <w:r>
        <w:tab/>
        <w:t>[(b), (c)</w:t>
      </w:r>
      <w:r>
        <w:tab/>
        <w:t>deleted]</w:t>
      </w:r>
    </w:p>
    <w:p>
      <w:pPr>
        <w:pStyle w:val="Indenta"/>
        <w:spacing w:before="60"/>
      </w:pPr>
      <w:r>
        <w:tab/>
        <w:t>(d)</w:t>
      </w:r>
      <w:r>
        <w:tab/>
        <w:t>the content of, or any recommendation in, the report prepared under section 44 in respect of a proposal; or</w:t>
      </w:r>
    </w:p>
    <w:p>
      <w:pPr>
        <w:pStyle w:val="Indenta"/>
        <w:spacing w:before="60"/>
      </w:pPr>
      <w:r>
        <w:tab/>
        <w:t>(e)</w:t>
      </w:r>
      <w:r>
        <w:tab/>
        <w:t>the content of, or any recommendation in, the report prepared under section 48D in respect of a scheme,</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Ednotesubsection"/>
      </w:pPr>
      <w:r>
        <w:tab/>
        <w:t>[(2)</w:t>
      </w:r>
      <w:r>
        <w:tab/>
        <w:t>deleted]</w:t>
      </w:r>
    </w:p>
    <w:p>
      <w:pPr>
        <w:pStyle w:val="Subsection"/>
      </w:pPr>
      <w:r>
        <w:tab/>
        <w:t>(3)</w:t>
      </w:r>
      <w:r>
        <w:tab/>
        <w:t xml:space="preserve">Any proponent that disagrees with any conditions or procedures agreed under section 45(3) or (4) (or under section 45(3) or (4)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spacing w:before="60"/>
      </w:pPr>
      <w:r>
        <w:tab/>
        <w:t>(a)</w:t>
      </w:r>
      <w:r>
        <w:tab/>
        <w:t>under subsection (1)(a), within 21 days of the making available of the public record; or</w:t>
      </w:r>
    </w:p>
    <w:p>
      <w:pPr>
        <w:pStyle w:val="Indenta"/>
        <w:spacing w:before="60"/>
      </w:pPr>
      <w:r>
        <w:tab/>
        <w:t>(b)</w:t>
      </w:r>
      <w:r>
        <w:tab/>
        <w:t>under subsection (1)(d), within 21 days of the publication of the report under section 44(3)(a); or</w:t>
      </w:r>
    </w:p>
    <w:p>
      <w:pPr>
        <w:pStyle w:val="Indenta"/>
        <w:spacing w:before="60"/>
      </w:pPr>
      <w:r>
        <w:tab/>
        <w:t>(c)</w:t>
      </w:r>
      <w:r>
        <w:tab/>
        <w:t>under subsection (1)(e), within 21 days of the publication of the report under section 48D(3)(a); or</w:t>
      </w:r>
    </w:p>
    <w:p>
      <w:pPr>
        <w:pStyle w:val="Indenta"/>
      </w:pPr>
      <w:r>
        <w:lastRenderedPageBreak/>
        <w:tab/>
        <w:t>(d)</w:t>
      </w:r>
      <w:r>
        <w:tab/>
        <w:t xml:space="preserve">under subsection (3), within 14 days after the publication of the Ministerial statement </w:t>
      </w:r>
      <w:r>
        <w:rPr>
          <w:snapToGrid w:val="0"/>
        </w:rPr>
        <w:t>setting out the agreement</w:t>
      </w:r>
      <w:r>
        <w:t>.</w:t>
      </w:r>
    </w:p>
    <w:p>
      <w:pPr>
        <w:pStyle w:val="Ednotepara"/>
      </w:pPr>
      <w:r>
        <w:tab/>
        <w:t>[(e)</w:t>
      </w:r>
      <w:r>
        <w:tab/>
        <w:t>deleted]</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 notice served on the proponent under</w:t>
      </w:r>
      <w:r>
        <w:t xml:space="preserve"> section 48(7)(b)</w:t>
      </w:r>
      <w:r>
        <w:rPr>
          <w:snapToGrid w:val="0"/>
        </w:rPr>
        <w:t>; or</w:t>
      </w:r>
    </w:p>
    <w:p>
      <w:pPr>
        <w:pStyle w:val="Indenta"/>
        <w:rPr>
          <w:snapToGrid w:val="0"/>
        </w:rPr>
      </w:pPr>
      <w:r>
        <w:rPr>
          <w:snapToGrid w:val="0"/>
        </w:rPr>
        <w:tab/>
        <w:t>(b)</w:t>
      </w:r>
      <w:r>
        <w:rPr>
          <w:snapToGrid w:val="0"/>
        </w:rPr>
        <w:tab/>
        <w:t>the taking of any steps under section 48(7)(c)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No. 73 of 1994 s. 4; No. 23 of 1996 s. 22; No. 54 of 2003 s. 23; No. 40 of 2010 s. 6; No. 40 of 2020 s. 84.]</w:t>
      </w:r>
    </w:p>
    <w:p>
      <w:pPr>
        <w:pStyle w:val="Heading5"/>
        <w:rPr>
          <w:snapToGrid w:val="0"/>
        </w:rPr>
      </w:pPr>
      <w:bookmarkStart w:id="252" w:name="_Toc199512020"/>
      <w:r>
        <w:rPr>
          <w:rStyle w:val="CharSectno"/>
        </w:rPr>
        <w:t>101</w:t>
      </w:r>
      <w:r>
        <w:rPr>
          <w:snapToGrid w:val="0"/>
        </w:rPr>
        <w:t>.</w:t>
      </w:r>
      <w:r>
        <w:rPr>
          <w:snapToGrid w:val="0"/>
        </w:rPr>
        <w:tab/>
        <w:t>Minister’s powers on appeals under s. 100</w:t>
      </w:r>
      <w:bookmarkEnd w:id="252"/>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Indenta"/>
      </w:pPr>
      <w:r>
        <w:tab/>
        <w:t>(b)</w:t>
      </w:r>
      <w:r>
        <w:tab/>
        <w:t>in the case of an appeal referred to in section 100(1)(a), remit the proposal to the Authority for the making of a fresh decision as to whether or not the proposal is to be assessed; or</w:t>
      </w:r>
    </w:p>
    <w:p>
      <w:pPr>
        <w:pStyle w:val="Indenta"/>
      </w:pPr>
      <w:r>
        <w:tab/>
        <w:t>(c)</w:t>
      </w:r>
      <w:r>
        <w:tab/>
        <w:t>in the case of an appeal referred to in section 100(1)(a), remit the proposal to the Authority for assessment and for that purpose make a direction under section 43; or</w:t>
      </w:r>
    </w:p>
    <w:p>
      <w:pPr>
        <w:pStyle w:val="Indenta"/>
        <w:keepNext/>
      </w:pPr>
      <w:r>
        <w:tab/>
        <w:t>(d)</w:t>
      </w:r>
      <w:r>
        <w:tab/>
        <w:t>in the case of an appeal referred to in section 100(1)(d) —</w:t>
      </w:r>
    </w:p>
    <w:p>
      <w:pPr>
        <w:pStyle w:val="Indenti"/>
      </w:pPr>
      <w:r>
        <w:tab/>
        <w:t>(i)</w:t>
      </w:r>
      <w:r>
        <w:tab/>
        <w:t xml:space="preserve">remit the proposal to the Authority for assessment, further assessment or reassessment, </w:t>
      </w:r>
      <w:r>
        <w:lastRenderedPageBreak/>
        <w:t>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Indenta"/>
        <w:rPr>
          <w:snapToGrid w:val="0"/>
        </w:rPr>
      </w:pPr>
      <w:r>
        <w:rPr>
          <w:snapToGrid w:val="0"/>
        </w:rPr>
        <w:tab/>
        <w:t>(e)</w:t>
      </w:r>
      <w:r>
        <w:rPr>
          <w:snapToGrid w:val="0"/>
        </w:rPr>
        <w:tab/>
        <w:t>in the case of an appeal against a notice served under section 48(7)(b), set aside or alter that notice; or</w:t>
      </w:r>
    </w:p>
    <w:p>
      <w:pPr>
        <w:pStyle w:val="Indenta"/>
        <w:rPr>
          <w:snapToGrid w:val="0"/>
        </w:rPr>
      </w:pPr>
      <w:r>
        <w:rPr>
          <w:snapToGrid w:val="0"/>
        </w:rPr>
        <w:tab/>
        <w:t>(f)</w:t>
      </w:r>
      <w:r>
        <w:rPr>
          <w:snapToGrid w:val="0"/>
        </w:rPr>
        <w:tab/>
        <w:t xml:space="preserve">in the case of an appeal against the taking of any steps under </w:t>
      </w:r>
      <w:r>
        <w:t xml:space="preserve">section 48(7)(c) </w:t>
      </w:r>
      <w:r>
        <w:rPr>
          <w:snapToGrid w:val="0"/>
        </w:rPr>
        <w:t>or (d), prohibit the taking of any 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 xml:space="preserve">within such period as the Minister specifies in </w:t>
      </w:r>
      <w:r>
        <w:t xml:space="preserve">the </w:t>
      </w:r>
      <w:r>
        <w:rPr>
          <w:snapToGrid w:val="0"/>
        </w:rPr>
        <w:t>remittal.</w:t>
      </w:r>
    </w:p>
    <w:p>
      <w:pPr>
        <w:pStyle w:val="Ednotesubsection"/>
      </w:pPr>
      <w:r>
        <w:tab/>
        <w:t>[(2a)</w:t>
      </w:r>
      <w:r>
        <w:noBreakHyphen/>
        <w:t>(2c)</w:t>
      </w:r>
      <w:r>
        <w:tab/>
        <w:t>deleted]</w:t>
      </w:r>
    </w:p>
    <w:p>
      <w:pPr>
        <w:pStyle w:val="Subsection"/>
        <w:keepNext/>
        <w:keepLines/>
        <w:rPr>
          <w:snapToGrid w:val="0"/>
        </w:rPr>
      </w:pPr>
      <w:r>
        <w:rPr>
          <w:snapToGrid w:val="0"/>
        </w:rPr>
        <w:lastRenderedPageBreak/>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 xml:space="preserve">if the Minister considers that the decision of the appeal could affect the content of any condition to which the relevant scheme might be subject, having consulted the responsible Minister under section 48F(1) in respect of that condition and, if possible, agreed with </w:t>
      </w:r>
      <w:r>
        <w:t>the responsible Minister</w:t>
      </w:r>
      <w:r>
        <w:rPr>
          <w:snapToGrid w:val="0"/>
        </w:rPr>
        <w:t xml:space="preserve">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the Minister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tab/>
        <w:t>(3)</w:t>
      </w:r>
      <w:r>
        <w:rPr>
          <w:snapToGrid w:val="0"/>
        </w:rPr>
        <w:tab/>
        <w:t>The lodging of an appeal —</w:t>
      </w:r>
    </w:p>
    <w:p>
      <w:pPr>
        <w:pStyle w:val="Indenta"/>
      </w:pPr>
      <w:r>
        <w:tab/>
        <w:t>(a)</w:t>
      </w:r>
      <w:r>
        <w:tab/>
        <w:t>referred to in section 100(1)(a) does not affect the relevant decision; or</w:t>
      </w:r>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45(10) or 48F(3), as the case requires; or</w:t>
      </w:r>
    </w:p>
    <w:p>
      <w:pPr>
        <w:pStyle w:val="Indenta"/>
      </w:pPr>
      <w:r>
        <w:tab/>
        <w:t>(c)</w:t>
      </w:r>
      <w:r>
        <w:tab/>
        <w:t>referred to in section 100(3) as to conditions or procedures agreed under section 45(3) or (4) otherwise than as applied by section 46(8) prevents the implementation of the proposal concerned; or</w:t>
      </w:r>
    </w:p>
    <w:p>
      <w:pPr>
        <w:pStyle w:val="Indenta"/>
      </w:pPr>
      <w:r>
        <w:tab/>
        <w:t>(d)</w:t>
      </w:r>
      <w:r>
        <w:tab/>
        <w:t>referred to in section 100(3) as to conditions or procedures agreed under section 45(3) or (4) as applied by section 46(8) does not prevent the implementation, or continued implementation, of the proposal concerned subject to the implementation conditions; or</w:t>
      </w:r>
    </w:p>
    <w:p>
      <w:pPr>
        <w:pStyle w:val="Indenta"/>
        <w:rPr>
          <w:snapToGrid w:val="0"/>
        </w:rPr>
      </w:pPr>
      <w:r>
        <w:rPr>
          <w:snapToGrid w:val="0"/>
        </w:rPr>
        <w:lastRenderedPageBreak/>
        <w:tab/>
        <w:t>(e)</w:t>
      </w:r>
      <w:r>
        <w:rPr>
          <w:snapToGrid w:val="0"/>
        </w:rPr>
        <w:tab/>
        <w:t>against a notice served under section 48(7)(b) suspends the operation of that notice; or</w:t>
      </w:r>
    </w:p>
    <w:p>
      <w:pPr>
        <w:pStyle w:val="Indenta"/>
        <w:spacing w:before="120"/>
        <w:rPr>
          <w:snapToGrid w:val="0"/>
        </w:rPr>
      </w:pPr>
      <w:r>
        <w:rPr>
          <w:snapToGrid w:val="0"/>
        </w:rPr>
        <w:tab/>
        <w:t>(f)</w:t>
      </w:r>
      <w:r>
        <w:rPr>
          <w:snapToGrid w:val="0"/>
        </w:rPr>
        <w:tab/>
        <w:t xml:space="preserve">against the taking of any steps under </w:t>
      </w:r>
      <w:r>
        <w:t>section </w:t>
      </w:r>
      <w:r>
        <w:rPr>
          <w:snapToGrid w:val="0"/>
        </w:rPr>
        <w:t>48</w:t>
      </w:r>
      <w:r>
        <w:t xml:space="preserve">(7)(c) </w:t>
      </w:r>
      <w:r>
        <w:rPr>
          <w:snapToGrid w:val="0"/>
        </w:rPr>
        <w:t>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 or section 107(2).</w:t>
      </w:r>
    </w:p>
    <w:p>
      <w:pPr>
        <w:pStyle w:val="Subsection"/>
        <w:rPr>
          <w:snapToGrid w:val="0"/>
        </w:rPr>
      </w:pPr>
      <w:r>
        <w:rPr>
          <w:snapToGrid w:val="0"/>
        </w:rPr>
        <w:tab/>
        <w:t>(4)</w:t>
      </w:r>
      <w:r>
        <w:rPr>
          <w:snapToGrid w:val="0"/>
        </w:rPr>
        <w:tab/>
        <w:t xml:space="preserve">In giving a decision under subsection (1)(f), the Minister may order that </w:t>
      </w:r>
      <w:r>
        <w:t xml:space="preserve">section 48(8) </w:t>
      </w:r>
      <w:r>
        <w:rPr>
          <w:snapToGrid w:val="0"/>
        </w:rPr>
        <w:t>does not apply to any steps to which the decision relates and that order has effect according to its tenor.</w:t>
      </w:r>
    </w:p>
    <w:p>
      <w:pPr>
        <w:pStyle w:val="Footnotesection"/>
        <w:spacing w:before="80"/>
        <w:ind w:left="890" w:hanging="890"/>
      </w:pPr>
      <w:r>
        <w:tab/>
        <w:t>[Section 101 amended: No. 23 of 1996 s. 23; No. 57 of 1997 s. 54(7) and (8); No. 54 of 2003 s. 24; No. 40 of 2010 s. 7; No. 40 of 2020 s. 85 and 111(1).]</w:t>
      </w:r>
    </w:p>
    <w:p>
      <w:pPr>
        <w:pStyle w:val="Heading5"/>
      </w:pPr>
      <w:bookmarkStart w:id="253" w:name="_Toc199512021"/>
      <w:r>
        <w:rPr>
          <w:rStyle w:val="CharSectno"/>
        </w:rPr>
        <w:t>101A</w:t>
      </w:r>
      <w:r>
        <w:t>.</w:t>
      </w:r>
      <w:r>
        <w:tab/>
        <w:t>Appeals against decisions as to clearing permits</w:t>
      </w:r>
      <w:bookmarkEnd w:id="253"/>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keepNext/>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w:t>
      </w:r>
      <w:r>
        <w:rPr>
          <w:snapToGrid w:val="0"/>
        </w:rPr>
        <w:lastRenderedPageBreak/>
        <w:t>that amendment, revocation or suspension lodge with the 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lastRenderedPageBreak/>
        <w:tab/>
        <w:t>(9)</w:t>
      </w:r>
      <w:r>
        <w:tab/>
        <w:t>Pending the determination of the relevant appeal lodged under subsection (4), the clearing permit shall be deemed not to have been granted.</w:t>
      </w:r>
    </w:p>
    <w:p>
      <w:pPr>
        <w:pStyle w:val="Footnotesection"/>
        <w:ind w:left="890" w:hanging="890"/>
      </w:pPr>
      <w:r>
        <w:tab/>
        <w:t>[Section 101A inserted: No. 54 of 2003 s. 112; amended: No. 40 of 2010 s. 10.]</w:t>
      </w:r>
    </w:p>
    <w:p>
      <w:pPr>
        <w:pStyle w:val="Heading5"/>
        <w:rPr>
          <w:snapToGrid w:val="0"/>
        </w:rPr>
      </w:pPr>
      <w:bookmarkStart w:id="254" w:name="_Toc199512022"/>
      <w:r>
        <w:rPr>
          <w:rStyle w:val="CharSectno"/>
        </w:rPr>
        <w:t>102</w:t>
      </w:r>
      <w:r>
        <w:rPr>
          <w:snapToGrid w:val="0"/>
        </w:rPr>
        <w:t>.</w:t>
      </w:r>
      <w:r>
        <w:rPr>
          <w:snapToGrid w:val="0"/>
        </w:rPr>
        <w:tab/>
        <w:t>Appeals against decisions as to works approvals and licences</w:t>
      </w:r>
      <w:bookmarkEnd w:id="254"/>
    </w:p>
    <w:p>
      <w:pPr>
        <w:pStyle w:val="Subsection"/>
        <w:keepNext/>
        <w:keepLines/>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lastRenderedPageBreak/>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spacing w:before="100"/>
      </w:pPr>
      <w:r>
        <w:tab/>
        <w:t>[Section 102 amended: No. 54 of 2003 s. 82, 99 and 140(2); No. 40 of 2010 s. 11.]</w:t>
      </w:r>
    </w:p>
    <w:p>
      <w:pPr>
        <w:pStyle w:val="Heading5"/>
        <w:rPr>
          <w:snapToGrid w:val="0"/>
        </w:rPr>
      </w:pPr>
      <w:bookmarkStart w:id="255" w:name="_Toc199512023"/>
      <w:r>
        <w:rPr>
          <w:rStyle w:val="CharSectno"/>
        </w:rPr>
        <w:t>103</w:t>
      </w:r>
      <w:r>
        <w:rPr>
          <w:snapToGrid w:val="0"/>
        </w:rPr>
        <w:t>.</w:t>
      </w:r>
      <w:r>
        <w:rPr>
          <w:snapToGrid w:val="0"/>
        </w:rPr>
        <w:tab/>
        <w:t>Appeals against decisions as to notices issued under s. 65, 68A, 70 or 73A</w:t>
      </w:r>
      <w:bookmarkEnd w:id="255"/>
    </w:p>
    <w:p>
      <w:pPr>
        <w:pStyle w:val="Subsection"/>
        <w:spacing w:before="120"/>
      </w:pPr>
      <w:r>
        <w:tab/>
        <w:t>(1)</w:t>
      </w:r>
      <w:r>
        <w:tab/>
        <w:t>Subject to section 105, a person who is aggrieved by —</w:t>
      </w:r>
    </w:p>
    <w:p>
      <w:pPr>
        <w:pStyle w:val="Indenta"/>
        <w:spacing w:before="60"/>
      </w:pPr>
      <w:r>
        <w:tab/>
        <w:t>(a)</w:t>
      </w:r>
      <w:r>
        <w:tab/>
        <w:t>a requirement contained in a closure notice, environmental protection notice, vegetation conservation notice or prevention notice given to that person; or</w:t>
      </w:r>
    </w:p>
    <w:p>
      <w:pPr>
        <w:pStyle w:val="Indenta"/>
        <w:spacing w:before="60"/>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keepLines/>
        <w:spacing w:before="120"/>
        <w:rPr>
          <w:snapToGrid w:val="0"/>
        </w:rPr>
      </w:pPr>
      <w:r>
        <w:rPr>
          <w:snapToGrid w:val="0"/>
        </w:rPr>
        <w:lastRenderedPageBreak/>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spacing w:before="100"/>
      </w:pPr>
      <w:r>
        <w:tab/>
        <w:t>[Section 103 amended: No. 54 of 2003 s. 63.]</w:t>
      </w:r>
    </w:p>
    <w:p>
      <w:pPr>
        <w:pStyle w:val="Heading5"/>
        <w:rPr>
          <w:snapToGrid w:val="0"/>
        </w:rPr>
      </w:pPr>
      <w:bookmarkStart w:id="256" w:name="_Toc199512024"/>
      <w:r>
        <w:rPr>
          <w:rStyle w:val="CharSectno"/>
        </w:rPr>
        <w:t>104</w:t>
      </w:r>
      <w:r>
        <w:rPr>
          <w:snapToGrid w:val="0"/>
        </w:rPr>
        <w:t>.</w:t>
      </w:r>
      <w:r>
        <w:rPr>
          <w:snapToGrid w:val="0"/>
        </w:rPr>
        <w:tab/>
        <w:t>Appeals against CEO’s requirements under s. 96 or 97</w:t>
      </w:r>
      <w:bookmarkEnd w:id="256"/>
    </w:p>
    <w:p>
      <w:pPr>
        <w:pStyle w:val="Subsection"/>
        <w:rPr>
          <w:snapToGrid w:val="0"/>
        </w:rPr>
      </w:pPr>
      <w:r>
        <w:rPr>
          <w:snapToGrid w:val="0"/>
        </w:rPr>
        <w:tab/>
        <w:t>(1)</w:t>
      </w:r>
      <w:r>
        <w:rPr>
          <w:snapToGrid w:val="0"/>
        </w:rPr>
        <w:tab/>
        <w:t xml:space="preserve">A person who is aggrieved by a requirement contained in a notice served on </w:t>
      </w:r>
      <w:r>
        <w:t>the person</w:t>
      </w:r>
      <w:r>
        <w:rPr>
          <w:snapToGrid w:val="0"/>
        </w:rPr>
        <w:t xml:space="preserve">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Footnotesection"/>
      </w:pPr>
      <w:r>
        <w:tab/>
        <w:t>[Section 104 amended: No. 40 of 2020 s. 111(1).]</w:t>
      </w:r>
    </w:p>
    <w:p>
      <w:pPr>
        <w:pStyle w:val="Heading5"/>
        <w:rPr>
          <w:snapToGrid w:val="0"/>
        </w:rPr>
      </w:pPr>
      <w:bookmarkStart w:id="257" w:name="_Toc199512025"/>
      <w:r>
        <w:rPr>
          <w:rStyle w:val="CharSectno"/>
        </w:rPr>
        <w:t>105</w:t>
      </w:r>
      <w:r>
        <w:rPr>
          <w:snapToGrid w:val="0"/>
        </w:rPr>
        <w:t>.</w:t>
      </w:r>
      <w:r>
        <w:rPr>
          <w:snapToGrid w:val="0"/>
        </w:rPr>
        <w:tab/>
        <w:t>Matters that cannot be appealed</w:t>
      </w:r>
      <w:bookmarkEnd w:id="257"/>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ind w:left="890" w:hanging="890"/>
      </w:pPr>
      <w:r>
        <w:tab/>
        <w:t>[Section 105 amended: No. 54 of 2003 s. 83, 113 and 140(2).]</w:t>
      </w:r>
    </w:p>
    <w:p>
      <w:pPr>
        <w:pStyle w:val="Heading5"/>
        <w:keepLines w:val="0"/>
      </w:pPr>
      <w:bookmarkStart w:id="258" w:name="_Toc199512026"/>
      <w:r>
        <w:rPr>
          <w:rStyle w:val="CharSectno"/>
        </w:rPr>
        <w:lastRenderedPageBreak/>
        <w:t>106</w:t>
      </w:r>
      <w:r>
        <w:t>.</w:t>
      </w:r>
      <w:r>
        <w:tab/>
        <w:t>Preliminary procedure on appeals</w:t>
      </w:r>
      <w:bookmarkEnd w:id="258"/>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 and</w:t>
      </w:r>
    </w:p>
    <w:p>
      <w:pPr>
        <w:pStyle w:val="Indenta"/>
      </w:pPr>
      <w:r>
        <w:tab/>
        <w:t>(b)</w:t>
      </w:r>
      <w:r>
        <w:tab/>
        <w:t>if the appeal is lodged under section 101A, 102, 103 or 104, shall request the CEO to report to the Minister on the appeal; and</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101(2d).</w:t>
      </w:r>
    </w:p>
    <w:p>
      <w:pPr>
        <w:pStyle w:val="Subsection"/>
      </w:pPr>
      <w:r>
        <w:tab/>
        <w:t>(4)</w:t>
      </w:r>
      <w:r>
        <w:tab/>
        <w:t>Subsection (1) does not apply if an appeals committee has been appointed.</w:t>
      </w:r>
    </w:p>
    <w:p>
      <w:pPr>
        <w:pStyle w:val="Subsection"/>
      </w:pPr>
      <w:r>
        <w:tab/>
        <w:t>(5)</w:t>
      </w:r>
      <w:r>
        <w:tab/>
        <w:t>If an appeal is lodged under section 100 by a person other than a decision</w:t>
      </w:r>
      <w:r>
        <w:noBreakHyphen/>
        <w:t>making authority and the decision</w:t>
      </w:r>
      <w:r>
        <w:noBreakHyphen/>
        <w:t xml:space="preserve">making authority has made submissions to the Minister in respect of the proposal to which the appeal relates — </w:t>
      </w:r>
    </w:p>
    <w:p>
      <w:pPr>
        <w:pStyle w:val="Indenta"/>
      </w:pPr>
      <w:r>
        <w:tab/>
        <w:t>(a)</w:t>
      </w:r>
      <w:r>
        <w:tab/>
        <w:t>the Appeals Convenor must have regard to those submissions when reporting on, and otherwise dealing with, the appeal; and</w:t>
      </w:r>
    </w:p>
    <w:p>
      <w:pPr>
        <w:pStyle w:val="Indenta"/>
      </w:pPr>
      <w:r>
        <w:lastRenderedPageBreak/>
        <w:tab/>
        <w:t>(b)</w:t>
      </w:r>
      <w:r>
        <w:tab/>
        <w:t>if an appeals committee has been appointed, it must have regard to those submissions when considering and reporting to the Minister on the appeal.</w:t>
      </w:r>
    </w:p>
    <w:p>
      <w:pPr>
        <w:pStyle w:val="Footnotesection"/>
        <w:ind w:left="890" w:hanging="890"/>
      </w:pPr>
      <w:r>
        <w:tab/>
        <w:t>[Section 106 inserted: No. 54 of 2003 s. 100; amended: No. 40 of 2010 s. 8; No. 40 of 2020 s. 88(2).]</w:t>
      </w:r>
    </w:p>
    <w:p>
      <w:pPr>
        <w:pStyle w:val="Heading5"/>
        <w:rPr>
          <w:snapToGrid w:val="0"/>
        </w:rPr>
      </w:pPr>
      <w:bookmarkStart w:id="259" w:name="_Toc199512027"/>
      <w:r>
        <w:rPr>
          <w:rStyle w:val="CharSectno"/>
        </w:rPr>
        <w:t>107</w:t>
      </w:r>
      <w:r>
        <w:rPr>
          <w:snapToGrid w:val="0"/>
        </w:rPr>
        <w:t>.</w:t>
      </w:r>
      <w:r>
        <w:rPr>
          <w:snapToGrid w:val="0"/>
        </w:rPr>
        <w:tab/>
      </w:r>
      <w:r>
        <w:t>Minister’s powers on appeal</w:t>
      </w:r>
      <w:bookmarkEnd w:id="259"/>
    </w:p>
    <w:p>
      <w:pPr>
        <w:pStyle w:val="Ednotesubsection"/>
      </w:pPr>
      <w:r>
        <w:tab/>
        <w:t>[(1)</w:t>
      </w:r>
      <w:r>
        <w:tab/>
        <w:t>deleted]</w:t>
      </w:r>
    </w:p>
    <w:p>
      <w:pPr>
        <w:pStyle w:val="Subsection"/>
        <w:rPr>
          <w:snapToGrid w:val="0"/>
        </w:rPr>
      </w:pPr>
      <w:r>
        <w:rPr>
          <w:snapToGrid w:val="0"/>
        </w:rPr>
        <w:tab/>
        <w:t>(2)</w:t>
      </w:r>
      <w:r>
        <w:rPr>
          <w:snapToGrid w:val="0"/>
        </w:rPr>
        <w:tab/>
        <w:t xml:space="preserve">On receiving a report or reports </w:t>
      </w:r>
      <w:r>
        <w:t xml:space="preserve">mentioned in section 106(1)(a), (b) or (d), </w:t>
      </w:r>
      <w:r>
        <w:rPr>
          <w:snapToGrid w:val="0"/>
        </w:rPr>
        <w:t>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No. 23 of 1996 s. 25; No. 14 of 1998 s. 24; No. 54 of 2003 s. 101; No. 40 of 2010 s. 9; No. 40 of 2020 s. 89.]</w:t>
      </w:r>
    </w:p>
    <w:p>
      <w:pPr>
        <w:pStyle w:val="Heading5"/>
      </w:pPr>
      <w:bookmarkStart w:id="260" w:name="_Toc199512028"/>
      <w:r>
        <w:rPr>
          <w:rStyle w:val="CharSectno"/>
        </w:rPr>
        <w:t>107A</w:t>
      </w:r>
      <w:r>
        <w:t>.</w:t>
      </w:r>
      <w:r>
        <w:tab/>
        <w:t>Appeals Convenor, appointment of</w:t>
      </w:r>
      <w:bookmarkEnd w:id="260"/>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lastRenderedPageBreak/>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No. 54 of 2003 s. 102.]</w:t>
      </w:r>
    </w:p>
    <w:p>
      <w:pPr>
        <w:pStyle w:val="Heading5"/>
      </w:pPr>
      <w:bookmarkStart w:id="261" w:name="_Toc199512029"/>
      <w:r>
        <w:rPr>
          <w:rStyle w:val="CharSectno"/>
        </w:rPr>
        <w:t>107B</w:t>
      </w:r>
      <w:r>
        <w:t>.</w:t>
      </w:r>
      <w:r>
        <w:tab/>
        <w:t>Functions of Appeals Convenor</w:t>
      </w:r>
      <w:bookmarkEnd w:id="261"/>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the Appeals Convenor’s functions.</w:t>
      </w:r>
    </w:p>
    <w:p>
      <w:pPr>
        <w:pStyle w:val="Subsection"/>
      </w:pPr>
      <w:r>
        <w:tab/>
        <w:t>(4)</w:t>
      </w:r>
      <w:r>
        <w:tab/>
        <w:t>If an appeal under section 100, 101A, 101B(1), 102, 103 or 104(1), as enacted at any time, is lodged with the Appeals Convenor, it is taken to have been lodged with the Minister.</w:t>
      </w:r>
    </w:p>
    <w:p>
      <w:pPr>
        <w:pStyle w:val="Subsection"/>
      </w:pPr>
      <w:r>
        <w:tab/>
        <w:t>(5)</w:t>
      </w:r>
      <w:r>
        <w:tab/>
        <w:t xml:space="preserve">Subsection (4) extends, and is taken to have always extended, to appeals lodged before the coming into operation of the </w:t>
      </w:r>
      <w:r>
        <w:rPr>
          <w:i/>
        </w:rPr>
        <w:t>Environmental Protection Amendment Act 2020</w:t>
      </w:r>
      <w:r>
        <w:t xml:space="preserve"> section 90.</w:t>
      </w:r>
    </w:p>
    <w:p>
      <w:pPr>
        <w:pStyle w:val="Footnotesection"/>
        <w:keepLines w:val="0"/>
        <w:spacing w:before="100"/>
        <w:ind w:left="890" w:hanging="890"/>
      </w:pPr>
      <w:r>
        <w:lastRenderedPageBreak/>
        <w:tab/>
        <w:t>[Section 107B inserted: No. 54 of 2003 s. 102; amended: No. 40 of 2020 s. 90 and 111(1).]</w:t>
      </w:r>
    </w:p>
    <w:p>
      <w:pPr>
        <w:pStyle w:val="Heading5"/>
      </w:pPr>
      <w:bookmarkStart w:id="262" w:name="_Toc199512030"/>
      <w:r>
        <w:rPr>
          <w:rStyle w:val="CharSectno"/>
        </w:rPr>
        <w:t>107C</w:t>
      </w:r>
      <w:r>
        <w:t>.</w:t>
      </w:r>
      <w:r>
        <w:tab/>
        <w:t>Appeals panel, appointment of</w:t>
      </w:r>
      <w:bookmarkEnd w:id="262"/>
      <w:r>
        <w:t xml:space="preserve"> </w:t>
      </w:r>
    </w:p>
    <w:p>
      <w:pPr>
        <w:pStyle w:val="Subsection"/>
        <w:spacing w:before="140"/>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spacing w:before="140"/>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spacing w:before="140"/>
      </w:pPr>
      <w:r>
        <w:tab/>
        <w:t>(3)</w:t>
      </w:r>
      <w:r>
        <w:tab/>
        <w:t>A member of an appeals panel shall be paid remuneration and allowances as if the member were a member of an appeals committee.</w:t>
      </w:r>
    </w:p>
    <w:p>
      <w:pPr>
        <w:pStyle w:val="Footnotesection"/>
        <w:spacing w:before="100"/>
      </w:pPr>
      <w:r>
        <w:tab/>
        <w:t>[Section 107C inserted: No. 54 of 2003 s. 102.]</w:t>
      </w:r>
    </w:p>
    <w:p>
      <w:pPr>
        <w:pStyle w:val="Heading5"/>
      </w:pPr>
      <w:bookmarkStart w:id="263" w:name="_Toc199512031"/>
      <w:r>
        <w:rPr>
          <w:rStyle w:val="CharSectno"/>
        </w:rPr>
        <w:t>107D</w:t>
      </w:r>
      <w:r>
        <w:t>.</w:t>
      </w:r>
      <w:r>
        <w:tab/>
        <w:t>Administrative procedures for appeals</w:t>
      </w:r>
      <w:bookmarkEnd w:id="263"/>
    </w:p>
    <w:p>
      <w:pPr>
        <w:pStyle w:val="Subsection"/>
      </w:pPr>
      <w:r>
        <w:tab/>
        <w:t>(1)</w:t>
      </w:r>
      <w:r>
        <w:tab/>
        <w:t>The Appeals Convenor may, with the approval of the Minister —</w:t>
      </w:r>
    </w:p>
    <w:p>
      <w:pPr>
        <w:pStyle w:val="Indenta"/>
        <w:spacing w:before="60"/>
      </w:pPr>
      <w:r>
        <w:tab/>
        <w:t>(a)</w:t>
      </w:r>
      <w:r>
        <w:tab/>
        <w:t>draw up administrative procedures as to —</w:t>
      </w:r>
    </w:p>
    <w:p>
      <w:pPr>
        <w:pStyle w:val="Indenti"/>
        <w:spacing w:before="60"/>
      </w:pPr>
      <w:r>
        <w:tab/>
        <w:t>(i)</w:t>
      </w:r>
      <w:r>
        <w:tab/>
        <w:t>the conduct of appeals; and</w:t>
      </w:r>
    </w:p>
    <w:p>
      <w:pPr>
        <w:pStyle w:val="Indenti"/>
        <w:spacing w:before="60"/>
      </w:pPr>
      <w:r>
        <w:tab/>
        <w:t>(ii)</w:t>
      </w:r>
      <w:r>
        <w:tab/>
        <w:t>the appointment, composition and duties of an appeals panel;</w:t>
      </w:r>
    </w:p>
    <w:p>
      <w:pPr>
        <w:pStyle w:val="Indenta"/>
        <w:spacing w:before="60"/>
      </w:pPr>
      <w:r>
        <w:tab/>
      </w:r>
      <w:r>
        <w:tab/>
        <w:t>and</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 xml:space="preserve">If there is an inconsistency between administrative procedures drawn up under this section and this Act or regulations made </w:t>
      </w:r>
      <w:r>
        <w:lastRenderedPageBreak/>
        <w:t>under Schedule 2 item 35, this Act or those regulations prevail to the extent of that inconsistency.</w:t>
      </w:r>
    </w:p>
    <w:p>
      <w:pPr>
        <w:pStyle w:val="Footnotesection"/>
      </w:pPr>
      <w:r>
        <w:tab/>
        <w:t>[Section 107D inserted: No. 54 of 2003 s. 102.]</w:t>
      </w:r>
    </w:p>
    <w:p>
      <w:pPr>
        <w:pStyle w:val="Heading5"/>
        <w:rPr>
          <w:snapToGrid w:val="0"/>
        </w:rPr>
      </w:pPr>
      <w:bookmarkStart w:id="264" w:name="_Toc199512032"/>
      <w:r>
        <w:rPr>
          <w:rStyle w:val="CharSectno"/>
        </w:rPr>
        <w:t>108</w:t>
      </w:r>
      <w:r>
        <w:rPr>
          <w:snapToGrid w:val="0"/>
        </w:rPr>
        <w:t>.</w:t>
      </w:r>
      <w:r>
        <w:rPr>
          <w:snapToGrid w:val="0"/>
        </w:rPr>
        <w:tab/>
        <w:t>Appeals committees, composition and remuneration of</w:t>
      </w:r>
      <w:bookmarkEnd w:id="264"/>
      <w:r>
        <w:rPr>
          <w:snapToGrid w:val="0"/>
        </w:rPr>
        <w:t xml:space="preserve"> </w:t>
      </w:r>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w:t>
      </w:r>
      <w:r>
        <w:t>the member</w:t>
      </w:r>
      <w:r>
        <w:rPr>
          <w:snapToGrid w:val="0"/>
        </w:rPr>
        <w:t xml:space="preserve">,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ind w:left="890" w:hanging="890"/>
      </w:pPr>
      <w:r>
        <w:tab/>
        <w:t>[Section 108 amended: No. 32 of 1994 s. 19; No. 57 of 1997 s. 54(9); No. 14 of 1998 s. 37; No. 39 of 2010 s. 89; No. 40 of 2020 s. 111(1).]</w:t>
      </w:r>
    </w:p>
    <w:p>
      <w:pPr>
        <w:pStyle w:val="Heading5"/>
        <w:rPr>
          <w:snapToGrid w:val="0"/>
        </w:rPr>
      </w:pPr>
      <w:bookmarkStart w:id="265" w:name="_Toc199512033"/>
      <w:r>
        <w:rPr>
          <w:rStyle w:val="CharSectno"/>
        </w:rPr>
        <w:t>109</w:t>
      </w:r>
      <w:r>
        <w:rPr>
          <w:snapToGrid w:val="0"/>
        </w:rPr>
        <w:t>.</w:t>
      </w:r>
      <w:r>
        <w:rPr>
          <w:snapToGrid w:val="0"/>
        </w:rPr>
        <w:tab/>
        <w:t>Procedure of appeals committees</w:t>
      </w:r>
      <w:bookmarkEnd w:id="265"/>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 and</w:t>
      </w:r>
    </w:p>
    <w:p>
      <w:pPr>
        <w:pStyle w:val="Indenti"/>
      </w:pPr>
      <w:r>
        <w:tab/>
        <w:t>(ii)</w:t>
      </w:r>
      <w:r>
        <w:tab/>
        <w:t>the Authority in the case of an appeal against a decision of the Minister or the Authority; and</w:t>
      </w:r>
    </w:p>
    <w:p>
      <w:pPr>
        <w:pStyle w:val="Indenti"/>
        <w:keepNext/>
        <w:keepLines/>
        <w:spacing w:before="60"/>
      </w:pPr>
      <w:r>
        <w:tab/>
        <w:t>(iii)</w:t>
      </w:r>
      <w:r>
        <w:tab/>
        <w:t>the appellant;</w:t>
      </w:r>
    </w:p>
    <w:p>
      <w:pPr>
        <w:pStyle w:val="Indenta"/>
        <w:spacing w:before="60"/>
      </w:pPr>
      <w:r>
        <w:tab/>
      </w:r>
      <w:r>
        <w:tab/>
        <w:t>and</w:t>
      </w:r>
    </w:p>
    <w:p>
      <w:pPr>
        <w:pStyle w:val="Indenta"/>
        <w:spacing w:before="60"/>
      </w:pPr>
      <w:r>
        <w:tab/>
        <w:t>(aa)</w:t>
      </w:r>
      <w:r>
        <w:tab/>
        <w:t>may consult such other persons as it considers necessary; and</w:t>
      </w:r>
    </w:p>
    <w:p>
      <w:pPr>
        <w:pStyle w:val="Indenta"/>
        <w:keepLines/>
        <w:spacing w:before="60"/>
        <w:rPr>
          <w:snapToGrid w:val="0"/>
        </w:rPr>
      </w:pPr>
      <w:r>
        <w:rPr>
          <w:snapToGrid w:val="0"/>
        </w:rPr>
        <w:lastRenderedPageBreak/>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spacing w:before="120"/>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spacing w:before="80"/>
        <w:ind w:left="890" w:hanging="890"/>
      </w:pPr>
      <w:r>
        <w:tab/>
        <w:t>[Section 109 amended: No. 54 of 2003 s. 84, 103 and 114.]</w:t>
      </w:r>
    </w:p>
    <w:p>
      <w:pPr>
        <w:pStyle w:val="Heading5"/>
        <w:rPr>
          <w:snapToGrid w:val="0"/>
        </w:rPr>
      </w:pPr>
      <w:bookmarkStart w:id="266" w:name="_Toc199512034"/>
      <w:r>
        <w:rPr>
          <w:rStyle w:val="CharSectno"/>
        </w:rPr>
        <w:lastRenderedPageBreak/>
        <w:t>110</w:t>
      </w:r>
      <w:r>
        <w:rPr>
          <w:snapToGrid w:val="0"/>
        </w:rPr>
        <w:t>.</w:t>
      </w:r>
      <w:r>
        <w:rPr>
          <w:snapToGrid w:val="0"/>
        </w:rPr>
        <w:tab/>
        <w:t>Minister’s decisions on appeals, implementation and publication of</w:t>
      </w:r>
      <w:bookmarkEnd w:id="266"/>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pPr>
        <w:pStyle w:val="Subsection"/>
      </w:pPr>
      <w:r>
        <w:tab/>
        <w:t>(3)</w:t>
      </w:r>
      <w:r>
        <w:tab/>
        <w:t>If implementation conditions are changed on an appeal under section 100(3), a statement setting out the implementation conditions as changed must be published by the Minister and section 45(8)(b) applies.</w:t>
      </w:r>
    </w:p>
    <w:p>
      <w:pPr>
        <w:pStyle w:val="Footnotesection"/>
        <w:spacing w:before="80"/>
        <w:ind w:left="890" w:hanging="890"/>
      </w:pPr>
      <w:r>
        <w:tab/>
        <w:t>[Section 110 amended: No. 23 of 1996 s. 26; No. 54 of 2003 s. 140(2); No. 40 of 2020 s. 91.]</w:t>
      </w:r>
    </w:p>
    <w:p>
      <w:pPr>
        <w:pStyle w:val="Heading2"/>
      </w:pPr>
      <w:bookmarkStart w:id="267" w:name="_Toc199512035"/>
      <w:r>
        <w:rPr>
          <w:rStyle w:val="CharPartNo"/>
        </w:rPr>
        <w:lastRenderedPageBreak/>
        <w:t>Part VIIA</w:t>
      </w:r>
      <w:r>
        <w:t xml:space="preserve"> — </w:t>
      </w:r>
      <w:r>
        <w:rPr>
          <w:rStyle w:val="CharPartText"/>
        </w:rPr>
        <w:t>Landfill levy</w:t>
      </w:r>
      <w:bookmarkEnd w:id="267"/>
    </w:p>
    <w:p>
      <w:pPr>
        <w:pStyle w:val="Footnoteheading"/>
        <w:tabs>
          <w:tab w:val="left" w:pos="909"/>
        </w:tabs>
      </w:pPr>
      <w:r>
        <w:tab/>
        <w:t>[Heading inserted: No. 14 of 1998 s. 20.]</w:t>
      </w:r>
    </w:p>
    <w:p>
      <w:pPr>
        <w:pStyle w:val="Heading3"/>
      </w:pPr>
      <w:bookmarkStart w:id="268" w:name="_Toc199512036"/>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268"/>
    </w:p>
    <w:p>
      <w:pPr>
        <w:pStyle w:val="Footnoteheading"/>
        <w:tabs>
          <w:tab w:val="left" w:pos="909"/>
        </w:tabs>
      </w:pPr>
      <w:r>
        <w:tab/>
        <w:t>[Heading inserted: No. 14 of 1998 s. 20.]</w:t>
      </w:r>
    </w:p>
    <w:p>
      <w:pPr>
        <w:pStyle w:val="Heading5"/>
      </w:pPr>
      <w:bookmarkStart w:id="269" w:name="_Toc199512037"/>
      <w:r>
        <w:rPr>
          <w:rStyle w:val="CharSectno"/>
        </w:rPr>
        <w:t>110A</w:t>
      </w:r>
      <w:r>
        <w:t>.</w:t>
      </w:r>
      <w:r>
        <w:tab/>
        <w:t>Terms used</w:t>
      </w:r>
      <w:bookmarkEnd w:id="269"/>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No. 14 of 1998 s. 20; amended: No. 77 of 2006 Sch. 1 cl. 59(2).]</w:t>
      </w:r>
    </w:p>
    <w:p>
      <w:pPr>
        <w:pStyle w:val="Heading5"/>
      </w:pPr>
      <w:bookmarkStart w:id="270" w:name="_Toc199512038"/>
      <w:r>
        <w:rPr>
          <w:rStyle w:val="CharSectno"/>
        </w:rPr>
        <w:t>110B</w:t>
      </w:r>
      <w:r>
        <w:t>.</w:t>
      </w:r>
      <w:r>
        <w:tab/>
        <w:t>Payment of levy</w:t>
      </w:r>
      <w:bookmarkEnd w:id="270"/>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No. 14 of 1998 s. 20.]</w:t>
      </w:r>
    </w:p>
    <w:p>
      <w:pPr>
        <w:pStyle w:val="Heading5"/>
      </w:pPr>
      <w:bookmarkStart w:id="271" w:name="_Toc199512039"/>
      <w:r>
        <w:rPr>
          <w:rStyle w:val="CharSectno"/>
        </w:rPr>
        <w:t>110C</w:t>
      </w:r>
      <w:r>
        <w:t>.</w:t>
      </w:r>
      <w:r>
        <w:tab/>
        <w:t>Financial assurance</w:t>
      </w:r>
      <w:bookmarkEnd w:id="271"/>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lastRenderedPageBreak/>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No. 14 of 1998 s. 20; amended: No. 54 of 2003 s. 140(2).]</w:t>
      </w:r>
    </w:p>
    <w:p>
      <w:pPr>
        <w:pStyle w:val="Heading5"/>
      </w:pPr>
      <w:bookmarkStart w:id="272" w:name="_Toc199512040"/>
      <w:r>
        <w:rPr>
          <w:rStyle w:val="CharSectno"/>
        </w:rPr>
        <w:t>110D</w:t>
      </w:r>
      <w:r>
        <w:t>.</w:t>
      </w:r>
      <w:r>
        <w:tab/>
        <w:t>Payment by instalments</w:t>
      </w:r>
      <w:bookmarkEnd w:id="272"/>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No. 14 of 1998 s. 20.]</w:t>
      </w:r>
    </w:p>
    <w:p>
      <w:pPr>
        <w:pStyle w:val="Heading5"/>
      </w:pPr>
      <w:bookmarkStart w:id="273" w:name="_Toc199512041"/>
      <w:r>
        <w:rPr>
          <w:rStyle w:val="CharSectno"/>
        </w:rPr>
        <w:t>110E</w:t>
      </w:r>
      <w:r>
        <w:t>.</w:t>
      </w:r>
      <w:r>
        <w:tab/>
        <w:t>Penalty for non</w:t>
      </w:r>
      <w:r>
        <w:noBreakHyphen/>
        <w:t>payment</w:t>
      </w:r>
      <w:bookmarkEnd w:id="273"/>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No. 14 of 1998 s. 20.]</w:t>
      </w:r>
    </w:p>
    <w:p>
      <w:pPr>
        <w:pStyle w:val="Heading5"/>
        <w:spacing w:before="180"/>
      </w:pPr>
      <w:bookmarkStart w:id="274" w:name="_Toc199512042"/>
      <w:r>
        <w:rPr>
          <w:rStyle w:val="CharSectno"/>
        </w:rPr>
        <w:lastRenderedPageBreak/>
        <w:t>110F</w:t>
      </w:r>
      <w:r>
        <w:t>.</w:t>
      </w:r>
      <w:r>
        <w:tab/>
        <w:t>Recovery of levy</w:t>
      </w:r>
      <w:bookmarkEnd w:id="274"/>
    </w:p>
    <w:p>
      <w:pPr>
        <w:pStyle w:val="Subsection"/>
      </w:pPr>
      <w:r>
        <w:tab/>
      </w:r>
      <w:r>
        <w:tab/>
        <w:t>The following amounts may be recovered by the Minister in a court of competent jurisdiction as debts due to the Minister —</w:t>
      </w:r>
    </w:p>
    <w:p>
      <w:pPr>
        <w:pStyle w:val="Indenta"/>
        <w:spacing w:before="60"/>
      </w:pPr>
      <w:r>
        <w:tab/>
        <w:t>(a)</w:t>
      </w:r>
      <w:r>
        <w:tab/>
        <w:t>a levy that is due and payable; and</w:t>
      </w:r>
    </w:p>
    <w:p>
      <w:pPr>
        <w:pStyle w:val="Indenta"/>
        <w:spacing w:before="60"/>
      </w:pPr>
      <w:r>
        <w:tab/>
        <w:t>(b)</w:t>
      </w:r>
      <w:r>
        <w:tab/>
        <w:t>an amount payable under section 110E.</w:t>
      </w:r>
    </w:p>
    <w:p>
      <w:pPr>
        <w:pStyle w:val="Footnotesection"/>
      </w:pPr>
      <w:r>
        <w:tab/>
        <w:t>[Section 110F inserted: No. 14 of 1998 s. 20.]</w:t>
      </w:r>
    </w:p>
    <w:p>
      <w:pPr>
        <w:pStyle w:val="Heading5"/>
        <w:spacing w:before="180"/>
      </w:pPr>
      <w:bookmarkStart w:id="275" w:name="_Toc199512043"/>
      <w:r>
        <w:rPr>
          <w:rStyle w:val="CharSectno"/>
        </w:rPr>
        <w:t>110G</w:t>
      </w:r>
      <w:r>
        <w:t>.</w:t>
      </w:r>
      <w:r>
        <w:tab/>
        <w:t>Evading levy</w:t>
      </w:r>
      <w:bookmarkEnd w:id="275"/>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No. 14 of 1998 s. 20.]</w:t>
      </w:r>
    </w:p>
    <w:p>
      <w:pPr>
        <w:pStyle w:val="Heading3"/>
      </w:pPr>
      <w:bookmarkStart w:id="276" w:name="_Toc199512044"/>
      <w:r>
        <w:rPr>
          <w:rStyle w:val="CharDivNo"/>
        </w:rPr>
        <w:t>Division 2</w:t>
      </w:r>
      <w:r>
        <w:t xml:space="preserve"> — </w:t>
      </w:r>
      <w:r>
        <w:rPr>
          <w:rStyle w:val="CharDivText"/>
        </w:rPr>
        <w:t>Waste Management and Recycling Account</w:t>
      </w:r>
      <w:bookmarkEnd w:id="276"/>
    </w:p>
    <w:p>
      <w:pPr>
        <w:pStyle w:val="Footnotesection"/>
      </w:pPr>
      <w:r>
        <w:tab/>
        <w:t>[Heading inserted: No. 14 of 1998 s. 20; amended: No. 77 of 2006 Sch. 1 cl. 59(3).]</w:t>
      </w:r>
    </w:p>
    <w:p>
      <w:pPr>
        <w:pStyle w:val="Heading5"/>
      </w:pPr>
      <w:bookmarkStart w:id="277" w:name="_Toc199512045"/>
      <w:r>
        <w:rPr>
          <w:rStyle w:val="CharSectno"/>
        </w:rPr>
        <w:t>110H</w:t>
      </w:r>
      <w:r>
        <w:t>.</w:t>
      </w:r>
      <w:r>
        <w:tab/>
        <w:t>Waste Management and Recycling Account</w:t>
      </w:r>
      <w:bookmarkEnd w:id="277"/>
    </w:p>
    <w:p>
      <w:pPr>
        <w:pStyle w:val="Subsection"/>
      </w:pPr>
      <w:r>
        <w:tab/>
        <w:t>(1)</w:t>
      </w:r>
      <w:r>
        <w:tab/>
        <w:t>An account called the Waste Management and Recycling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pPr>
      <w:r>
        <w:lastRenderedPageBreak/>
        <w:tab/>
        <w:t>(3)</w:t>
      </w:r>
      <w:r>
        <w:tab/>
        <w:t>The Account is to be credited with —</w:t>
      </w:r>
    </w:p>
    <w:p>
      <w:pPr>
        <w:pStyle w:val="Indenta"/>
        <w:spacing w:before="60"/>
      </w:pPr>
      <w:r>
        <w:tab/>
        <w:t>(a)</w:t>
      </w:r>
      <w:r>
        <w:tab/>
        <w:t>any levy paid; and</w:t>
      </w:r>
    </w:p>
    <w:p>
      <w:pPr>
        <w:pStyle w:val="Indenta"/>
      </w:pPr>
      <w:r>
        <w:tab/>
        <w:t>(b)</w:t>
      </w:r>
      <w:r>
        <w:tab/>
        <w:t>any amount paid by way of penalty under section 110E; and</w:t>
      </w:r>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 or</w:t>
      </w:r>
    </w:p>
    <w:p>
      <w:pPr>
        <w:pStyle w:val="Indenta"/>
      </w:pPr>
      <w:r>
        <w:tab/>
        <w:t>(b)</w:t>
      </w:r>
      <w:r>
        <w:tab/>
        <w:t>a performance evaluation in respect of the programme for which the moneys are paid is carried out in accordance with any written direction of the Minister; or</w:t>
      </w:r>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lastRenderedPageBreak/>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No. 14 of 1998 s. 20; amended: No. 28 of 2006 s. 211; No. 77 of 2006 Sch. 1 cl. 59(4)-(6).]</w:t>
      </w:r>
    </w:p>
    <w:p>
      <w:pPr>
        <w:pStyle w:val="Heading5"/>
      </w:pPr>
      <w:bookmarkStart w:id="278" w:name="_Toc199512046"/>
      <w:r>
        <w:rPr>
          <w:rStyle w:val="CharSectno"/>
        </w:rPr>
        <w:t>110I</w:t>
      </w:r>
      <w:r>
        <w:t>.</w:t>
      </w:r>
      <w:r>
        <w:tab/>
        <w:t xml:space="preserve">Application of </w:t>
      </w:r>
      <w:r>
        <w:rPr>
          <w:i/>
          <w:iCs/>
        </w:rPr>
        <w:t>Financial Management Act 2006</w:t>
      </w:r>
      <w:r>
        <w:t xml:space="preserve"> and </w:t>
      </w:r>
      <w:r>
        <w:rPr>
          <w:i/>
          <w:iCs/>
        </w:rPr>
        <w:t>Auditor General Act 2006</w:t>
      </w:r>
      <w:bookmarkEnd w:id="278"/>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No. 14 of 1998 s. 20; amended: No. 77 of 2006 Sch. 1 cl. 59(7)-(9).]</w:t>
      </w:r>
    </w:p>
    <w:p>
      <w:pPr>
        <w:pStyle w:val="Heading5"/>
      </w:pPr>
      <w:bookmarkStart w:id="279" w:name="_Toc199512047"/>
      <w:r>
        <w:rPr>
          <w:rStyle w:val="CharSectno"/>
        </w:rPr>
        <w:lastRenderedPageBreak/>
        <w:t>110J</w:t>
      </w:r>
      <w:r>
        <w:t>.</w:t>
      </w:r>
      <w:r>
        <w:tab/>
        <w:t>Review of Part VIIA</w:t>
      </w:r>
      <w:bookmarkEnd w:id="279"/>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t xml:space="preserve"> and cause a report based on the review to be prepared and laid before each House of Parliament as soon as practicable after the review is completed.</w:t>
      </w:r>
    </w:p>
    <w:p>
      <w:pPr>
        <w:pStyle w:val="Footnotesection"/>
      </w:pPr>
      <w:r>
        <w:tab/>
        <w:t>[Section 110J inserted: No. 14 of 1998 s. 20.]</w:t>
      </w:r>
    </w:p>
    <w:p>
      <w:pPr>
        <w:pStyle w:val="Ednotepart"/>
      </w:pPr>
      <w:r>
        <w:t>[Part VIIB (s. 110K</w:t>
      </w:r>
      <w:r>
        <w:noBreakHyphen/>
        <w:t>110T) deleted: No. 36 of 2007 s. 100.]</w:t>
      </w:r>
    </w:p>
    <w:p>
      <w:pPr>
        <w:pStyle w:val="Heading2"/>
      </w:pPr>
      <w:bookmarkStart w:id="280" w:name="_Toc199512048"/>
      <w:r>
        <w:rPr>
          <w:rStyle w:val="CharPartNo"/>
        </w:rPr>
        <w:lastRenderedPageBreak/>
        <w:t>Part VIII</w:t>
      </w:r>
      <w:r>
        <w:rPr>
          <w:rStyle w:val="CharDivNo"/>
        </w:rPr>
        <w:t> </w:t>
      </w:r>
      <w:r>
        <w:t>—</w:t>
      </w:r>
      <w:r>
        <w:rPr>
          <w:rStyle w:val="CharDivText"/>
        </w:rPr>
        <w:t> </w:t>
      </w:r>
      <w:r>
        <w:rPr>
          <w:rStyle w:val="CharPartText"/>
        </w:rPr>
        <w:t>General</w:t>
      </w:r>
      <w:bookmarkEnd w:id="280"/>
    </w:p>
    <w:p>
      <w:pPr>
        <w:pStyle w:val="Heading5"/>
        <w:rPr>
          <w:snapToGrid w:val="0"/>
        </w:rPr>
      </w:pPr>
      <w:bookmarkStart w:id="281" w:name="_Toc199512049"/>
      <w:r>
        <w:rPr>
          <w:rStyle w:val="CharSectno"/>
        </w:rPr>
        <w:t>111</w:t>
      </w:r>
      <w:r>
        <w:rPr>
          <w:snapToGrid w:val="0"/>
        </w:rPr>
        <w:t>.</w:t>
      </w:r>
      <w:r>
        <w:rPr>
          <w:snapToGrid w:val="0"/>
        </w:rPr>
        <w:tab/>
        <w:t>Saving of rights at law to prevent etc. pollution etc.</w:t>
      </w:r>
      <w:bookmarkEnd w:id="281"/>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No. 54 of 2003 s. 64.]</w:t>
      </w:r>
    </w:p>
    <w:p>
      <w:pPr>
        <w:pStyle w:val="Heading5"/>
      </w:pPr>
      <w:bookmarkStart w:id="282" w:name="_Toc199512050"/>
      <w:r>
        <w:rPr>
          <w:rStyle w:val="CharSectno"/>
        </w:rPr>
        <w:t>111A</w:t>
      </w:r>
      <w:r>
        <w:t>.</w:t>
      </w:r>
      <w:r>
        <w:tab/>
        <w:t>Victimisation of informants etc.</w:t>
      </w:r>
      <w:bookmarkEnd w:id="282"/>
    </w:p>
    <w:p>
      <w:pPr>
        <w:pStyle w:val="Subsection"/>
      </w:pPr>
      <w:r>
        <w:tab/>
        <w:t>(1)</w:t>
      </w:r>
      <w:r>
        <w:tab/>
        <w:t>A person who for a reason described in subsection (2) —</w:t>
      </w:r>
    </w:p>
    <w:p>
      <w:pPr>
        <w:pStyle w:val="Indenta"/>
      </w:pPr>
      <w:r>
        <w:tab/>
        <w:t>(a)</w:t>
      </w:r>
      <w:r>
        <w:tab/>
        <w:t>prejudices, or threatens to prejudice, the safety or career of another person; or</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lastRenderedPageBreak/>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 or</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 No. 54 of 2003 s. 132(1).]</w:t>
      </w:r>
    </w:p>
    <w:p>
      <w:pPr>
        <w:pStyle w:val="Heading5"/>
        <w:rPr>
          <w:snapToGrid w:val="0"/>
        </w:rPr>
      </w:pPr>
      <w:bookmarkStart w:id="283" w:name="_Toc199512051"/>
      <w:r>
        <w:rPr>
          <w:rStyle w:val="CharSectno"/>
        </w:rPr>
        <w:t>112</w:t>
      </w:r>
      <w:r>
        <w:rPr>
          <w:snapToGrid w:val="0"/>
        </w:rPr>
        <w:t>.</w:t>
      </w:r>
      <w:r>
        <w:rPr>
          <w:snapToGrid w:val="0"/>
        </w:rPr>
        <w:tab/>
        <w:t xml:space="preserve">False </w:t>
      </w:r>
      <w:r>
        <w:t>information</w:t>
      </w:r>
      <w:bookmarkEnd w:id="283"/>
    </w:p>
    <w:p>
      <w:pPr>
        <w:pStyle w:val="Subsection"/>
        <w:rPr>
          <w:snapToGrid w:val="0"/>
        </w:rPr>
      </w:pPr>
      <w:r>
        <w:rPr>
          <w:snapToGrid w:val="0"/>
        </w:rPr>
        <w:tab/>
      </w:r>
      <w:r>
        <w:rPr>
          <w:snapToGrid w:val="0"/>
        </w:rPr>
        <w:tab/>
        <w:t>A person who, in purporting to comply with a requirement or request under this Act to give information to the Minister, the Authority, the</w:t>
      </w:r>
      <w:r>
        <w:t xml:space="preserve"> CEO</w:t>
      </w:r>
      <w:r>
        <w:rPr>
          <w:snapToGrid w:val="0"/>
        </w:rPr>
        <w:t>, a police officer, an inspector or an authorised person, gives or causes to be given information that to the person’s knowledge is false or misleading in a material particular commits an offence.</w:t>
      </w:r>
    </w:p>
    <w:p>
      <w:pPr>
        <w:pStyle w:val="Footnotesection"/>
      </w:pPr>
      <w:r>
        <w:tab/>
        <w:t>[Section 112 inserted: No. 40 of 2020 s. 93.]</w:t>
      </w:r>
    </w:p>
    <w:p>
      <w:pPr>
        <w:pStyle w:val="Heading5"/>
        <w:rPr>
          <w:snapToGrid w:val="0"/>
        </w:rPr>
      </w:pPr>
      <w:bookmarkStart w:id="284" w:name="_Toc199512052"/>
      <w:r>
        <w:rPr>
          <w:rStyle w:val="CharSectno"/>
        </w:rPr>
        <w:t>112A</w:t>
      </w:r>
      <w:r>
        <w:rPr>
          <w:snapToGrid w:val="0"/>
        </w:rPr>
        <w:t>.</w:t>
      </w:r>
      <w:r>
        <w:rPr>
          <w:snapToGrid w:val="0"/>
        </w:rPr>
        <w:tab/>
        <w:t>Self</w:t>
      </w:r>
      <w:r>
        <w:rPr>
          <w:snapToGrid w:val="0"/>
        </w:rPr>
        <w:noBreakHyphen/>
        <w:t>incrimination</w:t>
      </w:r>
      <w:bookmarkEnd w:id="284"/>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 xml:space="preserve">An answer given, or document produced, by an individual when required to do so under Part VI is not admissible in evidence against the individual in any criminal proceeding (other than </w:t>
      </w:r>
      <w:r>
        <w:rPr>
          <w:snapToGrid w:val="0"/>
        </w:rPr>
        <w:lastRenderedPageBreak/>
        <w:t xml:space="preserve">proceedings in respect of giving false or misleading </w:t>
      </w:r>
      <w:r>
        <w:t>information).</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No. 14 of 1998 s. 15; amended: No. 40 of 2020 s. 94.]</w:t>
      </w:r>
    </w:p>
    <w:p>
      <w:pPr>
        <w:pStyle w:val="Ednotesection"/>
      </w:pPr>
      <w:r>
        <w:t>[</w:t>
      </w:r>
      <w:r>
        <w:rPr>
          <w:b/>
        </w:rPr>
        <w:t>113.</w:t>
      </w:r>
      <w:r>
        <w:tab/>
        <w:t>Deleted: No. 14 of 1998 s. 16.]</w:t>
      </w:r>
    </w:p>
    <w:p>
      <w:pPr>
        <w:pStyle w:val="Heading5"/>
        <w:rPr>
          <w:snapToGrid w:val="0"/>
        </w:rPr>
      </w:pPr>
      <w:bookmarkStart w:id="285" w:name="_Toc199512053"/>
      <w:r>
        <w:rPr>
          <w:rStyle w:val="CharSectno"/>
        </w:rPr>
        <w:t>114</w:t>
      </w:r>
      <w:r>
        <w:rPr>
          <w:snapToGrid w:val="0"/>
        </w:rPr>
        <w:t>.</w:t>
      </w:r>
      <w:r>
        <w:rPr>
          <w:snapToGrid w:val="0"/>
        </w:rPr>
        <w:tab/>
        <w:t>Prosecutions, who may institute</w:t>
      </w:r>
      <w:bookmarkEnd w:id="285"/>
    </w:p>
    <w:p>
      <w:pPr>
        <w:pStyle w:val="Subsection"/>
      </w:pPr>
      <w:r>
        <w:tab/>
        <w:t>(1)</w:t>
      </w:r>
      <w:r>
        <w:tab/>
        <w:t xml:space="preserve">Proceedings in respect of a Tier 1 offence, whether by way of — </w:t>
      </w:r>
    </w:p>
    <w:p>
      <w:pPr>
        <w:pStyle w:val="Indenta"/>
      </w:pPr>
      <w:r>
        <w:tab/>
        <w:t>(a)</w:t>
      </w:r>
      <w:r>
        <w:tab/>
        <w:t>giving a modified penalty notice under section 99A(2)(b); or</w:t>
      </w:r>
    </w:p>
    <w:p>
      <w:pPr>
        <w:pStyle w:val="Indenta"/>
      </w:pPr>
      <w:r>
        <w:tab/>
        <w:t>(b)</w:t>
      </w:r>
      <w:r>
        <w:tab/>
        <w:t>prosecution for the offence,</w:t>
      </w:r>
    </w:p>
    <w:p>
      <w:pPr>
        <w:pStyle w:val="Subsection"/>
      </w:pPr>
      <w:r>
        <w:tab/>
      </w:r>
      <w:r>
        <w:tab/>
        <w:t>as determined by the CEO, are not to be instituted otherwise than by the CEO.</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 xml:space="preserve">Subject to </w:t>
      </w:r>
      <w:r>
        <w:t xml:space="preserve">section 79(2) and (3), a prosecution for a Tier 3 offence or an offence under a regulation </w:t>
      </w:r>
      <w:r>
        <w:rPr>
          <w:snapToGrid w:val="0"/>
        </w:rPr>
        <w:t>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lastRenderedPageBreak/>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pPr>
      <w:r>
        <w:tab/>
        <w:t>(3)</w:t>
      </w:r>
      <w:r>
        <w:tab/>
        <w:t xml:space="preserve">A prosecution for an offence under section 49A(2) or (3), 81(2), 82(2), 83 or 93 may be instituted by any of the following — </w:t>
      </w:r>
    </w:p>
    <w:p>
      <w:pPr>
        <w:pStyle w:val="Indenta"/>
      </w:pPr>
      <w:r>
        <w:tab/>
        <w:t>(a)</w:t>
      </w:r>
      <w:r>
        <w:tab/>
        <w:t>the CEO;</w:t>
      </w:r>
    </w:p>
    <w:p>
      <w:pPr>
        <w:pStyle w:val="Indenta"/>
      </w:pPr>
      <w:r>
        <w:tab/>
        <w:t>(b)</w:t>
      </w:r>
      <w:r>
        <w:tab/>
        <w:t>a police officer, acting with the consent of the CEO;</w:t>
      </w:r>
    </w:p>
    <w:p>
      <w:pPr>
        <w:pStyle w:val="Indenta"/>
      </w:pPr>
      <w:r>
        <w:tab/>
        <w:t>(c)</w:t>
      </w:r>
      <w:r>
        <w:tab/>
        <w:t>the chief executive officer of a local government, acting with the consent of the CEO.</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CEO or the chief executive officer of the local government.</w:t>
      </w:r>
    </w:p>
    <w:p>
      <w:pPr>
        <w:pStyle w:val="Footnotesection"/>
      </w:pPr>
      <w:r>
        <w:tab/>
        <w:t>[Section 114 amended: No. 50 of 1996 s. 12; No. 14 of 1998 s. 17; No. 54 of 2003 s. 133 and 140(2); No. 48 of 2010 s. 10; No. 40 of 2020 s. 95.]</w:t>
      </w:r>
    </w:p>
    <w:p>
      <w:pPr>
        <w:pStyle w:val="Heading5"/>
      </w:pPr>
      <w:bookmarkStart w:id="286" w:name="_Toc199512054"/>
      <w:r>
        <w:rPr>
          <w:rStyle w:val="CharSectno"/>
        </w:rPr>
        <w:t>114A</w:t>
      </w:r>
      <w:r>
        <w:t>.</w:t>
      </w:r>
      <w:r>
        <w:tab/>
        <w:t>Prosecutions, limitation periods for</w:t>
      </w:r>
      <w:bookmarkEnd w:id="286"/>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lastRenderedPageBreak/>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No. 54 of 2003 s. 134; amended: No. 59 of 2004 s. 141; No. 84 of 2004 s. 80.]</w:t>
      </w:r>
    </w:p>
    <w:p>
      <w:pPr>
        <w:pStyle w:val="Heading5"/>
        <w:spacing w:before="260"/>
        <w:rPr>
          <w:snapToGrid w:val="0"/>
        </w:rPr>
      </w:pPr>
      <w:bookmarkStart w:id="287" w:name="_Toc199512055"/>
      <w:r>
        <w:rPr>
          <w:rStyle w:val="CharSectno"/>
        </w:rPr>
        <w:t>115</w:t>
      </w:r>
      <w:r>
        <w:rPr>
          <w:snapToGrid w:val="0"/>
        </w:rPr>
        <w:t>.</w:t>
      </w:r>
      <w:r>
        <w:rPr>
          <w:snapToGrid w:val="0"/>
        </w:rPr>
        <w:tab/>
        <w:t>Investigation expenses</w:t>
      </w:r>
      <w:bookmarkEnd w:id="287"/>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288" w:name="_Toc199512056"/>
      <w:r>
        <w:rPr>
          <w:rStyle w:val="CharSectno"/>
        </w:rPr>
        <w:t>116</w:t>
      </w:r>
      <w:r>
        <w:rPr>
          <w:snapToGrid w:val="0"/>
        </w:rPr>
        <w:t>.</w:t>
      </w:r>
      <w:r>
        <w:rPr>
          <w:snapToGrid w:val="0"/>
        </w:rPr>
        <w:tab/>
        <w:t>Disputes between Authority and other public authority</w:t>
      </w:r>
      <w:bookmarkEnd w:id="288"/>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pPr>
      <w:bookmarkStart w:id="289" w:name="_Toc199512057"/>
      <w:r>
        <w:rPr>
          <w:rStyle w:val="CharSectno"/>
        </w:rPr>
        <w:lastRenderedPageBreak/>
        <w:t>116A</w:t>
      </w:r>
      <w:r>
        <w:t>.</w:t>
      </w:r>
      <w:r>
        <w:tab/>
        <w:t>Proof not required of certain matters</w:t>
      </w:r>
      <w:bookmarkEnd w:id="289"/>
    </w:p>
    <w:p>
      <w:pPr>
        <w:pStyle w:val="Subsection"/>
        <w:keepNext/>
      </w:pPr>
      <w:r>
        <w:tab/>
      </w:r>
      <w:r>
        <w:tab/>
        <w:t xml:space="preserve">In proceedings for an offence under this Act, each of the following matters is taken to have been proved in the absence of proof to the contrary — </w:t>
      </w:r>
    </w:p>
    <w:p>
      <w:pPr>
        <w:pStyle w:val="Indenta"/>
      </w:pPr>
      <w:r>
        <w:tab/>
        <w:t>(a)</w:t>
      </w:r>
      <w:r>
        <w:tab/>
        <w:t>that the prosecutor is authorised to institute the prosecution;</w:t>
      </w:r>
    </w:p>
    <w:p>
      <w:pPr>
        <w:pStyle w:val="Indenta"/>
      </w:pPr>
      <w:r>
        <w:tab/>
        <w:t>(b)</w:t>
      </w:r>
      <w:r>
        <w:tab/>
        <w:t>that a signature on the prosecution notice alleging the offence is the signature of a person authorised to institute the prosecution;</w:t>
      </w:r>
    </w:p>
    <w:p>
      <w:pPr>
        <w:pStyle w:val="Indenta"/>
      </w:pPr>
      <w:r>
        <w:tab/>
        <w:t>(c)</w:t>
      </w:r>
      <w:r>
        <w:tab/>
        <w:t>that at a specified time a specified person was the CEO, an authorised officer or an inspector or a person assisting an inspector under section 89A;</w:t>
      </w:r>
    </w:p>
    <w:p>
      <w:pPr>
        <w:pStyle w:val="Indenta"/>
      </w:pPr>
      <w:r>
        <w:tab/>
        <w:t>(d)</w:t>
      </w:r>
      <w:r>
        <w:tab/>
        <w:t>that at a specified time a specified authorised person or a specified inspector was authorised to do a specified thing.</w:t>
      </w:r>
    </w:p>
    <w:p>
      <w:pPr>
        <w:pStyle w:val="Footnotesection"/>
      </w:pPr>
      <w:r>
        <w:tab/>
        <w:t>[Section 116A inserted: No. 40 of 2020 s. 96.]</w:t>
      </w:r>
    </w:p>
    <w:p>
      <w:pPr>
        <w:pStyle w:val="Heading5"/>
      </w:pPr>
      <w:bookmarkStart w:id="290" w:name="_Toc199512058"/>
      <w:r>
        <w:rPr>
          <w:rStyle w:val="CharSectno"/>
        </w:rPr>
        <w:t>116B</w:t>
      </w:r>
      <w:r>
        <w:t>.</w:t>
      </w:r>
      <w:r>
        <w:tab/>
        <w:t>Proof of remotely sensed images</w:t>
      </w:r>
      <w:bookmarkEnd w:id="290"/>
    </w:p>
    <w:p>
      <w:pPr>
        <w:pStyle w:val="Subsection"/>
        <w:keepNext/>
      </w:pPr>
      <w:r>
        <w:tab/>
        <w:t>(1)</w:t>
      </w:r>
      <w:r>
        <w:tab/>
        <w:t xml:space="preserve">In this section — </w:t>
      </w:r>
    </w:p>
    <w:p>
      <w:pPr>
        <w:pStyle w:val="Defstart"/>
      </w:pPr>
      <w:r>
        <w:tab/>
      </w:r>
      <w:r>
        <w:rPr>
          <w:rStyle w:val="CharDefText"/>
        </w:rPr>
        <w:t>captured</w:t>
      </w:r>
      <w:r>
        <w:t xml:space="preserve"> includes taken;</w:t>
      </w:r>
    </w:p>
    <w:p>
      <w:pPr>
        <w:pStyle w:val="Defstart"/>
        <w:keepNext/>
      </w:pPr>
      <w:r>
        <w:tab/>
      </w:r>
      <w:r>
        <w:rPr>
          <w:rStyle w:val="CharDefText"/>
        </w:rPr>
        <w:t>image</w:t>
      </w:r>
      <w:r>
        <w:t xml:space="preserve"> includes — </w:t>
      </w:r>
    </w:p>
    <w:p>
      <w:pPr>
        <w:pStyle w:val="Defpara"/>
      </w:pPr>
      <w:r>
        <w:tab/>
        <w:t>(a)</w:t>
      </w:r>
      <w:r>
        <w:tab/>
        <w:t>a photograph; and</w:t>
      </w:r>
    </w:p>
    <w:p>
      <w:pPr>
        <w:pStyle w:val="Defpara"/>
      </w:pPr>
      <w:r>
        <w:tab/>
        <w:t>(b)</w:t>
      </w:r>
      <w:r>
        <w:tab/>
        <w:t>a digital image;</w:t>
      </w:r>
    </w:p>
    <w:p>
      <w:pPr>
        <w:pStyle w:val="Defstart"/>
        <w:keepNext/>
      </w:pPr>
      <w:r>
        <w:tab/>
      </w:r>
      <w:r>
        <w:rPr>
          <w:rStyle w:val="CharDefText"/>
        </w:rPr>
        <w:t>image data source</w:t>
      </w:r>
      <w:r>
        <w:t xml:space="preserve"> means a website, database, data storage facility or other body or source of information — </w:t>
      </w:r>
    </w:p>
    <w:p>
      <w:pPr>
        <w:pStyle w:val="Defpara"/>
        <w:keepNext/>
      </w:pPr>
      <w:r>
        <w:tab/>
        <w:t>(a)</w:t>
      </w:r>
      <w:r>
        <w:tab/>
        <w:t xml:space="preserve">containing or including either or both of the following — </w:t>
      </w:r>
    </w:p>
    <w:p>
      <w:pPr>
        <w:pStyle w:val="Defsubpara"/>
      </w:pPr>
      <w:r>
        <w:tab/>
        <w:t>(i)</w:t>
      </w:r>
      <w:r>
        <w:tab/>
        <w:t>remotely sensed images;</w:t>
      </w:r>
    </w:p>
    <w:p>
      <w:pPr>
        <w:pStyle w:val="Defsubpara"/>
      </w:pPr>
      <w:r>
        <w:tab/>
        <w:t>(ii)</w:t>
      </w:r>
      <w:r>
        <w:tab/>
        <w:t>digital or electronic information from which remotely sensed images can be produced;</w:t>
      </w:r>
    </w:p>
    <w:p>
      <w:pPr>
        <w:pStyle w:val="Defpara"/>
      </w:pPr>
      <w:r>
        <w:tab/>
      </w:r>
      <w:r>
        <w:tab/>
        <w:t>and</w:t>
      </w:r>
    </w:p>
    <w:p>
      <w:pPr>
        <w:pStyle w:val="Defpara"/>
      </w:pPr>
      <w:r>
        <w:lastRenderedPageBreak/>
        <w:tab/>
        <w:t>(b)</w:t>
      </w:r>
      <w:r>
        <w:tab/>
        <w:t>declared by the regulations to be an image data source for the purposes of this section;</w:t>
      </w:r>
    </w:p>
    <w:p>
      <w:pPr>
        <w:pStyle w:val="Defstart"/>
      </w:pPr>
      <w:r>
        <w:tab/>
      </w:r>
      <w:r>
        <w:rPr>
          <w:rStyle w:val="CharDefText"/>
        </w:rPr>
        <w:t>official document</w:t>
      </w:r>
      <w:r>
        <w:t xml:space="preserve"> means a document purporting to be signed by the CEO or a person appointed under the </w:t>
      </w:r>
      <w:r>
        <w:rPr>
          <w:i/>
        </w:rPr>
        <w:t>Land Administration Act 1997</w:t>
      </w:r>
      <w:r>
        <w:t xml:space="preserve"> section 30 to be an authorised land officer;</w:t>
      </w:r>
    </w:p>
    <w:p>
      <w:pPr>
        <w:pStyle w:val="Defstart"/>
      </w:pPr>
      <w:r>
        <w:tab/>
      </w:r>
      <w:r>
        <w:rPr>
          <w:rStyle w:val="CharDefText"/>
        </w:rPr>
        <w:t>remotely sensed image</w:t>
      </w:r>
      <w:r>
        <w:t xml:space="preserve"> means an aerial photograph or any other image of land captured using airborne equipment or equipment mounted in or on a satellite.</w:t>
      </w:r>
    </w:p>
    <w:p>
      <w:pPr>
        <w:pStyle w:val="Subsection"/>
      </w:pPr>
      <w:r>
        <w:tab/>
        <w:t>(2)</w:t>
      </w:r>
      <w:r>
        <w:tab/>
        <w:t xml:space="preserve">In this section a reference to the </w:t>
      </w:r>
      <w:r>
        <w:rPr>
          <w:rStyle w:val="CharDefText"/>
        </w:rPr>
        <w:t>capture</w:t>
      </w:r>
      <w:r>
        <w:t xml:space="preserve"> of an image includes a reference to the capture of digital or electronic information from which the image was produced.</w:t>
      </w:r>
    </w:p>
    <w:p>
      <w:pPr>
        <w:pStyle w:val="Subsection"/>
        <w:keepNext/>
      </w:pPr>
      <w:r>
        <w:tab/>
        <w:t>(3)</w:t>
      </w:r>
      <w:r>
        <w:tab/>
        <w:t xml:space="preserve">For the purposes of this section, a remotely sensed image derived from an image data source — </w:t>
      </w:r>
    </w:p>
    <w:p>
      <w:pPr>
        <w:pStyle w:val="Indenta"/>
      </w:pPr>
      <w:r>
        <w:tab/>
        <w:t>(a)</w:t>
      </w:r>
      <w:r>
        <w:tab/>
        <w:t>is taken to have been captured on the date recorded or shown in the image data source as being the date on which the image was captured; and</w:t>
      </w:r>
    </w:p>
    <w:p>
      <w:pPr>
        <w:pStyle w:val="Indenta"/>
      </w:pPr>
      <w:r>
        <w:tab/>
        <w:t>(b)</w:t>
      </w:r>
      <w:r>
        <w:tab/>
        <w:t>is taken to be an image of the land recorded or shown in the image data source as being the land to which the image relates.</w:t>
      </w:r>
    </w:p>
    <w:p>
      <w:pPr>
        <w:pStyle w:val="Subsection"/>
      </w:pPr>
      <w:r>
        <w:tab/>
        <w:t>(4)</w:t>
      </w:r>
      <w:r>
        <w:tab/>
        <w:t>In proceedings under this Act a remotely sensed image of land is evidence of the vegetation on the land, and its condition, on the date on which the image was captured.</w:t>
      </w:r>
    </w:p>
    <w:p>
      <w:pPr>
        <w:pStyle w:val="Subsection"/>
      </w:pPr>
      <w:r>
        <w:tab/>
        <w:t>(5)</w:t>
      </w:r>
      <w:r>
        <w:tab/>
        <w:t>Subsection (4) applies to an image even if it, or the information from which it was produced, has been modified or enhanced so that colours, tones or brightness more accurately represent what would be visible with the naked eye.</w:t>
      </w:r>
    </w:p>
    <w:p>
      <w:pPr>
        <w:pStyle w:val="Subsection"/>
      </w:pPr>
      <w:r>
        <w:tab/>
        <w:t>(6)</w:t>
      </w:r>
      <w:r>
        <w:tab/>
        <w:t>In proceedings under this Act an official document certifying the matters set out in subsection (7) or any of those matters is, in the absence of proof to the contrary, taken to be proof of the matters certified.</w:t>
      </w:r>
    </w:p>
    <w:p>
      <w:pPr>
        <w:pStyle w:val="Subsection"/>
        <w:keepNext/>
      </w:pPr>
      <w:r>
        <w:lastRenderedPageBreak/>
        <w:tab/>
        <w:t>(7)</w:t>
      </w:r>
      <w:r>
        <w:tab/>
        <w:t xml:space="preserve">The matters that may be certified are — </w:t>
      </w:r>
    </w:p>
    <w:p>
      <w:pPr>
        <w:pStyle w:val="Indenta"/>
      </w:pPr>
      <w:r>
        <w:tab/>
        <w:t>(a)</w:t>
      </w:r>
      <w:r>
        <w:tab/>
        <w:t>that an image comprising or specified in the document is, or is a true copy of, a remotely sensed image of land; and</w:t>
      </w:r>
    </w:p>
    <w:p>
      <w:pPr>
        <w:pStyle w:val="Indenta"/>
      </w:pPr>
      <w:r>
        <w:tab/>
        <w:t>(b)</w:t>
      </w:r>
      <w:r>
        <w:tab/>
        <w:t>that an image comprising or specified in the document is derived from an image data source; and</w:t>
      </w:r>
    </w:p>
    <w:p>
      <w:pPr>
        <w:pStyle w:val="Indenta"/>
      </w:pPr>
      <w:r>
        <w:tab/>
        <w:t>(c)</w:t>
      </w:r>
      <w:r>
        <w:tab/>
        <w:t>that the image data source from which an image comprising or specified in the document is derived records or shows a date specified in the document as being the date on which the image was captured; and</w:t>
      </w:r>
    </w:p>
    <w:p>
      <w:pPr>
        <w:pStyle w:val="Indenta"/>
      </w:pPr>
      <w:r>
        <w:tab/>
        <w:t>(d)</w:t>
      </w:r>
      <w:r>
        <w:tab/>
        <w:t>that the image data source from which an image comprising or specified in the document is derived records or shows land specified in the document as being the land to which the image relates; and</w:t>
      </w:r>
    </w:p>
    <w:p>
      <w:pPr>
        <w:pStyle w:val="Indenta"/>
      </w:pPr>
      <w:r>
        <w:tab/>
        <w:t>(e)</w:t>
      </w:r>
      <w:r>
        <w:tab/>
        <w:t xml:space="preserve">that a remotely sensed image of land comprising or specified in the document has been marked to correctly identify, and correctly show the boundaries of, the land according to records held by the Western Australian Land Information Authority established by the </w:t>
      </w:r>
      <w:r>
        <w:rPr>
          <w:i/>
        </w:rPr>
        <w:t>Land Information Authority Act 2006</w:t>
      </w:r>
      <w:r>
        <w:t xml:space="preserve"> section 5.</w:t>
      </w:r>
    </w:p>
    <w:p>
      <w:pPr>
        <w:pStyle w:val="Subsection"/>
      </w:pPr>
      <w:r>
        <w:tab/>
        <w:t>(8)</w:t>
      </w:r>
      <w:r>
        <w:tab/>
        <w:t>In subsection (7)(e) a reference to the marking of an image is a reference to the marking or modification of the image, or the information from which it was produced, by the application of computer software or by other means.</w:t>
      </w:r>
    </w:p>
    <w:p>
      <w:pPr>
        <w:pStyle w:val="Subsection"/>
      </w:pPr>
      <w:r>
        <w:rPr>
          <w:snapToGrid w:val="0"/>
        </w:rPr>
        <w:tab/>
        <w:t>(9)</w:t>
      </w:r>
      <w:r>
        <w:rPr>
          <w:snapToGrid w:val="0"/>
        </w:rPr>
        <w:tab/>
      </w:r>
      <w:r>
        <w:t>An image, or a document comprising or specifying an image, must not be admitted pursuant to this section</w:t>
      </w:r>
      <w:r>
        <w:rPr>
          <w:snapToGrid w:val="0"/>
        </w:rPr>
        <w:t xml:space="preserve"> as evidence that the land has been cleared unless the court is </w:t>
      </w:r>
      <w:r>
        <w:t xml:space="preserve">satisfied that, after the time at which the image was captured, </w:t>
      </w:r>
      <w:r>
        <w:rPr>
          <w:snapToGrid w:val="0"/>
        </w:rPr>
        <w:t>the Minister, the CEO or a person acting with the authority of the Minister or of the CEO has entered upon and inspected the land for the purposes of ascertaining whether the land has been so cleared.</w:t>
      </w:r>
    </w:p>
    <w:p>
      <w:pPr>
        <w:pStyle w:val="Footnotesection"/>
      </w:pPr>
      <w:r>
        <w:tab/>
        <w:t>[Section 116B inserted: No. 40 of 2020 s. 96.]</w:t>
      </w:r>
    </w:p>
    <w:p>
      <w:pPr>
        <w:pStyle w:val="Heading5"/>
        <w:spacing w:before="260"/>
        <w:rPr>
          <w:snapToGrid w:val="0"/>
        </w:rPr>
      </w:pPr>
      <w:bookmarkStart w:id="291" w:name="_Toc199512059"/>
      <w:r>
        <w:rPr>
          <w:rStyle w:val="CharSectno"/>
        </w:rPr>
        <w:lastRenderedPageBreak/>
        <w:t>117</w:t>
      </w:r>
      <w:r>
        <w:rPr>
          <w:snapToGrid w:val="0"/>
        </w:rPr>
        <w:t>.</w:t>
      </w:r>
      <w:r>
        <w:rPr>
          <w:snapToGrid w:val="0"/>
        </w:rPr>
        <w:tab/>
        <w:t>Proof of documents</w:t>
      </w:r>
      <w:bookmarkEnd w:id="291"/>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No. 84 of 2004 s. 80.]</w:t>
      </w:r>
    </w:p>
    <w:p>
      <w:pPr>
        <w:pStyle w:val="Heading5"/>
      </w:pPr>
      <w:bookmarkStart w:id="292" w:name="_Toc199512060"/>
      <w:r>
        <w:rPr>
          <w:rStyle w:val="CharSectno"/>
        </w:rPr>
        <w:t>118</w:t>
      </w:r>
      <w:r>
        <w:t>.</w:t>
      </w:r>
      <w:r>
        <w:tab/>
        <w:t>Establishing state of mind of body corporate</w:t>
      </w:r>
      <w:bookmarkEnd w:id="292"/>
    </w:p>
    <w:p>
      <w:pPr>
        <w:pStyle w:val="Ednotesubsection"/>
      </w:pPr>
      <w:r>
        <w:tab/>
        <w:t>[(1)-(3)</w:t>
      </w:r>
      <w:r>
        <w:tab/>
        <w:t>deleted]</w:t>
      </w:r>
    </w:p>
    <w:p>
      <w:pPr>
        <w:pStyle w:val="Subsection"/>
      </w:pPr>
      <w:r>
        <w:tab/>
        <w:t>(4)</w:t>
      </w:r>
      <w:r>
        <w:tab/>
        <w:t>Without limiting any other law or practice regarding the admissibility of evidence, evidence that an officer, employee or agent of a body corporate (while acting in that capacity) had, at any particular time, a particular state of mind, is evidence that the body corporate had that state of mind.</w:t>
      </w:r>
    </w:p>
    <w:p>
      <w:pPr>
        <w:pStyle w:val="Footnotesection"/>
      </w:pPr>
      <w:r>
        <w:tab/>
        <w:t>[Section 118 inserted: No. 54 of 2003 s. 135; amended: No. 40 of 2020 s. 111(1); No. 9 of 2023 s. 63.]</w:t>
      </w:r>
    </w:p>
    <w:p>
      <w:pPr>
        <w:pStyle w:val="Heading5"/>
      </w:pPr>
      <w:bookmarkStart w:id="293" w:name="_Toc199512061"/>
      <w:r>
        <w:rPr>
          <w:rStyle w:val="CharSectno"/>
        </w:rPr>
        <w:lastRenderedPageBreak/>
        <w:t>118A</w:t>
      </w:r>
      <w:r>
        <w:t>.</w:t>
      </w:r>
      <w:r>
        <w:tab/>
        <w:t>Liability of officers for offence by body corporate</w:t>
      </w:r>
      <w:bookmarkEnd w:id="293"/>
    </w:p>
    <w:p>
      <w:pPr>
        <w:pStyle w:val="Subsection"/>
        <w:keepNext/>
        <w:keepLines/>
      </w:pPr>
      <w:r>
        <w:tab/>
      </w:r>
      <w:r>
        <w:tab/>
      </w:r>
      <w:r>
        <w:rPr>
          <w:i/>
        </w:rPr>
        <w:t>The Criminal Code</w:t>
      </w:r>
      <w:r>
        <w:t xml:space="preserve"> section 41 (which provides for the criminal liability of officers of a body corporate) applies to Tier 1 offences and Tier 2 offences.</w:t>
      </w:r>
    </w:p>
    <w:p>
      <w:pPr>
        <w:pStyle w:val="Footnotesection"/>
        <w:keepLines w:val="0"/>
      </w:pPr>
      <w:r>
        <w:tab/>
        <w:t>[Section 118A inserted: No. 9 of 2023 s. 64.]</w:t>
      </w:r>
    </w:p>
    <w:p>
      <w:pPr>
        <w:pStyle w:val="Heading5"/>
        <w:rPr>
          <w:snapToGrid w:val="0"/>
        </w:rPr>
      </w:pPr>
      <w:bookmarkStart w:id="294" w:name="_Toc199512062"/>
      <w:r>
        <w:rPr>
          <w:rStyle w:val="CharSectno"/>
        </w:rPr>
        <w:t>119</w:t>
      </w:r>
      <w:r>
        <w:rPr>
          <w:snapToGrid w:val="0"/>
        </w:rPr>
        <w:t>.</w:t>
      </w:r>
      <w:r>
        <w:rPr>
          <w:snapToGrid w:val="0"/>
        </w:rPr>
        <w:tab/>
        <w:t>Averment of occupation or control</w:t>
      </w:r>
      <w:bookmarkEnd w:id="294"/>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keepNext/>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No. 84 of 2004 s. 80.]</w:t>
      </w:r>
    </w:p>
    <w:p>
      <w:pPr>
        <w:pStyle w:val="Heading5"/>
        <w:rPr>
          <w:snapToGrid w:val="0"/>
        </w:rPr>
      </w:pPr>
      <w:bookmarkStart w:id="295" w:name="_Toc199512063"/>
      <w:r>
        <w:rPr>
          <w:rStyle w:val="CharSectno"/>
        </w:rPr>
        <w:t>120</w:t>
      </w:r>
      <w:r>
        <w:rPr>
          <w:snapToGrid w:val="0"/>
        </w:rPr>
        <w:t>.</w:t>
      </w:r>
      <w:r>
        <w:rPr>
          <w:snapToGrid w:val="0"/>
        </w:rPr>
        <w:tab/>
        <w:t>Disclosing certain information restricted</w:t>
      </w:r>
      <w:bookmarkEnd w:id="295"/>
    </w:p>
    <w:p>
      <w:pPr>
        <w:pStyle w:val="Subsection"/>
        <w:rPr>
          <w:snapToGrid w:val="0"/>
        </w:rPr>
      </w:pPr>
      <w:r>
        <w:rPr>
          <w:snapToGrid w:val="0"/>
        </w:rPr>
        <w:tab/>
      </w:r>
      <w:r>
        <w:rPr>
          <w:snapToGrid w:val="0"/>
        </w:rPr>
        <w:tab/>
        <w:t xml:space="preserve">A person who discloses any information relating to any manufacturing process or trade secret used in carrying on or operating any particular undertaking or equipment that has been furnished to </w:t>
      </w:r>
      <w:r>
        <w:t>the person</w:t>
      </w:r>
      <w:r>
        <w:rPr>
          <w:snapToGrid w:val="0"/>
        </w:rPr>
        <w:t xml:space="preserve"> or obtained by </w:t>
      </w:r>
      <w:r>
        <w:t>the person</w:t>
      </w:r>
      <w:r>
        <w:rPr>
          <w:snapToGrid w:val="0"/>
        </w:rPr>
        <w:t xml:space="preserve">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 or</w:t>
      </w:r>
    </w:p>
    <w:p>
      <w:pPr>
        <w:pStyle w:val="Indenta"/>
        <w:rPr>
          <w:snapToGrid w:val="0"/>
        </w:rPr>
      </w:pPr>
      <w:r>
        <w:rPr>
          <w:snapToGrid w:val="0"/>
        </w:rPr>
        <w:tab/>
        <w:t>(b)</w:t>
      </w:r>
      <w:r>
        <w:rPr>
          <w:snapToGrid w:val="0"/>
        </w:rPr>
        <w:tab/>
        <w:t>under or in connection with the execution of this Act; or</w:t>
      </w:r>
    </w:p>
    <w:p>
      <w:pPr>
        <w:pStyle w:val="Ednotepara"/>
        <w:spacing w:before="80"/>
      </w:pPr>
      <w:r>
        <w:tab/>
        <w:t>[(ba)</w:t>
      </w:r>
      <w:r>
        <w:tab/>
        <w:t>deleted]</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lastRenderedPageBreak/>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No. 54 of 2003 s. 108; No. 40 of 2020 s. 97 and 111(1).]</w:t>
      </w:r>
    </w:p>
    <w:p>
      <w:pPr>
        <w:pStyle w:val="Heading5"/>
      </w:pPr>
      <w:bookmarkStart w:id="296" w:name="_Toc199512064"/>
      <w:r>
        <w:rPr>
          <w:rStyle w:val="CharSectno"/>
        </w:rPr>
        <w:t>121A</w:t>
      </w:r>
      <w:r>
        <w:t>.</w:t>
      </w:r>
      <w:r>
        <w:tab/>
        <w:t>Authority to perform certain functions in relation to Crown land for purposes of this Act</w:t>
      </w:r>
      <w:bookmarkEnd w:id="296"/>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lastRenderedPageBreak/>
        <w:tab/>
        <w:t>[Section 121A inserted: No. 8 of 2010 s. 10.]</w:t>
      </w:r>
    </w:p>
    <w:p>
      <w:pPr>
        <w:pStyle w:val="Heading5"/>
      </w:pPr>
      <w:bookmarkStart w:id="297" w:name="_Toc199512065"/>
      <w:r>
        <w:rPr>
          <w:rStyle w:val="CharSectno"/>
        </w:rPr>
        <w:t>121</w:t>
      </w:r>
      <w:r>
        <w:t>.</w:t>
      </w:r>
      <w:r>
        <w:tab/>
        <w:t>Protection from personal liability</w:t>
      </w:r>
      <w:bookmarkEnd w:id="297"/>
    </w:p>
    <w:p>
      <w:pPr>
        <w:pStyle w:val="Subsection"/>
        <w:keepNext/>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No. 54 of 2003 s. 136; amended: No. 8 of 2010 s. 11.]</w:t>
      </w:r>
    </w:p>
    <w:p>
      <w:pPr>
        <w:pStyle w:val="Heading5"/>
        <w:rPr>
          <w:snapToGrid w:val="0"/>
        </w:rPr>
      </w:pPr>
      <w:bookmarkStart w:id="298" w:name="_Toc199512066"/>
      <w:r>
        <w:rPr>
          <w:rStyle w:val="CharSectno"/>
        </w:rPr>
        <w:t>122</w:t>
      </w:r>
      <w:r>
        <w:rPr>
          <w:snapToGrid w:val="0"/>
        </w:rPr>
        <w:t>.</w:t>
      </w:r>
      <w:r>
        <w:rPr>
          <w:snapToGrid w:val="0"/>
        </w:rPr>
        <w:tab/>
        <w:t>Administrative procedures, Authority may establish</w:t>
      </w:r>
      <w:bookmarkEnd w:id="298"/>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lastRenderedPageBreak/>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299" w:name="_Toc199512067"/>
      <w:r>
        <w:rPr>
          <w:rStyle w:val="CharSectno"/>
        </w:rPr>
        <w:t>122A</w:t>
      </w:r>
      <w:r>
        <w:t>.</w:t>
      </w:r>
      <w:r>
        <w:tab/>
        <w:t>Codes of practice</w:t>
      </w:r>
      <w:bookmarkEnd w:id="299"/>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 and</w:t>
      </w:r>
    </w:p>
    <w:p>
      <w:pPr>
        <w:pStyle w:val="Indenta"/>
      </w:pPr>
      <w:r>
        <w:tab/>
        <w:t>(b)</w:t>
      </w:r>
      <w:r>
        <w:tab/>
        <w:t>such State authorities as the CEO considers appropriate; and</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No. 54 of 2003 s. 65.]</w:t>
      </w:r>
    </w:p>
    <w:p>
      <w:pPr>
        <w:pStyle w:val="Heading5"/>
      </w:pPr>
      <w:bookmarkStart w:id="300" w:name="_Toc199512068"/>
      <w:r>
        <w:rPr>
          <w:rStyle w:val="CharSectno"/>
        </w:rPr>
        <w:lastRenderedPageBreak/>
        <w:t>122B</w:t>
      </w:r>
      <w:r>
        <w:t>.</w:t>
      </w:r>
      <w:r>
        <w:tab/>
        <w:t>Forms and other matters relating to documentation</w:t>
      </w:r>
      <w:bookmarkEnd w:id="300"/>
    </w:p>
    <w:p>
      <w:pPr>
        <w:pStyle w:val="Subsection"/>
        <w:keepNext/>
      </w:pPr>
      <w:r>
        <w:tab/>
        <w:t>(1)</w:t>
      </w:r>
      <w:r>
        <w:tab/>
        <w:t>In this section —</w:t>
      </w:r>
    </w:p>
    <w:p>
      <w:pPr>
        <w:pStyle w:val="Defstart"/>
        <w:keepNext/>
      </w:pPr>
      <w:r>
        <w:tab/>
      </w:r>
      <w:r>
        <w:rPr>
          <w:rStyle w:val="CharDefText"/>
        </w:rPr>
        <w:t>approved</w:t>
      </w:r>
      <w:r>
        <w:t xml:space="preserve"> means approved by the CEO;</w:t>
      </w:r>
    </w:p>
    <w:p>
      <w:pPr>
        <w:pStyle w:val="Defstart"/>
        <w:rPr>
          <w:b/>
        </w:rPr>
      </w:pPr>
      <w:r>
        <w:tab/>
      </w:r>
      <w:r>
        <w:rPr>
          <w:rStyle w:val="CharDefText"/>
        </w:rPr>
        <w:t>documentation</w:t>
      </w:r>
      <w:r>
        <w:t xml:space="preserve"> includes a document, application, report, return, certificate, decision, statement or recommendation and information or data;</w:t>
      </w:r>
    </w:p>
    <w:p>
      <w:pPr>
        <w:pStyle w:val="Defstart"/>
      </w:pPr>
      <w:r>
        <w:tab/>
      </w:r>
      <w:r>
        <w:rPr>
          <w:rStyle w:val="CharDefText"/>
        </w:rPr>
        <w:t>publish</w:t>
      </w:r>
      <w:r>
        <w:t xml:space="preserve"> includes keep a public record of and make available for public inspection;</w:t>
      </w:r>
    </w:p>
    <w:p>
      <w:pPr>
        <w:pStyle w:val="Defstart"/>
      </w:pPr>
      <w:r>
        <w:tab/>
      </w:r>
      <w:r>
        <w:rPr>
          <w:rStyle w:val="CharDefText"/>
        </w:rPr>
        <w:t>submit</w:t>
      </w:r>
      <w:r>
        <w:t xml:space="preserve"> includes make, provide or produce.</w:t>
      </w:r>
    </w:p>
    <w:p>
      <w:pPr>
        <w:pStyle w:val="Subsection"/>
      </w:pPr>
      <w:r>
        <w:tab/>
        <w:t>(2)</w:t>
      </w:r>
      <w:r>
        <w:tab/>
        <w:t>Forms may be prescribed or approved for use in submitting documentation under this Act.</w:t>
      </w:r>
    </w:p>
    <w:p>
      <w:pPr>
        <w:pStyle w:val="Subsection"/>
      </w:pPr>
      <w:r>
        <w:tab/>
        <w:t>(3)</w:t>
      </w:r>
      <w:r>
        <w:tab/>
        <w:t>If a form is prescribed or approved for use in submitting documentation, the documentation must be submitted in, and in accordance with, that form but</w:t>
      </w:r>
      <w:r>
        <w:rPr>
          <w:snapToGrid w:val="0"/>
        </w:rPr>
        <w:t xml:space="preserve"> deviations from the form not materially affecting the substance, nor likely to mislead, do not invalidate the form used.</w:t>
      </w:r>
    </w:p>
    <w:p>
      <w:pPr>
        <w:pStyle w:val="Subsection"/>
        <w:keepNext/>
      </w:pPr>
      <w:r>
        <w:tab/>
        <w:t>(4)</w:t>
      </w:r>
      <w:r>
        <w:tab/>
        <w:t xml:space="preserve">Regulations may make provision with respect to — </w:t>
      </w:r>
    </w:p>
    <w:p>
      <w:pPr>
        <w:pStyle w:val="Indenta"/>
      </w:pPr>
      <w:r>
        <w:tab/>
        <w:t>(a)</w:t>
      </w:r>
      <w:r>
        <w:tab/>
        <w:t>publishing documentation submitted or obtained under, or created for the purposes of, this Act; and</w:t>
      </w:r>
    </w:p>
    <w:p>
      <w:pPr>
        <w:pStyle w:val="Indenta"/>
        <w:keepNext/>
      </w:pPr>
      <w:r>
        <w:tab/>
        <w:t>(b)</w:t>
      </w:r>
      <w:r>
        <w:tab/>
        <w:t xml:space="preserve">measures and procedures for maintaining confidentiality in respect of documentation, including — </w:t>
      </w:r>
    </w:p>
    <w:p>
      <w:pPr>
        <w:pStyle w:val="Indenti"/>
      </w:pPr>
      <w:r>
        <w:tab/>
        <w:t>(i)</w:t>
      </w:r>
      <w:r>
        <w:tab/>
        <w:t>the making of a request that documentation not be published; and</w:t>
      </w:r>
    </w:p>
    <w:p>
      <w:pPr>
        <w:pStyle w:val="Indenti"/>
      </w:pPr>
      <w:r>
        <w:tab/>
        <w:t>(ii)</w:t>
      </w:r>
      <w:r>
        <w:tab/>
        <w:t>the manner in which a request of that kind is to be made, received and dealt with.</w:t>
      </w:r>
    </w:p>
    <w:p>
      <w:pPr>
        <w:pStyle w:val="Subsection"/>
      </w:pPr>
      <w:r>
        <w:tab/>
        <w:t>(5)</w:t>
      </w:r>
      <w:r>
        <w:tab/>
        <w:t>Without limiting subsection (4)(a), regulations may require or authorise the publication of documentation that is not otherwise required or authorised under this Act to be published.</w:t>
      </w:r>
    </w:p>
    <w:p>
      <w:pPr>
        <w:pStyle w:val="Subsection"/>
        <w:keepNext/>
      </w:pPr>
      <w:r>
        <w:lastRenderedPageBreak/>
        <w:tab/>
        <w:t>(6)</w:t>
      </w:r>
      <w:r>
        <w:tab/>
        <w:t>Subject to the measures or procedures referred to in subsection (4)(b) —</w:t>
      </w:r>
    </w:p>
    <w:p>
      <w:pPr>
        <w:pStyle w:val="Indenta"/>
      </w:pPr>
      <w:r>
        <w:tab/>
        <w:t>(a)</w:t>
      </w:r>
      <w:r>
        <w:tab/>
        <w:t>documentation must or can be published if this Act requires or authorises it to be published; and</w:t>
      </w:r>
    </w:p>
    <w:p>
      <w:pPr>
        <w:pStyle w:val="Indenta"/>
      </w:pPr>
      <w:r>
        <w:tab/>
        <w:t>(b)</w:t>
      </w:r>
      <w:r>
        <w:tab/>
        <w:t>if a manner is prescribed for use in publishing documentation, it must be published in that manner.</w:t>
      </w:r>
    </w:p>
    <w:p>
      <w:pPr>
        <w:pStyle w:val="Footnotesection"/>
        <w:keepLines w:val="0"/>
      </w:pPr>
      <w:r>
        <w:tab/>
        <w:t>[Section 122B inserted: No. 40 of 2020 s. 99.]</w:t>
      </w:r>
    </w:p>
    <w:p>
      <w:pPr>
        <w:pStyle w:val="Heading5"/>
        <w:spacing w:before="180"/>
        <w:rPr>
          <w:snapToGrid w:val="0"/>
        </w:rPr>
      </w:pPr>
      <w:bookmarkStart w:id="301" w:name="_Toc199512069"/>
      <w:r>
        <w:rPr>
          <w:rStyle w:val="CharSectno"/>
        </w:rPr>
        <w:t>123</w:t>
      </w:r>
      <w:r>
        <w:rPr>
          <w:snapToGrid w:val="0"/>
        </w:rPr>
        <w:t>.</w:t>
      </w:r>
      <w:r>
        <w:rPr>
          <w:snapToGrid w:val="0"/>
        </w:rPr>
        <w:tab/>
        <w:t>Regulations</w:t>
      </w:r>
      <w:bookmarkEnd w:id="301"/>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lastRenderedPageBreak/>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keepNext/>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No. 14 of 1996 s. 4; No. 14 of 1998 s. 35; No. 54 of 2003 s. 137 and 140(2).]</w:t>
      </w:r>
    </w:p>
    <w:p>
      <w:pPr>
        <w:pStyle w:val="Heading5"/>
        <w:rPr>
          <w:snapToGrid w:val="0"/>
        </w:rPr>
      </w:pPr>
      <w:bookmarkStart w:id="302" w:name="_Toc199512070"/>
      <w:r>
        <w:rPr>
          <w:rStyle w:val="CharSectno"/>
        </w:rPr>
        <w:t>124</w:t>
      </w:r>
      <w:r>
        <w:rPr>
          <w:snapToGrid w:val="0"/>
        </w:rPr>
        <w:t>.</w:t>
      </w:r>
      <w:r>
        <w:rPr>
          <w:snapToGrid w:val="0"/>
        </w:rPr>
        <w:tab/>
        <w:t>Review of Act</w:t>
      </w:r>
      <w:bookmarkEnd w:id="302"/>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 xml:space="preserve">such other matters as appear to </w:t>
      </w:r>
      <w:r>
        <w:t>the Minister</w:t>
      </w:r>
      <w:r>
        <w:rPr>
          <w:snapToGrid w:val="0"/>
        </w:rPr>
        <w:t xml:space="preserve">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 xml:space="preserve">the </w:t>
      </w:r>
      <w:r>
        <w:rPr>
          <w:snapToGrid w:val="0"/>
        </w:rPr>
        <w:t>review made under subsection (1) and shall, as soon as practicable after the preparation thereof, cause the report to be laid before each House of Parliament.</w:t>
      </w:r>
    </w:p>
    <w:p>
      <w:pPr>
        <w:pStyle w:val="Footnotesection"/>
      </w:pPr>
      <w:r>
        <w:tab/>
        <w:t>[Section 124 amended: No. 40 of 2020 s. 111(1).]</w:t>
      </w:r>
    </w:p>
    <w:p>
      <w:pPr>
        <w:pStyle w:val="Heading2"/>
      </w:pPr>
      <w:bookmarkStart w:id="303" w:name="_Toc199512071"/>
      <w:r>
        <w:rPr>
          <w:rStyle w:val="CharPartNo"/>
        </w:rPr>
        <w:lastRenderedPageBreak/>
        <w:t>Part VIIIA</w:t>
      </w:r>
      <w:r>
        <w:rPr>
          <w:rStyle w:val="CharDivNo"/>
        </w:rPr>
        <w:t> </w:t>
      </w:r>
      <w:r>
        <w:t>—</w:t>
      </w:r>
      <w:r>
        <w:rPr>
          <w:rStyle w:val="CharDivText"/>
        </w:rPr>
        <w:t> </w:t>
      </w:r>
      <w:r>
        <w:rPr>
          <w:rStyle w:val="CharPartText"/>
        </w:rPr>
        <w:t>Bilateral agreements with the Commonwealth</w:t>
      </w:r>
      <w:bookmarkEnd w:id="303"/>
    </w:p>
    <w:p>
      <w:pPr>
        <w:pStyle w:val="Footnoteheading"/>
        <w:tabs>
          <w:tab w:val="left" w:pos="909"/>
        </w:tabs>
      </w:pPr>
      <w:r>
        <w:tab/>
        <w:t>[Heading inserted: No. 40 of 2020 s. 100.]</w:t>
      </w:r>
    </w:p>
    <w:p>
      <w:pPr>
        <w:pStyle w:val="Heading5"/>
      </w:pPr>
      <w:bookmarkStart w:id="304" w:name="_Toc199512072"/>
      <w:r>
        <w:rPr>
          <w:rStyle w:val="CharSectno"/>
        </w:rPr>
        <w:t>124A</w:t>
      </w:r>
      <w:r>
        <w:t>.</w:t>
      </w:r>
      <w:r>
        <w:tab/>
        <w:t>Terms used</w:t>
      </w:r>
      <w:bookmarkEnd w:id="304"/>
    </w:p>
    <w:p>
      <w:pPr>
        <w:pStyle w:val="Subsection"/>
      </w:pPr>
      <w:r>
        <w:tab/>
      </w:r>
      <w:r>
        <w:tab/>
        <w:t>In this Part, unless the contrary intention appears —</w:t>
      </w:r>
    </w:p>
    <w:p>
      <w:pPr>
        <w:pStyle w:val="Defstart"/>
      </w:pPr>
      <w:r>
        <w:tab/>
      </w:r>
      <w:r>
        <w:rPr>
          <w:rStyle w:val="CharDefText"/>
        </w:rPr>
        <w:t>bilateral agreement</w:t>
      </w:r>
      <w:r>
        <w:t xml:space="preserve"> means an agreement referred to in the Commonwealth Environment Act section 45(2) to which the State is a party;</w:t>
      </w:r>
    </w:p>
    <w:p>
      <w:pPr>
        <w:pStyle w:val="Defstart"/>
      </w:pPr>
      <w:r>
        <w:tab/>
      </w:r>
      <w:r>
        <w:rPr>
          <w:rStyle w:val="CharDefText"/>
        </w:rPr>
        <w:t>bilateral matter</w:t>
      </w:r>
      <w:r>
        <w:t xml:space="preserve"> means a matter in respect of which an application has been made in accordance with regulations referred to in section 124D;</w:t>
      </w:r>
    </w:p>
    <w:p>
      <w:pPr>
        <w:pStyle w:val="Defstart"/>
      </w:pPr>
      <w:r>
        <w:tab/>
      </w:r>
      <w:r>
        <w:rPr>
          <w:rStyle w:val="CharDefText"/>
        </w:rPr>
        <w:t>guidelines</w:t>
      </w:r>
      <w:r>
        <w:t xml:space="preserve"> includes policies, plans and information;</w:t>
      </w:r>
    </w:p>
    <w:p>
      <w:pPr>
        <w:pStyle w:val="Defstart"/>
      </w:pPr>
      <w:r>
        <w:tab/>
      </w:r>
      <w:r>
        <w:rPr>
          <w:rStyle w:val="CharDefText"/>
        </w:rPr>
        <w:t>State entity</w:t>
      </w:r>
      <w:r>
        <w:t xml:space="preserve"> means the Minister, the CEO or the Authority.</w:t>
      </w:r>
    </w:p>
    <w:p>
      <w:pPr>
        <w:pStyle w:val="Footnotesection"/>
      </w:pPr>
      <w:r>
        <w:tab/>
        <w:t>[Section 124A inserted: No. 40 of 2020 s. 100.]</w:t>
      </w:r>
    </w:p>
    <w:p>
      <w:pPr>
        <w:pStyle w:val="Heading5"/>
      </w:pPr>
      <w:bookmarkStart w:id="305" w:name="_Toc199512073"/>
      <w:r>
        <w:rPr>
          <w:rStyle w:val="CharSectno"/>
        </w:rPr>
        <w:t>124B</w:t>
      </w:r>
      <w:r>
        <w:t>.</w:t>
      </w:r>
      <w:r>
        <w:tab/>
        <w:t>Effect of Part</w:t>
      </w:r>
      <w:bookmarkEnd w:id="305"/>
    </w:p>
    <w:p>
      <w:pPr>
        <w:pStyle w:val="Subsection"/>
      </w:pPr>
      <w:r>
        <w:tab/>
      </w:r>
      <w:r>
        <w:tab/>
        <w:t>This Part has effect despite any other provision of this Act.</w:t>
      </w:r>
    </w:p>
    <w:p>
      <w:pPr>
        <w:pStyle w:val="Footnotesection"/>
      </w:pPr>
      <w:r>
        <w:tab/>
        <w:t>[Section 124B inserted: No. 40 of 2020 s. 100.]</w:t>
      </w:r>
    </w:p>
    <w:p>
      <w:pPr>
        <w:pStyle w:val="Heading5"/>
      </w:pPr>
      <w:bookmarkStart w:id="306" w:name="_Toc199512074"/>
      <w:r>
        <w:rPr>
          <w:rStyle w:val="CharSectno"/>
        </w:rPr>
        <w:t>124C</w:t>
      </w:r>
      <w:r>
        <w:t>.</w:t>
      </w:r>
      <w:r>
        <w:tab/>
        <w:t>Additional function of Authority</w:t>
      </w:r>
      <w:bookmarkEnd w:id="306"/>
    </w:p>
    <w:p>
      <w:pPr>
        <w:pStyle w:val="Subsection"/>
      </w:pPr>
      <w:r>
        <w:tab/>
        <w:t>(1)</w:t>
      </w:r>
      <w:r>
        <w:tab/>
        <w:t>It is a function of the Authority to facilitate the implementation of bilateral agreements.</w:t>
      </w:r>
    </w:p>
    <w:p>
      <w:pPr>
        <w:pStyle w:val="Subsection"/>
      </w:pPr>
      <w:r>
        <w:tab/>
        <w:t>(2)</w:t>
      </w:r>
      <w:r>
        <w:tab/>
        <w:t>A reference in any enactment to the Authority’s functions includes a reference to its function under subsection (1).</w:t>
      </w:r>
    </w:p>
    <w:p>
      <w:pPr>
        <w:pStyle w:val="Footnotesection"/>
      </w:pPr>
      <w:r>
        <w:tab/>
        <w:t>[Section 124C inserted: No. 40 of 2020 s. 100.]</w:t>
      </w:r>
    </w:p>
    <w:p>
      <w:pPr>
        <w:pStyle w:val="Heading5"/>
      </w:pPr>
      <w:bookmarkStart w:id="307" w:name="_Toc199512075"/>
      <w:r>
        <w:rPr>
          <w:rStyle w:val="CharSectno"/>
        </w:rPr>
        <w:t>124D</w:t>
      </w:r>
      <w:r>
        <w:t>.</w:t>
      </w:r>
      <w:r>
        <w:tab/>
        <w:t>Application for a matter to be dealt with as a bilateral matter</w:t>
      </w:r>
      <w:bookmarkEnd w:id="307"/>
    </w:p>
    <w:p>
      <w:pPr>
        <w:pStyle w:val="Subsection"/>
      </w:pPr>
      <w:r>
        <w:tab/>
      </w:r>
      <w:r>
        <w:tab/>
        <w:t xml:space="preserve">Regulations may provide for procedures under which a person may apply for a matter to be dealt with under this Act as a </w:t>
      </w:r>
      <w:r>
        <w:lastRenderedPageBreak/>
        <w:t>bilateral matter where, under a bilateral agreement, the performance of functions in respect of the matter by a State entity will or may have effect for the purposes of the Commonwealth Environment Act.</w:t>
      </w:r>
    </w:p>
    <w:p>
      <w:pPr>
        <w:pStyle w:val="Footnotesection"/>
      </w:pPr>
      <w:r>
        <w:tab/>
        <w:t>[Section 124D inserted: No. 40 of 2020 s. 100.]</w:t>
      </w:r>
    </w:p>
    <w:p>
      <w:pPr>
        <w:pStyle w:val="Heading5"/>
      </w:pPr>
      <w:bookmarkStart w:id="308" w:name="_Toc199512076"/>
      <w:r>
        <w:rPr>
          <w:rStyle w:val="CharSectno"/>
        </w:rPr>
        <w:t>124E</w:t>
      </w:r>
      <w:r>
        <w:t>.</w:t>
      </w:r>
      <w:r>
        <w:tab/>
        <w:t>Performance of functions in respect of bilateral matters</w:t>
      </w:r>
      <w:bookmarkEnd w:id="308"/>
    </w:p>
    <w:p>
      <w:pPr>
        <w:pStyle w:val="Subsection"/>
      </w:pPr>
      <w:r>
        <w:tab/>
        <w:t>(1)</w:t>
      </w:r>
      <w:r>
        <w:tab/>
        <w:t>A State entity may perform functions under this Act in respect of a bilateral matter in a manner that is consistent with, and enables the implementation of, a bilateral agreement.</w:t>
      </w:r>
    </w:p>
    <w:p>
      <w:pPr>
        <w:pStyle w:val="Subsection"/>
      </w:pPr>
      <w:r>
        <w:tab/>
        <w:t>(2)</w:t>
      </w:r>
      <w:r>
        <w:tab/>
        <w:t>When performing functions under this Act in respect of a bilateral matter a State entity may have regard to guidelines in accordance with a bilateral agreement.</w:t>
      </w:r>
    </w:p>
    <w:p>
      <w:pPr>
        <w:pStyle w:val="Subsection"/>
      </w:pPr>
      <w:r>
        <w:tab/>
        <w:t>(3)</w:t>
      </w:r>
      <w:r>
        <w:tab/>
        <w:t>Without limiting subsection (1) or section 17, for the purposes of performing functions under Part IV in respect of a bilateral matter the Authority may, in relation to a proposal —</w:t>
      </w:r>
    </w:p>
    <w:p>
      <w:pPr>
        <w:pStyle w:val="Indenta"/>
      </w:pPr>
      <w:r>
        <w:tab/>
        <w:t>(a)</w:t>
      </w:r>
      <w:r>
        <w:tab/>
        <w:t>have regard to requirements made by a bilateral agreement when making requirements or taking other action under section 40; and</w:t>
      </w:r>
    </w:p>
    <w:p>
      <w:pPr>
        <w:pStyle w:val="Indenta"/>
      </w:pPr>
      <w:r>
        <w:tab/>
        <w:t>(b)</w:t>
      </w:r>
      <w:r>
        <w:tab/>
        <w:t>prepare guidelines and publish material as required under a bilateral agreement; and</w:t>
      </w:r>
    </w:p>
    <w:p>
      <w:pPr>
        <w:pStyle w:val="Indenta"/>
      </w:pPr>
      <w:r>
        <w:tab/>
        <w:t>(c)</w:t>
      </w:r>
      <w:r>
        <w:tab/>
        <w:t>require the proponent to do anything necessary to give effect to a bilateral agreement; and</w:t>
      </w:r>
    </w:p>
    <w:p>
      <w:pPr>
        <w:pStyle w:val="Indenta"/>
      </w:pPr>
      <w:r>
        <w:tab/>
        <w:t>(d)</w:t>
      </w:r>
      <w:r>
        <w:tab/>
        <w:t>make its assessment and report in a manner that satisfies the requirements of a bilateral agreement.</w:t>
      </w:r>
    </w:p>
    <w:p>
      <w:pPr>
        <w:pStyle w:val="Subsection"/>
      </w:pPr>
      <w:r>
        <w:tab/>
        <w:t>(4)</w:t>
      </w:r>
      <w:r>
        <w:tab/>
        <w:t>Without limiting subsection (1), when consulting with other Ministers and decision</w:t>
      </w:r>
      <w:r>
        <w:noBreakHyphen/>
        <w:t xml:space="preserve">making authorities or making decisions for the purposes of Part IV in respect of a bilateral matter, the Minister may — </w:t>
      </w:r>
    </w:p>
    <w:p>
      <w:pPr>
        <w:pStyle w:val="Indenta"/>
      </w:pPr>
      <w:r>
        <w:tab/>
        <w:t>(a)</w:t>
      </w:r>
      <w:r>
        <w:tab/>
        <w:t>rely on a report of the Authority, including any part of the report relating to matters of national environmental significance under the Commonwealth Environment Act; and</w:t>
      </w:r>
    </w:p>
    <w:p>
      <w:pPr>
        <w:pStyle w:val="Indenta"/>
      </w:pPr>
      <w:r>
        <w:lastRenderedPageBreak/>
        <w:tab/>
        <w:t>(b)</w:t>
      </w:r>
      <w:r>
        <w:tab/>
        <w:t>impose implementation conditions for the purpose of the implementation of a bilateral agreement.</w:t>
      </w:r>
    </w:p>
    <w:p>
      <w:pPr>
        <w:pStyle w:val="Subsection"/>
      </w:pPr>
      <w:r>
        <w:tab/>
        <w:t>(5)</w:t>
      </w:r>
      <w:r>
        <w:tab/>
        <w:t xml:space="preserve">Without limiting subsection (1), when performing functions under Part V Division 2 in respect of a bilateral matter the CEO may — </w:t>
      </w:r>
    </w:p>
    <w:p>
      <w:pPr>
        <w:pStyle w:val="Indenta"/>
      </w:pPr>
      <w:r>
        <w:tab/>
        <w:t>(a)</w:t>
      </w:r>
      <w:r>
        <w:tab/>
        <w:t>have regard to requirements made by a bilateral agreement; and</w:t>
      </w:r>
    </w:p>
    <w:p>
      <w:pPr>
        <w:pStyle w:val="Indenta"/>
      </w:pPr>
      <w:r>
        <w:tab/>
        <w:t>(b)</w:t>
      </w:r>
      <w:r>
        <w:tab/>
        <w:t>prepare guidelines and publish material as required under a bilateral agreement; and</w:t>
      </w:r>
    </w:p>
    <w:p>
      <w:pPr>
        <w:pStyle w:val="Indenta"/>
      </w:pPr>
      <w:r>
        <w:tab/>
        <w:t>(c)</w:t>
      </w:r>
      <w:r>
        <w:tab/>
        <w:t>require a person to do anything necessary to give effect to a bilateral agreement; and</w:t>
      </w:r>
    </w:p>
    <w:p>
      <w:pPr>
        <w:pStyle w:val="Indenta"/>
      </w:pPr>
      <w:r>
        <w:tab/>
        <w:t>(d)</w:t>
      </w:r>
      <w:r>
        <w:tab/>
        <w:t>make any assessment and report required by a bilateral agreement in a manner that satisfies the requirements of a bilateral agreement; and</w:t>
      </w:r>
    </w:p>
    <w:p>
      <w:pPr>
        <w:pStyle w:val="Indenta"/>
      </w:pPr>
      <w:r>
        <w:tab/>
        <w:t>(e)</w:t>
      </w:r>
      <w:r>
        <w:tab/>
        <w:t>attach conditions to a clearing permit for the purpose of the implementation of a bilateral agreement.</w:t>
      </w:r>
    </w:p>
    <w:p>
      <w:pPr>
        <w:pStyle w:val="Subsection"/>
      </w:pPr>
      <w:r>
        <w:tab/>
        <w:t>(6)</w:t>
      </w:r>
      <w:r>
        <w:tab/>
        <w:t>When performing functions under Part VII in relation to an appeal in respect of a bilateral matter the following are to have regard to the effect of subsections (1) to (5) on the performance of functions —</w:t>
      </w:r>
    </w:p>
    <w:p>
      <w:pPr>
        <w:pStyle w:val="Indenta"/>
      </w:pPr>
      <w:r>
        <w:tab/>
        <w:t>(a)</w:t>
      </w:r>
      <w:r>
        <w:tab/>
        <w:t>the Minister;</w:t>
      </w:r>
    </w:p>
    <w:p>
      <w:pPr>
        <w:pStyle w:val="Indenta"/>
      </w:pPr>
      <w:r>
        <w:tab/>
        <w:t>(b)</w:t>
      </w:r>
      <w:r>
        <w:tab/>
        <w:t>the Authority;</w:t>
      </w:r>
    </w:p>
    <w:p>
      <w:pPr>
        <w:pStyle w:val="Indenta"/>
      </w:pPr>
      <w:r>
        <w:tab/>
        <w:t>(c)</w:t>
      </w:r>
      <w:r>
        <w:tab/>
        <w:t>the CEO;</w:t>
      </w:r>
    </w:p>
    <w:p>
      <w:pPr>
        <w:pStyle w:val="Indenta"/>
      </w:pPr>
      <w:r>
        <w:tab/>
        <w:t>(d)</w:t>
      </w:r>
      <w:r>
        <w:tab/>
        <w:t>the Appeals Convenor;</w:t>
      </w:r>
    </w:p>
    <w:p>
      <w:pPr>
        <w:pStyle w:val="Indenta"/>
      </w:pPr>
      <w:r>
        <w:tab/>
        <w:t>(e)</w:t>
      </w:r>
      <w:r>
        <w:tab/>
        <w:t>an appeals panel;</w:t>
      </w:r>
    </w:p>
    <w:p>
      <w:pPr>
        <w:pStyle w:val="Indenta"/>
      </w:pPr>
      <w:r>
        <w:tab/>
        <w:t>(f)</w:t>
      </w:r>
      <w:r>
        <w:tab/>
        <w:t>an appeals committee.</w:t>
      </w:r>
    </w:p>
    <w:p>
      <w:pPr>
        <w:pStyle w:val="Footnotesection"/>
      </w:pPr>
      <w:r>
        <w:tab/>
        <w:t>[Section 124E inserted: No. 40 of 2020 s. 100.]</w:t>
      </w:r>
    </w:p>
    <w:p>
      <w:pPr>
        <w:pStyle w:val="Heading5"/>
      </w:pPr>
      <w:bookmarkStart w:id="309" w:name="_Toc199512077"/>
      <w:r>
        <w:rPr>
          <w:rStyle w:val="CharSectno"/>
        </w:rPr>
        <w:lastRenderedPageBreak/>
        <w:t>124F</w:t>
      </w:r>
      <w:r>
        <w:t>.</w:t>
      </w:r>
      <w:r>
        <w:tab/>
        <w:t>Fees in relation to bilateral matters</w:t>
      </w:r>
      <w:bookmarkEnd w:id="309"/>
    </w:p>
    <w:p>
      <w:pPr>
        <w:pStyle w:val="Subsection"/>
        <w:keepLines/>
      </w:pPr>
      <w:r>
        <w:tab/>
        <w:t>(1)</w:t>
      </w:r>
      <w:r>
        <w:tab/>
        <w:t>Regulations may prescribe, or provide for the determination of, fees payable to a State entity, or a delegate of a State entity, in respect of things done, or to be done, by or on behalf of the State entity or delegate in respect of a bilateral matter.</w:t>
      </w:r>
    </w:p>
    <w:p>
      <w:pPr>
        <w:pStyle w:val="Subsection"/>
      </w:pPr>
      <w:r>
        <w:tab/>
        <w:t>(2)</w:t>
      </w:r>
      <w:r>
        <w:tab/>
        <w:t>Regulations relating to a fee in respect of a matter may prescribe, or provide for the determination of, a greater or additional fee if the matter is, or is to be, dealt with as a bilateral matter.</w:t>
      </w:r>
    </w:p>
    <w:p>
      <w:pPr>
        <w:pStyle w:val="Subsection"/>
      </w:pPr>
      <w:r>
        <w:tab/>
        <w:t>(3)</w:t>
      </w:r>
      <w:r>
        <w:tab/>
        <w:t>Schedule 2 items 2 and 2A apply in relation to fees mentioned in this section.</w:t>
      </w:r>
    </w:p>
    <w:p>
      <w:pPr>
        <w:pStyle w:val="Footnotesection"/>
      </w:pPr>
      <w:r>
        <w:tab/>
        <w:t>[Section 124F inserted: No. 40 of 2020 s. 100.]</w:t>
      </w:r>
    </w:p>
    <w:p>
      <w:pPr>
        <w:pStyle w:val="Heading5"/>
      </w:pPr>
      <w:bookmarkStart w:id="310" w:name="_Toc199512078"/>
      <w:r>
        <w:rPr>
          <w:rStyle w:val="CharSectno"/>
        </w:rPr>
        <w:t>124G</w:t>
      </w:r>
      <w:r>
        <w:t>.</w:t>
      </w:r>
      <w:r>
        <w:tab/>
        <w:t>Disclosure of information for the purposes of bilateral agreements</w:t>
      </w:r>
      <w:bookmarkEnd w:id="310"/>
    </w:p>
    <w:p>
      <w:pPr>
        <w:pStyle w:val="Subsection"/>
      </w:pPr>
      <w:r>
        <w:tab/>
        <w:t>(1)</w:t>
      </w:r>
      <w:r>
        <w:tab/>
        <w:t>Subject to this section, the provisions of this Act in relation to the confidentiality and disclosure of information apply to information obtained in or for the purposes of the performance of functions in accordance with this Part.</w:t>
      </w:r>
    </w:p>
    <w:p>
      <w:pPr>
        <w:pStyle w:val="Subsection"/>
      </w:pPr>
      <w:r>
        <w:tab/>
        <w:t>(2)</w:t>
      </w:r>
      <w:r>
        <w:tab/>
        <w:t>To facilitate the implementation of a bilateral agreement information that a State entity has may be disclosed to a person that performs functions under the Commonwealth Environment Act.</w:t>
      </w:r>
    </w:p>
    <w:p>
      <w:pPr>
        <w:pStyle w:val="Subsection"/>
      </w:pPr>
      <w:r>
        <w:tab/>
        <w:t>(3)</w:t>
      </w:r>
      <w:r>
        <w:tab/>
        <w:t>A person does not commit an offence under section 120 if the disclosure of information referred to in that section is made under, or for the purposes of the implementation of, a bilateral agreement.</w:t>
      </w:r>
    </w:p>
    <w:p>
      <w:pPr>
        <w:pStyle w:val="Footnotesection"/>
      </w:pPr>
      <w:r>
        <w:tab/>
        <w:t>[Section 124G inserted: No. 40 of 2020 s. 100.]</w:t>
      </w:r>
    </w:p>
    <w:p>
      <w:pPr>
        <w:pStyle w:val="Heading5"/>
      </w:pPr>
      <w:bookmarkStart w:id="311" w:name="_Toc199512079"/>
      <w:r>
        <w:rPr>
          <w:rStyle w:val="CharSectno"/>
        </w:rPr>
        <w:lastRenderedPageBreak/>
        <w:t>124H</w:t>
      </w:r>
      <w:r>
        <w:t>.</w:t>
      </w:r>
      <w:r>
        <w:tab/>
        <w:t>Regulations</w:t>
      </w:r>
      <w:bookmarkEnd w:id="311"/>
    </w:p>
    <w:p>
      <w:pPr>
        <w:pStyle w:val="Subsection"/>
        <w:keepNext/>
        <w:keepLines/>
      </w:pPr>
      <w:r>
        <w:tab/>
      </w:r>
      <w:r>
        <w:tab/>
        <w:t xml:space="preserve">Without limiting section 123(1) and (2), regulations may prescribe all matters that are required or permitted by this Part to be prescribed or that are necessary or convenient to be prescribed for — </w:t>
      </w:r>
    </w:p>
    <w:p>
      <w:pPr>
        <w:pStyle w:val="Indenta"/>
      </w:pPr>
      <w:r>
        <w:tab/>
        <w:t>(a)</w:t>
      </w:r>
      <w:r>
        <w:tab/>
        <w:t xml:space="preserve">giving effect to the purposes of this Part; or </w:t>
      </w:r>
    </w:p>
    <w:p>
      <w:pPr>
        <w:pStyle w:val="Indenta"/>
        <w:keepNext/>
      </w:pPr>
      <w:r>
        <w:tab/>
        <w:t>(b)</w:t>
      </w:r>
      <w:r>
        <w:tab/>
        <w:t>facilitating the implementation of bilateral agreements.</w:t>
      </w:r>
    </w:p>
    <w:p>
      <w:pPr>
        <w:pStyle w:val="Footnotesection"/>
      </w:pPr>
      <w:r>
        <w:tab/>
        <w:t>[Section 124H inserted: No. 40 of 2020 s. 100.]</w:t>
      </w:r>
    </w:p>
    <w:p>
      <w:pPr>
        <w:pStyle w:val="Heading2"/>
      </w:pPr>
      <w:bookmarkStart w:id="312" w:name="_Toc199512080"/>
      <w:r>
        <w:rPr>
          <w:rStyle w:val="CharPartNo"/>
        </w:rPr>
        <w:lastRenderedPageBreak/>
        <w:t>Part IX</w:t>
      </w:r>
      <w:r>
        <w:t> — </w:t>
      </w:r>
      <w:r>
        <w:rPr>
          <w:rStyle w:val="CharPartText"/>
        </w:rPr>
        <w:t>Transitional</w:t>
      </w:r>
      <w:bookmarkEnd w:id="312"/>
    </w:p>
    <w:p>
      <w:pPr>
        <w:pStyle w:val="Heading3"/>
      </w:pPr>
      <w:bookmarkStart w:id="313" w:name="_Toc199512081"/>
      <w:r>
        <w:rPr>
          <w:rStyle w:val="CharDivNo"/>
        </w:rPr>
        <w:t>Division 1</w:t>
      </w:r>
      <w:r>
        <w:t> — </w:t>
      </w:r>
      <w:r>
        <w:rPr>
          <w:rStyle w:val="CharDivText"/>
        </w:rPr>
        <w:t xml:space="preserve">Transitional provisions for </w:t>
      </w:r>
      <w:r>
        <w:rPr>
          <w:rStyle w:val="CharDivText"/>
          <w:i/>
          <w:iCs/>
        </w:rPr>
        <w:t>Environmental Protection Act 1986</w:t>
      </w:r>
      <w:bookmarkEnd w:id="313"/>
    </w:p>
    <w:p>
      <w:pPr>
        <w:pStyle w:val="Footnoteheading"/>
      </w:pPr>
      <w:r>
        <w:tab/>
        <w:t>[Heading inserted: No. 40 of 2010 s. 12.]</w:t>
      </w:r>
    </w:p>
    <w:p>
      <w:pPr>
        <w:pStyle w:val="Heading5"/>
        <w:rPr>
          <w:snapToGrid w:val="0"/>
        </w:rPr>
      </w:pPr>
      <w:bookmarkStart w:id="314" w:name="_Toc199512082"/>
      <w:r>
        <w:rPr>
          <w:rStyle w:val="CharSectno"/>
        </w:rPr>
        <w:t>125</w:t>
      </w:r>
      <w:r>
        <w:rPr>
          <w:snapToGrid w:val="0"/>
        </w:rPr>
        <w:t>.</w:t>
      </w:r>
      <w:r>
        <w:rPr>
          <w:snapToGrid w:val="0"/>
        </w:rPr>
        <w:tab/>
      </w:r>
      <w:r>
        <w:rPr>
          <w:i/>
          <w:snapToGrid w:val="0"/>
        </w:rPr>
        <w:t>Interpretation Act 1984</w:t>
      </w:r>
      <w:r>
        <w:rPr>
          <w:snapToGrid w:val="0"/>
        </w:rPr>
        <w:t xml:space="preserve"> not affected</w:t>
      </w:r>
      <w:bookmarkEnd w:id="314"/>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315" w:name="_Toc199512083"/>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2</w:t>
      </w:r>
      <w:bookmarkEnd w:id="315"/>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316" w:name="_Toc199512084"/>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vertAlign w:val="superscript"/>
        </w:rPr>
        <w:t> 2</w:t>
      </w:r>
      <w:bookmarkEnd w:id="316"/>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317" w:name="_Toc199512085"/>
      <w:r>
        <w:rPr>
          <w:rStyle w:val="CharSectno"/>
        </w:rPr>
        <w:t>128</w:t>
      </w:r>
      <w:r>
        <w:rPr>
          <w:snapToGrid w:val="0"/>
        </w:rPr>
        <w:t>.</w:t>
      </w:r>
      <w:r>
        <w:rPr>
          <w:snapToGrid w:val="0"/>
        </w:rPr>
        <w:tab/>
        <w:t>General saving</w:t>
      </w:r>
      <w:bookmarkEnd w:id="317"/>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318" w:name="_Toc199512086"/>
      <w:r>
        <w:rPr>
          <w:rStyle w:val="CharDivNo"/>
        </w:rPr>
        <w:lastRenderedPageBreak/>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318"/>
    </w:p>
    <w:p>
      <w:pPr>
        <w:pStyle w:val="Footnoteheading"/>
        <w:keepNext/>
        <w:keepLines/>
      </w:pPr>
      <w:r>
        <w:tab/>
        <w:t>[Heading inserted: No. 40 of 2010 s. 13.]</w:t>
      </w:r>
    </w:p>
    <w:p>
      <w:pPr>
        <w:pStyle w:val="Heading5"/>
      </w:pPr>
      <w:bookmarkStart w:id="319" w:name="_Toc199512087"/>
      <w:r>
        <w:rPr>
          <w:rStyle w:val="CharSectno"/>
        </w:rPr>
        <w:t>129</w:t>
      </w:r>
      <w:r>
        <w:t>.</w:t>
      </w:r>
      <w:r>
        <w:tab/>
        <w:t>Term used: amending Act</w:t>
      </w:r>
      <w:bookmarkEnd w:id="319"/>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No. 40 of 2010 s. 13.]</w:t>
      </w:r>
    </w:p>
    <w:p>
      <w:pPr>
        <w:pStyle w:val="Heading5"/>
      </w:pPr>
      <w:bookmarkStart w:id="320" w:name="_Toc199512088"/>
      <w:r>
        <w:rPr>
          <w:rStyle w:val="CharSectno"/>
        </w:rPr>
        <w:t>130</w:t>
      </w:r>
      <w:r>
        <w:t>.</w:t>
      </w:r>
      <w:r>
        <w:tab/>
        <w:t>Appeals in respect of proposals</w:t>
      </w:r>
      <w:bookmarkEnd w:id="320"/>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No. 40 of 2010 s. 13.]</w:t>
      </w:r>
    </w:p>
    <w:p>
      <w:pPr>
        <w:pStyle w:val="Heading5"/>
      </w:pPr>
      <w:bookmarkStart w:id="321" w:name="_Toc199512089"/>
      <w:r>
        <w:rPr>
          <w:rStyle w:val="CharSectno"/>
        </w:rPr>
        <w:t>131</w:t>
      </w:r>
      <w:r>
        <w:t>.</w:t>
      </w:r>
      <w:r>
        <w:tab/>
        <w:t>Appeals in respect of clearing permits</w:t>
      </w:r>
      <w:bookmarkEnd w:id="321"/>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No. 40 of 2010 s. 13.]</w:t>
      </w:r>
    </w:p>
    <w:p>
      <w:pPr>
        <w:pStyle w:val="Heading5"/>
      </w:pPr>
      <w:bookmarkStart w:id="322" w:name="_Toc199512090"/>
      <w:r>
        <w:rPr>
          <w:rStyle w:val="CharSectno"/>
        </w:rPr>
        <w:lastRenderedPageBreak/>
        <w:t>132</w:t>
      </w:r>
      <w:r>
        <w:t>.</w:t>
      </w:r>
      <w:r>
        <w:tab/>
        <w:t>Appeals in respect of works approvals and licences</w:t>
      </w:r>
      <w:bookmarkEnd w:id="322"/>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No. 40 of 2010 s. 13.]</w:t>
      </w:r>
    </w:p>
    <w:p>
      <w:pPr>
        <w:pStyle w:val="Heading3"/>
      </w:pPr>
      <w:bookmarkStart w:id="323" w:name="_Toc199512091"/>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323"/>
    </w:p>
    <w:p>
      <w:pPr>
        <w:pStyle w:val="Footnoteheading"/>
      </w:pPr>
      <w:r>
        <w:tab/>
        <w:t>[Heading inserted: No. 40 of 2010 s. 18.]</w:t>
      </w:r>
    </w:p>
    <w:p>
      <w:pPr>
        <w:pStyle w:val="Heading5"/>
      </w:pPr>
      <w:bookmarkStart w:id="324" w:name="_Toc199512092"/>
      <w:r>
        <w:rPr>
          <w:rStyle w:val="CharSectno"/>
        </w:rPr>
        <w:t>133</w:t>
      </w:r>
      <w:r>
        <w:t>.</w:t>
      </w:r>
      <w:r>
        <w:tab/>
        <w:t>Minor or preliminary work that has Authority’s consent</w:t>
      </w:r>
      <w:bookmarkEnd w:id="324"/>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rPr>
          <w:rStyle w:val="CharDivText"/>
        </w:rPr>
      </w:pPr>
      <w:r>
        <w:tab/>
        <w:t>[Section 133 inserted: No. 40 of 2010 s. 18.]</w:t>
      </w:r>
    </w:p>
    <w:p>
      <w:pPr>
        <w:pStyle w:val="Heading3"/>
      </w:pPr>
      <w:bookmarkStart w:id="325" w:name="_Toc199512093"/>
      <w:r>
        <w:rPr>
          <w:rStyle w:val="CharDivNo"/>
        </w:rPr>
        <w:lastRenderedPageBreak/>
        <w:t>Division 4</w:t>
      </w:r>
      <w:r>
        <w:t> — </w:t>
      </w:r>
      <w:r>
        <w:rPr>
          <w:rStyle w:val="CharDivText"/>
        </w:rPr>
        <w:t xml:space="preserve">Transitional provisions for </w:t>
      </w:r>
      <w:r>
        <w:rPr>
          <w:rStyle w:val="CharDivText"/>
          <w:i/>
        </w:rPr>
        <w:t>Environmental Protection Amendment Act 2020</w:t>
      </w:r>
      <w:bookmarkEnd w:id="325"/>
    </w:p>
    <w:p>
      <w:pPr>
        <w:pStyle w:val="Footnoteheading"/>
        <w:keepNext/>
      </w:pPr>
      <w:r>
        <w:tab/>
        <w:t>[Heading inserted: No. 40 of 2020 s. 101.]</w:t>
      </w:r>
    </w:p>
    <w:p>
      <w:pPr>
        <w:pStyle w:val="Heading4"/>
      </w:pPr>
      <w:bookmarkStart w:id="326" w:name="_Toc199512094"/>
      <w:r>
        <w:t>Subdivision 1 — General provision</w:t>
      </w:r>
      <w:bookmarkEnd w:id="326"/>
    </w:p>
    <w:p>
      <w:pPr>
        <w:pStyle w:val="Footnoteheading"/>
        <w:keepNext/>
      </w:pPr>
      <w:r>
        <w:tab/>
        <w:t>[Heading inserted: No. 40 of 2020 s. 101.]</w:t>
      </w:r>
    </w:p>
    <w:p>
      <w:pPr>
        <w:pStyle w:val="Heading5"/>
      </w:pPr>
      <w:bookmarkStart w:id="327" w:name="_Toc199512095"/>
      <w:r>
        <w:rPr>
          <w:rStyle w:val="CharSectno"/>
        </w:rPr>
        <w:t>133A</w:t>
      </w:r>
      <w:r>
        <w:t>.</w:t>
      </w:r>
      <w:r>
        <w:tab/>
        <w:t>Term used: amending Act</w:t>
      </w:r>
      <w:bookmarkEnd w:id="327"/>
    </w:p>
    <w:p>
      <w:pPr>
        <w:pStyle w:val="Subsection"/>
        <w:keepNext/>
      </w:pPr>
      <w:r>
        <w:tab/>
      </w:r>
      <w:r>
        <w:tab/>
        <w:t xml:space="preserve">In this Division — </w:t>
      </w:r>
    </w:p>
    <w:p>
      <w:pPr>
        <w:pStyle w:val="Defstart"/>
        <w:keepNext/>
        <w:rPr>
          <w:i/>
        </w:rPr>
      </w:pPr>
      <w:r>
        <w:tab/>
      </w:r>
      <w:r>
        <w:rPr>
          <w:rStyle w:val="CharDefText"/>
        </w:rPr>
        <w:t>amending Act</w:t>
      </w:r>
      <w:r>
        <w:t xml:space="preserve"> means the </w:t>
      </w:r>
      <w:r>
        <w:rPr>
          <w:i/>
        </w:rPr>
        <w:t>Environmental Protection Amendment Act 2020.</w:t>
      </w:r>
    </w:p>
    <w:p>
      <w:pPr>
        <w:pStyle w:val="Footnotesection"/>
      </w:pPr>
      <w:r>
        <w:tab/>
        <w:t>[Section 133A inserted: No. 40 of 2020 s. 101.]</w:t>
      </w:r>
    </w:p>
    <w:p>
      <w:pPr>
        <w:pStyle w:val="Heading4"/>
      </w:pPr>
      <w:bookmarkStart w:id="328" w:name="_Toc199512096"/>
      <w:r>
        <w:t>Subdivision 2 — Transitional provisions relating to clearing matters</w:t>
      </w:r>
      <w:bookmarkEnd w:id="328"/>
    </w:p>
    <w:p>
      <w:pPr>
        <w:pStyle w:val="Footnoteheading"/>
        <w:keepNext/>
      </w:pPr>
      <w:r>
        <w:tab/>
        <w:t>[Heading inserted: No. 40 of 2020 s. 101.]</w:t>
      </w:r>
    </w:p>
    <w:p>
      <w:pPr>
        <w:pStyle w:val="Heading5"/>
      </w:pPr>
      <w:bookmarkStart w:id="329" w:name="_Toc199512097"/>
      <w:r>
        <w:rPr>
          <w:rStyle w:val="CharSectno"/>
        </w:rPr>
        <w:t>133B</w:t>
      </w:r>
      <w:r>
        <w:t>.</w:t>
      </w:r>
      <w:r>
        <w:tab/>
        <w:t>Declaration of environmentally sensitive areas</w:t>
      </w:r>
      <w:bookmarkEnd w:id="329"/>
    </w:p>
    <w:p>
      <w:pPr>
        <w:pStyle w:val="Subsection"/>
        <w:keepNext/>
      </w:pPr>
      <w:r>
        <w:tab/>
        <w:t>(1)</w:t>
      </w:r>
      <w:r>
        <w:tab/>
        <w:t xml:space="preserve">In this section — </w:t>
      </w:r>
    </w:p>
    <w:p>
      <w:pPr>
        <w:pStyle w:val="Defstart"/>
      </w:pPr>
      <w:r>
        <w:tab/>
      </w:r>
      <w:r>
        <w:rPr>
          <w:rStyle w:val="CharDefText"/>
        </w:rPr>
        <w:t>former section</w:t>
      </w:r>
      <w:r>
        <w:t xml:space="preserve"> means section 51B of this Act as in force before the coming into operation of section 44 of the amending Act;</w:t>
      </w:r>
    </w:p>
    <w:p>
      <w:pPr>
        <w:pStyle w:val="Defstart"/>
      </w:pPr>
      <w:r>
        <w:tab/>
      </w:r>
      <w:r>
        <w:rPr>
          <w:rStyle w:val="CharDefText"/>
        </w:rPr>
        <w:t>new section</w:t>
      </w:r>
      <w:r>
        <w:t xml:space="preserve"> means section 51B as in force after the coming into operation of section 44 of the amending Act;</w:t>
      </w:r>
    </w:p>
    <w:p>
      <w:pPr>
        <w:pStyle w:val="Defstart"/>
      </w:pPr>
      <w:r>
        <w:tab/>
      </w:r>
      <w:r>
        <w:rPr>
          <w:rStyle w:val="CharDefText"/>
        </w:rPr>
        <w:t>regulations</w:t>
      </w:r>
      <w:r>
        <w:t xml:space="preserve"> means regulations made under the new section.</w:t>
      </w:r>
    </w:p>
    <w:p>
      <w:pPr>
        <w:pStyle w:val="Subsection"/>
        <w:keepNext/>
      </w:pPr>
      <w:r>
        <w:tab/>
        <w:t>(2)</w:t>
      </w:r>
      <w:r>
        <w:tab/>
        <w:t>Until regulations come into operation the declaration of an environmentally sensitive area by notice made under the former section continues to have effect as if it had been made by regulations.</w:t>
      </w:r>
    </w:p>
    <w:p>
      <w:pPr>
        <w:pStyle w:val="Footnotesection"/>
      </w:pPr>
      <w:r>
        <w:tab/>
        <w:t>[Section 133B inserted: No. 40 of 2020 s. 101.]</w:t>
      </w:r>
    </w:p>
    <w:p>
      <w:pPr>
        <w:pStyle w:val="Heading5"/>
      </w:pPr>
      <w:bookmarkStart w:id="330" w:name="_Toc199512098"/>
      <w:r>
        <w:rPr>
          <w:rStyle w:val="CharSectno"/>
        </w:rPr>
        <w:lastRenderedPageBreak/>
        <w:t>133C</w:t>
      </w:r>
      <w:r>
        <w:t>.</w:t>
      </w:r>
      <w:r>
        <w:tab/>
        <w:t>Clearing permit applications</w:t>
      </w:r>
      <w:bookmarkEnd w:id="330"/>
    </w:p>
    <w:p>
      <w:pPr>
        <w:pStyle w:val="Subsection"/>
        <w:keepNext/>
      </w:pPr>
      <w:r>
        <w:tab/>
        <w:t>(1)</w:t>
      </w:r>
      <w:r>
        <w:tab/>
        <w:t xml:space="preserve">In this section — </w:t>
      </w:r>
    </w:p>
    <w:p>
      <w:pPr>
        <w:pStyle w:val="Defstart"/>
      </w:pPr>
      <w:r>
        <w:tab/>
      </w:r>
      <w:r>
        <w:rPr>
          <w:rStyle w:val="CharDefText"/>
        </w:rPr>
        <w:t>commencement</w:t>
      </w:r>
      <w:r>
        <w:t xml:space="preserve"> means the coming into operation of section 45 of the amending Act;</w:t>
      </w:r>
    </w:p>
    <w:p>
      <w:pPr>
        <w:pStyle w:val="Defstart"/>
      </w:pPr>
      <w:r>
        <w:tab/>
      </w:r>
      <w:r>
        <w:rPr>
          <w:rStyle w:val="CharDefText"/>
        </w:rPr>
        <w:t>existing application</w:t>
      </w:r>
      <w:r>
        <w:t xml:space="preserve"> means an application for a clearing permit made under section 51E before the commencement that has neither been withdrawn nor dealt with under section 51E(3) or (5) before the commencement.</w:t>
      </w:r>
    </w:p>
    <w:p>
      <w:pPr>
        <w:pStyle w:val="Subsection"/>
      </w:pPr>
      <w:r>
        <w:tab/>
        <w:t>(2)</w:t>
      </w:r>
      <w:r>
        <w:tab/>
        <w:t xml:space="preserve">On and from the commencement an existing application is taken to have been the referral under and in accordance with section 51DA(2) (the </w:t>
      </w:r>
      <w:r>
        <w:rPr>
          <w:rStyle w:val="CharDefText"/>
        </w:rPr>
        <w:t>deemed referral</w:t>
      </w:r>
      <w:r>
        <w:t>) of a proposal for the clearing specified in the existing application.</w:t>
      </w:r>
    </w:p>
    <w:p>
      <w:pPr>
        <w:pStyle w:val="Subsection"/>
      </w:pPr>
      <w:r>
        <w:tab/>
        <w:t>(3)</w:t>
      </w:r>
      <w:r>
        <w:tab/>
        <w:t xml:space="preserve">If the CEO did not comply with section 51E(4)(c) in relation to an existing application before the commencement, section 51DA(3) to (6) apply to the deemed referral, and if the person who made the existing application — </w:t>
      </w:r>
    </w:p>
    <w:p>
      <w:pPr>
        <w:pStyle w:val="Indenta"/>
      </w:pPr>
      <w:r>
        <w:tab/>
        <w:t>(a)</w:t>
      </w:r>
      <w:r>
        <w:tab/>
        <w:t>receives notice under section 51DA(5) that the CEO has decided that a clearing permit is needed for the proposed clearing; or</w:t>
      </w:r>
    </w:p>
    <w:p>
      <w:pPr>
        <w:pStyle w:val="Indenta"/>
      </w:pPr>
      <w:r>
        <w:tab/>
        <w:t>(b)</w:t>
      </w:r>
      <w:r>
        <w:tab/>
        <w:t>does not receive any notice under section 51DA(5) within the period of 21 days beginning on the commencement,</w:t>
      </w:r>
    </w:p>
    <w:p>
      <w:pPr>
        <w:pStyle w:val="Subsection"/>
      </w:pPr>
      <w:r>
        <w:tab/>
      </w:r>
      <w:r>
        <w:tab/>
        <w:t>the person may, in writing, request the CEO to treat the deemed referral as an application for a clearing permit under section 51E(1).</w:t>
      </w:r>
    </w:p>
    <w:p>
      <w:pPr>
        <w:pStyle w:val="Subsection"/>
      </w:pPr>
      <w:r>
        <w:tab/>
        <w:t>(4)</w:t>
      </w:r>
      <w:r>
        <w:tab/>
        <w:t xml:space="preserve">If the CEO complied with section 51E(4)(c) in relation to an existing application before the commencement, the person who made the existing application is taken to have — </w:t>
      </w:r>
    </w:p>
    <w:p>
      <w:pPr>
        <w:pStyle w:val="Indenta"/>
      </w:pPr>
      <w:r>
        <w:tab/>
        <w:t>(a)</w:t>
      </w:r>
      <w:r>
        <w:tab/>
        <w:t>received notice under section 51DA(5) that the CEO has decided that a clearing permit is needed for a proposed clearing; and</w:t>
      </w:r>
    </w:p>
    <w:p>
      <w:pPr>
        <w:pStyle w:val="Indenta"/>
      </w:pPr>
      <w:r>
        <w:lastRenderedPageBreak/>
        <w:tab/>
        <w:t>(b)</w:t>
      </w:r>
      <w:r>
        <w:tab/>
        <w:t>requested the CEO under section 51DA(8) to treat the deemed referral as an application for a clearing permit under section 51E(1).</w:t>
      </w:r>
    </w:p>
    <w:p>
      <w:pPr>
        <w:pStyle w:val="Subsection"/>
        <w:keepNext/>
      </w:pPr>
      <w:r>
        <w:tab/>
        <w:t>(5)</w:t>
      </w:r>
      <w:r>
        <w:tab/>
        <w:t>If a request is made under subsection (3), or if subsection (4) applies, the deemed referral is to be treated as an application for a clearing permit under section 51E, and section 51DA(9) does not apply.</w:t>
      </w:r>
    </w:p>
    <w:p>
      <w:pPr>
        <w:pStyle w:val="Footnotesection"/>
      </w:pPr>
      <w:r>
        <w:tab/>
        <w:t>[Section 133C inserted: No. 40 of 2020 s. 101.]</w:t>
      </w:r>
    </w:p>
    <w:p>
      <w:pPr>
        <w:pStyle w:val="Heading5"/>
      </w:pPr>
      <w:bookmarkStart w:id="331" w:name="_Toc199512099"/>
      <w:r>
        <w:rPr>
          <w:rStyle w:val="CharSectno"/>
        </w:rPr>
        <w:t>133D</w:t>
      </w:r>
      <w:r>
        <w:t>.</w:t>
      </w:r>
      <w:r>
        <w:tab/>
        <w:t>Clearing injunctions</w:t>
      </w:r>
      <w:bookmarkEnd w:id="331"/>
    </w:p>
    <w:p>
      <w:pPr>
        <w:pStyle w:val="Subsection"/>
      </w:pPr>
      <w:r>
        <w:tab/>
        <w:t>(1)</w:t>
      </w:r>
      <w:r>
        <w:tab/>
        <w:t xml:space="preserve">In this section — </w:t>
      </w:r>
    </w:p>
    <w:p>
      <w:pPr>
        <w:pStyle w:val="Defstart"/>
      </w:pPr>
      <w:r>
        <w:tab/>
      </w:r>
      <w:r>
        <w:rPr>
          <w:rStyle w:val="CharDefText"/>
        </w:rPr>
        <w:t>clearing injunction</w:t>
      </w:r>
      <w:r>
        <w:t xml:space="preserve"> has the meaning given in section 51S(2) of this Act as in force before the commencement;</w:t>
      </w:r>
    </w:p>
    <w:p>
      <w:pPr>
        <w:pStyle w:val="Defstart"/>
      </w:pPr>
      <w:r>
        <w:tab/>
      </w:r>
      <w:r>
        <w:rPr>
          <w:rStyle w:val="CharDefText"/>
        </w:rPr>
        <w:t>commencement</w:t>
      </w:r>
      <w:r>
        <w:t xml:space="preserve"> means the coming into operation of sections 59 and 83 of the amending Act;</w:t>
      </w:r>
    </w:p>
    <w:p>
      <w:pPr>
        <w:pStyle w:val="Defstart"/>
      </w:pPr>
      <w:r>
        <w:tab/>
      </w:r>
      <w:r>
        <w:rPr>
          <w:rStyle w:val="CharDefText"/>
        </w:rPr>
        <w:t>conduct injunction</w:t>
      </w:r>
      <w:r>
        <w:t xml:space="preserve"> has the meaning given in section 99ZC(2);</w:t>
      </w:r>
    </w:p>
    <w:p>
      <w:pPr>
        <w:pStyle w:val="Defstart"/>
      </w:pPr>
      <w:r>
        <w:tab/>
      </w:r>
      <w:r>
        <w:rPr>
          <w:rStyle w:val="CharDefText"/>
        </w:rPr>
        <w:t>existing application</w:t>
      </w:r>
      <w:r>
        <w:t xml:space="preserve"> means an application for a clearing injunction made under section 51S of this Act as in force before the commencement that has neither been withdrawn nor finally determined before the commencement.</w:t>
      </w:r>
    </w:p>
    <w:p>
      <w:pPr>
        <w:pStyle w:val="Subsection"/>
      </w:pPr>
      <w:r>
        <w:tab/>
        <w:t>(2)</w:t>
      </w:r>
      <w:r>
        <w:tab/>
        <w:t>A clearing injunction in force immediately before the commencement has effect on and after the commencement as if it were a conduct injunction.</w:t>
      </w:r>
    </w:p>
    <w:p>
      <w:pPr>
        <w:pStyle w:val="Subsection"/>
        <w:keepNext/>
      </w:pPr>
      <w:r>
        <w:tab/>
        <w:t>(3)</w:t>
      </w:r>
      <w:r>
        <w:tab/>
        <w:t>An existing application has effect on and after the commencement as if it were an application for a conduct injunction made under section 99ZC(3).</w:t>
      </w:r>
    </w:p>
    <w:p>
      <w:pPr>
        <w:pStyle w:val="Footnotesection"/>
      </w:pPr>
      <w:r>
        <w:tab/>
        <w:t>[Section 133D inserted: No. 40 of 2020 s. 101.]</w:t>
      </w:r>
    </w:p>
    <w:p>
      <w:pPr>
        <w:pStyle w:val="Heading4"/>
      </w:pPr>
      <w:bookmarkStart w:id="332" w:name="_Toc199512100"/>
      <w:r>
        <w:lastRenderedPageBreak/>
        <w:t>Subdivision 3 — Transitional provisions relating to works approvals and licences</w:t>
      </w:r>
      <w:bookmarkEnd w:id="332"/>
    </w:p>
    <w:p>
      <w:pPr>
        <w:pStyle w:val="Footnoteheading"/>
        <w:keepNext/>
      </w:pPr>
      <w:r>
        <w:tab/>
        <w:t>[Heading inserted: No. 40 of 2020 s. 101.]</w:t>
      </w:r>
    </w:p>
    <w:p>
      <w:pPr>
        <w:pStyle w:val="Heading5"/>
      </w:pPr>
      <w:bookmarkStart w:id="333" w:name="_Toc199512101"/>
      <w:r>
        <w:rPr>
          <w:rStyle w:val="CharSectno"/>
        </w:rPr>
        <w:t>133E</w:t>
      </w:r>
      <w:r>
        <w:t>.</w:t>
      </w:r>
      <w:r>
        <w:tab/>
        <w:t>Terms used</w:t>
      </w:r>
      <w:bookmarkEnd w:id="333"/>
    </w:p>
    <w:p>
      <w:pPr>
        <w:pStyle w:val="Subsection"/>
      </w:pPr>
      <w:r>
        <w:tab/>
      </w:r>
      <w:r>
        <w:tab/>
        <w:t xml:space="preserve">In this Subdivision — </w:t>
      </w:r>
    </w:p>
    <w:p>
      <w:pPr>
        <w:pStyle w:val="Defstart"/>
      </w:pPr>
      <w:r>
        <w:tab/>
      </w:r>
      <w:r>
        <w:rPr>
          <w:rStyle w:val="CharDefText"/>
        </w:rPr>
        <w:t>commencement</w:t>
      </w:r>
      <w:r>
        <w:t xml:space="preserve"> means the coming into operation of section 60 of the amending Act;</w:t>
      </w:r>
    </w:p>
    <w:p>
      <w:pPr>
        <w:pStyle w:val="Defstart"/>
      </w:pPr>
      <w:r>
        <w:rPr>
          <w:b/>
          <w:i/>
        </w:rPr>
        <w:tab/>
      </w:r>
      <w:r>
        <w:rPr>
          <w:rStyle w:val="CharDefText"/>
        </w:rPr>
        <w:t>existing Act</w:t>
      </w:r>
      <w:r>
        <w:t xml:space="preserve"> means this Act as in force immediately before being amended by the amending Act;</w:t>
      </w:r>
    </w:p>
    <w:p>
      <w:pPr>
        <w:pStyle w:val="Defstart"/>
      </w:pPr>
      <w:r>
        <w:tab/>
      </w:r>
      <w:r>
        <w:rPr>
          <w:rStyle w:val="CharDefText"/>
        </w:rPr>
        <w:t>former provisions</w:t>
      </w:r>
      <w:r>
        <w:t xml:space="preserve"> means Part V Division 3 of this Act as in force before the commencement;</w:t>
      </w:r>
    </w:p>
    <w:p>
      <w:pPr>
        <w:pStyle w:val="Defstart"/>
      </w:pPr>
      <w:r>
        <w:tab/>
      </w:r>
      <w:r>
        <w:rPr>
          <w:rStyle w:val="CharDefText"/>
        </w:rPr>
        <w:t>new licence</w:t>
      </w:r>
      <w:r>
        <w:t xml:space="preserve"> means a licence granted under the new provisions;</w:t>
      </w:r>
    </w:p>
    <w:p>
      <w:pPr>
        <w:pStyle w:val="Defstart"/>
        <w:keepNext/>
      </w:pPr>
      <w:r>
        <w:tab/>
      </w:r>
      <w:r>
        <w:rPr>
          <w:rStyle w:val="CharDefText"/>
        </w:rPr>
        <w:t>new provisions</w:t>
      </w:r>
      <w:r>
        <w:t xml:space="preserve"> means Part V Division 3 as in force after the commencement.</w:t>
      </w:r>
    </w:p>
    <w:p>
      <w:pPr>
        <w:pStyle w:val="Footnotesection"/>
      </w:pPr>
      <w:r>
        <w:tab/>
        <w:t>[Section 133E inserted: No. 40 of 2020 s. 101.]</w:t>
      </w:r>
    </w:p>
    <w:p>
      <w:pPr>
        <w:pStyle w:val="Heading5"/>
      </w:pPr>
      <w:bookmarkStart w:id="334" w:name="_Toc199512102"/>
      <w:r>
        <w:rPr>
          <w:rStyle w:val="CharSectno"/>
        </w:rPr>
        <w:t>133F</w:t>
      </w:r>
      <w:r>
        <w:t>.</w:t>
      </w:r>
      <w:r>
        <w:tab/>
        <w:t>Works approvals</w:t>
      </w:r>
      <w:bookmarkEnd w:id="334"/>
    </w:p>
    <w:p>
      <w:pPr>
        <w:pStyle w:val="Subsection"/>
      </w:pPr>
      <w:r>
        <w:tab/>
        <w:t>(1)</w:t>
      </w:r>
      <w:r>
        <w:tab/>
        <w:t xml:space="preserve">Despite section 60 of the amending Act a works approval in effect under the former provisions immediately before the commencement (the </w:t>
      </w:r>
      <w:r>
        <w:rPr>
          <w:rStyle w:val="CharDefText"/>
        </w:rPr>
        <w:t>works approval</w:t>
      </w:r>
      <w:r>
        <w:t>) continues to have effect on and after the commencement.</w:t>
      </w:r>
    </w:p>
    <w:p>
      <w:pPr>
        <w:pStyle w:val="Subsection"/>
      </w:pPr>
      <w:r>
        <w:tab/>
        <w:t>(2)</w:t>
      </w:r>
      <w:r>
        <w:tab/>
        <w:t>The provisions of the existing Act are to be taken to continue in force to the extent necessary to give effect to subsection (1).</w:t>
      </w:r>
    </w:p>
    <w:p>
      <w:pPr>
        <w:pStyle w:val="Subsection"/>
      </w:pPr>
      <w:r>
        <w:tab/>
        <w:t>(3)</w:t>
      </w:r>
      <w:r>
        <w:tab/>
        <w:t>Subsection (1) has effect subject to subsection (4) and to the former provisions as continued in force by subsection (2).</w:t>
      </w:r>
    </w:p>
    <w:p>
      <w:pPr>
        <w:pStyle w:val="Subsection"/>
      </w:pPr>
      <w:r>
        <w:tab/>
        <w:t>(4)</w:t>
      </w:r>
      <w:r>
        <w:tab/>
        <w:t xml:space="preserve">The CEO may, by notice in writing to the occupier, amend the works approval so that it conforms with the new provisions and the form of licences issued under the new provisions and, from the service of that notice, the works approval as so amended is taken to be a new licence granted to the occupier in respect of </w:t>
      </w:r>
      <w:r>
        <w:lastRenderedPageBreak/>
        <w:t>the works specified in the works approval as so amended and has effect accordingly.</w:t>
      </w:r>
    </w:p>
    <w:p>
      <w:pPr>
        <w:pStyle w:val="Subsection"/>
        <w:keepNext/>
      </w:pPr>
      <w:r>
        <w:tab/>
        <w:t>(5)</w:t>
      </w:r>
      <w:r>
        <w:tab/>
        <w:t>Without limiting subsection (4), a works approval may be amended under that subsection to specify emissions authorised by the works approval.</w:t>
      </w:r>
    </w:p>
    <w:p>
      <w:pPr>
        <w:pStyle w:val="Footnotesection"/>
      </w:pPr>
      <w:r>
        <w:tab/>
        <w:t>[Section 133F inserted: No. 40 of 2020 s. 101.]</w:t>
      </w:r>
    </w:p>
    <w:p>
      <w:pPr>
        <w:pStyle w:val="Heading5"/>
      </w:pPr>
      <w:bookmarkStart w:id="335" w:name="_Toc199512103"/>
      <w:r>
        <w:rPr>
          <w:rStyle w:val="CharSectno"/>
        </w:rPr>
        <w:t>133G</w:t>
      </w:r>
      <w:r>
        <w:t>.</w:t>
      </w:r>
      <w:r>
        <w:tab/>
        <w:t>Licences</w:t>
      </w:r>
      <w:bookmarkEnd w:id="335"/>
    </w:p>
    <w:p>
      <w:pPr>
        <w:pStyle w:val="Subsection"/>
      </w:pPr>
      <w:r>
        <w:tab/>
        <w:t>(1)</w:t>
      </w:r>
      <w:r>
        <w:tab/>
        <w:t xml:space="preserve">Despite section 60 of the amending Act a licence in effect under the former provisions immediately before the commencement (the </w:t>
      </w:r>
      <w:r>
        <w:rPr>
          <w:rStyle w:val="CharDefText"/>
        </w:rPr>
        <w:t>licence</w:t>
      </w:r>
      <w:r>
        <w:t>) continues to have effect on and after the commencement.</w:t>
      </w:r>
    </w:p>
    <w:p>
      <w:pPr>
        <w:pStyle w:val="Subsection"/>
      </w:pPr>
      <w:r>
        <w:tab/>
        <w:t>(2)</w:t>
      </w:r>
      <w:r>
        <w:tab/>
        <w:t>The provisions of the existing Act are to be taken to continue in force to the extent necessary to give effect to subsection (1).</w:t>
      </w:r>
    </w:p>
    <w:p>
      <w:pPr>
        <w:pStyle w:val="Subsection"/>
      </w:pPr>
      <w:r>
        <w:tab/>
        <w:t>(3)</w:t>
      </w:r>
      <w:r>
        <w:tab/>
        <w:t>Subsection (1) has effect subject to subsection (4) and to the former provisions as continued in force by subsection (2).</w:t>
      </w:r>
    </w:p>
    <w:p>
      <w:pPr>
        <w:pStyle w:val="Subsection"/>
        <w:keepNext/>
      </w:pPr>
      <w:r>
        <w:tab/>
        <w:t>(4)</w:t>
      </w:r>
      <w:r>
        <w:tab/>
        <w:t>Despite subsection (1) the licence may be amended under Part V Division 3 Subdivisions 3 and 4 and, from the giving of notice of the amendment under section 58, the licence as so amended is taken to be a new licence granted to the occupier in respect of the prescribed activities specified in the conditions of the licence as so amended and has effect accordingly.</w:t>
      </w:r>
    </w:p>
    <w:p>
      <w:pPr>
        <w:pStyle w:val="Footnotesection"/>
      </w:pPr>
      <w:r>
        <w:tab/>
        <w:t>[Section 133G inserted: No. 40 of 2020 s. 101.]</w:t>
      </w:r>
    </w:p>
    <w:p>
      <w:pPr>
        <w:pStyle w:val="Heading5"/>
      </w:pPr>
      <w:bookmarkStart w:id="336" w:name="_Toc199512104"/>
      <w:r>
        <w:rPr>
          <w:rStyle w:val="CharSectno"/>
        </w:rPr>
        <w:t>133H</w:t>
      </w:r>
      <w:r>
        <w:t>.</w:t>
      </w:r>
      <w:r>
        <w:tab/>
        <w:t>Existing applications for works approvals or licences</w:t>
      </w:r>
      <w:bookmarkEnd w:id="336"/>
    </w:p>
    <w:p>
      <w:pPr>
        <w:pStyle w:val="Subsection"/>
        <w:keepNext/>
      </w:pPr>
      <w:r>
        <w:tab/>
        <w:t>(1)</w:t>
      </w:r>
      <w:r>
        <w:tab/>
        <w:t xml:space="preserve">In this section — </w:t>
      </w:r>
    </w:p>
    <w:p>
      <w:pPr>
        <w:pStyle w:val="Defstart"/>
      </w:pPr>
      <w:r>
        <w:tab/>
      </w:r>
      <w:r>
        <w:rPr>
          <w:rStyle w:val="CharDefText"/>
        </w:rPr>
        <w:t>existing application</w:t>
      </w:r>
      <w:r>
        <w:t xml:space="preserve"> means an application for a works approval or licence made under the former provisions that has neither been withdrawn nor finally determined before the commencement.</w:t>
      </w:r>
    </w:p>
    <w:p>
      <w:pPr>
        <w:pStyle w:val="Subsection"/>
        <w:keepNext/>
      </w:pPr>
      <w:r>
        <w:lastRenderedPageBreak/>
        <w:tab/>
        <w:t>(2)</w:t>
      </w:r>
      <w:r>
        <w:tab/>
        <w:t>An existing application has effect on and after the commencement as if it were an application for a new licence made under the new provisions.</w:t>
      </w:r>
    </w:p>
    <w:p>
      <w:pPr>
        <w:pStyle w:val="Footnotesection"/>
      </w:pPr>
      <w:r>
        <w:tab/>
        <w:t>[Section 133H inserted: No. 40 of 2020 s. 101.]</w:t>
      </w:r>
    </w:p>
    <w:p>
      <w:pPr>
        <w:pStyle w:val="Heading5"/>
      </w:pPr>
      <w:bookmarkStart w:id="337" w:name="_Toc199512105"/>
      <w:r>
        <w:rPr>
          <w:rStyle w:val="CharSectno"/>
        </w:rPr>
        <w:t>133I</w:t>
      </w:r>
      <w:r>
        <w:t>.</w:t>
      </w:r>
      <w:r>
        <w:tab/>
        <w:t>Existing applications as to existing works approvals</w:t>
      </w:r>
      <w:bookmarkEnd w:id="337"/>
    </w:p>
    <w:p>
      <w:pPr>
        <w:pStyle w:val="Subsection"/>
        <w:keepNext/>
      </w:pPr>
      <w:r>
        <w:tab/>
        <w:t>(1)</w:t>
      </w:r>
      <w:r>
        <w:tab/>
        <w:t xml:space="preserve">In this section — </w:t>
      </w:r>
    </w:p>
    <w:p>
      <w:pPr>
        <w:pStyle w:val="Defstart"/>
      </w:pPr>
      <w:r>
        <w:tab/>
      </w:r>
      <w:r>
        <w:rPr>
          <w:rStyle w:val="CharDefText"/>
        </w:rPr>
        <w:t>existing application</w:t>
      </w:r>
      <w:r>
        <w:t xml:space="preserve"> means an application for the amendment, surrender or transfer of a works approval (the </w:t>
      </w:r>
      <w:r>
        <w:rPr>
          <w:rStyle w:val="CharDefText"/>
        </w:rPr>
        <w:t>works approval</w:t>
      </w:r>
      <w:r>
        <w:t>) made under the former provisions that has neither been withdrawn nor finally determined before the commencement.</w:t>
      </w:r>
    </w:p>
    <w:p>
      <w:pPr>
        <w:pStyle w:val="Subsection"/>
      </w:pPr>
      <w:r>
        <w:tab/>
        <w:t>(2)</w:t>
      </w:r>
      <w:r>
        <w:tab/>
        <w:t>Without limiting section 133F(1) and (2), those provisions apply in relation to an existing application.</w:t>
      </w:r>
    </w:p>
    <w:p>
      <w:pPr>
        <w:pStyle w:val="Subsection"/>
        <w:keepNext/>
      </w:pPr>
      <w:r>
        <w:tab/>
        <w:t>(3)</w:t>
      </w:r>
      <w:r>
        <w:tab/>
        <w:t>If an existing application has neither been withdrawn nor finally determined before the time at which the works approval becomes a new licence under section 133F(4), the existing application has effect from that time as if it were an application under the new provisions for the amendment, surrender or transfer of the new licence as the case requires.</w:t>
      </w:r>
    </w:p>
    <w:p>
      <w:pPr>
        <w:pStyle w:val="Footnotesection"/>
      </w:pPr>
      <w:r>
        <w:tab/>
        <w:t>[Section 133I inserted: No. 40 of 2020 s. 101.]</w:t>
      </w:r>
    </w:p>
    <w:p>
      <w:pPr>
        <w:pStyle w:val="Heading5"/>
      </w:pPr>
      <w:bookmarkStart w:id="338" w:name="_Toc199512106"/>
      <w:r>
        <w:rPr>
          <w:rStyle w:val="CharSectno"/>
        </w:rPr>
        <w:t>133J</w:t>
      </w:r>
      <w:r>
        <w:t>.</w:t>
      </w:r>
      <w:r>
        <w:tab/>
        <w:t>Existing applications as to existing licences</w:t>
      </w:r>
      <w:bookmarkEnd w:id="338"/>
    </w:p>
    <w:p>
      <w:pPr>
        <w:pStyle w:val="Subsection"/>
        <w:keepNext/>
      </w:pPr>
      <w:r>
        <w:tab/>
        <w:t>(1)</w:t>
      </w:r>
      <w:r>
        <w:tab/>
        <w:t xml:space="preserve">In this section — </w:t>
      </w:r>
    </w:p>
    <w:p>
      <w:pPr>
        <w:pStyle w:val="Defstart"/>
      </w:pPr>
      <w:r>
        <w:tab/>
      </w:r>
      <w:r>
        <w:rPr>
          <w:rStyle w:val="CharDefText"/>
        </w:rPr>
        <w:t>existing application</w:t>
      </w:r>
      <w:r>
        <w:t xml:space="preserve"> means an application for the amendment, surrender or transfer of a licence (the </w:t>
      </w:r>
      <w:r>
        <w:rPr>
          <w:rStyle w:val="CharDefText"/>
        </w:rPr>
        <w:t>licence</w:t>
      </w:r>
      <w:r>
        <w:t>) made under the former provisions that has neither been withdrawn nor finally determined before the commencement.</w:t>
      </w:r>
    </w:p>
    <w:p>
      <w:pPr>
        <w:pStyle w:val="Subsection"/>
      </w:pPr>
      <w:r>
        <w:tab/>
        <w:t>(2)</w:t>
      </w:r>
      <w:r>
        <w:tab/>
        <w:t>Without limiting section 133G(1) and (2), those provisions apply in relation to an existing application.</w:t>
      </w:r>
    </w:p>
    <w:p>
      <w:pPr>
        <w:pStyle w:val="Subsection"/>
        <w:keepNext/>
      </w:pPr>
      <w:r>
        <w:tab/>
        <w:t>(3)</w:t>
      </w:r>
      <w:r>
        <w:tab/>
        <w:t xml:space="preserve">If an existing application has neither been withdrawn nor finally determined before the time at which the licence becomes a new licence under section 133G(4), the existing application has </w:t>
      </w:r>
      <w:r>
        <w:lastRenderedPageBreak/>
        <w:t>effect from that time as if it were an application under the new provisions for the amendment, surrender or transfer of the new licence as the case requires.</w:t>
      </w:r>
    </w:p>
    <w:p>
      <w:pPr>
        <w:pStyle w:val="Footnotesection"/>
      </w:pPr>
      <w:r>
        <w:tab/>
        <w:t>[Section 133J inserted: No. 40 of 2020 s. 101.]</w:t>
      </w:r>
    </w:p>
    <w:p>
      <w:pPr>
        <w:pStyle w:val="Heading5"/>
      </w:pPr>
      <w:bookmarkStart w:id="339" w:name="_Toc199512107"/>
      <w:r>
        <w:rPr>
          <w:rStyle w:val="CharSectno"/>
        </w:rPr>
        <w:t>133K</w:t>
      </w:r>
      <w:r>
        <w:t>.</w:t>
      </w:r>
      <w:r>
        <w:tab/>
        <w:t>Appeals in respect of refusal to grant works approvals and licences</w:t>
      </w:r>
      <w:bookmarkEnd w:id="339"/>
    </w:p>
    <w:p>
      <w:pPr>
        <w:pStyle w:val="Subsection"/>
        <w:keepNext/>
      </w:pPr>
      <w:r>
        <w:tab/>
        <w:t>(1)</w:t>
      </w:r>
      <w:r>
        <w:tab/>
        <w:t xml:space="preserve">In this section — </w:t>
      </w:r>
    </w:p>
    <w:p>
      <w:pPr>
        <w:pStyle w:val="Defstart"/>
      </w:pPr>
      <w:r>
        <w:tab/>
      </w:r>
      <w:r>
        <w:rPr>
          <w:rStyle w:val="CharDefText"/>
        </w:rPr>
        <w:t>pending appeal</w:t>
      </w:r>
      <w:r>
        <w:t xml:space="preserve"> means an appeal against the refusal of the CEO to grant a works approval or licence made under the former provisions that has neither been withdrawn nor finally determined before the commencement.</w:t>
      </w:r>
    </w:p>
    <w:p>
      <w:pPr>
        <w:pStyle w:val="Subsection"/>
      </w:pPr>
      <w:r>
        <w:tab/>
        <w:t>(2)</w:t>
      </w:r>
      <w:r>
        <w:tab/>
        <w:t>A decision made before the commencement to uphold an appeal against the refusal of the CEO to grant a works approval or licence under the former provisions is taken on and after the commencement to be a decision to uphold an appeal against the refusal of the CEO to grant a licence under the new provisions.</w:t>
      </w:r>
    </w:p>
    <w:p>
      <w:pPr>
        <w:pStyle w:val="Subsection"/>
      </w:pPr>
      <w:r>
        <w:tab/>
        <w:t>(3)</w:t>
      </w:r>
      <w:r>
        <w:tab/>
        <w:t xml:space="preserve">The provisions of the existing Act are to be taken to continue in force on and after the commencement to the extent necessary to enable — </w:t>
      </w:r>
    </w:p>
    <w:p>
      <w:pPr>
        <w:pStyle w:val="Indenta"/>
      </w:pPr>
      <w:r>
        <w:tab/>
        <w:t>(a)</w:t>
      </w:r>
      <w:r>
        <w:tab/>
        <w:t>any pending appeal to be withdrawn or finally determined; and</w:t>
      </w:r>
    </w:p>
    <w:p>
      <w:pPr>
        <w:pStyle w:val="Indenta"/>
      </w:pPr>
      <w:r>
        <w:tab/>
        <w:t>(b)</w:t>
      </w:r>
      <w:r>
        <w:tab/>
        <w:t>an appeal against the refusal of the CEO, before the commencement, to grant a works approval or licence under the former provisions to be lodged and dealt with.</w:t>
      </w:r>
    </w:p>
    <w:p>
      <w:pPr>
        <w:pStyle w:val="Subsection"/>
        <w:keepNext/>
      </w:pPr>
      <w:r>
        <w:tab/>
        <w:t>(4)</w:t>
      </w:r>
      <w:r>
        <w:tab/>
        <w:t>If under the provisions of the existing Act as continued in force by subsection (3) the Minister makes a decision to uphold an appeal against the refusal of the CEO to grant a works approval or licence under the former provisions, that decision is taken to be a decision to uphold an appeal against the refusal of the CEO to grant a licence under the new provisions.</w:t>
      </w:r>
    </w:p>
    <w:p>
      <w:pPr>
        <w:pStyle w:val="Footnotesection"/>
      </w:pPr>
      <w:r>
        <w:tab/>
        <w:t>[Section 133K inserted: No. 40 of 2020 s. 101.]</w:t>
      </w:r>
    </w:p>
    <w:p>
      <w:pPr>
        <w:pStyle w:val="Heading5"/>
      </w:pPr>
      <w:bookmarkStart w:id="340" w:name="_Toc199512108"/>
      <w:r>
        <w:rPr>
          <w:rStyle w:val="CharSectno"/>
        </w:rPr>
        <w:lastRenderedPageBreak/>
        <w:t>133L</w:t>
      </w:r>
      <w:r>
        <w:t>.</w:t>
      </w:r>
      <w:r>
        <w:tab/>
        <w:t>Other appeals in respect of works approvals and licences</w:t>
      </w:r>
      <w:bookmarkEnd w:id="340"/>
    </w:p>
    <w:p>
      <w:pPr>
        <w:pStyle w:val="Subsection"/>
        <w:keepNext/>
      </w:pPr>
      <w:r>
        <w:tab/>
        <w:t>(1)</w:t>
      </w:r>
      <w:r>
        <w:tab/>
        <w:t xml:space="preserve">In this section — </w:t>
      </w:r>
    </w:p>
    <w:p>
      <w:pPr>
        <w:pStyle w:val="Defstart"/>
      </w:pPr>
      <w:r>
        <w:tab/>
      </w:r>
      <w:r>
        <w:rPr>
          <w:rStyle w:val="CharDefText"/>
        </w:rPr>
        <w:t>pending appeal</w:t>
      </w:r>
      <w:r>
        <w:t xml:space="preserve"> means an appeal against a specified decision that has neither been withdrawn nor finally determined before the commencement;</w:t>
      </w:r>
    </w:p>
    <w:p>
      <w:pPr>
        <w:pStyle w:val="Defstart"/>
        <w:keepNext/>
      </w:pPr>
      <w:r>
        <w:tab/>
      </w:r>
      <w:r>
        <w:rPr>
          <w:rStyle w:val="CharDefText"/>
        </w:rPr>
        <w:t>specified decision</w:t>
      </w:r>
      <w:r>
        <w:t xml:space="preserve"> means a decision of the CEO under the former provisions — </w:t>
      </w:r>
    </w:p>
    <w:p>
      <w:pPr>
        <w:pStyle w:val="Defpara"/>
      </w:pPr>
      <w:r>
        <w:tab/>
        <w:t>(a)</w:t>
      </w:r>
      <w:r>
        <w:tab/>
        <w:t>to refuse to transfer a works approval or licence; or</w:t>
      </w:r>
    </w:p>
    <w:p>
      <w:pPr>
        <w:pStyle w:val="Defpara"/>
      </w:pPr>
      <w:r>
        <w:tab/>
        <w:t>(b)</w:t>
      </w:r>
      <w:r>
        <w:tab/>
        <w:t>to specify a condition in a works approval or licence; or</w:t>
      </w:r>
    </w:p>
    <w:p>
      <w:pPr>
        <w:pStyle w:val="Defpara"/>
      </w:pPr>
      <w:r>
        <w:tab/>
        <w:t>(c)</w:t>
      </w:r>
      <w:r>
        <w:tab/>
        <w:t>to amend, revoke or suspend a works approval or licence.</w:t>
      </w:r>
    </w:p>
    <w:p>
      <w:pPr>
        <w:pStyle w:val="Subsection"/>
        <w:keepNext/>
      </w:pPr>
      <w:r>
        <w:tab/>
        <w:t>(2)</w:t>
      </w:r>
      <w:r>
        <w:tab/>
        <w:t xml:space="preserve">The provisions of the existing Act are to be taken to continue in force on and after the commencement to the extent necessary to enable — </w:t>
      </w:r>
    </w:p>
    <w:p>
      <w:pPr>
        <w:pStyle w:val="Indenta"/>
        <w:keepNext/>
      </w:pPr>
      <w:r>
        <w:tab/>
        <w:t>(a)</w:t>
      </w:r>
      <w:r>
        <w:tab/>
        <w:t>any pending appeal to be withdrawn or finally determined; and</w:t>
      </w:r>
    </w:p>
    <w:p>
      <w:pPr>
        <w:pStyle w:val="Indenta"/>
      </w:pPr>
      <w:r>
        <w:tab/>
        <w:t>(b)</w:t>
      </w:r>
      <w:r>
        <w:tab/>
        <w:t>an appeal against a specified decision made before the commencement to be lodged and dealt with.</w:t>
      </w:r>
    </w:p>
    <w:p>
      <w:pPr>
        <w:pStyle w:val="Subsection"/>
      </w:pPr>
      <w:r>
        <w:tab/>
        <w:t>(3)</w:t>
      </w:r>
      <w:r>
        <w:tab/>
        <w:t>If under the provisions of the existing Act as continued in force by subsection (2) the Minister makes a decision as to an appeal, the provisions of the existing Act are to be taken to continue in force to the extent necessary to enable the CEO to do anything necessary to implement and give effect to the Minister’s decision.</w:t>
      </w:r>
    </w:p>
    <w:p>
      <w:pPr>
        <w:pStyle w:val="Subsection"/>
        <w:keepNext/>
      </w:pPr>
      <w:r>
        <w:tab/>
        <w:t>(4)</w:t>
      </w:r>
      <w:r>
        <w:tab/>
        <w:t xml:space="preserve">If — </w:t>
      </w:r>
    </w:p>
    <w:p>
      <w:pPr>
        <w:pStyle w:val="Indenta"/>
      </w:pPr>
      <w:r>
        <w:tab/>
        <w:t>(a)</w:t>
      </w:r>
      <w:r>
        <w:tab/>
        <w:t>under the provisions of the existing Act as continued in force by subsection (2) the Minister makes a decision to uphold an appeal against a specified decision relating to a works approval or licence; and</w:t>
      </w:r>
    </w:p>
    <w:p>
      <w:pPr>
        <w:pStyle w:val="Indenta"/>
        <w:keepNext/>
      </w:pPr>
      <w:r>
        <w:lastRenderedPageBreak/>
        <w:tab/>
        <w:t>(b)</w:t>
      </w:r>
      <w:r>
        <w:tab/>
        <w:t>under section 133F(4) or 133G(4) the works approval or licence is taken to be a new licence,</w:t>
      </w:r>
    </w:p>
    <w:p>
      <w:pPr>
        <w:pStyle w:val="Subsection"/>
        <w:keepNext/>
      </w:pPr>
      <w:r>
        <w:tab/>
      </w:r>
      <w:r>
        <w:tab/>
        <w:t>the decision on the appeal has effect, subject to any necessary modifications, in relation to the new licence.</w:t>
      </w:r>
    </w:p>
    <w:p>
      <w:pPr>
        <w:pStyle w:val="Footnotesection"/>
      </w:pPr>
      <w:r>
        <w:tab/>
        <w:t>[Section 133L inserted: No. 40 of 2020 s. 101.]</w:t>
      </w:r>
    </w:p>
    <w:p>
      <w:pPr>
        <w:pStyle w:val="Heading4"/>
      </w:pPr>
      <w:bookmarkStart w:id="341" w:name="_Toc199512109"/>
      <w:r>
        <w:t>Subdivision 4 — Other matters</w:t>
      </w:r>
      <w:bookmarkEnd w:id="341"/>
    </w:p>
    <w:p>
      <w:pPr>
        <w:pStyle w:val="Footnoteheading"/>
        <w:keepNext/>
      </w:pPr>
      <w:r>
        <w:tab/>
        <w:t>[Heading inserted: No. 40 of 2020 s. 101.]</w:t>
      </w:r>
    </w:p>
    <w:p>
      <w:pPr>
        <w:pStyle w:val="Heading5"/>
      </w:pPr>
      <w:bookmarkStart w:id="342" w:name="_Toc199512110"/>
      <w:r>
        <w:rPr>
          <w:rStyle w:val="CharSectno"/>
        </w:rPr>
        <w:t>133M</w:t>
      </w:r>
      <w:r>
        <w:t>.</w:t>
      </w:r>
      <w:r>
        <w:tab/>
        <w:t>Referred proposals</w:t>
      </w:r>
      <w:bookmarkEnd w:id="342"/>
    </w:p>
    <w:p>
      <w:pPr>
        <w:pStyle w:val="Subsection"/>
        <w:keepNext/>
      </w:pPr>
      <w:r>
        <w:tab/>
        <w:t>(1)</w:t>
      </w:r>
      <w:r>
        <w:tab/>
        <w:t xml:space="preserve">In subsection (2) — </w:t>
      </w:r>
    </w:p>
    <w:p>
      <w:pPr>
        <w:pStyle w:val="Defstart"/>
      </w:pPr>
      <w:r>
        <w:tab/>
      </w:r>
      <w:r>
        <w:rPr>
          <w:rStyle w:val="CharDefText"/>
        </w:rPr>
        <w:t>referral</w:t>
      </w:r>
      <w:r>
        <w:t xml:space="preserve"> means referral to the Authority under section 38.</w:t>
      </w:r>
    </w:p>
    <w:p>
      <w:pPr>
        <w:pStyle w:val="Subsection"/>
        <w:keepNext/>
      </w:pPr>
      <w:r>
        <w:tab/>
        <w:t>(2)</w:t>
      </w:r>
      <w:r>
        <w:tab/>
        <w:t xml:space="preserve">Each of the following is taken to be a referral of a significant amendment of an approved proposal — </w:t>
      </w:r>
    </w:p>
    <w:p>
      <w:pPr>
        <w:pStyle w:val="Indenta"/>
      </w:pPr>
      <w:r>
        <w:tab/>
        <w:t>(a)</w:t>
      </w:r>
      <w:r>
        <w:tab/>
        <w:t xml:space="preserve">the referral by the proponent, before the coming into operation of section 28 of the amending Act (the </w:t>
      </w:r>
      <w:r>
        <w:rPr>
          <w:rStyle w:val="CharDefText"/>
        </w:rPr>
        <w:t>commencement</w:t>
      </w:r>
      <w:r>
        <w:t>), of a revised proposal after the publication of a statement under section 45(5) of this Act as in force before the commencement in relation to a proposal;</w:t>
      </w:r>
    </w:p>
    <w:p>
      <w:pPr>
        <w:pStyle w:val="Indenta"/>
      </w:pPr>
      <w:r>
        <w:tab/>
        <w:t>(b)</w:t>
      </w:r>
      <w:r>
        <w:tab/>
        <w:t xml:space="preserve">the referral, before the coming into operation of section 31 of the amending Act (the </w:t>
      </w:r>
      <w:r>
        <w:rPr>
          <w:rStyle w:val="CharDefText"/>
        </w:rPr>
        <w:t>commencement</w:t>
      </w:r>
      <w:r>
        <w:t>), of a new proposal as required by section 46B(2) of this Act as in force before the commencement;</w:t>
      </w:r>
    </w:p>
    <w:p>
      <w:pPr>
        <w:pStyle w:val="Indenta"/>
      </w:pPr>
      <w:r>
        <w:tab/>
        <w:t>(c)</w:t>
      </w:r>
      <w:r>
        <w:tab/>
        <w:t>the referral by the proponent, after the coming into operation of section 28 of the amending Act, of a revised proposal in respect of a proposed change if, when it is dealt with in accordance with subsection (6), the proposed change is not approved.</w:t>
      </w:r>
    </w:p>
    <w:p>
      <w:pPr>
        <w:pStyle w:val="Subsection"/>
        <w:keepNext/>
      </w:pPr>
      <w:r>
        <w:tab/>
        <w:t>(3)</w:t>
      </w:r>
      <w:r>
        <w:tab/>
        <w:t xml:space="preserve">In subsection (4) — </w:t>
      </w:r>
    </w:p>
    <w:p>
      <w:pPr>
        <w:pStyle w:val="Defstart"/>
      </w:pPr>
      <w:r>
        <w:tab/>
      </w:r>
      <w:r>
        <w:rPr>
          <w:rStyle w:val="CharDefText"/>
        </w:rPr>
        <w:t>commencement</w:t>
      </w:r>
      <w:r>
        <w:t xml:space="preserve"> means the coming into operation of section 26 of the amending Act;</w:t>
      </w:r>
    </w:p>
    <w:p>
      <w:pPr>
        <w:pStyle w:val="Defstart"/>
      </w:pPr>
      <w:r>
        <w:lastRenderedPageBreak/>
        <w:tab/>
      </w:r>
      <w:r>
        <w:rPr>
          <w:rStyle w:val="CharDefText"/>
        </w:rPr>
        <w:t>proposed change</w:t>
      </w:r>
      <w:r>
        <w:t xml:space="preserve"> means a change to a proposal to which section 43A of this Act as in force before the commencement applied.</w:t>
      </w:r>
    </w:p>
    <w:p>
      <w:pPr>
        <w:pStyle w:val="Subsection"/>
      </w:pPr>
      <w:r>
        <w:tab/>
        <w:t>(4)</w:t>
      </w:r>
      <w:r>
        <w:tab/>
        <w:t>If at the commencement the Authority has yet to determine whether to consent to a proposed change, the proposed change is taken to have been requested under section 43A(1)(b).</w:t>
      </w:r>
    </w:p>
    <w:p>
      <w:pPr>
        <w:pStyle w:val="Subsection"/>
      </w:pPr>
      <w:r>
        <w:tab/>
        <w:t>(5)</w:t>
      </w:r>
      <w:r>
        <w:tab/>
        <w:t xml:space="preserve">In subsection (6) — </w:t>
      </w:r>
    </w:p>
    <w:p>
      <w:pPr>
        <w:pStyle w:val="Defstart"/>
        <w:keepNext/>
      </w:pPr>
      <w:r>
        <w:tab/>
      </w:r>
      <w:r>
        <w:rPr>
          <w:rStyle w:val="CharDefText"/>
        </w:rPr>
        <w:t>commencement</w:t>
      </w:r>
      <w:r>
        <w:t xml:space="preserve"> means the coming into operation of section 28 of the amending Act;</w:t>
      </w:r>
    </w:p>
    <w:p>
      <w:pPr>
        <w:pStyle w:val="Defstart"/>
      </w:pPr>
      <w:r>
        <w:tab/>
      </w:r>
      <w:r>
        <w:rPr>
          <w:rStyle w:val="CharDefText"/>
        </w:rPr>
        <w:t>proposed change</w:t>
      </w:r>
      <w:r>
        <w:t xml:space="preserve"> means a change to a proposal to which section 45C of this Act as in force before the commencement applied.</w:t>
      </w:r>
    </w:p>
    <w:p>
      <w:pPr>
        <w:pStyle w:val="Subsection"/>
      </w:pPr>
      <w:r>
        <w:tab/>
        <w:t>(6)</w:t>
      </w:r>
      <w:r>
        <w:tab/>
        <w:t>If at the commencement the Minister has yet to determine whether to approve of a proposed change, the proposed change must be dealt with as if section 45C of this Act as in force before commencement had not been repealed.</w:t>
      </w:r>
    </w:p>
    <w:p>
      <w:pPr>
        <w:pStyle w:val="Subsection"/>
        <w:keepNext/>
      </w:pPr>
      <w:r>
        <w:tab/>
        <w:t>(7)</w:t>
      </w:r>
      <w:r>
        <w:tab/>
        <w:t xml:space="preserve">In subsection (8) — </w:t>
      </w:r>
    </w:p>
    <w:p>
      <w:pPr>
        <w:pStyle w:val="Defstart"/>
      </w:pPr>
      <w:r>
        <w:tab/>
      </w:r>
      <w:r>
        <w:rPr>
          <w:rStyle w:val="CharDefText"/>
        </w:rPr>
        <w:t>commencement</w:t>
      </w:r>
      <w:r>
        <w:t xml:space="preserve"> means the coming into operation of section 16 of the amending Act;</w:t>
      </w:r>
    </w:p>
    <w:p>
      <w:pPr>
        <w:pStyle w:val="Defstart"/>
      </w:pPr>
      <w:r>
        <w:tab/>
      </w:r>
      <w:r>
        <w:rPr>
          <w:rStyle w:val="CharDefText"/>
        </w:rPr>
        <w:t>section 39</w:t>
      </w:r>
      <w:r>
        <w:t xml:space="preserve"> means section 39 of this Act as in force before the commencement.</w:t>
      </w:r>
    </w:p>
    <w:p>
      <w:pPr>
        <w:pStyle w:val="Subsection"/>
        <w:keepNext/>
      </w:pPr>
      <w:r>
        <w:tab/>
        <w:t>(8)</w:t>
      </w:r>
      <w:r>
        <w:tab/>
        <w:t>If a request made under section 39(2) has not been dealt with before the commencement, the request must be dealt with as if section 39(3) and (4) had not been repealed.</w:t>
      </w:r>
    </w:p>
    <w:p>
      <w:pPr>
        <w:pStyle w:val="Footnotesection"/>
      </w:pPr>
      <w:r>
        <w:tab/>
        <w:t>[Section 133M inserted: No. 40 of 2020 s. 101.]</w:t>
      </w:r>
    </w:p>
    <w:p>
      <w:pPr>
        <w:pStyle w:val="Heading5"/>
      </w:pPr>
      <w:bookmarkStart w:id="343" w:name="_Toc199512111"/>
      <w:r>
        <w:rPr>
          <w:rStyle w:val="CharSectno"/>
        </w:rPr>
        <w:t>133N</w:t>
      </w:r>
      <w:r>
        <w:t>.</w:t>
      </w:r>
      <w:r>
        <w:tab/>
        <w:t>Chair and Deputy Chair</w:t>
      </w:r>
      <w:bookmarkEnd w:id="343"/>
    </w:p>
    <w:p>
      <w:pPr>
        <w:pStyle w:val="Subsection"/>
        <w:keepNext/>
      </w:pPr>
      <w:r>
        <w:tab/>
        <w:t>(1)</w:t>
      </w:r>
      <w:r>
        <w:tab/>
        <w:t xml:space="preserve">In this section — </w:t>
      </w:r>
    </w:p>
    <w:p>
      <w:pPr>
        <w:pStyle w:val="Defstart"/>
      </w:pPr>
      <w:r>
        <w:tab/>
      </w:r>
      <w:r>
        <w:rPr>
          <w:rStyle w:val="CharDefText"/>
        </w:rPr>
        <w:t>commencement</w:t>
      </w:r>
      <w:r>
        <w:t xml:space="preserve"> means the coming into operation of section 6 of the amending Act.</w:t>
      </w:r>
    </w:p>
    <w:p>
      <w:pPr>
        <w:pStyle w:val="Subsection"/>
        <w:keepNext/>
      </w:pPr>
      <w:r>
        <w:lastRenderedPageBreak/>
        <w:tab/>
        <w:t>(2)</w:t>
      </w:r>
      <w:r>
        <w:tab/>
        <w:t xml:space="preserve">Subject to this Act — </w:t>
      </w:r>
    </w:p>
    <w:p>
      <w:pPr>
        <w:pStyle w:val="Indenta"/>
      </w:pPr>
      <w:r>
        <w:tab/>
        <w:t>(a)</w:t>
      </w:r>
      <w:r>
        <w:tab/>
        <w:t>a person holding office as Chairman of the Authority immediately before the commencement holds office after the commencement as Chair of the Authority; and</w:t>
      </w:r>
    </w:p>
    <w:p>
      <w:pPr>
        <w:pStyle w:val="Indenta"/>
        <w:keepNext/>
      </w:pPr>
      <w:r>
        <w:tab/>
        <w:t>(b)</w:t>
      </w:r>
      <w:r>
        <w:tab/>
        <w:t xml:space="preserve">a person holding office as Deputy Chairman of the Authority immediately before the commencement holds office after the commencement as Deputy Chair of the Authority. </w:t>
      </w:r>
    </w:p>
    <w:p>
      <w:pPr>
        <w:pStyle w:val="Footnotesection"/>
      </w:pPr>
      <w:r>
        <w:tab/>
        <w:t>[Section 133N inserted: No. 40 of 2020 s. 101.]</w:t>
      </w:r>
    </w:p>
    <w:p>
      <w:pPr>
        <w:pStyle w:val="Heading5"/>
      </w:pPr>
      <w:bookmarkStart w:id="344" w:name="_Toc199512112"/>
      <w:r>
        <w:rPr>
          <w:rStyle w:val="CharSectno"/>
        </w:rPr>
        <w:t>133O</w:t>
      </w:r>
      <w:r>
        <w:t>.</w:t>
      </w:r>
      <w:r>
        <w:tab/>
        <w:t>Transitional regulations</w:t>
      </w:r>
      <w:bookmarkEnd w:id="344"/>
    </w:p>
    <w:p>
      <w:pPr>
        <w:pStyle w:val="Subsection"/>
        <w:keepNext/>
      </w:pPr>
      <w:r>
        <w:tab/>
        <w:t>(1)</w:t>
      </w:r>
      <w:r>
        <w:tab/>
        <w:t>In this section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keepNext/>
      </w:pPr>
      <w:r>
        <w:tab/>
      </w:r>
      <w:r>
        <w:rPr>
          <w:rStyle w:val="CharDefText"/>
        </w:rPr>
        <w:t>transitional matter</w:t>
      </w:r>
      <w:r>
        <w:t xml:space="preserve"> — </w:t>
      </w:r>
    </w:p>
    <w:p>
      <w:pPr>
        <w:pStyle w:val="Defpara"/>
      </w:pPr>
      <w:r>
        <w:tab/>
        <w:t>(a)</w:t>
      </w:r>
      <w:r>
        <w:tab/>
        <w:t>means a matter that needs to be dealt with for the purpose of effecting the transition required because of the enactment of the amending Act; and</w:t>
      </w:r>
    </w:p>
    <w:p>
      <w:pPr>
        <w:pStyle w:val="Defpara"/>
      </w:pPr>
      <w:r>
        <w:tab/>
        <w:t>(b)</w:t>
      </w:r>
      <w:r>
        <w:tab/>
        <w:t>includes a saving or application matter.</w:t>
      </w:r>
    </w:p>
    <w:p>
      <w:pPr>
        <w:pStyle w:val="Subsection"/>
        <w:keepNext/>
      </w:pPr>
      <w:r>
        <w:tab/>
        <w:t>(2)</w:t>
      </w:r>
      <w:r>
        <w:tab/>
        <w:t xml:space="preserve">If there is no sufficient provision in this Division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keepNext/>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lastRenderedPageBreak/>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after a day that is earlier than publication day for those regulations but not earlier than the day on which the relevant provision of the amending Act came into operation, the regulations have effect according to their terms.</w:t>
      </w:r>
    </w:p>
    <w:p>
      <w:pPr>
        <w:pStyle w:val="Subsection"/>
        <w:keepNext/>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publication day for those regulations; or</w:t>
      </w:r>
    </w:p>
    <w:p>
      <w:pPr>
        <w:pStyle w:val="Indenta"/>
        <w:keepNext/>
      </w:pPr>
      <w:r>
        <w:tab/>
        <w:t>(b)</w:t>
      </w:r>
      <w:r>
        <w:tab/>
        <w:t>to impose liabilities on a person (other than the State or an authority of the State) in respect of an act done or omission made before publication day for those regulations.</w:t>
      </w:r>
    </w:p>
    <w:p>
      <w:pPr>
        <w:pStyle w:val="Footnotesection"/>
      </w:pPr>
      <w:r>
        <w:tab/>
        <w:t>[Section 133O inserted: No. 40 of 2020 s. 101.]</w:t>
      </w:r>
    </w:p>
    <w:p>
      <w:pPr>
        <w:pStyle w:val="Heading5"/>
      </w:pPr>
      <w:bookmarkStart w:id="345" w:name="_Toc199512113"/>
      <w:r>
        <w:rPr>
          <w:rStyle w:val="CharSectno"/>
        </w:rPr>
        <w:t>133P</w:t>
      </w:r>
      <w:r>
        <w:t>.</w:t>
      </w:r>
      <w:r>
        <w:tab/>
      </w:r>
      <w:r>
        <w:rPr>
          <w:i/>
        </w:rPr>
        <w:t xml:space="preserve">Interpretation Act 1984 </w:t>
      </w:r>
      <w:r>
        <w:t>not affected</w:t>
      </w:r>
      <w:bookmarkEnd w:id="345"/>
    </w:p>
    <w:p>
      <w:pPr>
        <w:pStyle w:val="Subsection"/>
        <w:keepNext/>
      </w:pPr>
      <w:r>
        <w:tab/>
      </w:r>
      <w:r>
        <w:tab/>
        <w:t xml:space="preserve">Except to the extent that this Division or regulations made under section 133O expressly provide differently, the </w:t>
      </w:r>
      <w:r>
        <w:rPr>
          <w:i/>
        </w:rPr>
        <w:t>Interpretation Act 1984</w:t>
      </w:r>
      <w:r>
        <w:t xml:space="preserve"> Part V applies in relation to the amendments effected by the amending Act.</w:t>
      </w:r>
    </w:p>
    <w:p>
      <w:pPr>
        <w:pStyle w:val="Footnotesection"/>
      </w:pPr>
      <w:r>
        <w:tab/>
        <w:t>[Section 133P inserted: No. 40 of 2020 s. 101.]</w:t>
      </w:r>
    </w:p>
    <w:p>
      <w:pPr>
        <w:pStyle w:val="Heading2"/>
      </w:pPr>
      <w:bookmarkStart w:id="346" w:name="_Toc199512114"/>
      <w:r>
        <w:rPr>
          <w:rStyle w:val="CharPartNo"/>
        </w:rPr>
        <w:lastRenderedPageBreak/>
        <w:t>Part X</w:t>
      </w:r>
      <w:r>
        <w:rPr>
          <w:rStyle w:val="CharDivNo"/>
          <w:snapToGrid/>
          <w:sz w:val="26"/>
        </w:rPr>
        <w:t> </w:t>
      </w:r>
      <w:r>
        <w:t>—</w:t>
      </w:r>
      <w:r>
        <w:rPr>
          <w:rStyle w:val="CharDivText"/>
          <w:snapToGrid/>
          <w:sz w:val="26"/>
        </w:rPr>
        <w:t> </w:t>
      </w:r>
      <w:r>
        <w:rPr>
          <w:rStyle w:val="CharPartText"/>
        </w:rPr>
        <w:t>Validation</w:t>
      </w:r>
      <w:bookmarkEnd w:id="346"/>
    </w:p>
    <w:p>
      <w:pPr>
        <w:pStyle w:val="Footnoteheading"/>
      </w:pPr>
      <w:r>
        <w:tab/>
        <w:t>[Heading inserted: No. 27 of 2014 s. 4.]</w:t>
      </w:r>
    </w:p>
    <w:p>
      <w:pPr>
        <w:pStyle w:val="Heading5"/>
      </w:pPr>
      <w:bookmarkStart w:id="347" w:name="_Toc199512115"/>
      <w:r>
        <w:rPr>
          <w:rStyle w:val="CharSectno"/>
        </w:rPr>
        <w:t>134</w:t>
      </w:r>
      <w:r>
        <w:t>.</w:t>
      </w:r>
      <w:r>
        <w:tab/>
        <w:t>Terms used</w:t>
      </w:r>
      <w:bookmarkEnd w:id="347"/>
    </w:p>
    <w:p>
      <w:pPr>
        <w:pStyle w:val="Subsection"/>
      </w:pPr>
      <w:r>
        <w:tab/>
        <w:t>(1)</w:t>
      </w:r>
      <w:r>
        <w:tab/>
        <w:t xml:space="preserve">In this Part — </w:t>
      </w:r>
    </w:p>
    <w:p>
      <w:pPr>
        <w:pStyle w:val="Defstart"/>
      </w:pPr>
      <w:r>
        <w:tab/>
      </w:r>
      <w:r>
        <w:rPr>
          <w:rStyle w:val="CharDefText"/>
        </w:rPr>
        <w:t>decision date</w:t>
      </w:r>
      <w:r>
        <w:t xml:space="preserve"> means 19 August 2013, which is the date on which the decision in </w:t>
      </w:r>
      <w:r>
        <w:rPr>
          <w:i/>
        </w:rPr>
        <w:t>The Wilderness Society v Minister for Environment</w:t>
      </w:r>
      <w:r>
        <w:t xml:space="preserve"> was delivered;</w:t>
      </w:r>
    </w:p>
    <w:p>
      <w:pPr>
        <w:pStyle w:val="Defstart"/>
      </w:pPr>
      <w:r>
        <w:tab/>
      </w:r>
      <w:r>
        <w:rPr>
          <w:rStyle w:val="CharDefText"/>
        </w:rPr>
        <w:t>ground of invalidity</w:t>
      </w:r>
      <w:r>
        <w:t xml:space="preserve"> means a ground of invalidity set out in section 135;</w:t>
      </w:r>
    </w:p>
    <w:p>
      <w:pPr>
        <w:pStyle w:val="Defstart"/>
      </w:pPr>
      <w:r>
        <w:tab/>
      </w:r>
      <w:r>
        <w:rPr>
          <w:rStyle w:val="CharDefText"/>
        </w:rPr>
        <w:t>The Wilderness Society v Minister for Environment</w:t>
      </w:r>
      <w:r>
        <w:t xml:space="preserve"> means the decision of the Supreme Court of Western Australia in </w:t>
      </w:r>
      <w:r>
        <w:rPr>
          <w:i/>
        </w:rPr>
        <w:t>The Wilderness Society of WA (Inc) v Minister for Environment</w:t>
      </w:r>
      <w:r>
        <w:t xml:space="preserve"> [2013] WASC 307.</w:t>
      </w:r>
    </w:p>
    <w:p>
      <w:pPr>
        <w:pStyle w:val="Subsection"/>
      </w:pPr>
      <w:r>
        <w:tab/>
        <w:t>(2)</w:t>
      </w:r>
      <w:r>
        <w:tab/>
        <w:t>In this Part, a reference to the doing of anything includes a reference to an omission to do anything.</w:t>
      </w:r>
    </w:p>
    <w:p>
      <w:pPr>
        <w:pStyle w:val="Footnotesection"/>
      </w:pPr>
      <w:r>
        <w:tab/>
        <w:t>[Section 134 inserted: No. 27 of 2014 s. 4.]</w:t>
      </w:r>
    </w:p>
    <w:p>
      <w:pPr>
        <w:pStyle w:val="Heading5"/>
      </w:pPr>
      <w:bookmarkStart w:id="348" w:name="_Toc199512116"/>
      <w:r>
        <w:rPr>
          <w:rStyle w:val="CharSectno"/>
        </w:rPr>
        <w:t>135</w:t>
      </w:r>
      <w:r>
        <w:t>.</w:t>
      </w:r>
      <w:r>
        <w:tab/>
        <w:t>Grounds of invalidity</w:t>
      </w:r>
      <w:bookmarkEnd w:id="348"/>
    </w:p>
    <w:p>
      <w:pPr>
        <w:pStyle w:val="Subsection"/>
      </w:pPr>
      <w:r>
        <w:tab/>
      </w:r>
      <w:r>
        <w:tab/>
        <w:t xml:space="preserve">These are the grounds of invalidity — </w:t>
      </w:r>
    </w:p>
    <w:p>
      <w:pPr>
        <w:pStyle w:val="Indenta"/>
      </w:pPr>
      <w:r>
        <w:tab/>
        <w:t>(a)</w:t>
      </w:r>
      <w:r>
        <w:tab/>
        <w:t xml:space="preserve">the participation (whether by taking part in the consideration or discussion of a matter, or voting on a matter or participating in any other way), in any purported proceedings of the Authority, by Authority members who were disqualified from participation because of — </w:t>
      </w:r>
    </w:p>
    <w:p>
      <w:pPr>
        <w:pStyle w:val="Indenti"/>
      </w:pPr>
      <w:r>
        <w:tab/>
        <w:t>(i)</w:t>
      </w:r>
      <w:r>
        <w:tab/>
        <w:t>their direct or indirect pecuniary interest in a matter, whether or not that interest was disclosed in accordance with section 12(1) or determined under section 12(3) and whether or not a decision was purportedly made under section 13 in relation to the interest; or</w:t>
      </w:r>
    </w:p>
    <w:p>
      <w:pPr>
        <w:pStyle w:val="Indenti"/>
        <w:keepNext/>
      </w:pPr>
      <w:r>
        <w:lastRenderedPageBreak/>
        <w:tab/>
        <w:t>(ii)</w:t>
      </w:r>
      <w:r>
        <w:tab/>
        <w:t>a reasonable apprehension of bias;</w:t>
      </w:r>
    </w:p>
    <w:p>
      <w:pPr>
        <w:pStyle w:val="Indenta"/>
      </w:pPr>
      <w:r>
        <w:tab/>
        <w:t>(b)</w:t>
      </w:r>
      <w:r>
        <w:tab/>
        <w:t>the lack of a quorum at a meeting purportedly held by the Authority, where the lack of a quorum resulted from Authority members being disqualified from participation in the circumstances set out in paragraph (a)(i) or (ii);</w:t>
      </w:r>
    </w:p>
    <w:p>
      <w:pPr>
        <w:pStyle w:val="Indenta"/>
      </w:pPr>
      <w:r>
        <w:tab/>
        <w:t>(c)</w:t>
      </w:r>
      <w:r>
        <w:tab/>
        <w:t xml:space="preserve">the failure of the Authority to decide a question at a meeting purportedly held by the Authority, where — </w:t>
      </w:r>
    </w:p>
    <w:p>
      <w:pPr>
        <w:pStyle w:val="Indenti"/>
      </w:pPr>
      <w:r>
        <w:tab/>
        <w:t>(i)</w:t>
      </w:r>
      <w:r>
        <w:tab/>
        <w:t>the failure resulted from non</w:t>
      </w:r>
      <w:r>
        <w:noBreakHyphen/>
        <w:t>compliance with the requirements of section 11(2)(e) for at least 3 Authority members to vote on the question or with any other requirement of section 11(2) with respect to voting; and</w:t>
      </w:r>
    </w:p>
    <w:p>
      <w:pPr>
        <w:pStyle w:val="Indenti"/>
      </w:pPr>
      <w:r>
        <w:tab/>
        <w:t>(ii)</w:t>
      </w:r>
      <w:r>
        <w:tab/>
        <w:t>that non</w:t>
      </w:r>
      <w:r>
        <w:noBreakHyphen/>
        <w:t>compliance resulted from Authority members being disqualified from participation in the circumstances set out in paragraph (a)(i) or (ii);</w:t>
      </w:r>
    </w:p>
    <w:p>
      <w:pPr>
        <w:pStyle w:val="Indenta"/>
      </w:pPr>
      <w:r>
        <w:tab/>
        <w:t>(d)</w:t>
      </w:r>
      <w:r>
        <w:tab/>
        <w:t xml:space="preserve">the purported exercise of a power or duty of the Authority under a delegation made under section 19, where — </w:t>
      </w:r>
    </w:p>
    <w:p>
      <w:pPr>
        <w:pStyle w:val="Indenti"/>
      </w:pPr>
      <w:r>
        <w:tab/>
        <w:t>(i)</w:t>
      </w:r>
      <w:r>
        <w:tab/>
        <w:t>the delegation was purportedly invoked in order to avoid the proceedings of the Authority being invalid on any of the grounds of invalidity set out in paragraphs (a) to (c); and</w:t>
      </w:r>
    </w:p>
    <w:p>
      <w:pPr>
        <w:pStyle w:val="Indenti"/>
      </w:pPr>
      <w:r>
        <w:tab/>
        <w:t>(ii)</w:t>
      </w:r>
      <w:r>
        <w:tab/>
        <w:t>the delegation could not be invoked in the circumstances in which it was purportedly invoked, or did not authorise the exercise of the power or duty in the circumstances in which they were purportedly exercised.</w:t>
      </w:r>
    </w:p>
    <w:p>
      <w:pPr>
        <w:pStyle w:val="Footnotesection"/>
      </w:pPr>
      <w:r>
        <w:tab/>
        <w:t>[Section 135 inserted: No. 27 of 2014 s. 4.]</w:t>
      </w:r>
    </w:p>
    <w:p>
      <w:pPr>
        <w:pStyle w:val="Heading5"/>
      </w:pPr>
      <w:bookmarkStart w:id="349" w:name="_Toc199512117"/>
      <w:r>
        <w:rPr>
          <w:rStyle w:val="CharSectno"/>
        </w:rPr>
        <w:t>136</w:t>
      </w:r>
      <w:r>
        <w:t>.</w:t>
      </w:r>
      <w:r>
        <w:tab/>
        <w:t>Certain proceedings of Environmental Protection Authority and other things validated</w:t>
      </w:r>
      <w:bookmarkEnd w:id="349"/>
    </w:p>
    <w:p>
      <w:pPr>
        <w:pStyle w:val="Subsection"/>
      </w:pPr>
      <w:r>
        <w:tab/>
        <w:t>(1)</w:t>
      </w:r>
      <w:r>
        <w:tab/>
        <w:t xml:space="preserve">This section applies to anything done, or purportedly done, by or on behalf of the Authority before the decision date that, if this </w:t>
      </w:r>
      <w:r>
        <w:lastRenderedPageBreak/>
        <w:t>section had not been enacted, is or may be invalid on a ground of invalidity.</w:t>
      </w:r>
    </w:p>
    <w:p>
      <w:pPr>
        <w:pStyle w:val="Subsection"/>
      </w:pPr>
      <w:r>
        <w:tab/>
        <w:t>(2)</w:t>
      </w:r>
      <w:r>
        <w:tab/>
        <w:t>The things to which this section applies are to be taken to be, and to have always been, valid and effective to the same extent as they would have been if they had not been invalidated by a ground of invalidity.</w:t>
      </w:r>
    </w:p>
    <w:p>
      <w:pPr>
        <w:pStyle w:val="Subsection"/>
      </w:pPr>
      <w:r>
        <w:tab/>
        <w:t>(3)</w:t>
      </w:r>
      <w:r>
        <w:tab/>
        <w:t>The rights, obligations and liabilities of all persons are to be taken to be, and to have always been, the same as if the things to which this section applies had been validly done.</w:t>
      </w:r>
    </w:p>
    <w:p>
      <w:pPr>
        <w:pStyle w:val="Subsection"/>
      </w:pPr>
      <w:r>
        <w:tab/>
        <w:t>(4)</w:t>
      </w:r>
      <w:r>
        <w:tab/>
        <w:t xml:space="preserve">Anything done, or purportedly done, before the </w:t>
      </w:r>
      <w:r>
        <w:rPr>
          <w:i/>
        </w:rPr>
        <w:t>Environmental Protection Amendment (Validation) Act 2014</w:t>
      </w:r>
      <w:r>
        <w:t xml:space="preserve"> section 4 comes into operation as a result or consequence of, or in reliance on or in relation to, a thing to which this section applies (a </w:t>
      </w:r>
      <w:r>
        <w:rPr>
          <w:rStyle w:val="CharDefText"/>
        </w:rPr>
        <w:t>validated thing</w:t>
      </w:r>
      <w:r>
        <w:t>) is as valid and effective, and is to be taken to have always been as valid and effective, as it would have been if the validated thing had been valid at the time the other thing was done or purportedly done.</w:t>
      </w:r>
    </w:p>
    <w:p>
      <w:pPr>
        <w:pStyle w:val="Subsection"/>
      </w:pPr>
      <w:r>
        <w:tab/>
        <w:t>(5)</w:t>
      </w:r>
      <w:r>
        <w:tab/>
        <w:t>This section is subject to section 137.</w:t>
      </w:r>
    </w:p>
    <w:p>
      <w:pPr>
        <w:pStyle w:val="Footnotesection"/>
      </w:pPr>
      <w:r>
        <w:tab/>
        <w:t>[Section 136 inserted: No. 27 of 2014 s. 4.]</w:t>
      </w:r>
    </w:p>
    <w:p>
      <w:pPr>
        <w:pStyle w:val="Heading5"/>
      </w:pPr>
      <w:bookmarkStart w:id="350" w:name="_Toc199512118"/>
      <w:r>
        <w:rPr>
          <w:rStyle w:val="CharSectno"/>
        </w:rPr>
        <w:t>137</w:t>
      </w:r>
      <w:r>
        <w:t>.</w:t>
      </w:r>
      <w:r>
        <w:tab/>
        <w:t>Exclusions from validation</w:t>
      </w:r>
      <w:bookmarkEnd w:id="350"/>
    </w:p>
    <w:p>
      <w:pPr>
        <w:pStyle w:val="Subsection"/>
      </w:pPr>
      <w:r>
        <w:tab/>
      </w:r>
      <w:r>
        <w:tab/>
        <w:t xml:space="preserve">Section 136 does not validate — </w:t>
      </w:r>
    </w:p>
    <w:p>
      <w:pPr>
        <w:pStyle w:val="Indenta"/>
      </w:pPr>
      <w:r>
        <w:tab/>
        <w:t>(a)</w:t>
      </w:r>
      <w:r>
        <w:tab/>
        <w:t xml:space="preserve">any of the following things that were held to be invalid by the Supreme Court of Western Australia in </w:t>
      </w:r>
      <w:r>
        <w:rPr>
          <w:i/>
        </w:rPr>
        <w:t>The Wilderness Society v Minister for Environment</w:t>
      </w:r>
      <w:r>
        <w:t xml:space="preserve"> — </w:t>
      </w:r>
    </w:p>
    <w:p>
      <w:pPr>
        <w:pStyle w:val="Indenti"/>
      </w:pPr>
      <w:r>
        <w:tab/>
        <w:t>(i)</w:t>
      </w:r>
      <w:r>
        <w:tab/>
        <w:t>the report and recommendations of the Environmental Protection Authority on the Browse Liquefied Natural Gas Precinct strategic proposal (Report 1444, July 2012);</w:t>
      </w:r>
    </w:p>
    <w:p>
      <w:pPr>
        <w:pStyle w:val="Indenti"/>
      </w:pPr>
      <w:r>
        <w:tab/>
        <w:t>(ii)</w:t>
      </w:r>
      <w:r>
        <w:tab/>
        <w:t xml:space="preserve">the statement of the Minister for Environment, published on 19 November 2012, that, in the event of a declaration by the Environmental Protection Authority pursuant to section 39B of </w:t>
      </w:r>
      <w:r>
        <w:lastRenderedPageBreak/>
        <w:t xml:space="preserve">the </w:t>
      </w:r>
      <w:r>
        <w:rPr>
          <w:i/>
        </w:rPr>
        <w:t>Environmental Protection Act 1986</w:t>
      </w:r>
      <w:r>
        <w:t xml:space="preserve"> that it is a derived proposal, a proposal to do one or more of the Developments, Activities, Operations or Changes in Land Use listed in Column 2 of Table 1 in Schedule 1 of the statement, and which was identified in the Strategic Proposal to which Report 1444 relates, may be implemented (Ministerial Statement No. 917);</w:t>
      </w:r>
    </w:p>
    <w:p>
      <w:pPr>
        <w:pStyle w:val="Indenti"/>
      </w:pPr>
      <w:r>
        <w:tab/>
        <w:t>(iii)</w:t>
      </w:r>
      <w:r>
        <w:tab/>
        <w:t>the declaration made by the Environmental Protection Authority on 17 December 2012 that the proposal by Woodside Energy Ltd for the Browse LNG Downstream Development 25 Mtpa is a derived proposal identified in the Browse LNG Precinct strategic proposal, James Price Point, Shire of Broome;</w:t>
      </w:r>
    </w:p>
    <w:p>
      <w:pPr>
        <w:pStyle w:val="Indenta"/>
      </w:pPr>
      <w:r>
        <w:tab/>
        <w:t>(b)</w:t>
      </w:r>
      <w:r>
        <w:tab/>
        <w:t>anything that is invalid as a consequence of the invalidity of the things listed in paragraph (a).</w:t>
      </w:r>
    </w:p>
    <w:p>
      <w:pPr>
        <w:pStyle w:val="Footnotesection"/>
      </w:pPr>
      <w:r>
        <w:tab/>
        <w:t>[Section 137 inserted: No. 27 of 2014 s. 4.]</w:t>
      </w:r>
    </w:p>
    <w:p>
      <w:pPr>
        <w:rPr>
          <w:rStyle w:val="CharDivText"/>
        </w:rPr>
      </w:pPr>
    </w:p>
    <w:p>
      <w:pPr>
        <w:rPr>
          <w:rStyle w:val="CharDivText"/>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351" w:name="_Toc199512119"/>
      <w:r>
        <w:rPr>
          <w:rStyle w:val="CharSchNo"/>
        </w:rPr>
        <w:lastRenderedPageBreak/>
        <w:t>Schedule 1</w:t>
      </w:r>
      <w:r>
        <w:t> — </w:t>
      </w:r>
      <w:r>
        <w:rPr>
          <w:rStyle w:val="CharSchText"/>
        </w:rPr>
        <w:t>Penalties</w:t>
      </w:r>
      <w:bookmarkEnd w:id="351"/>
    </w:p>
    <w:p>
      <w:pPr>
        <w:pStyle w:val="yShoulderClause"/>
      </w:pPr>
      <w:r>
        <w:t>[s. 99Q and 99R]</w:t>
      </w:r>
    </w:p>
    <w:p>
      <w:pPr>
        <w:pStyle w:val="yFootnoteheading"/>
      </w:pPr>
      <w:r>
        <w:tab/>
        <w:t>[Heading inserted: No. 14 of 1988 s. 18; amended: No. 19 of 2010 s. 4.]</w:t>
      </w:r>
    </w:p>
    <w:p>
      <w:pPr>
        <w:pStyle w:val="yHeading3"/>
      </w:pPr>
      <w:bookmarkStart w:id="352" w:name="_Toc199512120"/>
      <w:r>
        <w:rPr>
          <w:rStyle w:val="CharSDivNo"/>
          <w:sz w:val="28"/>
        </w:rPr>
        <w:t>Part 1</w:t>
      </w:r>
      <w:r>
        <w:t> — </w:t>
      </w:r>
      <w:r>
        <w:rPr>
          <w:rStyle w:val="CharSDivText"/>
          <w:sz w:val="28"/>
        </w:rPr>
        <w:t>Tier 1 offences and penalties</w:t>
      </w:r>
      <w:bookmarkEnd w:id="352"/>
    </w:p>
    <w:p>
      <w:pPr>
        <w:pStyle w:val="yFootnotesection"/>
      </w:pPr>
      <w:r>
        <w:tab/>
        <w:t>[Heading inserted: No. 14 of 1988 s. 18.]</w:t>
      </w:r>
    </w:p>
    <w:p>
      <w:pPr>
        <w:pStyle w:val="yHeading4"/>
        <w:rPr>
          <w:sz w:val="24"/>
          <w:szCs w:val="24"/>
        </w:rPr>
      </w:pPr>
      <w:bookmarkStart w:id="353" w:name="_Toc199512121"/>
      <w:r>
        <w:rPr>
          <w:sz w:val="24"/>
          <w:szCs w:val="24"/>
        </w:rPr>
        <w:t>Division 1 — Individuals</w:t>
      </w:r>
      <w:bookmarkEnd w:id="353"/>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2</w:t>
            </w:r>
          </w:p>
        </w:tc>
        <w:tc>
          <w:tcPr>
            <w:tcW w:w="1419" w:type="dxa"/>
          </w:tcPr>
          <w:p>
            <w:pPr>
              <w:pStyle w:val="yTableNAm"/>
              <w:spacing w:before="100"/>
            </w:pPr>
            <w:r>
              <w:t xml:space="preserve">47(1) </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2A</w:t>
            </w:r>
          </w:p>
        </w:tc>
        <w:tc>
          <w:tcPr>
            <w:tcW w:w="1419" w:type="dxa"/>
          </w:tcPr>
          <w:p>
            <w:pPr>
              <w:pStyle w:val="yTableNAm"/>
              <w:spacing w:before="100"/>
            </w:pPr>
            <w:r>
              <w:t>47(5)</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3</w:t>
            </w:r>
          </w:p>
        </w:tc>
        <w:tc>
          <w:tcPr>
            <w:tcW w:w="1419" w:type="dxa"/>
          </w:tcPr>
          <w:p>
            <w:pPr>
              <w:pStyle w:val="yTableNAm"/>
              <w:spacing w:before="100"/>
            </w:pPr>
            <w:r>
              <w:rPr>
                <w:szCs w:val="22"/>
              </w:rPr>
              <w:t>48(9)</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pPr>
            <w: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lastRenderedPageBreak/>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 No. 14 of 1998 s. 18; amended: No. 54 of 2003 s. 25(1), 66(1) and (2) and 115(1); No. 40 of 2020 s. 102.]</w:t>
      </w:r>
    </w:p>
    <w:p>
      <w:pPr>
        <w:pStyle w:val="yHeading4"/>
        <w:rPr>
          <w:sz w:val="24"/>
          <w:szCs w:val="24"/>
        </w:rPr>
      </w:pPr>
      <w:bookmarkStart w:id="354" w:name="_Toc199512122"/>
      <w:r>
        <w:rPr>
          <w:sz w:val="24"/>
          <w:szCs w:val="24"/>
        </w:rPr>
        <w:t>Division 2 — Bodies corporate</w:t>
      </w:r>
      <w:bookmarkEnd w:id="354"/>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2</w:t>
            </w:r>
          </w:p>
        </w:tc>
        <w:tc>
          <w:tcPr>
            <w:tcW w:w="1419" w:type="dxa"/>
          </w:tcPr>
          <w:p>
            <w:pPr>
              <w:pStyle w:val="yTableNAm"/>
              <w:spacing w:before="100"/>
            </w:pPr>
            <w:r>
              <w:t xml:space="preserve">47(1) </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2A</w:t>
            </w:r>
          </w:p>
        </w:tc>
        <w:tc>
          <w:tcPr>
            <w:tcW w:w="1419" w:type="dxa"/>
          </w:tcPr>
          <w:p>
            <w:pPr>
              <w:pStyle w:val="yTableNAm"/>
              <w:spacing w:before="100"/>
            </w:pPr>
            <w:r>
              <w:t>47(5)</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3</w:t>
            </w:r>
          </w:p>
        </w:tc>
        <w:tc>
          <w:tcPr>
            <w:tcW w:w="1419" w:type="dxa"/>
          </w:tcPr>
          <w:p>
            <w:pPr>
              <w:pStyle w:val="yTableNAm"/>
              <w:spacing w:before="100"/>
            </w:pPr>
            <w:r>
              <w:rPr>
                <w:szCs w:val="22"/>
              </w:rPr>
              <w:t>48(9)</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lastRenderedPageBreak/>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tab/>
        <w:t>[Division 2 inserted: No. 14 of 1998 s. 18; amended: No. 54 of 2003 s. 25(1), 66(3) and (4) and 115(2); No. 40 of 2020 s. 103.]</w:t>
      </w:r>
    </w:p>
    <w:p>
      <w:pPr>
        <w:pStyle w:val="yHeading3"/>
        <w:rPr>
          <w:sz w:val="28"/>
          <w:szCs w:val="28"/>
        </w:rPr>
      </w:pPr>
      <w:bookmarkStart w:id="355" w:name="_Toc199512123"/>
      <w:r>
        <w:rPr>
          <w:rStyle w:val="CharSDivNo"/>
          <w:sz w:val="28"/>
          <w:szCs w:val="28"/>
        </w:rPr>
        <w:t>Part 2</w:t>
      </w:r>
      <w:r>
        <w:rPr>
          <w:sz w:val="28"/>
          <w:szCs w:val="28"/>
        </w:rPr>
        <w:t> — </w:t>
      </w:r>
      <w:r>
        <w:rPr>
          <w:rStyle w:val="CharSDivText"/>
          <w:sz w:val="28"/>
          <w:szCs w:val="28"/>
        </w:rPr>
        <w:t>Tier 2 offences and penalties</w:t>
      </w:r>
      <w:bookmarkEnd w:id="355"/>
    </w:p>
    <w:p>
      <w:pPr>
        <w:pStyle w:val="yFootnotesection"/>
        <w:spacing w:after="60"/>
      </w:pPr>
      <w:r>
        <w:tab/>
        <w:t>[Heading inserted: No. 14 of 1988 s. 18.]</w:t>
      </w:r>
    </w:p>
    <w:p>
      <w:pPr>
        <w:pStyle w:val="yHeading4"/>
        <w:rPr>
          <w:sz w:val="24"/>
          <w:szCs w:val="24"/>
        </w:rPr>
      </w:pPr>
      <w:bookmarkStart w:id="356" w:name="_Toc199512124"/>
      <w:r>
        <w:rPr>
          <w:sz w:val="24"/>
          <w:szCs w:val="24"/>
        </w:rPr>
        <w:t>Division 1 — Individuals</w:t>
      </w:r>
      <w:bookmarkEnd w:id="356"/>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lastRenderedPageBreak/>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 No. 14 of 1998 s. 18; amended: No. 54 of 2003 s. 25(2), 66(5)</w:t>
      </w:r>
      <w:r>
        <w:noBreakHyphen/>
        <w:t>(7), 85(1), (2) and (5), 88(1), 115(3) and 132(2); No. 48 of 2010 s. 11(1).]</w:t>
      </w:r>
    </w:p>
    <w:p>
      <w:pPr>
        <w:pStyle w:val="yHeading4"/>
        <w:rPr>
          <w:sz w:val="24"/>
          <w:szCs w:val="24"/>
        </w:rPr>
      </w:pPr>
      <w:bookmarkStart w:id="357" w:name="_Toc199512125"/>
      <w:r>
        <w:rPr>
          <w:sz w:val="24"/>
          <w:szCs w:val="24"/>
        </w:rPr>
        <w:t>Division 2 — Bodies corporate</w:t>
      </w:r>
      <w:bookmarkEnd w:id="357"/>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lastRenderedPageBreak/>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 No. 14 of 1998 s. 18; amended: No. 54 of 2003 s. 25(3), 66(8) and (9), 85(3)</w:t>
      </w:r>
      <w:r>
        <w:noBreakHyphen/>
        <w:t>(5), 88(2), 115(4) and 132(3); No. 48 of 2010 s. 11(2).]</w:t>
      </w:r>
    </w:p>
    <w:p>
      <w:pPr>
        <w:pStyle w:val="yHeading4"/>
        <w:rPr>
          <w:sz w:val="24"/>
          <w:szCs w:val="24"/>
        </w:rPr>
      </w:pPr>
      <w:bookmarkStart w:id="358" w:name="_Toc199512126"/>
      <w:r>
        <w:rPr>
          <w:sz w:val="24"/>
          <w:szCs w:val="24"/>
        </w:rPr>
        <w:t>Division 3 — Individuals and bodies corporate</w:t>
      </w:r>
      <w:bookmarkEnd w:id="358"/>
    </w:p>
    <w:p>
      <w:pPr>
        <w:pStyle w:val="yFootnotesection"/>
        <w:spacing w:after="60"/>
      </w:pPr>
      <w:r>
        <w:tab/>
        <w:t>[Heading inserted: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rPr>
                <w:szCs w:val="22"/>
              </w:rPr>
              <w:t>47(4)</w:t>
            </w:r>
          </w:p>
        </w:tc>
        <w:tc>
          <w:tcPr>
            <w:tcW w:w="2650" w:type="dxa"/>
          </w:tcPr>
          <w:p>
            <w:pPr>
              <w:pStyle w:val="yTableNAm"/>
              <w:spacing w:before="100"/>
            </w:pPr>
            <w:r>
              <w:t>$50 000</w:t>
            </w:r>
          </w:p>
        </w:tc>
        <w:tc>
          <w:tcPr>
            <w:tcW w:w="1701" w:type="dxa"/>
          </w:tcPr>
          <w:p>
            <w:pPr>
              <w:pStyle w:val="yTableNAm"/>
              <w:spacing w:before="100"/>
            </w:pPr>
            <w:r>
              <w:t>Nil</w:t>
            </w:r>
          </w:p>
        </w:tc>
      </w:tr>
      <w:tr>
        <w:tc>
          <w:tcPr>
            <w:tcW w:w="7088" w:type="dxa"/>
            <w:gridSpan w:val="4"/>
          </w:tcPr>
          <w:p>
            <w:pPr>
              <w:pStyle w:val="yEdnoteitem"/>
              <w:tabs>
                <w:tab w:val="clear" w:pos="2765"/>
                <w:tab w:val="right" w:pos="1136"/>
              </w:tabs>
            </w:pPr>
            <w:r>
              <w:t>[2</w:t>
            </w:r>
            <w:r>
              <w:tab/>
              <w:t>deleted]</w:t>
            </w:r>
          </w:p>
        </w:tc>
      </w:tr>
      <w:tr>
        <w:tc>
          <w:tcPr>
            <w:tcW w:w="1418" w:type="dxa"/>
          </w:tcPr>
          <w:p>
            <w:pPr>
              <w:pStyle w:val="yTableNAm"/>
              <w:spacing w:before="100"/>
            </w:pPr>
            <w:r>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lastRenderedPageBreak/>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rPr>
                <w:szCs w:val="22"/>
              </w:rPr>
              <w:t>90(6)</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rPr>
                <w:szCs w:val="22"/>
              </w:rPr>
              <w:t>$100 000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rPr>
                <w:szCs w:val="22"/>
              </w:rPr>
              <w:t>$100 000</w:t>
            </w:r>
          </w:p>
        </w:tc>
        <w:tc>
          <w:tcPr>
            <w:tcW w:w="1701" w:type="dxa"/>
          </w:tcPr>
          <w:p>
            <w:pPr>
              <w:pStyle w:val="yTableNAm"/>
              <w:keepNext/>
              <w:keepLines/>
              <w:spacing w:before="100"/>
            </w:pPr>
            <w:r>
              <w:t>Nil</w:t>
            </w:r>
          </w:p>
        </w:tc>
      </w:tr>
    </w:tbl>
    <w:p>
      <w:pPr>
        <w:pStyle w:val="yFootnotesection"/>
      </w:pPr>
      <w:r>
        <w:tab/>
        <w:t>[Division 3 inserted: No. 14 of 1998 s. 18; amended: No. 54 of 2003 s. 85(6); No. 40 of 2020 s. 106(1), (2) and (4)-(6).]</w:t>
      </w:r>
    </w:p>
    <w:p>
      <w:pPr>
        <w:pStyle w:val="yHeading3"/>
        <w:rPr>
          <w:sz w:val="28"/>
          <w:szCs w:val="28"/>
        </w:rPr>
      </w:pPr>
      <w:bookmarkStart w:id="359" w:name="_Toc199512127"/>
      <w:r>
        <w:rPr>
          <w:rStyle w:val="CharSDivNo"/>
          <w:sz w:val="28"/>
          <w:szCs w:val="28"/>
        </w:rPr>
        <w:lastRenderedPageBreak/>
        <w:t>Part 3</w:t>
      </w:r>
      <w:r>
        <w:rPr>
          <w:sz w:val="28"/>
          <w:szCs w:val="28"/>
        </w:rPr>
        <w:t> — </w:t>
      </w:r>
      <w:r>
        <w:rPr>
          <w:rStyle w:val="CharSDivText"/>
          <w:sz w:val="28"/>
          <w:szCs w:val="28"/>
        </w:rPr>
        <w:t>Tier 3 offences and penalties</w:t>
      </w:r>
      <w:bookmarkEnd w:id="359"/>
    </w:p>
    <w:p>
      <w:pPr>
        <w:pStyle w:val="yFootnotesection"/>
        <w:keepNext/>
        <w:spacing w:after="60"/>
      </w:pPr>
      <w:r>
        <w:tab/>
        <w:t>[Heading inserted: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9A</w:t>
            </w:r>
          </w:p>
        </w:tc>
        <w:tc>
          <w:tcPr>
            <w:tcW w:w="1319" w:type="dxa"/>
          </w:tcPr>
          <w:p>
            <w:pPr>
              <w:pStyle w:val="yTableNAm"/>
            </w:pPr>
            <w:r>
              <w:t>90(6)</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 No. 14 of 1998 s. 18; amended: No. 48 of 2010 s. 11(3); No. 40 of 2020 s. 107.]</w:t>
      </w:r>
    </w:p>
    <w:p>
      <w:pPr>
        <w:pStyle w:val="yScheduleHeading"/>
      </w:pPr>
      <w:bookmarkStart w:id="360" w:name="_Toc199512128"/>
      <w:r>
        <w:rPr>
          <w:rStyle w:val="CharSchNo"/>
        </w:rPr>
        <w:lastRenderedPageBreak/>
        <w:t>Schedule 2</w:t>
      </w:r>
      <w:r>
        <w:t> — </w:t>
      </w:r>
      <w:r>
        <w:rPr>
          <w:rStyle w:val="CharSchText"/>
        </w:rPr>
        <w:t>Matters in respect of which regulations may be made</w:t>
      </w:r>
      <w:bookmarkEnd w:id="360"/>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Defstart"/>
        <w:ind w:left="567"/>
      </w:pPr>
      <w:r>
        <w:tab/>
      </w:r>
      <w:r>
        <w:rPr>
          <w:rStyle w:val="CharDefText"/>
        </w:rPr>
        <w:t>fee</w:t>
      </w:r>
      <w:r>
        <w:t xml:space="preserve"> includes charge;</w:t>
      </w:r>
    </w:p>
    <w:p>
      <w:pPr>
        <w:pStyle w:val="yMiscellaneousBody"/>
        <w:tabs>
          <w:tab w:val="left" w:pos="567"/>
        </w:tabs>
        <w:spacing w:before="120"/>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r>
      <w:r>
        <w:t xml:space="preserve">subject to this Act, </w:t>
      </w:r>
      <w:r>
        <w:rPr>
          <w:snapToGrid w:val="0"/>
        </w:rPr>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keepNext/>
        <w:tabs>
          <w:tab w:val="left" w:pos="851"/>
        </w:tabs>
        <w:ind w:left="1418" w:hanging="851"/>
      </w:pPr>
      <w:r>
        <w:tab/>
        <w:t>(ca)</w:t>
      </w:r>
      <w:r>
        <w:tab/>
        <w:t>when a fee submitted in respect of an application made under this Act is taken to have been received for the purposes of this Act;</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keepNext/>
        <w:tabs>
          <w:tab w:val="left" w:pos="851"/>
        </w:tabs>
        <w:ind w:left="1418" w:hanging="851"/>
      </w:pPr>
      <w:r>
        <w:tab/>
        <w:t>(e)</w:t>
      </w:r>
      <w:r>
        <w:tab/>
        <w:t>penalties for, and other consequences of, failure to pay fees, late payment of fees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lastRenderedPageBreak/>
        <w:tab/>
        <w:t>(b)</w:t>
      </w:r>
      <w:r>
        <w:rPr>
          <w:snapToGrid w:val="0"/>
        </w:rPr>
        <w:tab/>
        <w:t xml:space="preserve">providing for the authorisation to cease to have effect if a fee is not paid in accordance with the </w:t>
      </w:r>
      <w:r>
        <w:t>regulations;</w:t>
      </w:r>
    </w:p>
    <w:p>
      <w:pPr>
        <w:pStyle w:val="yMiscellaneousBody"/>
        <w:tabs>
          <w:tab w:val="left" w:pos="851"/>
          <w:tab w:val="left" w:pos="1418"/>
        </w:tabs>
        <w:ind w:left="1418" w:hanging="1418"/>
      </w:pPr>
      <w:r>
        <w:tab/>
        <w:t>(c)</w:t>
      </w:r>
      <w:r>
        <w:tab/>
      </w:r>
      <w:r>
        <w:rPr>
          <w:snapToGrid w:val="0"/>
        </w:rPr>
        <w:t>prescribing</w:t>
      </w:r>
      <w:r>
        <w:t xml:space="preserve"> fees that are payable before or when the authorisation is amended, transferred or surrendered.</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lastRenderedPageBreak/>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w:t>
      </w:r>
      <w:r>
        <w:t>premises or a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lastRenderedPageBreak/>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xml:space="preserve">, exempting any persons, premises or equipment or class of persons, premises or equipment or any category, type, volume </w:t>
      </w:r>
      <w:r>
        <w:rPr>
          <w:snapToGrid w:val="0"/>
        </w:rPr>
        <w:lastRenderedPageBreak/>
        <w:t>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lastRenderedPageBreak/>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ind w:left="567" w:hanging="567"/>
      </w:pPr>
      <w:r>
        <w:t>35B.</w:t>
      </w:r>
      <w:r>
        <w:tab/>
        <w:t xml:space="preserve">Providing for notices, orders or other documents to be given, sent or served under this Act by electronic communication (as defined in the </w:t>
      </w:r>
      <w:r>
        <w:rPr>
          <w:i/>
        </w:rPr>
        <w:t>Electronic Transactions Act 2011</w:t>
      </w:r>
      <w:r>
        <w:t xml:space="preserve"> section 5(1)) and providing for the proof of that giving, sending or service.</w:t>
      </w:r>
    </w:p>
    <w:p>
      <w:pPr>
        <w:pStyle w:val="yMiscellaneousBody"/>
        <w:tabs>
          <w:tab w:val="left" w:pos="567"/>
        </w:tabs>
        <w:spacing w:before="120"/>
        <w:ind w:left="567" w:hanging="567"/>
        <w:rPr>
          <w:snapToGrid w:val="0"/>
        </w:rPr>
      </w:pPr>
      <w:r>
        <w:rPr>
          <w:snapToGrid w:val="0"/>
        </w:rPr>
        <w:t>36.</w:t>
      </w:r>
      <w:r>
        <w:rPr>
          <w:snapToGrid w:val="0"/>
        </w:rPr>
        <w:tab/>
      </w:r>
      <w:r>
        <w:t>Without limiting section 122B, the</w:t>
      </w:r>
      <w:r>
        <w:rPr>
          <w:snapToGrid w:val="0"/>
        </w:rPr>
        <w:t xml:space="preserv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keepNext/>
        <w:tabs>
          <w:tab w:val="left" w:pos="567"/>
        </w:tabs>
        <w:ind w:left="567" w:hanging="567"/>
      </w:pPr>
      <w:r>
        <w:t>36B.</w:t>
      </w:r>
      <w:r>
        <w:tab/>
        <w:t>Establishing or recognising a scheme or system for the accreditation of persons as environmental practitioners for purposes related to this Act.</w:t>
      </w:r>
    </w:p>
    <w:p>
      <w:pPr>
        <w:pStyle w:val="yMiscellaneousBody"/>
        <w:keepNext/>
        <w:tabs>
          <w:tab w:val="left" w:pos="567"/>
        </w:tabs>
        <w:ind w:left="567" w:hanging="567"/>
      </w:pPr>
      <w:r>
        <w:t>36C.</w:t>
      </w:r>
      <w:r>
        <w:tab/>
        <w:t>Specifying timelines for steps in processes contained in Part V.</w:t>
      </w:r>
    </w:p>
    <w:p>
      <w:pPr>
        <w:pStyle w:val="yMiscellaneousBody"/>
        <w:tabs>
          <w:tab w:val="left" w:pos="567"/>
        </w:tabs>
        <w:spacing w:before="120"/>
        <w:ind w:left="567" w:hanging="567"/>
        <w:rPr>
          <w:snapToGrid w:val="0"/>
        </w:rPr>
      </w:pPr>
      <w:r>
        <w:rPr>
          <w:snapToGrid w:val="0"/>
        </w:rPr>
        <w:t>37.</w:t>
      </w:r>
      <w:r>
        <w:rPr>
          <w:snapToGrid w:val="0"/>
        </w:rPr>
        <w:tab/>
        <w:t xml:space="preserve">Creating offences under the regulations and penalties for the commission thereof not exceeding </w:t>
      </w:r>
      <w:r>
        <w:t>$20 000.</w:t>
      </w:r>
    </w:p>
    <w:p>
      <w:pPr>
        <w:pStyle w:val="yFootnotesection"/>
        <w:tabs>
          <w:tab w:val="clear" w:pos="893"/>
          <w:tab w:val="left" w:pos="567"/>
        </w:tabs>
        <w:spacing w:before="60"/>
        <w:ind w:left="567" w:hanging="567"/>
      </w:pPr>
      <w:r>
        <w:tab/>
        <w:t>[Schedule 2 amended: No. 14 of 1998 s. 19, 21 and 36; No. 54 of 2003 s. 26, 67, 86, 89, 96 and 138; No. 36 of 2007 s. 100; No. 40 of 2020 s. 108(1)-(6) and (8)-(11).]</w:t>
      </w:r>
    </w:p>
    <w:p>
      <w:pPr>
        <w:pStyle w:val="yScheduleHeading"/>
      </w:pPr>
      <w:bookmarkStart w:id="361" w:name="_Toc199512129"/>
      <w:r>
        <w:rPr>
          <w:rStyle w:val="CharSchNo"/>
        </w:rPr>
        <w:lastRenderedPageBreak/>
        <w:t>Schedule 3</w:t>
      </w:r>
      <w:r>
        <w:t> — </w:t>
      </w:r>
      <w:r>
        <w:rPr>
          <w:rStyle w:val="CharSchText"/>
        </w:rPr>
        <w:t xml:space="preserve">Transitional provisions related to </w:t>
      </w:r>
      <w:r>
        <w:rPr>
          <w:rStyle w:val="CharSchText"/>
          <w:i/>
        </w:rPr>
        <w:t>Environmental Protection Act 1971</w:t>
      </w:r>
      <w:bookmarkEnd w:id="361"/>
    </w:p>
    <w:p>
      <w:pPr>
        <w:pStyle w:val="yShoulderClause"/>
        <w:rPr>
          <w:snapToGrid w:val="0"/>
        </w:rPr>
      </w:pPr>
      <w:r>
        <w:rPr>
          <w:snapToGrid w:val="0"/>
        </w:rPr>
        <w:t>[s. 126]</w:t>
      </w:r>
    </w:p>
    <w:p>
      <w:pPr>
        <w:pStyle w:val="yFootnoteheading"/>
        <w:rPr>
          <w:snapToGrid w:val="0"/>
        </w:rPr>
      </w:pPr>
      <w:r>
        <w:tab/>
        <w:t>[Heading amended: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lastRenderedPageBreak/>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 xml:space="preserve">A matter referred to the Minister for Conservation and Environment under section 55(1) of the repealed Act and not reported on to him by the Authority before the coming into operation of this clause shall be deemed </w:t>
      </w:r>
      <w:r>
        <w:rPr>
          <w:snapToGrid w:val="0"/>
        </w:rPr>
        <w:lastRenderedPageBreak/>
        <w:t>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 or</w:t>
      </w:r>
    </w:p>
    <w:p>
      <w:pPr>
        <w:pStyle w:val="yIndenta"/>
        <w:rPr>
          <w:snapToGrid w:val="0"/>
        </w:rPr>
      </w:pPr>
      <w:r>
        <w:rPr>
          <w:snapToGrid w:val="0"/>
        </w:rPr>
        <w:tab/>
        <w:t>(e)</w:t>
      </w:r>
      <w:r>
        <w:rPr>
          <w:snapToGrid w:val="0"/>
        </w:rPr>
        <w:tab/>
        <w:t>the Conservation and Environment Council shall be construed as a reference to the Authority; or</w:t>
      </w:r>
    </w:p>
    <w:p>
      <w:pPr>
        <w:pStyle w:val="yIndenta"/>
        <w:rPr>
          <w:snapToGrid w:val="0"/>
        </w:rPr>
      </w:pPr>
      <w:r>
        <w:rPr>
          <w:snapToGrid w:val="0"/>
        </w:rPr>
        <w:tab/>
        <w:t>(f)</w:t>
      </w:r>
      <w:r>
        <w:rPr>
          <w:snapToGrid w:val="0"/>
        </w:rPr>
        <w:tab/>
        <w:t>the Department shall be construed as a reference to the Authority; or</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keepNext/>
        <w:spacing w:before="120"/>
      </w:pPr>
      <w:r>
        <w:tab/>
        <w:t>(2)</w:t>
      </w:r>
      <w:r>
        <w:tab/>
        <w:t xml:space="preserve">The Minister, by notice published in the </w:t>
      </w:r>
      <w:r>
        <w:rPr>
          <w:i/>
        </w:rPr>
        <w:t>Gazette</w:t>
      </w:r>
      <w:r>
        <w:t xml:space="preserve">,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w:t>
      </w:r>
      <w:r>
        <w:lastRenderedPageBreak/>
        <w:t>this Act is administered, and the determination shall have effect accordingly.</w:t>
      </w:r>
    </w:p>
    <w:p>
      <w:pPr>
        <w:pStyle w:val="yFootnotesection"/>
        <w:spacing w:before="60"/>
      </w:pPr>
      <w:r>
        <w:tab/>
        <w:t>[Schedule 3 amended: No. 54 of 2003 s. 139 and 140(2).]</w:t>
      </w:r>
    </w:p>
    <w:p>
      <w:pPr>
        <w:pStyle w:val="yScheduleHeading"/>
      </w:pPr>
      <w:bookmarkStart w:id="362" w:name="_Toc199512130"/>
      <w:r>
        <w:rPr>
          <w:rStyle w:val="CharSchNo"/>
        </w:rPr>
        <w:lastRenderedPageBreak/>
        <w:t>Schedule 4</w:t>
      </w:r>
      <w:r>
        <w:t> — </w:t>
      </w:r>
      <w:r>
        <w:rPr>
          <w:rStyle w:val="CharSchText"/>
        </w:rPr>
        <w:t xml:space="preserve">Transitional provisions not related to </w:t>
      </w:r>
      <w:r>
        <w:rPr>
          <w:rStyle w:val="CharSchText"/>
          <w:i/>
        </w:rPr>
        <w:t>Environmental Protection Act 1971</w:t>
      </w:r>
      <w:bookmarkEnd w:id="362"/>
    </w:p>
    <w:p>
      <w:pPr>
        <w:pStyle w:val="yShoulderClause"/>
        <w:rPr>
          <w:snapToGrid w:val="0"/>
        </w:rPr>
      </w:pPr>
      <w:r>
        <w:rPr>
          <w:snapToGrid w:val="0"/>
        </w:rPr>
        <w:t>[s. 127]</w:t>
      </w:r>
    </w:p>
    <w:p>
      <w:pPr>
        <w:pStyle w:val="yFootnoteheading"/>
        <w:spacing w:before="0"/>
        <w:rPr>
          <w:snapToGrid w:val="0"/>
        </w:rPr>
      </w:pPr>
      <w:r>
        <w:tab/>
        <w:t>[Heading amended: No. 19 of 2010 s. 4.]</w:t>
      </w:r>
    </w:p>
    <w:p>
      <w:pPr>
        <w:pStyle w:val="yMiscellaneousBody"/>
        <w:tabs>
          <w:tab w:val="left" w:pos="567"/>
        </w:tabs>
        <w:spacing w:before="10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spacing w:before="60"/>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spacing w:before="60"/>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9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vertAlign w:val="superscript"/>
        </w:rPr>
        <w:t xml:space="preserve"> 2</w:t>
      </w:r>
      <w:r>
        <w:rPr>
          <w:snapToGrid w:val="0"/>
        </w:rPr>
        <w:t xml:space="preserve"> is abolished.</w:t>
      </w:r>
    </w:p>
    <w:p>
      <w:pPr>
        <w:pStyle w:val="yMiscellaneousBody"/>
        <w:tabs>
          <w:tab w:val="left" w:pos="567"/>
        </w:tabs>
        <w:spacing w:before="9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vertAlign w:val="superscript"/>
        </w:rPr>
        <w:t xml:space="preserve"> 2</w:t>
      </w:r>
      <w:r>
        <w:rPr>
          <w:snapToGrid w:val="0"/>
        </w:rPr>
        <w:t xml:space="preserve"> shall be deemed on that coming into operation to be a person whose services are made use of under section 24(a).</w:t>
      </w:r>
    </w:p>
    <w:p>
      <w:pPr>
        <w:pStyle w:val="yMiscellaneousBody"/>
        <w:tabs>
          <w:tab w:val="left" w:pos="567"/>
        </w:tabs>
        <w:spacing w:before="90"/>
        <w:ind w:left="567" w:hanging="567"/>
        <w:rPr>
          <w:snapToGrid w:val="0"/>
        </w:rPr>
      </w:pPr>
      <w:r>
        <w:rPr>
          <w:snapToGrid w:val="0"/>
        </w:rPr>
        <w:t>4.</w:t>
      </w:r>
      <w:r>
        <w:rPr>
          <w:snapToGrid w:val="0"/>
        </w:rPr>
        <w:tab/>
        <w:t xml:space="preserve">An inspector appointed under section 22(3) of the </w:t>
      </w:r>
      <w:r>
        <w:rPr>
          <w:i/>
          <w:snapToGrid w:val="0"/>
        </w:rPr>
        <w:t>Clean Air Act 1964</w:t>
      </w:r>
      <w:r>
        <w:rPr>
          <w:snapToGrid w:val="0"/>
          <w:vertAlign w:val="superscript"/>
        </w:rPr>
        <w:t> 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9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vertAlign w:val="superscript"/>
        </w:rPr>
        <w:t> 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keepNext/>
        <w:tabs>
          <w:tab w:val="left" w:pos="567"/>
        </w:tabs>
        <w:spacing w:before="9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vertAlign w:val="superscript"/>
        </w:rPr>
        <w:t> 2</w:t>
      </w:r>
      <w:r>
        <w:rPr>
          <w:snapToGrid w:val="0"/>
        </w:rPr>
        <w:t xml:space="preserve"> shall on that </w:t>
      </w:r>
      <w:r>
        <w:rPr>
          <w:snapToGrid w:val="0"/>
        </w:rPr>
        <w:lastRenderedPageBreak/>
        <w:t>coming into operation be deemed to be the holder of a licence under Part V —</w:t>
      </w:r>
    </w:p>
    <w:p>
      <w:pPr>
        <w:pStyle w:val="yIndenta"/>
        <w:spacing w:before="60"/>
        <w:rPr>
          <w:snapToGrid w:val="0"/>
        </w:rPr>
      </w:pPr>
      <w:r>
        <w:rPr>
          <w:snapToGrid w:val="0"/>
        </w:rPr>
        <w:tab/>
        <w:t>(a)</w:t>
      </w:r>
      <w:r>
        <w:rPr>
          <w:snapToGrid w:val="0"/>
        </w:rPr>
        <w:tab/>
        <w:t>of the same kind as the first</w:t>
      </w:r>
      <w:r>
        <w:rPr>
          <w:snapToGrid w:val="0"/>
        </w:rPr>
        <w:noBreakHyphen/>
        <w:t>mentioned licence; and</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vertAlign w:val="superscript"/>
        </w:rPr>
        <w:t> 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vertAlign w:val="superscript"/>
        </w:rPr>
        <w:t> 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A direction given under section 27A(4)</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A notice in writing given under section 27AA(1)</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lastRenderedPageBreak/>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r>
        <w:rPr>
          <w:snapToGrid w:val="0"/>
        </w:rPr>
        <w:tab/>
        <w:t>and shall be dealt with accordingly under this Act.</w:t>
      </w:r>
    </w:p>
    <w:p>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vertAlign w:val="superscript"/>
        </w:rPr>
        <w:t> 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lastRenderedPageBreak/>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r>
        <w:rPr>
          <w:snapToGrid w:val="0"/>
        </w:rPr>
        <w:tab/>
        <w:t>any offence under section 61.</w:t>
      </w:r>
    </w:p>
    <w:p>
      <w:pPr>
        <w:pStyle w:val="yMiscellaneousBody"/>
        <w:keepNext/>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A declaration made under section 27G</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Any regulations made under Part IIIA</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vertAlign w:val="superscript"/>
        </w:rPr>
        <w:t> 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vertAlign w:val="superscript"/>
        </w:rPr>
        <w:t> 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lastRenderedPageBreak/>
        <w:t>19.</w:t>
      </w:r>
      <w:r>
        <w:rPr>
          <w:snapToGrid w:val="0"/>
        </w:rPr>
        <w:tab/>
        <w:t xml:space="preserve">An appeal pending under section 45 of the </w:t>
      </w:r>
      <w:r>
        <w:rPr>
          <w:i/>
          <w:snapToGrid w:val="0"/>
        </w:rPr>
        <w:t>Clean Air Act 1964</w:t>
      </w:r>
      <w:r>
        <w:rPr>
          <w:snapToGrid w:val="0"/>
          <w:vertAlign w:val="superscript"/>
        </w:rPr>
        <w:t> 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Clean Air Act 1964</w:t>
      </w:r>
      <w:r>
        <w:rPr>
          <w:snapToGrid w:val="0"/>
          <w:vertAlign w:val="superscript"/>
        </w:rPr>
        <w:t> 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vertAlign w:val="superscript"/>
        </w:rPr>
        <w:t> 6</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vertAlign w:val="superscript"/>
        </w:rPr>
        <w:t> 6</w:t>
      </w:r>
      <w:r>
        <w:rPr>
          <w:snapToGrid w:val="0"/>
        </w:rPr>
        <w:t>,</w:t>
      </w:r>
    </w:p>
    <w:p>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vertAlign w:val="superscript"/>
        </w:rPr>
        <w:t> 6</w:t>
      </w:r>
      <w:r>
        <w:rPr>
          <w:snapToGrid w:val="0"/>
        </w:rPr>
        <w:t xml:space="preserve"> to a person performing functions unrelated to occupational health, safety </w:t>
      </w:r>
      <w:r>
        <w:rPr>
          <w:snapToGrid w:val="0"/>
        </w:rPr>
        <w:lastRenderedPageBreak/>
        <w:t>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vertAlign w:val="superscript"/>
        </w:rPr>
        <w:t> 6</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vertAlign w:val="superscript"/>
        </w:rPr>
        <w:t> 6</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vertAlign w:val="superscript"/>
        </w:rPr>
        <w:t> 6</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vertAlign w:val="superscript"/>
        </w:rPr>
        <w:t> 6</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vertAlign w:val="superscript"/>
        </w:rPr>
        <w:t> 6</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6</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No. 57 of 1997 s. 54(10); No. 54 of 2003 s. 140(2).]</w:t>
      </w:r>
    </w:p>
    <w:p>
      <w:p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yScheduleHeading"/>
      </w:pPr>
      <w:bookmarkStart w:id="364" w:name="_Toc199512131"/>
      <w:r>
        <w:rPr>
          <w:rStyle w:val="CharSchNo"/>
        </w:rPr>
        <w:lastRenderedPageBreak/>
        <w:t>Schedule 5</w:t>
      </w:r>
      <w:r>
        <w:t xml:space="preserve"> — </w:t>
      </w:r>
      <w:r>
        <w:rPr>
          <w:rStyle w:val="CharSchText"/>
        </w:rPr>
        <w:t>Principles for clearing native vegetation</w:t>
      </w:r>
      <w:bookmarkEnd w:id="364"/>
    </w:p>
    <w:p>
      <w:pPr>
        <w:pStyle w:val="yShoulderClause"/>
      </w:pPr>
      <w:r>
        <w:t>[s. 51A]</w:t>
      </w:r>
    </w:p>
    <w:p>
      <w:pPr>
        <w:pStyle w:val="yFootnoteheading"/>
      </w:pPr>
      <w:r>
        <w:tab/>
        <w:t>[Heading inserted: No. 54 of 2003 s. 116.]</w:t>
      </w:r>
    </w:p>
    <w:p>
      <w:pPr>
        <w:pStyle w:val="yHeading5"/>
      </w:pPr>
      <w:bookmarkStart w:id="365" w:name="_Toc199512132"/>
      <w:r>
        <w:rPr>
          <w:rStyle w:val="CharSClsNo"/>
        </w:rPr>
        <w:t>1</w:t>
      </w:r>
      <w:r>
        <w:t>.</w:t>
      </w:r>
      <w:r>
        <w:tab/>
        <w:t>Principles</w:t>
      </w:r>
      <w:bookmarkEnd w:id="365"/>
    </w:p>
    <w:p>
      <w:pPr>
        <w:pStyle w:val="ySubsection"/>
      </w:pPr>
      <w:r>
        <w:tab/>
      </w:r>
      <w:r>
        <w:tab/>
        <w:t>Native vegetation should not be cleared if —</w:t>
      </w:r>
    </w:p>
    <w:p>
      <w:pPr>
        <w:pStyle w:val="yIndenta"/>
      </w:pPr>
      <w:r>
        <w:tab/>
        <w:t>(a)</w:t>
      </w:r>
      <w:r>
        <w:tab/>
        <w:t>it comprises a high level of biodiversity; or</w:t>
      </w:r>
    </w:p>
    <w:p>
      <w:pPr>
        <w:pStyle w:val="yIndenta"/>
      </w:pPr>
      <w:r>
        <w:tab/>
        <w:t>(b)</w:t>
      </w:r>
      <w:r>
        <w:tab/>
        <w:t xml:space="preserve">it comprises the whole or a part of, or is necessary for the maintenance of, a significant habitat for </w:t>
      </w:r>
      <w:r>
        <w:rPr>
          <w:szCs w:val="22"/>
        </w:rPr>
        <w:t>fauna; or</w:t>
      </w:r>
    </w:p>
    <w:p>
      <w:pPr>
        <w:pStyle w:val="yIndenta"/>
      </w:pPr>
      <w:r>
        <w:tab/>
        <w:t>(c)</w:t>
      </w:r>
      <w:r>
        <w:tab/>
        <w:t>it includes, or is necessary for the continued existence of, threatened flora; or</w:t>
      </w:r>
    </w:p>
    <w:p>
      <w:pPr>
        <w:pStyle w:val="yIndenta"/>
      </w:pPr>
      <w:r>
        <w:tab/>
        <w:t>(d)</w:t>
      </w:r>
      <w:r>
        <w:tab/>
        <w:t>it comprises the whole or a part of, or is necessary for the maintenance of, a threatened ecological community; or</w:t>
      </w:r>
    </w:p>
    <w:p>
      <w:pPr>
        <w:pStyle w:val="yIndenta"/>
      </w:pPr>
      <w:r>
        <w:tab/>
        <w:t>(e)</w:t>
      </w:r>
      <w:r>
        <w:tab/>
        <w:t>it is significant as a remnant of native vegetation in an area that has been extensively cleared; or</w:t>
      </w:r>
    </w:p>
    <w:p>
      <w:pPr>
        <w:pStyle w:val="yIndenta"/>
      </w:pPr>
      <w:r>
        <w:tab/>
        <w:t>(f)</w:t>
      </w:r>
      <w:r>
        <w:tab/>
        <w:t>it is growing in, or in association with, an environment associated with a watercourse or wetland; or</w:t>
      </w:r>
    </w:p>
    <w:p>
      <w:pPr>
        <w:pStyle w:val="yIndenta"/>
      </w:pPr>
      <w:r>
        <w:tab/>
        <w:t>(g)</w:t>
      </w:r>
      <w:r>
        <w:tab/>
        <w:t>the clearing of the vegetation is likely to cause appreciable land degradation; or</w:t>
      </w:r>
    </w:p>
    <w:p>
      <w:pPr>
        <w:pStyle w:val="yIndenta"/>
      </w:pPr>
      <w:r>
        <w:tab/>
        <w:t>(h)</w:t>
      </w:r>
      <w:r>
        <w:tab/>
        <w:t>the clearing of the vegetation is likely to have an impact on the environmental values of any adjacent or nearby conservation area; or</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No. 54 of 2003 s. 116; amended: No. 24 of 2016 s. 314(2).]</w:t>
      </w:r>
    </w:p>
    <w:p>
      <w:pPr>
        <w:pStyle w:val="yHeading5"/>
      </w:pPr>
      <w:bookmarkStart w:id="366" w:name="_Toc199512133"/>
      <w:r>
        <w:rPr>
          <w:rStyle w:val="CharSClsNo"/>
        </w:rPr>
        <w:t>2</w:t>
      </w:r>
      <w:r>
        <w:t>.</w:t>
      </w:r>
      <w:r>
        <w:tab/>
        <w:t>Terms used</w:t>
      </w:r>
      <w:bookmarkEnd w:id="366"/>
    </w:p>
    <w:p>
      <w:pPr>
        <w:pStyle w:val="ySubsection"/>
        <w:spacing w:before="120"/>
      </w:pPr>
      <w:r>
        <w:tab/>
      </w:r>
      <w:r>
        <w:tab/>
        <w:t>In this Schedule —</w:t>
      </w:r>
    </w:p>
    <w:p>
      <w:pPr>
        <w:pStyle w:val="yDefstart"/>
      </w:pPr>
      <w:r>
        <w:tab/>
      </w:r>
      <w:r>
        <w:rPr>
          <w:rStyle w:val="CharDefText"/>
        </w:rPr>
        <w:t>biodiversity</w:t>
      </w:r>
      <w:r>
        <w:t xml:space="preserve"> has the meaning given in the </w:t>
      </w:r>
      <w:r>
        <w:rPr>
          <w:i/>
        </w:rPr>
        <w:t>Biodiversity Conservation Act 2016</w:t>
      </w:r>
      <w:r>
        <w:t xml:space="preserve"> section 5(1);</w:t>
      </w:r>
    </w:p>
    <w:p>
      <w:pPr>
        <w:pStyle w:val="yDefstart"/>
      </w:pPr>
      <w:r>
        <w:lastRenderedPageBreak/>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fauna</w:t>
      </w:r>
      <w:r>
        <w:t xml:space="preserve"> has the meaning given in the </w:t>
      </w:r>
      <w:r>
        <w:rPr>
          <w:i/>
        </w:rPr>
        <w:t>Biodiversity Conservation Act 2016</w:t>
      </w:r>
      <w:r>
        <w:t xml:space="preserve"> section 5(1);</w:t>
      </w:r>
    </w:p>
    <w:p>
      <w:pPr>
        <w:pStyle w:val="yDefstart"/>
      </w:pPr>
      <w:r>
        <w:tab/>
      </w:r>
      <w:r>
        <w:rPr>
          <w:rStyle w:val="CharDefText"/>
        </w:rPr>
        <w:t>threatened ecological community</w:t>
      </w:r>
      <w:r>
        <w:t xml:space="preserve"> means — </w:t>
      </w:r>
    </w:p>
    <w:p>
      <w:pPr>
        <w:pStyle w:val="yDefpara"/>
      </w:pPr>
      <w:r>
        <w:tab/>
        <w:t>(a)</w:t>
      </w:r>
      <w:r>
        <w:tab/>
        <w:t xml:space="preserve">a threatened ecological community as defined in the </w:t>
      </w:r>
      <w:r>
        <w:rPr>
          <w:i/>
        </w:rPr>
        <w:t>Biodiversity Conservation Act 2016</w:t>
      </w:r>
      <w:r>
        <w:t xml:space="preserve"> section 5(1); or </w:t>
      </w:r>
    </w:p>
    <w:p>
      <w:pPr>
        <w:pStyle w:val="yDefpara"/>
        <w:rPr>
          <w:szCs w:val="22"/>
        </w:rPr>
      </w:pPr>
      <w:r>
        <w:rPr>
          <w:szCs w:val="22"/>
        </w:rPr>
        <w:tab/>
        <w:t>(b)</w:t>
      </w:r>
      <w:r>
        <w:rPr>
          <w:szCs w:val="22"/>
        </w:rPr>
        <w:tab/>
        <w:t>any other ecological community listed, designated or declared as threatened, endangered or vulnerable under or for the purposes of a written law; or</w:t>
      </w:r>
    </w:p>
    <w:p>
      <w:pPr>
        <w:pStyle w:val="yDefpara"/>
        <w:rPr>
          <w:szCs w:val="22"/>
        </w:rPr>
      </w:pPr>
      <w:r>
        <w:rPr>
          <w:szCs w:val="22"/>
        </w:rPr>
        <w:tab/>
        <w:t>(c)</w:t>
      </w:r>
      <w:r>
        <w:rPr>
          <w:szCs w:val="22"/>
        </w:rPr>
        <w:tab/>
        <w:t>a listed threatened ecological community as defined in the Commonwealth Environment Act section 528;</w:t>
      </w:r>
    </w:p>
    <w:p>
      <w:pPr>
        <w:pStyle w:val="yDefstart"/>
      </w:pPr>
      <w:r>
        <w:tab/>
      </w:r>
      <w:r>
        <w:rPr>
          <w:rStyle w:val="CharDefText"/>
        </w:rPr>
        <w:t>threatened flora</w:t>
      </w:r>
      <w:r>
        <w:t xml:space="preserve"> has the meaning given in the </w:t>
      </w:r>
      <w:r>
        <w:rPr>
          <w:i/>
          <w:iCs/>
        </w:rPr>
        <w:t>Biodiversity Conservation Act 2016</w:t>
      </w:r>
      <w:r>
        <w:t xml:space="preserve"> section 5(1);</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No. 54 of 2003 s. 116; amended: No. 24 of 2016 s. 314(3) and (4); No. 40 of 2020 s. 109.]</w:t>
      </w:r>
    </w:p>
    <w:p>
      <w:pPr>
        <w:pStyle w:val="yScheduleHeading"/>
        <w:sectPr>
          <w:headerReference w:type="even" r:id="rId27"/>
          <w:headerReference w:type="default" r:id="rId28"/>
          <w:pgSz w:w="11907" w:h="16840" w:code="9"/>
          <w:pgMar w:top="2381" w:right="2409" w:bottom="3543" w:left="2409" w:header="720" w:footer="3544" w:gutter="0"/>
          <w:cols w:space="720"/>
          <w:noEndnote/>
          <w:docGrid w:linePitch="326"/>
        </w:sectPr>
      </w:pPr>
    </w:p>
    <w:p>
      <w:pPr>
        <w:pStyle w:val="yScheduleHeading"/>
      </w:pPr>
      <w:bookmarkStart w:id="367" w:name="_Toc199512134"/>
      <w:r>
        <w:rPr>
          <w:rStyle w:val="CharSchNo"/>
        </w:rPr>
        <w:lastRenderedPageBreak/>
        <w:t>Schedule 6</w:t>
      </w:r>
      <w:r>
        <w:t xml:space="preserve"> — </w:t>
      </w:r>
      <w:r>
        <w:rPr>
          <w:rStyle w:val="CharSchText"/>
        </w:rPr>
        <w:t>Clearing for which a clearing permit is not required</w:t>
      </w:r>
      <w:bookmarkEnd w:id="367"/>
    </w:p>
    <w:p>
      <w:pPr>
        <w:pStyle w:val="yFootnoteheading"/>
      </w:pPr>
      <w:r>
        <w:tab/>
        <w:t>[Heading inserted: No. 54 of 2003 s. 104.]</w:t>
      </w:r>
    </w:p>
    <w:p>
      <w:pPr>
        <w:pStyle w:val="yShoulderClause"/>
      </w:pPr>
      <w:r>
        <w:t xml:space="preserve"> [s. 51C]</w:t>
      </w:r>
    </w:p>
    <w:p>
      <w:pPr>
        <w:pStyle w:val="yNumberedItem"/>
      </w:pPr>
      <w:r>
        <w:t>1.</w:t>
      </w:r>
      <w:r>
        <w:tab/>
        <w:t xml:space="preserve">Clearing that is done in order to give effect to a requirement to clear under a </w:t>
      </w:r>
      <w:r>
        <w:rPr>
          <w:szCs w:val="22"/>
        </w:rPr>
        <w:t>prescribed enactment.</w:t>
      </w:r>
    </w:p>
    <w:p>
      <w:pPr>
        <w:pStyle w:val="yNumberedItem"/>
      </w:pPr>
      <w:r>
        <w:t>2.</w:t>
      </w:r>
      <w:r>
        <w:tab/>
        <w:t>Clearing that is done —</w:t>
      </w:r>
    </w:p>
    <w:p>
      <w:pPr>
        <w:pStyle w:val="yIndenta"/>
      </w:pPr>
      <w:r>
        <w:tab/>
        <w:t>(a)</w:t>
      </w:r>
      <w:r>
        <w:tab/>
        <w:t>in the implementation of a proposal in accordance with an implementation agreement or decision; or</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 or</w:t>
      </w:r>
    </w:p>
    <w:p>
      <w:pPr>
        <w:pStyle w:val="yIndenta"/>
      </w:pPr>
      <w:r>
        <w:tab/>
        <w:t>(c)</w:t>
      </w:r>
      <w:r>
        <w:tab/>
        <w:t>in accordance with —</w:t>
      </w:r>
    </w:p>
    <w:p>
      <w:pPr>
        <w:pStyle w:val="yIndenti0"/>
      </w:pPr>
      <w:r>
        <w:tab/>
        <w:t>(i)</w:t>
      </w:r>
      <w:r>
        <w:tab/>
        <w:t>a prescribed standard; or</w:t>
      </w:r>
    </w:p>
    <w:p>
      <w:pPr>
        <w:pStyle w:val="yIndenti0"/>
      </w:pPr>
      <w:r>
        <w:tab/>
        <w:t>(ii)</w:t>
      </w:r>
      <w:r>
        <w:tab/>
        <w:t>a works approval; or</w:t>
      </w:r>
    </w:p>
    <w:p>
      <w:pPr>
        <w:pStyle w:val="yIndenti0"/>
      </w:pPr>
      <w:r>
        <w:tab/>
        <w:t>(iii)</w:t>
      </w:r>
      <w:r>
        <w:tab/>
        <w:t>a licence; or</w:t>
      </w:r>
    </w:p>
    <w:p>
      <w:pPr>
        <w:pStyle w:val="yIndenti0"/>
      </w:pPr>
      <w:r>
        <w:tab/>
        <w:t>(iv)</w:t>
      </w:r>
      <w:r>
        <w:tab/>
        <w:t>a requirement contained in a closure notice, an environmental protection notice or a prevention notice; or</w:t>
      </w:r>
    </w:p>
    <w:p>
      <w:pPr>
        <w:pStyle w:val="yIndenti0"/>
      </w:pPr>
      <w:r>
        <w:tab/>
        <w:t>(v)</w:t>
      </w:r>
      <w:r>
        <w:tab/>
        <w:t>an approved policy; or</w:t>
      </w:r>
    </w:p>
    <w:p>
      <w:pPr>
        <w:pStyle w:val="yIndenti0"/>
      </w:pPr>
      <w:r>
        <w:tab/>
        <w:t>(vi)</w:t>
      </w:r>
      <w:r>
        <w:tab/>
        <w:t>a declaration under section 6; or</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lastRenderedPageBreak/>
        <w:t>3.</w:t>
      </w:r>
      <w:r>
        <w:tab/>
        <w:t xml:space="preserve">Clearing in the performance of functions that the CEO, as defined in the </w:t>
      </w:r>
      <w:r>
        <w:rPr>
          <w:i/>
        </w:rPr>
        <w:t xml:space="preserve">Conservation and Land Management Act 1984 </w:t>
      </w:r>
      <w:r>
        <w:t>section 3, has under section 33(1)(a) or (aa) of that Act.</w:t>
      </w:r>
    </w:p>
    <w:p>
      <w:pPr>
        <w:pStyle w:val="yNumberedItem"/>
      </w:pPr>
      <w:r>
        <w:t>4.</w:t>
      </w:r>
      <w:r>
        <w:tab/>
        <w:t xml:space="preserve">Clearing consisting of the taking of flora — </w:t>
      </w:r>
    </w:p>
    <w:p>
      <w:pPr>
        <w:pStyle w:val="yIndenta"/>
      </w:pPr>
      <w:r>
        <w:tab/>
        <w:t>(a)</w:t>
      </w:r>
      <w:r>
        <w:tab/>
        <w:t xml:space="preserve">as authorised by a licence under the </w:t>
      </w:r>
      <w:r>
        <w:rPr>
          <w:i/>
          <w:iCs/>
        </w:rPr>
        <w:t>Biodiversity Conservation Act 2016</w:t>
      </w:r>
      <w:r>
        <w:rPr>
          <w:iCs/>
        </w:rPr>
        <w:t>; or</w:t>
      </w:r>
    </w:p>
    <w:p>
      <w:pPr>
        <w:pStyle w:val="yIndenta"/>
      </w:pPr>
      <w:r>
        <w:tab/>
        <w:t>(b)</w:t>
      </w:r>
      <w:r>
        <w:tab/>
        <w:t xml:space="preserve">as authorised by an authorisation under the </w:t>
      </w:r>
      <w:r>
        <w:rPr>
          <w:i/>
          <w:iCs/>
        </w:rPr>
        <w:t xml:space="preserve">Biodiversity Conservation Act 2016 </w:t>
      </w:r>
      <w:r>
        <w:t>section 40; or</w:t>
      </w:r>
    </w:p>
    <w:p>
      <w:pPr>
        <w:pStyle w:val="yIndenta"/>
      </w:pPr>
      <w:r>
        <w:tab/>
        <w:t>(c)</w:t>
      </w:r>
      <w:r>
        <w:tab/>
        <w:t xml:space="preserve">by a person referred to in the </w:t>
      </w:r>
      <w:r>
        <w:rPr>
          <w:i/>
          <w:iCs/>
        </w:rPr>
        <w:t>Biodiversity Conservation Act 2016</w:t>
      </w:r>
      <w:r>
        <w:t xml:space="preserve"> section 171(2) for the purposes of supply in accordance with a licence under that Act.</w:t>
      </w:r>
    </w:p>
    <w:p>
      <w:pPr>
        <w:pStyle w:val="yEdnotenumbereditem"/>
      </w:pPr>
      <w:r>
        <w:t>[</w:t>
      </w:r>
      <w:r>
        <w:rPr>
          <w:b/>
        </w:rPr>
        <w:t>5, 6.</w:t>
      </w:r>
      <w:r>
        <w:tab/>
        <w:t>deleted]</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 xml:space="preserve">as authorised by a proclamation under </w:t>
      </w:r>
      <w:r>
        <w:rPr>
          <w:szCs w:val="22"/>
        </w:rPr>
        <w:t>section 26; or</w:t>
      </w:r>
    </w:p>
    <w:p>
      <w:pPr>
        <w:pStyle w:val="yIndenta"/>
      </w:pPr>
      <w:r>
        <w:tab/>
        <w:t>(f)</w:t>
      </w:r>
      <w:r>
        <w:tab/>
        <w:t>to comply with a notice given under section 33(1); or</w:t>
      </w:r>
    </w:p>
    <w:p>
      <w:pPr>
        <w:pStyle w:val="yIndenta"/>
      </w:pPr>
      <w:r>
        <w:lastRenderedPageBreak/>
        <w:tab/>
        <w:t>(g)</w:t>
      </w:r>
      <w:r>
        <w:tab/>
        <w:t>as authorised under section 36(b),</w:t>
      </w:r>
    </w:p>
    <w:p>
      <w:pPr>
        <w:pStyle w:val="yNumberedItem"/>
      </w:pPr>
      <w:r>
        <w:tab/>
        <w:t xml:space="preserve">of the </w:t>
      </w:r>
      <w:r>
        <w:rPr>
          <w:i/>
        </w:rPr>
        <w:t>Bush Fires Act 1954</w:t>
      </w:r>
      <w:r>
        <w:t>.</w:t>
      </w:r>
    </w:p>
    <w:p>
      <w:pPr>
        <w:pStyle w:val="yNumberedItem"/>
      </w:pPr>
      <w:r>
        <w:t>10A.</w:t>
      </w:r>
      <w:r>
        <w:tab/>
        <w:t xml:space="preserve">Clearing that is done by a local government under the </w:t>
      </w:r>
      <w:r>
        <w:rPr>
          <w:i/>
        </w:rPr>
        <w:t>Bush Fires Act 1954</w:t>
      </w:r>
      <w:r>
        <w:t xml:space="preserve"> section 33(4) if the person who is given a notice mentioned in item 10(f) fails to comply with it.</w:t>
      </w:r>
    </w:p>
    <w:p>
      <w:pPr>
        <w:pStyle w:val="yNumberedItem"/>
      </w:pPr>
      <w:r>
        <w:t>10B.</w:t>
      </w:r>
      <w:r>
        <w:tab/>
        <w:t xml:space="preserve">Clearing that is done by the occupier of land, or an energy operator, under the </w:t>
      </w:r>
      <w:r>
        <w:rPr>
          <w:i/>
        </w:rPr>
        <w:t>Energy Operators (Powers) Act 1979</w:t>
      </w:r>
      <w:r>
        <w:t xml:space="preserve"> section 54.</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w:t>
      </w:r>
      <w:r>
        <w:rPr>
          <w:szCs w:val="22"/>
        </w:rPr>
        <w:t xml:space="preserve"> FES Commissioner as defined in the </w:t>
      </w:r>
      <w:r>
        <w:rPr>
          <w:i/>
          <w:iCs/>
          <w:szCs w:val="22"/>
        </w:rPr>
        <w:t>Fire and Emergency Services Act 1998</w:t>
      </w:r>
      <w:r>
        <w:rPr>
          <w:szCs w:val="22"/>
        </w:rPr>
        <w:t xml:space="preserve"> section 3.</w:t>
      </w:r>
    </w:p>
    <w:p>
      <w:pPr>
        <w:pStyle w:val="yNumberedItem"/>
      </w:pPr>
      <w:r>
        <w:t>13.</w:t>
      </w:r>
      <w:r>
        <w:tab/>
        <w:t xml:space="preserve">Clearing caused by the grazing of stock on land under a pastoral lease </w:t>
      </w:r>
      <w:r>
        <w:rPr>
          <w:szCs w:val="22"/>
        </w:rPr>
        <w:t>or diversification lease</w:t>
      </w:r>
      <w:r>
        <w:t xml:space="preserve"> within the meaning of the </w:t>
      </w:r>
      <w:r>
        <w:rPr>
          <w:i/>
        </w:rPr>
        <w:t>Land Administration Act 1997</w:t>
      </w:r>
      <w:r>
        <w:t xml:space="preserve"> as long as that grazing is not in breach of —</w:t>
      </w:r>
    </w:p>
    <w:p>
      <w:pPr>
        <w:pStyle w:val="yIndenta"/>
      </w:pPr>
      <w:r>
        <w:tab/>
        <w:t>(a)</w:t>
      </w:r>
      <w:r>
        <w:tab/>
        <w:t>that Act; or</w:t>
      </w:r>
    </w:p>
    <w:p>
      <w:pPr>
        <w:pStyle w:val="Indenta"/>
        <w:rPr>
          <w:szCs w:val="22"/>
        </w:rPr>
      </w:pPr>
      <w:r>
        <w:tab/>
        <w:t>(b)</w:t>
      </w:r>
      <w:r>
        <w:tab/>
        <w:t xml:space="preserve">the pastoral </w:t>
      </w:r>
      <w:r>
        <w:rPr>
          <w:sz w:val="22"/>
          <w:szCs w:val="22"/>
        </w:rPr>
        <w:t>lease or diversification lease; or</w:t>
      </w:r>
    </w:p>
    <w:p>
      <w:pPr>
        <w:pStyle w:val="yIndenta"/>
      </w:pPr>
      <w:r>
        <w:tab/>
        <w:t>(c)</w:t>
      </w:r>
      <w:r>
        <w:tab/>
        <w:t>in the case of a pastoral lease — any relevant condition set, determination made or direction given by the Pastoral Lands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NumberedItem"/>
      </w:pPr>
      <w:r>
        <w:t>15.</w:t>
      </w:r>
      <w:r>
        <w:tab/>
        <w:t xml:space="preserve">Clearing that is done by the owner or occupier of land to comply with a notice given under the </w:t>
      </w:r>
      <w:r>
        <w:rPr>
          <w:i/>
        </w:rPr>
        <w:t>Local Government Act 1995</w:t>
      </w:r>
      <w:r>
        <w:t xml:space="preserve"> section 3.25(1) in respect of something prescribed in Schedule 3.1 Division 1 item 5A, 8 or 9 of that Act.</w:t>
      </w:r>
    </w:p>
    <w:p>
      <w:pPr>
        <w:pStyle w:val="yNumberedItem"/>
      </w:pPr>
      <w:r>
        <w:t>16.</w:t>
      </w:r>
      <w:r>
        <w:tab/>
        <w:t xml:space="preserve">Clearing that is done by a local government under the </w:t>
      </w:r>
      <w:r>
        <w:rPr>
          <w:i/>
          <w:snapToGrid w:val="0"/>
        </w:rPr>
        <w:t>Local Government Act 1995</w:t>
      </w:r>
      <w:r>
        <w:t xml:space="preserve"> section 3.26 if the person who is given a notice mentioned in item 15 fails to comply with it.</w:t>
      </w:r>
    </w:p>
    <w:p>
      <w:pPr>
        <w:pStyle w:val="yFootnotesection"/>
        <w:keepLines w:val="0"/>
      </w:pPr>
      <w:r>
        <w:tab/>
        <w:t xml:space="preserve">[Schedule 6 inserted: No. 54 of 2003 s. 116; amended: No. 38 of 2005 s. 15; No. 25 of 2009 s. 20; No. 22 of 2012 s. 123; No. 24 of 2016 </w:t>
      </w:r>
      <w:r>
        <w:lastRenderedPageBreak/>
        <w:t>s. 314(5); No. 40 of 2020 s. 110(1), (3) and (4)-(6); No. 4 of 2023 s. 121.]</w:t>
      </w:r>
    </w:p>
    <w:p>
      <w:pPr>
        <w:pStyle w:val="yScheduleHeading"/>
        <w:sectPr>
          <w:headerReference w:type="even" r:id="rId29"/>
          <w:headerReference w:type="default" r:id="rId30"/>
          <w:pgSz w:w="11907" w:h="16840" w:code="9"/>
          <w:pgMar w:top="2381" w:right="2409" w:bottom="3543" w:left="2409" w:header="720" w:footer="3544" w:gutter="0"/>
          <w:cols w:space="720"/>
          <w:noEndnote/>
          <w:docGrid w:linePitch="326"/>
        </w:sectPr>
      </w:pPr>
    </w:p>
    <w:p>
      <w:pPr>
        <w:pStyle w:val="yScheduleHeading"/>
      </w:pPr>
      <w:bookmarkStart w:id="368" w:name="_Toc199512135"/>
      <w:r>
        <w:rPr>
          <w:rStyle w:val="CharSchNo"/>
        </w:rPr>
        <w:lastRenderedPageBreak/>
        <w:t>Schedule 7</w:t>
      </w:r>
      <w:r>
        <w:t xml:space="preserve"> — </w:t>
      </w:r>
      <w:r>
        <w:rPr>
          <w:rStyle w:val="CharSchText"/>
        </w:rPr>
        <w:t>Appeals Convenor</w:t>
      </w:r>
      <w:bookmarkEnd w:id="368"/>
    </w:p>
    <w:p>
      <w:pPr>
        <w:pStyle w:val="yShoulderClause"/>
      </w:pPr>
      <w:r>
        <w:t>[s. 107A]</w:t>
      </w:r>
    </w:p>
    <w:p>
      <w:pPr>
        <w:pStyle w:val="yFootnoteheading"/>
      </w:pPr>
      <w:r>
        <w:tab/>
        <w:t>[Heading inserted: No. 54 of 2003 s. 104.]</w:t>
      </w:r>
    </w:p>
    <w:p>
      <w:pPr>
        <w:pStyle w:val="yHeading5"/>
      </w:pPr>
      <w:bookmarkStart w:id="369" w:name="_Toc199512136"/>
      <w:r>
        <w:rPr>
          <w:rStyle w:val="CharSClsNo"/>
        </w:rPr>
        <w:t>1</w:t>
      </w:r>
      <w:r>
        <w:t>.</w:t>
      </w:r>
      <w:r>
        <w:tab/>
        <w:t>Term of office</w:t>
      </w:r>
      <w:bookmarkEnd w:id="369"/>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No. 54 of 2003 s. 104.]</w:t>
      </w:r>
    </w:p>
    <w:p>
      <w:pPr>
        <w:pStyle w:val="yHeading5"/>
      </w:pPr>
      <w:bookmarkStart w:id="370" w:name="_Toc199512137"/>
      <w:r>
        <w:rPr>
          <w:rStyle w:val="CharSClsNo"/>
        </w:rPr>
        <w:t>2</w:t>
      </w:r>
      <w:r>
        <w:t>.</w:t>
      </w:r>
      <w:r>
        <w:tab/>
        <w:t>Salary and entitlements</w:t>
      </w:r>
      <w:bookmarkEnd w:id="370"/>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No. 54 of 2003 s. 104; amended: No. 39 of 2010 s. 89.]</w:t>
      </w:r>
    </w:p>
    <w:p>
      <w:pPr>
        <w:pStyle w:val="yHeading5"/>
      </w:pPr>
      <w:bookmarkStart w:id="371" w:name="_Toc199512138"/>
      <w:r>
        <w:rPr>
          <w:rStyle w:val="CharSClsNo"/>
        </w:rPr>
        <w:t>3</w:t>
      </w:r>
      <w:r>
        <w:t>.</w:t>
      </w:r>
      <w:r>
        <w:tab/>
        <w:t>Resignation and removal from office</w:t>
      </w:r>
      <w:bookmarkEnd w:id="371"/>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lastRenderedPageBreak/>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spacing w:before="80"/>
      </w:pPr>
      <w:r>
        <w:tab/>
        <w:t>[Clause 3 inserted: No. 54 of 2003 s. 104; amended: No. 18 of 2009 s. 35.]</w:t>
      </w:r>
    </w:p>
    <w:p>
      <w:pPr>
        <w:pStyle w:val="yHeading5"/>
      </w:pPr>
      <w:bookmarkStart w:id="372" w:name="_Toc199512139"/>
      <w:r>
        <w:rPr>
          <w:rStyle w:val="CharSClsNo"/>
        </w:rPr>
        <w:t>4</w:t>
      </w:r>
      <w:r>
        <w:t>.</w:t>
      </w:r>
      <w:r>
        <w:tab/>
        <w:t>Appointment of public service officer</w:t>
      </w:r>
      <w:bookmarkEnd w:id="372"/>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 xml:space="preserve">if the </w:t>
      </w:r>
      <w:r>
        <w:rPr>
          <w:snapToGrid w:val="0"/>
        </w:rPr>
        <w:t>person</w:t>
      </w:r>
      <w:r>
        <w:t xml:space="preserve"> ceases to hold office as the Appeals Convenor on the completion of a periodical appointment, is entitled to be appointed to an office in the Public Service not lower in classification and salary than the previous office (as long as the </w:t>
      </w:r>
      <w:r>
        <w:rPr>
          <w:snapToGrid w:val="0"/>
        </w:rPr>
        <w:t>person</w:t>
      </w:r>
      <w:r>
        <w:t xml:space="preserv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spacing w:before="80"/>
      </w:pPr>
      <w:r>
        <w:tab/>
        <w:t>[Clause 4 inserted: No. 54 of 2003 s. 104; amended: No. 40 of 2020 s. 111(1).]</w:t>
      </w:r>
    </w:p>
    <w:p>
      <w:pPr>
        <w:pStyle w:val="yHeading5"/>
      </w:pPr>
      <w:bookmarkStart w:id="373" w:name="_Toc199512140"/>
      <w:r>
        <w:rPr>
          <w:rStyle w:val="CharSClsNo"/>
        </w:rPr>
        <w:lastRenderedPageBreak/>
        <w:t>5</w:t>
      </w:r>
      <w:r>
        <w:t>.</w:t>
      </w:r>
      <w:r>
        <w:tab/>
        <w:t>Other conditions of service</w:t>
      </w:r>
      <w:bookmarkEnd w:id="373"/>
    </w:p>
    <w:p>
      <w:pPr>
        <w:pStyle w:val="ySubsection"/>
        <w:keepNext/>
      </w:pPr>
      <w:r>
        <w:tab/>
      </w:r>
      <w:r>
        <w:tab/>
        <w:t>The Governor may, on the recommendation of the Public Sector Commissioner, determine any other terms and conditions of service to apply to the Appeals Convenor.</w:t>
      </w:r>
    </w:p>
    <w:p>
      <w:pPr>
        <w:pStyle w:val="yFootnotesection"/>
        <w:keepNext/>
        <w:spacing w:before="80"/>
      </w:pPr>
      <w:r>
        <w:tab/>
        <w:t>[Clause 5 inserted: No. 54 of 2003 s. 104; amended: No. 39 of 2010 s. 89.]</w:t>
      </w:r>
    </w:p>
    <w:p>
      <w:pPr>
        <w:pStyle w:val="CentredBaseLine"/>
        <w:spacing w:before="12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pgSz w:w="11907" w:h="16840" w:code="9"/>
          <w:pgMar w:top="2376" w:right="2405" w:bottom="3542" w:left="2405" w:header="706" w:footer="3544" w:gutter="0"/>
          <w:cols w:space="720"/>
          <w:noEndnote/>
          <w:docGrid w:linePitch="326"/>
        </w:sectPr>
      </w:pPr>
    </w:p>
    <w:p>
      <w:pPr>
        <w:pStyle w:val="nHeading2"/>
      </w:pPr>
      <w:bookmarkStart w:id="374" w:name="_Toc199512141"/>
      <w:r>
        <w:lastRenderedPageBreak/>
        <w:t>Notes</w:t>
      </w:r>
      <w:bookmarkEnd w:id="374"/>
    </w:p>
    <w:p>
      <w:pPr>
        <w:pStyle w:val="nStatement"/>
      </w:pPr>
      <w:r>
        <w:t xml:space="preserve">This is a compilation of the </w:t>
      </w:r>
      <w:r>
        <w:rPr>
          <w:i/>
          <w:noProof/>
        </w:rPr>
        <w:t>Environmental Protection Act 1986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75" w:name="_Toc199512142"/>
      <w:r>
        <w:t>Compilation table</w:t>
      </w:r>
      <w:bookmarkEnd w:id="375"/>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Environmental Protection Act 1986</w:t>
            </w:r>
          </w:p>
        </w:tc>
        <w:tc>
          <w:tcPr>
            <w:tcW w:w="1134" w:type="dxa"/>
            <w:tcBorders>
              <w:top w:val="single" w:sz="8" w:space="0" w:color="auto"/>
            </w:tcBorders>
          </w:tcPr>
          <w:p>
            <w:pPr>
              <w:pStyle w:val="nTable"/>
              <w:spacing w:after="40"/>
            </w:pPr>
            <w:r>
              <w:t>87 of 1986</w:t>
            </w:r>
          </w:p>
        </w:tc>
        <w:tc>
          <w:tcPr>
            <w:tcW w:w="1134" w:type="dxa"/>
            <w:tcBorders>
              <w:top w:val="single" w:sz="8" w:space="0" w:color="auto"/>
            </w:tcBorders>
          </w:tcPr>
          <w:p>
            <w:pPr>
              <w:pStyle w:val="nTable"/>
              <w:spacing w:after="40"/>
            </w:pPr>
            <w:r>
              <w:t>10 Dec 1986</w:t>
            </w:r>
          </w:p>
        </w:tc>
        <w:tc>
          <w:tcPr>
            <w:tcW w:w="2552" w:type="dxa"/>
            <w:tcBorders>
              <w:top w:val="single" w:sz="8" w:space="0" w:color="auto"/>
            </w:tcBorders>
          </w:tcPr>
          <w:p>
            <w:pPr>
              <w:pStyle w:val="nTable"/>
              <w:spacing w:after="40"/>
            </w:pPr>
            <w:r>
              <w:t>s. 1 and 2: 10 Dec 1986;</w:t>
            </w:r>
            <w:r>
              <w:br/>
              <w:t xml:space="preserve">Act other than s. 1 and 2: 20 Feb 1987 (see s.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1993</w:t>
            </w:r>
            <w:r>
              <w:rPr>
                <w:vertAlign w:val="superscript"/>
              </w:rPr>
              <w:t> 7</w:t>
            </w:r>
          </w:p>
        </w:tc>
        <w:tc>
          <w:tcPr>
            <w:tcW w:w="1134" w:type="dxa"/>
          </w:tcPr>
          <w:p>
            <w:pPr>
              <w:pStyle w:val="nTable"/>
              <w:spacing w:after="40"/>
            </w:pPr>
            <w:r>
              <w:t>34 of 1993</w:t>
            </w:r>
          </w:p>
        </w:tc>
        <w:tc>
          <w:tcPr>
            <w:tcW w:w="1134" w:type="dxa"/>
          </w:tcPr>
          <w:p>
            <w:pPr>
              <w:pStyle w:val="nTable"/>
              <w:spacing w:after="40"/>
            </w:pPr>
            <w:r>
              <w:t>16 Dec 1993</w:t>
            </w:r>
          </w:p>
        </w:tc>
        <w:tc>
          <w:tcPr>
            <w:tcW w:w="2552" w:type="dxa"/>
          </w:tcPr>
          <w:p>
            <w:pPr>
              <w:pStyle w:val="nTable"/>
              <w:spacing w:after="40"/>
            </w:pPr>
            <w:r>
              <w:t>s. 1 and 2: 16 Dec 1993;</w:t>
            </w:r>
            <w:r>
              <w:br/>
              <w:t xml:space="preserve">Act other than s. 1 and 2: 14 Jan 1994 (see s. 2 and </w:t>
            </w:r>
            <w:r>
              <w:rPr>
                <w:i/>
              </w:rPr>
              <w:t>Gazette</w:t>
            </w:r>
            <w:r>
              <w:t xml:space="preserve"> 14 Jan 1994 p. 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(No. 2) 1994</w:t>
            </w:r>
            <w:r>
              <w:t xml:space="preserve"> s. 46(1) and (6)</w:t>
            </w:r>
          </w:p>
        </w:tc>
        <w:tc>
          <w:tcPr>
            <w:tcW w:w="1134" w:type="dxa"/>
          </w:tcPr>
          <w:p>
            <w:pPr>
              <w:pStyle w:val="nTable"/>
              <w:spacing w:after="40"/>
            </w:pPr>
            <w:r>
              <w:t>84 of 1994</w:t>
            </w:r>
          </w:p>
        </w:tc>
        <w:tc>
          <w:tcPr>
            <w:tcW w:w="1134" w:type="dxa"/>
          </w:tcPr>
          <w:p>
            <w:pPr>
              <w:pStyle w:val="nTable"/>
              <w:spacing w:after="40"/>
            </w:pPr>
            <w:r>
              <w:t>13 Jan 1995</w:t>
            </w:r>
          </w:p>
        </w:tc>
        <w:tc>
          <w:tcPr>
            <w:tcW w:w="2552" w:type="dxa"/>
          </w:tcPr>
          <w:p>
            <w:pPr>
              <w:pStyle w:val="nTable"/>
              <w:spacing w:after="40"/>
            </w:pPr>
            <w:r>
              <w:t xml:space="preserve">1 Mar 1995 (see s. 2 and </w:t>
            </w:r>
            <w:r>
              <w:rPr>
                <w:i/>
              </w:rPr>
              <w:t>Gazette</w:t>
            </w:r>
            <w:r>
              <w:t xml:space="preserve"> 21 Feb 1995 p. 567)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Mar 1996</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1996</w:t>
            </w:r>
            <w:r>
              <w:t xml:space="preserve"> Pt. 3</w:t>
            </w:r>
          </w:p>
        </w:tc>
        <w:tc>
          <w:tcPr>
            <w:tcW w:w="1134" w:type="dxa"/>
          </w:tcPr>
          <w:p>
            <w:pPr>
              <w:pStyle w:val="nTable"/>
              <w:spacing w:after="40"/>
            </w:pPr>
            <w:r>
              <w:t>23 of 1996</w:t>
            </w:r>
          </w:p>
        </w:tc>
        <w:tc>
          <w:tcPr>
            <w:tcW w:w="1134" w:type="dxa"/>
          </w:tcPr>
          <w:p>
            <w:pPr>
              <w:pStyle w:val="nTable"/>
              <w:spacing w:after="40"/>
            </w:pPr>
            <w:r>
              <w:t>11 Jul 1996</w:t>
            </w:r>
          </w:p>
        </w:tc>
        <w:tc>
          <w:tcPr>
            <w:tcW w:w="2552" w:type="dxa"/>
          </w:tcPr>
          <w:p>
            <w:pPr>
              <w:pStyle w:val="nTable"/>
              <w:spacing w:after="40"/>
            </w:pPr>
            <w:r>
              <w:t xml:space="preserve">4 Aug 1996 (see s. 2 and </w:t>
            </w:r>
            <w:r>
              <w:rPr>
                <w:i/>
              </w:rPr>
              <w:t xml:space="preserve">Gazette </w:t>
            </w:r>
            <w:r>
              <w:t>2 Aug 1996 p. 3615)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(Assemblies and Noise) Act 1996</w:t>
            </w:r>
            <w:r>
              <w:t xml:space="preserve"> Pt. 3</w:t>
            </w:r>
          </w:p>
        </w:tc>
        <w:tc>
          <w:tcPr>
            <w:tcW w:w="1134" w:type="dxa"/>
          </w:tcPr>
          <w:p>
            <w:pPr>
              <w:pStyle w:val="nTable"/>
              <w:spacing w:after="40"/>
            </w:pPr>
            <w:r>
              <w:t>50 of 1996</w:t>
            </w:r>
          </w:p>
        </w:tc>
        <w:tc>
          <w:tcPr>
            <w:tcW w:w="1134" w:type="dxa"/>
          </w:tcPr>
          <w:p>
            <w:pPr>
              <w:pStyle w:val="nTable"/>
              <w:spacing w:after="40"/>
            </w:pPr>
            <w:r>
              <w:t>31 Oct 1996</w:t>
            </w:r>
          </w:p>
        </w:tc>
        <w:tc>
          <w:tcPr>
            <w:tcW w:w="2552" w:type="dxa"/>
          </w:tcPr>
          <w:p>
            <w:pPr>
              <w:pStyle w:val="nTable"/>
              <w:spacing w:after="40"/>
            </w:pPr>
            <w:r>
              <w:t xml:space="preserve">4 Dec 1996 (see s. 2 and </w:t>
            </w:r>
            <w:r>
              <w:rPr>
                <w:i/>
              </w:rPr>
              <w:t>Gazette</w:t>
            </w:r>
            <w:r>
              <w:t xml:space="preserve"> 3 Dec 1996 p. 6695)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Transfer of Land Amendment Act 1996</w:t>
            </w:r>
            <w:r>
              <w:t xml:space="preserve"> s. 153(1)</w:t>
            </w:r>
          </w:p>
        </w:tc>
        <w:tc>
          <w:tcPr>
            <w:tcW w:w="1134" w:type="dxa"/>
          </w:tcPr>
          <w:p>
            <w:pPr>
              <w:pStyle w:val="nTable"/>
              <w:keepNext/>
              <w:spacing w:after="40"/>
            </w:pPr>
            <w:r>
              <w:t>81 of 1996</w:t>
            </w:r>
          </w:p>
        </w:tc>
        <w:tc>
          <w:tcPr>
            <w:tcW w:w="1134" w:type="dxa"/>
          </w:tcPr>
          <w:p>
            <w:pPr>
              <w:pStyle w:val="nTable"/>
              <w:keepNext/>
              <w:spacing w:after="40"/>
            </w:pPr>
            <w:r>
              <w:t>14 Nov 1996</w:t>
            </w:r>
          </w:p>
        </w:tc>
        <w:tc>
          <w:tcPr>
            <w:tcW w:w="2552" w:type="dxa"/>
          </w:tcPr>
          <w:p>
            <w:pPr>
              <w:pStyle w:val="nTable"/>
              <w:keepNext/>
              <w:spacing w:after="40"/>
            </w:pPr>
            <w:r>
              <w:t>14 Nov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Act 1997</w:t>
            </w:r>
            <w:r>
              <w:t xml:space="preserve"> Pt. 25</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54</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Environmental Protection Amendment Act 1998</w:t>
            </w:r>
            <w:r>
              <w:rPr>
                <w:vertAlign w:val="superscript"/>
              </w:rPr>
              <w:t xml:space="preserve"> 8</w:t>
            </w:r>
          </w:p>
        </w:tc>
        <w:tc>
          <w:tcPr>
            <w:tcW w:w="1134" w:type="dxa"/>
          </w:tcPr>
          <w:p>
            <w:pPr>
              <w:pStyle w:val="nTable"/>
              <w:spacing w:after="40"/>
            </w:pPr>
            <w:r>
              <w:t>14 of 1998</w:t>
            </w:r>
          </w:p>
        </w:tc>
        <w:tc>
          <w:tcPr>
            <w:tcW w:w="1134" w:type="dxa"/>
          </w:tcPr>
          <w:p>
            <w:pPr>
              <w:pStyle w:val="nTable"/>
              <w:spacing w:after="40"/>
            </w:pPr>
            <w:r>
              <w:t>21 May 1998</w:t>
            </w:r>
          </w:p>
        </w:tc>
        <w:tc>
          <w:tcPr>
            <w:tcW w:w="2552" w:type="dxa"/>
          </w:tcPr>
          <w:p>
            <w:pPr>
              <w:pStyle w:val="nTable"/>
              <w:spacing w:after="40"/>
              <w:ind w:right="13"/>
            </w:pPr>
            <w:r>
              <w:t>s. 1</w:t>
            </w:r>
            <w:r>
              <w:noBreakHyphen/>
              <w:t>3, 21, 26, 27, 29, 32</w:t>
            </w:r>
            <w:r>
              <w:noBreakHyphen/>
              <w:t>34, 36 and 37: 21 May 1998 (see s. 2(1));</w:t>
            </w:r>
            <w:r>
              <w:br/>
              <w:t xml:space="preserve">s. 20: </w:t>
            </w:r>
            <w:r>
              <w:rPr>
                <w:spacing w:val="-6"/>
              </w:rPr>
              <w:t>1 Jul 1998</w:t>
            </w:r>
            <w:r>
              <w:t xml:space="preserve"> (see s. 2(2) </w:t>
            </w:r>
            <w:r>
              <w:rPr>
                <w:spacing w:val="-6"/>
              </w:rPr>
              <w:t>and</w:t>
            </w:r>
            <w:r>
              <w:t xml:space="preserve"> </w:t>
            </w:r>
            <w:r>
              <w:rPr>
                <w:i/>
              </w:rPr>
              <w:t>Gazette</w:t>
            </w:r>
            <w:r>
              <w:t xml:space="preserve"> </w:t>
            </w:r>
            <w:r>
              <w:rPr>
                <w:spacing w:val="-6"/>
              </w:rPr>
              <w:t>26 Jun 1998 p. 3369)</w:t>
            </w:r>
            <w:r>
              <w:t>;</w:t>
            </w:r>
            <w:r>
              <w:br/>
              <w:t>s. 4, 6</w:t>
            </w:r>
            <w:r>
              <w:noBreakHyphen/>
              <w:t>9, 11, 12 and 14 (to the extent that it inserts Pt. VIA heading, Div. 3 and 4 headings and s. 99Q</w:t>
            </w:r>
            <w:r>
              <w:noBreakHyphen/>
              <w:t>99X and 99Z</w:t>
            </w:r>
            <w:r>
              <w:noBreakHyphen/>
              <w:t>99ZB), 15</w:t>
            </w:r>
            <w:r>
              <w:noBreakHyphen/>
              <w:t>19, 22</w:t>
            </w:r>
            <w:r>
              <w:noBreakHyphen/>
              <w:t xml:space="preserve">25, 28, 30, 31 and 35: 1 Jul 1998 (see s. 2(3) and </w:t>
            </w:r>
            <w:r>
              <w:rPr>
                <w:i/>
              </w:rPr>
              <w:t>Gazette</w:t>
            </w:r>
            <w:r>
              <w:t xml:space="preserve"> 26 Jun 1998 p. 3369);</w:t>
            </w:r>
            <w:r>
              <w:br/>
              <w:t>s. 10, 13 and 14 (to the extent that it inserts Div. 1 and 2 headings and s. 99A</w:t>
            </w:r>
            <w:r>
              <w:noBreakHyphen/>
              <w:t xml:space="preserve">99P and 99Y): 8 Jan 1999 (see s. 2(3) and </w:t>
            </w:r>
            <w:r>
              <w:rPr>
                <w:i/>
              </w:rPr>
              <w:t>Gazette</w:t>
            </w:r>
            <w:r>
              <w:t xml:space="preserve"> 8 Jan 1999 p. 35);</w:t>
            </w:r>
            <w:r>
              <w:br/>
              <w:t xml:space="preserve">s. 5: 10 Sep 2005 (see s. 2(3) and </w:t>
            </w:r>
            <w:r>
              <w:rPr>
                <w:i/>
              </w:rPr>
              <w:t>Gazette</w:t>
            </w:r>
            <w:r>
              <w:t xml:space="preserve"> 9 Sep 2005 p. 4155)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lastRenderedPageBreak/>
              <w:t xml:space="preserve">Reprint of the </w:t>
            </w:r>
            <w:r>
              <w:rPr>
                <w:b/>
                <w:i/>
              </w:rPr>
              <w:t>Environmental Protection Act 1986</w:t>
            </w:r>
            <w:r>
              <w:rPr>
                <w:b/>
              </w:rPr>
              <w:t xml:space="preserve"> as at 16 Apr 1999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Midland Redevelopment Act 1999</w:t>
            </w:r>
            <w:r>
              <w:t xml:space="preserve"> s. 71</w:t>
            </w:r>
          </w:p>
        </w:tc>
        <w:tc>
          <w:tcPr>
            <w:tcW w:w="1134" w:type="dxa"/>
          </w:tcPr>
          <w:p>
            <w:pPr>
              <w:pStyle w:val="nTable"/>
              <w:spacing w:after="40"/>
            </w:pPr>
            <w:r>
              <w:t>38 of 1999</w:t>
            </w:r>
          </w:p>
        </w:tc>
        <w:tc>
          <w:tcPr>
            <w:tcW w:w="1134" w:type="dxa"/>
          </w:tcPr>
          <w:p>
            <w:pPr>
              <w:pStyle w:val="nTable"/>
              <w:spacing w:after="40"/>
            </w:pPr>
            <w:r>
              <w:t>11 Nov 1999</w:t>
            </w:r>
          </w:p>
        </w:tc>
        <w:tc>
          <w:tcPr>
            <w:tcW w:w="2552" w:type="dxa"/>
          </w:tcPr>
          <w:p>
            <w:pPr>
              <w:pStyle w:val="nTable"/>
              <w:spacing w:after="40"/>
            </w:pPr>
            <w:r>
              <w:t>1 Jan 2000 (see s. 2 and </w:t>
            </w:r>
            <w:r>
              <w:rPr>
                <w:i/>
              </w:rPr>
              <w:t>Gazette</w:t>
            </w:r>
            <w:r>
              <w:t xml:space="preserve"> 31 Dec 1999 p. 7059)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Jul 2000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Rights in Water and Irrigation Amendment Act 2000 </w:t>
            </w:r>
            <w:r>
              <w:t>s. 84</w:t>
            </w:r>
          </w:p>
        </w:tc>
        <w:tc>
          <w:tcPr>
            <w:tcW w:w="1134" w:type="dxa"/>
          </w:tcPr>
          <w:p>
            <w:pPr>
              <w:pStyle w:val="nTable"/>
              <w:spacing w:after="40"/>
            </w:pPr>
            <w:r>
              <w:t>49 of 2000</w:t>
            </w:r>
          </w:p>
        </w:tc>
        <w:tc>
          <w:tcPr>
            <w:tcW w:w="1134" w:type="dxa"/>
          </w:tcPr>
          <w:p>
            <w:pPr>
              <w:pStyle w:val="nTable"/>
              <w:spacing w:after="40"/>
            </w:pPr>
            <w:r>
              <w:t>28 Nov 2000</w:t>
            </w:r>
          </w:p>
        </w:tc>
        <w:tc>
          <w:tcPr>
            <w:tcW w:w="2552" w:type="dxa"/>
          </w:tcPr>
          <w:p>
            <w:pPr>
              <w:pStyle w:val="nTable"/>
              <w:spacing w:after="40"/>
            </w:pPr>
            <w:r>
              <w:t xml:space="preserve">10 Jan 2001 (see s. 2 and </w:t>
            </w:r>
            <w:r>
              <w:rPr>
                <w:i/>
              </w:rPr>
              <w:t>Gazette</w:t>
            </w:r>
            <w:r>
              <w:t xml:space="preserve"> 10 Jan 2001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Property Confiscation (Consequential Provisions) Act 2000 </w:t>
            </w:r>
            <w:r>
              <w:t>s. 13(1)</w:t>
            </w:r>
            <w:r>
              <w:rPr>
                <w:vertAlign w:val="superscript"/>
              </w:rPr>
              <w:t> 9</w:t>
            </w:r>
          </w:p>
        </w:tc>
        <w:tc>
          <w:tcPr>
            <w:tcW w:w="1134" w:type="dxa"/>
          </w:tcPr>
          <w:p>
            <w:pPr>
              <w:pStyle w:val="nTable"/>
              <w:spacing w:after="40"/>
            </w:pPr>
            <w:r>
              <w:t>69 of 2000</w:t>
            </w:r>
          </w:p>
        </w:tc>
        <w:tc>
          <w:tcPr>
            <w:tcW w:w="1134" w:type="dxa"/>
          </w:tcPr>
          <w:p>
            <w:pPr>
              <w:pStyle w:val="nTable"/>
              <w:spacing w:after="40"/>
            </w:pPr>
            <w:r>
              <w:t>6 Dec 2000</w:t>
            </w:r>
          </w:p>
        </w:tc>
        <w:tc>
          <w:tcPr>
            <w:tcW w:w="2552" w:type="dxa"/>
          </w:tcPr>
          <w:p>
            <w:pPr>
              <w:pStyle w:val="nTable"/>
              <w:spacing w:after="40"/>
            </w:pPr>
            <w:r>
              <w:t>1 Jan 2001 (see s. 2 and </w:t>
            </w:r>
            <w:r>
              <w:rPr>
                <w:i/>
              </w:rPr>
              <w:t>Gazette</w:t>
            </w:r>
            <w:r>
              <w:t xml:space="preserve"> 29 Dec 2000 p. 7903)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Hope Valley</w:t>
            </w:r>
            <w:r>
              <w:rPr>
                <w:i/>
              </w:rPr>
              <w:noBreakHyphen/>
              <w:t xml:space="preserve">Wattleup Redevelopment Act 2000 </w:t>
            </w:r>
            <w:r>
              <w:t>s. 37</w:t>
            </w:r>
          </w:p>
        </w:tc>
        <w:tc>
          <w:tcPr>
            <w:tcW w:w="1134" w:type="dxa"/>
          </w:tcPr>
          <w:p>
            <w:pPr>
              <w:pStyle w:val="nTable"/>
              <w:spacing w:after="40"/>
            </w:pPr>
            <w:r>
              <w:t>77 of 2000</w:t>
            </w:r>
          </w:p>
        </w:tc>
        <w:tc>
          <w:tcPr>
            <w:tcW w:w="1134" w:type="dxa"/>
          </w:tcPr>
          <w:p>
            <w:pPr>
              <w:pStyle w:val="nTable"/>
              <w:spacing w:after="40"/>
            </w:pPr>
            <w:r>
              <w:t>7 Dec 2000</w:t>
            </w:r>
          </w:p>
        </w:tc>
        <w:tc>
          <w:tcPr>
            <w:tcW w:w="2552" w:type="dxa"/>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Pt. 23</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Armadale Redevelopment Act 2001</w:t>
            </w:r>
            <w:r>
              <w:t xml:space="preserve"> s. 69</w:t>
            </w:r>
          </w:p>
        </w:tc>
        <w:tc>
          <w:tcPr>
            <w:tcW w:w="1134" w:type="dxa"/>
          </w:tcPr>
          <w:p>
            <w:pPr>
              <w:pStyle w:val="nTable"/>
              <w:spacing w:after="40"/>
            </w:pPr>
            <w:r>
              <w:t>25 of 2001</w:t>
            </w:r>
          </w:p>
        </w:tc>
        <w:tc>
          <w:tcPr>
            <w:tcW w:w="1134" w:type="dxa"/>
          </w:tcPr>
          <w:p>
            <w:pPr>
              <w:pStyle w:val="nTable"/>
              <w:spacing w:after="40"/>
            </w:pPr>
            <w:r>
              <w:t>26 Nov 2001</w:t>
            </w:r>
          </w:p>
        </w:tc>
        <w:tc>
          <w:tcPr>
            <w:tcW w:w="2552" w:type="dxa"/>
          </w:tcPr>
          <w:p>
            <w:pPr>
              <w:pStyle w:val="nTable"/>
              <w:spacing w:after="40"/>
            </w:pPr>
            <w:r>
              <w:t xml:space="preserve">23 Mar 2002 (see s. 2 and </w:t>
            </w:r>
            <w:r>
              <w:rPr>
                <w:i/>
              </w:rPr>
              <w:t>Gazette</w:t>
            </w:r>
            <w:r>
              <w:t xml:space="preserve"> 22 Mar 2002 p. 1651)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11 Jan 2002 </w:t>
            </w:r>
            <w:r>
              <w:t xml:space="preserve">(includes amendments listed above except those in the </w:t>
            </w:r>
            <w:r>
              <w:rPr>
                <w:i/>
              </w:rPr>
              <w:t>Environmental Protection Amendment Act 1998</w:t>
            </w:r>
            <w:r>
              <w:t xml:space="preserve"> s. 5 and the </w:t>
            </w:r>
            <w:r>
              <w:rPr>
                <w:i/>
              </w:rPr>
              <w:t>Armadale Redevelopment Act 2001</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2003</w:t>
            </w:r>
            <w:r>
              <w:rPr>
                <w:vertAlign w:val="superscript"/>
              </w:rPr>
              <w:t xml:space="preserve"> 10-14</w:t>
            </w:r>
          </w:p>
        </w:tc>
        <w:tc>
          <w:tcPr>
            <w:tcW w:w="1134" w:type="dxa"/>
          </w:tcPr>
          <w:p>
            <w:pPr>
              <w:pStyle w:val="nTable"/>
              <w:spacing w:after="40"/>
            </w:pPr>
            <w:r>
              <w:t>54 of 2003 (as amended by No. 8 of 2009 s. 54)</w:t>
            </w:r>
          </w:p>
        </w:tc>
        <w:tc>
          <w:tcPr>
            <w:tcW w:w="1134" w:type="dxa"/>
          </w:tcPr>
          <w:p>
            <w:pPr>
              <w:pStyle w:val="nTable"/>
              <w:spacing w:after="40"/>
            </w:pPr>
            <w:r>
              <w:t>20 Oct 2003</w:t>
            </w:r>
          </w:p>
        </w:tc>
        <w:tc>
          <w:tcPr>
            <w:tcW w:w="2552" w:type="dxa"/>
          </w:tcPr>
          <w:p>
            <w:pPr>
              <w:pStyle w:val="nTable"/>
              <w:keepNext/>
              <w:spacing w:after="40"/>
            </w:pPr>
            <w:r>
              <w:t>s. 1 and 2: 20 Oct 2003;</w:t>
            </w:r>
            <w:r>
              <w:br/>
              <w:t xml:space="preserve">Act other than s. 1, 2, 37, 54(2), 55, 72(2) and (4), 75(3) and (4) and Pt. 9: 19 Nov 2003 (see s. 2 and </w:t>
            </w:r>
            <w:r>
              <w:rPr>
                <w:i/>
              </w:rPr>
              <w:t>Gazette</w:t>
            </w:r>
            <w:r>
              <w:t xml:space="preserve"> 18 Nov 2003 p. 4723);</w:t>
            </w:r>
            <w:r>
              <w:br/>
              <w:t xml:space="preserve">s. 37, 54(2), 55, 72(2) and (4), 75(3) and (4) and Pt. 9: 8 Jul 2004 (see s. 2 and </w:t>
            </w:r>
            <w:r>
              <w:rPr>
                <w:i/>
              </w:rPr>
              <w:t>Gazette</w:t>
            </w:r>
            <w:r>
              <w:t xml:space="preserve"> 30 Jun 2004 p. 2581)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lastRenderedPageBreak/>
              <w:t xml:space="preserve">Contaminated Sites Act 2003 </w:t>
            </w:r>
            <w:r>
              <w:rPr>
                <w:snapToGrid w:val="0"/>
              </w:rPr>
              <w:t xml:space="preserve">s. 100 </w:t>
            </w:r>
          </w:p>
        </w:tc>
        <w:tc>
          <w:tcPr>
            <w:tcW w:w="1134" w:type="dxa"/>
          </w:tcPr>
          <w:p>
            <w:pPr>
              <w:pStyle w:val="nTable"/>
              <w:spacing w:after="40"/>
              <w:rPr>
                <w:snapToGrid w:val="0"/>
              </w:rPr>
            </w:pPr>
            <w:r>
              <w:t>60 of 2003</w:t>
            </w:r>
            <w:r>
              <w:br/>
              <w:t>(as amended by No. 40 of 2005 s. 13)</w:t>
            </w:r>
          </w:p>
        </w:tc>
        <w:tc>
          <w:tcPr>
            <w:tcW w:w="1134" w:type="dxa"/>
          </w:tcPr>
          <w:p>
            <w:pPr>
              <w:pStyle w:val="nTable"/>
              <w:spacing w:after="40"/>
            </w:pPr>
            <w:r>
              <w:t>7 Nov 2003</w:t>
            </w:r>
          </w:p>
        </w:tc>
        <w:tc>
          <w:tcPr>
            <w:tcW w:w="2552" w:type="dxa"/>
          </w:tcPr>
          <w:p>
            <w:pPr>
              <w:pStyle w:val="nTable"/>
              <w:spacing w:after="40"/>
            </w:pPr>
            <w:r>
              <w:t xml:space="preserve">1 Dec 2006 (see s. 2 and </w:t>
            </w:r>
            <w:r>
              <w:rPr>
                <w:i/>
              </w:rPr>
              <w:t>Gazette</w:t>
            </w:r>
            <w:r>
              <w:t xml:space="preserve"> 8 Aug 2006 p. 2899)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5: The </w:t>
            </w:r>
            <w:r>
              <w:rPr>
                <w:b/>
                <w:i/>
              </w:rPr>
              <w:t>Environmental Protection Act 1986</w:t>
            </w:r>
            <w:r>
              <w:rPr>
                <w:b/>
              </w:rPr>
              <w:t xml:space="preserve"> as at 16 Sep 2005 </w:t>
            </w:r>
            <w:r>
              <w:t xml:space="preserve">(includes amendments listed above except those in the </w:t>
            </w:r>
            <w:r>
              <w:rPr>
                <w:i/>
              </w:rPr>
              <w:t>Contaminated Sites Act 2003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rPr>
                <w:snapToGrid w:val="0"/>
              </w:rPr>
            </w:pPr>
            <w:r>
              <w:t>12 Dec 2005</w:t>
            </w:r>
          </w:p>
        </w:tc>
        <w:tc>
          <w:tcPr>
            <w:tcW w:w="2552"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Machinery of Government (Miscellaneous Amendments) Act 2006</w:t>
            </w:r>
            <w:r>
              <w:rPr>
                <w:snapToGrid w:val="0"/>
              </w:rPr>
              <w:t xml:space="preserve"> Pt. 7 Div. 2</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t xml:space="preserve">1 Jul 2006 (see s. 2 and </w:t>
            </w:r>
            <w:r>
              <w:rPr>
                <w:i/>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59</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 xml:space="preserve">Waste Avoidance and Resource Recovery Act 2007 </w:t>
            </w:r>
            <w:r>
              <w:rPr>
                <w:iCs/>
                <w:snapToGrid w:val="0"/>
              </w:rPr>
              <w:t xml:space="preserve">Sch. 4 </w:t>
            </w:r>
            <w:r>
              <w:rPr>
                <w:snapToGrid w:val="0"/>
              </w:rPr>
              <w:t>cl. 2(1), (2), (4) and (5)</w:t>
            </w:r>
            <w:r>
              <w:rPr>
                <w:snapToGrid w:val="0"/>
                <w:vertAlign w:val="superscript"/>
              </w:rPr>
              <w:t> 15</w:t>
            </w:r>
          </w:p>
        </w:tc>
        <w:tc>
          <w:tcPr>
            <w:tcW w:w="1134" w:type="dxa"/>
          </w:tcPr>
          <w:p>
            <w:pPr>
              <w:pStyle w:val="nTable"/>
              <w:spacing w:after="40"/>
              <w:rPr>
                <w:snapToGrid w:val="0"/>
              </w:rPr>
            </w:pPr>
            <w:r>
              <w:rPr>
                <w:snapToGrid w:val="0"/>
              </w:rPr>
              <w:t>36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Sch. 4 cl. 2(1), (2) and (4):</w:t>
            </w:r>
            <w:r>
              <w:rPr>
                <w:snapToGrid w:val="0"/>
              </w:rPr>
              <w:br/>
              <w:t xml:space="preserve">9 Jan 2008 (see s. 2(b) and </w:t>
            </w:r>
            <w:r>
              <w:rPr>
                <w:i/>
                <w:iCs/>
                <w:snapToGrid w:val="0"/>
              </w:rPr>
              <w:t>Gazette</w:t>
            </w:r>
            <w:r>
              <w:rPr>
                <w:snapToGrid w:val="0"/>
              </w:rPr>
              <w:t xml:space="preserve"> 8 Jan 2008 p. 33);</w:t>
            </w:r>
            <w:r>
              <w:rPr>
                <w:snapToGrid w:val="0"/>
              </w:rPr>
              <w:br/>
              <w:t xml:space="preserve">Sch. 4 cl. 2(5): 1 Jul 2008 (see s. 2(b) and </w:t>
            </w:r>
            <w:r>
              <w:rPr>
                <w:i/>
                <w:iCs/>
                <w:snapToGrid w:val="0"/>
              </w:rPr>
              <w:t>Gazette</w:t>
            </w:r>
            <w:r>
              <w:rPr>
                <w:snapToGrid w:val="0"/>
              </w:rPr>
              <w:t xml:space="preserve"> 20 Jun 2008 p. 2705)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194 </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keepNext/>
              <w:spacing w:after="40"/>
            </w:pPr>
            <w:r>
              <w:rPr>
                <w:b/>
              </w:rPr>
              <w:lastRenderedPageBreak/>
              <w:t xml:space="preserve">Reprint 6: The </w:t>
            </w:r>
            <w:r>
              <w:rPr>
                <w:b/>
                <w:i/>
              </w:rPr>
              <w:t>Environmental Protection Act 1986</w:t>
            </w:r>
            <w:r>
              <w:rPr>
                <w:b/>
              </w:rPr>
              <w:t xml:space="preserve"> as at 11 Apr 2008 </w:t>
            </w:r>
            <w:r>
              <w:t xml:space="preserve">(includes amendments listed above, except those in the </w:t>
            </w:r>
            <w:r>
              <w:rPr>
                <w:i/>
                <w:iCs/>
              </w:rPr>
              <w:t>Waste Avoidance and Resource Recovery Act 2007</w:t>
            </w:r>
            <w:r>
              <w:t xml:space="preserve"> </w:t>
            </w:r>
            <w:r>
              <w:rPr>
                <w:snapToGrid w:val="0"/>
              </w:rPr>
              <w:t>Sch. 4 cl. 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53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35</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Bush Fires Amendment Act 2009 </w:t>
            </w:r>
            <w:r>
              <w:rPr>
                <w:iCs/>
                <w:snapToGrid w:val="0"/>
              </w:rPr>
              <w:t xml:space="preserve"> s. 20</w:t>
            </w:r>
          </w:p>
        </w:tc>
        <w:tc>
          <w:tcPr>
            <w:tcW w:w="1134" w:type="dxa"/>
          </w:tcPr>
          <w:p>
            <w:pPr>
              <w:pStyle w:val="nTable"/>
              <w:spacing w:after="40"/>
            </w:pPr>
            <w:r>
              <w:rPr>
                <w:snapToGrid w:val="0"/>
              </w:rPr>
              <w:t>25 of 2009</w:t>
            </w:r>
          </w:p>
        </w:tc>
        <w:tc>
          <w:tcPr>
            <w:tcW w:w="1134" w:type="dxa"/>
          </w:tcPr>
          <w:p>
            <w:pPr>
              <w:pStyle w:val="nTable"/>
              <w:spacing w:after="40"/>
            </w:pPr>
            <w:r>
              <w:rPr>
                <w:snapToGrid w:val="0"/>
              </w:rPr>
              <w:t>17 Nov 2009</w:t>
            </w:r>
          </w:p>
        </w:tc>
        <w:tc>
          <w:tcPr>
            <w:tcW w:w="2552" w:type="dxa"/>
          </w:tcPr>
          <w:p>
            <w:pPr>
              <w:pStyle w:val="nTable"/>
              <w:spacing w:after="40"/>
            </w:pPr>
            <w:r>
              <w:rPr>
                <w:snapToGrid w:val="0"/>
              </w:rPr>
              <w:t xml:space="preserve">1 Dec 2009 (see s. 2(b) and </w:t>
            </w:r>
            <w:r>
              <w:rPr>
                <w:i/>
                <w:snapToGrid w:val="0"/>
              </w:rPr>
              <w:t>Gazette</w:t>
            </w:r>
            <w:r>
              <w:rPr>
                <w:iCs/>
                <w:snapToGrid w:val="0"/>
              </w:rPr>
              <w:t xml:space="preserve"> 1 Dec 2009 p. 4829</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Approvals and Related Reforms (No. 3) (Crown Land) Act 2010</w:t>
            </w:r>
            <w:r>
              <w:rPr>
                <w:iCs/>
                <w:snapToGrid w:val="0"/>
              </w:rPr>
              <w:t xml:space="preserve"> Pt. 4</w:t>
            </w:r>
          </w:p>
        </w:tc>
        <w:tc>
          <w:tcPr>
            <w:tcW w:w="1134" w:type="dxa"/>
          </w:tcPr>
          <w:p>
            <w:pPr>
              <w:pStyle w:val="nTable"/>
              <w:spacing w:after="40"/>
            </w:pPr>
            <w:r>
              <w:t>8 of 2010</w:t>
            </w:r>
          </w:p>
        </w:tc>
        <w:tc>
          <w:tcPr>
            <w:tcW w:w="1134" w:type="dxa"/>
          </w:tcPr>
          <w:p>
            <w:pPr>
              <w:pStyle w:val="nTable"/>
              <w:spacing w:after="40"/>
            </w:pPr>
            <w:r>
              <w:t>3 Jun 2010</w:t>
            </w:r>
          </w:p>
        </w:tc>
        <w:tc>
          <w:tcPr>
            <w:tcW w:w="2552" w:type="dxa"/>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4) (Planning) Act 2010</w:t>
            </w:r>
            <w:r>
              <w:t xml:space="preserve"> Pt. 2 Div. 2 Subdiv. 1</w:t>
            </w:r>
          </w:p>
        </w:tc>
        <w:tc>
          <w:tcPr>
            <w:tcW w:w="1134" w:type="dxa"/>
          </w:tcPr>
          <w:p>
            <w:pPr>
              <w:pStyle w:val="nTable"/>
              <w:spacing w:after="40"/>
              <w:rPr>
                <w:snapToGrid w:val="0"/>
              </w:rPr>
            </w:pPr>
            <w:r>
              <w:rPr>
                <w:snapToGrid w:val="0"/>
              </w:rPr>
              <w:t>28 of 2010</w:t>
            </w:r>
          </w:p>
        </w:tc>
        <w:tc>
          <w:tcPr>
            <w:tcW w:w="1134" w:type="dxa"/>
          </w:tcPr>
          <w:p>
            <w:pPr>
              <w:pStyle w:val="nTable"/>
              <w:spacing w:after="40"/>
              <w:rPr>
                <w:snapToGrid w:val="0"/>
              </w:rPr>
            </w:pPr>
            <w:r>
              <w:rPr>
                <w:snapToGrid w:val="0"/>
              </w:rPr>
              <w:t>19 Aug 2010</w:t>
            </w:r>
          </w:p>
        </w:tc>
        <w:tc>
          <w:tcPr>
            <w:tcW w:w="2552" w:type="dxa"/>
          </w:tcPr>
          <w:p>
            <w:pPr>
              <w:pStyle w:val="nTable"/>
              <w:spacing w:after="40"/>
              <w:rPr>
                <w:snapToGrid w:val="0"/>
              </w:rPr>
            </w:pPr>
            <w:r>
              <w:t xml:space="preserve">22 Nov 2010 (see s. 2(b) and </w:t>
            </w:r>
            <w:r>
              <w:rPr>
                <w:i/>
                <w:iCs/>
              </w:rPr>
              <w:t>Gazette</w:t>
            </w:r>
            <w:r>
              <w:t xml:space="preserve"> 19 Nov 2010 p. 5709)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1) (Environment) Act 2010</w:t>
            </w:r>
            <w:r>
              <w:rPr>
                <w:iCs/>
                <w:snapToGrid w:val="0"/>
              </w:rPr>
              <w:t xml:space="preserve"> </w:t>
            </w:r>
          </w:p>
        </w:tc>
        <w:tc>
          <w:tcPr>
            <w:tcW w:w="1134" w:type="dxa"/>
          </w:tcPr>
          <w:p>
            <w:pPr>
              <w:pStyle w:val="nTable"/>
              <w:spacing w:after="40"/>
              <w:rPr>
                <w:snapToGrid w:val="0"/>
              </w:rPr>
            </w:pPr>
            <w:r>
              <w:rPr>
                <w:snapToGrid w:val="0"/>
              </w:rPr>
              <w:t>40 of 2010</w:t>
            </w:r>
          </w:p>
        </w:tc>
        <w:tc>
          <w:tcPr>
            <w:tcW w:w="1134" w:type="dxa"/>
          </w:tcPr>
          <w:p>
            <w:pPr>
              <w:pStyle w:val="nTable"/>
              <w:spacing w:after="40"/>
              <w:rPr>
                <w:snapToGrid w:val="0"/>
              </w:rPr>
            </w:pPr>
            <w:r>
              <w:rPr>
                <w:snapToGrid w:val="0"/>
              </w:rPr>
              <w:t>28 Oct 2010</w:t>
            </w:r>
          </w:p>
        </w:tc>
        <w:tc>
          <w:tcPr>
            <w:tcW w:w="2552" w:type="dxa"/>
          </w:tcPr>
          <w:p>
            <w:pPr>
              <w:pStyle w:val="nTable"/>
              <w:spacing w:after="40"/>
            </w:pPr>
            <w:r>
              <w:rPr>
                <w:snapToGrid w:val="0"/>
                <w:spacing w:val="-2"/>
              </w:rPr>
              <w:t>Pt. 1 other than s. 3: 28 Oct 2010 (see s. 2(a));</w:t>
            </w:r>
            <w:r>
              <w:rPr>
                <w:snapToGrid w:val="0"/>
                <w:spacing w:val="-2"/>
              </w:rPr>
              <w:br/>
              <w:t xml:space="preserve">Act other than Pt. 1 heading, s. 1 and 2: 26 Nov 2010 (see s. 2(b) and </w:t>
            </w:r>
            <w:r>
              <w:rPr>
                <w:i/>
                <w:snapToGrid w:val="0"/>
                <w:spacing w:val="-2"/>
              </w:rPr>
              <w:t>Gazette</w:t>
            </w:r>
            <w:r>
              <w:rPr>
                <w:snapToGrid w:val="0"/>
                <w:spacing w:val="-2"/>
              </w:rPr>
              <w:t xml:space="preserve"> 23 Nov 2010 p. 5851)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Environmental Protection Amendment Act 2010</w:t>
            </w:r>
          </w:p>
        </w:tc>
        <w:tc>
          <w:tcPr>
            <w:tcW w:w="1134" w:type="dxa"/>
          </w:tcPr>
          <w:p>
            <w:pPr>
              <w:pStyle w:val="nTable"/>
              <w:spacing w:after="40"/>
              <w:rPr>
                <w:snapToGrid w:val="0"/>
              </w:rPr>
            </w:pPr>
            <w:r>
              <w:rPr>
                <w:snapToGrid w:val="0"/>
              </w:rPr>
              <w:t>48 of 2010</w:t>
            </w:r>
          </w:p>
        </w:tc>
        <w:tc>
          <w:tcPr>
            <w:tcW w:w="1134" w:type="dxa"/>
          </w:tcPr>
          <w:p>
            <w:pPr>
              <w:pStyle w:val="nTable"/>
              <w:spacing w:after="40"/>
              <w:rPr>
                <w:snapToGrid w:val="0"/>
              </w:rPr>
            </w:pPr>
            <w:r>
              <w:rPr>
                <w:snapToGrid w:val="0"/>
              </w:rPr>
              <w:t>24 Nov 2010</w:t>
            </w:r>
          </w:p>
        </w:tc>
        <w:tc>
          <w:tcPr>
            <w:tcW w:w="2552" w:type="dxa"/>
          </w:tcPr>
          <w:p>
            <w:pPr>
              <w:pStyle w:val="nTable"/>
              <w:spacing w:after="40"/>
            </w:pPr>
            <w:r>
              <w:rPr>
                <w:snapToGrid w:val="0"/>
                <w:spacing w:val="-2"/>
              </w:rPr>
              <w:t>s. 1 and 2: 24 Nov 2010 (see s. 2(a));</w:t>
            </w:r>
            <w:r>
              <w:rPr>
                <w:snapToGrid w:val="0"/>
                <w:spacing w:val="-2"/>
              </w:rPr>
              <w:br/>
              <w:t>Act other than s. 1 and 2: 25 Nov 2010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spacing w:val="-2"/>
              </w:rPr>
            </w:pPr>
            <w:r>
              <w:rPr>
                <w:b/>
              </w:rPr>
              <w:t xml:space="preserve">Reprint 7: The </w:t>
            </w:r>
            <w:r>
              <w:rPr>
                <w:b/>
                <w:i/>
              </w:rPr>
              <w:t>Environmental Protection Act 1986</w:t>
            </w:r>
            <w:r>
              <w:rPr>
                <w:b/>
              </w:rPr>
              <w:t xml:space="preserve"> as at 11 Feb 2011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rPr>
                <w:i/>
                <w:snapToGrid w:val="0"/>
              </w:rPr>
            </w:pPr>
            <w:r>
              <w:rPr>
                <w:i/>
                <w:snapToGrid w:val="0"/>
              </w:rPr>
              <w:lastRenderedPageBreak/>
              <w:t xml:space="preserve">Metropolitan Redevelopment Authority Act 2011 </w:t>
            </w:r>
            <w:r>
              <w:rPr>
                <w:snapToGrid w:val="0"/>
              </w:rPr>
              <w:t>s. 137</w:t>
            </w:r>
          </w:p>
        </w:tc>
        <w:tc>
          <w:tcPr>
            <w:tcW w:w="1134" w:type="dxa"/>
          </w:tcPr>
          <w:p>
            <w:pPr>
              <w:pStyle w:val="nTable"/>
              <w:keepNext/>
              <w:spacing w:after="40"/>
              <w:rPr>
                <w:snapToGrid w:val="0"/>
              </w:rPr>
            </w:pPr>
            <w:r>
              <w:rPr>
                <w:snapToGrid w:val="0"/>
              </w:rPr>
              <w:t>45 of 2011</w:t>
            </w:r>
          </w:p>
        </w:tc>
        <w:tc>
          <w:tcPr>
            <w:tcW w:w="1134" w:type="dxa"/>
          </w:tcPr>
          <w:p>
            <w:pPr>
              <w:pStyle w:val="nTable"/>
              <w:keepNext/>
              <w:spacing w:after="40"/>
              <w:rPr>
                <w:snapToGrid w:val="0"/>
              </w:rPr>
            </w:pPr>
            <w:r>
              <w:rPr>
                <w:snapToGrid w:val="0"/>
              </w:rPr>
              <w:t>12 Oct 2011</w:t>
            </w:r>
          </w:p>
        </w:tc>
        <w:tc>
          <w:tcPr>
            <w:tcW w:w="2552" w:type="dxa"/>
          </w:tcPr>
          <w:p>
            <w:pPr>
              <w:pStyle w:val="nTable"/>
              <w:keepNext/>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Agricultural Practices (Disputes) Repeal Act 2011 </w:t>
            </w:r>
            <w:r>
              <w:rPr>
                <w:snapToGrid w:val="0"/>
              </w:rPr>
              <w:t>s. 4</w:t>
            </w:r>
          </w:p>
        </w:tc>
        <w:tc>
          <w:tcPr>
            <w:tcW w:w="1134" w:type="dxa"/>
          </w:tcPr>
          <w:p>
            <w:pPr>
              <w:pStyle w:val="nTable"/>
              <w:spacing w:after="40"/>
              <w:rPr>
                <w:snapToGrid w:val="0"/>
              </w:rPr>
            </w:pPr>
            <w:r>
              <w:rPr>
                <w:snapToGrid w:val="0"/>
              </w:rPr>
              <w:t>54 of 2011</w:t>
            </w:r>
          </w:p>
        </w:tc>
        <w:tc>
          <w:tcPr>
            <w:tcW w:w="1134" w:type="dxa"/>
          </w:tcPr>
          <w:p>
            <w:pPr>
              <w:pStyle w:val="nTable"/>
              <w:spacing w:after="40"/>
              <w:rPr>
                <w:snapToGrid w:val="0"/>
              </w:rPr>
            </w:pPr>
            <w:r>
              <w:rPr>
                <w:snapToGrid w:val="0"/>
              </w:rPr>
              <w:t>9 Nov 2011</w:t>
            </w:r>
          </w:p>
        </w:tc>
        <w:tc>
          <w:tcPr>
            <w:tcW w:w="2552" w:type="dxa"/>
          </w:tcPr>
          <w:p>
            <w:pPr>
              <w:pStyle w:val="nTable"/>
              <w:spacing w:after="40"/>
              <w:rPr>
                <w:snapToGrid w:val="0"/>
              </w:rPr>
            </w:pPr>
            <w:r>
              <w:rPr>
                <w:snapToGrid w:val="0"/>
              </w:rPr>
              <w:t>7 Dec 2011 (see note under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Road Traffic Legislation Amendment Act 2012 </w:t>
            </w:r>
            <w:r>
              <w:rPr>
                <w:snapToGrid w:val="0"/>
              </w:rPr>
              <w:t>Pt. 4 Div. 20</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rPr>
                <w:snapToGrid w:val="0"/>
              </w:rP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Fire and Emergency Services Legislation Amendment Act 2012</w:t>
            </w:r>
            <w:r>
              <w:rPr>
                <w:snapToGrid w:val="0"/>
              </w:rPr>
              <w:t xml:space="preserve"> Pt. 7 Div. 6</w:t>
            </w:r>
            <w:r>
              <w:rPr>
                <w:snapToGrid w:val="0"/>
                <w:vertAlign w:val="superscript"/>
              </w:rPr>
              <w:t> </w:t>
            </w:r>
          </w:p>
        </w:tc>
        <w:tc>
          <w:tcPr>
            <w:tcW w:w="1134" w:type="dxa"/>
            <w:shd w:val="clear" w:color="auto" w:fill="auto"/>
          </w:tcPr>
          <w:p>
            <w:pPr>
              <w:pStyle w:val="nTable"/>
              <w:spacing w:after="40"/>
              <w:rPr>
                <w:snapToGrid w:val="0"/>
              </w:rPr>
            </w:pPr>
            <w:r>
              <w:rPr>
                <w:snapToGrid w:val="0"/>
              </w:rPr>
              <w:t>22 of 2012</w:t>
            </w:r>
          </w:p>
        </w:tc>
        <w:tc>
          <w:tcPr>
            <w:tcW w:w="1134" w:type="dxa"/>
            <w:shd w:val="clear" w:color="auto" w:fill="auto"/>
          </w:tcPr>
          <w:p>
            <w:pPr>
              <w:pStyle w:val="nTable"/>
              <w:spacing w:after="40"/>
              <w:rPr>
                <w:snapToGrid w:val="0"/>
              </w:rPr>
            </w:pPr>
            <w:r>
              <w:rPr>
                <w:snapToGrid w:val="0"/>
              </w:rPr>
              <w:t>29 Aug 2012</w:t>
            </w:r>
          </w:p>
        </w:tc>
        <w:tc>
          <w:tcPr>
            <w:tcW w:w="2552" w:type="dxa"/>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Water Services Legislation Amendment and Repeal Act 2012</w:t>
            </w:r>
            <w:r>
              <w:rPr>
                <w:snapToGrid w:val="0"/>
              </w:rPr>
              <w:t xml:space="preserve"> s. 211</w:t>
            </w:r>
          </w:p>
        </w:tc>
        <w:tc>
          <w:tcPr>
            <w:tcW w:w="1134" w:type="dxa"/>
            <w:shd w:val="clear" w:color="auto" w:fill="auto"/>
          </w:tcPr>
          <w:p>
            <w:pPr>
              <w:pStyle w:val="nTable"/>
              <w:spacing w:after="40"/>
              <w:rPr>
                <w:snapToGrid w:val="0"/>
              </w:rPr>
            </w:pPr>
            <w:r>
              <w:rPr>
                <w:snapToGrid w:val="0"/>
              </w:rPr>
              <w:t>25 of 2012</w:t>
            </w:r>
          </w:p>
        </w:tc>
        <w:tc>
          <w:tcPr>
            <w:tcW w:w="1134" w:type="dxa"/>
            <w:shd w:val="clear" w:color="auto" w:fill="auto"/>
          </w:tcPr>
          <w:p>
            <w:pPr>
              <w:pStyle w:val="nTable"/>
              <w:spacing w:after="40"/>
              <w:rPr>
                <w:snapToGrid w:val="0"/>
              </w:rPr>
            </w:pPr>
            <w:r>
              <w:rPr>
                <w:snapToGrid w:val="0"/>
              </w:rPr>
              <w:t>3 Sep 2012</w:t>
            </w:r>
          </w:p>
        </w:tc>
        <w:tc>
          <w:tcPr>
            <w:tcW w:w="2552"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 xml:space="preserve">Reprint 8: The </w:t>
            </w:r>
            <w:r>
              <w:rPr>
                <w:b/>
                <w:i/>
              </w:rPr>
              <w:t>Environmental Protection Act 1986</w:t>
            </w:r>
            <w:r>
              <w:rPr>
                <w:b/>
              </w:rPr>
              <w:t xml:space="preserve"> as at 17 May 2013 </w:t>
            </w:r>
            <w:r>
              <w:t xml:space="preserve">(includes amendments listed above except those in the </w:t>
            </w:r>
            <w:r>
              <w:rPr>
                <w:i/>
                <w:snapToGrid w:val="0"/>
              </w:rPr>
              <w:t xml:space="preserve">Water Services Legislation Amendment and Repeal Act 2012 </w:t>
            </w:r>
            <w:r>
              <w:rPr>
                <w:snapToGrid w:val="0"/>
              </w:rPr>
              <w:t>and the</w:t>
            </w:r>
            <w:r>
              <w:rPr>
                <w:i/>
                <w:snapToGrid w:val="0"/>
              </w:rPr>
              <w:t xml:space="preserve"> Road Traffic Legislation Amendment Act 2012</w:t>
            </w:r>
            <w:r>
              <w:t>)</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Environmental Protection Amendment (Validation) Act 2014</w:t>
            </w:r>
          </w:p>
        </w:tc>
        <w:tc>
          <w:tcPr>
            <w:tcW w:w="1134" w:type="dxa"/>
            <w:shd w:val="clear" w:color="auto" w:fill="auto"/>
          </w:tcPr>
          <w:p>
            <w:pPr>
              <w:pStyle w:val="nTable"/>
              <w:spacing w:after="40"/>
              <w:rPr>
                <w:snapToGrid w:val="0"/>
              </w:rPr>
            </w:pPr>
            <w:r>
              <w:rPr>
                <w:snapToGrid w:val="0"/>
              </w:rPr>
              <w:t>27 of 2014</w:t>
            </w:r>
          </w:p>
        </w:tc>
        <w:tc>
          <w:tcPr>
            <w:tcW w:w="1134" w:type="dxa"/>
            <w:shd w:val="clear" w:color="auto" w:fill="auto"/>
          </w:tcPr>
          <w:p>
            <w:pPr>
              <w:pStyle w:val="nTable"/>
              <w:spacing w:after="40"/>
              <w:rPr>
                <w:snapToGrid w:val="0"/>
              </w:rPr>
            </w:pPr>
            <w:r>
              <w:rPr>
                <w:snapToGrid w:val="0"/>
              </w:rPr>
              <w:t>27 Nov 2014</w:t>
            </w:r>
          </w:p>
        </w:tc>
        <w:tc>
          <w:tcPr>
            <w:tcW w:w="2552" w:type="dxa"/>
            <w:shd w:val="clear" w:color="auto" w:fill="auto"/>
          </w:tcPr>
          <w:p>
            <w:pPr>
              <w:pStyle w:val="nTable"/>
              <w:spacing w:after="40"/>
              <w:rPr>
                <w:snapToGrid w:val="0"/>
              </w:rPr>
            </w:pPr>
            <w:r>
              <w:rPr>
                <w:snapToGrid w:val="0"/>
              </w:rPr>
              <w:t>27 Nov 2014 (see s. 2)</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Biodiversity Conservation Act 2016</w:t>
            </w:r>
            <w:r>
              <w:rPr>
                <w:snapToGrid w:val="0"/>
              </w:rPr>
              <w:t xml:space="preserve"> s. 314</w:t>
            </w:r>
          </w:p>
        </w:tc>
        <w:tc>
          <w:tcPr>
            <w:tcW w:w="1134" w:type="dxa"/>
            <w:shd w:val="clear" w:color="auto" w:fill="auto"/>
          </w:tcPr>
          <w:p>
            <w:pPr>
              <w:pStyle w:val="nTable"/>
              <w:spacing w:after="40"/>
              <w:rPr>
                <w:snapToGrid w:val="0"/>
              </w:rPr>
            </w:pPr>
            <w:r>
              <w:t>24 of 2016</w:t>
            </w:r>
          </w:p>
        </w:tc>
        <w:tc>
          <w:tcPr>
            <w:tcW w:w="1134" w:type="dxa"/>
            <w:shd w:val="clear" w:color="auto" w:fill="auto"/>
          </w:tcPr>
          <w:p>
            <w:pPr>
              <w:pStyle w:val="nTable"/>
              <w:spacing w:after="40"/>
              <w:rPr>
                <w:snapToGrid w:val="0"/>
              </w:rPr>
            </w:pPr>
            <w:r>
              <w:t>21 Sep 2016</w:t>
            </w:r>
          </w:p>
        </w:tc>
        <w:tc>
          <w:tcPr>
            <w:tcW w:w="2552" w:type="dxa"/>
            <w:shd w:val="clear" w:color="auto" w:fill="auto"/>
          </w:tcPr>
          <w:p>
            <w:pPr>
              <w:pStyle w:val="nTable"/>
              <w:spacing w:after="40"/>
              <w:rPr>
                <w:snapToGrid w:val="0"/>
              </w:rPr>
            </w:pPr>
            <w:r>
              <w:t xml:space="preserve">1 Jan 2019 (see s. 2(b) and </w:t>
            </w:r>
            <w:r>
              <w:rPr>
                <w:i/>
              </w:rPr>
              <w:t>Gazette</w:t>
            </w:r>
            <w:r>
              <w:t xml:space="preserve"> 14 Sep 2018 p. 3305)</w:t>
            </w:r>
          </w:p>
        </w:tc>
      </w:tr>
      <w:tr>
        <w:trPr>
          <w:cantSplit/>
          <w:tblHeader/>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Environmental Protection Act 1986</w:t>
            </w:r>
            <w:r>
              <w:rPr>
                <w:b/>
                <w:snapToGrid w:val="0"/>
              </w:rPr>
              <w:t xml:space="preserve"> as at 4 May 2018</w:t>
            </w:r>
            <w:r>
              <w:rPr>
                <w:snapToGrid w:val="0"/>
              </w:rPr>
              <w:t xml:space="preserve"> (includes amendments listed above except those in the </w:t>
            </w:r>
            <w:r>
              <w:rPr>
                <w:i/>
                <w:snapToGrid w:val="0"/>
              </w:rPr>
              <w:t>Biodiversity Conservation Act 2016</w:t>
            </w:r>
            <w:r>
              <w:rPr>
                <w:snapToGrid w:val="0"/>
              </w:rPr>
              <w:t xml:space="preserve"> s. 314)</w:t>
            </w:r>
          </w:p>
        </w:tc>
      </w:tr>
      <w:tr>
        <w:trPr>
          <w:cantSplit/>
          <w:tblHeader/>
        </w:trPr>
        <w:tc>
          <w:tcPr>
            <w:tcW w:w="2268" w:type="dxa"/>
            <w:tcBorders>
              <w:top w:val="nil"/>
              <w:bottom w:val="nil"/>
            </w:tcBorders>
            <w:shd w:val="clear" w:color="auto" w:fill="auto"/>
          </w:tcPr>
          <w:p>
            <w:pPr>
              <w:pStyle w:val="nTable"/>
              <w:spacing w:after="40"/>
              <w:rPr>
                <w:i/>
                <w:snapToGrid w:val="0"/>
              </w:rPr>
            </w:pPr>
            <w:r>
              <w:rPr>
                <w:i/>
              </w:rPr>
              <w:t>Strata Titles Amendment Act 2018</w:t>
            </w:r>
            <w:r>
              <w:t xml:space="preserve"> Pt. 3 Div. 6</w:t>
            </w:r>
          </w:p>
        </w:tc>
        <w:tc>
          <w:tcPr>
            <w:tcW w:w="1134" w:type="dxa"/>
            <w:tcBorders>
              <w:top w:val="nil"/>
              <w:bottom w:val="nil"/>
            </w:tcBorders>
            <w:shd w:val="clear" w:color="auto" w:fill="auto"/>
          </w:tcPr>
          <w:p>
            <w:pPr>
              <w:pStyle w:val="nTable"/>
              <w:spacing w:after="40"/>
              <w:rPr>
                <w:snapToGrid w:val="0"/>
              </w:rPr>
            </w:pPr>
            <w:r>
              <w:t>30 of 2018</w:t>
            </w:r>
          </w:p>
        </w:tc>
        <w:tc>
          <w:tcPr>
            <w:tcW w:w="1134" w:type="dxa"/>
            <w:tcBorders>
              <w:top w:val="nil"/>
              <w:bottom w:val="nil"/>
            </w:tcBorders>
            <w:shd w:val="clear" w:color="auto" w:fill="auto"/>
          </w:tcPr>
          <w:p>
            <w:pPr>
              <w:pStyle w:val="nTable"/>
              <w:spacing w:after="40"/>
              <w:rPr>
                <w:snapToGrid w:val="0"/>
              </w:rPr>
            </w:pPr>
            <w:r>
              <w:t>19 Nov 2018</w:t>
            </w:r>
          </w:p>
        </w:tc>
        <w:tc>
          <w:tcPr>
            <w:tcW w:w="2552" w:type="dxa"/>
            <w:tcBorders>
              <w:top w:val="nil"/>
              <w:bottom w:val="nil"/>
            </w:tcBorders>
            <w:shd w:val="clear" w:color="auto" w:fill="auto"/>
          </w:tcPr>
          <w:p>
            <w:pPr>
              <w:pStyle w:val="nTable"/>
              <w:spacing w:after="40"/>
              <w:rPr>
                <w:snapToGrid w:val="0"/>
              </w:rPr>
            </w:pPr>
            <w:r>
              <w:rPr>
                <w:snapToGrid w:val="0"/>
              </w:rPr>
              <w:t>1 May 2020 (see s. 2(b) and SL 2020/39 cl. 2)</w:t>
            </w:r>
          </w:p>
        </w:tc>
      </w:tr>
      <w:tr>
        <w:trPr>
          <w:cantSplit/>
          <w:tblHeader/>
        </w:trPr>
        <w:tc>
          <w:tcPr>
            <w:tcW w:w="2268" w:type="dxa"/>
            <w:tcBorders>
              <w:top w:val="nil"/>
              <w:bottom w:val="nil"/>
            </w:tcBorders>
            <w:shd w:val="clear" w:color="auto" w:fill="auto"/>
          </w:tcPr>
          <w:p>
            <w:pPr>
              <w:pStyle w:val="nTable"/>
              <w:spacing w:after="40"/>
              <w:rPr>
                <w:i/>
              </w:rPr>
            </w:pPr>
            <w:r>
              <w:rPr>
                <w:i/>
              </w:rPr>
              <w:t>Community Titles Act 2018</w:t>
            </w:r>
            <w:r>
              <w:t xml:space="preserve"> Pt. 14 Div. 8</w:t>
            </w:r>
          </w:p>
        </w:tc>
        <w:tc>
          <w:tcPr>
            <w:tcW w:w="1134" w:type="dxa"/>
            <w:tcBorders>
              <w:top w:val="nil"/>
              <w:bottom w:val="nil"/>
            </w:tcBorders>
            <w:shd w:val="clear" w:color="auto" w:fill="auto"/>
          </w:tcPr>
          <w:p>
            <w:pPr>
              <w:pStyle w:val="nTable"/>
              <w:spacing w:after="40"/>
            </w:pPr>
            <w:r>
              <w:t>32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rPr>
                <w:snapToGrid w:val="0"/>
              </w:rPr>
            </w:pPr>
            <w:r>
              <w:t>30 Jun 2021 (see s. 2(b) and SL 2021/69 cl. 2)</w:t>
            </w:r>
          </w:p>
        </w:tc>
      </w:tr>
      <w:tr>
        <w:trPr>
          <w:cantSplit/>
          <w:tblHeader/>
        </w:trPr>
        <w:tc>
          <w:tcPr>
            <w:tcW w:w="2268" w:type="dxa"/>
            <w:tcBorders>
              <w:top w:val="nil"/>
              <w:bottom w:val="nil"/>
            </w:tcBorders>
            <w:shd w:val="clear" w:color="auto" w:fill="auto"/>
          </w:tcPr>
          <w:p>
            <w:pPr>
              <w:pStyle w:val="nTable"/>
              <w:spacing w:after="40"/>
              <w:rPr>
                <w:i/>
              </w:rPr>
            </w:pPr>
            <w:r>
              <w:rPr>
                <w:i/>
              </w:rPr>
              <w:t>Planning and Development Amendment Act 2020</w:t>
            </w:r>
            <w:r>
              <w:t xml:space="preserve"> Pt. 6 Div. 2</w:t>
            </w:r>
          </w:p>
        </w:tc>
        <w:tc>
          <w:tcPr>
            <w:tcW w:w="1134" w:type="dxa"/>
            <w:tcBorders>
              <w:top w:val="nil"/>
              <w:bottom w:val="nil"/>
            </w:tcBorders>
            <w:shd w:val="clear" w:color="auto" w:fill="auto"/>
          </w:tcPr>
          <w:p>
            <w:pPr>
              <w:pStyle w:val="nTable"/>
              <w:spacing w:after="40"/>
            </w:pPr>
            <w:r>
              <w:t>26 of 2020</w:t>
            </w:r>
          </w:p>
        </w:tc>
        <w:tc>
          <w:tcPr>
            <w:tcW w:w="1134" w:type="dxa"/>
            <w:tcBorders>
              <w:top w:val="nil"/>
              <w:bottom w:val="nil"/>
            </w:tcBorders>
            <w:shd w:val="clear" w:color="auto" w:fill="auto"/>
          </w:tcPr>
          <w:p>
            <w:pPr>
              <w:pStyle w:val="nTable"/>
              <w:spacing w:after="40"/>
            </w:pPr>
            <w:r>
              <w:t>7 Jul 2020</w:t>
            </w:r>
          </w:p>
        </w:tc>
        <w:tc>
          <w:tcPr>
            <w:tcW w:w="2552" w:type="dxa"/>
            <w:tcBorders>
              <w:top w:val="nil"/>
              <w:bottom w:val="nil"/>
            </w:tcBorders>
            <w:shd w:val="clear" w:color="auto" w:fill="auto"/>
          </w:tcPr>
          <w:p>
            <w:pPr>
              <w:pStyle w:val="nTable"/>
              <w:spacing w:after="40"/>
            </w:pPr>
            <w:r>
              <w:t>1 Aug 2023 (see s. 2(1)(b) and SL 2023/107 cl. 2)</w:t>
            </w:r>
          </w:p>
        </w:tc>
      </w:tr>
      <w:tr>
        <w:trPr>
          <w:cantSplit/>
          <w:tblHeader/>
        </w:trPr>
        <w:tc>
          <w:tcPr>
            <w:tcW w:w="2268" w:type="dxa"/>
            <w:tcBorders>
              <w:top w:val="nil"/>
              <w:bottom w:val="nil"/>
            </w:tcBorders>
            <w:shd w:val="clear" w:color="auto" w:fill="auto"/>
          </w:tcPr>
          <w:p>
            <w:pPr>
              <w:pStyle w:val="nTable"/>
              <w:spacing w:after="40"/>
              <w:rPr>
                <w:i/>
              </w:rPr>
            </w:pPr>
            <w:r>
              <w:rPr>
                <w:i/>
              </w:rPr>
              <w:lastRenderedPageBreak/>
              <w:t>Environmental Protection Amendment Act 2020</w:t>
            </w:r>
            <w:r>
              <w:t xml:space="preserve"> Pt. 2 (other than s. 4(2), (4), (6) and (10), 34, 42, 59, 60, 63, 65</w:t>
            </w:r>
            <w:r>
              <w:noBreakHyphen/>
              <w:t>68, 71, 72, 83, 86, 87, 88(1), 92, 98, 104, 105, 106(3), 108(7), 110(2) and 112)</w:t>
            </w:r>
          </w:p>
        </w:tc>
        <w:tc>
          <w:tcPr>
            <w:tcW w:w="1134" w:type="dxa"/>
            <w:tcBorders>
              <w:top w:val="nil"/>
              <w:bottom w:val="nil"/>
            </w:tcBorders>
            <w:shd w:val="clear" w:color="auto" w:fill="auto"/>
          </w:tcPr>
          <w:p>
            <w:pPr>
              <w:pStyle w:val="nTable"/>
              <w:spacing w:after="40"/>
            </w:pPr>
            <w:r>
              <w:t>40 of 2020</w:t>
            </w:r>
          </w:p>
        </w:tc>
        <w:tc>
          <w:tcPr>
            <w:tcW w:w="1134" w:type="dxa"/>
            <w:tcBorders>
              <w:top w:val="nil"/>
              <w:bottom w:val="nil"/>
            </w:tcBorders>
            <w:shd w:val="clear" w:color="auto" w:fill="auto"/>
          </w:tcPr>
          <w:p>
            <w:pPr>
              <w:pStyle w:val="nTable"/>
              <w:spacing w:after="40"/>
            </w:pPr>
            <w:r>
              <w:t>19 Nov 2020</w:t>
            </w:r>
          </w:p>
        </w:tc>
        <w:tc>
          <w:tcPr>
            <w:tcW w:w="2552" w:type="dxa"/>
            <w:tcBorders>
              <w:top w:val="nil"/>
              <w:bottom w:val="nil"/>
            </w:tcBorders>
            <w:shd w:val="clear" w:color="auto" w:fill="auto"/>
          </w:tcPr>
          <w:p>
            <w:pPr>
              <w:pStyle w:val="nTable"/>
              <w:spacing w:after="40"/>
              <w:rPr>
                <w:snapToGrid w:val="0"/>
              </w:rPr>
            </w:pPr>
            <w:r>
              <w:t>s. 3, 5</w:t>
            </w:r>
            <w:r>
              <w:noBreakHyphen/>
              <w:t>8, 10, 13, 14, 24, 32, 35, 36, 37(1), 58, 73</w:t>
            </w:r>
            <w:r>
              <w:noBreakHyphen/>
              <w:t>76, 80</w:t>
            </w:r>
            <w:r>
              <w:noBreakHyphen/>
              <w:t>82, 93, 94, 96, 99, 101, 106(4)</w:t>
            </w:r>
            <w:r>
              <w:noBreakHyphen/>
              <w:t>(6), 107, 108(1)</w:t>
            </w:r>
            <w:r>
              <w:noBreakHyphen/>
              <w:t>(6) and (8)</w:t>
            </w:r>
            <w:r>
              <w:noBreakHyphen/>
              <w:t>(11), 110(4)</w:t>
            </w:r>
            <w:r>
              <w:noBreakHyphen/>
              <w:t xml:space="preserve">(6) and 111: </w:t>
            </w:r>
            <w:r>
              <w:rPr>
                <w:snapToGrid w:val="0"/>
              </w:rPr>
              <w:t>3 Feb 2021 (see s. 2(1)(e) and SL 2021/12 cl. 2);</w:t>
            </w:r>
            <w:r>
              <w:rPr>
                <w:snapToGrid w:val="0"/>
              </w:rPr>
              <w:br/>
            </w:r>
            <w:r>
              <w:t>s. 4(1), (3), (5) and (7)</w:t>
            </w:r>
            <w:r>
              <w:noBreakHyphen/>
              <w:t>(9), 9, 11, 12, 15</w:t>
            </w:r>
            <w:r>
              <w:noBreakHyphen/>
              <w:t>23, 25</w:t>
            </w:r>
            <w:r>
              <w:noBreakHyphen/>
              <w:t>31, 33, 37(2), 38</w:t>
            </w:r>
            <w:r>
              <w:noBreakHyphen/>
              <w:t>41, 43</w:t>
            </w:r>
            <w:r>
              <w:noBreakHyphen/>
              <w:t>57, 61, 62, 64, 69, 70, 77</w:t>
            </w:r>
            <w:r>
              <w:noBreakHyphen/>
              <w:t>79, 84, 85, 88(2), 89</w:t>
            </w:r>
            <w:r>
              <w:noBreakHyphen/>
              <w:t>91, 95, 97, 100, 102, 103, 106(1) and (2), 109 and 110(1) and (3): 23 Oct 2021 (see s. 2(1)(e) and SL 2021/176 cl. 2)</w:t>
            </w:r>
          </w:p>
        </w:tc>
      </w:tr>
      <w:tr>
        <w:trPr>
          <w:cantSplit/>
          <w:tblHeader/>
        </w:trPr>
        <w:tc>
          <w:tcPr>
            <w:tcW w:w="2268" w:type="dxa"/>
            <w:tcBorders>
              <w:top w:val="nil"/>
              <w:bottom w:val="nil"/>
            </w:tcBorders>
            <w:shd w:val="clear" w:color="auto" w:fill="auto"/>
          </w:tcPr>
          <w:p>
            <w:pPr>
              <w:pStyle w:val="nTable"/>
              <w:spacing w:after="40"/>
              <w:rPr>
                <w:i/>
              </w:rPr>
            </w:pPr>
            <w:r>
              <w:rPr>
                <w:i/>
              </w:rPr>
              <w:t>Environmental Protection Amendment Act (No. 2) 2020</w:t>
            </w:r>
            <w:r>
              <w:t xml:space="preserve"> s. 4</w:t>
            </w:r>
          </w:p>
        </w:tc>
        <w:tc>
          <w:tcPr>
            <w:tcW w:w="1134" w:type="dxa"/>
            <w:tcBorders>
              <w:top w:val="nil"/>
              <w:bottom w:val="nil"/>
            </w:tcBorders>
            <w:shd w:val="clear" w:color="auto" w:fill="auto"/>
          </w:tcPr>
          <w:p>
            <w:pPr>
              <w:pStyle w:val="nTable"/>
              <w:spacing w:after="40"/>
            </w:pPr>
            <w:r>
              <w:t>41 of 2020</w:t>
            </w:r>
          </w:p>
        </w:tc>
        <w:tc>
          <w:tcPr>
            <w:tcW w:w="1134" w:type="dxa"/>
            <w:tcBorders>
              <w:top w:val="nil"/>
              <w:bottom w:val="nil"/>
            </w:tcBorders>
            <w:shd w:val="clear" w:color="auto" w:fill="auto"/>
          </w:tcPr>
          <w:p>
            <w:pPr>
              <w:pStyle w:val="nTable"/>
              <w:spacing w:after="40"/>
            </w:pPr>
            <w:r>
              <w:t>19 Nov 2020</w:t>
            </w:r>
          </w:p>
        </w:tc>
        <w:tc>
          <w:tcPr>
            <w:tcW w:w="2552" w:type="dxa"/>
            <w:tcBorders>
              <w:top w:val="nil"/>
              <w:bottom w:val="nil"/>
            </w:tcBorders>
            <w:shd w:val="clear" w:color="auto" w:fill="auto"/>
          </w:tcPr>
          <w:p>
            <w:pPr>
              <w:pStyle w:val="nTable"/>
              <w:spacing w:after="40"/>
              <w:rPr>
                <w:snapToGrid w:val="0"/>
              </w:rPr>
            </w:pPr>
            <w:r>
              <w:rPr>
                <w:snapToGrid w:val="0"/>
              </w:rPr>
              <w:t>3 Feb 2021 (see s. 2(1)(b) and SL 2021/12 cl. 2)</w:t>
            </w:r>
          </w:p>
        </w:tc>
      </w:tr>
      <w:tr>
        <w:trPr>
          <w:cantSplit/>
          <w:tblHeader/>
        </w:trPr>
        <w:tc>
          <w:tcPr>
            <w:tcW w:w="2268" w:type="dxa"/>
            <w:tcBorders>
              <w:top w:val="nil"/>
              <w:bottom w:val="nil"/>
            </w:tcBorders>
            <w:shd w:val="clear" w:color="auto" w:fill="auto"/>
          </w:tcPr>
          <w:p>
            <w:pPr>
              <w:pStyle w:val="nTable"/>
              <w:spacing w:after="40"/>
              <w:rPr>
                <w:i/>
              </w:rPr>
            </w:pPr>
            <w:r>
              <w:rPr>
                <w:i/>
                <w:snapToGrid w:val="0"/>
              </w:rPr>
              <w:t>Swan Valley Planning Act 2020</w:t>
            </w:r>
            <w:r>
              <w:rPr>
                <w:snapToGrid w:val="0"/>
              </w:rPr>
              <w:t xml:space="preserve"> Pt. 10 Div. 3</w:t>
            </w:r>
          </w:p>
        </w:tc>
        <w:tc>
          <w:tcPr>
            <w:tcW w:w="1134" w:type="dxa"/>
            <w:tcBorders>
              <w:top w:val="nil"/>
              <w:bottom w:val="nil"/>
            </w:tcBorders>
            <w:shd w:val="clear" w:color="auto" w:fill="auto"/>
          </w:tcPr>
          <w:p>
            <w:pPr>
              <w:pStyle w:val="nTable"/>
              <w:spacing w:after="40"/>
            </w:pPr>
            <w:r>
              <w:t>45 of 2020</w:t>
            </w:r>
          </w:p>
        </w:tc>
        <w:tc>
          <w:tcPr>
            <w:tcW w:w="1134" w:type="dxa"/>
            <w:tcBorders>
              <w:top w:val="nil"/>
              <w:bottom w:val="nil"/>
            </w:tcBorders>
            <w:shd w:val="clear" w:color="auto" w:fill="auto"/>
          </w:tcPr>
          <w:p>
            <w:pPr>
              <w:pStyle w:val="nTable"/>
              <w:spacing w:after="40"/>
            </w:pPr>
            <w:r>
              <w:t>9 Dec 2020</w:t>
            </w:r>
          </w:p>
        </w:tc>
        <w:tc>
          <w:tcPr>
            <w:tcW w:w="2552" w:type="dxa"/>
            <w:tcBorders>
              <w:top w:val="nil"/>
              <w:bottom w:val="nil"/>
            </w:tcBorders>
            <w:shd w:val="clear" w:color="auto" w:fill="auto"/>
          </w:tcPr>
          <w:p>
            <w:pPr>
              <w:pStyle w:val="nTable"/>
              <w:spacing w:after="40"/>
              <w:rPr>
                <w:snapToGrid w:val="0"/>
              </w:rPr>
            </w:pPr>
            <w:r>
              <w:rPr>
                <w:snapToGrid w:val="0"/>
              </w:rPr>
              <w:t>Pt. 10 Div. 3 (other than s. 103): 1 Aug 2021 (see s. 2(1)(e) and SL 2021/124 cl. 2);</w:t>
            </w:r>
            <w:r>
              <w:rPr>
                <w:snapToGrid w:val="0"/>
              </w:rPr>
              <w:br/>
              <w:t>s. 103: 1 Aug 2023 (see s. 2(1)(c)(ii) and SL 2023/107 cl. 2)</w:t>
            </w:r>
          </w:p>
        </w:tc>
      </w:tr>
      <w:tr>
        <w:trPr>
          <w:cantSplit/>
          <w:tblHeader/>
        </w:trPr>
        <w:tc>
          <w:tcPr>
            <w:tcW w:w="2268" w:type="dxa"/>
            <w:tcBorders>
              <w:top w:val="nil"/>
              <w:bottom w:val="nil"/>
            </w:tcBorders>
            <w:shd w:val="clear" w:color="auto" w:fill="auto"/>
          </w:tcPr>
          <w:p>
            <w:pPr>
              <w:pStyle w:val="nTable"/>
              <w:spacing w:after="40"/>
              <w:rPr>
                <w:i/>
                <w:snapToGrid w:val="0"/>
              </w:rPr>
            </w:pPr>
            <w:r>
              <w:rPr>
                <w:i/>
              </w:rPr>
              <w:t>Aboriginal Cultural Heritage Act 2021</w:t>
            </w:r>
            <w:r>
              <w:t xml:space="preserve"> s. 348</w:t>
            </w:r>
          </w:p>
        </w:tc>
        <w:tc>
          <w:tcPr>
            <w:tcW w:w="1134" w:type="dxa"/>
            <w:tcBorders>
              <w:top w:val="nil"/>
              <w:bottom w:val="nil"/>
            </w:tcBorders>
            <w:shd w:val="clear" w:color="auto" w:fill="auto"/>
          </w:tcPr>
          <w:p>
            <w:pPr>
              <w:pStyle w:val="nTable"/>
              <w:spacing w:after="40"/>
            </w:pPr>
            <w:r>
              <w:t>27 of 2021</w:t>
            </w:r>
          </w:p>
        </w:tc>
        <w:tc>
          <w:tcPr>
            <w:tcW w:w="1134" w:type="dxa"/>
            <w:tcBorders>
              <w:top w:val="nil"/>
              <w:bottom w:val="nil"/>
            </w:tcBorders>
            <w:shd w:val="clear" w:color="auto" w:fill="auto"/>
          </w:tcPr>
          <w:p>
            <w:pPr>
              <w:pStyle w:val="nTable"/>
              <w:spacing w:after="40"/>
            </w:pPr>
            <w:r>
              <w:t>22 Dec 2021</w:t>
            </w:r>
          </w:p>
        </w:tc>
        <w:tc>
          <w:tcPr>
            <w:tcW w:w="2552" w:type="dxa"/>
            <w:tcBorders>
              <w:top w:val="nil"/>
              <w:bottom w:val="nil"/>
            </w:tcBorders>
            <w:shd w:val="clear" w:color="auto" w:fill="auto"/>
          </w:tcPr>
          <w:p>
            <w:pPr>
              <w:pStyle w:val="nTable"/>
              <w:spacing w:after="40"/>
              <w:rPr>
                <w:snapToGrid w:val="0"/>
              </w:rPr>
            </w:pPr>
            <w:r>
              <w:t>1 Jul 2023 (see s. 2(e) and SL 2023/40 cl. 2(b))</w:t>
            </w:r>
          </w:p>
        </w:tc>
      </w:tr>
      <w:tr>
        <w:trPr>
          <w:cantSplit/>
          <w:tblHeader/>
        </w:trPr>
        <w:tc>
          <w:tcPr>
            <w:tcW w:w="2268" w:type="dxa"/>
            <w:tcBorders>
              <w:top w:val="nil"/>
              <w:bottom w:val="nil"/>
            </w:tcBorders>
            <w:shd w:val="clear" w:color="auto" w:fill="auto"/>
          </w:tcPr>
          <w:p>
            <w:pPr>
              <w:pStyle w:val="nTable"/>
              <w:spacing w:after="40"/>
              <w:rPr>
                <w:i/>
              </w:rPr>
            </w:pPr>
            <w:r>
              <w:rPr>
                <w:i/>
              </w:rPr>
              <w:t>Land and Public Works Legislation Amendment Act 2023</w:t>
            </w:r>
            <w:r>
              <w:t xml:space="preserve"> Pt. 4 Div. 4</w:t>
            </w:r>
          </w:p>
        </w:tc>
        <w:tc>
          <w:tcPr>
            <w:tcW w:w="1134" w:type="dxa"/>
            <w:tcBorders>
              <w:top w:val="nil"/>
              <w:bottom w:val="nil"/>
            </w:tcBorders>
            <w:shd w:val="clear" w:color="auto" w:fill="auto"/>
          </w:tcPr>
          <w:p>
            <w:pPr>
              <w:pStyle w:val="nTable"/>
              <w:spacing w:after="40"/>
            </w:pPr>
            <w:r>
              <w:t>4 of 2023</w:t>
            </w:r>
          </w:p>
        </w:tc>
        <w:tc>
          <w:tcPr>
            <w:tcW w:w="1134" w:type="dxa"/>
            <w:tcBorders>
              <w:top w:val="nil"/>
              <w:bottom w:val="nil"/>
            </w:tcBorders>
            <w:shd w:val="clear" w:color="auto" w:fill="auto"/>
          </w:tcPr>
          <w:p>
            <w:pPr>
              <w:pStyle w:val="nTable"/>
              <w:spacing w:after="40"/>
            </w:pPr>
            <w:r>
              <w:t>24 Mar 2023</w:t>
            </w:r>
          </w:p>
        </w:tc>
        <w:tc>
          <w:tcPr>
            <w:tcW w:w="2552" w:type="dxa"/>
            <w:tcBorders>
              <w:top w:val="nil"/>
              <w:bottom w:val="nil"/>
            </w:tcBorders>
            <w:shd w:val="clear" w:color="auto" w:fill="auto"/>
          </w:tcPr>
          <w:p>
            <w:pPr>
              <w:pStyle w:val="nTable"/>
              <w:spacing w:after="40"/>
            </w:pPr>
            <w:r>
              <w:t>10 Aug 2023 (see s. 2(b) and SL 2023/132 cl. 2)</w:t>
            </w:r>
          </w:p>
        </w:tc>
      </w:tr>
      <w:tr>
        <w:trPr>
          <w:cantSplit/>
          <w:tblHeader/>
        </w:trPr>
        <w:tc>
          <w:tcPr>
            <w:tcW w:w="2268" w:type="dxa"/>
            <w:tcBorders>
              <w:top w:val="nil"/>
              <w:bottom w:val="single" w:sz="4" w:space="0" w:color="auto"/>
            </w:tcBorders>
            <w:shd w:val="clear" w:color="auto" w:fill="auto"/>
          </w:tcPr>
          <w:p>
            <w:pPr>
              <w:pStyle w:val="nTable"/>
              <w:spacing w:after="40"/>
              <w:rPr>
                <w:i/>
                <w:snapToGrid w:val="0"/>
              </w:rPr>
            </w:pPr>
            <w:r>
              <w:rPr>
                <w:i/>
              </w:rPr>
              <w:t>Directors’ Liability Reform Act 2023</w:t>
            </w:r>
            <w:r>
              <w:t xml:space="preserve"> Pt. 3 Div. 24</w:t>
            </w:r>
          </w:p>
        </w:tc>
        <w:tc>
          <w:tcPr>
            <w:tcW w:w="1134" w:type="dxa"/>
            <w:tcBorders>
              <w:top w:val="nil"/>
              <w:bottom w:val="single" w:sz="4" w:space="0" w:color="auto"/>
            </w:tcBorders>
            <w:shd w:val="clear" w:color="auto" w:fill="auto"/>
          </w:tcPr>
          <w:p>
            <w:pPr>
              <w:pStyle w:val="nTable"/>
              <w:spacing w:after="40"/>
            </w:pPr>
            <w:r>
              <w:t>9 of 2023</w:t>
            </w:r>
          </w:p>
        </w:tc>
        <w:tc>
          <w:tcPr>
            <w:tcW w:w="1134" w:type="dxa"/>
            <w:tcBorders>
              <w:top w:val="nil"/>
              <w:bottom w:val="single" w:sz="4" w:space="0" w:color="auto"/>
            </w:tcBorders>
            <w:shd w:val="clear" w:color="auto" w:fill="auto"/>
          </w:tcPr>
          <w:p>
            <w:pPr>
              <w:pStyle w:val="nTable"/>
              <w:spacing w:after="40"/>
            </w:pPr>
            <w:r>
              <w:t>4 Apr 2023</w:t>
            </w:r>
          </w:p>
        </w:tc>
        <w:tc>
          <w:tcPr>
            <w:tcW w:w="2552" w:type="dxa"/>
            <w:tcBorders>
              <w:top w:val="nil"/>
              <w:bottom w:val="single" w:sz="4" w:space="0" w:color="auto"/>
            </w:tcBorders>
            <w:shd w:val="clear" w:color="auto" w:fill="auto"/>
          </w:tcPr>
          <w:p>
            <w:pPr>
              <w:pStyle w:val="nTable"/>
              <w:spacing w:after="40"/>
              <w:rPr>
                <w:snapToGrid w:val="0"/>
              </w:rPr>
            </w:pPr>
            <w:r>
              <w:t>5 Apr 2023 (see s. 2(j))</w:t>
            </w:r>
          </w:p>
        </w:tc>
      </w:tr>
    </w:tbl>
    <w:p>
      <w:pPr>
        <w:pStyle w:val="nHeading3"/>
      </w:pPr>
      <w:bookmarkStart w:id="376" w:name="_Toc199512143"/>
      <w:r>
        <w:lastRenderedPageBreak/>
        <w:t>Uncommenced provisions table</w:t>
      </w:r>
      <w:bookmarkEnd w:id="376"/>
    </w:p>
    <w:p>
      <w:pPr>
        <w:pStyle w:val="nStatement"/>
        <w:keepNext/>
        <w:spacing w:after="240"/>
      </w:pPr>
      <w:r>
        <w:t xml:space="preserve">To view the text of the uncommenced provisions see </w:t>
      </w:r>
      <w:r>
        <w:rPr>
          <w:i/>
        </w:rPr>
        <w:t>Acts as passed</w:t>
      </w:r>
      <w:r>
        <w:t xml:space="preserve"> on the WA Legislation website.</w:t>
      </w:r>
    </w:p>
    <w:tbl>
      <w:tblPr>
        <w:tblW w:w="709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06"/>
        <w:gridCol w:w="1164"/>
        <w:gridCol w:w="2552"/>
      </w:tblGrid>
      <w:tr>
        <w:trPr>
          <w:cantSplit/>
          <w:tblHeader/>
        </w:trPr>
        <w:tc>
          <w:tcPr>
            <w:tcW w:w="2268" w:type="dxa"/>
          </w:tcPr>
          <w:p>
            <w:pPr>
              <w:pStyle w:val="nTable"/>
              <w:keepNext/>
              <w:spacing w:after="40"/>
              <w:rPr>
                <w:b/>
              </w:rPr>
            </w:pPr>
            <w:r>
              <w:rPr>
                <w:b/>
              </w:rPr>
              <w:t>Short title</w:t>
            </w:r>
          </w:p>
        </w:tc>
        <w:tc>
          <w:tcPr>
            <w:tcW w:w="1106" w:type="dxa"/>
          </w:tcPr>
          <w:p>
            <w:pPr>
              <w:pStyle w:val="nTable"/>
              <w:keepNext/>
              <w:spacing w:after="40"/>
              <w:rPr>
                <w:b/>
              </w:rPr>
            </w:pPr>
            <w:r>
              <w:rPr>
                <w:b/>
              </w:rPr>
              <w:t>Number and year</w:t>
            </w:r>
          </w:p>
        </w:tc>
        <w:tc>
          <w:tcPr>
            <w:tcW w:w="116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rPr>
                <w:b/>
                <w:vertAlign w:val="superscript"/>
              </w:rPr>
            </w:pPr>
            <w:r>
              <w:rPr>
                <w:i/>
                <w:snapToGrid w:val="0"/>
              </w:rPr>
              <w:t xml:space="preserve">Waste Avoidance and Resource Recovery Act 2007 </w:t>
            </w:r>
            <w:r>
              <w:rPr>
                <w:iCs/>
                <w:snapToGrid w:val="0"/>
              </w:rPr>
              <w:t xml:space="preserve">Sch. 4 </w:t>
            </w:r>
            <w:r>
              <w:rPr>
                <w:snapToGrid w:val="0"/>
              </w:rPr>
              <w:t>cl. 2(3)</w:t>
            </w:r>
          </w:p>
        </w:tc>
        <w:tc>
          <w:tcPr>
            <w:tcW w:w="1106" w:type="dxa"/>
            <w:tcBorders>
              <w:top w:val="single" w:sz="4" w:space="0" w:color="auto"/>
            </w:tcBorders>
          </w:tcPr>
          <w:p>
            <w:pPr>
              <w:pStyle w:val="nTable"/>
              <w:spacing w:after="40"/>
              <w:rPr>
                <w:b/>
              </w:rPr>
            </w:pPr>
            <w:r>
              <w:rPr>
                <w:snapToGrid w:val="0"/>
              </w:rPr>
              <w:t>36 of 2007</w:t>
            </w:r>
          </w:p>
        </w:tc>
        <w:tc>
          <w:tcPr>
            <w:tcW w:w="1164" w:type="dxa"/>
            <w:tcBorders>
              <w:top w:val="single" w:sz="4" w:space="0" w:color="auto"/>
            </w:tcBorders>
          </w:tcPr>
          <w:p>
            <w:pPr>
              <w:pStyle w:val="nTable"/>
              <w:spacing w:after="40"/>
              <w:rPr>
                <w:b/>
              </w:rPr>
            </w:pPr>
            <w:r>
              <w:rPr>
                <w:snapToGrid w:val="0"/>
              </w:rPr>
              <w:t>21 Dec 2007</w:t>
            </w:r>
          </w:p>
        </w:tc>
        <w:tc>
          <w:tcPr>
            <w:tcW w:w="2552" w:type="dxa"/>
            <w:tcBorders>
              <w:top w:val="single" w:sz="4" w:space="0" w:color="auto"/>
            </w:tcBorders>
          </w:tcPr>
          <w:p>
            <w:pPr>
              <w:pStyle w:val="nTable"/>
              <w:spacing w:after="40"/>
              <w:rPr>
                <w:b/>
              </w:rPr>
            </w:pPr>
            <w:r>
              <w:rPr>
                <w:snapToGrid w:val="0"/>
              </w:rPr>
              <w:t>To be proclaimed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Aquatic Resources Management Act 2016</w:t>
            </w:r>
            <w:r>
              <w:rPr>
                <w:snapToGrid w:val="0"/>
              </w:rPr>
              <w:t xml:space="preserve"> s. 366</w:t>
            </w:r>
          </w:p>
        </w:tc>
        <w:tc>
          <w:tcPr>
            <w:tcW w:w="1106" w:type="dxa"/>
          </w:tcPr>
          <w:p>
            <w:pPr>
              <w:pStyle w:val="nTable"/>
              <w:spacing w:after="40"/>
            </w:pPr>
            <w:r>
              <w:t>53 of 2016</w:t>
            </w:r>
          </w:p>
        </w:tc>
        <w:tc>
          <w:tcPr>
            <w:tcW w:w="1164" w:type="dxa"/>
          </w:tcPr>
          <w:p>
            <w:pPr>
              <w:pStyle w:val="nTable"/>
              <w:spacing w:after="40"/>
            </w:pPr>
            <w:r>
              <w:t>29 Nov 2016</w:t>
            </w:r>
          </w:p>
        </w:tc>
        <w:tc>
          <w:tcPr>
            <w:tcW w:w="2552" w:type="dxa"/>
          </w:tcPr>
          <w:p>
            <w:pPr>
              <w:pStyle w:val="nTable"/>
              <w:spacing w:after="40"/>
            </w:pPr>
            <w:r>
              <w:rPr>
                <w:snapToGrid w:val="0"/>
              </w:rPr>
              <w:t>To be proclaimed (see s. 2(b))</w:t>
            </w:r>
          </w:p>
        </w:tc>
      </w:tr>
      <w:tr>
        <w:trPr>
          <w:cantSplit/>
        </w:trPr>
        <w:tc>
          <w:tcPr>
            <w:tcW w:w="2268" w:type="dxa"/>
            <w:tcBorders>
              <w:top w:val="nil"/>
              <w:bottom w:val="nil"/>
            </w:tcBorders>
          </w:tcPr>
          <w:p>
            <w:pPr>
              <w:pStyle w:val="nTable"/>
              <w:spacing w:after="40"/>
              <w:rPr>
                <w:i/>
                <w:vertAlign w:val="superscript"/>
              </w:rPr>
            </w:pPr>
            <w:r>
              <w:rPr>
                <w:i/>
              </w:rPr>
              <w:t>Planning and Development Amendment Act 2020</w:t>
            </w:r>
            <w:r>
              <w:t xml:space="preserve"> Pt. 7 Div. 2</w:t>
            </w:r>
            <w:r>
              <w:rPr>
                <w:vertAlign w:val="superscript"/>
              </w:rPr>
              <w:t> 16</w:t>
            </w:r>
          </w:p>
        </w:tc>
        <w:tc>
          <w:tcPr>
            <w:tcW w:w="1106" w:type="dxa"/>
            <w:tcBorders>
              <w:top w:val="nil"/>
              <w:bottom w:val="nil"/>
            </w:tcBorders>
          </w:tcPr>
          <w:p>
            <w:pPr>
              <w:pStyle w:val="nTable"/>
              <w:spacing w:after="40"/>
            </w:pPr>
            <w:r>
              <w:t>26 of 2020</w:t>
            </w:r>
            <w:r>
              <w:br/>
              <w:t>(as amended by No. 40 of 2020 s. 117)</w:t>
            </w:r>
          </w:p>
        </w:tc>
        <w:tc>
          <w:tcPr>
            <w:tcW w:w="1164" w:type="dxa"/>
            <w:tcBorders>
              <w:top w:val="nil"/>
              <w:bottom w:val="nil"/>
            </w:tcBorders>
          </w:tcPr>
          <w:p>
            <w:pPr>
              <w:pStyle w:val="nTable"/>
              <w:spacing w:after="40"/>
            </w:pPr>
            <w:r>
              <w:t>7 Jul 2020</w:t>
            </w:r>
          </w:p>
        </w:tc>
        <w:tc>
          <w:tcPr>
            <w:tcW w:w="2552" w:type="dxa"/>
            <w:tcBorders>
              <w:top w:val="nil"/>
              <w:bottom w:val="nil"/>
            </w:tcBorders>
          </w:tcPr>
          <w:p>
            <w:pPr>
              <w:pStyle w:val="nTable"/>
              <w:spacing w:after="40"/>
            </w:pPr>
            <w:r>
              <w:t>To be proclaimed (see s. 2(1)(b))</w:t>
            </w:r>
          </w:p>
        </w:tc>
      </w:tr>
      <w:tr>
        <w:tc>
          <w:tcPr>
            <w:tcW w:w="2268" w:type="dxa"/>
            <w:tcBorders>
              <w:top w:val="nil"/>
              <w:bottom w:val="nil"/>
            </w:tcBorders>
          </w:tcPr>
          <w:p>
            <w:pPr>
              <w:pStyle w:val="nTable"/>
              <w:spacing w:after="40"/>
            </w:pPr>
            <w:r>
              <w:rPr>
                <w:i/>
              </w:rPr>
              <w:t>Environmental Protection Amendment Act 2020</w:t>
            </w:r>
            <w:r>
              <w:t xml:space="preserve"> s. 4(2), (4), (6) and (10), 34, 42, 59, 60, 63, 65</w:t>
            </w:r>
            <w:r>
              <w:noBreakHyphen/>
              <w:t>68, 71, 72, 83, 86, 87, 88(1), 92, 98, 104, 105, 106(3), 108(7), 110(2) and 112</w:t>
            </w:r>
          </w:p>
        </w:tc>
        <w:tc>
          <w:tcPr>
            <w:tcW w:w="1106" w:type="dxa"/>
            <w:tcBorders>
              <w:top w:val="nil"/>
              <w:bottom w:val="nil"/>
            </w:tcBorders>
          </w:tcPr>
          <w:p>
            <w:pPr>
              <w:pStyle w:val="nTable"/>
              <w:spacing w:after="40"/>
            </w:pPr>
            <w:r>
              <w:t>40 of 2020</w:t>
            </w:r>
          </w:p>
        </w:tc>
        <w:tc>
          <w:tcPr>
            <w:tcW w:w="1164" w:type="dxa"/>
            <w:tcBorders>
              <w:top w:val="nil"/>
              <w:bottom w:val="nil"/>
            </w:tcBorders>
          </w:tcPr>
          <w:p>
            <w:pPr>
              <w:pStyle w:val="nTable"/>
              <w:spacing w:after="40"/>
            </w:pPr>
            <w:r>
              <w:t>19 Nov 2020</w:t>
            </w:r>
          </w:p>
        </w:tc>
        <w:tc>
          <w:tcPr>
            <w:tcW w:w="2552" w:type="dxa"/>
            <w:tcBorders>
              <w:top w:val="nil"/>
              <w:bottom w:val="nil"/>
            </w:tcBorders>
          </w:tcPr>
          <w:p>
            <w:pPr>
              <w:pStyle w:val="nTable"/>
              <w:spacing w:after="40"/>
            </w:pPr>
            <w:r>
              <w:t xml:space="preserve">s. 4(6): on the later of either the day on which the </w:t>
            </w:r>
            <w:r>
              <w:rPr>
                <w:i/>
              </w:rPr>
              <w:t xml:space="preserve">Planning and Development Amendment Act 2020 </w:t>
            </w:r>
            <w:r>
              <w:t>s. 64 comes into operation or immediately after s. 4(2) comes into operation (see s. 2(1)(b));</w:t>
            </w:r>
            <w:r>
              <w:br/>
              <w:t>s. 59: on the day on which s. 83 comes into operation (see s. 2(1)(c));</w:t>
            </w:r>
            <w:r>
              <w:br/>
              <w:t>s 4(2), (4) and (10), 34, 42, 60, 63, 65</w:t>
            </w:r>
            <w:r>
              <w:noBreakHyphen/>
              <w:t>68, 71, 72, 83, 86, 87, 88(1), 92, 98, 104, 105, 106(3), 108(7), 110(2) and 112: to be proclaimed (see s. 2(1)(e))</w:t>
            </w:r>
          </w:p>
        </w:tc>
      </w:tr>
      <w:tr>
        <w:trPr>
          <w:cantSplit/>
          <w:tblHeader/>
        </w:trPr>
        <w:tc>
          <w:tcPr>
            <w:tcW w:w="2268" w:type="dxa"/>
            <w:tcBorders>
              <w:top w:val="nil"/>
              <w:bottom w:val="nil"/>
            </w:tcBorders>
          </w:tcPr>
          <w:p>
            <w:pPr>
              <w:pStyle w:val="nTable"/>
              <w:spacing w:after="40"/>
            </w:pPr>
            <w:r>
              <w:rPr>
                <w:i/>
              </w:rPr>
              <w:t>Environmental Protection Amendment Act (No. 2) 2020</w:t>
            </w:r>
            <w:r>
              <w:t xml:space="preserve"> s. 5</w:t>
            </w:r>
          </w:p>
        </w:tc>
        <w:tc>
          <w:tcPr>
            <w:tcW w:w="1106" w:type="dxa"/>
            <w:tcBorders>
              <w:top w:val="nil"/>
              <w:bottom w:val="nil"/>
            </w:tcBorders>
          </w:tcPr>
          <w:p>
            <w:pPr>
              <w:pStyle w:val="nTable"/>
              <w:spacing w:after="40"/>
            </w:pPr>
            <w:r>
              <w:t>41 of 2020</w:t>
            </w:r>
          </w:p>
        </w:tc>
        <w:tc>
          <w:tcPr>
            <w:tcW w:w="1164" w:type="dxa"/>
            <w:tcBorders>
              <w:top w:val="nil"/>
              <w:bottom w:val="nil"/>
            </w:tcBorders>
          </w:tcPr>
          <w:p>
            <w:pPr>
              <w:pStyle w:val="nTable"/>
              <w:spacing w:after="40"/>
            </w:pPr>
            <w:r>
              <w:t>19 Nov 2020</w:t>
            </w:r>
          </w:p>
        </w:tc>
        <w:tc>
          <w:tcPr>
            <w:tcW w:w="2552" w:type="dxa"/>
            <w:tcBorders>
              <w:top w:val="nil"/>
              <w:bottom w:val="nil"/>
            </w:tcBorders>
          </w:tcPr>
          <w:p>
            <w:pPr>
              <w:pStyle w:val="nTable"/>
              <w:spacing w:after="40"/>
            </w:pPr>
            <w:r>
              <w:t xml:space="preserve">Immediately after the </w:t>
            </w:r>
            <w:r>
              <w:rPr>
                <w:i/>
              </w:rPr>
              <w:t>Environmental Protection Amendment Act 2020</w:t>
            </w:r>
            <w:r>
              <w:t xml:space="preserve"> s. 92 comes into operation (see s. 2(1)(c))</w:t>
            </w:r>
          </w:p>
        </w:tc>
      </w:tr>
      <w:tr>
        <w:trPr>
          <w:cantSplit/>
          <w:tblHeader/>
        </w:trPr>
        <w:tc>
          <w:tcPr>
            <w:tcW w:w="2268" w:type="dxa"/>
            <w:tcBorders>
              <w:top w:val="nil"/>
              <w:bottom w:val="single" w:sz="4" w:space="0" w:color="auto"/>
            </w:tcBorders>
          </w:tcPr>
          <w:p>
            <w:pPr>
              <w:pStyle w:val="nTable"/>
              <w:spacing w:after="40"/>
              <w:rPr>
                <w:iCs/>
              </w:rPr>
            </w:pPr>
            <w:r>
              <w:rPr>
                <w:i/>
              </w:rPr>
              <w:t>Aboriginal Heritage Legislation Amendment and Repeal Act 2023</w:t>
            </w:r>
            <w:r>
              <w:rPr>
                <w:iCs/>
              </w:rPr>
              <w:t xml:space="preserve"> s. 28</w:t>
            </w:r>
          </w:p>
        </w:tc>
        <w:tc>
          <w:tcPr>
            <w:tcW w:w="1106" w:type="dxa"/>
            <w:tcBorders>
              <w:top w:val="nil"/>
              <w:bottom w:val="single" w:sz="4" w:space="0" w:color="auto"/>
            </w:tcBorders>
          </w:tcPr>
          <w:p>
            <w:pPr>
              <w:pStyle w:val="nTable"/>
              <w:spacing w:after="40"/>
            </w:pPr>
            <w:r>
              <w:t>23 of 2023</w:t>
            </w:r>
          </w:p>
        </w:tc>
        <w:tc>
          <w:tcPr>
            <w:tcW w:w="1164" w:type="dxa"/>
            <w:tcBorders>
              <w:top w:val="nil"/>
              <w:bottom w:val="single" w:sz="4" w:space="0" w:color="auto"/>
            </w:tcBorders>
          </w:tcPr>
          <w:p>
            <w:pPr>
              <w:pStyle w:val="nTable"/>
              <w:spacing w:after="40"/>
              <w:rPr>
                <w:highlight w:val="yellow"/>
              </w:rPr>
            </w:pPr>
            <w:r>
              <w:t>24 Oct 2023</w:t>
            </w:r>
          </w:p>
        </w:tc>
        <w:tc>
          <w:tcPr>
            <w:tcW w:w="2552" w:type="dxa"/>
            <w:tcBorders>
              <w:top w:val="nil"/>
              <w:bottom w:val="single" w:sz="4" w:space="0" w:color="auto"/>
            </w:tcBorders>
          </w:tcPr>
          <w:p>
            <w:pPr>
              <w:pStyle w:val="nTable"/>
              <w:spacing w:after="40"/>
            </w:pPr>
            <w:r>
              <w:t>15 Nov 2023 (see s. 2(d) and SL 2023/161 cl. 2)</w:t>
            </w:r>
          </w:p>
        </w:tc>
      </w:tr>
    </w:tbl>
    <w:p>
      <w:pPr>
        <w:pStyle w:val="nHeading3"/>
      </w:pPr>
      <w:bookmarkStart w:id="377" w:name="_Toc199512144"/>
      <w:r>
        <w:lastRenderedPageBreak/>
        <w:t>Other notes</w:t>
      </w:r>
      <w:bookmarkEnd w:id="377"/>
    </w:p>
    <w:p>
      <w:pPr>
        <w:pStyle w:val="nNote"/>
        <w:keepNext/>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3</w:t>
      </w:r>
      <w:r>
        <w:rPr>
          <w:snapToGrid w:val="0"/>
        </w:rPr>
        <w:tab/>
        <w:t>Act No. 77 of 1986.</w:t>
      </w:r>
    </w:p>
    <w:p>
      <w:pPr>
        <w:pStyle w:val="nNote"/>
        <w:rPr>
          <w:snapToGrid w:val="0"/>
        </w:rPr>
      </w:pPr>
      <w:r>
        <w:rPr>
          <w:snapToGrid w:val="0"/>
          <w:vertAlign w:val="superscript"/>
        </w:rPr>
        <w:t>4</w:t>
      </w:r>
      <w:r>
        <w:rPr>
          <w:snapToGrid w:val="0"/>
        </w:rPr>
        <w:tab/>
        <w:t>Footnote no longer applicable.</w:t>
      </w:r>
    </w:p>
    <w:p>
      <w:pPr>
        <w:pStyle w:val="nNote"/>
        <w:rPr>
          <w:snapToGrid w:val="0"/>
        </w:rPr>
      </w:pPr>
      <w:r>
        <w:rPr>
          <w:snapToGrid w:val="0"/>
          <w:vertAlign w:val="superscript"/>
        </w:rPr>
        <w:t>5</w:t>
      </w:r>
      <w:r>
        <w:rPr>
          <w:snapToGrid w:val="0"/>
        </w:rPr>
        <w:tab/>
        <w:t xml:space="preserve">Deleted by the </w:t>
      </w:r>
      <w:r>
        <w:rPr>
          <w:i/>
          <w:snapToGrid w:val="0"/>
        </w:rPr>
        <w:t>Acts Amendment and Repeal (Environmental Protection) Act 1986</w:t>
      </w:r>
      <w:r>
        <w:rPr>
          <w:snapToGrid w:val="0"/>
        </w:rPr>
        <w:t xml:space="preserve"> s. 32.</w:t>
      </w:r>
    </w:p>
    <w:p>
      <w:pPr>
        <w:pStyle w:val="nNote"/>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snapToGrid w:val="0"/>
          <w:vertAlign w:val="superscript"/>
        </w:rPr>
        <w:t>7</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Note"/>
        <w:keepNext/>
        <w:rPr>
          <w:snapToGrid w:val="0"/>
        </w:rPr>
      </w:pPr>
      <w:r>
        <w:rPr>
          <w:snapToGrid w:val="0"/>
          <w:vertAlign w:val="superscript"/>
        </w:rPr>
        <w:t>8</w:t>
      </w:r>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keepNext/>
        <w:keepLines/>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lastRenderedPageBreak/>
        <w:tab/>
        <w:t>(2)</w:t>
      </w:r>
      <w:r>
        <w:rPr>
          <w:snapToGrid w:val="0"/>
        </w:rPr>
        <w:tab/>
        <w:t>The power of the State under subsection (1) is to be exercised subject to, and in accordance with, the terms of the relevant agreement.</w:t>
      </w:r>
    </w:p>
    <w:p>
      <w:pPr>
        <w:pStyle w:val="BlankClose"/>
        <w:rPr>
          <w:snapToGrid w:val="0"/>
        </w:rPr>
      </w:pPr>
    </w:p>
    <w:p>
      <w:pPr>
        <w:pStyle w:val="nNote"/>
        <w:keepNext/>
        <w:spacing w:before="200"/>
        <w:rPr>
          <w:sz w:val="19"/>
        </w:rPr>
      </w:pPr>
      <w:r>
        <w:rPr>
          <w:snapToGrid w:val="0"/>
          <w:vertAlign w:val="superscript"/>
        </w:rPr>
        <w:t>9</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p>
    <w:p>
      <w:pPr>
        <w:pStyle w:val="nNote"/>
        <w:keepNext/>
        <w:rPr>
          <w:snapToGrid w:val="0"/>
        </w:rPr>
      </w:pPr>
      <w:r>
        <w:rPr>
          <w:snapToGrid w:val="0"/>
          <w:vertAlign w:val="superscript"/>
        </w:rPr>
        <w:t>10</w:t>
      </w:r>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p>
    <w:p>
      <w:pPr>
        <w:pStyle w:val="nNote"/>
        <w:rPr>
          <w:snapToGrid w:val="0"/>
        </w:rPr>
      </w:pPr>
      <w:r>
        <w:rPr>
          <w:snapToGrid w:val="0"/>
          <w:vertAlign w:val="superscript"/>
        </w:rPr>
        <w:t>11</w:t>
      </w:r>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p>
    <w:p>
      <w:pPr>
        <w:pStyle w:val="nNote"/>
        <w:keepNext/>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p>
    <w:p>
      <w:pPr>
        <w:pStyle w:val="nNote"/>
        <w:rPr>
          <w:snapToGrid w:val="0"/>
        </w:rPr>
      </w:pPr>
      <w:r>
        <w:rPr>
          <w:snapToGrid w:val="0"/>
          <w:vertAlign w:val="superscript"/>
        </w:rPr>
        <w:lastRenderedPageBreak/>
        <w:t>13</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Note"/>
        <w:keepNext/>
        <w:rPr>
          <w:snapToGrid w:val="0"/>
        </w:rPr>
      </w:pPr>
      <w:r>
        <w:rPr>
          <w:snapToGrid w:val="0"/>
          <w:vertAlign w:val="superscript"/>
        </w:rPr>
        <w:t>14</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pPr>
        <w:pStyle w:val="BlankOpen"/>
        <w:rPr>
          <w:snapToGrid w:val="0"/>
        </w:rPr>
      </w:pP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nzEdnotesubsection"/>
      </w:pPr>
      <w:r>
        <w:tab/>
        <w:t>[(4)</w:t>
      </w:r>
      <w:r>
        <w:tab/>
        <w:t>deleted]</w:t>
      </w:r>
    </w:p>
    <w:p>
      <w:pPr>
        <w:pStyle w:val="nzSubsection"/>
        <w:keepNext/>
        <w:keepLines/>
        <w:rPr>
          <w:snapToGrid w:val="0"/>
        </w:rPr>
      </w:pPr>
      <w:r>
        <w:rPr>
          <w:snapToGrid w:val="0"/>
        </w:rPr>
        <w:lastRenderedPageBreak/>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nzFootnotesection"/>
      </w:pPr>
      <w:r>
        <w:tab/>
      </w:r>
      <w:r>
        <w:tab/>
        <w:t>[Section 111 amended: No. 8 of 2009 s. 54(2) and (3).]</w:t>
      </w:r>
    </w:p>
    <w:p>
      <w:pPr>
        <w:pStyle w:val="BlankClose"/>
        <w:rPr>
          <w:snapToGrid w:val="0"/>
          <w:sz w:val="20"/>
          <w:szCs w:val="20"/>
        </w:rPr>
      </w:pPr>
    </w:p>
    <w:p>
      <w:pPr>
        <w:pStyle w:val="nNote"/>
        <w:rPr>
          <w:snapToGrid w:val="0"/>
          <w:sz w:val="19"/>
        </w:rPr>
      </w:pPr>
      <w:r>
        <w:rPr>
          <w:snapToGrid w:val="0"/>
          <w:vertAlign w:val="superscript"/>
        </w:rPr>
        <w:t>15</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rPr>
          <w:sz w:val="20"/>
          <w:szCs w:val="20"/>
        </w:rPr>
      </w:pPr>
    </w:p>
    <w:p>
      <w:pPr>
        <w:pStyle w:val="nzHeading5"/>
      </w:pPr>
      <w:r>
        <w:rPr>
          <w:rStyle w:val="CharSectno"/>
        </w:rPr>
        <w:t>24</w:t>
      </w:r>
      <w:r>
        <w:t>.</w:t>
      </w:r>
      <w:r>
        <w:tab/>
        <w:t>Transitional provision — Waste Management and Recycling Fund</w:t>
      </w:r>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rPr>
          <w:sz w:val="20"/>
          <w:szCs w:val="20"/>
        </w:rPr>
      </w:pPr>
    </w:p>
    <w:p>
      <w:pPr>
        <w:pStyle w:val="nNote"/>
        <w:rPr>
          <w:snapToGrid w:val="0"/>
        </w:rPr>
      </w:pPr>
      <w:r>
        <w:rPr>
          <w:snapToGrid w:val="0"/>
          <w:vertAlign w:val="superscript"/>
        </w:rPr>
        <w:t>16</w:t>
      </w:r>
      <w:r>
        <w:rPr>
          <w:snapToGrid w:val="0"/>
        </w:rPr>
        <w:tab/>
        <w:t xml:space="preserve">The </w:t>
      </w:r>
      <w:r>
        <w:rPr>
          <w:i/>
          <w:snapToGrid w:val="0"/>
        </w:rPr>
        <w:t>Planning and Development Amendment Act 2020</w:t>
      </w:r>
      <w:r>
        <w:rPr>
          <w:snapToGrid w:val="0"/>
        </w:rPr>
        <w:t xml:space="preserve"> s. 71 will not come into operation because the definition it sought to amend was deleted by the </w:t>
      </w:r>
      <w:r>
        <w:rPr>
          <w:i/>
          <w:snapToGrid w:val="0"/>
        </w:rPr>
        <w:t>Environmental Protection Amendment Act 2020</w:t>
      </w:r>
      <w:r>
        <w:rPr>
          <w:snapToGrid w:val="0"/>
        </w:rPr>
        <w:t xml:space="preserve"> s. 55(1)(b).</w:t>
      </w:r>
    </w:p>
    <w:p/>
    <w:p>
      <w:pPr>
        <w:sectPr>
          <w:headerReference w:type="even" r:id="rId35"/>
          <w:headerReference w:type="default" r:id="rId36"/>
          <w:pgSz w:w="11907" w:h="16840" w:code="9"/>
          <w:pgMar w:top="2376" w:right="2405" w:bottom="3542" w:left="2405" w:header="706" w:footer="3544" w:gutter="0"/>
          <w:cols w:space="720"/>
          <w:noEndnote/>
          <w:docGrid w:linePitch="326"/>
        </w:sectPr>
      </w:pPr>
    </w:p>
    <w:p>
      <w:pPr>
        <w:pStyle w:val="nHeading2"/>
        <w:rPr>
          <w:sz w:val="28"/>
        </w:rPr>
      </w:pPr>
      <w:bookmarkStart w:id="379" w:name="_Toc199512145"/>
      <w:r>
        <w:rPr>
          <w:sz w:val="28"/>
        </w:rPr>
        <w:lastRenderedPageBreak/>
        <w:t>Defined terms</w:t>
      </w:r>
      <w:bookmarkEnd w:id="3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110A</w:t>
      </w:r>
    </w:p>
    <w:p>
      <w:pPr>
        <w:pStyle w:val="DefinedTerms"/>
      </w:pPr>
      <w:r>
        <w:t>agreement to reserve</w:t>
      </w:r>
      <w:r>
        <w:tab/>
        <w:t>51A</w:t>
      </w:r>
    </w:p>
    <w:p>
      <w:pPr>
        <w:pStyle w:val="DefinedTerms"/>
      </w:pPr>
      <w:r>
        <w:t>amended EP Act</w:t>
      </w:r>
      <w:r>
        <w:tab/>
        <w:t>133(1)</w:t>
      </w:r>
    </w:p>
    <w:p>
      <w:pPr>
        <w:pStyle w:val="DefinedTerms"/>
      </w:pPr>
      <w:r>
        <w:t>amending Act</w:t>
      </w:r>
      <w:r>
        <w:tab/>
        <w:t>129, 133A</w:t>
      </w:r>
    </w:p>
    <w:p>
      <w:pPr>
        <w:pStyle w:val="DefinedTerms"/>
      </w:pPr>
      <w:r>
        <w:t>analysis</w:t>
      </w:r>
      <w:r>
        <w:tab/>
        <w:t>3(1)</w:t>
      </w:r>
    </w:p>
    <w:p>
      <w:pPr>
        <w:pStyle w:val="DefinedTerms"/>
      </w:pPr>
      <w:r>
        <w:t>analyst</w:t>
      </w:r>
      <w:r>
        <w:tab/>
        <w:t>3(1)</w:t>
      </w:r>
    </w:p>
    <w:p>
      <w:pPr>
        <w:pStyle w:val="DefinedTerms"/>
      </w:pPr>
      <w:r>
        <w:t>appeals committee</w:t>
      </w:r>
      <w:r>
        <w:tab/>
        <w:t>3(1)</w:t>
      </w:r>
    </w:p>
    <w:p>
      <w:pPr>
        <w:pStyle w:val="DefinedTerms"/>
      </w:pPr>
      <w:r>
        <w:t>Appeals Convenor</w:t>
      </w:r>
      <w:r>
        <w:tab/>
        <w:t>3(1)</w:t>
      </w:r>
    </w:p>
    <w:p>
      <w:pPr>
        <w:pStyle w:val="DefinedTerms"/>
      </w:pPr>
      <w:r>
        <w:t>applicant</w:t>
      </w:r>
      <w:r>
        <w:tab/>
        <w:t>3(1)</w:t>
      </w:r>
    </w:p>
    <w:p>
      <w:pPr>
        <w:pStyle w:val="DefinedTerms"/>
      </w:pPr>
      <w:r>
        <w:t>approved</w:t>
      </w:r>
      <w:r>
        <w:tab/>
        <w:t>88(6), 122B(1)</w:t>
      </w:r>
    </w:p>
    <w:p>
      <w:pPr>
        <w:pStyle w:val="DefinedTerms"/>
      </w:pPr>
      <w:r>
        <w:t>approved policy</w:t>
      </w:r>
      <w:r>
        <w:tab/>
        <w:t>3(1)</w:t>
      </w:r>
    </w:p>
    <w:p>
      <w:pPr>
        <w:pStyle w:val="DefinedTerms"/>
      </w:pPr>
      <w:r>
        <w:t>approved proposal</w:t>
      </w:r>
      <w:r>
        <w:tab/>
        <w:t>3(1)</w:t>
      </w:r>
    </w:p>
    <w:p>
      <w:pPr>
        <w:pStyle w:val="DefinedTerms"/>
      </w:pPr>
      <w:r>
        <w:t>area</w:t>
      </w:r>
      <w:r>
        <w:tab/>
        <w:t>51DA(4)</w:t>
      </w:r>
    </w:p>
    <w:p>
      <w:pPr>
        <w:pStyle w:val="DefinedTerms"/>
      </w:pPr>
      <w:r>
        <w:t>area permit</w:t>
      </w:r>
      <w:r>
        <w:tab/>
        <w:t>51A, 51E(7)</w:t>
      </w:r>
    </w:p>
    <w:p>
      <w:pPr>
        <w:pStyle w:val="DefinedTerms"/>
      </w:pPr>
      <w:r>
        <w:t>assessed proposal</w:t>
      </w:r>
      <w:r>
        <w:tab/>
        <w:t>44A</w:t>
      </w:r>
    </w:p>
    <w:p>
      <w:pPr>
        <w:pStyle w:val="DefinedTerms"/>
      </w:pPr>
      <w:r>
        <w:t>assessed scheme</w:t>
      </w:r>
      <w:r>
        <w:tab/>
        <w:t>3(1)</w:t>
      </w:r>
    </w:p>
    <w:p>
      <w:pPr>
        <w:pStyle w:val="DefinedTerms"/>
      </w:pPr>
      <w:r>
        <w:t>assessment report</w:t>
      </w:r>
      <w:r>
        <w:tab/>
        <w:t>44(1)</w:t>
      </w:r>
    </w:p>
    <w:p>
      <w:pPr>
        <w:pStyle w:val="DefinedTerms"/>
      </w:pPr>
      <w:r>
        <w:t>authorisation</w:t>
      </w:r>
      <w:r>
        <w:tab/>
        <w:t>50D(1), 68A(1), 86A, Sch. 2</w:t>
      </w:r>
    </w:p>
    <w:p>
      <w:pPr>
        <w:pStyle w:val="DefinedTerms"/>
      </w:pPr>
      <w:r>
        <w:t>authorised person</w:t>
      </w:r>
      <w:r>
        <w:tab/>
        <w:t>3(1)</w:t>
      </w:r>
    </w:p>
    <w:p>
      <w:pPr>
        <w:pStyle w:val="DefinedTerms"/>
      </w:pPr>
      <w:r>
        <w:t>Authority</w:t>
      </w:r>
      <w:r>
        <w:tab/>
        <w:t>3(1)</w:t>
      </w:r>
    </w:p>
    <w:p>
      <w:pPr>
        <w:pStyle w:val="DefinedTerms"/>
      </w:pPr>
      <w:r>
        <w:t>Authority member</w:t>
      </w:r>
      <w:r>
        <w:tab/>
        <w:t>3</w:t>
      </w:r>
    </w:p>
    <w:p>
      <w:pPr>
        <w:pStyle w:val="DefinedTerms"/>
      </w:pPr>
      <w:r>
        <w:t>beneficial use</w:t>
      </w:r>
      <w:r>
        <w:tab/>
        <w:t>3(1)</w:t>
      </w:r>
    </w:p>
    <w:p>
      <w:pPr>
        <w:pStyle w:val="DefinedTerms"/>
      </w:pPr>
      <w:r>
        <w:t>bilateral agreement</w:t>
      </w:r>
      <w:r>
        <w:tab/>
        <w:t>124A</w:t>
      </w:r>
    </w:p>
    <w:p>
      <w:pPr>
        <w:pStyle w:val="DefinedTerms"/>
      </w:pPr>
      <w:r>
        <w:t>bilateral matter</w:t>
      </w:r>
      <w:r>
        <w:tab/>
        <w:t>124A</w:t>
      </w:r>
    </w:p>
    <w:p>
      <w:pPr>
        <w:pStyle w:val="DefinedTerms"/>
      </w:pPr>
      <w:r>
        <w:t>biodiversity</w:t>
      </w:r>
      <w:r>
        <w:tab/>
        <w:t>Sch. 5 cl. 2</w:t>
      </w:r>
    </w:p>
    <w:p>
      <w:pPr>
        <w:pStyle w:val="DefinedTerms"/>
      </w:pPr>
      <w:r>
        <w:t>books</w:t>
      </w:r>
      <w:r>
        <w:tab/>
        <w:t>3(1)</w:t>
      </w:r>
    </w:p>
    <w:p>
      <w:pPr>
        <w:pStyle w:val="DefinedTerms"/>
      </w:pPr>
      <w:r>
        <w:t>capture</w:t>
      </w:r>
      <w:r>
        <w:tab/>
        <w:t>116B(2)</w:t>
      </w:r>
    </w:p>
    <w:p>
      <w:pPr>
        <w:pStyle w:val="DefinedTerms"/>
      </w:pPr>
      <w:r>
        <w:t>captured</w:t>
      </w:r>
      <w:r>
        <w:tab/>
        <w:t>116B(1)</w:t>
      </w:r>
    </w:p>
    <w:p>
      <w:pPr>
        <w:pStyle w:val="DefinedTerms"/>
      </w:pPr>
      <w:r>
        <w:t>CEO</w:t>
      </w:r>
      <w:r>
        <w:tab/>
        <w:t>3(1)</w:t>
      </w:r>
    </w:p>
    <w:p>
      <w:pPr>
        <w:pStyle w:val="DefinedTerms"/>
      </w:pPr>
      <w:r>
        <w:t>Chair</w:t>
      </w:r>
      <w:r>
        <w:tab/>
        <w:t>3(1)</w:t>
      </w:r>
    </w:p>
    <w:p>
      <w:pPr>
        <w:pStyle w:val="DefinedTerms"/>
      </w:pPr>
      <w:r>
        <w:t>clearing</w:t>
      </w:r>
      <w:r>
        <w:tab/>
        <w:t>3(1), 51A</w:t>
      </w:r>
    </w:p>
    <w:p>
      <w:pPr>
        <w:pStyle w:val="DefinedTerms"/>
      </w:pPr>
      <w:r>
        <w:t>clearing decision</w:t>
      </w:r>
      <w:r>
        <w:tab/>
        <w:t>51F(1)</w:t>
      </w:r>
    </w:p>
    <w:p>
      <w:pPr>
        <w:pStyle w:val="DefinedTerms"/>
      </w:pPr>
      <w:r>
        <w:t>clearing injunction</w:t>
      </w:r>
      <w:r>
        <w:tab/>
        <w:t>51S(2), 133D(1)</w:t>
      </w:r>
    </w:p>
    <w:p>
      <w:pPr>
        <w:pStyle w:val="DefinedTerms"/>
      </w:pPr>
      <w:r>
        <w:t>clearing matter</w:t>
      </w:r>
      <w:r>
        <w:tab/>
        <w:t>51O(1)</w:t>
      </w:r>
    </w:p>
    <w:p>
      <w:pPr>
        <w:pStyle w:val="DefinedTerms"/>
      </w:pPr>
      <w:r>
        <w:t>clearing permit</w:t>
      </w:r>
      <w:r>
        <w:tab/>
        <w:t>3(1)</w:t>
      </w:r>
    </w:p>
    <w:p>
      <w:pPr>
        <w:pStyle w:val="DefinedTerms"/>
      </w:pPr>
      <w:r>
        <w:t>clearing principles</w:t>
      </w:r>
      <w:r>
        <w:tab/>
        <w:t>51A</w:t>
      </w:r>
    </w:p>
    <w:p>
      <w:pPr>
        <w:pStyle w:val="DefinedTerms"/>
      </w:pPr>
      <w:r>
        <w:t>closure notice</w:t>
      </w:r>
      <w:r>
        <w:tab/>
        <w:t>3(1), 68A(2)</w:t>
      </w:r>
    </w:p>
    <w:p>
      <w:pPr>
        <w:pStyle w:val="DefinedTerms"/>
      </w:pPr>
      <w:r>
        <w:t>commencement</w:t>
      </w:r>
      <w:r>
        <w:tab/>
        <w:t>133B(1), 133D(1), 133E, 133M(2), (3), (5), (7), 133N(1)</w:t>
      </w:r>
    </w:p>
    <w:p>
      <w:pPr>
        <w:pStyle w:val="DefinedTerms"/>
      </w:pPr>
      <w:r>
        <w:t>commencement condition</w:t>
      </w:r>
      <w:r>
        <w:tab/>
        <w:t>47A(2)</w:t>
      </w:r>
    </w:p>
    <w:p>
      <w:pPr>
        <w:pStyle w:val="DefinedTerms"/>
      </w:pPr>
      <w:r>
        <w:lastRenderedPageBreak/>
        <w:t>Commissioner</w:t>
      </w:r>
      <w:r>
        <w:tab/>
        <w:t>51D(1)</w:t>
      </w:r>
    </w:p>
    <w:p>
      <w:pPr>
        <w:pStyle w:val="DefinedTerms"/>
      </w:pPr>
      <w:r>
        <w:t>committee of inquiry</w:t>
      </w:r>
      <w:r>
        <w:tab/>
        <w:t>3(1)</w:t>
      </w:r>
    </w:p>
    <w:p>
      <w:pPr>
        <w:pStyle w:val="DefinedTerms"/>
      </w:pPr>
      <w:r>
        <w:t>Commonwealth Environment Act</w:t>
      </w:r>
      <w:r>
        <w:tab/>
        <w:t>3(1)</w:t>
      </w:r>
    </w:p>
    <w:p>
      <w:pPr>
        <w:pStyle w:val="DefinedTerms"/>
      </w:pPr>
      <w:r>
        <w:t>compliance period</w:t>
      </w:r>
      <w:r>
        <w:tab/>
        <w:t>38F(2)</w:t>
      </w:r>
    </w:p>
    <w:p>
      <w:pPr>
        <w:pStyle w:val="DefinedTerms"/>
      </w:pPr>
      <w:r>
        <w:t>condition</w:t>
      </w:r>
      <w:r>
        <w:tab/>
        <w:t>3(1), 48H(1)</w:t>
      </w:r>
    </w:p>
    <w:p>
      <w:pPr>
        <w:pStyle w:val="DefinedTerms"/>
      </w:pPr>
      <w:r>
        <w:t>conduct affecting the environment</w:t>
      </w:r>
      <w:r>
        <w:tab/>
        <w:t>50D(1)</w:t>
      </w:r>
    </w:p>
    <w:p>
      <w:pPr>
        <w:pStyle w:val="DefinedTerms"/>
      </w:pPr>
      <w:r>
        <w:t>conduct injunction</w:t>
      </w:r>
      <w:r>
        <w:tab/>
        <w:t>133D(1)</w:t>
      </w:r>
    </w:p>
    <w:p>
      <w:pPr>
        <w:pStyle w:val="DefinedTerms"/>
      </w:pPr>
      <w:r>
        <w:t>conservation area</w:t>
      </w:r>
      <w:r>
        <w:tab/>
        <w:t>Sch. 5 cl. 2</w:t>
      </w:r>
    </w:p>
    <w:p>
      <w:pPr>
        <w:pStyle w:val="DefinedTerms"/>
      </w:pPr>
      <w:r>
        <w:t>conservation covenant</w:t>
      </w:r>
      <w:r>
        <w:tab/>
        <w:t>51A</w:t>
      </w:r>
    </w:p>
    <w:p>
      <w:pPr>
        <w:pStyle w:val="DefinedTerms"/>
      </w:pPr>
      <w:r>
        <w:t>consolidated proposal</w:t>
      </w:r>
      <w:r>
        <w:tab/>
        <w:t>45D(1)</w:t>
      </w:r>
    </w:p>
    <w:p>
      <w:pPr>
        <w:pStyle w:val="DefinedTerms"/>
      </w:pPr>
      <w:r>
        <w:t>contaminated</w:t>
      </w:r>
      <w:r>
        <w:tab/>
        <w:t>3(1)</w:t>
      </w:r>
    </w:p>
    <w:p>
      <w:pPr>
        <w:pStyle w:val="DefinedTerms"/>
      </w:pPr>
      <w:r>
        <w:t>contaminated sites auditor</w:t>
      </w:r>
      <w:r>
        <w:tab/>
        <w:t>3(1)</w:t>
      </w:r>
    </w:p>
    <w:p>
      <w:pPr>
        <w:pStyle w:val="DefinedTerms"/>
      </w:pPr>
      <w:r>
        <w:t>contravention</w:t>
      </w:r>
      <w:r>
        <w:tab/>
        <w:t>51S(1)</w:t>
      </w:r>
    </w:p>
    <w:p>
      <w:pPr>
        <w:pStyle w:val="DefinedTerms"/>
      </w:pPr>
      <w:r>
        <w:t>convicted</w:t>
      </w:r>
      <w:r>
        <w:tab/>
        <w:t>99T</w:t>
      </w:r>
    </w:p>
    <w:p>
      <w:pPr>
        <w:pStyle w:val="DefinedTerms"/>
      </w:pPr>
      <w:r>
        <w:t>corporation</w:t>
      </w:r>
      <w:r>
        <w:tab/>
        <w:t>51R(7), 55(3), 58(4)</w:t>
      </w:r>
    </w:p>
    <w:p>
      <w:pPr>
        <w:pStyle w:val="DefinedTerms"/>
      </w:pPr>
      <w:r>
        <w:t>court</w:t>
      </w:r>
      <w:r>
        <w:tab/>
        <w:t>51S(1)</w:t>
      </w:r>
    </w:p>
    <w:p>
      <w:pPr>
        <w:pStyle w:val="DefinedTerms"/>
      </w:pPr>
      <w:r>
        <w:t>damage costs</w:t>
      </w:r>
      <w:r>
        <w:tab/>
        <w:t>3A(3)</w:t>
      </w:r>
    </w:p>
    <w:p>
      <w:pPr>
        <w:pStyle w:val="DefinedTerms"/>
      </w:pPr>
      <w:r>
        <w:t>decision</w:t>
      </w:r>
      <w:r>
        <w:tab/>
        <w:t>51O(1)</w:t>
      </w:r>
    </w:p>
    <w:p>
      <w:pPr>
        <w:pStyle w:val="DefinedTerms"/>
      </w:pPr>
      <w:r>
        <w:t>decision date</w:t>
      </w:r>
      <w:r>
        <w:tab/>
        <w:t>134(1)</w:t>
      </w:r>
    </w:p>
    <w:p>
      <w:pPr>
        <w:pStyle w:val="DefinedTerms"/>
      </w:pPr>
      <w:r>
        <w:t>decision-making authority</w:t>
      </w:r>
      <w:r>
        <w:tab/>
        <w:t>3(1)</w:t>
      </w:r>
    </w:p>
    <w:p>
      <w:pPr>
        <w:pStyle w:val="DefinedTerms"/>
      </w:pPr>
      <w:r>
        <w:t>deemed referral</w:t>
      </w:r>
      <w:r>
        <w:tab/>
        <w:t>133C(2)</w:t>
      </w:r>
    </w:p>
    <w:p>
      <w:pPr>
        <w:pStyle w:val="DefinedTerms"/>
      </w:pPr>
      <w:r>
        <w:t>delegate</w:t>
      </w:r>
      <w:r>
        <w:tab/>
        <w:t>18(1), 19(1), 20(1)</w:t>
      </w:r>
    </w:p>
    <w:p>
      <w:pPr>
        <w:pStyle w:val="DefinedTerms"/>
      </w:pPr>
      <w:r>
        <w:t>Department</w:t>
      </w:r>
      <w:r>
        <w:tab/>
        <w:t>3(1)</w:t>
      </w:r>
    </w:p>
    <w:p>
      <w:pPr>
        <w:pStyle w:val="DefinedTerms"/>
      </w:pPr>
      <w:r>
        <w:t>Deputy Chair</w:t>
      </w:r>
      <w:r>
        <w:tab/>
        <w:t>3(1)</w:t>
      </w:r>
    </w:p>
    <w:p>
      <w:pPr>
        <w:pStyle w:val="DefinedTerms"/>
      </w:pPr>
      <w:r>
        <w:t>designated area</w:t>
      </w:r>
      <w:r>
        <w:tab/>
        <w:t>57(5)</w:t>
      </w:r>
    </w:p>
    <w:p>
      <w:pPr>
        <w:pStyle w:val="DefinedTerms"/>
      </w:pPr>
      <w:r>
        <w:t>designated person</w:t>
      </w:r>
      <w:r>
        <w:tab/>
        <w:t>99H</w:t>
      </w:r>
    </w:p>
    <w:p>
      <w:pPr>
        <w:pStyle w:val="DefinedTerms"/>
      </w:pPr>
      <w:r>
        <w:t>detrimental action</w:t>
      </w:r>
      <w:r>
        <w:tab/>
        <w:t>111A(3)</w:t>
      </w:r>
    </w:p>
    <w:p>
      <w:pPr>
        <w:pStyle w:val="DefinedTerms"/>
      </w:pPr>
      <w:r>
        <w:t>development approval</w:t>
      </w:r>
      <w:r>
        <w:tab/>
        <w:t>3(1)</w:t>
      </w:r>
    </w:p>
    <w:p>
      <w:pPr>
        <w:pStyle w:val="DefinedTerms"/>
      </w:pPr>
      <w:r>
        <w:t>discharge</w:t>
      </w:r>
      <w:r>
        <w:tab/>
        <w:t>3(1)</w:t>
      </w:r>
    </w:p>
    <w:p>
      <w:pPr>
        <w:pStyle w:val="DefinedTerms"/>
      </w:pPr>
      <w:r>
        <w:t>DMA decision</w:t>
      </w:r>
      <w:r>
        <w:tab/>
        <w:t>44A</w:t>
      </w:r>
    </w:p>
    <w:p>
      <w:pPr>
        <w:pStyle w:val="DefinedTerms"/>
      </w:pPr>
      <w:r>
        <w:t>documentation</w:t>
      </w:r>
      <w:r>
        <w:tab/>
        <w:t>122B(1)</w:t>
      </w:r>
    </w:p>
    <w:p>
      <w:pPr>
        <w:pStyle w:val="DefinedTerms"/>
      </w:pPr>
      <w:r>
        <w:t>draft policy</w:t>
      </w:r>
      <w:r>
        <w:tab/>
        <w:t>3(1), 31</w:t>
      </w:r>
    </w:p>
    <w:p>
      <w:pPr>
        <w:pStyle w:val="DefinedTerms"/>
      </w:pPr>
      <w:r>
        <w:t>driver</w:t>
      </w:r>
      <w:r>
        <w:tab/>
        <w:t>3(1)</w:t>
      </w:r>
    </w:p>
    <w:p>
      <w:pPr>
        <w:pStyle w:val="DefinedTerms"/>
      </w:pPr>
      <w:r>
        <w:t>ecological community</w:t>
      </w:r>
      <w:r>
        <w:tab/>
        <w:t>3(1)</w:t>
      </w:r>
    </w:p>
    <w:p>
      <w:pPr>
        <w:pStyle w:val="DefinedTerms"/>
      </w:pPr>
      <w:r>
        <w:t>ecosystem health condition</w:t>
      </w:r>
      <w:r>
        <w:tab/>
        <w:t>3(1)</w:t>
      </w:r>
    </w:p>
    <w:p>
      <w:pPr>
        <w:pStyle w:val="DefinedTerms"/>
      </w:pPr>
      <w:r>
        <w:t>emission</w:t>
      </w:r>
      <w:r>
        <w:tab/>
        <w:t>3(1)</w:t>
      </w:r>
    </w:p>
    <w:p>
      <w:pPr>
        <w:pStyle w:val="DefinedTerms"/>
      </w:pPr>
      <w:r>
        <w:t>environment</w:t>
      </w:r>
      <w:r>
        <w:tab/>
        <w:t>3(1)</w:t>
      </w:r>
    </w:p>
    <w:p>
      <w:pPr>
        <w:pStyle w:val="DefinedTerms"/>
      </w:pPr>
      <w:r>
        <w:t>environmental harm</w:t>
      </w:r>
      <w:r>
        <w:tab/>
        <w:t>3(1), 3A(2)</w:t>
      </w:r>
    </w:p>
    <w:p>
      <w:pPr>
        <w:pStyle w:val="DefinedTerms"/>
      </w:pPr>
      <w:r>
        <w:t>environmentally sensitive area</w:t>
      </w:r>
      <w:r>
        <w:tab/>
        <w:t>51A</w:t>
      </w:r>
    </w:p>
    <w:p>
      <w:pPr>
        <w:pStyle w:val="DefinedTerms"/>
      </w:pPr>
      <w:r>
        <w:t>environmental monitoring programme</w:t>
      </w:r>
      <w:r>
        <w:tab/>
        <w:t>2(1)</w:t>
      </w:r>
    </w:p>
    <w:p>
      <w:pPr>
        <w:pStyle w:val="DefinedTerms"/>
      </w:pPr>
      <w:r>
        <w:t>environmental protection covenant</w:t>
      </w:r>
      <w:r>
        <w:tab/>
        <w:t>3(1)</w:t>
      </w:r>
    </w:p>
    <w:p>
      <w:pPr>
        <w:pStyle w:val="DefinedTerms"/>
      </w:pPr>
      <w:r>
        <w:t>environmental protection notice</w:t>
      </w:r>
      <w:r>
        <w:tab/>
        <w:t>3(1), 65(1)</w:t>
      </w:r>
    </w:p>
    <w:p>
      <w:pPr>
        <w:pStyle w:val="DefinedTerms"/>
      </w:pPr>
      <w:r>
        <w:t>environmental undertaking</w:t>
      </w:r>
      <w:r>
        <w:tab/>
        <w:t>3(1)</w:t>
      </w:r>
    </w:p>
    <w:p>
      <w:pPr>
        <w:pStyle w:val="DefinedTerms"/>
      </w:pPr>
      <w:r>
        <w:t>environmental value</w:t>
      </w:r>
      <w:r>
        <w:tab/>
        <w:t>3(1)</w:t>
      </w:r>
    </w:p>
    <w:p>
      <w:pPr>
        <w:pStyle w:val="DefinedTerms"/>
      </w:pPr>
      <w:r>
        <w:lastRenderedPageBreak/>
        <w:t>equipment</w:t>
      </w:r>
      <w:r>
        <w:tab/>
        <w:t>3(1)</w:t>
      </w:r>
    </w:p>
    <w:p>
      <w:pPr>
        <w:pStyle w:val="DefinedTerms"/>
      </w:pPr>
      <w:r>
        <w:t>establish</w:t>
      </w:r>
      <w:r>
        <w:tab/>
        <w:t>51I(4)</w:t>
      </w:r>
    </w:p>
    <w:p>
      <w:pPr>
        <w:pStyle w:val="DefinedTerms"/>
      </w:pPr>
      <w:r>
        <w:t>existing Act</w:t>
      </w:r>
      <w:r>
        <w:tab/>
        <w:t>133E</w:t>
      </w:r>
    </w:p>
    <w:p>
      <w:pPr>
        <w:pStyle w:val="DefinedTerms"/>
      </w:pPr>
      <w:r>
        <w:t>existing application</w:t>
      </w:r>
      <w:r>
        <w:tab/>
        <w:t>133C(1), 133D(1), 133H(1), 133I(1), 133J(1)</w:t>
      </w:r>
    </w:p>
    <w:p>
      <w:pPr>
        <w:pStyle w:val="DefinedTerms"/>
      </w:pPr>
      <w:r>
        <w:t>existing authorisation</w:t>
      </w:r>
      <w:r>
        <w:tab/>
        <w:t>61(3)</w:t>
      </w:r>
    </w:p>
    <w:p>
      <w:pPr>
        <w:pStyle w:val="DefinedTerms"/>
      </w:pPr>
      <w:r>
        <w:t>fauna</w:t>
      </w:r>
      <w:r>
        <w:tab/>
        <w:t>Sch. 5 cl. 2</w:t>
      </w:r>
    </w:p>
    <w:p>
      <w:pPr>
        <w:pStyle w:val="DefinedTerms"/>
      </w:pPr>
      <w:r>
        <w:t>fee</w:t>
      </w:r>
      <w:r>
        <w:tab/>
        <w:t>Sch. 2</w:t>
      </w:r>
    </w:p>
    <w:p>
      <w:pPr>
        <w:pStyle w:val="DefinedTerms"/>
      </w:pPr>
      <w:r>
        <w:t>final approval</w:t>
      </w:r>
      <w:r>
        <w:tab/>
        <w:t>3(1)</w:t>
      </w:r>
    </w:p>
    <w:p>
      <w:pPr>
        <w:pStyle w:val="DefinedTerms"/>
      </w:pPr>
      <w:r>
        <w:t>financial assurance requirement</w:t>
      </w:r>
      <w:r>
        <w:tab/>
        <w:t>86A</w:t>
      </w:r>
    </w:p>
    <w:p>
      <w:pPr>
        <w:pStyle w:val="DefinedTerms"/>
      </w:pPr>
      <w:r>
        <w:t>first notice</w:t>
      </w:r>
      <w:r>
        <w:tab/>
        <w:t>28(1), 32(1)</w:t>
      </w:r>
    </w:p>
    <w:p>
      <w:pPr>
        <w:pStyle w:val="DefinedTerms"/>
      </w:pPr>
      <w:r>
        <w:t>former EP Act</w:t>
      </w:r>
      <w:r>
        <w:tab/>
        <w:t>130(1), 131(1), 132(1)</w:t>
      </w:r>
    </w:p>
    <w:p>
      <w:pPr>
        <w:pStyle w:val="DefinedTerms"/>
      </w:pPr>
      <w:r>
        <w:t>former provisions</w:t>
      </w:r>
      <w:r>
        <w:tab/>
        <w:t>133E</w:t>
      </w:r>
    </w:p>
    <w:p>
      <w:pPr>
        <w:pStyle w:val="DefinedTerms"/>
      </w:pPr>
      <w:r>
        <w:t>former section</w:t>
      </w:r>
      <w:r>
        <w:tab/>
        <w:t>133B(1)</w:t>
      </w:r>
    </w:p>
    <w:p>
      <w:pPr>
        <w:pStyle w:val="DefinedTerms"/>
      </w:pPr>
      <w:r>
        <w:t>fuel burning equipment</w:t>
      </w:r>
      <w:r>
        <w:tab/>
        <w:t>3(1)</w:t>
      </w:r>
    </w:p>
    <w:p>
      <w:pPr>
        <w:pStyle w:val="DefinedTerms"/>
      </w:pPr>
      <w:r>
        <w:t>give</w:t>
      </w:r>
      <w:r>
        <w:tab/>
        <w:t>51I(4)</w:t>
      </w:r>
    </w:p>
    <w:p>
      <w:pPr>
        <w:pStyle w:val="DefinedTerms"/>
      </w:pPr>
      <w:r>
        <w:t>ground of invalidity</w:t>
      </w:r>
      <w:r>
        <w:tab/>
        <w:t>134(1)</w:t>
      </w:r>
    </w:p>
    <w:p>
      <w:pPr>
        <w:pStyle w:val="DefinedTerms"/>
      </w:pPr>
      <w:r>
        <w:t>guidelines</w:t>
      </w:r>
      <w:r>
        <w:tab/>
        <w:t>124A</w:t>
      </w:r>
    </w:p>
    <w:p>
      <w:pPr>
        <w:pStyle w:val="DefinedTerms"/>
      </w:pPr>
      <w:r>
        <w:t>image</w:t>
      </w:r>
      <w:r>
        <w:tab/>
        <w:t>116B(1)</w:t>
      </w:r>
    </w:p>
    <w:p>
      <w:pPr>
        <w:pStyle w:val="DefinedTerms"/>
      </w:pPr>
      <w:r>
        <w:t>image data source</w:t>
      </w:r>
      <w:r>
        <w:tab/>
        <w:t>116B(1)</w:t>
      </w:r>
    </w:p>
    <w:p>
      <w:pPr>
        <w:pStyle w:val="DefinedTerms"/>
      </w:pPr>
      <w:r>
        <w:t>implementation agreement or decision</w:t>
      </w:r>
      <w:r>
        <w:tab/>
        <w:t>44A</w:t>
      </w:r>
    </w:p>
    <w:p>
      <w:pPr>
        <w:pStyle w:val="DefinedTerms"/>
      </w:pPr>
      <w:r>
        <w:t>implementation conditions</w:t>
      </w:r>
      <w:r>
        <w:tab/>
        <w:t>3(1), 44A, 48EA</w:t>
      </w:r>
    </w:p>
    <w:p>
      <w:pPr>
        <w:pStyle w:val="DefinedTerms"/>
      </w:pPr>
      <w:r>
        <w:t>implementation issue</w:t>
      </w:r>
      <w:r>
        <w:tab/>
        <w:t>44(3), 48EA</w:t>
      </w:r>
    </w:p>
    <w:p>
      <w:pPr>
        <w:pStyle w:val="DefinedTerms"/>
      </w:pPr>
      <w:r>
        <w:t>improper conduct</w:t>
      </w:r>
      <w:r>
        <w:tab/>
        <w:t>51S(1)</w:t>
      </w:r>
    </w:p>
    <w:p>
      <w:pPr>
        <w:pStyle w:val="DefinedTerms"/>
      </w:pPr>
      <w:r>
        <w:t>improvement scheme</w:t>
      </w:r>
      <w:r>
        <w:tab/>
        <w:t>3(1)</w:t>
      </w:r>
    </w:p>
    <w:p>
      <w:pPr>
        <w:pStyle w:val="DefinedTerms"/>
      </w:pPr>
      <w:r>
        <w:t>industrial plant</w:t>
      </w:r>
      <w:r>
        <w:tab/>
        <w:t>3(1)</w:t>
      </w:r>
    </w:p>
    <w:p>
      <w:pPr>
        <w:pStyle w:val="DefinedTerms"/>
      </w:pPr>
      <w:r>
        <w:t>infringement notice offence</w:t>
      </w:r>
      <w:r>
        <w:tab/>
        <w:t>99G</w:t>
      </w:r>
    </w:p>
    <w:p>
      <w:pPr>
        <w:pStyle w:val="DefinedTerms"/>
      </w:pPr>
      <w:r>
        <w:t>inspector</w:t>
      </w:r>
      <w:r>
        <w:tab/>
        <w:t>3(1)</w:t>
      </w:r>
    </w:p>
    <w:p>
      <w:pPr>
        <w:pStyle w:val="DefinedTerms"/>
      </w:pPr>
      <w:r>
        <w:t>interest</w:t>
      </w:r>
      <w:r>
        <w:tab/>
        <w:t>51N(1)</w:t>
      </w:r>
    </w:p>
    <w:p>
      <w:pPr>
        <w:pStyle w:val="DefinedTerms"/>
      </w:pPr>
      <w:r>
        <w:t>involvement in a contravention</w:t>
      </w:r>
      <w:r>
        <w:tab/>
        <w:t>51S(1)</w:t>
      </w:r>
    </w:p>
    <w:p>
      <w:pPr>
        <w:pStyle w:val="DefinedTerms"/>
      </w:pPr>
      <w:r>
        <w:t>key decision</w:t>
      </w:r>
      <w:r>
        <w:tab/>
        <w:t>44A</w:t>
      </w:r>
    </w:p>
    <w:p>
      <w:pPr>
        <w:pStyle w:val="DefinedTerms"/>
      </w:pPr>
      <w:r>
        <w:t>levy</w:t>
      </w:r>
      <w:r>
        <w:tab/>
        <w:t>110A</w:t>
      </w:r>
    </w:p>
    <w:p>
      <w:pPr>
        <w:pStyle w:val="DefinedTerms"/>
      </w:pPr>
      <w:r>
        <w:t>licence</w:t>
      </w:r>
      <w:r>
        <w:tab/>
        <w:t>3(1), 133G(1), 133J(1)</w:t>
      </w:r>
    </w:p>
    <w:p>
      <w:pPr>
        <w:pStyle w:val="DefinedTerms"/>
      </w:pPr>
      <w:r>
        <w:t>licensee</w:t>
      </w:r>
      <w:r>
        <w:tab/>
        <w:t>3(1)</w:t>
      </w:r>
    </w:p>
    <w:p>
      <w:pPr>
        <w:pStyle w:val="DefinedTerms"/>
      </w:pPr>
      <w:r>
        <w:t>local planning scheme</w:t>
      </w:r>
      <w:r>
        <w:tab/>
        <w:t>3(1)</w:t>
      </w:r>
    </w:p>
    <w:p>
      <w:pPr>
        <w:pStyle w:val="DefinedTerms"/>
      </w:pPr>
      <w:r>
        <w:t>making authority</w:t>
      </w:r>
      <w:r>
        <w:tab/>
        <w:t>44A</w:t>
      </w:r>
    </w:p>
    <w:p>
      <w:pPr>
        <w:pStyle w:val="DefinedTerms"/>
      </w:pPr>
      <w:r>
        <w:t>material environmental harm</w:t>
      </w:r>
      <w:r>
        <w:tab/>
        <w:t>3(1), 3A(2)</w:t>
      </w:r>
    </w:p>
    <w:p>
      <w:pPr>
        <w:pStyle w:val="DefinedTerms"/>
      </w:pPr>
      <w:r>
        <w:t>materials</w:t>
      </w:r>
      <w:r>
        <w:tab/>
        <w:t>3(1)</w:t>
      </w:r>
    </w:p>
    <w:p>
      <w:pPr>
        <w:pStyle w:val="DefinedTerms"/>
      </w:pPr>
      <w:r>
        <w:t>matter</w:t>
      </w:r>
      <w:r>
        <w:tab/>
        <w:t>14A(1)</w:t>
      </w:r>
    </w:p>
    <w:p>
      <w:pPr>
        <w:pStyle w:val="DefinedTerms"/>
      </w:pPr>
      <w:r>
        <w:t>Minister for Lands</w:t>
      </w:r>
      <w:r>
        <w:tab/>
        <w:t>121A(1)</w:t>
      </w:r>
    </w:p>
    <w:p>
      <w:pPr>
        <w:pStyle w:val="DefinedTerms"/>
      </w:pPr>
      <w:r>
        <w:t>Ministerial statement</w:t>
      </w:r>
      <w:r>
        <w:tab/>
        <w:t>3(1)</w:t>
      </w:r>
    </w:p>
    <w:p>
      <w:pPr>
        <w:pStyle w:val="DefinedTerms"/>
      </w:pPr>
      <w:r>
        <w:t>Minister (Water Resources)</w:t>
      </w:r>
      <w:r>
        <w:tab/>
        <w:t>57(5)</w:t>
      </w:r>
    </w:p>
    <w:p>
      <w:pPr>
        <w:pStyle w:val="DefinedTerms"/>
      </w:pPr>
      <w:r>
        <w:t>misbehaviour</w:t>
      </w:r>
      <w:r>
        <w:tab/>
        <w:t>Sch. 7 cl. 3(3)</w:t>
      </w:r>
    </w:p>
    <w:p>
      <w:pPr>
        <w:pStyle w:val="DefinedTerms"/>
      </w:pPr>
      <w:r>
        <w:t>monetary benefits</w:t>
      </w:r>
      <w:r>
        <w:tab/>
        <w:t>99Z(2)</w:t>
      </w:r>
    </w:p>
    <w:p>
      <w:pPr>
        <w:pStyle w:val="DefinedTerms"/>
      </w:pPr>
      <w:r>
        <w:t>monitoring programme</w:t>
      </w:r>
      <w:r>
        <w:tab/>
        <w:t>3(1)</w:t>
      </w:r>
    </w:p>
    <w:p>
      <w:pPr>
        <w:pStyle w:val="DefinedTerms"/>
      </w:pPr>
      <w:r>
        <w:lastRenderedPageBreak/>
        <w:t>motor vehicle</w:t>
      </w:r>
      <w:r>
        <w:tab/>
        <w:t>3(1)</w:t>
      </w:r>
    </w:p>
    <w:p>
      <w:pPr>
        <w:pStyle w:val="DefinedTerms"/>
      </w:pPr>
      <w:r>
        <w:t>native vegetation</w:t>
      </w:r>
      <w:r>
        <w:tab/>
        <w:t>3(1), 51A</w:t>
      </w:r>
    </w:p>
    <w:p>
      <w:pPr>
        <w:pStyle w:val="DefinedTerms"/>
      </w:pPr>
      <w:r>
        <w:t>NEPM</w:t>
      </w:r>
      <w:r>
        <w:tab/>
        <w:t>3(1)</w:t>
      </w:r>
    </w:p>
    <w:p>
      <w:pPr>
        <w:pStyle w:val="DefinedTerms"/>
      </w:pPr>
      <w:r>
        <w:t>new licence</w:t>
      </w:r>
      <w:r>
        <w:tab/>
        <w:t>133E</w:t>
      </w:r>
    </w:p>
    <w:p>
      <w:pPr>
        <w:pStyle w:val="DefinedTerms"/>
      </w:pPr>
      <w:r>
        <w:t>new occupier</w:t>
      </w:r>
      <w:r>
        <w:tab/>
        <w:t>61(1)</w:t>
      </w:r>
    </w:p>
    <w:p>
      <w:pPr>
        <w:pStyle w:val="DefinedTerms"/>
      </w:pPr>
      <w:r>
        <w:t>new owner</w:t>
      </w:r>
      <w:r>
        <w:tab/>
        <w:t>51N(1)</w:t>
      </w:r>
    </w:p>
    <w:p>
      <w:pPr>
        <w:pStyle w:val="DefinedTerms"/>
      </w:pPr>
      <w:r>
        <w:t>new provisions</w:t>
      </w:r>
      <w:r>
        <w:tab/>
        <w:t>133E</w:t>
      </w:r>
    </w:p>
    <w:p>
      <w:pPr>
        <w:pStyle w:val="DefinedTerms"/>
      </w:pPr>
      <w:r>
        <w:t>new section</w:t>
      </w:r>
      <w:r>
        <w:tab/>
        <w:t>133B(1)</w:t>
      </w:r>
    </w:p>
    <w:p>
      <w:pPr>
        <w:pStyle w:val="DefinedTerms"/>
      </w:pPr>
      <w:r>
        <w:t>noise</w:t>
      </w:r>
      <w:r>
        <w:tab/>
        <w:t>3(1)</w:t>
      </w:r>
    </w:p>
    <w:p>
      <w:pPr>
        <w:pStyle w:val="DefinedTerms"/>
      </w:pPr>
      <w:r>
        <w:t>notice</w:t>
      </w:r>
      <w:r>
        <w:tab/>
        <w:t>73B(1)</w:t>
      </w:r>
    </w:p>
    <w:p>
      <w:pPr>
        <w:pStyle w:val="DefinedTerms"/>
      </w:pPr>
      <w:r>
        <w:t>occupier</w:t>
      </w:r>
      <w:r>
        <w:tab/>
        <w:t>3(1), 51A</w:t>
      </w:r>
    </w:p>
    <w:p>
      <w:pPr>
        <w:pStyle w:val="DefinedTerms"/>
      </w:pPr>
      <w:r>
        <w:t>official document</w:t>
      </w:r>
      <w:r>
        <w:tab/>
        <w:t>116B(1)</w:t>
      </w:r>
    </w:p>
    <w:p>
      <w:pPr>
        <w:pStyle w:val="DefinedTerms"/>
      </w:pPr>
      <w:r>
        <w:t>other land</w:t>
      </w:r>
      <w:r>
        <w:tab/>
        <w:t>45A(2), 51I(4)</w:t>
      </w:r>
    </w:p>
    <w:p>
      <w:pPr>
        <w:pStyle w:val="DefinedTerms"/>
      </w:pPr>
      <w:r>
        <w:t>owner</w:t>
      </w:r>
      <w:r>
        <w:tab/>
        <w:t>3(1), 51A</w:t>
      </w:r>
    </w:p>
    <w:p>
      <w:pPr>
        <w:pStyle w:val="DefinedTerms"/>
      </w:pPr>
      <w:r>
        <w:t>pending appeal</w:t>
      </w:r>
      <w:r>
        <w:tab/>
        <w:t>133K(1), 133L(1)</w:t>
      </w:r>
    </w:p>
    <w:p>
      <w:pPr>
        <w:pStyle w:val="DefinedTerms"/>
      </w:pPr>
      <w:r>
        <w:t>period of public review</w:t>
      </w:r>
      <w:r>
        <w:tab/>
        <w:t>3(1)</w:t>
      </w:r>
    </w:p>
    <w:p>
      <w:pPr>
        <w:pStyle w:val="DefinedTerms"/>
      </w:pPr>
      <w:r>
        <w:t>person</w:t>
      </w:r>
      <w:r>
        <w:tab/>
        <w:t>3(1)</w:t>
      </w:r>
    </w:p>
    <w:p>
      <w:pPr>
        <w:pStyle w:val="DefinedTerms"/>
      </w:pPr>
      <w:r>
        <w:t>place</w:t>
      </w:r>
      <w:r>
        <w:tab/>
        <w:t>49A(1)</w:t>
      </w:r>
    </w:p>
    <w:p>
      <w:pPr>
        <w:pStyle w:val="DefinedTerms"/>
      </w:pPr>
      <w:r>
        <w:t>planning instrument</w:t>
      </w:r>
      <w:r>
        <w:tab/>
        <w:t>3(1)</w:t>
      </w:r>
    </w:p>
    <w:p>
      <w:pPr>
        <w:pStyle w:val="DefinedTerms"/>
      </w:pPr>
      <w:r>
        <w:t>plantation</w:t>
      </w:r>
      <w:r>
        <w:tab/>
        <w:t>3(1)</w:t>
      </w:r>
    </w:p>
    <w:p>
      <w:pPr>
        <w:pStyle w:val="DefinedTerms"/>
      </w:pPr>
      <w:r>
        <w:t>pollution</w:t>
      </w:r>
      <w:r>
        <w:tab/>
        <w:t>3(1), 3A(1)</w:t>
      </w:r>
    </w:p>
    <w:p>
      <w:pPr>
        <w:pStyle w:val="DefinedTerms"/>
      </w:pPr>
      <w:r>
        <w:t>practicable</w:t>
      </w:r>
      <w:r>
        <w:tab/>
        <w:t>3(1)</w:t>
      </w:r>
    </w:p>
    <w:p>
      <w:pPr>
        <w:pStyle w:val="DefinedTerms"/>
      </w:pPr>
      <w:r>
        <w:t>practicable means</w:t>
      </w:r>
      <w:r>
        <w:tab/>
        <w:t>3(1)</w:t>
      </w:r>
    </w:p>
    <w:p>
      <w:pPr>
        <w:pStyle w:val="DefinedTerms"/>
      </w:pPr>
      <w:r>
        <w:t>premises</w:t>
      </w:r>
      <w:r>
        <w:tab/>
        <w:t>3(1), 61(1)</w:t>
      </w:r>
    </w:p>
    <w:p>
      <w:pPr>
        <w:pStyle w:val="DefinedTerms"/>
      </w:pPr>
      <w:r>
        <w:t>prescribed</w:t>
      </w:r>
      <w:r>
        <w:tab/>
        <w:t>3(1)</w:t>
      </w:r>
    </w:p>
    <w:p>
      <w:pPr>
        <w:pStyle w:val="DefinedTerms"/>
      </w:pPr>
      <w:r>
        <w:t>prescribed offence</w:t>
      </w:r>
      <w:r>
        <w:tab/>
        <w:t>99AA</w:t>
      </w:r>
    </w:p>
    <w:p>
      <w:pPr>
        <w:pStyle w:val="DefinedTerms"/>
      </w:pPr>
      <w:r>
        <w:t>prescribed premises</w:t>
      </w:r>
      <w:r>
        <w:tab/>
        <w:t>3(1)</w:t>
      </w:r>
    </w:p>
    <w:p>
      <w:pPr>
        <w:pStyle w:val="DefinedTerms"/>
      </w:pPr>
      <w:r>
        <w:t>prevention notice</w:t>
      </w:r>
      <w:r>
        <w:tab/>
        <w:t>3(1), 73A(1)</w:t>
      </w:r>
    </w:p>
    <w:p>
      <w:pPr>
        <w:pStyle w:val="DefinedTerms"/>
      </w:pPr>
      <w:r>
        <w:t>previous office</w:t>
      </w:r>
      <w:r>
        <w:tab/>
        <w:t>Sch. 7 cl. 4(1)</w:t>
      </w:r>
    </w:p>
    <w:p>
      <w:pPr>
        <w:pStyle w:val="DefinedTerms"/>
      </w:pPr>
      <w:r>
        <w:t>principal offence</w:t>
      </w:r>
      <w:r>
        <w:tab/>
        <w:t>99S</w:t>
      </w:r>
    </w:p>
    <w:p>
      <w:pPr>
        <w:pStyle w:val="DefinedTerms"/>
      </w:pPr>
      <w:r>
        <w:t>proponent</w:t>
      </w:r>
      <w:r>
        <w:tab/>
        <w:t>3(1)</w:t>
      </w:r>
    </w:p>
    <w:p>
      <w:pPr>
        <w:pStyle w:val="DefinedTerms"/>
      </w:pPr>
      <w:r>
        <w:t>proposal</w:t>
      </w:r>
      <w:r>
        <w:tab/>
        <w:t>3(1)</w:t>
      </w:r>
    </w:p>
    <w:p>
      <w:pPr>
        <w:pStyle w:val="DefinedTerms"/>
      </w:pPr>
      <w:r>
        <w:t>proposal of a prescribed class</w:t>
      </w:r>
      <w:r>
        <w:tab/>
        <w:t>37B(1)</w:t>
      </w:r>
    </w:p>
    <w:p>
      <w:pPr>
        <w:pStyle w:val="DefinedTerms"/>
      </w:pPr>
      <w:r>
        <w:t>proposal under an assessed scheme</w:t>
      </w:r>
      <w:r>
        <w:tab/>
        <w:t>3(1)</w:t>
      </w:r>
    </w:p>
    <w:p>
      <w:pPr>
        <w:pStyle w:val="DefinedTerms"/>
      </w:pPr>
      <w:r>
        <w:t>proposed action</w:t>
      </w:r>
      <w:r>
        <w:tab/>
        <w:t>51M(2)</w:t>
      </w:r>
    </w:p>
    <w:p>
      <w:pPr>
        <w:pStyle w:val="DefinedTerms"/>
      </w:pPr>
      <w:r>
        <w:t>proposed amendment</w:t>
      </w:r>
      <w:r>
        <w:tab/>
        <w:t>51KB(1)</w:t>
      </w:r>
    </w:p>
    <w:p>
      <w:pPr>
        <w:pStyle w:val="DefinedTerms"/>
      </w:pPr>
      <w:r>
        <w:t>proposed change</w:t>
      </w:r>
      <w:r>
        <w:tab/>
        <w:t>133M(3), (5)</w:t>
      </w:r>
    </w:p>
    <w:p>
      <w:pPr>
        <w:pStyle w:val="DefinedTerms"/>
      </w:pPr>
      <w:r>
        <w:t>protection</w:t>
      </w:r>
      <w:r>
        <w:tab/>
        <w:t>3(1)</w:t>
      </w:r>
    </w:p>
    <w:p>
      <w:pPr>
        <w:pStyle w:val="DefinedTerms"/>
      </w:pPr>
      <w:r>
        <w:t>publication day</w:t>
      </w:r>
      <w:r>
        <w:tab/>
        <w:t>133O(1)</w:t>
      </w:r>
    </w:p>
    <w:p>
      <w:pPr>
        <w:pStyle w:val="DefinedTerms"/>
      </w:pPr>
      <w:r>
        <w:t>public authority</w:t>
      </w:r>
      <w:r>
        <w:tab/>
        <w:t>3(1)</w:t>
      </w:r>
    </w:p>
    <w:p>
      <w:pPr>
        <w:pStyle w:val="DefinedTerms"/>
      </w:pPr>
      <w:r>
        <w:t>public place</w:t>
      </w:r>
      <w:r>
        <w:tab/>
        <w:t>3(1)</w:t>
      </w:r>
    </w:p>
    <w:p>
      <w:pPr>
        <w:pStyle w:val="DefinedTerms"/>
      </w:pPr>
      <w:r>
        <w:t>public review</w:t>
      </w:r>
      <w:r>
        <w:tab/>
        <w:t>48C(7)</w:t>
      </w:r>
    </w:p>
    <w:p>
      <w:pPr>
        <w:pStyle w:val="DefinedTerms"/>
      </w:pPr>
      <w:r>
        <w:t>publish</w:t>
      </w:r>
      <w:r>
        <w:tab/>
        <w:t>122B(1)</w:t>
      </w:r>
    </w:p>
    <w:p>
      <w:pPr>
        <w:pStyle w:val="DefinedTerms"/>
      </w:pPr>
      <w:r>
        <w:t>purpose permit</w:t>
      </w:r>
      <w:r>
        <w:tab/>
        <w:t>51A, 51E(8)</w:t>
      </w:r>
    </w:p>
    <w:p>
      <w:pPr>
        <w:pStyle w:val="DefinedTerms"/>
      </w:pPr>
      <w:r>
        <w:lastRenderedPageBreak/>
        <w:t>recorded</w:t>
      </w:r>
      <w:r>
        <w:tab/>
        <w:t>100(1a)</w:t>
      </w:r>
    </w:p>
    <w:p>
      <w:pPr>
        <w:pStyle w:val="DefinedTerms"/>
      </w:pPr>
      <w:r>
        <w:t>referral</w:t>
      </w:r>
      <w:r>
        <w:tab/>
        <w:t>133M(1)</w:t>
      </w:r>
    </w:p>
    <w:p>
      <w:pPr>
        <w:pStyle w:val="DefinedTerms"/>
      </w:pPr>
      <w:r>
        <w:t>referred proposal</w:t>
      </w:r>
      <w:r>
        <w:tab/>
        <w:t>3(1)</w:t>
      </w:r>
    </w:p>
    <w:p>
      <w:pPr>
        <w:pStyle w:val="DefinedTerms"/>
      </w:pPr>
      <w:r>
        <w:t>referrer</w:t>
      </w:r>
      <w:r>
        <w:tab/>
        <w:t>51DA(2)</w:t>
      </w:r>
    </w:p>
    <w:p>
      <w:pPr>
        <w:pStyle w:val="DefinedTerms"/>
      </w:pPr>
      <w:r>
        <w:t>region planning scheme</w:t>
      </w:r>
      <w:r>
        <w:tab/>
        <w:t>3(1)</w:t>
      </w:r>
    </w:p>
    <w:p>
      <w:pPr>
        <w:pStyle w:val="DefinedTerms"/>
      </w:pPr>
      <w:r>
        <w:t>Registrar of Deeds and Transfers</w:t>
      </w:r>
      <w:r>
        <w:tab/>
        <w:t>2(1)</w:t>
      </w:r>
    </w:p>
    <w:p>
      <w:pPr>
        <w:pStyle w:val="DefinedTerms"/>
      </w:pPr>
      <w:r>
        <w:t>Registrar of Titles</w:t>
      </w:r>
      <w:r>
        <w:tab/>
        <w:t>3(1)</w:t>
      </w:r>
    </w:p>
    <w:p>
      <w:pPr>
        <w:pStyle w:val="DefinedTerms"/>
      </w:pPr>
      <w:r>
        <w:t>regulations</w:t>
      </w:r>
      <w:r>
        <w:tab/>
        <w:t>3(1), 133B(1)</w:t>
      </w:r>
    </w:p>
    <w:p>
      <w:pPr>
        <w:pStyle w:val="DefinedTerms"/>
      </w:pPr>
      <w:r>
        <w:t>relevant Act</w:t>
      </w:r>
      <w:r>
        <w:tab/>
        <w:t>Sch. 4</w:t>
      </w:r>
    </w:p>
    <w:p>
      <w:pPr>
        <w:pStyle w:val="DefinedTerms"/>
      </w:pPr>
      <w:r>
        <w:t>relevant day</w:t>
      </w:r>
      <w:r>
        <w:tab/>
        <w:t>61(2)</w:t>
      </w:r>
    </w:p>
    <w:p>
      <w:pPr>
        <w:pStyle w:val="DefinedTerms"/>
      </w:pPr>
      <w:r>
        <w:t>relevant NEPM</w:t>
      </w:r>
      <w:r>
        <w:tab/>
        <w:t>72(5)</w:t>
      </w:r>
    </w:p>
    <w:p>
      <w:pPr>
        <w:pStyle w:val="DefinedTerms"/>
      </w:pPr>
      <w:r>
        <w:t>relevant premises</w:t>
      </w:r>
      <w:r>
        <w:tab/>
        <w:t>55(1), 68A(1)</w:t>
      </w:r>
    </w:p>
    <w:p>
      <w:pPr>
        <w:pStyle w:val="DefinedTerms"/>
      </w:pPr>
      <w:r>
        <w:t>relevant scheme</w:t>
      </w:r>
      <w:r>
        <w:tab/>
        <w:t>48AAA(1)</w:t>
      </w:r>
    </w:p>
    <w:p>
      <w:pPr>
        <w:pStyle w:val="DefinedTerms"/>
      </w:pPr>
      <w:r>
        <w:t>remotely sensed image</w:t>
      </w:r>
      <w:r>
        <w:tab/>
        <w:t>116B(1)</w:t>
      </w:r>
    </w:p>
    <w:p>
      <w:pPr>
        <w:pStyle w:val="DefinedTerms"/>
      </w:pPr>
      <w:r>
        <w:t>repealed Act</w:t>
      </w:r>
      <w:r>
        <w:tab/>
        <w:t>3(1)</w:t>
      </w:r>
    </w:p>
    <w:p>
      <w:pPr>
        <w:pStyle w:val="DefinedTerms"/>
      </w:pPr>
      <w:r>
        <w:t>required action</w:t>
      </w:r>
      <w:r>
        <w:tab/>
        <w:t>70(4A)</w:t>
      </w:r>
    </w:p>
    <w:p>
      <w:pPr>
        <w:pStyle w:val="DefinedTerms"/>
      </w:pPr>
      <w:r>
        <w:t>requisition</w:t>
      </w:r>
      <w:r>
        <w:tab/>
        <w:t>38F(2)</w:t>
      </w:r>
    </w:p>
    <w:p>
      <w:pPr>
        <w:pStyle w:val="DefinedTerms"/>
      </w:pPr>
      <w:r>
        <w:t>reserve</w:t>
      </w:r>
      <w:r>
        <w:tab/>
        <w:t>3(1)</w:t>
      </w:r>
    </w:p>
    <w:p>
      <w:pPr>
        <w:pStyle w:val="DefinedTerms"/>
      </w:pPr>
      <w:r>
        <w:t>responsible authority</w:t>
      </w:r>
      <w:r>
        <w:tab/>
        <w:t>3(1)</w:t>
      </w:r>
    </w:p>
    <w:p>
      <w:pPr>
        <w:pStyle w:val="DefinedTerms"/>
      </w:pPr>
      <w:r>
        <w:t>responsible Minister</w:t>
      </w:r>
      <w:r>
        <w:tab/>
        <w:t>3(1)</w:t>
      </w:r>
    </w:p>
    <w:p>
      <w:pPr>
        <w:pStyle w:val="DefinedTerms"/>
      </w:pPr>
      <w:r>
        <w:t>responsible person</w:t>
      </w:r>
      <w:r>
        <w:tab/>
        <w:t>86A</w:t>
      </w:r>
    </w:p>
    <w:p>
      <w:pPr>
        <w:pStyle w:val="DefinedTerms"/>
      </w:pPr>
      <w:r>
        <w:t>road</w:t>
      </w:r>
      <w:r>
        <w:tab/>
        <w:t>3(1)</w:t>
      </w:r>
    </w:p>
    <w:p>
      <w:pPr>
        <w:pStyle w:val="DefinedTerms"/>
      </w:pPr>
      <w:r>
        <w:t>scheme</w:t>
      </w:r>
      <w:r>
        <w:tab/>
        <w:t>3(1), 48EA</w:t>
      </w:r>
    </w:p>
    <w:p>
      <w:pPr>
        <w:pStyle w:val="DefinedTerms"/>
      </w:pPr>
      <w:r>
        <w:t>scheme Act</w:t>
      </w:r>
      <w:r>
        <w:tab/>
        <w:t>3(1)</w:t>
      </w:r>
    </w:p>
    <w:p>
      <w:pPr>
        <w:pStyle w:val="DefinedTerms"/>
      </w:pPr>
      <w:r>
        <w:t>section 38E declaration</w:t>
      </w:r>
      <w:r>
        <w:tab/>
        <w:t>45B(1)</w:t>
      </w:r>
    </w:p>
    <w:p>
      <w:pPr>
        <w:pStyle w:val="DefinedTerms"/>
      </w:pPr>
      <w:r>
        <w:t>section 39</w:t>
      </w:r>
      <w:r>
        <w:tab/>
        <w:t>133M(6)</w:t>
      </w:r>
    </w:p>
    <w:p>
      <w:pPr>
        <w:pStyle w:val="DefinedTerms"/>
      </w:pPr>
      <w:r>
        <w:t>sell</w:t>
      </w:r>
      <w:r>
        <w:tab/>
        <w:t>3(1)</w:t>
      </w:r>
    </w:p>
    <w:p>
      <w:pPr>
        <w:pStyle w:val="DefinedTerms"/>
      </w:pPr>
      <w:r>
        <w:t>separate proposals</w:t>
      </w:r>
      <w:r>
        <w:tab/>
        <w:t>45D(1)</w:t>
      </w:r>
    </w:p>
    <w:p>
      <w:pPr>
        <w:pStyle w:val="DefinedTerms"/>
      </w:pPr>
      <w:r>
        <w:t>serious environmental harm</w:t>
      </w:r>
      <w:r>
        <w:tab/>
        <w:t>3(1), 3A(1)</w:t>
      </w:r>
    </w:p>
    <w:p>
      <w:pPr>
        <w:pStyle w:val="DefinedTerms"/>
      </w:pPr>
      <w:r>
        <w:t>significant amendment</w:t>
      </w:r>
      <w:r>
        <w:tab/>
        <w:t>3(1)</w:t>
      </w:r>
    </w:p>
    <w:p>
      <w:pPr>
        <w:pStyle w:val="DefinedTerms"/>
      </w:pPr>
      <w:r>
        <w:t>significant proposal</w:t>
      </w:r>
      <w:r>
        <w:tab/>
        <w:t>37B(1)</w:t>
      </w:r>
    </w:p>
    <w:p>
      <w:pPr>
        <w:pStyle w:val="DefinedTerms"/>
      </w:pPr>
      <w:r>
        <w:t>SLC Act</w:t>
      </w:r>
      <w:r>
        <w:tab/>
        <w:t>51A</w:t>
      </w:r>
    </w:p>
    <w:p>
      <w:pPr>
        <w:pStyle w:val="DefinedTerms"/>
      </w:pPr>
      <w:r>
        <w:t>soil conservation notice</w:t>
      </w:r>
      <w:r>
        <w:tab/>
        <w:t>51A</w:t>
      </w:r>
    </w:p>
    <w:p>
      <w:pPr>
        <w:pStyle w:val="DefinedTerms"/>
        <w:ind w:right="9"/>
        <w:jc w:val="right"/>
      </w:pPr>
      <w:r>
        <w:t>specified</w:t>
      </w:r>
      <w:r>
        <w:tab/>
        <w:t xml:space="preserve">6(10), 45A(2), 51I(4), 62A(4), 65(8), </w:t>
      </w:r>
      <w:r>
        <w:br/>
        <w:t>68A(1), 70(1), 71(6), 133O(1), Sch. 2</w:t>
      </w:r>
    </w:p>
    <w:p>
      <w:pPr>
        <w:pStyle w:val="DefinedTerms"/>
      </w:pPr>
      <w:r>
        <w:t>specified decision</w:t>
      </w:r>
      <w:r>
        <w:tab/>
        <w:t>133L(1)</w:t>
      </w:r>
    </w:p>
    <w:p>
      <w:pPr>
        <w:pStyle w:val="DefinedTerms"/>
      </w:pPr>
      <w:r>
        <w:t>State entity</w:t>
      </w:r>
      <w:r>
        <w:tab/>
        <w:t>124A</w:t>
      </w:r>
    </w:p>
    <w:p>
      <w:pPr>
        <w:pStyle w:val="DefinedTerms"/>
      </w:pPr>
      <w:r>
        <w:t>strategic assessment</w:t>
      </w:r>
      <w:r>
        <w:tab/>
        <w:t>38E(1)</w:t>
      </w:r>
    </w:p>
    <w:p>
      <w:pPr>
        <w:pStyle w:val="DefinedTerms"/>
      </w:pPr>
      <w:r>
        <w:t>strategic proposal</w:t>
      </w:r>
      <w:r>
        <w:tab/>
        <w:t>37B(1), (2)</w:t>
      </w:r>
    </w:p>
    <w:p>
      <w:pPr>
        <w:pStyle w:val="DefinedTerms"/>
      </w:pPr>
      <w:r>
        <w:t>subdivision</w:t>
      </w:r>
      <w:r>
        <w:tab/>
        <w:t>3(2a)</w:t>
      </w:r>
    </w:p>
    <w:p>
      <w:pPr>
        <w:pStyle w:val="DefinedTerms"/>
      </w:pPr>
      <w:r>
        <w:t>subject land</w:t>
      </w:r>
      <w:r>
        <w:tab/>
        <w:t>45A(2)</w:t>
      </w:r>
    </w:p>
    <w:p>
      <w:pPr>
        <w:pStyle w:val="DefinedTerms"/>
      </w:pPr>
      <w:r>
        <w:t>submit</w:t>
      </w:r>
      <w:r>
        <w:tab/>
        <w:t>122B(1)</w:t>
      </w:r>
    </w:p>
    <w:p>
      <w:pPr>
        <w:pStyle w:val="DefinedTerms"/>
      </w:pPr>
      <w:r>
        <w:t>subsidiary</w:t>
      </w:r>
      <w:r>
        <w:tab/>
        <w:t>51R(7), 55(3), 58(4)</w:t>
      </w:r>
    </w:p>
    <w:p>
      <w:pPr>
        <w:pStyle w:val="DefinedTerms"/>
      </w:pPr>
      <w:r>
        <w:t>The Wilderness Society v Minister for Environment</w:t>
      </w:r>
      <w:r>
        <w:tab/>
        <w:t>134(1)</w:t>
      </w:r>
    </w:p>
    <w:p>
      <w:pPr>
        <w:pStyle w:val="DefinedTerms"/>
      </w:pPr>
      <w:r>
        <w:lastRenderedPageBreak/>
        <w:t>threatened ecological community</w:t>
      </w:r>
      <w:r>
        <w:tab/>
        <w:t>Sch. 5 cl. 2</w:t>
      </w:r>
    </w:p>
    <w:p>
      <w:pPr>
        <w:pStyle w:val="DefinedTerms"/>
      </w:pPr>
      <w:r>
        <w:t>threatened flora</w:t>
      </w:r>
      <w:r>
        <w:tab/>
        <w:t>Sch. 5 cl. 2</w:t>
      </w:r>
    </w:p>
    <w:p>
      <w:pPr>
        <w:pStyle w:val="DefinedTerms"/>
      </w:pPr>
      <w:r>
        <w:t>threshold amount</w:t>
      </w:r>
      <w:r>
        <w:tab/>
        <w:t>3A(3)</w:t>
      </w:r>
    </w:p>
    <w:p>
      <w:pPr>
        <w:pStyle w:val="DefinedTerms"/>
      </w:pPr>
      <w:r>
        <w:t>Tier 1 offence</w:t>
      </w:r>
      <w:r>
        <w:tab/>
        <w:t>3(1)</w:t>
      </w:r>
    </w:p>
    <w:p>
      <w:pPr>
        <w:pStyle w:val="DefinedTerms"/>
      </w:pPr>
      <w:r>
        <w:t>Tier 2 offence</w:t>
      </w:r>
      <w:r>
        <w:tab/>
        <w:t>3(1)</w:t>
      </w:r>
    </w:p>
    <w:p>
      <w:pPr>
        <w:pStyle w:val="DefinedTerms"/>
      </w:pPr>
      <w:r>
        <w:t>Tier 3 offence</w:t>
      </w:r>
      <w:r>
        <w:tab/>
        <w:t>3(1)</w:t>
      </w:r>
    </w:p>
    <w:p>
      <w:pPr>
        <w:pStyle w:val="DefinedTerms"/>
      </w:pPr>
      <w:r>
        <w:t>trade</w:t>
      </w:r>
      <w:r>
        <w:tab/>
        <w:t>3(1)</w:t>
      </w:r>
    </w:p>
    <w:p>
      <w:pPr>
        <w:pStyle w:val="DefinedTerms"/>
      </w:pPr>
      <w:r>
        <w:t>transitional matter</w:t>
      </w:r>
      <w:r>
        <w:tab/>
        <w:t>133O(1)</w:t>
      </w:r>
    </w:p>
    <w:p>
      <w:pPr>
        <w:pStyle w:val="DefinedTerms"/>
      </w:pPr>
      <w:r>
        <w:t>unlawful clearing</w:t>
      </w:r>
      <w:r>
        <w:tab/>
        <w:t>70(1)</w:t>
      </w:r>
    </w:p>
    <w:p>
      <w:pPr>
        <w:pStyle w:val="DefinedTerms"/>
      </w:pPr>
      <w:r>
        <w:t>unreasonable emission</w:t>
      </w:r>
      <w:r>
        <w:tab/>
        <w:t>49(1)</w:t>
      </w:r>
    </w:p>
    <w:p>
      <w:pPr>
        <w:pStyle w:val="DefinedTerms"/>
      </w:pPr>
      <w:r>
        <w:t>unreasonable noise</w:t>
      </w:r>
      <w:r>
        <w:tab/>
        <w:t>3(1)</w:t>
      </w:r>
    </w:p>
    <w:p>
      <w:pPr>
        <w:pStyle w:val="DefinedTerms"/>
      </w:pPr>
      <w:r>
        <w:t>validated thing</w:t>
      </w:r>
      <w:r>
        <w:tab/>
        <w:t>135(4)</w:t>
      </w:r>
    </w:p>
    <w:p>
      <w:pPr>
        <w:pStyle w:val="DefinedTerms"/>
      </w:pPr>
      <w:r>
        <w:t>vegetation conservation notice</w:t>
      </w:r>
      <w:r>
        <w:tab/>
        <w:t>3(1), 70(2)</w:t>
      </w:r>
    </w:p>
    <w:p>
      <w:pPr>
        <w:pStyle w:val="DefinedTerms"/>
      </w:pPr>
      <w:r>
        <w:t>vehicle</w:t>
      </w:r>
      <w:r>
        <w:tab/>
        <w:t>3(1)</w:t>
      </w:r>
    </w:p>
    <w:p>
      <w:pPr>
        <w:pStyle w:val="DefinedTerms"/>
      </w:pPr>
      <w:r>
        <w:t>vessel</w:t>
      </w:r>
      <w:r>
        <w:tab/>
        <w:t>3(1)</w:t>
      </w:r>
    </w:p>
    <w:p>
      <w:pPr>
        <w:pStyle w:val="DefinedTerms"/>
      </w:pPr>
      <w:r>
        <w:t>waste</w:t>
      </w:r>
      <w:r>
        <w:tab/>
        <w:t>3(1)</w:t>
      </w:r>
    </w:p>
    <w:p>
      <w:pPr>
        <w:pStyle w:val="DefinedTerms"/>
      </w:pPr>
      <w:r>
        <w:t>watercourse</w:t>
      </w:r>
      <w:r>
        <w:tab/>
        <w:t>70(1), Sch. 5 cl. 2</w:t>
      </w:r>
    </w:p>
    <w:p>
      <w:pPr>
        <w:pStyle w:val="DefinedTerms"/>
      </w:pPr>
      <w:r>
        <w:t>waters</w:t>
      </w:r>
      <w:r>
        <w:tab/>
        <w:t>3(1)</w:t>
      </w:r>
    </w:p>
    <w:p>
      <w:pPr>
        <w:pStyle w:val="DefinedTerms"/>
      </w:pPr>
      <w:r>
        <w:t>Western Australian Planning Commission</w:t>
      </w:r>
      <w:r>
        <w:tab/>
        <w:t>3(1)</w:t>
      </w:r>
    </w:p>
    <w:p>
      <w:pPr>
        <w:pStyle w:val="DefinedTerms"/>
      </w:pPr>
      <w:r>
        <w:t>wetland</w:t>
      </w:r>
      <w:r>
        <w:tab/>
        <w:t>70(1), Sch. 5 cl. 1</w:t>
      </w:r>
    </w:p>
    <w:p>
      <w:pPr>
        <w:pStyle w:val="DefinedTerms"/>
      </w:pPr>
      <w:r>
        <w:t>works approval</w:t>
      </w:r>
      <w:r>
        <w:tab/>
        <w:t>3(1), 133F(1), 133I(1)</w:t>
      </w:r>
    </w:p>
    <w:p/>
    <w:p>
      <w:pPr>
        <w:sectPr>
          <w:headerReference w:type="even" r:id="rId37"/>
          <w:headerReference w:type="default" r:id="rId3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B1FBC8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BDFA2DD" w14:textId="037A5DA2" w:rsidR="003F039E" w:rsidRDefault="003F039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1D77B1D5" w14:textId="77777777" w:rsidR="003F039E" w:rsidRDefault="003F039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3EDFF0A" w14:textId="0858FD35" w:rsidR="003F039E" w:rsidRDefault="003F039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2C5DE120" w14:textId="77777777" w:rsidR="003F039E" w:rsidRDefault="003F039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09-r0-03</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09-r0-03</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09-r0-03</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09-r0-03</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09-r0-03</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09-r0-03</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632"/>
      <w:gridCol w:w="563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632" w:type="dxa"/>
        </w:tcPr>
        <w:p>
          <w:pPr>
            <w:pStyle w:val="Header"/>
            <w:spacing w:before="40"/>
          </w:pPr>
          <w:r>
            <w:rPr>
              <w:b/>
            </w:rPr>
            <w:fldChar w:fldCharType="begin"/>
          </w:r>
          <w:r>
            <w:rPr>
              <w:b/>
            </w:rPr>
            <w:instrText>styleref CharSchno</w:instrText>
          </w:r>
          <w:r>
            <w:rPr>
              <w:b/>
            </w:rPr>
            <w:fldChar w:fldCharType="end"/>
          </w:r>
        </w:p>
      </w:tc>
      <w:tc>
        <w:tcPr>
          <w:tcW w:w="5631" w:type="dxa"/>
          <w:vAlign w:val="bottom"/>
        </w:tcPr>
        <w:p>
          <w:pPr>
            <w:pStyle w:val="Header"/>
            <w:spacing w:before="40"/>
          </w:pPr>
          <w:r>
            <w:fldChar w:fldCharType="begin"/>
          </w:r>
          <w:r>
            <w:instrText>styleref CharSchText</w:instrText>
          </w:r>
          <w:r>
            <w:fldChar w:fldCharType="end"/>
          </w:r>
        </w:p>
      </w:tc>
    </w:tr>
    <w:tr>
      <w:trPr>
        <w:jc w:val="center"/>
      </w:trPr>
      <w:tc>
        <w:tcPr>
          <w:tcW w:w="1632" w:type="dxa"/>
        </w:tcPr>
        <w:p>
          <w:pPr>
            <w:pStyle w:val="Header"/>
            <w:spacing w:before="40"/>
          </w:pPr>
          <w:r>
            <w:rPr>
              <w:b/>
            </w:rPr>
            <w:fldChar w:fldCharType="begin"/>
          </w:r>
          <w:r>
            <w:rPr>
              <w:b/>
            </w:rPr>
            <w:instrText xml:space="preserve"> STYLEREF CharSDivNo \* charformat</w:instrText>
          </w:r>
          <w:r>
            <w:rPr>
              <w:b/>
            </w:rPr>
            <w:fldChar w:fldCharType="end"/>
          </w:r>
        </w:p>
      </w:tc>
      <w:tc>
        <w:tcPr>
          <w:tcW w:w="5631" w:type="dxa"/>
        </w:tcPr>
        <w:p>
          <w:pPr>
            <w:pStyle w:val="Header"/>
            <w:spacing w:before="40"/>
          </w:pPr>
          <w:r>
            <w:fldChar w:fldCharType="begin"/>
          </w:r>
          <w:r>
            <w:instrText>styleref CharSDivText</w:instrText>
          </w:r>
          <w:r>
            <w:fldChar w:fldCharType="end"/>
          </w:r>
        </w:p>
      </w:tc>
    </w:tr>
    <w:tr>
      <w:trPr>
        <w:jc w:val="center"/>
      </w:trPr>
      <w:tc>
        <w:tcPr>
          <w:tcW w:w="1632" w:type="dxa"/>
        </w:tcPr>
        <w:p>
          <w:pPr>
            <w:pStyle w:val="Header"/>
            <w:spacing w:before="40"/>
          </w:pPr>
        </w:p>
      </w:tc>
      <w:tc>
        <w:tcPr>
          <w:tcW w:w="563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592"/>
      <w:gridCol w:w="1680"/>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592" w:type="dxa"/>
          <w:vAlign w:val="bottom"/>
        </w:tcPr>
        <w:p>
          <w:pPr>
            <w:pStyle w:val="Header"/>
            <w:spacing w:before="40"/>
            <w:jc w:val="right"/>
          </w:pPr>
          <w:r>
            <w:fldChar w:fldCharType="begin"/>
          </w:r>
          <w:r>
            <w:instrText>styleref CharSchText</w:instrText>
          </w:r>
          <w:r>
            <w:fldChar w:fldCharType="end"/>
          </w:r>
        </w:p>
      </w:tc>
      <w:tc>
        <w:tcPr>
          <w:tcW w:w="1680"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592" w:type="dxa"/>
        </w:tcPr>
        <w:p>
          <w:pPr>
            <w:pStyle w:val="Header"/>
            <w:spacing w:before="40"/>
            <w:jc w:val="right"/>
          </w:pPr>
          <w:r>
            <w:fldChar w:fldCharType="begin"/>
          </w:r>
          <w:r>
            <w:instrText xml:space="preserve"> styleref CharSDivText </w:instrText>
          </w:r>
          <w:r>
            <w:fldChar w:fldCharType="end"/>
          </w:r>
        </w:p>
      </w:tc>
      <w:tc>
        <w:tcPr>
          <w:tcW w:w="1680"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592" w:type="dxa"/>
        </w:tcPr>
        <w:p>
          <w:pPr>
            <w:pStyle w:val="Header"/>
            <w:spacing w:before="40"/>
            <w:jc w:val="right"/>
          </w:pPr>
        </w:p>
      </w:tc>
      <w:tc>
        <w:tcPr>
          <w:tcW w:w="1680" w:type="dxa"/>
        </w:tcPr>
        <w:p>
          <w:pPr>
            <w:pStyle w:val="Header"/>
            <w:spacing w:before="40"/>
            <w:ind w:right="17"/>
            <w:jc w:val="right"/>
          </w:pPr>
        </w:p>
      </w:tc>
    </w:tr>
  </w:tbl>
  <w:p>
    <w:pPr>
      <w:pStyle w:val="Header"/>
      <w:pBdr>
        <w:top w:val="single" w:sz="4" w:space="1" w:color="auto"/>
      </w:pBdr>
    </w:pPr>
    <w:bookmarkStart w:id="363" w:name="Schedule"/>
    <w:bookmarkEnd w:id="36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Transitional provisions not related to Environmental Protection Act 1971</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Transitional provisions not related to Environmental Protection Act 1971</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Principles for clearing native vegetation</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Principles for clearing native vegetation</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Clearing for which a clearing permit is not required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Clearing for which a clearing permit is not required</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78" w:name="Compilation"/>
    <w:bookmarkEnd w:id="378"/>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80" w:name="DefinedTerms"/>
    <w:bookmarkEnd w:id="380"/>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81" w:name="Coversheet"/>
    <w:bookmarkEnd w:id="3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C50CD8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E8802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A2E5D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034B06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F2FF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7C95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48251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15EB4A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5F290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1642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3F468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986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2100118"/>
    <w:docVar w:name="WAFER_20131218143935" w:val="RemoveTocBookmarks,RemoveUnusedBookmarks,RemoveLanguageTags,UsedStyles,ResetPageSize,UpdateArrangement"/>
    <w:docVar w:name="WAFER_20131218143935_GUID" w:val="e6923f3d-c07d-4563-b3b6-b33ec81a302c"/>
    <w:docVar w:name="WAFER_20140306114453" w:val="RemoveTocBookmarks,RemoveUnusedBookmarks,RemoveLanguageTags,UsedStyles,ResetPageSize"/>
    <w:docVar w:name="WAFER_20140306114453_GUID" w:val="d39e14fc-d8b0-4724-9349-b5605182b55c"/>
    <w:docVar w:name="WAFER_20140306115049" w:val="RemoveTocBookmarks,RunningHeaders"/>
    <w:docVar w:name="WAFER_20140306115049_GUID" w:val="f99a49fd-a108-4ed8-aa18-8d14906328c6"/>
    <w:docVar w:name="WAFER_20150415152049" w:val="ResetPageSize,UpdateArrangement,UpdateNTable"/>
    <w:docVar w:name="WAFER_20150415152049_GUID" w:val="806a7ce7-fdb5-4067-b66f-4a876469cffb"/>
    <w:docVar w:name="WAFER_20151105124836" w:val="UpdateStyles,UsedStyles"/>
    <w:docVar w:name="WAFER_20151105124836_GUID" w:val="8dd929ad-19ac-482f-9bc1-0fe5bb1df89e"/>
    <w:docVar w:name="WAFER_20180220102117" w:val="RemoveTocBookmarks,RemoveUnusedBookmarks,RemoveLanguageTags,UsedStyles,ResetPageSize,RemoveCustomizations"/>
    <w:docVar w:name="WAFER_20180220102117_GUID" w:val="eb6df009-d3db-4764-a94c-a91c04bdabbb"/>
    <w:docVar w:name="WAFER_20181121084122" w:val="RemoveTocBookmarks,RemoveUnusedBookmarks,RemoveLanguageTags,UsedStyles,ResetPageSize"/>
    <w:docVar w:name="WAFER_20181121084122_GUID" w:val="687d7a08-b382-47fb-85a5-1f6420538f4a"/>
    <w:docVar w:name="WAFER_202002131306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0600_GUID" w:val="3b6821b0-e137-41d2-ab0a-68a19b4f745c"/>
    <w:docVar w:name="WAFER_202002200911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1125_GUID" w:val="1b7e536d-f63b-4bf4-b67e-b3879fd061f6"/>
    <w:docVar w:name="WAFER_20200707164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7164919_GUID" w:val="40f82832-76d2-4ffd-996d-7ba082e09e7c"/>
    <w:docVar w:name="WAFER_202011181143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14318_GUID" w:val="101669e7-b845-4681-b9cf-b5cad5fa390b"/>
    <w:docVar w:name="WAFER_20201209152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2735_GUID" w:val="22d76fec-b3c8-4b5d-b1cf-c07faa266496"/>
    <w:docVar w:name="WAFER_20210127110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10427_GUID" w:val="626132ff-8d97-4651-b28f-bd26eabe401c"/>
    <w:docVar w:name="WAFER_202106151136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3628_GUID" w:val="022f139b-ac85-4aa5-8527-31d8b4331f3c"/>
    <w:docVar w:name="WAFER_202106231032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3201_GUID" w:val="bb03c798-080a-47e2-96fe-a7ef18a5a8f5"/>
    <w:docVar w:name="WAFER_202107151115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1533_GUID" w:val="05024faf-8084-4f04-9981-dd1e647ae8c4"/>
    <w:docVar w:name="WAFER_20210727111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1105_GUID" w:val="94cbeb83-62b4-421e-a851-518bc34ce8f9"/>
    <w:docVar w:name="WAFER_20211020094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4955_GUID" w:val="57d46e3a-b027-44ef-9427-39e228eea38f"/>
    <w:docVar w:name="WAFER_202110200950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5026_GUID" w:val="6c622ef1-9970-4ee7-baf9-dcf4d51383d8"/>
    <w:docVar w:name="WAFER_20211221105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5025_GUID" w:val="85dbbd50-f39f-4ef9-84e6-b3f5a26c7a42"/>
    <w:docVar w:name="WAFER_202112211111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1131_GUID" w:val="2fc75877-49f1-4b0e-8fd0-a20af1860d25"/>
    <w:docVar w:name="WAFER_202303241159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15922_GUID" w:val="fd43304d-6ad1-4836-9aff-5de5684fa56b"/>
    <w:docVar w:name="WAFER_20230515102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2900_GUID" w:val="879ed461-3822-4f3a-aa1f-b966783f3b42"/>
    <w:docVar w:name="WAFER_202306271059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5919_GUID" w:val="8d3be148-e805-4f5e-9981-8458bfa442bc"/>
    <w:docVar w:name="WAFER_20230710110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10110827_GUID" w:val="9ad10e81-9b86-4db5-9ba6-99f6c821ab43"/>
    <w:docVar w:name="WAFER_202307310944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31094405_GUID" w:val="2f0607ab-da17-4fb5-a5a9-d4de88bfe9a9"/>
    <w:docVar w:name="WAFER_202308091232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9123225_GUID" w:val="90101308-773a-4275-afc8-80df252ccb64"/>
    <w:docVar w:name="WAFER_202310191058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019105812_GUID" w:val="6d97f601-3fe0-4323-ab3b-f25bf08c6e09"/>
    <w:docVar w:name="WAFER_202310271415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41505_GUID" w:val="87c5f904-0924-4fb6-af42-9a25f2f00479"/>
    <w:docVar w:name="WAFER_202312221001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0118_GUID" w:val="97189751-a20d-42b1-ac94-b98df22237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8657"/>
    <o:shapelayout v:ext="edit">
      <o:idmap v:ext="edit" data="1"/>
    </o:shapelayout>
  </w:shapeDefaults>
  <w:decimalSymbol w:val="."/>
  <w:listSeparator w:val=","/>
  <w15:docId w15:val="{263E2EF4-0D58-44AA-B007-F71332F7C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ubsection">
    <w:name w:val="nzEdnote(subsection)"/>
    <w:basedOn w:val="nzSubsection"/>
    <w:rPr>
      <w:i/>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header" Target="header26.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031AA1-7D0A-4274-8D2D-AFE8681148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88608</Words>
  <Characters>429753</Characters>
  <Application>Microsoft Office Word</Application>
  <DocSecurity>0</DocSecurity>
  <Lines>11937</Lines>
  <Paragraphs>6820</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511541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1986 - 09-r0-03</dc:title>
  <dc:subject/>
  <dc:creator/>
  <cp:keywords/>
  <dc:description/>
  <cp:lastModifiedBy>Master Repository Process</cp:lastModifiedBy>
  <cp:revision>4</cp:revision>
  <cp:lastPrinted>2023-03-24T07:07:00Z</cp:lastPrinted>
  <dcterms:created xsi:type="dcterms:W3CDTF">2025-05-30T07:35:00Z</dcterms:created>
  <dcterms:modified xsi:type="dcterms:W3CDTF">2025-05-30T07:36:00Z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DocumentType">
    <vt:lpwstr>Act</vt:lpwstr>
  </property>
  <property fmtid="{D5CDD505-2E9C-101B-9397-08002B2CF9AE}" pid="4" name="OwlsUID">
    <vt:i4>252</vt:i4>
  </property>
  <property fmtid="{D5CDD505-2E9C-101B-9397-08002B2CF9AE}" pid="5" name="ReprintedAsAt">
    <vt:filetime>2018-05-03T16:00:00Z</vt:filetime>
  </property>
  <property fmtid="{D5CDD505-2E9C-101B-9397-08002B2CF9AE}" pid="6" name="ReprintNo">
    <vt:lpwstr>9</vt:lpwstr>
  </property>
  <property fmtid="{D5CDD505-2E9C-101B-9397-08002B2CF9AE}" pid="7" name="AsAtDate">
    <vt:lpwstr>24 Oct 2023</vt:lpwstr>
  </property>
  <property fmtid="{D5CDD505-2E9C-101B-9397-08002B2CF9AE}" pid="8" name="Suffix">
    <vt:lpwstr>09-r0-03</vt:lpwstr>
  </property>
  <property fmtid="{D5CDD505-2E9C-101B-9397-08002B2CF9AE}" pid="9" name="Official">
    <vt:lpwstr/>
  </property>
  <property fmtid="{D5CDD505-2E9C-101B-9397-08002B2CF9AE}" pid="10" name="CommencementDate">
    <vt:lpwstr>20231024</vt:lpwstr>
  </property>
  <property fmtid="{D5CDD505-2E9C-101B-9397-08002B2CF9AE}" pid="11" name="CommencementYear">
    <vt:lpwstr>2023</vt:lpwstr>
  </property>
</Properties>
</file>